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7772B8">
            <w:pPr>
              <w:tabs>
                <w:tab w:val="left" w:pos="851"/>
              </w:tabs>
              <w:spacing w:before="0" w:line="240" w:lineRule="atLeast"/>
              <w:rPr>
                <w:b/>
              </w:rPr>
            </w:pPr>
            <w:bookmarkStart w:id="2" w:name="dmeeting" w:colFirst="0" w:colLast="0"/>
            <w:bookmarkStart w:id="3" w:name="dnum" w:colFirst="1" w:colLast="1"/>
            <w:r>
              <w:rPr>
                <w:b/>
              </w:rPr>
              <w:t xml:space="preserve">Agenda item: </w:t>
            </w:r>
            <w:r w:rsidR="00BC7E28">
              <w:rPr>
                <w:b/>
              </w:rPr>
              <w:t>PL 1.4</w:t>
            </w:r>
            <w:bookmarkStart w:id="4" w:name="_GoBack"/>
            <w:bookmarkEnd w:id="4"/>
          </w:p>
        </w:tc>
        <w:tc>
          <w:tcPr>
            <w:tcW w:w="3120" w:type="dxa"/>
          </w:tcPr>
          <w:p w:rsidR="002A2188" w:rsidRPr="00E85629" w:rsidRDefault="002A2188" w:rsidP="002A4458">
            <w:pPr>
              <w:tabs>
                <w:tab w:val="left" w:pos="851"/>
              </w:tabs>
              <w:spacing w:before="0" w:line="240" w:lineRule="atLeast"/>
              <w:rPr>
                <w:b/>
              </w:rPr>
            </w:pPr>
            <w:r>
              <w:rPr>
                <w:b/>
              </w:rPr>
              <w:t>Document C1</w:t>
            </w:r>
            <w:r w:rsidR="00FA4575">
              <w:rPr>
                <w:b/>
              </w:rPr>
              <w:t>9</w:t>
            </w:r>
            <w:r>
              <w:rPr>
                <w:b/>
              </w:rPr>
              <w:t>/</w:t>
            </w:r>
            <w:r w:rsidR="00DF5883">
              <w:rPr>
                <w:b/>
              </w:rPr>
              <w:t>10</w:t>
            </w:r>
            <w:r w:rsidR="002A4458">
              <w:rPr>
                <w:b/>
              </w:rPr>
              <w:t>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2"/>
            <w:bookmarkEnd w:id="3"/>
          </w:p>
        </w:tc>
        <w:tc>
          <w:tcPr>
            <w:tcW w:w="3120" w:type="dxa"/>
          </w:tcPr>
          <w:p w:rsidR="002A2188" w:rsidRPr="00E85629" w:rsidRDefault="00182367" w:rsidP="00F76111">
            <w:pPr>
              <w:tabs>
                <w:tab w:val="left" w:pos="993"/>
              </w:tabs>
              <w:spacing w:before="0"/>
              <w:rPr>
                <w:b/>
              </w:rPr>
            </w:pPr>
            <w:r>
              <w:rPr>
                <w:b/>
              </w:rPr>
              <w:t>2</w:t>
            </w:r>
            <w:r w:rsidR="00F76111">
              <w:rPr>
                <w:b/>
              </w:rPr>
              <w:t>7</w:t>
            </w:r>
            <w:r>
              <w:rPr>
                <w:b/>
              </w:rPr>
              <w:t xml:space="preserve">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182367" w:rsidP="00464B6C">
            <w:pPr>
              <w:pStyle w:val="Source"/>
            </w:pPr>
            <w:bookmarkStart w:id="7" w:name="dsource" w:colFirst="0" w:colLast="0"/>
            <w:bookmarkEnd w:id="6"/>
            <w:r>
              <w:t>Note</w:t>
            </w:r>
            <w:r w:rsidRPr="00D04E39">
              <w:t xml:space="preserve"> by the Secretary-General</w:t>
            </w:r>
          </w:p>
        </w:tc>
      </w:tr>
      <w:tr w:rsidR="002A2188" w:rsidRPr="00813E5E" w:rsidTr="00464B6C">
        <w:trPr>
          <w:cantSplit/>
        </w:trPr>
        <w:tc>
          <w:tcPr>
            <w:tcW w:w="10031" w:type="dxa"/>
            <w:gridSpan w:val="2"/>
          </w:tcPr>
          <w:p w:rsidR="00182367" w:rsidRPr="00517BEC" w:rsidRDefault="00182367" w:rsidP="00A814BE">
            <w:pPr>
              <w:pStyle w:val="Title1"/>
              <w:rPr>
                <w:szCs w:val="28"/>
              </w:rPr>
            </w:pPr>
            <w:bookmarkStart w:id="8" w:name="dtitle1" w:colFirst="0" w:colLast="0"/>
            <w:bookmarkEnd w:id="7"/>
            <w:r w:rsidRPr="00517BEC">
              <w:rPr>
                <w:szCs w:val="28"/>
              </w:rPr>
              <w:t xml:space="preserve">CONTRIBUTION FROM the </w:t>
            </w:r>
            <w:r w:rsidR="000350C2">
              <w:rPr>
                <w:szCs w:val="28"/>
              </w:rPr>
              <w:t xml:space="preserve">UNITED ARAB EMIRATES AND </w:t>
            </w:r>
            <w:r w:rsidR="00A814BE">
              <w:rPr>
                <w:szCs w:val="28"/>
              </w:rPr>
              <w:br/>
            </w:r>
            <w:r w:rsidR="000350C2">
              <w:rPr>
                <w:szCs w:val="28"/>
              </w:rPr>
              <w:t xml:space="preserve">THE </w:t>
            </w:r>
            <w:r w:rsidR="00F76111" w:rsidRPr="00517BEC">
              <w:rPr>
                <w:szCs w:val="28"/>
              </w:rPr>
              <w:t>KINGDOM OF SAUDI ARABIA</w:t>
            </w:r>
          </w:p>
          <w:p w:rsidR="002A2188" w:rsidRPr="00813E5E" w:rsidRDefault="002A4458" w:rsidP="000350C2">
            <w:pPr>
              <w:pStyle w:val="Title2"/>
            </w:pPr>
            <w:r>
              <w:rPr>
                <w:lang w:eastAsia="zh-CN"/>
              </w:rPr>
              <w:t>PROPOSAL FOR THE WORK OF OTT ACTIVITIES</w:t>
            </w:r>
          </w:p>
        </w:tc>
      </w:tr>
      <w:bookmarkEnd w:id="8"/>
    </w:tbl>
    <w:p w:rsidR="002A2188" w:rsidRDefault="002A2188" w:rsidP="002A2188"/>
    <w:p w:rsidR="00182367" w:rsidRDefault="00182367" w:rsidP="002A2188"/>
    <w:p w:rsidR="00182367" w:rsidRDefault="00182367" w:rsidP="00A814BE">
      <w:r>
        <w:t>I have the honour to transmit to the Member States of the Council a contribution submitted by the</w:t>
      </w:r>
      <w:r w:rsidR="000350C2">
        <w:t xml:space="preserve"> United Arab Emirates and the </w:t>
      </w:r>
      <w:r w:rsidR="00F76111">
        <w:t>Kingdom of Saudi Arabia.</w:t>
      </w:r>
    </w:p>
    <w:p w:rsidR="00182367" w:rsidRDefault="00182367" w:rsidP="00182367">
      <w:pPr>
        <w:tabs>
          <w:tab w:val="clear" w:pos="567"/>
          <w:tab w:val="clear" w:pos="1134"/>
          <w:tab w:val="clear" w:pos="1701"/>
          <w:tab w:val="clear" w:pos="2268"/>
          <w:tab w:val="clear" w:pos="2835"/>
          <w:tab w:val="left" w:pos="6237"/>
        </w:tabs>
        <w:spacing w:before="1080"/>
      </w:pPr>
      <w:r>
        <w:tab/>
        <w:t>Houlin ZHAO</w:t>
      </w:r>
    </w:p>
    <w:p w:rsidR="00182367" w:rsidRPr="00813E5E" w:rsidRDefault="00182367" w:rsidP="00182367">
      <w:pPr>
        <w:tabs>
          <w:tab w:val="clear" w:pos="567"/>
          <w:tab w:val="clear" w:pos="1134"/>
          <w:tab w:val="clear" w:pos="1701"/>
          <w:tab w:val="clear" w:pos="2268"/>
          <w:tab w:val="clear" w:pos="2835"/>
          <w:tab w:val="left" w:pos="6096"/>
        </w:tabs>
        <w:spacing w:before="0"/>
      </w:pPr>
      <w:r>
        <w:tab/>
        <w:t>Secretary-General</w:t>
      </w:r>
    </w:p>
    <w:p w:rsidR="00182367" w:rsidRDefault="00182367" w:rsidP="002A2188"/>
    <w:p w:rsidR="00182367" w:rsidRDefault="00182367">
      <w:pPr>
        <w:tabs>
          <w:tab w:val="clear" w:pos="567"/>
          <w:tab w:val="clear" w:pos="1134"/>
          <w:tab w:val="clear" w:pos="1701"/>
          <w:tab w:val="clear" w:pos="2268"/>
          <w:tab w:val="clear" w:pos="2835"/>
        </w:tabs>
        <w:overflowPunct/>
        <w:autoSpaceDE/>
        <w:autoSpaceDN/>
        <w:adjustRightInd/>
        <w:spacing w:before="0"/>
        <w:textAlignment w:val="auto"/>
      </w:pPr>
      <w:r>
        <w:br w:type="page"/>
      </w:r>
    </w:p>
    <w:p w:rsidR="00182367" w:rsidRDefault="00182367" w:rsidP="00A814BE">
      <w:pPr>
        <w:pStyle w:val="Source"/>
      </w:pPr>
      <w:r>
        <w:lastRenderedPageBreak/>
        <w:t xml:space="preserve">Contribution from the </w:t>
      </w:r>
      <w:r w:rsidR="000350C2">
        <w:t>United Arab Emirates and the Kingdom of Saudi Arabia</w:t>
      </w:r>
    </w:p>
    <w:p w:rsidR="000350C2" w:rsidRDefault="002A4458" w:rsidP="000350C2">
      <w:pPr>
        <w:pStyle w:val="Title2"/>
        <w:rPr>
          <w:lang w:eastAsia="zh-CN"/>
        </w:rPr>
      </w:pPr>
      <w:r>
        <w:rPr>
          <w:lang w:eastAsia="zh-CN"/>
        </w:rPr>
        <w:t>PROPOSAL FOR THE WORK OF OTT ACTIVITIES</w:t>
      </w:r>
    </w:p>
    <w:p w:rsidR="002A4458" w:rsidRPr="002A4458" w:rsidRDefault="002A4458" w:rsidP="002A4458">
      <w:pPr>
        <w:pStyle w:val="Title3"/>
        <w:rPr>
          <w:lang w:eastAsia="zh-CN"/>
        </w:rPr>
      </w:pPr>
    </w:p>
    <w:tbl>
      <w:tblPr>
        <w:tblStyle w:val="TableGrid"/>
        <w:tblW w:w="8080" w:type="dxa"/>
        <w:jc w:val="center"/>
        <w:tblLayout w:type="fixed"/>
        <w:tblLook w:val="0000" w:firstRow="0" w:lastRow="0" w:firstColumn="0" w:lastColumn="0" w:noHBand="0" w:noVBand="0"/>
      </w:tblPr>
      <w:tblGrid>
        <w:gridCol w:w="8080"/>
      </w:tblGrid>
      <w:tr w:rsidR="00A814BE" w:rsidRPr="00895626" w:rsidTr="003F3B90">
        <w:trPr>
          <w:trHeight w:val="3372"/>
          <w:jc w:val="center"/>
        </w:trPr>
        <w:tc>
          <w:tcPr>
            <w:tcW w:w="8080" w:type="dxa"/>
          </w:tcPr>
          <w:p w:rsidR="00A814BE" w:rsidRPr="00D65854" w:rsidRDefault="00A814BE" w:rsidP="003F3B90">
            <w:pPr>
              <w:pStyle w:val="Headingb"/>
              <w:spacing w:before="120" w:after="120"/>
              <w:rPr>
                <w:szCs w:val="24"/>
              </w:rPr>
            </w:pPr>
            <w:r w:rsidRPr="00D65854">
              <w:rPr>
                <w:szCs w:val="24"/>
              </w:rPr>
              <w:t>Summary</w:t>
            </w:r>
          </w:p>
          <w:p w:rsidR="00A814BE" w:rsidRPr="0029455F" w:rsidRDefault="002A4458" w:rsidP="002A4458">
            <w:pPr>
              <w:spacing w:after="120"/>
              <w:jc w:val="both"/>
              <w:rPr>
                <w:szCs w:val="24"/>
                <w:lang w:val="en-US"/>
              </w:rPr>
            </w:pPr>
            <w:r>
              <w:t>This document summarizes the positions observed on the subject of OTT and proposes activities and way forward to undertake during the upcoming study period of 2019- 2022.</w:t>
            </w:r>
          </w:p>
          <w:p w:rsidR="00A814BE" w:rsidRPr="006C3EC7" w:rsidRDefault="00A814BE" w:rsidP="003F3B90">
            <w:pPr>
              <w:pStyle w:val="Headingb"/>
              <w:spacing w:before="120" w:after="120"/>
              <w:jc w:val="both"/>
              <w:rPr>
                <w:b w:val="0"/>
                <w:bCs/>
                <w:szCs w:val="24"/>
              </w:rPr>
            </w:pPr>
            <w:r w:rsidRPr="0029455F">
              <w:rPr>
                <w:szCs w:val="24"/>
              </w:rPr>
              <w:t>Action</w:t>
            </w:r>
            <w:r w:rsidRPr="0029455F">
              <w:rPr>
                <w:bCs/>
                <w:szCs w:val="24"/>
              </w:rPr>
              <w:t xml:space="preserve"> </w:t>
            </w:r>
            <w:r w:rsidRPr="0029455F">
              <w:rPr>
                <w:szCs w:val="24"/>
              </w:rPr>
              <w:t>required</w:t>
            </w:r>
          </w:p>
          <w:p w:rsidR="00A814BE" w:rsidRPr="0029455F" w:rsidRDefault="002A4458" w:rsidP="002A4458">
            <w:pPr>
              <w:tabs>
                <w:tab w:val="left" w:pos="794"/>
                <w:tab w:val="left" w:pos="1191"/>
                <w:tab w:val="left" w:pos="1588"/>
                <w:tab w:val="left" w:pos="1985"/>
              </w:tabs>
              <w:spacing w:after="120"/>
              <w:ind w:left="34"/>
              <w:jc w:val="both"/>
              <w:rPr>
                <w:rFonts w:asciiTheme="minorHAnsi" w:hAnsiTheme="minorHAnsi"/>
                <w:szCs w:val="24"/>
              </w:rPr>
            </w:pPr>
            <w:r w:rsidRPr="00C21BBC">
              <w:rPr>
                <w:rFonts w:asciiTheme="minorHAnsi" w:hAnsiTheme="minorHAnsi"/>
                <w:szCs w:val="24"/>
              </w:rPr>
              <w:t xml:space="preserve">The </w:t>
            </w:r>
            <w:r>
              <w:rPr>
                <w:rFonts w:asciiTheme="minorHAnsi" w:hAnsiTheme="minorHAnsi"/>
                <w:szCs w:val="24"/>
              </w:rPr>
              <w:t xml:space="preserve">proposal </w:t>
            </w:r>
            <w:proofErr w:type="gramStart"/>
            <w:r>
              <w:rPr>
                <w:rFonts w:asciiTheme="minorHAnsi" w:hAnsiTheme="minorHAnsi"/>
                <w:szCs w:val="24"/>
              </w:rPr>
              <w:t>is presented</w:t>
            </w:r>
            <w:proofErr w:type="gramEnd"/>
            <w:r>
              <w:rPr>
                <w:rFonts w:asciiTheme="minorHAnsi" w:hAnsiTheme="minorHAnsi"/>
                <w:szCs w:val="24"/>
              </w:rPr>
              <w:t xml:space="preserve"> for Council’s consideration</w:t>
            </w:r>
            <w:r w:rsidR="00A814BE">
              <w:rPr>
                <w:szCs w:val="24"/>
              </w:rPr>
              <w:t>.</w:t>
            </w:r>
          </w:p>
          <w:p w:rsidR="00A814BE" w:rsidRPr="0029455F" w:rsidRDefault="00A814BE" w:rsidP="003F3B90">
            <w:pPr>
              <w:pStyle w:val="Table"/>
              <w:keepNext w:val="0"/>
              <w:adjustRightInd w:val="0"/>
              <w:snapToGrid w:val="0"/>
              <w:spacing w:before="120"/>
              <w:jc w:val="both"/>
              <w:rPr>
                <w:rFonts w:asciiTheme="minorHAnsi" w:hAnsiTheme="minorHAnsi"/>
                <w:caps w:val="0"/>
                <w:szCs w:val="24"/>
                <w:lang w:val="en-US"/>
              </w:rPr>
            </w:pPr>
            <w:r w:rsidRPr="0029455F">
              <w:rPr>
                <w:rFonts w:asciiTheme="minorHAnsi" w:hAnsiTheme="minorHAnsi"/>
                <w:caps w:val="0"/>
                <w:szCs w:val="24"/>
                <w:lang w:val="en-US"/>
              </w:rPr>
              <w:t>____________</w:t>
            </w:r>
          </w:p>
          <w:p w:rsidR="00A814BE" w:rsidRPr="006C3EC7" w:rsidRDefault="00A814BE" w:rsidP="003F3B90">
            <w:pPr>
              <w:pStyle w:val="Headingb"/>
              <w:spacing w:before="120" w:after="120"/>
              <w:jc w:val="both"/>
              <w:rPr>
                <w:szCs w:val="24"/>
                <w:lang w:val="en-US"/>
              </w:rPr>
            </w:pPr>
            <w:r w:rsidRPr="006C3EC7">
              <w:rPr>
                <w:szCs w:val="24"/>
                <w:lang w:val="en-US"/>
              </w:rPr>
              <w:t>References</w:t>
            </w:r>
          </w:p>
          <w:p w:rsidR="00A814BE" w:rsidRPr="0029455F" w:rsidRDefault="00BC7E28" w:rsidP="008F6C81">
            <w:pPr>
              <w:snapToGrid w:val="0"/>
              <w:spacing w:after="120"/>
              <w:jc w:val="both"/>
              <w:rPr>
                <w:rFonts w:asciiTheme="minorHAnsi" w:hAnsiTheme="minorHAnsi" w:cs="Arial"/>
                <w:color w:val="0000FF"/>
                <w:sz w:val="22"/>
                <w:szCs w:val="22"/>
                <w:lang w:val="en-US"/>
              </w:rPr>
            </w:pPr>
            <w:hyperlink r:id="rId12" w:history="1">
              <w:r w:rsidR="002A4458" w:rsidRPr="002A4458">
                <w:rPr>
                  <w:rStyle w:val="Hyperlink"/>
                  <w:rFonts w:cstheme="minorHAnsi"/>
                  <w:szCs w:val="24"/>
                </w:rPr>
                <w:t>Resolution 206 ( Dubai, 2018)</w:t>
              </w:r>
            </w:hyperlink>
          </w:p>
        </w:tc>
      </w:tr>
    </w:tbl>
    <w:p w:rsidR="002A4458" w:rsidRDefault="002A4458" w:rsidP="00EE2FE5">
      <w:pPr>
        <w:pStyle w:val="Headingb"/>
        <w:spacing w:before="480"/>
      </w:pPr>
      <w:r w:rsidRPr="009456C0">
        <w:t>Introduction</w:t>
      </w:r>
    </w:p>
    <w:p w:rsidR="002A4458" w:rsidRPr="00EE2FE5" w:rsidRDefault="002A4458" w:rsidP="00EE2FE5">
      <w:pPr>
        <w:jc w:val="both"/>
        <w:rPr>
          <w:rFonts w:asciiTheme="minorHAnsi" w:hAnsiTheme="minorHAnsi" w:cstheme="minorHAnsi"/>
        </w:rPr>
      </w:pPr>
      <w:r w:rsidRPr="00EE2FE5">
        <w:rPr>
          <w:rFonts w:asciiTheme="minorHAnsi" w:hAnsiTheme="minorHAnsi" w:cstheme="minorHAnsi"/>
        </w:rPr>
        <w:t xml:space="preserve">OTT services are of increasingly importance in the rapidly changing ICT landscape due to their unprecedented </w:t>
      </w:r>
      <w:proofErr w:type="gramStart"/>
      <w:r w:rsidRPr="00EE2FE5">
        <w:rPr>
          <w:rFonts w:asciiTheme="minorHAnsi" w:hAnsiTheme="minorHAnsi" w:cstheme="minorHAnsi"/>
        </w:rPr>
        <w:t>growth which</w:t>
      </w:r>
      <w:proofErr w:type="gramEnd"/>
      <w:r w:rsidRPr="00EE2FE5">
        <w:rPr>
          <w:rFonts w:asciiTheme="minorHAnsi" w:hAnsiTheme="minorHAnsi" w:cstheme="minorHAnsi"/>
        </w:rPr>
        <w:t xml:space="preserve"> has raised a number of regulatory and policymaking concerns requiring immediate attention. </w:t>
      </w:r>
    </w:p>
    <w:p w:rsidR="002A4458" w:rsidRPr="00EE2FE5" w:rsidRDefault="002A4458" w:rsidP="00EE2FE5">
      <w:pPr>
        <w:jc w:val="both"/>
        <w:rPr>
          <w:rFonts w:asciiTheme="minorHAnsi" w:hAnsiTheme="minorHAnsi" w:cstheme="minorHAnsi"/>
        </w:rPr>
      </w:pPr>
      <w:r w:rsidRPr="00EE2FE5">
        <w:rPr>
          <w:rFonts w:asciiTheme="minorHAnsi" w:hAnsiTheme="minorHAnsi" w:cstheme="minorHAnsi"/>
        </w:rPr>
        <w:t xml:space="preserve">The trade-off between bringing people online, providing a platform for exchange of information and data sharing and connecting the unconnected by closing the last mile gap against the asymmetric economic impacts on traditional telecom model together with the regulatory implications and security challenges associated therein makes OTT a topic of great interest among the stakeholders. </w:t>
      </w:r>
    </w:p>
    <w:p w:rsidR="002A4458" w:rsidRPr="00EE2FE5" w:rsidRDefault="002A4458" w:rsidP="00EE2FE5">
      <w:pPr>
        <w:jc w:val="both"/>
        <w:rPr>
          <w:rFonts w:asciiTheme="minorHAnsi" w:hAnsiTheme="minorHAnsi" w:cstheme="minorHAnsi"/>
        </w:rPr>
      </w:pPr>
      <w:r w:rsidRPr="00EE2FE5">
        <w:rPr>
          <w:rFonts w:asciiTheme="minorHAnsi" w:hAnsiTheme="minorHAnsi" w:cstheme="minorHAnsi"/>
        </w:rPr>
        <w:t>The Stakeholders also have divergent views on this subject of OTT services with extremes ranging from a hands-off approach to maximum regulation including the imposition of associated levy.</w:t>
      </w:r>
    </w:p>
    <w:p w:rsidR="002A4458" w:rsidRPr="00EE2FE5" w:rsidRDefault="002A4458" w:rsidP="00EE2FE5">
      <w:pPr>
        <w:rPr>
          <w:rFonts w:asciiTheme="minorHAnsi" w:hAnsiTheme="minorHAnsi" w:cstheme="minorHAnsi"/>
        </w:rPr>
      </w:pPr>
      <w:r w:rsidRPr="00EE2FE5">
        <w:rPr>
          <w:rFonts w:asciiTheme="minorHAnsi" w:hAnsiTheme="minorHAnsi" w:cstheme="minorHAnsi"/>
        </w:rPr>
        <w:t xml:space="preserve">This was evident during the ITU PP-18 held in Dubai during October and November where Resolution 206 (Dubai, 2018) </w:t>
      </w:r>
      <w:proofErr w:type="gramStart"/>
      <w:r w:rsidRPr="00EE2FE5">
        <w:rPr>
          <w:rFonts w:asciiTheme="minorHAnsi" w:hAnsiTheme="minorHAnsi" w:cstheme="minorHAnsi"/>
        </w:rPr>
        <w:t>was issued</w:t>
      </w:r>
      <w:proofErr w:type="gramEnd"/>
      <w:r w:rsidRPr="00EE2FE5">
        <w:rPr>
          <w:rFonts w:asciiTheme="minorHAnsi" w:hAnsiTheme="minorHAnsi" w:cstheme="minorHAnsi"/>
        </w:rPr>
        <w:t xml:space="preserve"> after lengthy debates and discussions.</w:t>
      </w:r>
    </w:p>
    <w:p w:rsidR="002A4458" w:rsidRPr="00EE2FE5" w:rsidRDefault="00EE2FE5" w:rsidP="00EE2FE5">
      <w:pPr>
        <w:pStyle w:val="Normalaftertitle"/>
        <w:rPr>
          <w:rFonts w:asciiTheme="minorHAnsi" w:hAnsiTheme="minorHAnsi" w:cstheme="minorHAnsi"/>
          <w:szCs w:val="24"/>
        </w:rPr>
      </w:pPr>
      <w:r>
        <w:rPr>
          <w:rFonts w:asciiTheme="minorHAnsi" w:hAnsiTheme="minorHAnsi" w:cstheme="minorHAnsi"/>
          <w:szCs w:val="24"/>
        </w:rPr>
        <w:t>PP-18</w:t>
      </w:r>
      <w:r w:rsidR="002A4458" w:rsidRPr="00EE2FE5">
        <w:rPr>
          <w:rFonts w:asciiTheme="minorHAnsi" w:hAnsiTheme="minorHAnsi" w:cstheme="minorHAnsi"/>
          <w:szCs w:val="24"/>
        </w:rPr>
        <w:t xml:space="preserve"> Resolution 206 (Dubai, 2018) </w:t>
      </w:r>
      <w:r w:rsidR="002A4458" w:rsidRPr="00EE2FE5">
        <w:rPr>
          <w:rFonts w:asciiTheme="minorHAnsi" w:hAnsiTheme="minorHAnsi" w:cstheme="minorHAnsi"/>
          <w:i/>
          <w:iCs/>
          <w:szCs w:val="24"/>
        </w:rPr>
        <w:t>instructed</w:t>
      </w:r>
      <w:r w:rsidR="002A4458" w:rsidRPr="00EE2FE5">
        <w:rPr>
          <w:rFonts w:asciiTheme="minorHAnsi" w:hAnsiTheme="minorHAnsi" w:cstheme="minorHAnsi"/>
          <w:szCs w:val="24"/>
        </w:rPr>
        <w:t xml:space="preserve"> the Secretary General </w:t>
      </w:r>
    </w:p>
    <w:p w:rsidR="002A4458" w:rsidRPr="00EE2FE5" w:rsidRDefault="002A4458" w:rsidP="00EE2FE5">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924" w:hanging="357"/>
        <w:contextualSpacing w:val="0"/>
        <w:textAlignment w:val="baseline"/>
        <w:rPr>
          <w:rFonts w:asciiTheme="minorHAnsi" w:hAnsiTheme="minorHAnsi" w:cstheme="minorHAnsi"/>
          <w:i/>
          <w:iCs/>
        </w:rPr>
      </w:pPr>
      <w:r w:rsidRPr="00EE2FE5">
        <w:rPr>
          <w:rFonts w:asciiTheme="minorHAnsi" w:hAnsiTheme="minorHAnsi" w:cstheme="minorHAnsi"/>
          <w:i/>
          <w:iCs/>
        </w:rPr>
        <w:t>to continue cooperation and collaboration with other relevant organizations and stakeholders and to explore opportunities for collaboration between ITU members and those of other organizations to further the objectives of this resolution;</w:t>
      </w:r>
    </w:p>
    <w:p w:rsidR="002A4458" w:rsidRPr="00EE2FE5" w:rsidRDefault="002A4458" w:rsidP="00EE2FE5">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924" w:hanging="357"/>
        <w:contextualSpacing w:val="0"/>
        <w:textAlignment w:val="baseline"/>
        <w:rPr>
          <w:rFonts w:asciiTheme="minorHAnsi" w:hAnsiTheme="minorHAnsi" w:cstheme="minorHAnsi"/>
          <w:i/>
          <w:iCs/>
        </w:rPr>
      </w:pPr>
      <w:r w:rsidRPr="00EE2FE5">
        <w:rPr>
          <w:rFonts w:asciiTheme="minorHAnsi" w:eastAsia="Calibri" w:hAnsiTheme="minorHAnsi" w:cstheme="minorHAnsi"/>
          <w:i/>
          <w:iCs/>
        </w:rPr>
        <w:t xml:space="preserve">to foster opportunities for collaboration among relevant stakeholders on capacity-building </w:t>
      </w:r>
      <w:proofErr w:type="spellStart"/>
      <w:r w:rsidRPr="00EE2FE5">
        <w:rPr>
          <w:rFonts w:asciiTheme="minorHAnsi" w:eastAsia="Calibri" w:hAnsiTheme="minorHAnsi" w:cstheme="minorHAnsi"/>
          <w:i/>
          <w:iCs/>
        </w:rPr>
        <w:t>programmes</w:t>
      </w:r>
      <w:proofErr w:type="spellEnd"/>
      <w:r w:rsidRPr="00EE2FE5">
        <w:rPr>
          <w:rFonts w:asciiTheme="minorHAnsi" w:eastAsia="Calibri" w:hAnsiTheme="minorHAnsi" w:cstheme="minorHAnsi"/>
          <w:i/>
          <w:iCs/>
        </w:rPr>
        <w:t xml:space="preserve"> in order to share information related to best practices and technical guidance on OTTs, especially for developing countries;</w:t>
      </w:r>
    </w:p>
    <w:p w:rsidR="002A4458" w:rsidRPr="00EE2FE5" w:rsidRDefault="002A4458" w:rsidP="00EE2FE5">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924" w:hanging="357"/>
        <w:contextualSpacing w:val="0"/>
        <w:textAlignment w:val="baseline"/>
        <w:rPr>
          <w:rFonts w:asciiTheme="minorHAnsi" w:hAnsiTheme="minorHAnsi" w:cstheme="minorHAnsi"/>
          <w:i/>
          <w:iCs/>
        </w:rPr>
      </w:pPr>
      <w:proofErr w:type="gramStart"/>
      <w:r w:rsidRPr="00EE2FE5">
        <w:rPr>
          <w:rFonts w:asciiTheme="minorHAnsi" w:eastAsia="Calibri" w:hAnsiTheme="minorHAnsi" w:cstheme="minorHAnsi"/>
          <w:i/>
          <w:iCs/>
        </w:rPr>
        <w:t>to</w:t>
      </w:r>
      <w:proofErr w:type="gramEnd"/>
      <w:r w:rsidRPr="00EE2FE5">
        <w:rPr>
          <w:rFonts w:asciiTheme="minorHAnsi" w:eastAsia="Calibri" w:hAnsiTheme="minorHAnsi" w:cstheme="minorHAnsi"/>
          <w:i/>
          <w:iCs/>
        </w:rPr>
        <w:t xml:space="preserve"> submit an annual report to the Council on the activities undertaken under this resolution</w:t>
      </w:r>
      <w:r w:rsidR="00EE2FE5">
        <w:rPr>
          <w:rFonts w:asciiTheme="minorHAnsi" w:eastAsia="Calibri" w:hAnsiTheme="minorHAnsi" w:cstheme="minorHAnsi"/>
          <w:i/>
          <w:iCs/>
        </w:rPr>
        <w:t>.</w:t>
      </w:r>
    </w:p>
    <w:p w:rsidR="002A4458" w:rsidRPr="00EE2FE5" w:rsidRDefault="002A4458" w:rsidP="00EE2FE5">
      <w:pPr>
        <w:jc w:val="both"/>
        <w:rPr>
          <w:rFonts w:asciiTheme="minorHAnsi" w:hAnsiTheme="minorHAnsi" w:cstheme="minorHAnsi"/>
        </w:rPr>
      </w:pPr>
      <w:r w:rsidRPr="00EE2FE5">
        <w:rPr>
          <w:rFonts w:asciiTheme="minorHAnsi" w:hAnsiTheme="minorHAnsi" w:cstheme="minorHAnsi"/>
        </w:rPr>
        <w:t xml:space="preserve">ITU-D and ITU-T relevant Study Groups have been addressing the issue of OTT services in their relevant domain and issuing recommendations thereof. The only working definition of OTT as defined in ITU is available in the ITU-T D.262 (ex D.OTT) </w:t>
      </w:r>
      <w:r w:rsidRPr="00EE2FE5">
        <w:rPr>
          <w:rFonts w:asciiTheme="minorHAnsi" w:hAnsiTheme="minorHAnsi" w:cstheme="minorHAnsi"/>
          <w:i/>
        </w:rPr>
        <w:t>Collaborative Framework for OTTs</w:t>
      </w:r>
      <w:r w:rsidR="00EE2FE5">
        <w:rPr>
          <w:rFonts w:asciiTheme="minorHAnsi" w:hAnsiTheme="minorHAnsi" w:cstheme="minorHAnsi"/>
        </w:rPr>
        <w:t>.</w:t>
      </w:r>
    </w:p>
    <w:p w:rsidR="002A4458" w:rsidRPr="00EE2FE5" w:rsidRDefault="002A4458" w:rsidP="00EE2FE5">
      <w:pPr>
        <w:pStyle w:val="Headingb"/>
        <w:rPr>
          <w:rFonts w:asciiTheme="minorHAnsi" w:hAnsiTheme="minorHAnsi" w:cstheme="minorHAnsi"/>
        </w:rPr>
      </w:pPr>
      <w:r w:rsidRPr="00EE2FE5">
        <w:rPr>
          <w:rFonts w:asciiTheme="minorHAnsi" w:hAnsiTheme="minorHAnsi" w:cstheme="minorHAnsi"/>
        </w:rPr>
        <w:lastRenderedPageBreak/>
        <w:t>Proposal</w:t>
      </w:r>
    </w:p>
    <w:p w:rsidR="002A4458" w:rsidRPr="00EE2FE5" w:rsidRDefault="002A4458" w:rsidP="008A4506">
      <w:pPr>
        <w:rPr>
          <w:rFonts w:asciiTheme="minorHAnsi" w:hAnsiTheme="minorHAnsi" w:cstheme="minorHAnsi"/>
        </w:rPr>
      </w:pPr>
      <w:r w:rsidRPr="00EE2FE5">
        <w:rPr>
          <w:rFonts w:asciiTheme="minorHAnsi" w:hAnsiTheme="minorHAnsi" w:cstheme="minorHAnsi"/>
        </w:rPr>
        <w:t>Administration</w:t>
      </w:r>
      <w:r w:rsidR="00EE2FE5">
        <w:rPr>
          <w:rFonts w:asciiTheme="minorHAnsi" w:hAnsiTheme="minorHAnsi" w:cstheme="minorHAnsi"/>
        </w:rPr>
        <w:t>s of the UAE and of Saudi Arabia</w:t>
      </w:r>
      <w:r w:rsidRPr="00EE2FE5">
        <w:rPr>
          <w:rFonts w:asciiTheme="minorHAnsi" w:hAnsiTheme="minorHAnsi" w:cstheme="minorHAnsi"/>
        </w:rPr>
        <w:t xml:space="preserve"> believe that the OTT are one of the significant topics of interest to the ICT community and ITU being an intergovernmental agency is the most appropriate forum to discuss such topics. In view of this</w:t>
      </w:r>
      <w:r w:rsidRPr="00EE2FE5">
        <w:rPr>
          <w:rFonts w:asciiTheme="minorHAnsi" w:hAnsiTheme="minorHAnsi" w:cstheme="minorHAnsi"/>
          <w:lang w:val="en-US"/>
        </w:rPr>
        <w:t>,</w:t>
      </w:r>
      <w:r w:rsidRPr="00EE2FE5">
        <w:rPr>
          <w:rFonts w:asciiTheme="minorHAnsi" w:hAnsiTheme="minorHAnsi" w:cstheme="minorHAnsi"/>
        </w:rPr>
        <w:t xml:space="preserve"> </w:t>
      </w:r>
      <w:r w:rsidR="008A4506">
        <w:rPr>
          <w:rFonts w:asciiTheme="minorHAnsi" w:hAnsiTheme="minorHAnsi" w:cstheme="minorHAnsi"/>
        </w:rPr>
        <w:t xml:space="preserve">these </w:t>
      </w:r>
      <w:r w:rsidRPr="00EE2FE5">
        <w:rPr>
          <w:rFonts w:asciiTheme="minorHAnsi" w:hAnsiTheme="minorHAnsi" w:cstheme="minorHAnsi"/>
        </w:rPr>
        <w:t>administration</w:t>
      </w:r>
      <w:r w:rsidR="008A4506">
        <w:rPr>
          <w:rFonts w:asciiTheme="minorHAnsi" w:hAnsiTheme="minorHAnsi" w:cstheme="minorHAnsi"/>
        </w:rPr>
        <w:t>s</w:t>
      </w:r>
      <w:r w:rsidRPr="00EE2FE5">
        <w:rPr>
          <w:rFonts w:asciiTheme="minorHAnsi" w:hAnsiTheme="minorHAnsi" w:cstheme="minorHAnsi"/>
        </w:rPr>
        <w:t xml:space="preserve"> propose the following:</w:t>
      </w:r>
    </w:p>
    <w:p w:rsidR="002A4458" w:rsidRPr="00EE2FE5" w:rsidRDefault="002A4458" w:rsidP="008A4506">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line="240" w:lineRule="auto"/>
        <w:ind w:left="1491" w:hanging="357"/>
        <w:contextualSpacing w:val="0"/>
        <w:jc w:val="both"/>
        <w:textAlignment w:val="baseline"/>
        <w:rPr>
          <w:rFonts w:asciiTheme="minorHAnsi" w:hAnsiTheme="minorHAnsi" w:cstheme="minorHAnsi"/>
        </w:rPr>
      </w:pPr>
      <w:r w:rsidRPr="00EE2FE5">
        <w:rPr>
          <w:rFonts w:asciiTheme="minorHAnsi" w:hAnsiTheme="minorHAnsi" w:cstheme="minorHAnsi"/>
        </w:rPr>
        <w:t xml:space="preserve">From the contributions submitted to various ITU meetings and related </w:t>
      </w:r>
      <w:proofErr w:type="spellStart"/>
      <w:r w:rsidRPr="00EE2FE5">
        <w:rPr>
          <w:rFonts w:asciiTheme="minorHAnsi" w:hAnsiTheme="minorHAnsi" w:cstheme="minorHAnsi"/>
        </w:rPr>
        <w:t>foras</w:t>
      </w:r>
      <w:proofErr w:type="spellEnd"/>
      <w:r w:rsidRPr="00EE2FE5">
        <w:rPr>
          <w:rFonts w:asciiTheme="minorHAnsi" w:hAnsiTheme="minorHAnsi" w:cstheme="minorHAnsi"/>
        </w:rPr>
        <w:t xml:space="preserve"> it is evident that there is a lack of clarity on the extent of the various forms of impacts of OTT, such as but not limited to, the economic, social, as well as the security implications of such services within the national frameworks of Administrations. This is also evident </w:t>
      </w:r>
      <w:r w:rsidR="008A4506">
        <w:rPr>
          <w:rFonts w:asciiTheme="minorHAnsi" w:hAnsiTheme="minorHAnsi" w:cstheme="minorHAnsi"/>
        </w:rPr>
        <w:t>and</w:t>
      </w:r>
      <w:r w:rsidRPr="00EE2FE5">
        <w:rPr>
          <w:rFonts w:asciiTheme="minorHAnsi" w:hAnsiTheme="minorHAnsi" w:cstheme="minorHAnsi"/>
        </w:rPr>
        <w:t xml:space="preserve"> consequently </w:t>
      </w:r>
      <w:proofErr w:type="gramStart"/>
      <w:r w:rsidRPr="00EE2FE5">
        <w:rPr>
          <w:rFonts w:asciiTheme="minorHAnsi" w:hAnsiTheme="minorHAnsi" w:cstheme="minorHAnsi"/>
        </w:rPr>
        <w:t>this also</w:t>
      </w:r>
      <w:proofErr w:type="gramEnd"/>
      <w:r w:rsidRPr="00EE2FE5">
        <w:rPr>
          <w:rFonts w:asciiTheme="minorHAnsi" w:hAnsiTheme="minorHAnsi" w:cstheme="minorHAnsi"/>
        </w:rPr>
        <w:t xml:space="preserve"> shows in the possible solutions which are recommended thereof. Hence, ITU should enhance its capacity building offerings for the underlying topic of OTT services especially in the developing and least developing countries at the immediate basis. </w:t>
      </w:r>
    </w:p>
    <w:p w:rsidR="002A4458" w:rsidRPr="00EE2FE5" w:rsidRDefault="002A4458" w:rsidP="008A4506">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line="240" w:lineRule="auto"/>
        <w:ind w:left="1491" w:hanging="357"/>
        <w:contextualSpacing w:val="0"/>
        <w:jc w:val="both"/>
        <w:textAlignment w:val="baseline"/>
        <w:rPr>
          <w:rFonts w:asciiTheme="minorHAnsi" w:hAnsiTheme="minorHAnsi" w:cstheme="minorHAnsi"/>
        </w:rPr>
      </w:pPr>
      <w:r w:rsidRPr="00EE2FE5">
        <w:rPr>
          <w:rFonts w:asciiTheme="minorHAnsi" w:hAnsiTheme="minorHAnsi" w:cstheme="minorHAnsi"/>
        </w:rPr>
        <w:t>The capacity building offerings programs shall be based on each region and shall also be tailored to the specific region’s concerns, taking into consideration the varying geographies and markets.</w:t>
      </w:r>
    </w:p>
    <w:p w:rsidR="002A4458" w:rsidRPr="00EE2FE5" w:rsidRDefault="002A4458" w:rsidP="008A4506">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line="240" w:lineRule="auto"/>
        <w:ind w:left="1491" w:hanging="357"/>
        <w:contextualSpacing w:val="0"/>
        <w:jc w:val="both"/>
        <w:textAlignment w:val="baseline"/>
        <w:rPr>
          <w:rFonts w:asciiTheme="minorHAnsi" w:hAnsiTheme="minorHAnsi" w:cstheme="minorHAnsi"/>
        </w:rPr>
      </w:pPr>
      <w:r w:rsidRPr="00EE2FE5">
        <w:rPr>
          <w:rFonts w:asciiTheme="minorHAnsi" w:hAnsiTheme="minorHAnsi" w:cstheme="minorHAnsi"/>
        </w:rPr>
        <w:t xml:space="preserve">The placement of these </w:t>
      </w:r>
      <w:proofErr w:type="gramStart"/>
      <w:r w:rsidRPr="00EE2FE5">
        <w:rPr>
          <w:rFonts w:asciiTheme="minorHAnsi" w:hAnsiTheme="minorHAnsi" w:cstheme="minorHAnsi"/>
        </w:rPr>
        <w:t>capacity building</w:t>
      </w:r>
      <w:proofErr w:type="gramEnd"/>
      <w:r w:rsidRPr="00EE2FE5">
        <w:rPr>
          <w:rFonts w:asciiTheme="minorHAnsi" w:hAnsiTheme="minorHAnsi" w:cstheme="minorHAnsi"/>
        </w:rPr>
        <w:t xml:space="preserve"> programs can be co-aligned with any other ITU regional event so as to lower the cost impact.</w:t>
      </w:r>
    </w:p>
    <w:p w:rsidR="002A4458" w:rsidRPr="00EE2FE5" w:rsidRDefault="002A4458" w:rsidP="008A4506">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line="240" w:lineRule="auto"/>
        <w:ind w:left="1491" w:hanging="357"/>
        <w:contextualSpacing w:val="0"/>
        <w:jc w:val="both"/>
        <w:textAlignment w:val="baseline"/>
        <w:rPr>
          <w:rFonts w:asciiTheme="minorHAnsi" w:hAnsiTheme="minorHAnsi" w:cstheme="minorHAnsi"/>
        </w:rPr>
      </w:pPr>
      <w:r w:rsidRPr="00EE2FE5">
        <w:rPr>
          <w:rFonts w:asciiTheme="minorHAnsi" w:hAnsiTheme="minorHAnsi" w:cstheme="minorHAnsi"/>
        </w:rPr>
        <w:t>ITU Secretary</w:t>
      </w:r>
      <w:r w:rsidR="008A4506">
        <w:rPr>
          <w:rFonts w:asciiTheme="minorHAnsi" w:hAnsiTheme="minorHAnsi" w:cstheme="minorHAnsi"/>
        </w:rPr>
        <w:t>-</w:t>
      </w:r>
      <w:r w:rsidRPr="00EE2FE5">
        <w:rPr>
          <w:rFonts w:asciiTheme="minorHAnsi" w:hAnsiTheme="minorHAnsi" w:cstheme="minorHAnsi"/>
        </w:rPr>
        <w:t xml:space="preserve">General in its annual report to the Council shall identify clear milestones and key </w:t>
      </w:r>
      <w:proofErr w:type="gramStart"/>
      <w:r w:rsidRPr="00EE2FE5">
        <w:rPr>
          <w:rFonts w:asciiTheme="minorHAnsi" w:hAnsiTheme="minorHAnsi" w:cstheme="minorHAnsi"/>
        </w:rPr>
        <w:t>objectives which</w:t>
      </w:r>
      <w:proofErr w:type="gramEnd"/>
      <w:r w:rsidRPr="00EE2FE5">
        <w:rPr>
          <w:rFonts w:asciiTheme="minorHAnsi" w:hAnsiTheme="minorHAnsi" w:cstheme="minorHAnsi"/>
        </w:rPr>
        <w:t xml:space="preserve"> the ITU wishes to achieve for this subject including, but not limited to, capacity building, bringing together the stakeholders and also collaborating with the other UN and international organizations. </w:t>
      </w:r>
    </w:p>
    <w:p w:rsidR="002A4458" w:rsidRPr="00EE2FE5" w:rsidRDefault="002A4458" w:rsidP="008A4506">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line="240" w:lineRule="auto"/>
        <w:ind w:left="1491" w:hanging="357"/>
        <w:contextualSpacing w:val="0"/>
        <w:jc w:val="both"/>
        <w:textAlignment w:val="baseline"/>
        <w:rPr>
          <w:rFonts w:asciiTheme="minorHAnsi" w:hAnsiTheme="minorHAnsi" w:cstheme="minorHAnsi"/>
        </w:rPr>
      </w:pPr>
      <w:r w:rsidRPr="00EE2FE5">
        <w:rPr>
          <w:rFonts w:asciiTheme="minorHAnsi" w:hAnsiTheme="minorHAnsi" w:cstheme="minorHAnsi"/>
        </w:rPr>
        <w:t xml:space="preserve">The relevant reports in ITU-T and ITU-D on the subject of OTT services </w:t>
      </w:r>
      <w:proofErr w:type="gramStart"/>
      <w:r w:rsidRPr="00EE2FE5">
        <w:rPr>
          <w:rFonts w:asciiTheme="minorHAnsi" w:hAnsiTheme="minorHAnsi" w:cstheme="minorHAnsi"/>
        </w:rPr>
        <w:t>shall be updated</w:t>
      </w:r>
      <w:proofErr w:type="gramEnd"/>
      <w:r w:rsidRPr="00EE2FE5">
        <w:rPr>
          <w:rFonts w:asciiTheme="minorHAnsi" w:hAnsiTheme="minorHAnsi" w:cstheme="minorHAnsi"/>
        </w:rPr>
        <w:t xml:space="preserve"> on an annual/regular basis following the PP-18 discussions. </w:t>
      </w:r>
    </w:p>
    <w:p w:rsidR="002A4458" w:rsidRPr="00EE2FE5" w:rsidRDefault="002A4458" w:rsidP="008A4506">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line="240" w:lineRule="auto"/>
        <w:ind w:left="1491" w:hanging="357"/>
        <w:contextualSpacing w:val="0"/>
        <w:jc w:val="both"/>
        <w:textAlignment w:val="baseline"/>
        <w:rPr>
          <w:rFonts w:asciiTheme="minorHAnsi" w:hAnsiTheme="minorHAnsi" w:cstheme="minorHAnsi"/>
        </w:rPr>
      </w:pPr>
      <w:r w:rsidRPr="00EE2FE5">
        <w:rPr>
          <w:rFonts w:asciiTheme="minorHAnsi" w:hAnsiTheme="minorHAnsi" w:cstheme="minorHAnsi"/>
        </w:rPr>
        <w:t xml:space="preserve">ITU should play its role in closing the divergent </w:t>
      </w:r>
      <w:proofErr w:type="gramStart"/>
      <w:r w:rsidRPr="00EE2FE5">
        <w:rPr>
          <w:rFonts w:asciiTheme="minorHAnsi" w:hAnsiTheme="minorHAnsi" w:cstheme="minorHAnsi"/>
        </w:rPr>
        <w:t>stakeholders</w:t>
      </w:r>
      <w:proofErr w:type="gramEnd"/>
      <w:r w:rsidRPr="00EE2FE5">
        <w:rPr>
          <w:rFonts w:asciiTheme="minorHAnsi" w:hAnsiTheme="minorHAnsi" w:cstheme="minorHAnsi"/>
        </w:rPr>
        <w:t xml:space="preserve"> views in the current study cycle by organizing several multi-stakeholder gatherings with a clear objective of closing the divergence and increasing fostering a co-existent philosophy among the stakeholders. </w:t>
      </w:r>
    </w:p>
    <w:p w:rsidR="002A4458" w:rsidRPr="00EE2FE5" w:rsidRDefault="002A4458" w:rsidP="00EE2FE5">
      <w:pPr>
        <w:spacing w:before="0"/>
        <w:rPr>
          <w:rFonts w:asciiTheme="minorHAnsi" w:hAnsiTheme="minorHAnsi" w:cstheme="minorHAnsi"/>
        </w:rPr>
      </w:pPr>
    </w:p>
    <w:p w:rsidR="00820459" w:rsidRPr="00EE2FE5" w:rsidRDefault="00820459" w:rsidP="00EE2FE5">
      <w:pPr>
        <w:spacing w:after="120"/>
        <w:jc w:val="center"/>
        <w:rPr>
          <w:rFonts w:asciiTheme="minorHAnsi" w:hAnsiTheme="minorHAnsi" w:cstheme="minorHAnsi"/>
        </w:rPr>
      </w:pPr>
      <w:r w:rsidRPr="00EE2FE5">
        <w:rPr>
          <w:rFonts w:asciiTheme="minorHAnsi" w:hAnsiTheme="minorHAnsi" w:cstheme="minorHAnsi"/>
        </w:rPr>
        <w:t>__________________</w:t>
      </w:r>
    </w:p>
    <w:p w:rsidR="00182367" w:rsidRPr="00EE2FE5" w:rsidRDefault="00182367" w:rsidP="00EE2FE5">
      <w:pPr>
        <w:rPr>
          <w:rFonts w:asciiTheme="minorHAnsi" w:hAnsiTheme="minorHAnsi" w:cstheme="minorHAnsi"/>
        </w:rPr>
      </w:pPr>
    </w:p>
    <w:sectPr w:rsidR="00182367" w:rsidRPr="00EE2FE5"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3B" w:rsidRDefault="00F6793B">
      <w:r>
        <w:separator/>
      </w:r>
    </w:p>
  </w:endnote>
  <w:endnote w:type="continuationSeparator" w:id="0">
    <w:p w:rsidR="00F6793B" w:rsidRDefault="00F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322D0D" w:rsidP="00FA4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3B" w:rsidRDefault="00F6793B">
      <w:r>
        <w:t>____________________</w:t>
      </w:r>
    </w:p>
  </w:footnote>
  <w:footnote w:type="continuationSeparator" w:id="0">
    <w:p w:rsidR="00F6793B" w:rsidRDefault="00F6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BC7E28">
      <w:rPr>
        <w:noProof/>
      </w:rPr>
      <w:t>3</w:t>
    </w:r>
    <w:r>
      <w:rPr>
        <w:noProof/>
      </w:rPr>
      <w:fldChar w:fldCharType="end"/>
    </w:r>
  </w:p>
  <w:p w:rsidR="00322D0D" w:rsidRPr="00623AE3" w:rsidRDefault="00FA4575" w:rsidP="00DF5883">
    <w:pPr>
      <w:pStyle w:val="Header"/>
      <w:rPr>
        <w:bCs/>
      </w:rPr>
    </w:pPr>
    <w:r>
      <w:rPr>
        <w:bCs/>
      </w:rPr>
      <w:t>C19</w:t>
    </w:r>
    <w:r w:rsidR="00623AE3" w:rsidRPr="00623AE3">
      <w:rPr>
        <w:bCs/>
      </w:rPr>
      <w:t>/</w:t>
    </w:r>
    <w:r w:rsidR="008F6C81">
      <w:rPr>
        <w:bCs/>
      </w:rPr>
      <w:t>10</w:t>
    </w:r>
    <w:r w:rsidR="00EE2FE5">
      <w:rPr>
        <w:bCs/>
      </w:rPr>
      <w:t>2</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187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AE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E15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705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EC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01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62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C6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E1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924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3708"/>
    <w:multiLevelType w:val="hybridMultilevel"/>
    <w:tmpl w:val="861C3F8C"/>
    <w:numStyleLink w:val="ImportedStyle1"/>
  </w:abstractNum>
  <w:abstractNum w:abstractNumId="11" w15:restartNumberingAfterBreak="0">
    <w:nsid w:val="082B7DA1"/>
    <w:multiLevelType w:val="hybridMultilevel"/>
    <w:tmpl w:val="BAB415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741" w:hanging="360"/>
      </w:pPr>
    </w:lvl>
    <w:lvl w:ilvl="1">
      <w:start w:val="1"/>
      <w:numFmt w:val="lowerLetter"/>
      <w:lvlText w:val="%2."/>
      <w:lvlJc w:val="left"/>
      <w:pPr>
        <w:ind w:left="1461" w:hanging="360"/>
      </w:pPr>
    </w:lvl>
    <w:lvl w:ilvl="2">
      <w:start w:val="1"/>
      <w:numFmt w:val="lowerRoman"/>
      <w:lvlText w:val="%3."/>
      <w:lvlJc w:val="right"/>
      <w:pPr>
        <w:ind w:left="2181" w:hanging="180"/>
      </w:pPr>
    </w:lvl>
    <w:lvl w:ilvl="3">
      <w:start w:val="1"/>
      <w:numFmt w:val="decimal"/>
      <w:lvlText w:val="%4."/>
      <w:lvlJc w:val="left"/>
      <w:pPr>
        <w:ind w:left="2901" w:hanging="360"/>
      </w:pPr>
    </w:lvl>
    <w:lvl w:ilvl="4">
      <w:start w:val="1"/>
      <w:numFmt w:val="lowerLetter"/>
      <w:lvlText w:val="%5."/>
      <w:lvlJc w:val="left"/>
      <w:pPr>
        <w:ind w:left="3621" w:hanging="360"/>
      </w:pPr>
    </w:lvl>
    <w:lvl w:ilvl="5">
      <w:start w:val="1"/>
      <w:numFmt w:val="lowerRoman"/>
      <w:lvlText w:val="%6."/>
      <w:lvlJc w:val="right"/>
      <w:pPr>
        <w:ind w:left="4341" w:hanging="180"/>
      </w:pPr>
    </w:lvl>
    <w:lvl w:ilvl="6">
      <w:start w:val="1"/>
      <w:numFmt w:val="decimal"/>
      <w:lvlText w:val="%7."/>
      <w:lvlJc w:val="left"/>
      <w:pPr>
        <w:ind w:left="5061" w:hanging="360"/>
      </w:pPr>
    </w:lvl>
    <w:lvl w:ilvl="7">
      <w:start w:val="1"/>
      <w:numFmt w:val="lowerLetter"/>
      <w:lvlText w:val="%8."/>
      <w:lvlJc w:val="left"/>
      <w:pPr>
        <w:ind w:left="5781" w:hanging="360"/>
      </w:pPr>
    </w:lvl>
    <w:lvl w:ilvl="8">
      <w:start w:val="1"/>
      <w:numFmt w:val="lowerRoman"/>
      <w:lvlText w:val="%9."/>
      <w:lvlJc w:val="right"/>
      <w:pPr>
        <w:ind w:left="6501" w:hanging="180"/>
      </w:pPr>
    </w:lvl>
  </w:abstractNum>
  <w:abstractNum w:abstractNumId="14" w15:restartNumberingAfterBreak="0">
    <w:nsid w:val="22265227"/>
    <w:multiLevelType w:val="hybridMultilevel"/>
    <w:tmpl w:val="0DF6ED50"/>
    <w:numStyleLink w:val="ImportedStyle2"/>
  </w:abstractNum>
  <w:abstractNum w:abstractNumId="15" w15:restartNumberingAfterBreak="0">
    <w:nsid w:val="24593587"/>
    <w:multiLevelType w:val="hybridMultilevel"/>
    <w:tmpl w:val="81E25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A540FEC"/>
    <w:multiLevelType w:val="hybridMultilevel"/>
    <w:tmpl w:val="F38E4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BA818AE"/>
    <w:multiLevelType w:val="hybridMultilevel"/>
    <w:tmpl w:val="0DF6ED50"/>
    <w:styleLink w:val="ImportedStyle2"/>
    <w:lvl w:ilvl="0" w:tplc="D72EA14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8EF84">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81D8E">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74327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C82C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D6C546">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E87C9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4D48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6C7E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AF701C"/>
    <w:multiLevelType w:val="hybridMultilevel"/>
    <w:tmpl w:val="402078AC"/>
    <w:styleLink w:val="ImportedStyle4"/>
    <w:lvl w:ilvl="0" w:tplc="FC2828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A4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682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65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A7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06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6E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CBB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80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F9A0326"/>
    <w:multiLevelType w:val="hybridMultilevel"/>
    <w:tmpl w:val="402078AC"/>
    <w:numStyleLink w:val="ImportedStyle4"/>
  </w:abstractNum>
  <w:abstractNum w:abstractNumId="20" w15:restartNumberingAfterBreak="0">
    <w:nsid w:val="54807DAA"/>
    <w:multiLevelType w:val="hybridMultilevel"/>
    <w:tmpl w:val="861C3F8C"/>
    <w:styleLink w:val="ImportedStyle1"/>
    <w:lvl w:ilvl="0" w:tplc="7138E73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C4270">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0BFCC">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A4945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DEFE54">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09DF2">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A2AC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5E2A">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4176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EA73B6"/>
    <w:multiLevelType w:val="hybridMultilevel"/>
    <w:tmpl w:val="D5E6955A"/>
    <w:lvl w:ilvl="0" w:tplc="F6F6E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642C2EE5"/>
    <w:multiLevelType w:val="hybridMultilevel"/>
    <w:tmpl w:val="100867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E1D51"/>
    <w:multiLevelType w:val="hybridMultilevel"/>
    <w:tmpl w:val="C9F45286"/>
    <w:lvl w:ilvl="0" w:tplc="997CA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2"/>
  </w:num>
  <w:num w:numId="3">
    <w:abstractNumId w:val="23"/>
  </w:num>
  <w:num w:numId="4">
    <w:abstractNumId w:val="15"/>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17"/>
  </w:num>
  <w:num w:numId="18">
    <w:abstractNumId w:val="14"/>
  </w:num>
  <w:num w:numId="19">
    <w:abstractNumId w:val="18"/>
  </w:num>
  <w:num w:numId="20">
    <w:abstractNumId w:val="19"/>
  </w:num>
  <w:num w:numId="21">
    <w:abstractNumId w:val="21"/>
  </w:num>
  <w:num w:numId="22">
    <w:abstractNumId w:val="12"/>
  </w:num>
  <w:num w:numId="23">
    <w:abstractNumId w:val="13"/>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350C2"/>
    <w:rsid w:val="00063016"/>
    <w:rsid w:val="00066795"/>
    <w:rsid w:val="00076AF6"/>
    <w:rsid w:val="00085CF2"/>
    <w:rsid w:val="000B1705"/>
    <w:rsid w:val="000D75B2"/>
    <w:rsid w:val="00107CF3"/>
    <w:rsid w:val="001121F5"/>
    <w:rsid w:val="0012602E"/>
    <w:rsid w:val="001400DC"/>
    <w:rsid w:val="00140CE1"/>
    <w:rsid w:val="0017539C"/>
    <w:rsid w:val="00175AC2"/>
    <w:rsid w:val="0017609F"/>
    <w:rsid w:val="00182367"/>
    <w:rsid w:val="001859E0"/>
    <w:rsid w:val="001C628E"/>
    <w:rsid w:val="001E0F7B"/>
    <w:rsid w:val="002119FD"/>
    <w:rsid w:val="002130E0"/>
    <w:rsid w:val="002270F5"/>
    <w:rsid w:val="00264425"/>
    <w:rsid w:val="00265875"/>
    <w:rsid w:val="0027303B"/>
    <w:rsid w:val="0028109B"/>
    <w:rsid w:val="002A2188"/>
    <w:rsid w:val="002A4458"/>
    <w:rsid w:val="002B1F58"/>
    <w:rsid w:val="002C1C7A"/>
    <w:rsid w:val="0030160F"/>
    <w:rsid w:val="00322D0D"/>
    <w:rsid w:val="00356C95"/>
    <w:rsid w:val="003942D4"/>
    <w:rsid w:val="003958A8"/>
    <w:rsid w:val="003C2533"/>
    <w:rsid w:val="0040435A"/>
    <w:rsid w:val="00416A24"/>
    <w:rsid w:val="00431D9E"/>
    <w:rsid w:val="00433CE8"/>
    <w:rsid w:val="00434A5C"/>
    <w:rsid w:val="004544D9"/>
    <w:rsid w:val="00490E72"/>
    <w:rsid w:val="00491157"/>
    <w:rsid w:val="004921C8"/>
    <w:rsid w:val="004C5CCC"/>
    <w:rsid w:val="004D1851"/>
    <w:rsid w:val="004D599D"/>
    <w:rsid w:val="004E2EA5"/>
    <w:rsid w:val="004E3AEB"/>
    <w:rsid w:val="0050223C"/>
    <w:rsid w:val="00517BEC"/>
    <w:rsid w:val="005243FF"/>
    <w:rsid w:val="00564FBC"/>
    <w:rsid w:val="00582442"/>
    <w:rsid w:val="005A1BF1"/>
    <w:rsid w:val="005F3269"/>
    <w:rsid w:val="00623AE3"/>
    <w:rsid w:val="0064737F"/>
    <w:rsid w:val="006535F1"/>
    <w:rsid w:val="0065557D"/>
    <w:rsid w:val="00662984"/>
    <w:rsid w:val="006716BB"/>
    <w:rsid w:val="006B6680"/>
    <w:rsid w:val="006B6DCC"/>
    <w:rsid w:val="006C3442"/>
    <w:rsid w:val="00702DEF"/>
    <w:rsid w:val="00706861"/>
    <w:rsid w:val="0075051B"/>
    <w:rsid w:val="007772B8"/>
    <w:rsid w:val="00782891"/>
    <w:rsid w:val="00793188"/>
    <w:rsid w:val="00794D34"/>
    <w:rsid w:val="007F3414"/>
    <w:rsid w:val="00813E5E"/>
    <w:rsid w:val="00820459"/>
    <w:rsid w:val="0083581B"/>
    <w:rsid w:val="00864AFF"/>
    <w:rsid w:val="00876949"/>
    <w:rsid w:val="008A4506"/>
    <w:rsid w:val="008B4A6A"/>
    <w:rsid w:val="008C7E27"/>
    <w:rsid w:val="008F6C81"/>
    <w:rsid w:val="009173EF"/>
    <w:rsid w:val="00932906"/>
    <w:rsid w:val="00946ED3"/>
    <w:rsid w:val="00961B0B"/>
    <w:rsid w:val="009B38C3"/>
    <w:rsid w:val="009C2E4E"/>
    <w:rsid w:val="009E17BD"/>
    <w:rsid w:val="009E485A"/>
    <w:rsid w:val="00A04CEC"/>
    <w:rsid w:val="00A27F92"/>
    <w:rsid w:val="00A32257"/>
    <w:rsid w:val="00A34A18"/>
    <w:rsid w:val="00A36D20"/>
    <w:rsid w:val="00A55622"/>
    <w:rsid w:val="00A814BE"/>
    <w:rsid w:val="00A83502"/>
    <w:rsid w:val="00AD15B3"/>
    <w:rsid w:val="00AF6E49"/>
    <w:rsid w:val="00B04A67"/>
    <w:rsid w:val="00B0583C"/>
    <w:rsid w:val="00B40A81"/>
    <w:rsid w:val="00B44910"/>
    <w:rsid w:val="00B72267"/>
    <w:rsid w:val="00B76EB6"/>
    <w:rsid w:val="00B7737B"/>
    <w:rsid w:val="00B824C8"/>
    <w:rsid w:val="00BC251A"/>
    <w:rsid w:val="00BC7E28"/>
    <w:rsid w:val="00BD032B"/>
    <w:rsid w:val="00BE2640"/>
    <w:rsid w:val="00C01189"/>
    <w:rsid w:val="00C34BD2"/>
    <w:rsid w:val="00C374DE"/>
    <w:rsid w:val="00C47AD4"/>
    <w:rsid w:val="00C52D81"/>
    <w:rsid w:val="00C55198"/>
    <w:rsid w:val="00CA6393"/>
    <w:rsid w:val="00CB18FF"/>
    <w:rsid w:val="00CD0C08"/>
    <w:rsid w:val="00CE03FB"/>
    <w:rsid w:val="00CE433C"/>
    <w:rsid w:val="00CF33F3"/>
    <w:rsid w:val="00D04E39"/>
    <w:rsid w:val="00D06183"/>
    <w:rsid w:val="00D22C42"/>
    <w:rsid w:val="00D308FD"/>
    <w:rsid w:val="00D65041"/>
    <w:rsid w:val="00DB384B"/>
    <w:rsid w:val="00DF5883"/>
    <w:rsid w:val="00E10E80"/>
    <w:rsid w:val="00E124F0"/>
    <w:rsid w:val="00E33003"/>
    <w:rsid w:val="00E60F04"/>
    <w:rsid w:val="00E854E4"/>
    <w:rsid w:val="00EB0D6F"/>
    <w:rsid w:val="00EB2232"/>
    <w:rsid w:val="00EC5337"/>
    <w:rsid w:val="00EE2FE5"/>
    <w:rsid w:val="00F2150A"/>
    <w:rsid w:val="00F231D8"/>
    <w:rsid w:val="00F46C5F"/>
    <w:rsid w:val="00F6793B"/>
    <w:rsid w:val="00F76111"/>
    <w:rsid w:val="00F82D0F"/>
    <w:rsid w:val="00F94A63"/>
    <w:rsid w:val="00FA1C28"/>
    <w:rsid w:val="00FA4575"/>
    <w:rsid w:val="00FB7596"/>
    <w:rsid w:val="00FD719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ne">
    <w:name w:val="None"/>
    <w:rsid w:val="00A34A18"/>
  </w:style>
  <w:style w:type="paragraph" w:customStyle="1" w:styleId="BodyA">
    <w:name w:val="Body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styleId="ListParagraph">
    <w:name w:val="List Paragraph"/>
    <w:basedOn w:val="Normal"/>
    <w:link w:val="ListParagraphChar"/>
    <w:uiPriority w:val="34"/>
    <w:qFormat/>
    <w:rsid w:val="00A34A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imes New Roman" w:eastAsiaTheme="minorHAnsi" w:hAnsi="Times New Roman"/>
      <w:szCs w:val="24"/>
      <w:lang w:val="en-US"/>
    </w:rPr>
  </w:style>
  <w:style w:type="paragraph" w:customStyle="1" w:styleId="Normal1">
    <w:name w:val="Normal1"/>
    <w:rsid w:val="00F7611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numbering" w:customStyle="1" w:styleId="ImportedStyle1">
    <w:name w:val="Imported Style 1"/>
    <w:rsid w:val="00F76111"/>
    <w:pPr>
      <w:numPr>
        <w:numId w:val="15"/>
      </w:numPr>
    </w:pPr>
  </w:style>
  <w:style w:type="numbering" w:customStyle="1" w:styleId="ImportedStyle2">
    <w:name w:val="Imported Style 2"/>
    <w:rsid w:val="00F76111"/>
    <w:pPr>
      <w:numPr>
        <w:numId w:val="17"/>
      </w:numPr>
    </w:pPr>
  </w:style>
  <w:style w:type="numbering" w:customStyle="1" w:styleId="ImportedStyle4">
    <w:name w:val="Imported Style 4"/>
    <w:rsid w:val="00F76111"/>
    <w:pPr>
      <w:numPr>
        <w:numId w:val="19"/>
      </w:numPr>
    </w:pPr>
  </w:style>
  <w:style w:type="character" w:customStyle="1" w:styleId="CallChar">
    <w:name w:val="Call Char"/>
    <w:basedOn w:val="DefaultParagraphFont"/>
    <w:link w:val="Call"/>
    <w:rsid w:val="00DF5883"/>
    <w:rPr>
      <w:rFonts w:ascii="Calibri" w:hAnsi="Calibri"/>
      <w:i/>
      <w:sz w:val="24"/>
      <w:lang w:val="en-GB" w:eastAsia="en-US"/>
    </w:rPr>
  </w:style>
  <w:style w:type="character" w:customStyle="1" w:styleId="NormalaftertitleChar">
    <w:name w:val="Normal after title Char"/>
    <w:basedOn w:val="DefaultParagraphFont"/>
    <w:link w:val="Normalaftertitle"/>
    <w:rsid w:val="00A814BE"/>
    <w:rPr>
      <w:rFonts w:ascii="Calibri" w:hAnsi="Calibri"/>
      <w:sz w:val="24"/>
      <w:lang w:val="en-GB" w:eastAsia="en-US"/>
    </w:rPr>
  </w:style>
  <w:style w:type="character" w:customStyle="1" w:styleId="ListParagraphChar">
    <w:name w:val="List Paragraph Char"/>
    <w:link w:val="ListParagraph"/>
    <w:uiPriority w:val="34"/>
    <w:rsid w:val="00A814BE"/>
    <w:rPr>
      <w:rFonts w:ascii="Times New Roman" w:eastAsiaTheme="minorHAnsi" w:hAnsi="Times New Roman"/>
      <w:sz w:val="24"/>
      <w:szCs w:val="24"/>
      <w:lang w:eastAsia="en-US"/>
    </w:rPr>
  </w:style>
  <w:style w:type="table" w:styleId="TableGrid">
    <w:name w:val="Table Grid"/>
    <w:basedOn w:val="TableNormal"/>
    <w:rsid w:val="00A8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206-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3869-8225-4C40-B6D7-A55B4C1627C4}">
  <ds:schemaRefs>
    <ds:schemaRef ds:uri="http://schemas.microsoft.com/sharepoint/v3/contenttype/forms"/>
  </ds:schemaRefs>
</ds:datastoreItem>
</file>

<file path=customXml/itemProps2.xml><?xml version="1.0" encoding="utf-8"?>
<ds:datastoreItem xmlns:ds="http://schemas.openxmlformats.org/officeDocument/2006/customXml" ds:itemID="{B0FCEE44-D1BF-4F16-9AB3-878D2B93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A6251-995D-4B29-85F0-F2685E0E47D2}">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aaea1ea-72e4-4374-b05e-72e2f16fb7ae"/>
    <ds:schemaRef ds:uri="http://www.w3.org/XML/1998/namespace"/>
    <ds:schemaRef ds:uri="http://purl.org/dc/dcmitype/"/>
  </ds:schemaRefs>
</ds:datastoreItem>
</file>

<file path=customXml/itemProps4.xml><?xml version="1.0" encoding="utf-8"?>
<ds:datastoreItem xmlns:ds="http://schemas.openxmlformats.org/officeDocument/2006/customXml" ds:itemID="{1584962A-92A8-455A-B40C-D3D1944F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Contribution from the USA - Topics CWG-Internet</vt:lpstr>
    </vt:vector>
  </TitlesOfParts>
  <Manager>General Secretariat - Pool</Manager>
  <Company>International Telecommunication Union (ITU)</Company>
  <LinksUpToDate>false</LinksUpToDate>
  <CharactersWithSpaces>4843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 - Topics CWG-Internet</dc:title>
  <dc:subject>Council 2019</dc:subject>
  <dc:creator>Brouard, Ricarda</dc:creator>
  <cp:keywords>C2019, C19</cp:keywords>
  <dc:description/>
  <cp:lastModifiedBy>Janin, Patricia</cp:lastModifiedBy>
  <cp:revision>4</cp:revision>
  <cp:lastPrinted>2000-07-18T13:30:00Z</cp:lastPrinted>
  <dcterms:created xsi:type="dcterms:W3CDTF">2019-05-28T14:27:00Z</dcterms:created>
  <dcterms:modified xsi:type="dcterms:W3CDTF">2019-05-28T14:52:00Z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