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290728" w:rsidTr="006C7CC0">
        <w:trPr>
          <w:cantSplit/>
          <w:trHeight w:val="20"/>
        </w:trPr>
        <w:tc>
          <w:tcPr>
            <w:tcW w:w="6620" w:type="dxa"/>
          </w:tcPr>
          <w:p w:rsidR="00290728" w:rsidRPr="00290728" w:rsidRDefault="00290728" w:rsidP="0082358A">
            <w:pPr>
              <w:spacing w:before="160"/>
              <w:jc w:val="left"/>
              <w:rPr>
                <w:b/>
                <w:bCs/>
                <w:rtl/>
                <w:lang w:bidi="ar-EG"/>
              </w:rPr>
            </w:pPr>
            <w:bookmarkStart w:id="0" w:name="_GoBack"/>
            <w:bookmarkEnd w:id="0"/>
            <w:proofErr w:type="spellStart"/>
            <w:r w:rsidRPr="00290728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>ال‍مجلس</w:t>
            </w:r>
            <w:proofErr w:type="spellEnd"/>
            <w:r w:rsidRPr="00290728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w w:val="110"/>
                <w:sz w:val="32"/>
                <w:szCs w:val="44"/>
                <w:lang w:bidi="ar-SY"/>
              </w:rPr>
              <w:t>201</w:t>
            </w:r>
            <w:r w:rsidR="00D10CCF">
              <w:rPr>
                <w:b/>
                <w:bCs/>
                <w:w w:val="110"/>
                <w:sz w:val="32"/>
                <w:szCs w:val="44"/>
                <w:lang w:bidi="ar-SY"/>
              </w:rPr>
              <w:t>9</w:t>
            </w:r>
            <w:r w:rsidR="00C002DE">
              <w:rPr>
                <w:b/>
                <w:bCs/>
                <w:w w:val="110"/>
                <w:sz w:val="32"/>
                <w:szCs w:val="44"/>
                <w:rtl/>
                <w:lang w:bidi="ar-SY"/>
              </w:rPr>
              <w:br/>
            </w:r>
            <w:r w:rsidRPr="0029072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جنيف، </w:t>
            </w:r>
            <w:r w:rsidR="0082358A">
              <w:rPr>
                <w:b/>
                <w:bCs/>
                <w:sz w:val="24"/>
                <w:szCs w:val="32"/>
                <w:lang w:bidi="ar-SY"/>
              </w:rPr>
              <w:t>20</w:t>
            </w:r>
            <w:r w:rsidR="00FE7FCA">
              <w:rPr>
                <w:b/>
                <w:bCs/>
                <w:sz w:val="24"/>
                <w:szCs w:val="32"/>
                <w:lang w:bidi="ar-SY"/>
              </w:rPr>
              <w:t>-</w:t>
            </w:r>
            <w:r w:rsidR="0082358A">
              <w:rPr>
                <w:b/>
                <w:bCs/>
                <w:sz w:val="24"/>
                <w:szCs w:val="32"/>
                <w:lang w:bidi="ar-SY"/>
              </w:rPr>
              <w:t>10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82358A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>يونيو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sz w:val="24"/>
                <w:szCs w:val="32"/>
                <w:lang w:bidi="ar-EG"/>
              </w:rPr>
              <w:t>201</w:t>
            </w:r>
            <w:r w:rsidR="00D10CCF">
              <w:rPr>
                <w:b/>
                <w:bCs/>
                <w:sz w:val="24"/>
                <w:szCs w:val="32"/>
                <w:lang w:bidi="ar-EG"/>
              </w:rPr>
              <w:t>9</w:t>
            </w:r>
          </w:p>
        </w:tc>
        <w:tc>
          <w:tcPr>
            <w:tcW w:w="3052" w:type="dxa"/>
          </w:tcPr>
          <w:p w:rsidR="00290728" w:rsidRPr="00290728" w:rsidRDefault="00923B0C" w:rsidP="00290728">
            <w:pPr>
              <w:spacing w:before="0" w:line="240" w:lineRule="auto"/>
              <w:jc w:val="right"/>
              <w:rPr>
                <w:rtl/>
                <w:lang w:bidi="ar-EG"/>
              </w:rPr>
            </w:pPr>
            <w:bookmarkStart w:id="1" w:name="ditulogo"/>
            <w:bookmarkEnd w:id="1"/>
            <w:r w:rsidRPr="00A71FE1">
              <w:rPr>
                <w:noProof/>
                <w:rtl/>
                <w:lang w:val="en-GB"/>
              </w:rPr>
              <w:drawing>
                <wp:inline distT="0" distB="0" distL="0" distR="0" wp14:anchorId="5A864AEC" wp14:editId="6CF5264F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290728" w:rsidTr="009F66A8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:rsidR="00290728" w:rsidRPr="00290728" w:rsidRDefault="00290728" w:rsidP="00DC1E02">
            <w:pPr>
              <w:spacing w:before="0" w:line="400" w:lineRule="exact"/>
              <w:rPr>
                <w:sz w:val="24"/>
                <w:szCs w:val="32"/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290728" w:rsidRPr="00290728" w:rsidRDefault="00290728" w:rsidP="00DC1E02">
            <w:pPr>
              <w:spacing w:before="0" w:line="340" w:lineRule="exact"/>
              <w:rPr>
                <w:lang w:val="en-GB" w:bidi="ar-SY"/>
              </w:rPr>
            </w:pPr>
          </w:p>
        </w:tc>
      </w:tr>
      <w:tr w:rsidR="00290728" w:rsidRPr="00290728" w:rsidTr="009F66A8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5A3170" w:rsidRDefault="00C002DE" w:rsidP="00654A96">
            <w:pPr>
              <w:spacing w:before="20" w:after="20" w:line="340" w:lineRule="exact"/>
              <w:rPr>
                <w:b/>
                <w:bCs/>
                <w:highlight w:val="yellow"/>
                <w:rtl/>
                <w:lang w:bidi="ar-EG"/>
              </w:rPr>
            </w:pPr>
            <w:r w:rsidRPr="00334924">
              <w:rPr>
                <w:rFonts w:hint="cs"/>
                <w:b/>
                <w:bCs/>
                <w:rtl/>
                <w:lang w:bidi="ar-EG"/>
              </w:rPr>
              <w:t>بند جدول الأعمال</w:t>
            </w:r>
            <w:r w:rsidR="00810B7B" w:rsidRPr="00334924">
              <w:rPr>
                <w:rFonts w:hint="cs"/>
                <w:b/>
                <w:bCs/>
                <w:rtl/>
                <w:lang w:bidi="ar-EG"/>
              </w:rPr>
              <w:t xml:space="preserve">: </w:t>
            </w:r>
            <w:r w:rsidR="00371148" w:rsidRPr="00371148">
              <w:rPr>
                <w:b/>
                <w:bCs/>
                <w:lang w:bidi="ar-EG"/>
              </w:rPr>
              <w:t>PL</w:t>
            </w:r>
            <w:r w:rsidR="00654A96">
              <w:rPr>
                <w:b/>
                <w:bCs/>
                <w:lang w:bidi="ar-EG"/>
              </w:rPr>
              <w:t> </w:t>
            </w:r>
            <w:r w:rsidR="00371148" w:rsidRPr="00371148">
              <w:rPr>
                <w:b/>
                <w:bCs/>
                <w:lang w:bidi="ar-EG"/>
              </w:rPr>
              <w:t>1.4</w:t>
            </w:r>
          </w:p>
        </w:tc>
        <w:tc>
          <w:tcPr>
            <w:tcW w:w="3052" w:type="dxa"/>
            <w:vAlign w:val="center"/>
          </w:tcPr>
          <w:p w:rsidR="00290728" w:rsidRPr="00290728" w:rsidRDefault="00290728" w:rsidP="00371148">
            <w:pPr>
              <w:spacing w:before="20" w:after="20" w:line="340" w:lineRule="exact"/>
              <w:rPr>
                <w:b/>
                <w:bCs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290728">
              <w:rPr>
                <w:b/>
                <w:bCs/>
                <w:lang w:bidi="ar-SY"/>
              </w:rPr>
              <w:t>C1</w:t>
            </w:r>
            <w:r w:rsidR="00D10CCF">
              <w:rPr>
                <w:b/>
                <w:bCs/>
                <w:lang w:bidi="ar-SY"/>
              </w:rPr>
              <w:t>9</w:t>
            </w:r>
            <w:r w:rsidRPr="00290728">
              <w:rPr>
                <w:b/>
                <w:bCs/>
                <w:lang w:bidi="ar-SY"/>
              </w:rPr>
              <w:t>/</w:t>
            </w:r>
            <w:r w:rsidR="00371148">
              <w:rPr>
                <w:b/>
                <w:bCs/>
                <w:lang w:bidi="ar-SY"/>
              </w:rPr>
              <w:t>102</w:t>
            </w:r>
            <w:r w:rsidRPr="00290728">
              <w:rPr>
                <w:b/>
                <w:bCs/>
                <w:lang w:bidi="ar-SY"/>
              </w:rPr>
              <w:t>-A</w:t>
            </w: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290728" w:rsidRDefault="00290728" w:rsidP="00592EA5">
            <w:pPr>
              <w:spacing w:before="20" w:after="20" w:line="34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371148" w:rsidP="00371148">
            <w:pPr>
              <w:spacing w:before="20" w:after="20" w:line="340" w:lineRule="exact"/>
              <w:rPr>
                <w:b/>
                <w:bCs/>
                <w:rtl/>
                <w:lang w:bidi="ar-EG"/>
              </w:rPr>
            </w:pPr>
            <w:r w:rsidRPr="00371148">
              <w:rPr>
                <w:b/>
                <w:bCs/>
                <w:lang w:bidi="ar-SY"/>
              </w:rPr>
              <w:t>27</w:t>
            </w:r>
            <w:r w:rsidR="00290728" w:rsidRPr="0037114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مايو</w:t>
            </w:r>
            <w:r w:rsidR="00290728" w:rsidRPr="0029072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lang w:bidi="ar-SY"/>
              </w:rPr>
              <w:t>201</w:t>
            </w:r>
            <w:r w:rsidR="00D10CCF">
              <w:rPr>
                <w:b/>
                <w:bCs/>
                <w:lang w:bidi="ar-SY"/>
              </w:rPr>
              <w:t>9</w:t>
            </w: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69200F" w:rsidRDefault="00290728" w:rsidP="00592EA5">
            <w:pPr>
              <w:spacing w:before="20" w:after="20" w:line="34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290728" w:rsidP="00371148">
            <w:pPr>
              <w:spacing w:before="20" w:after="20" w:line="340" w:lineRule="exact"/>
              <w:rPr>
                <w:b/>
                <w:bCs/>
                <w:lang w:bidi="ar-SY"/>
              </w:rPr>
            </w:pPr>
            <w:r w:rsidRPr="00290728">
              <w:rPr>
                <w:b/>
                <w:bCs/>
                <w:rtl/>
                <w:lang w:bidi="ar-EG"/>
              </w:rPr>
              <w:t xml:space="preserve">الأصل: </w:t>
            </w:r>
            <w:r w:rsidR="00371148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290728" w:rsidRPr="00290728" w:rsidTr="009F66A8">
        <w:trPr>
          <w:cantSplit/>
        </w:trPr>
        <w:tc>
          <w:tcPr>
            <w:tcW w:w="9672" w:type="dxa"/>
            <w:gridSpan w:val="2"/>
          </w:tcPr>
          <w:p w:rsidR="00290728" w:rsidRPr="00290728" w:rsidRDefault="00371148" w:rsidP="00290728">
            <w:pPr>
              <w:pStyle w:val="Source"/>
              <w:rPr>
                <w:rtl/>
                <w:lang w:bidi="ar-SY"/>
              </w:rPr>
            </w:pPr>
            <w:r w:rsidRPr="001D4111">
              <w:rPr>
                <w:rtl/>
                <w:lang w:bidi="ar-SY"/>
              </w:rPr>
              <w:t>مذكرة من الأمين العام</w:t>
            </w:r>
          </w:p>
        </w:tc>
      </w:tr>
      <w:tr w:rsidR="00290728" w:rsidRPr="00290728" w:rsidTr="009F66A8">
        <w:trPr>
          <w:cantSplit/>
        </w:trPr>
        <w:tc>
          <w:tcPr>
            <w:tcW w:w="9672" w:type="dxa"/>
            <w:gridSpan w:val="2"/>
          </w:tcPr>
          <w:p w:rsidR="00290728" w:rsidRPr="00371148" w:rsidRDefault="00371148" w:rsidP="00383829">
            <w:pPr>
              <w:pStyle w:val="Title1"/>
              <w:rPr>
                <w:highlight w:val="cyan"/>
                <w:rtl/>
              </w:rPr>
            </w:pPr>
            <w:r w:rsidRPr="001C1A22">
              <w:rPr>
                <w:rFonts w:hint="cs"/>
                <w:rtl/>
              </w:rPr>
              <w:t xml:space="preserve">مساهمة </w:t>
            </w:r>
            <w:r w:rsidR="001C1A22">
              <w:rPr>
                <w:rFonts w:hint="cs"/>
                <w:rtl/>
                <w:lang w:bidi="ar-EG"/>
              </w:rPr>
              <w:t xml:space="preserve">مقدمة </w:t>
            </w:r>
            <w:r w:rsidRPr="001C1A22">
              <w:rPr>
                <w:rFonts w:hint="cs"/>
                <w:rtl/>
              </w:rPr>
              <w:t>من الإمارات العربية المتحدة والمملكة العربية السعودية</w:t>
            </w:r>
          </w:p>
        </w:tc>
      </w:tr>
      <w:tr w:rsidR="00A6683B" w:rsidRPr="00290728" w:rsidTr="009F66A8">
        <w:trPr>
          <w:cantSplit/>
        </w:trPr>
        <w:tc>
          <w:tcPr>
            <w:tcW w:w="9672" w:type="dxa"/>
            <w:gridSpan w:val="2"/>
          </w:tcPr>
          <w:p w:rsidR="00A6683B" w:rsidRPr="00383829" w:rsidRDefault="001C1A22" w:rsidP="00DF32F6">
            <w:pPr>
              <w:pStyle w:val="Title2"/>
              <w:rPr>
                <w:lang w:bidi="ar-EG"/>
              </w:rPr>
            </w:pPr>
            <w:r>
              <w:rPr>
                <w:rFonts w:hint="cs"/>
                <w:rtl/>
              </w:rPr>
              <w:t>مقترح بشأن العمل المتعلق بأنشطة الخدمات المتاحة بحرية على الإنترنت</w:t>
            </w:r>
            <w:r w:rsidR="00DF32F6">
              <w:rPr>
                <w:rFonts w:hint="eastAsia"/>
                <w:rtl/>
                <w:lang w:bidi="ar-EG"/>
              </w:rPr>
              <w:t> </w:t>
            </w:r>
            <w:r w:rsidR="00623015">
              <w:rPr>
                <w:lang w:bidi="ar-EG"/>
              </w:rPr>
              <w:t>(OTT)</w:t>
            </w:r>
          </w:p>
        </w:tc>
      </w:tr>
    </w:tbl>
    <w:p w:rsidR="00371148" w:rsidRPr="00654A96" w:rsidRDefault="00371148" w:rsidP="00654A96">
      <w:pPr>
        <w:pStyle w:val="Normalaftertitle"/>
        <w:spacing w:before="840"/>
      </w:pPr>
      <w:r w:rsidRPr="00654A96">
        <w:rPr>
          <w:rtl/>
        </w:rPr>
        <w:t>ي</w:t>
      </w:r>
      <w:r w:rsidR="00DF32F6" w:rsidRPr="00654A96">
        <w:rPr>
          <w:rFonts w:hint="cs"/>
          <w:rtl/>
        </w:rPr>
        <w:t>ُ</w:t>
      </w:r>
      <w:r w:rsidRPr="00654A96">
        <w:rPr>
          <w:rtl/>
        </w:rPr>
        <w:t>شرفني أن أ</w:t>
      </w:r>
      <w:r w:rsidR="00DF32F6" w:rsidRPr="00654A96">
        <w:rPr>
          <w:rFonts w:hint="cs"/>
          <w:rtl/>
        </w:rPr>
        <w:t>ُ</w:t>
      </w:r>
      <w:r w:rsidRPr="00654A96">
        <w:rPr>
          <w:rtl/>
        </w:rPr>
        <w:t xml:space="preserve">حيل إلى الدول الأعضاء في المجلس مساهمة مقدمة من </w:t>
      </w:r>
      <w:r w:rsidRPr="00654A96">
        <w:rPr>
          <w:rFonts w:hint="cs"/>
          <w:rtl/>
        </w:rPr>
        <w:t>الإمارات العربية المتحدة والمملكة العربية السعودية</w:t>
      </w:r>
      <w:r w:rsidRPr="00654A96">
        <w:rPr>
          <w:rtl/>
        </w:rPr>
        <w:t>.</w:t>
      </w:r>
    </w:p>
    <w:p w:rsidR="00371148" w:rsidRDefault="00371148" w:rsidP="00371148">
      <w:pPr>
        <w:spacing w:before="1440"/>
        <w:ind w:left="5103"/>
        <w:jc w:val="center"/>
        <w:rPr>
          <w:rtl/>
          <w:lang w:bidi="ar-SY"/>
        </w:rPr>
      </w:pPr>
      <w:r w:rsidRPr="00D14EF1">
        <w:rPr>
          <w:rtl/>
          <w:lang w:bidi="ar-SY"/>
        </w:rPr>
        <w:t>هولين جاو</w:t>
      </w:r>
      <w:r>
        <w:rPr>
          <w:lang w:bidi="ar-SY"/>
        </w:rPr>
        <w:br/>
      </w:r>
      <w:r w:rsidRPr="00D14EF1">
        <w:rPr>
          <w:rtl/>
          <w:lang w:bidi="ar-SY"/>
        </w:rPr>
        <w:t>الأمين العام</w:t>
      </w:r>
    </w:p>
    <w:p w:rsidR="00371148" w:rsidRDefault="00371148" w:rsidP="002154EE">
      <w:pPr>
        <w:rPr>
          <w:rtl/>
        </w:rPr>
      </w:pPr>
      <w:r>
        <w:rPr>
          <w:rtl/>
        </w:rPr>
        <w:br w:type="page"/>
      </w:r>
    </w:p>
    <w:p w:rsidR="00371148" w:rsidRPr="00B556BA" w:rsidRDefault="00371148" w:rsidP="00371148">
      <w:pPr>
        <w:pStyle w:val="Source"/>
        <w:rPr>
          <w:highlight w:val="lightGray"/>
        </w:rPr>
      </w:pPr>
      <w:r w:rsidRPr="00A47592">
        <w:rPr>
          <w:rFonts w:hint="cs"/>
          <w:rtl/>
        </w:rPr>
        <w:lastRenderedPageBreak/>
        <w:t xml:space="preserve">مساهمة </w:t>
      </w:r>
      <w:r w:rsidR="00A47592" w:rsidRPr="00A47592">
        <w:rPr>
          <w:rFonts w:hint="cs"/>
          <w:rtl/>
          <w:lang w:bidi="ar-EG"/>
        </w:rPr>
        <w:t xml:space="preserve">مقدمة </w:t>
      </w:r>
      <w:r w:rsidRPr="00A47592">
        <w:rPr>
          <w:rFonts w:hint="cs"/>
          <w:rtl/>
        </w:rPr>
        <w:t>من الإمارات العربية المتحدة والمملكة العربية السعودية</w:t>
      </w:r>
    </w:p>
    <w:p w:rsidR="00371148" w:rsidRDefault="00A47592" w:rsidP="00DF32F6">
      <w:pPr>
        <w:pStyle w:val="Title2"/>
        <w:rPr>
          <w:lang w:bidi="ar-EG"/>
        </w:rPr>
      </w:pPr>
      <w:r>
        <w:rPr>
          <w:rFonts w:hint="cs"/>
          <w:rtl/>
          <w:lang w:bidi="ar-EG"/>
        </w:rPr>
        <w:t>مقترح بشأن العمل المتعلق بأنشطة ال</w:t>
      </w:r>
      <w:r w:rsidR="00623015">
        <w:rPr>
          <w:rFonts w:hint="cs"/>
          <w:rtl/>
          <w:lang w:bidi="ar-EG"/>
        </w:rPr>
        <w:t>خدمات المتاحة بحرية على الإنترنت</w:t>
      </w:r>
      <w:r w:rsidR="00DF32F6">
        <w:rPr>
          <w:rFonts w:hint="eastAsia"/>
          <w:rtl/>
          <w:lang w:bidi="ar-EG"/>
        </w:rPr>
        <w:t> </w:t>
      </w:r>
      <w:r w:rsidR="00F1380E">
        <w:rPr>
          <w:lang w:bidi="ar-EG"/>
        </w:rPr>
        <w:t>(OTT)</w:t>
      </w:r>
    </w:p>
    <w:p w:rsidR="00371148" w:rsidRDefault="00371148" w:rsidP="002154EE"/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290728" w:rsidTr="00952F86">
        <w:trPr>
          <w:jc w:val="center"/>
        </w:trPr>
        <w:tc>
          <w:tcPr>
            <w:tcW w:w="8080" w:type="dxa"/>
          </w:tcPr>
          <w:p w:rsidR="00290728" w:rsidRPr="00290728" w:rsidRDefault="00290728" w:rsidP="00706D7A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ملخص</w:t>
            </w:r>
          </w:p>
          <w:p w:rsidR="00290728" w:rsidRDefault="00A47592" w:rsidP="00DF32F6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تلخص هذه الوثيقة المواقف </w:t>
            </w:r>
            <w:r w:rsidR="00F1380E">
              <w:rPr>
                <w:rFonts w:hint="cs"/>
                <w:rtl/>
                <w:lang w:bidi="ar-EG"/>
              </w:rPr>
              <w:t xml:space="preserve">التي </w:t>
            </w:r>
            <w:r w:rsidR="00623015">
              <w:rPr>
                <w:rFonts w:hint="cs"/>
                <w:rtl/>
                <w:lang w:bidi="ar-EG"/>
              </w:rPr>
              <w:t>أُبديت</w:t>
            </w:r>
            <w:r w:rsidR="0050314C">
              <w:rPr>
                <w:rFonts w:hint="cs"/>
                <w:rtl/>
                <w:lang w:bidi="ar-EG"/>
              </w:rPr>
              <w:t xml:space="preserve"> بشأن</w:t>
            </w:r>
            <w:r w:rsidR="00DF32F6">
              <w:rPr>
                <w:rFonts w:hint="cs"/>
                <w:rtl/>
                <w:lang w:bidi="ar-EG"/>
              </w:rPr>
              <w:t xml:space="preserve"> موضوع</w:t>
            </w:r>
            <w:r w:rsidR="0050314C">
              <w:rPr>
                <w:rFonts w:hint="cs"/>
                <w:rtl/>
                <w:lang w:bidi="ar-EG"/>
              </w:rPr>
              <w:t xml:space="preserve"> الخدمات المتاحة بحرية على الإنترنت</w:t>
            </w:r>
            <w:r w:rsidR="00DF32F6">
              <w:rPr>
                <w:rFonts w:hint="eastAsia"/>
                <w:rtl/>
                <w:lang w:bidi="ar-EG"/>
              </w:rPr>
              <w:t> </w:t>
            </w:r>
            <w:r w:rsidR="00F1380E">
              <w:rPr>
                <w:lang w:bidi="ar-EG"/>
              </w:rPr>
              <w:t>(OTT)</w:t>
            </w:r>
            <w:r w:rsidR="00F1380E">
              <w:rPr>
                <w:rFonts w:hint="cs"/>
                <w:rtl/>
                <w:lang w:bidi="ar-EG"/>
              </w:rPr>
              <w:t xml:space="preserve"> </w:t>
            </w:r>
            <w:r w:rsidR="0050314C">
              <w:rPr>
                <w:rFonts w:hint="cs"/>
                <w:rtl/>
                <w:lang w:bidi="ar-EG"/>
              </w:rPr>
              <w:t>وتقترح أنشطة وسب</w:t>
            </w:r>
            <w:r w:rsidR="00DF32F6">
              <w:rPr>
                <w:rFonts w:hint="cs"/>
                <w:rtl/>
                <w:lang w:bidi="ar-EG"/>
              </w:rPr>
              <w:t>ي</w:t>
            </w:r>
            <w:r w:rsidR="0050314C">
              <w:rPr>
                <w:rFonts w:hint="cs"/>
                <w:rtl/>
                <w:lang w:bidi="ar-EG"/>
              </w:rPr>
              <w:t>ل</w:t>
            </w:r>
            <w:r w:rsidR="007345AF">
              <w:rPr>
                <w:rFonts w:hint="cs"/>
                <w:rtl/>
                <w:lang w:bidi="ar-EG"/>
              </w:rPr>
              <w:t>اً</w:t>
            </w:r>
            <w:r w:rsidR="0050314C">
              <w:rPr>
                <w:rFonts w:hint="cs"/>
                <w:rtl/>
                <w:lang w:bidi="ar-EG"/>
              </w:rPr>
              <w:t xml:space="preserve"> </w:t>
            </w:r>
            <w:r w:rsidR="007345AF">
              <w:rPr>
                <w:rFonts w:hint="cs"/>
                <w:rtl/>
                <w:lang w:bidi="ar-EG"/>
              </w:rPr>
              <w:t>ل</w:t>
            </w:r>
            <w:r w:rsidR="0050314C">
              <w:rPr>
                <w:rFonts w:hint="cs"/>
                <w:rtl/>
                <w:lang w:bidi="ar-EG"/>
              </w:rPr>
              <w:t xml:space="preserve">لمضي قدماً خلال فترة الدراسة المقبلة </w:t>
            </w:r>
            <w:r w:rsidR="0050314C">
              <w:rPr>
                <w:lang w:bidi="ar-EG"/>
              </w:rPr>
              <w:t>2022-2019</w:t>
            </w:r>
            <w:r w:rsidR="00DF32F6">
              <w:rPr>
                <w:rFonts w:hint="cs"/>
                <w:rtl/>
                <w:lang w:bidi="ar-EG"/>
              </w:rPr>
              <w:t>.</w:t>
            </w:r>
          </w:p>
          <w:p w:rsidR="00290728" w:rsidRPr="00290728" w:rsidRDefault="00290728" w:rsidP="00706D7A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الإجراء المطلوب</w:t>
            </w:r>
          </w:p>
          <w:p w:rsidR="00290728" w:rsidRDefault="00F1380E" w:rsidP="00706D7A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يقدَّم هذ</w:t>
            </w:r>
            <w:r w:rsidR="00DF32F6">
              <w:rPr>
                <w:rFonts w:hint="cs"/>
                <w:rtl/>
                <w:lang w:bidi="ar-EG"/>
              </w:rPr>
              <w:t>ا المقترح إلى المجلس للنظر فيه.</w:t>
            </w:r>
          </w:p>
          <w:p w:rsidR="00290728" w:rsidRDefault="00290728" w:rsidP="00290728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_________</w:t>
            </w:r>
          </w:p>
          <w:p w:rsidR="00290728" w:rsidRPr="00290728" w:rsidRDefault="00290728" w:rsidP="00290728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المراجع</w:t>
            </w:r>
          </w:p>
          <w:p w:rsidR="00290728" w:rsidRPr="00DF32F6" w:rsidRDefault="009608A2" w:rsidP="005409AC">
            <w:pPr>
              <w:spacing w:after="120"/>
              <w:jc w:val="left"/>
              <w:rPr>
                <w:i/>
                <w:iCs/>
                <w:rtl/>
                <w:lang w:bidi="ar-EG"/>
              </w:rPr>
            </w:pPr>
            <w:hyperlink r:id="rId9" w:history="1">
              <w:r w:rsidR="00371148" w:rsidRPr="00DF32F6">
                <w:rPr>
                  <w:rStyle w:val="Hyperlink"/>
                  <w:rFonts w:hint="cs"/>
                  <w:i/>
                  <w:iCs/>
                  <w:rtl/>
                  <w:lang w:bidi="ar-SY"/>
                </w:rPr>
                <w:t xml:space="preserve">القرار </w:t>
              </w:r>
              <w:r w:rsidR="00371148" w:rsidRPr="00DF32F6">
                <w:rPr>
                  <w:rStyle w:val="Hyperlink"/>
                  <w:i/>
                  <w:iCs/>
                  <w:lang w:bidi="ar-SY"/>
                </w:rPr>
                <w:t>206</w:t>
              </w:r>
              <w:r w:rsidR="00371148" w:rsidRPr="00DF32F6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 xml:space="preserve"> (دبي، </w:t>
              </w:r>
              <w:r w:rsidR="00371148" w:rsidRPr="00DF32F6">
                <w:rPr>
                  <w:rStyle w:val="Hyperlink"/>
                  <w:i/>
                  <w:iCs/>
                  <w:lang w:bidi="ar-EG"/>
                </w:rPr>
                <w:t>2018</w:t>
              </w:r>
              <w:r w:rsidR="00371148" w:rsidRPr="00DF32F6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>)</w:t>
              </w:r>
            </w:hyperlink>
          </w:p>
        </w:tc>
      </w:tr>
    </w:tbl>
    <w:p w:rsidR="00371148" w:rsidRDefault="00371148" w:rsidP="00EF70CE">
      <w:pPr>
        <w:pStyle w:val="Headingb"/>
        <w:rPr>
          <w:rtl/>
          <w:lang w:bidi="ar-SY"/>
        </w:rPr>
      </w:pPr>
      <w:r>
        <w:rPr>
          <w:rFonts w:hint="cs"/>
          <w:rtl/>
          <w:lang w:bidi="ar-SY"/>
        </w:rPr>
        <w:t>مقدمة</w:t>
      </w:r>
    </w:p>
    <w:p w:rsidR="00371148" w:rsidRDefault="00F1380E" w:rsidP="00DF32F6">
      <w:pPr>
        <w:rPr>
          <w:rtl/>
          <w:lang w:bidi="ar-SY"/>
        </w:rPr>
      </w:pPr>
      <w:r>
        <w:rPr>
          <w:rFonts w:hint="cs"/>
          <w:rtl/>
          <w:lang w:bidi="ar-SY"/>
        </w:rPr>
        <w:t>تكتسي الخدمات المتاحة بحرية</w:t>
      </w:r>
      <w:r w:rsidR="00623015">
        <w:rPr>
          <w:rFonts w:hint="cs"/>
          <w:rtl/>
          <w:lang w:bidi="ar-SY"/>
        </w:rPr>
        <w:t xml:space="preserve"> على الإنترنت</w:t>
      </w:r>
      <w:r w:rsidR="00DF32F6">
        <w:rPr>
          <w:rFonts w:hint="eastAsia"/>
          <w:rtl/>
          <w:lang w:bidi="ar-SY"/>
        </w:rPr>
        <w:t> </w:t>
      </w:r>
      <w:r>
        <w:rPr>
          <w:lang w:bidi="ar-SY"/>
        </w:rPr>
        <w:t>(OTT)</w:t>
      </w:r>
      <w:r>
        <w:rPr>
          <w:rFonts w:hint="cs"/>
          <w:rtl/>
          <w:lang w:bidi="ar-SY"/>
        </w:rPr>
        <w:t xml:space="preserve"> أهمية متزايدة في البيئة سريعة التغي</w:t>
      </w:r>
      <w:r w:rsidR="00DF32F6">
        <w:rPr>
          <w:rFonts w:hint="cs"/>
          <w:rtl/>
          <w:lang w:bidi="ar-SY"/>
        </w:rPr>
        <w:t>ّ</w:t>
      </w:r>
      <w:r>
        <w:rPr>
          <w:rFonts w:hint="cs"/>
          <w:rtl/>
          <w:lang w:bidi="ar-SY"/>
        </w:rPr>
        <w:t xml:space="preserve">ر لتكنولوجيا المعلومات والاتصالات </w:t>
      </w:r>
      <w:r w:rsidR="00237477">
        <w:rPr>
          <w:rFonts w:hint="cs"/>
          <w:rtl/>
          <w:lang w:bidi="ar-SY"/>
        </w:rPr>
        <w:t>نظراً</w:t>
      </w:r>
      <w:r>
        <w:rPr>
          <w:rFonts w:hint="cs"/>
          <w:rtl/>
          <w:lang w:bidi="ar-SY"/>
        </w:rPr>
        <w:t xml:space="preserve"> </w:t>
      </w:r>
      <w:r w:rsidR="00237477">
        <w:rPr>
          <w:rFonts w:hint="cs"/>
          <w:rtl/>
          <w:lang w:bidi="ar-SY"/>
        </w:rPr>
        <w:t>لنموها غير</w:t>
      </w:r>
      <w:r w:rsidR="00DF32F6">
        <w:rPr>
          <w:rFonts w:hint="eastAsia"/>
          <w:rtl/>
          <w:lang w:bidi="ar-SY"/>
        </w:rPr>
        <w:t> </w:t>
      </w:r>
      <w:r w:rsidR="00237477">
        <w:rPr>
          <w:rFonts w:hint="cs"/>
          <w:rtl/>
          <w:lang w:bidi="ar-SY"/>
        </w:rPr>
        <w:t xml:space="preserve">المسبوق الذي أثار عدداً من الشواغل المتصلة بالتنظيم ووضع السياسات </w:t>
      </w:r>
      <w:r w:rsidR="00623015">
        <w:rPr>
          <w:rFonts w:hint="cs"/>
          <w:rtl/>
          <w:lang w:bidi="ar-SY"/>
        </w:rPr>
        <w:t>والتي يلزم</w:t>
      </w:r>
      <w:r w:rsidR="00DF32F6">
        <w:rPr>
          <w:rFonts w:hint="cs"/>
          <w:rtl/>
          <w:lang w:bidi="ar-SY"/>
        </w:rPr>
        <w:t xml:space="preserve"> الانتباه إليها فوراً.</w:t>
      </w:r>
    </w:p>
    <w:p w:rsidR="00371148" w:rsidRDefault="00504DE8" w:rsidP="00DF32F6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إن </w:t>
      </w:r>
      <w:r w:rsidR="006559B8">
        <w:rPr>
          <w:rFonts w:hint="cs"/>
          <w:rtl/>
          <w:lang w:bidi="ar-SY"/>
        </w:rPr>
        <w:t>ما</w:t>
      </w:r>
      <w:r w:rsidR="00DF32F6">
        <w:rPr>
          <w:rFonts w:hint="eastAsia"/>
          <w:rtl/>
          <w:lang w:bidi="ar-SY"/>
        </w:rPr>
        <w:t> </w:t>
      </w:r>
      <w:r w:rsidR="006559B8">
        <w:rPr>
          <w:rFonts w:hint="cs"/>
          <w:rtl/>
          <w:lang w:bidi="ar-SY"/>
        </w:rPr>
        <w:t>يجعل موضوع الخدمات المتاحة بحرية على الإنترنت يلقى اهتماماً كبيراً لدى أصحاب المصلحة هو أن هذه الخدمات تمكّن من</w:t>
      </w:r>
      <w:r w:rsidR="00647587">
        <w:rPr>
          <w:rFonts w:hint="cs"/>
          <w:rtl/>
          <w:lang w:bidi="ar-SY"/>
        </w:rPr>
        <w:t xml:space="preserve"> توصيل الناس بالإنترنت وتوفير منصة لتبادل المعلومات وتقاسم البيانات و</w:t>
      </w:r>
      <w:r w:rsidR="00E32585">
        <w:rPr>
          <w:rFonts w:hint="cs"/>
          <w:rtl/>
          <w:lang w:bidi="ar-SY"/>
        </w:rPr>
        <w:t>توصيل غير</w:t>
      </w:r>
      <w:r w:rsidR="00DF32F6">
        <w:rPr>
          <w:rFonts w:hint="eastAsia"/>
          <w:rtl/>
          <w:lang w:bidi="ar-SY"/>
        </w:rPr>
        <w:t> </w:t>
      </w:r>
      <w:r w:rsidR="00E32585">
        <w:rPr>
          <w:rFonts w:hint="cs"/>
          <w:rtl/>
          <w:lang w:bidi="ar-SY"/>
        </w:rPr>
        <w:t xml:space="preserve">الموصولين من خلال </w:t>
      </w:r>
      <w:r w:rsidR="00647587">
        <w:rPr>
          <w:rFonts w:hint="cs"/>
          <w:rtl/>
          <w:lang w:bidi="ar-SY"/>
        </w:rPr>
        <w:t xml:space="preserve">سد فجوة الميل الأخير </w:t>
      </w:r>
      <w:r w:rsidR="006559B8">
        <w:rPr>
          <w:rFonts w:hint="cs"/>
          <w:rtl/>
          <w:lang w:bidi="ar-SY"/>
        </w:rPr>
        <w:t xml:space="preserve">وتترتب عنها في المقابل آثار </w:t>
      </w:r>
      <w:r w:rsidR="00E32585">
        <w:rPr>
          <w:rFonts w:hint="cs"/>
          <w:rtl/>
          <w:lang w:bidi="ar-SY"/>
        </w:rPr>
        <w:t xml:space="preserve">اقتصادية متباينة على النموذج التقليدي للاتصالات إلى جانب </w:t>
      </w:r>
      <w:r w:rsidR="00871DF0">
        <w:rPr>
          <w:rFonts w:hint="cs"/>
          <w:rtl/>
          <w:lang w:bidi="ar-SY"/>
        </w:rPr>
        <w:t>الانعكاسات التنظيمية والتحديات الأمنية المرتبطة بها</w:t>
      </w:r>
      <w:r w:rsidR="00DF32F6">
        <w:rPr>
          <w:rFonts w:hint="cs"/>
          <w:rtl/>
          <w:lang w:bidi="ar-SY"/>
        </w:rPr>
        <w:t>.</w:t>
      </w:r>
    </w:p>
    <w:p w:rsidR="00371148" w:rsidRDefault="000B172C" w:rsidP="00DF32F6">
      <w:pPr>
        <w:rPr>
          <w:lang w:bidi="ar-SY"/>
        </w:rPr>
      </w:pPr>
      <w:r>
        <w:rPr>
          <w:rFonts w:hint="cs"/>
          <w:rtl/>
          <w:lang w:bidi="ar-SY"/>
        </w:rPr>
        <w:t>ولدى أصحاب المصلحة</w:t>
      </w:r>
      <w:r w:rsidR="00456DAB">
        <w:rPr>
          <w:rFonts w:hint="cs"/>
          <w:rtl/>
          <w:lang w:bidi="ar-SY"/>
        </w:rPr>
        <w:t xml:space="preserve"> أيضاً </w:t>
      </w:r>
      <w:r w:rsidR="006559B8">
        <w:rPr>
          <w:rFonts w:hint="cs"/>
          <w:rtl/>
          <w:lang w:bidi="ar-SY"/>
        </w:rPr>
        <w:t>وجهات نظر</w:t>
      </w:r>
      <w:r>
        <w:rPr>
          <w:rFonts w:hint="cs"/>
          <w:rtl/>
          <w:lang w:bidi="ar-SY"/>
        </w:rPr>
        <w:t xml:space="preserve"> </w:t>
      </w:r>
      <w:r w:rsidR="003A4C2F">
        <w:rPr>
          <w:rFonts w:hint="cs"/>
          <w:rtl/>
          <w:lang w:bidi="ar-SY"/>
        </w:rPr>
        <w:t>متباعدة</w:t>
      </w:r>
      <w:r w:rsidR="00456DAB">
        <w:rPr>
          <w:rFonts w:hint="cs"/>
          <w:rtl/>
          <w:lang w:bidi="ar-SY"/>
        </w:rPr>
        <w:t xml:space="preserve"> بشأن موضوع الخدمات المتاحة بحرية على الإنترنت هذا</w:t>
      </w:r>
      <w:r>
        <w:rPr>
          <w:rFonts w:hint="cs"/>
          <w:rtl/>
          <w:lang w:bidi="ar-SY"/>
        </w:rPr>
        <w:t xml:space="preserve">، </w:t>
      </w:r>
      <w:r w:rsidR="00DF32F6">
        <w:rPr>
          <w:rFonts w:hint="cs"/>
          <w:rtl/>
          <w:lang w:bidi="ar-SY"/>
        </w:rPr>
        <w:t xml:space="preserve">بل وجهات نظر متناقضة </w:t>
      </w:r>
      <w:r w:rsidR="003A6441">
        <w:rPr>
          <w:rFonts w:hint="cs"/>
          <w:rtl/>
          <w:lang w:bidi="ar-SY"/>
        </w:rPr>
        <w:t xml:space="preserve">تبدأ بنهج عدم التدخل وتنتهي بالتنظيم الصارم </w:t>
      </w:r>
      <w:r w:rsidR="002A6CE9">
        <w:rPr>
          <w:rFonts w:hint="cs"/>
          <w:rtl/>
          <w:lang w:bidi="ar-SY"/>
        </w:rPr>
        <w:t>بما</w:t>
      </w:r>
      <w:r w:rsidR="00DF32F6">
        <w:rPr>
          <w:rFonts w:hint="eastAsia"/>
          <w:rtl/>
          <w:lang w:bidi="ar-SY"/>
        </w:rPr>
        <w:t> </w:t>
      </w:r>
      <w:r w:rsidR="002A6CE9">
        <w:rPr>
          <w:rFonts w:hint="cs"/>
          <w:rtl/>
          <w:lang w:bidi="ar-SY"/>
        </w:rPr>
        <w:t>في</w:t>
      </w:r>
      <w:r w:rsidR="00DF32F6">
        <w:rPr>
          <w:rFonts w:hint="eastAsia"/>
          <w:rtl/>
          <w:lang w:bidi="ar-SY"/>
        </w:rPr>
        <w:t> </w:t>
      </w:r>
      <w:r w:rsidR="002A6CE9">
        <w:rPr>
          <w:rFonts w:hint="cs"/>
          <w:rtl/>
          <w:lang w:bidi="ar-SY"/>
        </w:rPr>
        <w:t xml:space="preserve">ذلك فرض ضريبة مرتبطة بهذه </w:t>
      </w:r>
      <w:r w:rsidR="00DF32F6">
        <w:rPr>
          <w:rFonts w:hint="cs"/>
          <w:rtl/>
          <w:lang w:bidi="ar-SY"/>
        </w:rPr>
        <w:t>الخدمات.</w:t>
      </w:r>
    </w:p>
    <w:p w:rsidR="00BB5CA8" w:rsidRDefault="002A6CE9" w:rsidP="009136BD">
      <w:pPr>
        <w:rPr>
          <w:rtl/>
          <w:lang w:bidi="ar-EG"/>
        </w:rPr>
      </w:pPr>
      <w:r>
        <w:rPr>
          <w:rFonts w:hint="cs"/>
          <w:rtl/>
          <w:lang w:bidi="ar-SY"/>
        </w:rPr>
        <w:t>واتضح ذلك جلياً خلال مؤتمر المندوبين المفوضين للاتحاد لعام</w:t>
      </w:r>
      <w:r w:rsidR="00DF32F6">
        <w:rPr>
          <w:rFonts w:hint="eastAsia"/>
          <w:rtl/>
          <w:lang w:bidi="ar-SY"/>
        </w:rPr>
        <w:t> </w:t>
      </w:r>
      <w:r>
        <w:rPr>
          <w:lang w:bidi="ar-SY"/>
        </w:rPr>
        <w:t>2018</w:t>
      </w:r>
      <w:r>
        <w:rPr>
          <w:rFonts w:hint="cs"/>
          <w:rtl/>
          <w:lang w:bidi="ar-EG"/>
        </w:rPr>
        <w:t xml:space="preserve"> الذي عُقد في دبي خلال شهري أكتوبر</w:t>
      </w:r>
      <w:r w:rsidR="00DF32F6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 xml:space="preserve">ونوفمبر </w:t>
      </w:r>
      <w:r w:rsidR="009E0488">
        <w:rPr>
          <w:rFonts w:hint="cs"/>
          <w:rtl/>
          <w:lang w:bidi="ar-EG"/>
        </w:rPr>
        <w:t>إذ</w:t>
      </w:r>
      <w:r w:rsidR="009136BD">
        <w:rPr>
          <w:rFonts w:hint="eastAsia"/>
          <w:rtl/>
          <w:lang w:bidi="ar-EG"/>
        </w:rPr>
        <w:t> </w:t>
      </w:r>
      <w:r w:rsidR="009E0488">
        <w:rPr>
          <w:rFonts w:hint="cs"/>
          <w:rtl/>
          <w:lang w:bidi="ar-EG"/>
        </w:rPr>
        <w:t>إن</w:t>
      </w:r>
      <w:r w:rsidR="009136BD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القرار</w:t>
      </w:r>
      <w:r w:rsidR="00DF32F6">
        <w:rPr>
          <w:rFonts w:hint="eastAsia"/>
          <w:rtl/>
          <w:lang w:bidi="ar-EG"/>
        </w:rPr>
        <w:t> </w:t>
      </w:r>
      <w:r w:rsidRPr="002A6CE9">
        <w:rPr>
          <w:lang w:bidi="ar-EG"/>
        </w:rPr>
        <w:t>206</w:t>
      </w:r>
      <w:r w:rsidRPr="002A6CE9">
        <w:rPr>
          <w:rFonts w:hint="cs"/>
          <w:rtl/>
          <w:lang w:bidi="ar-EG"/>
        </w:rPr>
        <w:t xml:space="preserve"> (دبي،</w:t>
      </w:r>
      <w:r w:rsidRPr="002A6CE9">
        <w:rPr>
          <w:rFonts w:hint="eastAsia"/>
          <w:rtl/>
          <w:lang w:bidi="ar-EG"/>
        </w:rPr>
        <w:t> </w:t>
      </w:r>
      <w:r w:rsidRPr="002A6CE9">
        <w:rPr>
          <w:lang w:bidi="ar-EG"/>
        </w:rPr>
        <w:t>2018</w:t>
      </w:r>
      <w:r w:rsidRPr="002A6CE9">
        <w:rPr>
          <w:rFonts w:hint="cs"/>
          <w:rtl/>
          <w:lang w:bidi="ar-EG"/>
        </w:rPr>
        <w:t>)</w:t>
      </w:r>
      <w:r>
        <w:rPr>
          <w:rFonts w:hint="cs"/>
          <w:rtl/>
          <w:lang w:bidi="ar-EG"/>
        </w:rPr>
        <w:t xml:space="preserve"> </w:t>
      </w:r>
      <w:r w:rsidR="009E0488">
        <w:rPr>
          <w:rFonts w:hint="cs"/>
          <w:rtl/>
          <w:lang w:bidi="ar-EG"/>
        </w:rPr>
        <w:t>لم</w:t>
      </w:r>
      <w:r w:rsidR="00DF32F6">
        <w:rPr>
          <w:rFonts w:hint="eastAsia"/>
          <w:rtl/>
          <w:lang w:bidi="ar-EG"/>
        </w:rPr>
        <w:t> </w:t>
      </w:r>
      <w:r w:rsidR="009E0488">
        <w:rPr>
          <w:rFonts w:hint="cs"/>
          <w:rtl/>
          <w:lang w:bidi="ar-EG"/>
        </w:rPr>
        <w:t xml:space="preserve">يصدر </w:t>
      </w:r>
      <w:r>
        <w:rPr>
          <w:rFonts w:hint="cs"/>
          <w:rtl/>
          <w:lang w:bidi="ar-EG"/>
        </w:rPr>
        <w:t>إلا</w:t>
      </w:r>
      <w:r w:rsidR="00DF32F6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 xml:space="preserve">بعد </w:t>
      </w:r>
      <w:r w:rsidR="00BB5CA8">
        <w:rPr>
          <w:rFonts w:hint="cs"/>
          <w:rtl/>
          <w:lang w:bidi="ar-EG"/>
        </w:rPr>
        <w:t>مداولات</w:t>
      </w:r>
      <w:r w:rsidR="00DF32F6">
        <w:rPr>
          <w:rFonts w:hint="cs"/>
          <w:rtl/>
          <w:lang w:bidi="ar-EG"/>
        </w:rPr>
        <w:t xml:space="preserve"> ومناقشات طويلة.</w:t>
      </w:r>
    </w:p>
    <w:p w:rsidR="00371148" w:rsidRDefault="00DF32F6" w:rsidP="00DF32F6">
      <w:pPr>
        <w:rPr>
          <w:rtl/>
          <w:lang w:bidi="ar-EG"/>
        </w:rPr>
      </w:pPr>
      <w:r>
        <w:rPr>
          <w:rFonts w:hint="cs"/>
          <w:i/>
          <w:iCs/>
          <w:rtl/>
          <w:lang w:bidi="ar-EG"/>
        </w:rPr>
        <w:t xml:space="preserve">وقد </w:t>
      </w:r>
      <w:r w:rsidR="00BB5CA8" w:rsidRPr="00BB5CA8">
        <w:rPr>
          <w:rFonts w:hint="cs"/>
          <w:i/>
          <w:iCs/>
          <w:rtl/>
          <w:lang w:bidi="ar-EG"/>
        </w:rPr>
        <w:t>كلف</w:t>
      </w:r>
      <w:r w:rsidR="00BB5CA8">
        <w:rPr>
          <w:rFonts w:hint="cs"/>
          <w:rtl/>
          <w:lang w:bidi="ar-EG"/>
        </w:rPr>
        <w:t xml:space="preserve"> </w:t>
      </w:r>
      <w:r w:rsidR="00B556BA" w:rsidRPr="002A6CE9">
        <w:rPr>
          <w:rFonts w:hint="cs"/>
          <w:rtl/>
          <w:lang w:bidi="ar-EG"/>
        </w:rPr>
        <w:t>القرار</w:t>
      </w:r>
      <w:r>
        <w:rPr>
          <w:rFonts w:hint="eastAsia"/>
          <w:rtl/>
          <w:lang w:bidi="ar-EG"/>
        </w:rPr>
        <w:t> </w:t>
      </w:r>
      <w:r w:rsidR="00B556BA" w:rsidRPr="002A6CE9">
        <w:rPr>
          <w:lang w:bidi="ar-EG"/>
        </w:rPr>
        <w:t>206</w:t>
      </w:r>
      <w:r w:rsidR="00B556BA" w:rsidRPr="002A6CE9">
        <w:rPr>
          <w:rFonts w:hint="cs"/>
          <w:rtl/>
          <w:lang w:bidi="ar-EG"/>
        </w:rPr>
        <w:t xml:space="preserve"> (دبي،</w:t>
      </w:r>
      <w:r w:rsidR="00B556BA" w:rsidRPr="002A6CE9">
        <w:rPr>
          <w:rFonts w:hint="eastAsia"/>
          <w:rtl/>
          <w:lang w:bidi="ar-EG"/>
        </w:rPr>
        <w:t> </w:t>
      </w:r>
      <w:r w:rsidR="00B556BA" w:rsidRPr="002A6CE9">
        <w:rPr>
          <w:lang w:bidi="ar-EG"/>
        </w:rPr>
        <w:t>2018</w:t>
      </w:r>
      <w:r w:rsidR="00B556BA" w:rsidRPr="002A6CE9">
        <w:rPr>
          <w:rFonts w:hint="cs"/>
          <w:rtl/>
          <w:lang w:bidi="ar-EG"/>
        </w:rPr>
        <w:t>) لمؤتمر المندوبين المفوضين</w:t>
      </w:r>
      <w:r w:rsidR="00BB5CA8">
        <w:rPr>
          <w:rFonts w:hint="cs"/>
          <w:rtl/>
          <w:lang w:bidi="ar-EG"/>
        </w:rPr>
        <w:t xml:space="preserve"> لعام</w:t>
      </w:r>
      <w:r>
        <w:rPr>
          <w:rFonts w:hint="eastAsia"/>
          <w:rtl/>
          <w:lang w:bidi="ar-EG"/>
        </w:rPr>
        <w:t> </w:t>
      </w:r>
      <w:r w:rsidR="00B556BA" w:rsidRPr="002A6CE9">
        <w:rPr>
          <w:lang w:bidi="ar-EG"/>
        </w:rPr>
        <w:t>2018</w:t>
      </w:r>
      <w:r w:rsidR="00B556BA" w:rsidRPr="002A6CE9">
        <w:rPr>
          <w:rFonts w:hint="cs"/>
          <w:rtl/>
          <w:lang w:bidi="ar-EG"/>
        </w:rPr>
        <w:t xml:space="preserve"> </w:t>
      </w:r>
      <w:r w:rsidR="00B556BA" w:rsidRPr="002A6CE9">
        <w:rPr>
          <w:rFonts w:hint="cs"/>
          <w:rtl/>
        </w:rPr>
        <w:t>الأمين العام</w:t>
      </w:r>
    </w:p>
    <w:p w:rsidR="00371148" w:rsidRPr="00BB5CA8" w:rsidRDefault="00371148" w:rsidP="00B556BA">
      <w:pPr>
        <w:pStyle w:val="enumlev1"/>
        <w:ind w:left="850" w:hanging="850"/>
        <w:rPr>
          <w:i/>
          <w:iCs/>
          <w:rtl/>
        </w:rPr>
      </w:pPr>
      <w:proofErr w:type="gramStart"/>
      <w:r w:rsidRPr="00BB5CA8">
        <w:rPr>
          <w:i/>
          <w:iCs/>
        </w:rPr>
        <w:t>1</w:t>
      </w:r>
      <w:proofErr w:type="gramEnd"/>
      <w:r w:rsidRPr="00BB5CA8">
        <w:rPr>
          <w:i/>
          <w:iCs/>
          <w:rtl/>
        </w:rPr>
        <w:tab/>
      </w:r>
      <w:r w:rsidRPr="00BB5CA8">
        <w:rPr>
          <w:rFonts w:hint="cs"/>
          <w:i/>
          <w:iCs/>
          <w:rtl/>
        </w:rPr>
        <w:t>بمواصلة التعاون والتعاضد مع المنظمات المعنية وغيرها من أصحاب المصلحة المعنيين لاستكشاف فرص التعاون بين أعضاء الاتحاد وأعضاء المنظمات الأخرى عملاً على تحقيق أهداف هذا القرار؛</w:t>
      </w:r>
    </w:p>
    <w:p w:rsidR="00371148" w:rsidRPr="00B3111D" w:rsidRDefault="00371148" w:rsidP="00B556BA">
      <w:pPr>
        <w:pStyle w:val="enumlev1"/>
        <w:ind w:left="850" w:hanging="850"/>
        <w:rPr>
          <w:i/>
          <w:iCs/>
          <w:rtl/>
        </w:rPr>
      </w:pPr>
      <w:proofErr w:type="gramStart"/>
      <w:r w:rsidRPr="00B3111D">
        <w:rPr>
          <w:i/>
          <w:iCs/>
        </w:rPr>
        <w:lastRenderedPageBreak/>
        <w:t>2</w:t>
      </w:r>
      <w:r w:rsidRPr="00B3111D">
        <w:rPr>
          <w:i/>
          <w:iCs/>
          <w:rtl/>
        </w:rPr>
        <w:tab/>
      </w:r>
      <w:r w:rsidRPr="00B3111D">
        <w:rPr>
          <w:rFonts w:hint="cs"/>
          <w:i/>
          <w:iCs/>
          <w:rtl/>
        </w:rPr>
        <w:t>بتعزيز</w:t>
      </w:r>
      <w:proofErr w:type="gramEnd"/>
      <w:r w:rsidRPr="00B3111D">
        <w:rPr>
          <w:rFonts w:hint="cs"/>
          <w:i/>
          <w:iCs/>
          <w:rtl/>
        </w:rPr>
        <w:t xml:space="preserve"> فرص التعاون بين أصحاب المصلحة المعنيين بشأن برامج بناء القدرات من </w:t>
      </w:r>
      <w:r w:rsidRPr="00B3111D">
        <w:rPr>
          <w:rFonts w:eastAsia="PMingLiU" w:hint="cs"/>
          <w:i/>
          <w:iCs/>
          <w:rtl/>
          <w:lang w:eastAsia="zh-TW"/>
        </w:rPr>
        <w:t>أجل تبادل المعلومات المتعلقة بأفضل الممارسات والتوجيهات التقنية بشأن الخدمات المتاحة بحرّية على الإنترنت وخاصةً في البلدان النامية؛</w:t>
      </w:r>
    </w:p>
    <w:p w:rsidR="00371148" w:rsidRPr="00DF32F6" w:rsidRDefault="00371148" w:rsidP="00DF32F6">
      <w:pPr>
        <w:pStyle w:val="enumlev1"/>
        <w:ind w:left="850" w:hanging="850"/>
        <w:rPr>
          <w:i/>
          <w:iCs/>
        </w:rPr>
      </w:pPr>
      <w:proofErr w:type="gramStart"/>
      <w:r w:rsidRPr="00B3111D">
        <w:rPr>
          <w:i/>
          <w:iCs/>
        </w:rPr>
        <w:t>3</w:t>
      </w:r>
      <w:r w:rsidRPr="00B3111D">
        <w:rPr>
          <w:i/>
          <w:iCs/>
          <w:lang w:bidi="ar"/>
        </w:rPr>
        <w:tab/>
      </w:r>
      <w:r w:rsidRPr="00B3111D">
        <w:rPr>
          <w:rFonts w:hint="cs"/>
          <w:i/>
          <w:iCs/>
          <w:rtl/>
          <w:lang w:bidi="ar-SA"/>
        </w:rPr>
        <w:t>بتقديم</w:t>
      </w:r>
      <w:proofErr w:type="gramEnd"/>
      <w:r w:rsidRPr="00B3111D">
        <w:rPr>
          <w:rFonts w:hint="cs"/>
          <w:i/>
          <w:iCs/>
          <w:rtl/>
          <w:lang w:bidi="ar-SA"/>
        </w:rPr>
        <w:t xml:space="preserve"> تقرير</w:t>
      </w:r>
      <w:r w:rsidRPr="00B3111D">
        <w:rPr>
          <w:rFonts w:hint="eastAsia"/>
          <w:i/>
          <w:iCs/>
          <w:rtl/>
          <w:lang w:bidi="ar"/>
        </w:rPr>
        <w:t> </w:t>
      </w:r>
      <w:r w:rsidRPr="00B3111D">
        <w:rPr>
          <w:rFonts w:hint="cs"/>
          <w:i/>
          <w:iCs/>
          <w:rtl/>
          <w:lang w:bidi="ar-SA"/>
        </w:rPr>
        <w:t>سنوي إلى المجلس عن الأنش</w:t>
      </w:r>
      <w:r w:rsidR="00B3111D">
        <w:rPr>
          <w:rFonts w:hint="cs"/>
          <w:i/>
          <w:iCs/>
          <w:rtl/>
          <w:lang w:bidi="ar-SA"/>
        </w:rPr>
        <w:t xml:space="preserve">طة </w:t>
      </w:r>
      <w:proofErr w:type="spellStart"/>
      <w:r w:rsidR="00B3111D">
        <w:rPr>
          <w:rFonts w:hint="cs"/>
          <w:i/>
          <w:iCs/>
          <w:rtl/>
          <w:lang w:bidi="ar-SA"/>
        </w:rPr>
        <w:t>المضطلع</w:t>
      </w:r>
      <w:proofErr w:type="spellEnd"/>
      <w:r w:rsidR="00B3111D">
        <w:rPr>
          <w:rFonts w:hint="cs"/>
          <w:i/>
          <w:iCs/>
          <w:rtl/>
          <w:lang w:bidi="ar-SA"/>
        </w:rPr>
        <w:t xml:space="preserve"> بها بموجب هذا القرار.</w:t>
      </w:r>
    </w:p>
    <w:p w:rsidR="00371148" w:rsidRPr="00EF70CE" w:rsidRDefault="00B3111D" w:rsidP="00EF70CE">
      <w:pPr>
        <w:rPr>
          <w:i/>
          <w:iCs/>
          <w:spacing w:val="-4"/>
          <w:rtl/>
          <w:lang w:bidi="ar-EG"/>
        </w:rPr>
      </w:pPr>
      <w:r w:rsidRPr="00EF70CE">
        <w:rPr>
          <w:rFonts w:hint="cs"/>
          <w:spacing w:val="-4"/>
          <w:rtl/>
          <w:lang w:bidi="ar-EG"/>
        </w:rPr>
        <w:t>وتناولت لجان الدراسات ذات الصلة في قطاع تنمية الاتصالات وقطاع تقييس الاتصالات مسألة الخدمات المتاحة بحرية على الإنترنت في</w:t>
      </w:r>
      <w:r w:rsidR="00EF70CE">
        <w:rPr>
          <w:rFonts w:hint="eastAsia"/>
          <w:spacing w:val="-4"/>
          <w:rtl/>
          <w:lang w:bidi="ar-EG"/>
        </w:rPr>
        <w:t> </w:t>
      </w:r>
      <w:r w:rsidRPr="00EF70CE">
        <w:rPr>
          <w:rFonts w:hint="cs"/>
          <w:spacing w:val="-4"/>
          <w:rtl/>
          <w:lang w:bidi="ar-EG"/>
        </w:rPr>
        <w:t>مجال اختصاص كلٍّ منها و</w:t>
      </w:r>
      <w:r w:rsidR="008C15BB" w:rsidRPr="00EF70CE">
        <w:rPr>
          <w:rFonts w:hint="cs"/>
          <w:spacing w:val="-4"/>
          <w:rtl/>
          <w:lang w:bidi="ar-EG"/>
        </w:rPr>
        <w:t xml:space="preserve">أصدرت توصيات بشأن هذه المسألة. والتعريف العملي الوحيد للخدمات المتاحة بحرية على الإنترنت على النحو المحدد في الاتحاد وارد في </w:t>
      </w:r>
      <w:r w:rsidR="009B76FC" w:rsidRPr="00EF70CE">
        <w:rPr>
          <w:rFonts w:hint="cs"/>
          <w:spacing w:val="-4"/>
          <w:rtl/>
          <w:lang w:bidi="ar-EG"/>
        </w:rPr>
        <w:t xml:space="preserve">التوصية </w:t>
      </w:r>
      <w:r w:rsidR="009B76FC" w:rsidRPr="00EF70CE">
        <w:rPr>
          <w:rFonts w:asciiTheme="minorHAnsi" w:hAnsiTheme="minorHAnsi" w:cstheme="minorHAnsi"/>
          <w:spacing w:val="-4"/>
        </w:rPr>
        <w:t>ITU-T D.262</w:t>
      </w:r>
      <w:r w:rsidR="009B76FC" w:rsidRPr="00EF70CE">
        <w:rPr>
          <w:rFonts w:asciiTheme="minorHAnsi" w:hAnsiTheme="minorHAnsi" w:cstheme="minorHAnsi" w:hint="cs"/>
          <w:spacing w:val="-4"/>
          <w:rtl/>
        </w:rPr>
        <w:t xml:space="preserve"> </w:t>
      </w:r>
      <w:r w:rsidR="009B76FC" w:rsidRPr="00EF70CE">
        <w:rPr>
          <w:rFonts w:hint="cs"/>
          <w:spacing w:val="-4"/>
          <w:rtl/>
          <w:lang w:bidi="ar-EG"/>
        </w:rPr>
        <w:t>(</w:t>
      </w:r>
      <w:r w:rsidR="009B76FC" w:rsidRPr="00EF70CE">
        <w:rPr>
          <w:rFonts w:asciiTheme="minorHAnsi" w:hAnsiTheme="minorHAnsi" w:cstheme="minorHAnsi"/>
          <w:spacing w:val="-4"/>
        </w:rPr>
        <w:t>D.OTT</w:t>
      </w:r>
      <w:r w:rsidR="009B76FC" w:rsidRPr="00EF70CE">
        <w:rPr>
          <w:rFonts w:asciiTheme="minorHAnsi" w:hAnsiTheme="minorHAnsi" w:cstheme="minorHAnsi" w:hint="cs"/>
          <w:spacing w:val="-4"/>
          <w:rtl/>
        </w:rPr>
        <w:t xml:space="preserve"> </w:t>
      </w:r>
      <w:r w:rsidR="009B76FC" w:rsidRPr="00EF70CE">
        <w:rPr>
          <w:rFonts w:hint="cs"/>
          <w:spacing w:val="-4"/>
          <w:rtl/>
          <w:lang w:bidi="ar-EG"/>
        </w:rPr>
        <w:t>سابقاً)</w:t>
      </w:r>
      <w:r w:rsidR="00DF32F6" w:rsidRPr="00EF70CE">
        <w:rPr>
          <w:rFonts w:hint="cs"/>
          <w:spacing w:val="-4"/>
          <w:rtl/>
          <w:lang w:bidi="ar-EG"/>
        </w:rPr>
        <w:t xml:space="preserve"> بعنوان</w:t>
      </w:r>
      <w:r w:rsidR="008C15BB" w:rsidRPr="00EF70CE">
        <w:rPr>
          <w:rFonts w:hint="cs"/>
          <w:spacing w:val="-4"/>
          <w:rtl/>
          <w:lang w:bidi="ar-EG"/>
        </w:rPr>
        <w:t xml:space="preserve"> </w:t>
      </w:r>
      <w:r w:rsidR="00D06879" w:rsidRPr="00EF70CE">
        <w:rPr>
          <w:i/>
          <w:iCs/>
          <w:spacing w:val="-4"/>
          <w:rtl/>
          <w:lang w:bidi="ar-EG"/>
        </w:rPr>
        <w:t>الإطار التعاوني للخدمات المتاحة بحرية على الإنترنت</w:t>
      </w:r>
      <w:r w:rsidR="00D06879" w:rsidRPr="00EF70CE">
        <w:rPr>
          <w:rFonts w:hint="cs"/>
          <w:spacing w:val="-4"/>
          <w:rtl/>
          <w:lang w:bidi="ar-EG"/>
        </w:rPr>
        <w:t>.</w:t>
      </w:r>
    </w:p>
    <w:p w:rsidR="00371148" w:rsidRDefault="00371148" w:rsidP="00371148">
      <w:pPr>
        <w:pStyle w:val="Headingb"/>
        <w:rPr>
          <w:rtl/>
          <w:lang w:bidi="ar-EG"/>
        </w:rPr>
      </w:pPr>
      <w:r>
        <w:rPr>
          <w:rFonts w:hint="cs"/>
          <w:rtl/>
          <w:lang w:bidi="ar-EG"/>
        </w:rPr>
        <w:t>المقترح</w:t>
      </w:r>
    </w:p>
    <w:p w:rsidR="00371148" w:rsidRDefault="00D06879" w:rsidP="00DF32F6">
      <w:pPr>
        <w:rPr>
          <w:lang w:bidi="ar-EG"/>
        </w:rPr>
      </w:pPr>
      <w:r>
        <w:rPr>
          <w:rFonts w:hint="cs"/>
          <w:rtl/>
          <w:lang w:bidi="ar-EG"/>
        </w:rPr>
        <w:t xml:space="preserve">ترى إدارتا الإمارات العربية المتحدة والمملكة العربية السعودية أن الخدمات المتاحة بحرية على الإنترنت من المواضيع التي تحظى باهتمام كبير لدى مجتمع تكنولوجيا المعلومات والاتصالات </w:t>
      </w:r>
      <w:r w:rsidR="00A520F5">
        <w:rPr>
          <w:rFonts w:hint="cs"/>
          <w:rtl/>
          <w:lang w:bidi="ar-EG"/>
        </w:rPr>
        <w:t xml:space="preserve">وأن الاتحاد، بصفته وكالة دولية حكومية، هو </w:t>
      </w:r>
      <w:r w:rsidR="00DF32F6">
        <w:rPr>
          <w:rFonts w:hint="cs"/>
          <w:rtl/>
          <w:lang w:bidi="ar-EG"/>
        </w:rPr>
        <w:t>المحفل</w:t>
      </w:r>
      <w:r w:rsidR="00A520F5">
        <w:rPr>
          <w:rFonts w:hint="cs"/>
          <w:rtl/>
          <w:lang w:bidi="ar-EG"/>
        </w:rPr>
        <w:t xml:space="preserve"> الأنسب لمناقشة هذه المواضيع. وفي ضوء ذلك</w:t>
      </w:r>
      <w:r w:rsidR="00DF32F6">
        <w:rPr>
          <w:rFonts w:hint="cs"/>
          <w:rtl/>
          <w:lang w:bidi="ar-EG"/>
        </w:rPr>
        <w:t>، تقترح هاتان الإدارتان ما</w:t>
      </w:r>
      <w:r w:rsidR="00DF32F6">
        <w:rPr>
          <w:rFonts w:hint="eastAsia"/>
          <w:rtl/>
          <w:lang w:bidi="ar-EG"/>
        </w:rPr>
        <w:t> </w:t>
      </w:r>
      <w:r w:rsidR="00DF32F6">
        <w:rPr>
          <w:rFonts w:hint="cs"/>
          <w:rtl/>
          <w:lang w:bidi="ar-EG"/>
        </w:rPr>
        <w:t>يلي:</w:t>
      </w:r>
    </w:p>
    <w:p w:rsidR="00371148" w:rsidRDefault="00371148" w:rsidP="00F144C5">
      <w:pPr>
        <w:pStyle w:val="enumlev1"/>
      </w:pPr>
      <w:r>
        <w:rPr>
          <w:rFonts w:ascii="Traditional Arabic" w:hAnsi="Traditional Arabic"/>
          <w:rtl/>
        </w:rPr>
        <w:t>•</w:t>
      </w:r>
      <w:r>
        <w:rPr>
          <w:rtl/>
        </w:rPr>
        <w:tab/>
      </w:r>
      <w:r w:rsidR="000B281D">
        <w:rPr>
          <w:rFonts w:hint="cs"/>
          <w:rtl/>
        </w:rPr>
        <w:t>يتضح من المساهمات المقدمة إلى مختلف اجتماعات الاتحاد والمنتديات ذات</w:t>
      </w:r>
      <w:r w:rsidR="00B643C5">
        <w:rPr>
          <w:rFonts w:hint="eastAsia"/>
          <w:rtl/>
          <w:lang w:bidi="ar-EG"/>
        </w:rPr>
        <w:t> </w:t>
      </w:r>
      <w:r w:rsidR="000B281D">
        <w:rPr>
          <w:rFonts w:hint="cs"/>
          <w:rtl/>
        </w:rPr>
        <w:t xml:space="preserve">الصلة أن هناك </w:t>
      </w:r>
      <w:r w:rsidR="0065192F">
        <w:rPr>
          <w:rFonts w:hint="cs"/>
          <w:rtl/>
        </w:rPr>
        <w:t>عدم وضوح بشأن نطاق الأشكال المختلقة لآثار الخدمات المتاحة بحرية على الإنترنت منها، على سبيل المثال لا</w:t>
      </w:r>
      <w:r w:rsidR="00B643C5">
        <w:rPr>
          <w:rFonts w:hint="eastAsia"/>
          <w:rtl/>
        </w:rPr>
        <w:t> </w:t>
      </w:r>
      <w:r w:rsidR="0065192F">
        <w:rPr>
          <w:rFonts w:hint="cs"/>
          <w:rtl/>
        </w:rPr>
        <w:t xml:space="preserve">الحصر، الانعكاسات الاقتصادية والاجتماعية والأمنية </w:t>
      </w:r>
      <w:r w:rsidR="00B643C5">
        <w:rPr>
          <w:rFonts w:hint="cs"/>
          <w:rtl/>
        </w:rPr>
        <w:t>لهذه الخدمات ضمن الأُ</w:t>
      </w:r>
      <w:r w:rsidR="000B4F86">
        <w:rPr>
          <w:rFonts w:hint="cs"/>
          <w:rtl/>
        </w:rPr>
        <w:t>طر الوطنية للإدارات. وهذا واضح أيضاً ويتجل</w:t>
      </w:r>
      <w:r w:rsidR="00B643C5">
        <w:rPr>
          <w:rFonts w:hint="cs"/>
          <w:rtl/>
        </w:rPr>
        <w:t>ّ</w:t>
      </w:r>
      <w:r w:rsidR="000B4F86">
        <w:rPr>
          <w:rFonts w:hint="cs"/>
          <w:rtl/>
        </w:rPr>
        <w:t>ى بالتالي في الحلول ال</w:t>
      </w:r>
      <w:r w:rsidR="00286D55">
        <w:rPr>
          <w:rFonts w:hint="cs"/>
          <w:rtl/>
        </w:rPr>
        <w:t xml:space="preserve">ممكنة </w:t>
      </w:r>
      <w:proofErr w:type="spellStart"/>
      <w:r w:rsidR="00F144C5">
        <w:rPr>
          <w:rFonts w:hint="cs"/>
          <w:rtl/>
        </w:rPr>
        <w:t>الموصى</w:t>
      </w:r>
      <w:proofErr w:type="spellEnd"/>
      <w:r w:rsidR="000B4F86">
        <w:rPr>
          <w:rFonts w:hint="cs"/>
          <w:rtl/>
        </w:rPr>
        <w:t xml:space="preserve"> بها في هذا الشأن. </w:t>
      </w:r>
      <w:r w:rsidR="00286D55">
        <w:rPr>
          <w:rFonts w:hint="cs"/>
          <w:rtl/>
        </w:rPr>
        <w:t xml:space="preserve">ومن ثم، ينبغي </w:t>
      </w:r>
      <w:r w:rsidR="009E0488">
        <w:rPr>
          <w:rFonts w:hint="cs"/>
          <w:rtl/>
        </w:rPr>
        <w:t xml:space="preserve">أن </w:t>
      </w:r>
      <w:r w:rsidR="00CC1AA3">
        <w:rPr>
          <w:rFonts w:hint="cs"/>
          <w:rtl/>
        </w:rPr>
        <w:t>ي</w:t>
      </w:r>
      <w:r w:rsidR="00B643C5">
        <w:rPr>
          <w:rFonts w:hint="cs"/>
          <w:rtl/>
        </w:rPr>
        <w:t>ُ</w:t>
      </w:r>
      <w:r w:rsidR="00CC1AA3">
        <w:rPr>
          <w:rFonts w:hint="cs"/>
          <w:rtl/>
        </w:rPr>
        <w:t>سارع ا</w:t>
      </w:r>
      <w:r w:rsidR="00286D55">
        <w:rPr>
          <w:rFonts w:hint="cs"/>
          <w:rtl/>
        </w:rPr>
        <w:t xml:space="preserve">لاتحاد </w:t>
      </w:r>
      <w:r w:rsidR="00CC1AA3">
        <w:rPr>
          <w:rFonts w:hint="cs"/>
          <w:rtl/>
        </w:rPr>
        <w:t xml:space="preserve">إلى تعزيز </w:t>
      </w:r>
      <w:r w:rsidR="00286D55">
        <w:rPr>
          <w:rFonts w:hint="cs"/>
          <w:rtl/>
          <w:lang w:bidi="ar-EG"/>
        </w:rPr>
        <w:t>عروضه</w:t>
      </w:r>
      <w:r w:rsidR="00286D55">
        <w:rPr>
          <w:rFonts w:hint="cs"/>
          <w:rtl/>
        </w:rPr>
        <w:t xml:space="preserve"> </w:t>
      </w:r>
      <w:r w:rsidR="009E0488">
        <w:rPr>
          <w:rFonts w:hint="cs"/>
          <w:rtl/>
        </w:rPr>
        <w:t>المتعلقة ب</w:t>
      </w:r>
      <w:r w:rsidR="00286D55">
        <w:rPr>
          <w:rFonts w:hint="cs"/>
          <w:rtl/>
        </w:rPr>
        <w:t xml:space="preserve">بناء القدرات </w:t>
      </w:r>
      <w:r w:rsidR="00CC1AA3">
        <w:rPr>
          <w:rFonts w:hint="cs"/>
          <w:rtl/>
        </w:rPr>
        <w:t xml:space="preserve">في مجال الموضوع الأساسي </w:t>
      </w:r>
      <w:r w:rsidR="009E0488">
        <w:rPr>
          <w:rFonts w:hint="cs"/>
          <w:rtl/>
        </w:rPr>
        <w:t>ل</w:t>
      </w:r>
      <w:r w:rsidR="00CC1AA3">
        <w:rPr>
          <w:rFonts w:hint="cs"/>
          <w:rtl/>
        </w:rPr>
        <w:t>لخدمات المتاحة بحرية على الإنترنت، خاصة في البل</w:t>
      </w:r>
      <w:r w:rsidR="00B643C5">
        <w:rPr>
          <w:rFonts w:hint="cs"/>
          <w:rtl/>
        </w:rPr>
        <w:t>دان النامية وأقل البلدان نمواً.</w:t>
      </w:r>
    </w:p>
    <w:p w:rsidR="00371148" w:rsidRPr="00DF32F6" w:rsidRDefault="00371148" w:rsidP="002A5D63">
      <w:pPr>
        <w:pStyle w:val="enumlev1"/>
      </w:pPr>
      <w:r w:rsidRPr="00DF32F6">
        <w:rPr>
          <w:rtl/>
        </w:rPr>
        <w:t>•</w:t>
      </w:r>
      <w:r w:rsidRPr="00DF32F6">
        <w:rPr>
          <w:rtl/>
        </w:rPr>
        <w:tab/>
      </w:r>
      <w:r w:rsidR="001A1A85" w:rsidRPr="00DF32F6">
        <w:rPr>
          <w:rFonts w:hint="cs"/>
          <w:rtl/>
        </w:rPr>
        <w:t xml:space="preserve">ينبغي أن </w:t>
      </w:r>
      <w:r w:rsidR="004F6144" w:rsidRPr="00DF32F6">
        <w:rPr>
          <w:rFonts w:hint="cs"/>
          <w:rtl/>
        </w:rPr>
        <w:t>تستند عروض وبرامج بناء القدرات إلى خصائص كل منطقة وأن تصمَّم وفقاً للشواغل المحددة للمنطقة، مع</w:t>
      </w:r>
      <w:r w:rsidR="002A5D63">
        <w:rPr>
          <w:rFonts w:hint="eastAsia"/>
          <w:rtl/>
        </w:rPr>
        <w:t> </w:t>
      </w:r>
      <w:r w:rsidR="00FB5873" w:rsidRPr="00DF32F6">
        <w:rPr>
          <w:rFonts w:hint="cs"/>
          <w:rtl/>
        </w:rPr>
        <w:t>مراعاة اخت</w:t>
      </w:r>
      <w:r w:rsidR="00B643C5">
        <w:rPr>
          <w:rFonts w:hint="cs"/>
          <w:rtl/>
        </w:rPr>
        <w:t>لاف الخصائص الجغرافية والأسواق.</w:t>
      </w:r>
    </w:p>
    <w:p w:rsidR="00371148" w:rsidRPr="00DF32F6" w:rsidRDefault="00371148" w:rsidP="00DF32F6">
      <w:pPr>
        <w:pStyle w:val="enumlev1"/>
      </w:pPr>
      <w:r w:rsidRPr="00DF32F6">
        <w:rPr>
          <w:rtl/>
        </w:rPr>
        <w:t>•</w:t>
      </w:r>
      <w:r w:rsidRPr="00DF32F6">
        <w:rPr>
          <w:rtl/>
        </w:rPr>
        <w:tab/>
      </w:r>
      <w:r w:rsidR="00FB5873" w:rsidRPr="00DF32F6">
        <w:rPr>
          <w:rFonts w:hint="cs"/>
          <w:rtl/>
        </w:rPr>
        <w:t xml:space="preserve">يمكن تنظيم برامج بناء القدرات </w:t>
      </w:r>
      <w:r w:rsidR="00DF32F6" w:rsidRPr="00DF32F6">
        <w:rPr>
          <w:rFonts w:hint="cs"/>
          <w:rtl/>
        </w:rPr>
        <w:t>بالاقتران</w:t>
      </w:r>
      <w:r w:rsidR="00FB5873" w:rsidRPr="00DF32F6">
        <w:rPr>
          <w:rFonts w:hint="cs"/>
          <w:rtl/>
        </w:rPr>
        <w:t xml:space="preserve"> مع أي أحداث </w:t>
      </w:r>
      <w:r w:rsidR="00C77E77" w:rsidRPr="00DF32F6">
        <w:rPr>
          <w:rFonts w:hint="cs"/>
          <w:rtl/>
        </w:rPr>
        <w:t>إقليمية أخرى ينظمها ا</w:t>
      </w:r>
      <w:r w:rsidR="00FB5873" w:rsidRPr="00DF32F6">
        <w:rPr>
          <w:rFonts w:hint="cs"/>
          <w:rtl/>
        </w:rPr>
        <w:t>لا</w:t>
      </w:r>
      <w:r w:rsidR="00C77E77" w:rsidRPr="00DF32F6">
        <w:rPr>
          <w:rFonts w:hint="cs"/>
          <w:rtl/>
        </w:rPr>
        <w:t>تحاد، للحد من أثر التكلفة.</w:t>
      </w:r>
    </w:p>
    <w:p w:rsidR="00371148" w:rsidRPr="00DF32F6" w:rsidRDefault="00371148" w:rsidP="00B643C5">
      <w:pPr>
        <w:pStyle w:val="enumlev1"/>
      </w:pPr>
      <w:r w:rsidRPr="00DF32F6">
        <w:rPr>
          <w:rtl/>
        </w:rPr>
        <w:t>•</w:t>
      </w:r>
      <w:r w:rsidRPr="00DF32F6">
        <w:rPr>
          <w:rtl/>
        </w:rPr>
        <w:tab/>
      </w:r>
      <w:r w:rsidR="001A1A85" w:rsidRPr="00DF32F6">
        <w:rPr>
          <w:rFonts w:hint="cs"/>
          <w:rtl/>
        </w:rPr>
        <w:t>يحد</w:t>
      </w:r>
      <w:r w:rsidR="00B643C5">
        <w:rPr>
          <w:rFonts w:hint="cs"/>
          <w:rtl/>
        </w:rPr>
        <w:t>ِّ</w:t>
      </w:r>
      <w:r w:rsidR="001A1A85" w:rsidRPr="00DF32F6">
        <w:rPr>
          <w:rFonts w:hint="cs"/>
          <w:rtl/>
        </w:rPr>
        <w:t>د الأمين العام للاتحاد في تقريره السنوي إلى المجلس الخطوات الواضحة والأهداف الرئيسية التي يرغب الاتحاد في</w:t>
      </w:r>
      <w:r w:rsidR="00B643C5">
        <w:rPr>
          <w:rFonts w:hint="eastAsia"/>
          <w:rtl/>
        </w:rPr>
        <w:t> </w:t>
      </w:r>
      <w:r w:rsidR="001A1A85" w:rsidRPr="00DF32F6">
        <w:rPr>
          <w:rFonts w:hint="cs"/>
          <w:rtl/>
        </w:rPr>
        <w:t>تحقيقها بشأن هذا الموضوع بما</w:t>
      </w:r>
      <w:r w:rsidR="00B643C5">
        <w:rPr>
          <w:rFonts w:hint="eastAsia"/>
          <w:rtl/>
        </w:rPr>
        <w:t> </w:t>
      </w:r>
      <w:r w:rsidR="001A1A85" w:rsidRPr="00DF32F6">
        <w:rPr>
          <w:rFonts w:hint="cs"/>
          <w:rtl/>
        </w:rPr>
        <w:t>في</w:t>
      </w:r>
      <w:r w:rsidR="00B643C5">
        <w:rPr>
          <w:rFonts w:hint="eastAsia"/>
          <w:rtl/>
        </w:rPr>
        <w:t> </w:t>
      </w:r>
      <w:r w:rsidR="001A1A85" w:rsidRPr="00DF32F6">
        <w:rPr>
          <w:rFonts w:hint="cs"/>
          <w:rtl/>
        </w:rPr>
        <w:t>ذلك، على سبيل المثال لا</w:t>
      </w:r>
      <w:r w:rsidR="00B643C5">
        <w:rPr>
          <w:rFonts w:hint="eastAsia"/>
          <w:rtl/>
        </w:rPr>
        <w:t> </w:t>
      </w:r>
      <w:r w:rsidR="001A1A85" w:rsidRPr="00DF32F6">
        <w:rPr>
          <w:rFonts w:hint="cs"/>
          <w:rtl/>
        </w:rPr>
        <w:t xml:space="preserve">الحصر، </w:t>
      </w:r>
      <w:r w:rsidR="007E4A43" w:rsidRPr="00DF32F6">
        <w:rPr>
          <w:rFonts w:hint="cs"/>
          <w:rtl/>
        </w:rPr>
        <w:t xml:space="preserve">بناء القدرات وجمع أصحاب المصلحة والتعاون كذلك مع منظمات </w:t>
      </w:r>
      <w:r w:rsidR="003A4C2F" w:rsidRPr="00DF32F6">
        <w:rPr>
          <w:rFonts w:hint="cs"/>
          <w:rtl/>
        </w:rPr>
        <w:t>ا</w:t>
      </w:r>
      <w:r w:rsidR="007E4A43" w:rsidRPr="00DF32F6">
        <w:rPr>
          <w:rFonts w:hint="cs"/>
          <w:rtl/>
        </w:rPr>
        <w:t>لأمم المتحدة و</w:t>
      </w:r>
      <w:r w:rsidR="003A4C2F" w:rsidRPr="00DF32F6">
        <w:rPr>
          <w:rFonts w:hint="cs"/>
          <w:rtl/>
        </w:rPr>
        <w:t xml:space="preserve">المنظمات </w:t>
      </w:r>
      <w:r w:rsidR="007E4A43" w:rsidRPr="00DF32F6">
        <w:rPr>
          <w:rFonts w:hint="cs"/>
          <w:rtl/>
        </w:rPr>
        <w:t>الدولية ال</w:t>
      </w:r>
      <w:r w:rsidR="00B643C5">
        <w:rPr>
          <w:rFonts w:hint="cs"/>
          <w:rtl/>
        </w:rPr>
        <w:t>أخرى.</w:t>
      </w:r>
    </w:p>
    <w:p w:rsidR="00371148" w:rsidRPr="00DF32F6" w:rsidRDefault="00371148" w:rsidP="00B643C5">
      <w:pPr>
        <w:pStyle w:val="enumlev1"/>
        <w:rPr>
          <w:rtl/>
        </w:rPr>
      </w:pPr>
      <w:r w:rsidRPr="00DF32F6">
        <w:rPr>
          <w:rtl/>
        </w:rPr>
        <w:t>•</w:t>
      </w:r>
      <w:r w:rsidRPr="00DF32F6">
        <w:rPr>
          <w:rtl/>
        </w:rPr>
        <w:tab/>
      </w:r>
      <w:r w:rsidR="007E4A43" w:rsidRPr="00DF32F6">
        <w:rPr>
          <w:rFonts w:hint="cs"/>
          <w:rtl/>
        </w:rPr>
        <w:t>ينبغي تحديث التقارير ذات</w:t>
      </w:r>
      <w:r w:rsidR="00B643C5">
        <w:rPr>
          <w:rFonts w:hint="eastAsia"/>
          <w:rtl/>
        </w:rPr>
        <w:t> </w:t>
      </w:r>
      <w:r w:rsidR="007E4A43" w:rsidRPr="00DF32F6">
        <w:rPr>
          <w:rFonts w:hint="cs"/>
          <w:rtl/>
        </w:rPr>
        <w:t xml:space="preserve">الصلة في قطاع تقييس الاتصالات وقطاع تنمية الاتصالات بشأن </w:t>
      </w:r>
      <w:r w:rsidR="00DF32F6" w:rsidRPr="00DF32F6">
        <w:rPr>
          <w:rFonts w:hint="cs"/>
          <w:rtl/>
        </w:rPr>
        <w:t>موضوع</w:t>
      </w:r>
      <w:r w:rsidR="007E4A43" w:rsidRPr="00DF32F6">
        <w:rPr>
          <w:rFonts w:hint="cs"/>
          <w:rtl/>
        </w:rPr>
        <w:t xml:space="preserve"> الخدمات المتاحة بحرية على الإنترنت على أساس سنوي/منتظم</w:t>
      </w:r>
      <w:r w:rsidR="003A4C2F" w:rsidRPr="00DF32F6">
        <w:rPr>
          <w:rFonts w:hint="cs"/>
          <w:rtl/>
        </w:rPr>
        <w:t>،</w:t>
      </w:r>
      <w:r w:rsidR="007E4A43" w:rsidRPr="00DF32F6">
        <w:rPr>
          <w:rFonts w:hint="cs"/>
          <w:rtl/>
        </w:rPr>
        <w:t xml:space="preserve"> </w:t>
      </w:r>
      <w:r w:rsidR="00E66D10" w:rsidRPr="00DF32F6">
        <w:rPr>
          <w:rFonts w:hint="cs"/>
          <w:rtl/>
        </w:rPr>
        <w:t>تبعاً للمناقشات التي دارت في مؤتمر المندوبين المفوضين لعام</w:t>
      </w:r>
      <w:r w:rsidR="00B643C5">
        <w:rPr>
          <w:rFonts w:hint="eastAsia"/>
          <w:rtl/>
        </w:rPr>
        <w:t> </w:t>
      </w:r>
      <w:r w:rsidR="00E66D10" w:rsidRPr="00DF32F6">
        <w:t>2018</w:t>
      </w:r>
      <w:r w:rsidR="00E66D10" w:rsidRPr="00DF32F6">
        <w:rPr>
          <w:rFonts w:hint="cs"/>
          <w:rtl/>
        </w:rPr>
        <w:t>.</w:t>
      </w:r>
    </w:p>
    <w:p w:rsidR="00371148" w:rsidRPr="00DF32F6" w:rsidRDefault="00371148" w:rsidP="00B643C5">
      <w:pPr>
        <w:pStyle w:val="enumlev1"/>
        <w:rPr>
          <w:rtl/>
        </w:rPr>
      </w:pPr>
      <w:r w:rsidRPr="00DF32F6">
        <w:rPr>
          <w:rtl/>
        </w:rPr>
        <w:t>•</w:t>
      </w:r>
      <w:r w:rsidRPr="00DF32F6">
        <w:rPr>
          <w:rtl/>
        </w:rPr>
        <w:tab/>
      </w:r>
      <w:r w:rsidR="00E66D10" w:rsidRPr="00DF32F6">
        <w:rPr>
          <w:rFonts w:hint="cs"/>
          <w:rtl/>
        </w:rPr>
        <w:t xml:space="preserve">ينبغي أن يضطلع الاتحاد بدوره في </w:t>
      </w:r>
      <w:r w:rsidR="005A1521" w:rsidRPr="00DF32F6">
        <w:rPr>
          <w:rFonts w:hint="cs"/>
          <w:rtl/>
        </w:rPr>
        <w:t>تقريب</w:t>
      </w:r>
      <w:r w:rsidR="00E66D10" w:rsidRPr="00DF32F6">
        <w:rPr>
          <w:rFonts w:hint="cs"/>
          <w:rtl/>
        </w:rPr>
        <w:t xml:space="preserve"> وجهات النظر </w:t>
      </w:r>
      <w:r w:rsidR="003A4C2F" w:rsidRPr="00DF32F6">
        <w:rPr>
          <w:rFonts w:hint="cs"/>
          <w:rtl/>
        </w:rPr>
        <w:t>المتباعدة</w:t>
      </w:r>
      <w:r w:rsidR="00E66D10" w:rsidRPr="00DF32F6">
        <w:rPr>
          <w:rFonts w:hint="cs"/>
          <w:rtl/>
        </w:rPr>
        <w:t xml:space="preserve"> لأصحاب المصلحة </w:t>
      </w:r>
      <w:r w:rsidR="005A1521" w:rsidRPr="00DF32F6">
        <w:rPr>
          <w:rFonts w:hint="cs"/>
          <w:rtl/>
        </w:rPr>
        <w:t xml:space="preserve">في فترة الدراسة الحالية من خلال تنظيم عدة لقاءات متعددة أصحاب المصلحة بهدف واضح هو </w:t>
      </w:r>
      <w:r w:rsidR="00580310" w:rsidRPr="00DF32F6">
        <w:rPr>
          <w:rFonts w:hint="cs"/>
          <w:rtl/>
        </w:rPr>
        <w:t>ال</w:t>
      </w:r>
      <w:r w:rsidR="005A1521" w:rsidRPr="00DF32F6">
        <w:rPr>
          <w:rFonts w:hint="cs"/>
          <w:rtl/>
        </w:rPr>
        <w:t xml:space="preserve">تقريب </w:t>
      </w:r>
      <w:r w:rsidR="00580310" w:rsidRPr="00DF32F6">
        <w:rPr>
          <w:rFonts w:hint="cs"/>
          <w:rtl/>
        </w:rPr>
        <w:t xml:space="preserve">بين </w:t>
      </w:r>
      <w:r w:rsidR="003A4C2F" w:rsidRPr="00DF32F6">
        <w:rPr>
          <w:rFonts w:hint="cs"/>
          <w:rtl/>
        </w:rPr>
        <w:t>وجهات النظر المتباعدة ل</w:t>
      </w:r>
      <w:r w:rsidR="00580310" w:rsidRPr="00DF32F6">
        <w:rPr>
          <w:rFonts w:hint="cs"/>
          <w:rtl/>
        </w:rPr>
        <w:t>أصحاب المصلحة وزيادة تعزيز فلسفة التعايش فيما</w:t>
      </w:r>
      <w:r w:rsidR="00B643C5">
        <w:rPr>
          <w:rFonts w:hint="eastAsia"/>
          <w:rtl/>
        </w:rPr>
        <w:t> </w:t>
      </w:r>
      <w:r w:rsidR="00580310" w:rsidRPr="00DF32F6">
        <w:rPr>
          <w:rFonts w:hint="cs"/>
          <w:rtl/>
        </w:rPr>
        <w:t>بينهم.</w:t>
      </w:r>
    </w:p>
    <w:p w:rsidR="0074420E" w:rsidRDefault="00F2676C" w:rsidP="00F2676C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SY"/>
        </w:rPr>
        <w:lastRenderedPageBreak/>
        <w:t>___________</w:t>
      </w:r>
    </w:p>
    <w:sectPr w:rsidR="0074420E" w:rsidSect="006C3242">
      <w:headerReference w:type="default" r:id="rId10"/>
      <w:footerReference w:type="default" r:id="rId11"/>
      <w:footerReference w:type="first" r:id="rId12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AF3" w:rsidRDefault="00353AF3" w:rsidP="006C3242">
      <w:pPr>
        <w:spacing w:before="0" w:line="240" w:lineRule="auto"/>
      </w:pPr>
      <w:r>
        <w:separator/>
      </w:r>
    </w:p>
  </w:endnote>
  <w:endnote w:type="continuationSeparator" w:id="0">
    <w:p w:rsidR="00353AF3" w:rsidRDefault="00353AF3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42" w:rsidRPr="006C3242" w:rsidRDefault="006C3242" w:rsidP="00371148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42" w:rsidRPr="006C3242" w:rsidRDefault="006C3242" w:rsidP="006C3242">
    <w:pPr>
      <w:pStyle w:val="Footer"/>
      <w:spacing w:before="120" w:after="120"/>
      <w:jc w:val="center"/>
      <w:rPr>
        <w:rFonts w:ascii="Calibri" w:hAnsi="Calibri" w:cs="Calibri"/>
        <w:sz w:val="20"/>
        <w:lang w:val="fr-FR"/>
      </w:rPr>
    </w:pPr>
    <w:r w:rsidRPr="006C3242">
      <w:rPr>
        <w:rFonts w:ascii="Calibri" w:hAnsi="Calibri" w:cs="Calibri"/>
        <w:sz w:val="20"/>
        <w:lang w:val="fr-FR"/>
      </w:rPr>
      <w:t xml:space="preserve">• </w:t>
    </w:r>
    <w:hyperlink r:id="rId1" w:history="1">
      <w:r w:rsidRPr="006C3242">
        <w:rPr>
          <w:rStyle w:val="Hyperlink"/>
          <w:rFonts w:ascii="Calibri" w:hAnsi="Calibri" w:cs="Calibri"/>
          <w:sz w:val="20"/>
          <w:lang w:val="fr-FR"/>
        </w:rPr>
        <w:t>http://www.itu.int/council</w:t>
      </w:r>
    </w:hyperlink>
    <w:r w:rsidRPr="006C3242">
      <w:rPr>
        <w:rFonts w:ascii="Calibri" w:hAnsi="Calibri" w:cs="Calibri"/>
        <w:sz w:val="20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AF3" w:rsidRDefault="00353AF3" w:rsidP="006C3242">
      <w:pPr>
        <w:spacing w:before="0" w:line="240" w:lineRule="auto"/>
      </w:pPr>
      <w:r>
        <w:separator/>
      </w:r>
    </w:p>
  </w:footnote>
  <w:footnote w:type="continuationSeparator" w:id="0">
    <w:p w:rsidR="00353AF3" w:rsidRDefault="00353AF3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F32" w:rsidRPr="00447F32" w:rsidRDefault="009608A2" w:rsidP="00371148">
    <w:pPr>
      <w:pStyle w:val="Header"/>
      <w:bidi w:val="0"/>
      <w:spacing w:before="120" w:after="240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  <w:t>C1</w:t>
        </w:r>
        <w:r w:rsidR="00D10CCF">
          <w:rPr>
            <w:rFonts w:cs="Calibri"/>
            <w:noProof/>
            <w:sz w:val="20"/>
            <w:szCs w:val="20"/>
          </w:rPr>
          <w:t>9</w:t>
        </w:r>
        <w:r w:rsidR="00447F32" w:rsidRPr="00447F32">
          <w:rPr>
            <w:rFonts w:cs="Calibri"/>
            <w:noProof/>
            <w:sz w:val="20"/>
            <w:szCs w:val="20"/>
          </w:rPr>
          <w:t>/</w:t>
        </w:r>
        <w:r w:rsidR="00371148">
          <w:rPr>
            <w:rFonts w:cs="Calibri"/>
            <w:noProof/>
            <w:sz w:val="20"/>
            <w:szCs w:val="20"/>
          </w:rPr>
          <w:t>102</w:t>
        </w:r>
        <w:r w:rsidR="00447F32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F3"/>
    <w:rsid w:val="00090574"/>
    <w:rsid w:val="000B172C"/>
    <w:rsid w:val="000B281D"/>
    <w:rsid w:val="000B4F86"/>
    <w:rsid w:val="000C1C0E"/>
    <w:rsid w:val="000C548A"/>
    <w:rsid w:val="001A1A85"/>
    <w:rsid w:val="001C0169"/>
    <w:rsid w:val="001C1A22"/>
    <w:rsid w:val="001D1D50"/>
    <w:rsid w:val="001D6745"/>
    <w:rsid w:val="001E446E"/>
    <w:rsid w:val="002154EE"/>
    <w:rsid w:val="002276D2"/>
    <w:rsid w:val="0023283D"/>
    <w:rsid w:val="00237477"/>
    <w:rsid w:val="002457F9"/>
    <w:rsid w:val="00271C43"/>
    <w:rsid w:val="00286D55"/>
    <w:rsid w:val="00290728"/>
    <w:rsid w:val="002978F4"/>
    <w:rsid w:val="002A5D63"/>
    <w:rsid w:val="002A6CE9"/>
    <w:rsid w:val="002B028D"/>
    <w:rsid w:val="002E6541"/>
    <w:rsid w:val="00334924"/>
    <w:rsid w:val="003409BC"/>
    <w:rsid w:val="00353AF3"/>
    <w:rsid w:val="00357185"/>
    <w:rsid w:val="00371148"/>
    <w:rsid w:val="00383829"/>
    <w:rsid w:val="003A4C2F"/>
    <w:rsid w:val="003A6441"/>
    <w:rsid w:val="003F4B29"/>
    <w:rsid w:val="0042686F"/>
    <w:rsid w:val="004317D8"/>
    <w:rsid w:val="00434183"/>
    <w:rsid w:val="00443869"/>
    <w:rsid w:val="00447F32"/>
    <w:rsid w:val="00456DAB"/>
    <w:rsid w:val="004E11DC"/>
    <w:rsid w:val="004F6144"/>
    <w:rsid w:val="0050314C"/>
    <w:rsid w:val="00504DE8"/>
    <w:rsid w:val="005409AC"/>
    <w:rsid w:val="0055516A"/>
    <w:rsid w:val="0056598F"/>
    <w:rsid w:val="00580310"/>
    <w:rsid w:val="0058491B"/>
    <w:rsid w:val="00592EA5"/>
    <w:rsid w:val="005A1521"/>
    <w:rsid w:val="005A3170"/>
    <w:rsid w:val="00623015"/>
    <w:rsid w:val="00647587"/>
    <w:rsid w:val="0065192F"/>
    <w:rsid w:val="00654A96"/>
    <w:rsid w:val="006559B8"/>
    <w:rsid w:val="00677396"/>
    <w:rsid w:val="0069200F"/>
    <w:rsid w:val="006A65CB"/>
    <w:rsid w:val="006C3242"/>
    <w:rsid w:val="006C7CC0"/>
    <w:rsid w:val="006F63F7"/>
    <w:rsid w:val="007025C7"/>
    <w:rsid w:val="00706D7A"/>
    <w:rsid w:val="00722F0D"/>
    <w:rsid w:val="007345AF"/>
    <w:rsid w:val="0074420E"/>
    <w:rsid w:val="00783E26"/>
    <w:rsid w:val="007C3BC7"/>
    <w:rsid w:val="007D4ACF"/>
    <w:rsid w:val="007E4A43"/>
    <w:rsid w:val="007F0787"/>
    <w:rsid w:val="00810B7B"/>
    <w:rsid w:val="0082358A"/>
    <w:rsid w:val="008235CD"/>
    <w:rsid w:val="008247DE"/>
    <w:rsid w:val="00840B10"/>
    <w:rsid w:val="008513CB"/>
    <w:rsid w:val="00871DF0"/>
    <w:rsid w:val="008C15BB"/>
    <w:rsid w:val="009136BD"/>
    <w:rsid w:val="00923B0C"/>
    <w:rsid w:val="0094021C"/>
    <w:rsid w:val="009500AE"/>
    <w:rsid w:val="00952F86"/>
    <w:rsid w:val="009608A2"/>
    <w:rsid w:val="00982B28"/>
    <w:rsid w:val="009B76FC"/>
    <w:rsid w:val="009D313F"/>
    <w:rsid w:val="009E0488"/>
    <w:rsid w:val="009E197C"/>
    <w:rsid w:val="00A47592"/>
    <w:rsid w:val="00A47A5A"/>
    <w:rsid w:val="00A520F5"/>
    <w:rsid w:val="00A6683B"/>
    <w:rsid w:val="00A97F94"/>
    <w:rsid w:val="00B05BC8"/>
    <w:rsid w:val="00B30ECE"/>
    <w:rsid w:val="00B3111D"/>
    <w:rsid w:val="00B556BA"/>
    <w:rsid w:val="00B643C5"/>
    <w:rsid w:val="00B64B47"/>
    <w:rsid w:val="00BB5CA8"/>
    <w:rsid w:val="00C002DE"/>
    <w:rsid w:val="00C53BF8"/>
    <w:rsid w:val="00C66157"/>
    <w:rsid w:val="00C674FE"/>
    <w:rsid w:val="00C67501"/>
    <w:rsid w:val="00C75633"/>
    <w:rsid w:val="00C77E77"/>
    <w:rsid w:val="00CC1AA3"/>
    <w:rsid w:val="00CE2EE1"/>
    <w:rsid w:val="00CE3349"/>
    <w:rsid w:val="00CF3FFD"/>
    <w:rsid w:val="00D06879"/>
    <w:rsid w:val="00D10CCF"/>
    <w:rsid w:val="00D77D0F"/>
    <w:rsid w:val="00DA1CF0"/>
    <w:rsid w:val="00DC1E02"/>
    <w:rsid w:val="00DC24B4"/>
    <w:rsid w:val="00DF16DC"/>
    <w:rsid w:val="00DF32F6"/>
    <w:rsid w:val="00E32585"/>
    <w:rsid w:val="00E45211"/>
    <w:rsid w:val="00E66D10"/>
    <w:rsid w:val="00E92863"/>
    <w:rsid w:val="00EB796D"/>
    <w:rsid w:val="00EF01C1"/>
    <w:rsid w:val="00EF70CE"/>
    <w:rsid w:val="00F058DC"/>
    <w:rsid w:val="00F1380E"/>
    <w:rsid w:val="00F144C5"/>
    <w:rsid w:val="00F24FC4"/>
    <w:rsid w:val="00F2676C"/>
    <w:rsid w:val="00F84366"/>
    <w:rsid w:val="00F85089"/>
    <w:rsid w:val="00FA6F46"/>
    <w:rsid w:val="00FB5873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18E3C488-52A9-4032-9186-09DDB406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396"/>
    <w:pPr>
      <w:tabs>
        <w:tab w:val="left" w:pos="794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396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396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396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7396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5872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5872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5872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5872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5872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677396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77396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7396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677396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DC24B4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C24B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7C3BC7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No">
    <w:name w:val="Dec_No"/>
    <w:basedOn w:val="Normal"/>
    <w:qFormat/>
    <w:rsid w:val="00CE3349"/>
    <w:pPr>
      <w:keepNext/>
      <w:keepLines/>
      <w:spacing w:before="360"/>
      <w:jc w:val="center"/>
    </w:pPr>
    <w:rPr>
      <w:sz w:val="26"/>
      <w:szCs w:val="36"/>
    </w:rPr>
  </w:style>
  <w:style w:type="paragraph" w:customStyle="1" w:styleId="Dectitle">
    <w:name w:val="Dec_title"/>
    <w:basedOn w:val="Dec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DF32F6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E5872"/>
    <w:pPr>
      <w:spacing w:before="80"/>
      <w:ind w:left="2268" w:hanging="1134"/>
      <w:outlineLvl w:val="1"/>
    </w:pPr>
  </w:style>
  <w:style w:type="paragraph" w:customStyle="1" w:styleId="enumlev3">
    <w:name w:val="enumlev 3"/>
    <w:basedOn w:val="Normal"/>
    <w:qFormat/>
    <w:rsid w:val="00FE5872"/>
    <w:pPr>
      <w:spacing w:before="80"/>
      <w:ind w:left="3119" w:hanging="113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B64B47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E5872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317D8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722F0D"/>
    <w:pPr>
      <w:keepNext/>
      <w:keepLines/>
      <w:spacing w:before="72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A6683B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A6683B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810B7B"/>
    <w:pPr>
      <w:keepNext/>
      <w:spacing w:before="240"/>
      <w:jc w:val="center"/>
    </w:pPr>
    <w:rPr>
      <w:w w:val="120"/>
      <w:sz w:val="28"/>
      <w:szCs w:val="40"/>
    </w:rPr>
  </w:style>
  <w:style w:type="paragraph" w:customStyle="1" w:styleId="Title2">
    <w:name w:val="Title 2"/>
    <w:basedOn w:val="Normal"/>
    <w:qFormat/>
    <w:rsid w:val="00DF32F6"/>
    <w:pPr>
      <w:keepNext/>
      <w:spacing w:before="240"/>
      <w:jc w:val="center"/>
    </w:pPr>
    <w:rPr>
      <w:w w:val="120"/>
      <w:sz w:val="26"/>
      <w:szCs w:val="36"/>
    </w:rPr>
  </w:style>
  <w:style w:type="paragraph" w:customStyle="1" w:styleId="Title3">
    <w:name w:val="Title 3"/>
    <w:basedOn w:val="Normal"/>
    <w:qFormat/>
    <w:rsid w:val="001D6745"/>
    <w:pPr>
      <w:keepNext/>
      <w:spacing w:before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CE3349"/>
    <w:pPr>
      <w:keepNext/>
      <w:keepLines/>
      <w:spacing w:before="360"/>
      <w:jc w:val="center"/>
    </w:pPr>
    <w:rPr>
      <w:sz w:val="26"/>
      <w:szCs w:val="36"/>
    </w:rPr>
  </w:style>
  <w:style w:type="paragraph" w:customStyle="1" w:styleId="Restitle">
    <w:name w:val="Res_title"/>
    <w:basedOn w:val="Normal"/>
    <w:qFormat/>
    <w:rsid w:val="00CE3349"/>
    <w:pPr>
      <w:keepNext/>
      <w:keepLines/>
      <w:spacing w:before="24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24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242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iPriority w:val="99"/>
    <w:unhideWhenUsed/>
    <w:rsid w:val="00271C43"/>
    <w:rPr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7C3BC7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7C3BC7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7C3BC7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E5872"/>
    <w:pPr>
      <w:keepNext/>
      <w:spacing w:before="240"/>
      <w:ind w:left="1134" w:hanging="1134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/RES-206-A.pdf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6CA3F-0294-4516-BE71-FE3129035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Alnatoor, Ehsan</dc:creator>
  <cp:keywords/>
  <dc:description/>
  <cp:lastModifiedBy>Janin, Patricia</cp:lastModifiedBy>
  <cp:revision>4</cp:revision>
  <cp:lastPrinted>2019-06-10T12:57:00Z</cp:lastPrinted>
  <dcterms:created xsi:type="dcterms:W3CDTF">2019-06-10T15:13:00Z</dcterms:created>
  <dcterms:modified xsi:type="dcterms:W3CDTF">2019-06-10T15:13:00Z</dcterms:modified>
</cp:coreProperties>
</file>