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92392D">
        <w:trPr>
          <w:cantSplit/>
        </w:trPr>
        <w:tc>
          <w:tcPr>
            <w:tcW w:w="6912" w:type="dxa"/>
          </w:tcPr>
          <w:p w:rsidR="00520F36" w:rsidRPr="0092392D" w:rsidRDefault="00520F36" w:rsidP="00106B19">
            <w:pPr>
              <w:spacing w:before="360"/>
              <w:rPr>
                <w:lang w:val="fr-CH"/>
              </w:rPr>
            </w:pPr>
            <w:bookmarkStart w:id="0" w:name="dc06"/>
            <w:bookmarkEnd w:id="0"/>
            <w:r w:rsidRPr="00520F36">
              <w:rPr>
                <w:b/>
                <w:bCs/>
                <w:sz w:val="30"/>
                <w:szCs w:val="30"/>
                <w:lang w:val="fr-CH"/>
              </w:rPr>
              <w:t>Conseil 201</w:t>
            </w:r>
            <w:r w:rsidR="00106B19">
              <w:rPr>
                <w:b/>
                <w:bCs/>
                <w:sz w:val="30"/>
                <w:szCs w:val="30"/>
                <w:lang w:val="fr-CH"/>
              </w:rPr>
              <w:t>9</w:t>
            </w:r>
            <w:r w:rsidRPr="00520F36">
              <w:rPr>
                <w:rFonts w:ascii="Verdana" w:hAnsi="Verdana"/>
                <w:b/>
                <w:bCs/>
                <w:sz w:val="26"/>
                <w:szCs w:val="26"/>
                <w:lang w:val="fr-CH"/>
              </w:rPr>
              <w:br/>
            </w:r>
            <w:r w:rsidRPr="00520F36">
              <w:rPr>
                <w:b/>
                <w:bCs/>
                <w:szCs w:val="24"/>
                <w:lang w:val="fr-CH"/>
              </w:rPr>
              <w:t>Gen</w:t>
            </w:r>
            <w:r w:rsidRPr="00520F36">
              <w:rPr>
                <w:b/>
                <w:bCs/>
                <w:szCs w:val="24"/>
                <w:lang w:val="en-US"/>
              </w:rPr>
              <w:t>ève</w:t>
            </w:r>
            <w:r w:rsidRPr="00520F36">
              <w:rPr>
                <w:b/>
                <w:bCs/>
                <w:szCs w:val="24"/>
                <w:lang w:val="fr-CH"/>
              </w:rPr>
              <w:t xml:space="preserve">, </w:t>
            </w:r>
            <w:r w:rsidR="00106B19">
              <w:rPr>
                <w:b/>
                <w:bCs/>
                <w:szCs w:val="24"/>
                <w:lang w:val="fr-CH"/>
              </w:rPr>
              <w:t>10</w:t>
            </w:r>
            <w:r w:rsidRPr="00520F36">
              <w:rPr>
                <w:b/>
                <w:bCs/>
                <w:szCs w:val="24"/>
                <w:lang w:val="fr-CH"/>
              </w:rPr>
              <w:t>-</w:t>
            </w:r>
            <w:r w:rsidR="00106B19">
              <w:rPr>
                <w:b/>
                <w:bCs/>
                <w:szCs w:val="24"/>
                <w:lang w:val="fr-CH"/>
              </w:rPr>
              <w:t>20 juin</w:t>
            </w:r>
            <w:r w:rsidRPr="00520F36">
              <w:rPr>
                <w:b/>
                <w:bCs/>
                <w:szCs w:val="24"/>
                <w:lang w:val="fr-CH"/>
              </w:rPr>
              <w:t xml:space="preserve"> 201</w:t>
            </w:r>
            <w:r w:rsidR="00106B19">
              <w:rPr>
                <w:b/>
                <w:bCs/>
                <w:szCs w:val="24"/>
                <w:lang w:val="fr-CH"/>
              </w:rPr>
              <w:t>9</w:t>
            </w:r>
          </w:p>
        </w:tc>
        <w:tc>
          <w:tcPr>
            <w:tcW w:w="3261" w:type="dxa"/>
          </w:tcPr>
          <w:p w:rsidR="00520F36" w:rsidRPr="0092392D" w:rsidRDefault="00520F36" w:rsidP="00520F36">
            <w:pPr>
              <w:spacing w:before="0"/>
              <w:jc w:val="right"/>
              <w:rPr>
                <w:lang w:val="fr-CH"/>
              </w:rPr>
            </w:pPr>
            <w:bookmarkStart w:id="1" w:name="ditulogo"/>
            <w:bookmarkEnd w:id="1"/>
            <w:r w:rsidRPr="00520F36">
              <w:rPr>
                <w:rFonts w:cstheme="minorHAnsi"/>
                <w:b/>
                <w:bCs/>
                <w:noProof/>
                <w:lang w:val="fr-CH"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520F36" w:rsidRPr="0092392D" w:rsidTr="00EF41DD">
        <w:trPr>
          <w:cantSplit/>
          <w:trHeight w:val="20"/>
        </w:trPr>
        <w:tc>
          <w:tcPr>
            <w:tcW w:w="6912" w:type="dxa"/>
            <w:tcBorders>
              <w:bottom w:val="single" w:sz="12" w:space="0" w:color="auto"/>
            </w:tcBorders>
            <w:vAlign w:val="center"/>
          </w:tcPr>
          <w:p w:rsidR="00520F36" w:rsidRPr="00361350" w:rsidRDefault="00520F36" w:rsidP="004C37A9">
            <w:pPr>
              <w:spacing w:before="0"/>
              <w:rPr>
                <w:b/>
                <w:bCs/>
                <w:sz w:val="26"/>
                <w:szCs w:val="26"/>
                <w:lang w:val="fr-CH"/>
              </w:rPr>
            </w:pPr>
          </w:p>
        </w:tc>
        <w:tc>
          <w:tcPr>
            <w:tcW w:w="3261" w:type="dxa"/>
            <w:tcBorders>
              <w:bottom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tcBorders>
              <w:top w:val="single" w:sz="12" w:space="0" w:color="auto"/>
            </w:tcBorders>
          </w:tcPr>
          <w:p w:rsidR="00520F36" w:rsidRPr="0092392D" w:rsidRDefault="00520F36" w:rsidP="00DF74DD">
            <w:pPr>
              <w:spacing w:before="0"/>
              <w:rPr>
                <w:smallCaps/>
                <w:sz w:val="22"/>
                <w:lang w:val="fr-CH"/>
              </w:rPr>
            </w:pPr>
          </w:p>
        </w:tc>
        <w:tc>
          <w:tcPr>
            <w:tcW w:w="3261" w:type="dxa"/>
            <w:tcBorders>
              <w:top w:val="single" w:sz="12" w:space="0" w:color="auto"/>
            </w:tcBorders>
          </w:tcPr>
          <w:p w:rsidR="00520F36" w:rsidRPr="0092392D" w:rsidRDefault="00520F36" w:rsidP="00DF74DD">
            <w:pPr>
              <w:spacing w:before="0"/>
              <w:rPr>
                <w:b/>
                <w:bCs/>
              </w:rPr>
            </w:pPr>
          </w:p>
        </w:tc>
      </w:tr>
      <w:tr w:rsidR="00520F36" w:rsidRPr="0092392D">
        <w:trPr>
          <w:cantSplit/>
          <w:trHeight w:val="20"/>
        </w:trPr>
        <w:tc>
          <w:tcPr>
            <w:tcW w:w="6912" w:type="dxa"/>
            <w:vMerge w:val="restart"/>
          </w:tcPr>
          <w:p w:rsidR="00520F36" w:rsidRPr="00520F36" w:rsidRDefault="00CD1EA7" w:rsidP="00CD1EA7">
            <w:pPr>
              <w:spacing w:before="0"/>
              <w:rPr>
                <w:rFonts w:cs="Times"/>
                <w:b/>
                <w:bCs/>
                <w:szCs w:val="24"/>
                <w:lang w:val="fr-CH"/>
              </w:rPr>
            </w:pPr>
            <w:bookmarkStart w:id="2" w:name="dnum" w:colFirst="1" w:colLast="1"/>
            <w:bookmarkStart w:id="3" w:name="dmeeting" w:colFirst="0" w:colLast="0"/>
            <w:r w:rsidRPr="00CD1EA7">
              <w:rPr>
                <w:rFonts w:cs="Times"/>
                <w:b/>
                <w:bCs/>
                <w:szCs w:val="24"/>
                <w:lang w:val="fr-CH"/>
              </w:rPr>
              <w:t>Point de l'ordre du jour: PL 2.4</w:t>
            </w:r>
          </w:p>
        </w:tc>
        <w:tc>
          <w:tcPr>
            <w:tcW w:w="3261" w:type="dxa"/>
          </w:tcPr>
          <w:p w:rsidR="00520F36" w:rsidRPr="00520F36" w:rsidRDefault="00520F36" w:rsidP="00106B19">
            <w:pPr>
              <w:spacing w:before="0"/>
              <w:rPr>
                <w:b/>
                <w:bCs/>
              </w:rPr>
            </w:pPr>
            <w:r>
              <w:rPr>
                <w:b/>
                <w:bCs/>
              </w:rPr>
              <w:t>Document C1</w:t>
            </w:r>
            <w:r w:rsidR="00106B19">
              <w:rPr>
                <w:b/>
                <w:bCs/>
              </w:rPr>
              <w:t>9</w:t>
            </w:r>
            <w:r>
              <w:rPr>
                <w:b/>
                <w:bCs/>
              </w:rPr>
              <w:t>/</w:t>
            </w:r>
            <w:r w:rsidR="00CD1EA7">
              <w:rPr>
                <w:b/>
                <w:bCs/>
              </w:rPr>
              <w:t>101</w:t>
            </w:r>
            <w:r>
              <w:rPr>
                <w:b/>
                <w:bCs/>
              </w:rPr>
              <w:t>-F</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4" w:name="ddate" w:colFirst="1" w:colLast="1"/>
            <w:bookmarkEnd w:id="2"/>
            <w:bookmarkEnd w:id="3"/>
          </w:p>
        </w:tc>
        <w:tc>
          <w:tcPr>
            <w:tcW w:w="3261" w:type="dxa"/>
          </w:tcPr>
          <w:p w:rsidR="00520F36" w:rsidRPr="00520F36" w:rsidRDefault="00CD1EA7" w:rsidP="00106B19">
            <w:pPr>
              <w:spacing w:before="0"/>
              <w:rPr>
                <w:b/>
                <w:bCs/>
              </w:rPr>
            </w:pPr>
            <w:r>
              <w:rPr>
                <w:b/>
                <w:bCs/>
              </w:rPr>
              <w:t>27 mai</w:t>
            </w:r>
            <w:r w:rsidR="00520F36">
              <w:rPr>
                <w:b/>
                <w:bCs/>
              </w:rPr>
              <w:t xml:space="preserve"> 201</w:t>
            </w:r>
            <w:r w:rsidR="00106B19">
              <w:rPr>
                <w:b/>
                <w:bCs/>
              </w:rPr>
              <w:t>9</w:t>
            </w:r>
          </w:p>
        </w:tc>
      </w:tr>
      <w:tr w:rsidR="00520F36" w:rsidRPr="0092392D">
        <w:trPr>
          <w:cantSplit/>
          <w:trHeight w:val="20"/>
        </w:trPr>
        <w:tc>
          <w:tcPr>
            <w:tcW w:w="6912" w:type="dxa"/>
            <w:vMerge/>
          </w:tcPr>
          <w:p w:rsidR="00520F36" w:rsidRPr="0092392D" w:rsidRDefault="00520F36" w:rsidP="00DF74DD">
            <w:pPr>
              <w:shd w:val="solid" w:color="FFFFFF" w:fill="FFFFFF"/>
              <w:spacing w:before="180"/>
              <w:rPr>
                <w:smallCaps/>
                <w:lang w:val="fr-CH"/>
              </w:rPr>
            </w:pPr>
            <w:bookmarkStart w:id="5" w:name="dorlang" w:colFirst="1" w:colLast="1"/>
            <w:bookmarkEnd w:id="4"/>
          </w:p>
        </w:tc>
        <w:tc>
          <w:tcPr>
            <w:tcW w:w="3261" w:type="dxa"/>
          </w:tcPr>
          <w:p w:rsidR="00520F36" w:rsidRPr="00520F36" w:rsidRDefault="00520F36" w:rsidP="00520F36">
            <w:pPr>
              <w:spacing w:before="0"/>
              <w:rPr>
                <w:b/>
                <w:bCs/>
              </w:rPr>
            </w:pPr>
            <w:r>
              <w:rPr>
                <w:b/>
                <w:bCs/>
              </w:rPr>
              <w:t>Original: anglais</w:t>
            </w:r>
          </w:p>
        </w:tc>
      </w:tr>
      <w:tr w:rsidR="00520F36" w:rsidRPr="0092392D">
        <w:trPr>
          <w:cantSplit/>
        </w:trPr>
        <w:tc>
          <w:tcPr>
            <w:tcW w:w="10173" w:type="dxa"/>
            <w:gridSpan w:val="2"/>
          </w:tcPr>
          <w:p w:rsidR="00520F36" w:rsidRPr="0092392D" w:rsidRDefault="00CD1EA7" w:rsidP="00DF74DD">
            <w:pPr>
              <w:pStyle w:val="Source"/>
            </w:pPr>
            <w:bookmarkStart w:id="6" w:name="dsource" w:colFirst="0" w:colLast="0"/>
            <w:bookmarkEnd w:id="5"/>
            <w:r>
              <w:t>Note du Secrétaire général</w:t>
            </w:r>
          </w:p>
        </w:tc>
      </w:tr>
      <w:tr w:rsidR="00520F36" w:rsidRPr="0092392D">
        <w:trPr>
          <w:cantSplit/>
        </w:trPr>
        <w:tc>
          <w:tcPr>
            <w:tcW w:w="10173" w:type="dxa"/>
            <w:gridSpan w:val="2"/>
          </w:tcPr>
          <w:p w:rsidR="00CD1EA7" w:rsidRPr="00CD1EA7" w:rsidRDefault="00CD1EA7" w:rsidP="00CD1EA7">
            <w:pPr>
              <w:pStyle w:val="Title1"/>
              <w:rPr>
                <w:lang w:val="fr-CH"/>
              </w:rPr>
            </w:pPr>
            <w:bookmarkStart w:id="7" w:name="dtitle1" w:colFirst="0" w:colLast="0"/>
            <w:bookmarkEnd w:id="6"/>
            <w:r w:rsidRPr="00CD1EA7">
              <w:rPr>
                <w:lang w:val="fr-CH"/>
              </w:rPr>
              <w:t>CONTRIBUTION DES ÉMIRATS ARABES UNIS ET DU ROYAUME D'ARABIE SAOUDITE</w:t>
            </w:r>
          </w:p>
          <w:p w:rsidR="00520F36" w:rsidRPr="0092392D" w:rsidRDefault="00CD1EA7" w:rsidP="006D1B6C">
            <w:pPr>
              <w:pStyle w:val="Title1"/>
            </w:pPr>
            <w:r w:rsidRPr="00CD1EA7">
              <w:rPr>
                <w:lang w:val="fr-CH"/>
              </w:rPr>
              <w:t xml:space="preserve">PROPOSITION D'AMÉLIORATIONS </w:t>
            </w:r>
            <w:r w:rsidR="00F55B85">
              <w:rPr>
                <w:lang w:val="fr-CH"/>
              </w:rPr>
              <w:t xml:space="preserve">des </w:t>
            </w:r>
            <w:r>
              <w:rPr>
                <w:lang w:val="fr-CH"/>
              </w:rPr>
              <w:t xml:space="preserve">TRAVAUX </w:t>
            </w:r>
            <w:r w:rsidR="006D1B6C">
              <w:rPr>
                <w:lang w:val="fr-CH"/>
              </w:rPr>
              <w:br/>
            </w:r>
            <w:r>
              <w:rPr>
                <w:lang w:val="fr-CH"/>
              </w:rPr>
              <w:t>DE LA CONFÉRENCE</w:t>
            </w:r>
            <w:r w:rsidR="006D1B6C">
              <w:rPr>
                <w:lang w:val="fr-CH"/>
              </w:rPr>
              <w:t xml:space="preserve"> </w:t>
            </w:r>
            <w:r w:rsidRPr="00CD1EA7">
              <w:rPr>
                <w:lang w:val="fr-CH"/>
              </w:rPr>
              <w:t>DE PLÉNIPOTENTIAIRES</w:t>
            </w:r>
          </w:p>
        </w:tc>
      </w:tr>
    </w:tbl>
    <w:bookmarkEnd w:id="7"/>
    <w:p w:rsidR="00CD1EA7" w:rsidRPr="00CD1EA7" w:rsidRDefault="00CD1EA7" w:rsidP="00CD1EA7">
      <w:pPr>
        <w:spacing w:before="480"/>
        <w:rPr>
          <w:lang w:val="fr-CH"/>
        </w:rPr>
      </w:pPr>
      <w:r w:rsidRPr="00CD1EA7">
        <w:rPr>
          <w:lang w:val="fr-CH"/>
        </w:rPr>
        <w:t>J'ai l'honneur de transmettre aux États Membres du Conseil une contribution soumise par les Émirats arabes unis et le Royaume d'Arabie saoudite.</w:t>
      </w:r>
    </w:p>
    <w:p w:rsidR="00520F36" w:rsidRDefault="00CD1EA7" w:rsidP="00CD1EA7">
      <w:pPr>
        <w:tabs>
          <w:tab w:val="clear" w:pos="567"/>
          <w:tab w:val="clear" w:pos="1134"/>
          <w:tab w:val="clear" w:pos="1701"/>
          <w:tab w:val="clear" w:pos="2268"/>
          <w:tab w:val="clear" w:pos="2835"/>
          <w:tab w:val="center" w:pos="7088"/>
        </w:tabs>
        <w:spacing w:before="840"/>
        <w:rPr>
          <w:lang w:val="fr-CH"/>
        </w:rPr>
      </w:pPr>
      <w:r w:rsidRPr="00CD1EA7">
        <w:rPr>
          <w:lang w:val="fr-CH"/>
        </w:rPr>
        <w:tab/>
        <w:t>Houlin ZHAO</w:t>
      </w:r>
      <w:r w:rsidRPr="00CD1EA7">
        <w:rPr>
          <w:lang w:val="fr-CH"/>
        </w:rPr>
        <w:br/>
      </w:r>
      <w:r w:rsidRPr="00CD1EA7">
        <w:rPr>
          <w:lang w:val="fr-CH"/>
        </w:rPr>
        <w:tab/>
        <w:t>Secrétaire général</w:t>
      </w:r>
    </w:p>
    <w:p w:rsidR="00225D29" w:rsidRDefault="00225D29">
      <w:pPr>
        <w:tabs>
          <w:tab w:val="clear" w:pos="567"/>
          <w:tab w:val="clear" w:pos="1134"/>
          <w:tab w:val="clear" w:pos="1701"/>
          <w:tab w:val="clear" w:pos="2268"/>
          <w:tab w:val="clear" w:pos="2835"/>
        </w:tabs>
        <w:overflowPunct/>
        <w:autoSpaceDE/>
        <w:autoSpaceDN/>
        <w:adjustRightInd/>
        <w:spacing w:before="0"/>
        <w:textAlignment w:val="auto"/>
        <w:rPr>
          <w:lang w:val="fr-CH"/>
        </w:rPr>
      </w:pPr>
      <w:r>
        <w:rPr>
          <w:lang w:val="fr-CH"/>
        </w:rPr>
        <w:br w:type="page"/>
      </w:r>
    </w:p>
    <w:p w:rsidR="00F55B85" w:rsidRDefault="00F55B85" w:rsidP="00F55B85">
      <w:pPr>
        <w:pStyle w:val="Title4"/>
        <w:rPr>
          <w:lang w:val="fr-CH"/>
        </w:rPr>
      </w:pPr>
      <w:r w:rsidRPr="00CD1EA7">
        <w:rPr>
          <w:lang w:val="fr-CH"/>
        </w:rPr>
        <w:lastRenderedPageBreak/>
        <w:t>Contribution des Émirats arabes unis et du Royaume d'Arabie saoudite</w:t>
      </w:r>
    </w:p>
    <w:p w:rsidR="00F55B85" w:rsidRDefault="00F55B85" w:rsidP="000956FA">
      <w:pPr>
        <w:pStyle w:val="Title1"/>
        <w:spacing w:before="120" w:after="480"/>
        <w:rPr>
          <w:lang w:val="fr-CH"/>
        </w:rPr>
      </w:pPr>
      <w:r w:rsidRPr="00CD1EA7">
        <w:rPr>
          <w:lang w:val="fr-CH"/>
        </w:rPr>
        <w:t xml:space="preserve">PROPOSITION D'AMÉLIORATIONS </w:t>
      </w:r>
      <w:r>
        <w:rPr>
          <w:lang w:val="fr-CH"/>
        </w:rPr>
        <w:t xml:space="preserve">des TRAVAUX </w:t>
      </w:r>
      <w:r w:rsidR="006D1B6C">
        <w:rPr>
          <w:lang w:val="fr-CH"/>
        </w:rPr>
        <w:br/>
      </w:r>
      <w:r>
        <w:rPr>
          <w:lang w:val="fr-CH"/>
        </w:rPr>
        <w:t>DE LA CONFÉRENCE</w:t>
      </w:r>
      <w:r w:rsidR="006D1B6C">
        <w:rPr>
          <w:lang w:val="fr-CH"/>
        </w:rPr>
        <w:t xml:space="preserve"> </w:t>
      </w:r>
      <w:r w:rsidRPr="00CD1EA7">
        <w:rPr>
          <w:lang w:val="fr-CH"/>
        </w:rPr>
        <w:t>DE PLÉNIPOTENTIAIRES</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20F36" w:rsidRPr="0092392D">
        <w:trPr>
          <w:trHeight w:val="3372"/>
        </w:trPr>
        <w:tc>
          <w:tcPr>
            <w:tcW w:w="8080" w:type="dxa"/>
            <w:tcBorders>
              <w:top w:val="single" w:sz="12" w:space="0" w:color="auto"/>
              <w:left w:val="single" w:sz="12" w:space="0" w:color="auto"/>
              <w:bottom w:val="single" w:sz="12" w:space="0" w:color="auto"/>
              <w:right w:val="single" w:sz="12" w:space="0" w:color="auto"/>
            </w:tcBorders>
          </w:tcPr>
          <w:p w:rsidR="00520F36" w:rsidRPr="0092392D" w:rsidRDefault="00520F36">
            <w:pPr>
              <w:pStyle w:val="Headingb"/>
              <w:rPr>
                <w:lang w:val="fr-CH"/>
              </w:rPr>
            </w:pPr>
            <w:r w:rsidRPr="0092392D">
              <w:rPr>
                <w:lang w:val="fr-CH"/>
              </w:rPr>
              <w:t>Résumé</w:t>
            </w:r>
          </w:p>
          <w:p w:rsidR="00520F36" w:rsidRPr="0092392D" w:rsidRDefault="007D643F" w:rsidP="00B20E09">
            <w:pPr>
              <w:rPr>
                <w:lang w:val="fr-CH"/>
              </w:rPr>
            </w:pPr>
            <w:r w:rsidRPr="007D643F">
              <w:rPr>
                <w:lang w:val="fr-CH"/>
              </w:rPr>
              <w:t>Le présent docu</w:t>
            </w:r>
            <w:r w:rsidR="00B20E09">
              <w:rPr>
                <w:lang w:val="fr-CH"/>
              </w:rPr>
              <w:t>ment contient une proposition visant à améliorer</w:t>
            </w:r>
            <w:r w:rsidRPr="007D643F">
              <w:rPr>
                <w:lang w:val="fr-CH"/>
              </w:rPr>
              <w:t xml:space="preserve"> </w:t>
            </w:r>
            <w:r w:rsidR="00B20E09">
              <w:rPr>
                <w:lang w:val="fr-CH"/>
              </w:rPr>
              <w:t xml:space="preserve">les </w:t>
            </w:r>
            <w:r w:rsidRPr="007D643F">
              <w:rPr>
                <w:lang w:val="fr-CH"/>
              </w:rPr>
              <w:t xml:space="preserve">travaux de la Conférence de plénipotentiaires, </w:t>
            </w:r>
            <w:r w:rsidR="00B20E09">
              <w:rPr>
                <w:lang w:val="fr-CH"/>
              </w:rPr>
              <w:t xml:space="preserve">compte tenu </w:t>
            </w:r>
            <w:r w:rsidRPr="007D643F">
              <w:rPr>
                <w:lang w:val="fr-CH"/>
              </w:rPr>
              <w:t xml:space="preserve">de l'expérience </w:t>
            </w:r>
            <w:r w:rsidR="00B20E09">
              <w:rPr>
                <w:lang w:val="fr-CH"/>
              </w:rPr>
              <w:t xml:space="preserve">acquise par les </w:t>
            </w:r>
            <w:r w:rsidRPr="007D643F">
              <w:rPr>
                <w:lang w:val="fr-CH"/>
              </w:rPr>
              <w:t xml:space="preserve">Émirats arabes unis, qui ont accueilli et </w:t>
            </w:r>
            <w:r w:rsidR="00B20E09">
              <w:rPr>
                <w:lang w:val="fr-CH"/>
              </w:rPr>
              <w:t xml:space="preserve">assuré la présidence de </w:t>
            </w:r>
            <w:r w:rsidRPr="007D643F">
              <w:rPr>
                <w:lang w:val="fr-CH"/>
              </w:rPr>
              <w:t>la PP-18.</w:t>
            </w:r>
          </w:p>
          <w:p w:rsidR="00520F36" w:rsidRPr="0092392D" w:rsidRDefault="00520F36">
            <w:pPr>
              <w:pStyle w:val="Headingb"/>
              <w:rPr>
                <w:lang w:val="fr-CH"/>
              </w:rPr>
            </w:pPr>
            <w:r w:rsidRPr="0092392D">
              <w:rPr>
                <w:lang w:val="fr-CH"/>
              </w:rPr>
              <w:t>Suite à donner</w:t>
            </w:r>
          </w:p>
          <w:p w:rsidR="00520F36" w:rsidRPr="0092392D" w:rsidRDefault="00B20E09" w:rsidP="00B20E09">
            <w:pPr>
              <w:rPr>
                <w:lang w:val="fr-CH"/>
              </w:rPr>
            </w:pPr>
            <w:r>
              <w:rPr>
                <w:lang w:val="fr-CH"/>
              </w:rPr>
              <w:t>Le Conseil est invité à</w:t>
            </w:r>
            <w:r w:rsidR="007D643F" w:rsidRPr="007D643F">
              <w:rPr>
                <w:lang w:val="fr-CH"/>
              </w:rPr>
              <w:t xml:space="preserve"> tenir compte de la proposition </w:t>
            </w:r>
            <w:r>
              <w:rPr>
                <w:lang w:val="fr-CH"/>
              </w:rPr>
              <w:t xml:space="preserve">figurant </w:t>
            </w:r>
            <w:r w:rsidR="007D643F" w:rsidRPr="007D643F">
              <w:rPr>
                <w:lang w:val="fr-CH"/>
              </w:rPr>
              <w:t xml:space="preserve">dans la présente contribution </w:t>
            </w:r>
            <w:r>
              <w:rPr>
                <w:lang w:val="fr-CH"/>
              </w:rPr>
              <w:t xml:space="preserve">dans </w:t>
            </w:r>
            <w:r w:rsidR="007D643F" w:rsidRPr="007D643F">
              <w:rPr>
                <w:lang w:val="fr-CH"/>
              </w:rPr>
              <w:t>les travaux préparatoires en vue de la prochaine Conférence de plénipotentiaires (PP-22).</w:t>
            </w:r>
          </w:p>
          <w:p w:rsidR="00520F36" w:rsidRPr="0092392D" w:rsidRDefault="00520F36">
            <w:pPr>
              <w:pStyle w:val="Table"/>
              <w:keepNext w:val="0"/>
              <w:spacing w:before="0" w:after="0"/>
              <w:rPr>
                <w:rFonts w:ascii="Calibri" w:hAnsi="Calibri"/>
                <w:caps w:val="0"/>
                <w:sz w:val="22"/>
                <w:lang w:val="fr-CH"/>
              </w:rPr>
            </w:pPr>
            <w:r w:rsidRPr="0092392D">
              <w:rPr>
                <w:rFonts w:ascii="Calibri" w:hAnsi="Calibri"/>
                <w:caps w:val="0"/>
                <w:sz w:val="22"/>
                <w:lang w:val="fr-CH"/>
              </w:rPr>
              <w:t>____________</w:t>
            </w:r>
          </w:p>
          <w:p w:rsidR="00520F36" w:rsidRPr="0092392D" w:rsidRDefault="00520F36">
            <w:pPr>
              <w:pStyle w:val="Headingb"/>
              <w:rPr>
                <w:lang w:val="fr-CH"/>
              </w:rPr>
            </w:pPr>
            <w:r w:rsidRPr="0092392D">
              <w:rPr>
                <w:lang w:val="fr-CH"/>
              </w:rPr>
              <w:t>Références</w:t>
            </w:r>
          </w:p>
          <w:bookmarkStart w:id="8" w:name="lt_pId025"/>
          <w:p w:rsidR="00520F36" w:rsidRPr="0092392D" w:rsidRDefault="007D643F" w:rsidP="007D643F">
            <w:pPr>
              <w:spacing w:after="120"/>
              <w:rPr>
                <w:i/>
                <w:iCs/>
                <w:lang w:val="fr-CH"/>
              </w:rPr>
            </w:pPr>
            <w:r w:rsidRPr="007D643F">
              <w:rPr>
                <w:i/>
                <w:iCs/>
                <w:lang w:val="fr-CH"/>
              </w:rPr>
              <w:fldChar w:fldCharType="begin"/>
            </w:r>
            <w:r w:rsidR="000A37D9">
              <w:rPr>
                <w:i/>
                <w:iCs/>
                <w:lang w:val="fr-CH"/>
              </w:rPr>
              <w:instrText>HYPERLINK "https://www.itu.int/en/council/Documents/basic-texts/RES-077-F.pdf"</w:instrText>
            </w:r>
            <w:r w:rsidRPr="007D643F">
              <w:rPr>
                <w:i/>
                <w:iCs/>
                <w:lang w:val="fr-CH"/>
              </w:rPr>
              <w:fldChar w:fldCharType="separate"/>
            </w:r>
            <w:r w:rsidR="009A4224" w:rsidRPr="007D643F">
              <w:rPr>
                <w:rStyle w:val="Hyperlink"/>
                <w:i/>
                <w:iCs/>
                <w:lang w:val="fr-CH"/>
              </w:rPr>
              <w:t>Résolution</w:t>
            </w:r>
            <w:r w:rsidRPr="007D643F">
              <w:rPr>
                <w:rStyle w:val="Hyperlink"/>
                <w:i/>
                <w:iCs/>
                <w:lang w:val="fr-CH"/>
              </w:rPr>
              <w:t xml:space="preserve"> 77 (Rév. </w:t>
            </w:r>
            <w:r w:rsidR="009A4224" w:rsidRPr="007D643F">
              <w:rPr>
                <w:rStyle w:val="Hyperlink"/>
                <w:i/>
                <w:iCs/>
                <w:lang w:val="fr-CH"/>
              </w:rPr>
              <w:t>Dubaï</w:t>
            </w:r>
            <w:r w:rsidRPr="007D643F">
              <w:rPr>
                <w:rStyle w:val="Hyperlink"/>
                <w:i/>
                <w:iCs/>
                <w:lang w:val="fr-CH"/>
              </w:rPr>
              <w:t>, 2018)</w:t>
            </w:r>
            <w:r w:rsidRPr="007D643F">
              <w:rPr>
                <w:i/>
                <w:iCs/>
                <w:lang w:val="fr-CH"/>
              </w:rPr>
              <w:fldChar w:fldCharType="end"/>
            </w:r>
            <w:r w:rsidRPr="007D643F">
              <w:rPr>
                <w:i/>
                <w:iCs/>
                <w:lang w:val="fr-CH"/>
              </w:rPr>
              <w:t xml:space="preserve"> de la Conférence de plénipotentiaires, </w:t>
            </w:r>
            <w:hyperlink r:id="rId8" w:history="1">
              <w:r w:rsidRPr="007D643F">
                <w:rPr>
                  <w:rStyle w:val="Hyperlink"/>
                  <w:i/>
                  <w:iCs/>
                  <w:lang w:val="fr-CH"/>
                </w:rPr>
                <w:t>Document C19/4</w:t>
              </w:r>
            </w:hyperlink>
            <w:r w:rsidRPr="000956FA">
              <w:rPr>
                <w:i/>
                <w:iCs/>
                <w:lang w:val="fr-CH"/>
              </w:rPr>
              <w:t xml:space="preserve"> du Conseil</w:t>
            </w:r>
            <w:r w:rsidRPr="007D643F">
              <w:rPr>
                <w:i/>
                <w:iCs/>
                <w:lang w:val="fr-CH"/>
              </w:rPr>
              <w:t>: Rapport sur la vingtième Conférence de plénipotentiaires (PP-18)</w:t>
            </w:r>
            <w:bookmarkEnd w:id="8"/>
          </w:p>
        </w:tc>
      </w:tr>
    </w:tbl>
    <w:p w:rsidR="007D643F" w:rsidRPr="007D643F" w:rsidRDefault="007D643F" w:rsidP="007D643F">
      <w:pPr>
        <w:pStyle w:val="Heading1"/>
        <w:rPr>
          <w:lang w:val="fr-CH"/>
        </w:rPr>
      </w:pPr>
      <w:bookmarkStart w:id="9" w:name="lt_pId026"/>
      <w:r w:rsidRPr="007D643F">
        <w:rPr>
          <w:lang w:val="fr-CH"/>
        </w:rPr>
        <w:t>I</w:t>
      </w:r>
      <w:bookmarkEnd w:id="9"/>
      <w:r w:rsidRPr="007D643F">
        <w:rPr>
          <w:lang w:val="fr-CH"/>
        </w:rPr>
        <w:tab/>
      </w:r>
      <w:bookmarkStart w:id="10" w:name="lt_pId027"/>
      <w:r w:rsidRPr="007D643F">
        <w:rPr>
          <w:lang w:val="fr-CH"/>
        </w:rPr>
        <w:t>Introduction</w:t>
      </w:r>
      <w:bookmarkEnd w:id="10"/>
    </w:p>
    <w:p w:rsidR="007D643F" w:rsidRPr="007D643F" w:rsidRDefault="007D643F" w:rsidP="007D643F">
      <w:pPr>
        <w:rPr>
          <w:lang w:val="fr-CH"/>
        </w:rPr>
      </w:pPr>
      <w:r w:rsidRPr="007D643F">
        <w:rPr>
          <w:lang w:val="fr-CH"/>
        </w:rPr>
        <w:t>Aux termes de sa Résolution 77 (Rév. Dubaï, 2018), la Conférence de plénipotentiaires de l'Union internationale des télécommunications</w:t>
      </w:r>
      <w:r w:rsidR="00B20E09">
        <w:rPr>
          <w:lang w:val="fr-CH"/>
        </w:rPr>
        <w:t xml:space="preserve"> a chargé le Secrétaire général:</w:t>
      </w:r>
    </w:p>
    <w:p w:rsidR="000A37D9" w:rsidRDefault="007D643F" w:rsidP="006D1B6C">
      <w:pPr>
        <w:rPr>
          <w:lang w:val="fr-CH"/>
        </w:rPr>
      </w:pPr>
      <w:r w:rsidRPr="007D643F">
        <w:rPr>
          <w:lang w:val="fr-CH"/>
        </w:rPr>
        <w:t>1</w:t>
      </w:r>
      <w:r w:rsidRPr="007D643F">
        <w:rPr>
          <w:lang w:val="fr-CH"/>
        </w:rPr>
        <w:tab/>
        <w:t>de prendre les mesures appropriées pour utiliser au mieux, pendant ces conférences, le temps et les ressources disponibles;</w:t>
      </w:r>
    </w:p>
    <w:p w:rsidR="000A37D9" w:rsidRDefault="000A37D9" w:rsidP="006D1B6C">
      <w:pPr>
        <w:rPr>
          <w:lang w:val="fr-CH"/>
        </w:rPr>
      </w:pPr>
      <w:r>
        <w:rPr>
          <w:lang w:val="fr-CH"/>
        </w:rPr>
        <w:t>2</w:t>
      </w:r>
      <w:r>
        <w:rPr>
          <w:lang w:val="fr-CH"/>
        </w:rPr>
        <w:tab/>
      </w:r>
      <w:r w:rsidR="007D643F" w:rsidRPr="007D643F">
        <w:rPr>
          <w:lang w:val="fr-CH"/>
        </w:rPr>
        <w:t>de donner la priorité à la programmation des réunions des commissions d'études et des groupes consultatifs des trois Secteurs de l'UIT, des sessions du Conseil et des réunions de ses groupes de travail, lorsque les réunions prévues ont lieu au siège de l'UIT;</w:t>
      </w:r>
    </w:p>
    <w:p w:rsidR="007D643F" w:rsidRPr="007D643F" w:rsidRDefault="007D643F" w:rsidP="006D1B6C">
      <w:pPr>
        <w:rPr>
          <w:lang w:val="fr-CH"/>
        </w:rPr>
      </w:pPr>
      <w:r w:rsidRPr="007D643F">
        <w:rPr>
          <w:lang w:val="fr-CH"/>
        </w:rPr>
        <w:t>3</w:t>
      </w:r>
      <w:r w:rsidRPr="007D643F">
        <w:rPr>
          <w:lang w:val="fr-CH"/>
        </w:rPr>
        <w:tab/>
        <w:t>de faire rapport au Conseil sur la mise en œuvre de la présente résolution, en proposant, au besoin, d'autres améliorations.</w:t>
      </w:r>
    </w:p>
    <w:p w:rsidR="007D643F" w:rsidRPr="007D643F" w:rsidRDefault="007D643F" w:rsidP="000A37D9">
      <w:pPr>
        <w:pStyle w:val="Heading1"/>
        <w:rPr>
          <w:lang w:val="fr-CH"/>
        </w:rPr>
      </w:pPr>
      <w:bookmarkStart w:id="11" w:name="lt_pId036"/>
      <w:r w:rsidRPr="007D643F">
        <w:rPr>
          <w:lang w:val="fr-CH"/>
        </w:rPr>
        <w:t>II</w:t>
      </w:r>
      <w:bookmarkEnd w:id="11"/>
      <w:r w:rsidRPr="007D643F">
        <w:rPr>
          <w:lang w:val="fr-CH"/>
        </w:rPr>
        <w:tab/>
        <w:t>Examen</w:t>
      </w:r>
    </w:p>
    <w:p w:rsidR="007D643F" w:rsidRPr="007D643F" w:rsidRDefault="00B20E09" w:rsidP="00B20E09">
      <w:pPr>
        <w:rPr>
          <w:lang w:val="fr-CH"/>
        </w:rPr>
      </w:pPr>
      <w:r>
        <w:rPr>
          <w:lang w:val="fr-CH"/>
        </w:rPr>
        <w:t>L</w:t>
      </w:r>
      <w:r w:rsidR="007D643F" w:rsidRPr="007D643F">
        <w:rPr>
          <w:lang w:val="fr-CH"/>
        </w:rPr>
        <w:t xml:space="preserve">es Émirats arabes unis </w:t>
      </w:r>
      <w:r>
        <w:rPr>
          <w:lang w:val="fr-CH"/>
        </w:rPr>
        <w:t xml:space="preserve">ont eu l'honneur </w:t>
      </w:r>
      <w:r w:rsidR="007D643F" w:rsidRPr="007D643F">
        <w:rPr>
          <w:lang w:val="fr-CH"/>
        </w:rPr>
        <w:t xml:space="preserve">d'accueillir et de présider </w:t>
      </w:r>
      <w:r>
        <w:rPr>
          <w:lang w:val="fr-CH"/>
        </w:rPr>
        <w:t xml:space="preserve">pour la première fois </w:t>
      </w:r>
      <w:r w:rsidR="007D643F" w:rsidRPr="007D643F">
        <w:rPr>
          <w:lang w:val="fr-CH"/>
        </w:rPr>
        <w:t xml:space="preserve">la Conférence de plénipotentiaires (PP-18) qui s'est tenue à Dubaï </w:t>
      </w:r>
      <w:r>
        <w:rPr>
          <w:lang w:val="fr-CH"/>
        </w:rPr>
        <w:t>en 2018</w:t>
      </w:r>
      <w:r w:rsidR="007D643F" w:rsidRPr="007D643F">
        <w:rPr>
          <w:lang w:val="fr-CH"/>
        </w:rPr>
        <w:t xml:space="preserve">. Les objectifs de la Conférence ont été atteints et les résultats </w:t>
      </w:r>
      <w:r w:rsidR="000A37D9">
        <w:rPr>
          <w:lang w:val="fr-CH"/>
        </w:rPr>
        <w:t>qu'elle</w:t>
      </w:r>
      <w:r w:rsidR="007D643F" w:rsidRPr="007D643F">
        <w:rPr>
          <w:lang w:val="fr-CH"/>
        </w:rPr>
        <w:t xml:space="preserve"> a </w:t>
      </w:r>
      <w:r>
        <w:rPr>
          <w:lang w:val="fr-CH"/>
        </w:rPr>
        <w:t xml:space="preserve">obtenus </w:t>
      </w:r>
      <w:r w:rsidR="007D643F" w:rsidRPr="007D643F">
        <w:rPr>
          <w:lang w:val="fr-CH"/>
        </w:rPr>
        <w:t xml:space="preserve">ont jeté les bases de la nouvelle période d'études de l'UIT. La plupart des améliorations proposées par le secrétariat et appuyées par le Conseil en vue de la PP-18 ont été mises en œuvre, comme indiqué dans le rapport du Secrétaire général sur la PP-18 qui </w:t>
      </w:r>
      <w:r>
        <w:rPr>
          <w:lang w:val="fr-CH"/>
        </w:rPr>
        <w:t xml:space="preserve">sera </w:t>
      </w:r>
      <w:r w:rsidR="007D643F" w:rsidRPr="007D643F">
        <w:rPr>
          <w:lang w:val="fr-CH"/>
        </w:rPr>
        <w:t xml:space="preserve">soumis au Conseil </w:t>
      </w:r>
      <w:r>
        <w:rPr>
          <w:lang w:val="fr-CH"/>
        </w:rPr>
        <w:t xml:space="preserve">à sa session de 2019 </w:t>
      </w:r>
      <w:r w:rsidR="007D643F" w:rsidRPr="007D643F">
        <w:rPr>
          <w:lang w:val="fr-CH"/>
        </w:rPr>
        <w:t>(</w:t>
      </w:r>
      <w:hyperlink r:id="rId9" w:history="1">
        <w:r w:rsidR="007D643F" w:rsidRPr="000956FA">
          <w:rPr>
            <w:rStyle w:val="Hyperlink"/>
            <w:lang w:val="fr-CH"/>
          </w:rPr>
          <w:t>Document C19/4</w:t>
        </w:r>
      </w:hyperlink>
      <w:r w:rsidR="007D643F" w:rsidRPr="007D643F">
        <w:rPr>
          <w:lang w:val="fr-CH"/>
        </w:rPr>
        <w:t>).</w:t>
      </w:r>
    </w:p>
    <w:p w:rsidR="000956FA" w:rsidRDefault="000956FA" w:rsidP="00D87E75">
      <w:pPr>
        <w:rPr>
          <w:lang w:val="fr-CH"/>
        </w:rPr>
      </w:pPr>
      <w:bookmarkStart w:id="12" w:name="lt_pId042"/>
      <w:r>
        <w:rPr>
          <w:lang w:val="fr-CH"/>
        </w:rPr>
        <w:br w:type="page"/>
      </w:r>
    </w:p>
    <w:p w:rsidR="000A37D9" w:rsidRDefault="00B20E09" w:rsidP="00D87E75">
      <w:pPr>
        <w:rPr>
          <w:lang w:val="fr-CH"/>
        </w:rPr>
      </w:pPr>
      <w:r>
        <w:rPr>
          <w:lang w:val="fr-CH"/>
        </w:rPr>
        <w:lastRenderedPageBreak/>
        <w:t>Compte tenu de l'</w:t>
      </w:r>
      <w:r w:rsidR="007D643F" w:rsidRPr="007D643F">
        <w:rPr>
          <w:lang w:val="fr-CH"/>
        </w:rPr>
        <w:t xml:space="preserve">expérience </w:t>
      </w:r>
      <w:r>
        <w:rPr>
          <w:lang w:val="fr-CH"/>
        </w:rPr>
        <w:t xml:space="preserve">qu'ils ont acquise </w:t>
      </w:r>
      <w:r w:rsidR="007D643F" w:rsidRPr="007D643F">
        <w:rPr>
          <w:lang w:val="fr-CH"/>
        </w:rPr>
        <w:t xml:space="preserve">en tant que pays hôte de la PP-18, les Émirats arabes unis souhaitent proposer, conjointement avec l'Arabie saoudite, d'autres moyens </w:t>
      </w:r>
      <w:r w:rsidR="00D87E75">
        <w:rPr>
          <w:lang w:val="fr-CH"/>
        </w:rPr>
        <w:t xml:space="preserve">de nature à </w:t>
      </w:r>
      <w:r w:rsidR="007D643F" w:rsidRPr="007D643F">
        <w:rPr>
          <w:lang w:val="fr-CH"/>
        </w:rPr>
        <w:t>améliorer les travaux de la Conférence de plénipotentiaires</w:t>
      </w:r>
      <w:r w:rsidR="00D87E75">
        <w:rPr>
          <w:lang w:val="fr-CH"/>
        </w:rPr>
        <w:t>, à savoir</w:t>
      </w:r>
      <w:r w:rsidR="007D643F" w:rsidRPr="007D643F">
        <w:rPr>
          <w:lang w:val="fr-CH"/>
        </w:rPr>
        <w:t xml:space="preserve">: </w:t>
      </w:r>
    </w:p>
    <w:p w:rsidR="007D643F" w:rsidRPr="007D643F" w:rsidRDefault="007D643F" w:rsidP="00D87E75">
      <w:pPr>
        <w:rPr>
          <w:lang w:val="fr-CH"/>
        </w:rPr>
      </w:pPr>
      <w:r w:rsidRPr="007D643F">
        <w:rPr>
          <w:b/>
          <w:bCs/>
          <w:lang w:val="fr-CH"/>
        </w:rPr>
        <w:t>Travaux préparatoires au niveau interrégional</w:t>
      </w:r>
      <w:r w:rsidRPr="002D7F94">
        <w:rPr>
          <w:lang w:val="fr-CH"/>
        </w:rPr>
        <w:t>:</w:t>
      </w:r>
      <w:r w:rsidRPr="007D643F">
        <w:rPr>
          <w:b/>
          <w:bCs/>
          <w:lang w:val="fr-CH"/>
        </w:rPr>
        <w:t xml:space="preserve"> </w:t>
      </w:r>
      <w:bookmarkStart w:id="13" w:name="lt_pId045"/>
      <w:bookmarkEnd w:id="12"/>
      <w:r w:rsidRPr="007D643F">
        <w:rPr>
          <w:lang w:val="fr-CH"/>
        </w:rPr>
        <w:t xml:space="preserve">la coordination et les travaux préparatoires au niveau interrégional sont de plus en plus importants pour </w:t>
      </w:r>
      <w:r w:rsidR="00D87E75">
        <w:rPr>
          <w:lang w:val="fr-CH"/>
        </w:rPr>
        <w:t>permettre à</w:t>
      </w:r>
      <w:r w:rsidRPr="007D643F">
        <w:rPr>
          <w:lang w:val="fr-CH"/>
        </w:rPr>
        <w:t xml:space="preserve"> la Conférence de plénipotentiaires </w:t>
      </w:r>
      <w:r w:rsidR="00D87E75">
        <w:rPr>
          <w:lang w:val="fr-CH"/>
        </w:rPr>
        <w:t xml:space="preserve">d'intensifier </w:t>
      </w:r>
      <w:r w:rsidRPr="007D643F">
        <w:rPr>
          <w:lang w:val="fr-CH"/>
        </w:rPr>
        <w:t xml:space="preserve">la coopération régionale dans les domaines d'intérêt commun, de faciliter la coordination entre toutes les régions sur les </w:t>
      </w:r>
      <w:r w:rsidR="00D87E75">
        <w:rPr>
          <w:lang w:val="fr-CH"/>
        </w:rPr>
        <w:t xml:space="preserve">grandes </w:t>
      </w:r>
      <w:r w:rsidRPr="007D643F">
        <w:rPr>
          <w:lang w:val="fr-CH"/>
        </w:rPr>
        <w:t>questions, d'établir des voies de dialogue entre les coordonnateurs des États Membres et de faire en sorte que les négociations soient entamées avant l</w:t>
      </w:r>
      <w:r w:rsidR="00D87E75">
        <w:rPr>
          <w:lang w:val="fr-CH"/>
        </w:rPr>
        <w:t xml:space="preserve">'ouverture </w:t>
      </w:r>
      <w:r w:rsidRPr="007D643F">
        <w:rPr>
          <w:lang w:val="fr-CH"/>
        </w:rPr>
        <w:t xml:space="preserve">de la Conférence. Ces pratiques ont été mises en œuvre </w:t>
      </w:r>
      <w:r w:rsidR="00D87E75">
        <w:rPr>
          <w:lang w:val="fr-CH"/>
        </w:rPr>
        <w:t xml:space="preserve">pour </w:t>
      </w:r>
      <w:r w:rsidRPr="007D643F">
        <w:rPr>
          <w:lang w:val="fr-CH"/>
        </w:rPr>
        <w:t xml:space="preserve">l'une des grandes conférences de l'UIT, </w:t>
      </w:r>
      <w:r w:rsidR="00D87E75">
        <w:rPr>
          <w:lang w:val="fr-CH"/>
        </w:rPr>
        <w:t xml:space="preserve">à savoir </w:t>
      </w:r>
      <w:r w:rsidRPr="007D643F">
        <w:rPr>
          <w:lang w:val="fr-CH"/>
        </w:rPr>
        <w:t xml:space="preserve">la Conférence mondiale des radiocommunications de 2019 (CMR-19), </w:t>
      </w:r>
      <w:r w:rsidR="00D87E75">
        <w:rPr>
          <w:lang w:val="fr-CH"/>
        </w:rPr>
        <w:t xml:space="preserve">puisque </w:t>
      </w:r>
      <w:r w:rsidRPr="007D643F">
        <w:rPr>
          <w:lang w:val="fr-CH"/>
        </w:rPr>
        <w:t xml:space="preserve">trois </w:t>
      </w:r>
      <w:r w:rsidR="00D87E75">
        <w:rPr>
          <w:lang w:val="fr-CH"/>
        </w:rPr>
        <w:t>"</w:t>
      </w:r>
      <w:r w:rsidR="00D87E75" w:rsidRPr="007D643F">
        <w:rPr>
          <w:lang w:val="fr-CH"/>
        </w:rPr>
        <w:t>A</w:t>
      </w:r>
      <w:r w:rsidRPr="007D643F">
        <w:rPr>
          <w:lang w:val="fr-CH"/>
        </w:rPr>
        <w:t>teliers interrégionaux</w:t>
      </w:r>
      <w:r w:rsidR="00D87E75">
        <w:rPr>
          <w:lang w:val="fr-CH"/>
        </w:rPr>
        <w:t xml:space="preserve"> de l'UIT sur la préparation de la CMR-19" ont été organisés</w:t>
      </w:r>
      <w:r w:rsidRPr="007D643F">
        <w:rPr>
          <w:lang w:val="fr-CH"/>
        </w:rPr>
        <w:t>. S'agissant des travaux préparatoires en vue de la PP-18, trois réunions interrégionales informelles ont été organisées</w:t>
      </w:r>
      <w:r w:rsidR="00D87E75">
        <w:rPr>
          <w:lang w:val="fr-CH"/>
        </w:rPr>
        <w:t xml:space="preserve"> en 2018</w:t>
      </w:r>
      <w:r w:rsidRPr="007D643F">
        <w:rPr>
          <w:lang w:val="fr-CH"/>
        </w:rPr>
        <w:t xml:space="preserve">: la première a eu lieu pendant la session du Conseil </w:t>
      </w:r>
      <w:r w:rsidR="00D87E75">
        <w:rPr>
          <w:lang w:val="fr-CH"/>
        </w:rPr>
        <w:t xml:space="preserve">tenue </w:t>
      </w:r>
      <w:r w:rsidRPr="007D643F">
        <w:rPr>
          <w:lang w:val="fr-CH"/>
        </w:rPr>
        <w:t xml:space="preserve">en mai, la deuxième en juillet à Genève et la troisième à Riyad (Arabie saoudite) en septembre. </w:t>
      </w:r>
    </w:p>
    <w:p w:rsidR="007D643F" w:rsidRPr="007D643F" w:rsidRDefault="007D643F" w:rsidP="00BA1090">
      <w:pPr>
        <w:rPr>
          <w:lang w:val="fr-CH"/>
        </w:rPr>
      </w:pPr>
      <w:bookmarkStart w:id="14" w:name="lt_pId048"/>
      <w:bookmarkEnd w:id="13"/>
      <w:r w:rsidRPr="007D643F">
        <w:rPr>
          <w:lang w:val="fr-CH"/>
        </w:rPr>
        <w:t>À terme, il serait souhaitable de renforcer ce processus</w:t>
      </w:r>
      <w:r w:rsidR="00D20E22">
        <w:rPr>
          <w:lang w:val="fr-CH"/>
        </w:rPr>
        <w:t>,</w:t>
      </w:r>
      <w:r w:rsidRPr="007D643F">
        <w:rPr>
          <w:lang w:val="fr-CH"/>
        </w:rPr>
        <w:t xml:space="preserve"> en encourageant les groupes régionaux, ainsi que les États Membres qui ne </w:t>
      </w:r>
      <w:r w:rsidR="00D20E22">
        <w:rPr>
          <w:lang w:val="fr-CH"/>
        </w:rPr>
        <w:t xml:space="preserve">font pas partie d'une </w:t>
      </w:r>
      <w:r w:rsidRPr="007D643F">
        <w:rPr>
          <w:lang w:val="fr-CH"/>
        </w:rPr>
        <w:t xml:space="preserve">organisation régionale de télécommunication, à participer activement à ces réunions de préparation. En outre, il conviendrait de rendre officiel le processus des réunions interrégionales, </w:t>
      </w:r>
      <w:r w:rsidR="00D20E22">
        <w:rPr>
          <w:lang w:val="fr-CH"/>
        </w:rPr>
        <w:t>afin qu'il ne se limite pas</w:t>
      </w:r>
      <w:r w:rsidRPr="007D643F">
        <w:rPr>
          <w:lang w:val="fr-CH"/>
        </w:rPr>
        <w:t xml:space="preserve"> à des réunions informelles</w:t>
      </w:r>
      <w:r w:rsidR="00D20E22">
        <w:rPr>
          <w:lang w:val="fr-CH"/>
        </w:rPr>
        <w:t>,</w:t>
      </w:r>
      <w:r w:rsidRPr="007D643F">
        <w:rPr>
          <w:lang w:val="fr-CH"/>
        </w:rPr>
        <w:t xml:space="preserve"> et de parvenir à des résultats </w:t>
      </w:r>
      <w:r w:rsidR="00D20E22">
        <w:rPr>
          <w:lang w:val="fr-CH"/>
        </w:rPr>
        <w:t>tangibles pour réduire les délais nécessaires à l'obtention d'</w:t>
      </w:r>
      <w:r w:rsidRPr="007D643F">
        <w:rPr>
          <w:lang w:val="fr-CH"/>
        </w:rPr>
        <w:t xml:space="preserve">un consensus à la Conférence. Le fait de renforcer la coordination et les négociations en amont de la PP pourrait permettre </w:t>
      </w:r>
      <w:r w:rsidR="00D20E22">
        <w:rPr>
          <w:lang w:val="fr-CH"/>
        </w:rPr>
        <w:t xml:space="preserve">de gagner </w:t>
      </w:r>
      <w:r w:rsidRPr="007D643F">
        <w:rPr>
          <w:lang w:val="fr-CH"/>
        </w:rPr>
        <w:t xml:space="preserve">du temps pendant </w:t>
      </w:r>
      <w:r w:rsidR="00D20E22">
        <w:rPr>
          <w:lang w:val="fr-CH"/>
        </w:rPr>
        <w:t>la Conférence proprement dite</w:t>
      </w:r>
      <w:r w:rsidRPr="007D643F">
        <w:rPr>
          <w:lang w:val="fr-CH"/>
        </w:rPr>
        <w:t>.</w:t>
      </w:r>
      <w:r w:rsidR="00F55B85">
        <w:rPr>
          <w:lang w:val="fr-CH"/>
        </w:rPr>
        <w:t xml:space="preserve"> </w:t>
      </w:r>
    </w:p>
    <w:p w:rsidR="007D643F" w:rsidRPr="007D643F" w:rsidRDefault="007D643F" w:rsidP="00D20E22">
      <w:pPr>
        <w:rPr>
          <w:lang w:val="fr-CH"/>
        </w:rPr>
      </w:pPr>
      <w:r w:rsidRPr="007D643F">
        <w:rPr>
          <w:b/>
          <w:bCs/>
          <w:lang w:val="fr-CH"/>
        </w:rPr>
        <w:t>Réduction de la durée de la PP</w:t>
      </w:r>
      <w:r w:rsidRPr="002D7F94">
        <w:rPr>
          <w:lang w:val="fr-CH"/>
        </w:rPr>
        <w:t>:</w:t>
      </w:r>
      <w:r w:rsidRPr="007D643F">
        <w:rPr>
          <w:b/>
          <w:bCs/>
          <w:lang w:val="fr-CH"/>
        </w:rPr>
        <w:t xml:space="preserve"> </w:t>
      </w:r>
      <w:bookmarkStart w:id="15" w:name="lt_pId049"/>
      <w:bookmarkEnd w:id="14"/>
      <w:r w:rsidRPr="007D643F">
        <w:rPr>
          <w:lang w:val="fr-CH"/>
        </w:rPr>
        <w:t xml:space="preserve">il serait souhaitable de réduire la durée totale de la Conférence (en raccourcissant la procédure d'élection, en </w:t>
      </w:r>
      <w:r w:rsidR="00D20E22">
        <w:rPr>
          <w:lang w:val="fr-CH"/>
        </w:rPr>
        <w:t>engageant plus tôt la procédure d'élection</w:t>
      </w:r>
      <w:r w:rsidRPr="007D643F">
        <w:rPr>
          <w:lang w:val="fr-CH"/>
        </w:rPr>
        <w:t>, etc.)</w:t>
      </w:r>
      <w:r w:rsidR="00F4129E">
        <w:rPr>
          <w:lang w:val="fr-CH"/>
        </w:rPr>
        <w:t>,</w:t>
      </w:r>
      <w:r w:rsidRPr="007D643F">
        <w:rPr>
          <w:lang w:val="fr-CH"/>
        </w:rPr>
        <w:t xml:space="preserve"> afin d'atténuer les incidences financières et de permettre </w:t>
      </w:r>
      <w:r w:rsidR="00D20E22">
        <w:rPr>
          <w:lang w:val="fr-CH"/>
        </w:rPr>
        <w:t xml:space="preserve">la participation efficace des </w:t>
      </w:r>
      <w:r w:rsidRPr="007D643F">
        <w:rPr>
          <w:lang w:val="fr-CH"/>
        </w:rPr>
        <w:t xml:space="preserve">délégués tout au long de la Conférence. </w:t>
      </w:r>
    </w:p>
    <w:p w:rsidR="007D643F" w:rsidRPr="007D643F" w:rsidRDefault="007D643F" w:rsidP="00D20E22">
      <w:pPr>
        <w:rPr>
          <w:lang w:val="fr-CH"/>
        </w:rPr>
      </w:pPr>
      <w:r w:rsidRPr="007D643F">
        <w:rPr>
          <w:b/>
          <w:bCs/>
          <w:lang w:val="fr-CH"/>
        </w:rPr>
        <w:t>Préparation et formation des délégués</w:t>
      </w:r>
      <w:r w:rsidRPr="002D7F94">
        <w:rPr>
          <w:lang w:val="fr-CH"/>
        </w:rPr>
        <w:t>:</w:t>
      </w:r>
      <w:r w:rsidRPr="007D643F">
        <w:rPr>
          <w:b/>
          <w:bCs/>
          <w:lang w:val="fr-CH"/>
        </w:rPr>
        <w:t xml:space="preserve"> </w:t>
      </w:r>
      <w:bookmarkEnd w:id="15"/>
      <w:r w:rsidRPr="007D643F">
        <w:rPr>
          <w:lang w:val="fr-CH"/>
        </w:rPr>
        <w:t>plusieurs documents d</w:t>
      </w:r>
      <w:r w:rsidR="00D20E22">
        <w:rPr>
          <w:lang w:val="fr-CH"/>
        </w:rPr>
        <w:t xml:space="preserve">'information </w:t>
      </w:r>
      <w:r w:rsidRPr="007D643F">
        <w:rPr>
          <w:lang w:val="fr-CH"/>
        </w:rPr>
        <w:t xml:space="preserve">ont été élaborés par le secrétariat et publiés sur le site web pour fournir des renseignements sur le processus de préparation </w:t>
      </w:r>
      <w:r w:rsidR="00D20E22">
        <w:rPr>
          <w:lang w:val="fr-CH"/>
        </w:rPr>
        <w:t xml:space="preserve">à </w:t>
      </w:r>
      <w:r w:rsidRPr="007D643F">
        <w:rPr>
          <w:lang w:val="fr-CH"/>
        </w:rPr>
        <w:t>la Conférence, sur la procédure d'élection et sur le traitement des documents. Les Émirats arabes unis et l'Arabie saoudite seraient également favorables à l'organisation de séances d'information et de formations sur ces questions et sur le</w:t>
      </w:r>
      <w:r w:rsidR="00D20E22">
        <w:rPr>
          <w:lang w:val="fr-CH"/>
        </w:rPr>
        <w:t xml:space="preserve"> règlement intérieur </w:t>
      </w:r>
      <w:r w:rsidRPr="007D643F">
        <w:rPr>
          <w:lang w:val="fr-CH"/>
        </w:rPr>
        <w:t xml:space="preserve">pendant les réunions préparatoires régionales. De surcroît, il </w:t>
      </w:r>
      <w:r w:rsidR="00D20E22">
        <w:rPr>
          <w:lang w:val="fr-CH"/>
        </w:rPr>
        <w:t xml:space="preserve">conviendrait </w:t>
      </w:r>
      <w:r w:rsidRPr="007D643F">
        <w:rPr>
          <w:lang w:val="fr-CH"/>
        </w:rPr>
        <w:t>que les documents de ce type soient mis à disposition suffisamment à l'avance et qu</w:t>
      </w:r>
      <w:r w:rsidR="00D20E22">
        <w:rPr>
          <w:lang w:val="fr-CH"/>
        </w:rPr>
        <w:t>e la participation</w:t>
      </w:r>
      <w:r w:rsidRPr="007D643F">
        <w:rPr>
          <w:lang w:val="fr-CH"/>
        </w:rPr>
        <w:t xml:space="preserve"> à distance </w:t>
      </w:r>
      <w:r w:rsidR="00D20E22">
        <w:rPr>
          <w:lang w:val="fr-CH"/>
        </w:rPr>
        <w:t xml:space="preserve">soit possible pour ces </w:t>
      </w:r>
      <w:r w:rsidRPr="007D643F">
        <w:rPr>
          <w:lang w:val="fr-CH"/>
        </w:rPr>
        <w:t xml:space="preserve">formations, </w:t>
      </w:r>
      <w:r w:rsidR="00D20E22">
        <w:rPr>
          <w:lang w:val="fr-CH"/>
        </w:rPr>
        <w:t xml:space="preserve">afin que </w:t>
      </w:r>
      <w:r w:rsidRPr="007D643F">
        <w:rPr>
          <w:lang w:val="fr-CH"/>
        </w:rPr>
        <w:t>le plus grand nombre de délégués</w:t>
      </w:r>
      <w:r w:rsidR="00D20E22">
        <w:rPr>
          <w:lang w:val="fr-CH"/>
        </w:rPr>
        <w:t xml:space="preserve"> puissent en bénéficier</w:t>
      </w:r>
      <w:r w:rsidRPr="007D643F">
        <w:rPr>
          <w:lang w:val="fr-CH"/>
        </w:rPr>
        <w:t xml:space="preserve">. </w:t>
      </w:r>
    </w:p>
    <w:p w:rsidR="007D643F" w:rsidRPr="007D643F" w:rsidRDefault="007D643F" w:rsidP="00BA1090">
      <w:pPr>
        <w:rPr>
          <w:lang w:val="fr-CH"/>
        </w:rPr>
      </w:pPr>
      <w:r w:rsidRPr="007D643F">
        <w:rPr>
          <w:lang w:val="fr-CH"/>
        </w:rPr>
        <w:t xml:space="preserve">Les mesures décrites ci-dessus </w:t>
      </w:r>
      <w:r w:rsidR="00D20E22">
        <w:rPr>
          <w:lang w:val="fr-CH"/>
        </w:rPr>
        <w:t xml:space="preserve">permettront </w:t>
      </w:r>
      <w:r w:rsidRPr="007D643F">
        <w:rPr>
          <w:lang w:val="fr-CH"/>
        </w:rPr>
        <w:t xml:space="preserve">aux délégués </w:t>
      </w:r>
      <w:r w:rsidR="00D20E22">
        <w:rPr>
          <w:lang w:val="fr-CH"/>
        </w:rPr>
        <w:t xml:space="preserve">de mieux comprendre le processus </w:t>
      </w:r>
      <w:r w:rsidRPr="007D643F">
        <w:rPr>
          <w:lang w:val="fr-CH"/>
        </w:rPr>
        <w:t xml:space="preserve">de la Conférence et de participer </w:t>
      </w:r>
      <w:r w:rsidR="00D20E22">
        <w:rPr>
          <w:lang w:val="fr-CH"/>
        </w:rPr>
        <w:t>plus efficacement aux travaux de cette dernière</w:t>
      </w:r>
      <w:r w:rsidRPr="007D643F">
        <w:rPr>
          <w:lang w:val="fr-CH"/>
        </w:rPr>
        <w:t xml:space="preserve">. </w:t>
      </w:r>
    </w:p>
    <w:p w:rsidR="000A37D9" w:rsidRDefault="007D643F" w:rsidP="007D643F">
      <w:pPr>
        <w:rPr>
          <w:lang w:val="fr-CH"/>
        </w:rPr>
      </w:pPr>
      <w:bookmarkStart w:id="16" w:name="lt_pId122"/>
      <w:r w:rsidRPr="007D643F">
        <w:rPr>
          <w:b/>
          <w:bCs/>
          <w:lang w:val="fr-CH"/>
        </w:rPr>
        <w:t>Conférence écoresponsable</w:t>
      </w:r>
      <w:r w:rsidRPr="002D7F94">
        <w:rPr>
          <w:lang w:val="fr-CH"/>
        </w:rPr>
        <w:t>:</w:t>
      </w:r>
      <w:r w:rsidRPr="007D643F">
        <w:rPr>
          <w:lang w:val="fr-CH"/>
        </w:rPr>
        <w:t xml:space="preserve"> pour la toute première fois, et de concert avec l'équipe chargée du projet de l'ONU "Du bleu au vert", l'UIT s'est efforcée de rendre la PP-18 aussi </w:t>
      </w:r>
      <w:r w:rsidR="00D20E22">
        <w:rPr>
          <w:lang w:val="fr-CH"/>
        </w:rPr>
        <w:t>"</w:t>
      </w:r>
      <w:r w:rsidRPr="007D643F">
        <w:rPr>
          <w:lang w:val="fr-CH"/>
        </w:rPr>
        <w:t>écoresponsable</w:t>
      </w:r>
      <w:r w:rsidR="00D20E22">
        <w:rPr>
          <w:lang w:val="fr-CH"/>
        </w:rPr>
        <w:t>"</w:t>
      </w:r>
      <w:r w:rsidRPr="007D643F">
        <w:rPr>
          <w:lang w:val="fr-CH"/>
        </w:rPr>
        <w:t xml:space="preserve"> que possible.</w:t>
      </w:r>
      <w:bookmarkEnd w:id="16"/>
      <w:r w:rsidRPr="007D643F">
        <w:rPr>
          <w:lang w:val="fr-CH"/>
        </w:rPr>
        <w:t xml:space="preserve"> </w:t>
      </w:r>
      <w:bookmarkStart w:id="17" w:name="lt_pId123"/>
      <w:r w:rsidRPr="007D643F">
        <w:rPr>
          <w:lang w:val="fr-CH"/>
        </w:rPr>
        <w:t xml:space="preserve">En coopération avec le pays hôte, un </w:t>
      </w:r>
      <w:hyperlink r:id="rId10" w:history="1">
        <w:r w:rsidRPr="007D643F">
          <w:rPr>
            <w:rStyle w:val="Hyperlink"/>
            <w:lang w:val="fr-CH"/>
          </w:rPr>
          <w:t>certain nom</w:t>
        </w:r>
        <w:r w:rsidRPr="007D643F">
          <w:rPr>
            <w:rStyle w:val="Hyperlink"/>
            <w:lang w:val="fr-CH"/>
          </w:rPr>
          <w:t>b</w:t>
        </w:r>
        <w:r w:rsidRPr="007D643F">
          <w:rPr>
            <w:rStyle w:val="Hyperlink"/>
            <w:lang w:val="fr-CH"/>
          </w:rPr>
          <w:t>re de mesures</w:t>
        </w:r>
      </w:hyperlink>
      <w:r w:rsidRPr="007D643F">
        <w:rPr>
          <w:lang w:val="fr-CH"/>
        </w:rPr>
        <w:t xml:space="preserve"> ont été prises à cet égard concernant les voyages, l'hébergement, la consommation de papier et d'énergie, la construction du site, etc.</w:t>
      </w:r>
      <w:bookmarkEnd w:id="17"/>
      <w:r w:rsidRPr="007D643F">
        <w:rPr>
          <w:lang w:val="fr-CH"/>
        </w:rPr>
        <w:t xml:space="preserve"> </w:t>
      </w:r>
      <w:bookmarkStart w:id="18" w:name="lt_pId124"/>
      <w:r w:rsidRPr="007D643F">
        <w:rPr>
          <w:lang w:val="fr-CH"/>
        </w:rPr>
        <w:t>L'Autorité de régulation des télécommunications</w:t>
      </w:r>
      <w:r w:rsidR="001565FE">
        <w:rPr>
          <w:lang w:val="fr-CH"/>
        </w:rPr>
        <w:t xml:space="preserve"> (TRA)</w:t>
      </w:r>
      <w:r w:rsidRPr="007D643F">
        <w:rPr>
          <w:lang w:val="fr-CH"/>
        </w:rPr>
        <w:t>, l'UIT et le World</w:t>
      </w:r>
      <w:r w:rsidR="001565FE">
        <w:rPr>
          <w:lang w:val="fr-CH"/>
        </w:rPr>
        <w:t xml:space="preserve"> Trade Centre de Dubaï ont reçu </w:t>
      </w:r>
      <w:r w:rsidRPr="007D643F">
        <w:rPr>
          <w:lang w:val="fr-CH"/>
        </w:rPr>
        <w:t>de l'organisme de certification SGS un prix en reconnaissance du respect de la norme ISO 20121:2012 relative aux manifestations durables.</w:t>
      </w:r>
      <w:bookmarkEnd w:id="18"/>
    </w:p>
    <w:p w:rsidR="007D643F" w:rsidRPr="000A37D9" w:rsidRDefault="000A37D9" w:rsidP="000A37D9">
      <w:pPr>
        <w:pStyle w:val="Heading1"/>
        <w:rPr>
          <w:lang w:val="fr-CH"/>
        </w:rPr>
      </w:pPr>
      <w:r>
        <w:rPr>
          <w:lang w:val="fr-CH"/>
        </w:rPr>
        <w:br w:type="page"/>
      </w:r>
      <w:bookmarkStart w:id="19" w:name="lt_pId056"/>
      <w:r w:rsidR="007D643F" w:rsidRPr="007D643F">
        <w:rPr>
          <w:lang w:val="fr-CH"/>
        </w:rPr>
        <w:lastRenderedPageBreak/>
        <w:t>III</w:t>
      </w:r>
      <w:bookmarkEnd w:id="19"/>
      <w:r w:rsidR="007D643F" w:rsidRPr="007D643F">
        <w:rPr>
          <w:lang w:val="fr-CH"/>
        </w:rPr>
        <w:tab/>
        <w:t>Proposition</w:t>
      </w:r>
    </w:p>
    <w:p w:rsidR="00520F36" w:rsidRDefault="007D643F" w:rsidP="003308D3">
      <w:pPr>
        <w:rPr>
          <w:lang w:val="fr-CH"/>
        </w:rPr>
      </w:pPr>
      <w:r w:rsidRPr="007D643F">
        <w:rPr>
          <w:lang w:val="fr-CH"/>
        </w:rPr>
        <w:t xml:space="preserve">Le Conseil est invité à étudier les solutions possibles pour </w:t>
      </w:r>
      <w:r w:rsidR="001565FE">
        <w:rPr>
          <w:lang w:val="fr-CH"/>
        </w:rPr>
        <w:t xml:space="preserve">apporter </w:t>
      </w:r>
      <w:r w:rsidRPr="007D643F">
        <w:rPr>
          <w:lang w:val="fr-CH"/>
        </w:rPr>
        <w:t xml:space="preserve">les améliorations </w:t>
      </w:r>
      <w:r w:rsidR="001565FE">
        <w:rPr>
          <w:lang w:val="fr-CH"/>
        </w:rPr>
        <w:t xml:space="preserve">proposées </w:t>
      </w:r>
      <w:r w:rsidRPr="007D643F">
        <w:rPr>
          <w:lang w:val="fr-CH"/>
        </w:rPr>
        <w:t xml:space="preserve">dans la présente contribution, notamment en examinant les procédures </w:t>
      </w:r>
      <w:r w:rsidR="001565FE">
        <w:rPr>
          <w:lang w:val="fr-CH"/>
        </w:rPr>
        <w:t xml:space="preserve">qui nécessiteraient des modifications </w:t>
      </w:r>
      <w:r w:rsidRPr="007D643F">
        <w:rPr>
          <w:lang w:val="fr-CH"/>
        </w:rPr>
        <w:t>afin de mettre en œuvre ces changements. Le Conseil est également invité</w:t>
      </w:r>
      <w:r w:rsidR="001565FE">
        <w:rPr>
          <w:lang w:val="fr-CH"/>
        </w:rPr>
        <w:t>, par l'intermédiair</w:t>
      </w:r>
      <w:bookmarkStart w:id="20" w:name="_GoBack"/>
      <w:bookmarkEnd w:id="20"/>
      <w:r w:rsidR="001565FE">
        <w:rPr>
          <w:lang w:val="fr-CH"/>
        </w:rPr>
        <w:t>e du service</w:t>
      </w:r>
      <w:r w:rsidRPr="007D643F">
        <w:rPr>
          <w:lang w:val="fr-CH"/>
        </w:rPr>
        <w:t xml:space="preserve"> juridique</w:t>
      </w:r>
      <w:r w:rsidR="001565FE">
        <w:rPr>
          <w:lang w:val="fr-CH"/>
        </w:rPr>
        <w:t>,</w:t>
      </w:r>
      <w:r w:rsidRPr="007D643F">
        <w:rPr>
          <w:lang w:val="fr-CH"/>
        </w:rPr>
        <w:t xml:space="preserve"> </w:t>
      </w:r>
      <w:r w:rsidR="001565FE">
        <w:rPr>
          <w:lang w:val="fr-CH"/>
        </w:rPr>
        <w:t xml:space="preserve">à </w:t>
      </w:r>
      <w:r w:rsidRPr="007D643F">
        <w:rPr>
          <w:lang w:val="fr-CH"/>
        </w:rPr>
        <w:t xml:space="preserve">examiner les nouvelles améliorations proposées et à présenter un rapport sur les conclusions à sa prochaine session. En outre, </w:t>
      </w:r>
      <w:r w:rsidR="001565FE">
        <w:rPr>
          <w:lang w:val="fr-CH"/>
        </w:rPr>
        <w:t xml:space="preserve">nous suggérons que le Conseil demande </w:t>
      </w:r>
      <w:r w:rsidRPr="007D643F">
        <w:rPr>
          <w:lang w:val="fr-CH"/>
        </w:rPr>
        <w:t xml:space="preserve">au secrétariat de continuer </w:t>
      </w:r>
      <w:r w:rsidR="001565FE">
        <w:rPr>
          <w:lang w:val="fr-CH"/>
        </w:rPr>
        <w:t xml:space="preserve">de présenter des </w:t>
      </w:r>
      <w:r w:rsidR="003308D3">
        <w:rPr>
          <w:lang w:val="fr-CH"/>
        </w:rPr>
        <w:t xml:space="preserve">propositions d'amélioration </w:t>
      </w:r>
      <w:r w:rsidR="001565FE">
        <w:rPr>
          <w:lang w:val="fr-CH"/>
        </w:rPr>
        <w:t>concernant les travaux préparatoires et le</w:t>
      </w:r>
      <w:r w:rsidRPr="007D643F">
        <w:rPr>
          <w:lang w:val="fr-CH"/>
        </w:rPr>
        <w:t xml:space="preserve"> déroulement de la Conférence de plénipotentiaires</w:t>
      </w:r>
      <w:r w:rsidR="001565FE">
        <w:rPr>
          <w:lang w:val="fr-CH"/>
        </w:rPr>
        <w:t>,</w:t>
      </w:r>
      <w:r w:rsidRPr="007D643F">
        <w:rPr>
          <w:lang w:val="fr-CH"/>
        </w:rPr>
        <w:t xml:space="preserve"> en vue de </w:t>
      </w:r>
      <w:r w:rsidR="001565FE">
        <w:rPr>
          <w:lang w:val="fr-CH"/>
        </w:rPr>
        <w:t xml:space="preserve">limiter </w:t>
      </w:r>
      <w:r w:rsidRPr="007D643F">
        <w:rPr>
          <w:lang w:val="fr-CH"/>
        </w:rPr>
        <w:t>la durée de la manifestation.</w:t>
      </w:r>
    </w:p>
    <w:p w:rsidR="007D643F" w:rsidRDefault="007D643F" w:rsidP="00411C49">
      <w:pPr>
        <w:pStyle w:val="Reasons"/>
      </w:pPr>
    </w:p>
    <w:p w:rsidR="007D643F" w:rsidRPr="00CA08ED" w:rsidRDefault="007D643F" w:rsidP="007D643F">
      <w:pPr>
        <w:jc w:val="center"/>
      </w:pPr>
      <w:r>
        <w:t>______________</w:t>
      </w:r>
    </w:p>
    <w:sectPr w:rsidR="007D643F" w:rsidRPr="00CA08ED" w:rsidSect="005C3890">
      <w:headerReference w:type="even" r:id="rId11"/>
      <w:headerReference w:type="default" r:id="rId12"/>
      <w:footerReference w:type="even" r:id="rId13"/>
      <w:footerReference w:type="default" r:id="rId14"/>
      <w:footerReference w:type="first" r:id="rId15"/>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EA7" w:rsidRDefault="00CD1EA7">
      <w:r>
        <w:separator/>
      </w:r>
    </w:p>
  </w:endnote>
  <w:endnote w:type="continuationSeparator" w:id="0">
    <w:p w:rsidR="00CD1EA7" w:rsidRDefault="00CD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2D7F94">
    <w:pPr>
      <w:pStyle w:val="Footer"/>
    </w:pPr>
    <w:fldSimple w:instr=" FILENAME \p \* MERGEFORMAT ">
      <w:r w:rsidR="001565FE">
        <w:t>P:\FRA\SG\CONSEIL\C19\100\101F.docx</w:t>
      </w:r>
    </w:fldSimple>
    <w:r w:rsidR="00732045">
      <w:tab/>
    </w:r>
    <w:r w:rsidR="002F1B76">
      <w:fldChar w:fldCharType="begin"/>
    </w:r>
    <w:r w:rsidR="00732045">
      <w:instrText xml:space="preserve"> savedate \@ dd.MM.yy </w:instrText>
    </w:r>
    <w:r w:rsidR="002F1B76">
      <w:fldChar w:fldCharType="separate"/>
    </w:r>
    <w:r w:rsidR="006D1B6C">
      <w:t>03.06.19</w:t>
    </w:r>
    <w:r w:rsidR="002F1B76">
      <w:fldChar w:fldCharType="end"/>
    </w:r>
    <w:r w:rsidR="00732045">
      <w:tab/>
    </w:r>
    <w:r w:rsidR="002F1B76">
      <w:fldChar w:fldCharType="begin"/>
    </w:r>
    <w:r w:rsidR="00732045">
      <w:instrText xml:space="preserve"> printdate \@ dd.MM.yy </w:instrText>
    </w:r>
    <w:r w:rsidR="002F1B76">
      <w:fldChar w:fldCharType="separate"/>
    </w:r>
    <w:r w:rsidR="001565FE">
      <w:t>03.06.19</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225D29" w:rsidRDefault="00E9441B" w:rsidP="00225D29">
    <w:pPr>
      <w:pStyle w:val="Footer"/>
    </w:pPr>
    <w:r>
      <w:fldChar w:fldCharType="begin"/>
    </w:r>
    <w:r>
      <w:instrText xml:space="preserve"> FILENAME \p  \* MERGEFORMAT </w:instrText>
    </w:r>
    <w:r>
      <w:fldChar w:fldCharType="separate"/>
    </w:r>
    <w:r w:rsidR="001565FE">
      <w:t>P:\FRA\SG\CONSEIL\C19\100\101F.docx</w:t>
    </w:r>
    <w:r>
      <w:fldChar w:fldCharType="end"/>
    </w:r>
    <w:r w:rsidR="00225D29">
      <w:t xml:space="preserve"> (456080)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EA7" w:rsidRDefault="00CD1EA7">
      <w:r>
        <w:t>____________________</w:t>
      </w:r>
    </w:p>
  </w:footnote>
  <w:footnote w:type="continuationSeparator" w:id="0">
    <w:p w:rsidR="00CD1EA7" w:rsidRDefault="00CD1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E9441B">
      <w:rPr>
        <w:noProof/>
      </w:rPr>
      <w:t>4</w:t>
    </w:r>
    <w:r>
      <w:rPr>
        <w:noProof/>
      </w:rPr>
      <w:fldChar w:fldCharType="end"/>
    </w:r>
  </w:p>
  <w:p w:rsidR="00732045" w:rsidRDefault="00732045" w:rsidP="00106B19">
    <w:pPr>
      <w:pStyle w:val="Header"/>
    </w:pPr>
    <w:r>
      <w:t>C1</w:t>
    </w:r>
    <w:r w:rsidR="00106B19">
      <w:t>9</w:t>
    </w:r>
    <w:r w:rsidR="00225D29">
      <w:t>/101</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A7"/>
    <w:rsid w:val="000956FA"/>
    <w:rsid w:val="000A37D9"/>
    <w:rsid w:val="000D0D0A"/>
    <w:rsid w:val="00103163"/>
    <w:rsid w:val="00106B19"/>
    <w:rsid w:val="00115D93"/>
    <w:rsid w:val="001247A8"/>
    <w:rsid w:val="001378C0"/>
    <w:rsid w:val="001565FE"/>
    <w:rsid w:val="0018694A"/>
    <w:rsid w:val="001A3287"/>
    <w:rsid w:val="001A6508"/>
    <w:rsid w:val="001D4C31"/>
    <w:rsid w:val="001E4D21"/>
    <w:rsid w:val="00207CD1"/>
    <w:rsid w:val="00225D29"/>
    <w:rsid w:val="002477A2"/>
    <w:rsid w:val="00263A51"/>
    <w:rsid w:val="00267E02"/>
    <w:rsid w:val="002A5D44"/>
    <w:rsid w:val="002D7F94"/>
    <w:rsid w:val="002E0BC4"/>
    <w:rsid w:val="002F1B76"/>
    <w:rsid w:val="003308D3"/>
    <w:rsid w:val="0033568E"/>
    <w:rsid w:val="00355FF5"/>
    <w:rsid w:val="00361350"/>
    <w:rsid w:val="003C3FAE"/>
    <w:rsid w:val="004038CB"/>
    <w:rsid w:val="0040546F"/>
    <w:rsid w:val="0042404A"/>
    <w:rsid w:val="0044618F"/>
    <w:rsid w:val="0046769A"/>
    <w:rsid w:val="00475FB3"/>
    <w:rsid w:val="004C37A9"/>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D1B6C"/>
    <w:rsid w:val="007210CD"/>
    <w:rsid w:val="00732045"/>
    <w:rsid w:val="007369DB"/>
    <w:rsid w:val="007956C2"/>
    <w:rsid w:val="007A187E"/>
    <w:rsid w:val="007C72C2"/>
    <w:rsid w:val="007D4436"/>
    <w:rsid w:val="007D643F"/>
    <w:rsid w:val="007F257A"/>
    <w:rsid w:val="007F3665"/>
    <w:rsid w:val="00800037"/>
    <w:rsid w:val="00861D73"/>
    <w:rsid w:val="008A4E87"/>
    <w:rsid w:val="008D76E6"/>
    <w:rsid w:val="0092392D"/>
    <w:rsid w:val="0093234A"/>
    <w:rsid w:val="009A4224"/>
    <w:rsid w:val="009C307F"/>
    <w:rsid w:val="00A2113E"/>
    <w:rsid w:val="00A23A51"/>
    <w:rsid w:val="00A24607"/>
    <w:rsid w:val="00A25CD3"/>
    <w:rsid w:val="00A82767"/>
    <w:rsid w:val="00AA332F"/>
    <w:rsid w:val="00AA7BBB"/>
    <w:rsid w:val="00AB64A8"/>
    <w:rsid w:val="00AC0266"/>
    <w:rsid w:val="00AD24EC"/>
    <w:rsid w:val="00B20E09"/>
    <w:rsid w:val="00B309F9"/>
    <w:rsid w:val="00B32B60"/>
    <w:rsid w:val="00B61619"/>
    <w:rsid w:val="00BA1090"/>
    <w:rsid w:val="00BB4545"/>
    <w:rsid w:val="00BD5873"/>
    <w:rsid w:val="00C04BE3"/>
    <w:rsid w:val="00C25D29"/>
    <w:rsid w:val="00C27A7C"/>
    <w:rsid w:val="00CA08ED"/>
    <w:rsid w:val="00CD1EA7"/>
    <w:rsid w:val="00CF183B"/>
    <w:rsid w:val="00D20E22"/>
    <w:rsid w:val="00D375CD"/>
    <w:rsid w:val="00D553A2"/>
    <w:rsid w:val="00D774D3"/>
    <w:rsid w:val="00D87E75"/>
    <w:rsid w:val="00D904E8"/>
    <w:rsid w:val="00DA08C3"/>
    <w:rsid w:val="00DB5A3E"/>
    <w:rsid w:val="00DC22AA"/>
    <w:rsid w:val="00DF74DD"/>
    <w:rsid w:val="00E25AD0"/>
    <w:rsid w:val="00E9441B"/>
    <w:rsid w:val="00EB6350"/>
    <w:rsid w:val="00F15B57"/>
    <w:rsid w:val="00F4129E"/>
    <w:rsid w:val="00F427DB"/>
    <w:rsid w:val="00F55B85"/>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25B5FD1-9709-4EDF-ABF9-BFF784EB0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character" w:styleId="CommentReference">
    <w:name w:val="annotation reference"/>
    <w:basedOn w:val="DefaultParagraphFont"/>
    <w:semiHidden/>
    <w:unhideWhenUsed/>
    <w:rsid w:val="007D643F"/>
    <w:rPr>
      <w:sz w:val="16"/>
      <w:szCs w:val="16"/>
    </w:rPr>
  </w:style>
  <w:style w:type="paragraph" w:styleId="CommentText">
    <w:name w:val="annotation text"/>
    <w:basedOn w:val="Normal"/>
    <w:link w:val="CommentTextChar"/>
    <w:semiHidden/>
    <w:unhideWhenUsed/>
    <w:rsid w:val="007D643F"/>
    <w:rPr>
      <w:sz w:val="20"/>
    </w:rPr>
  </w:style>
  <w:style w:type="character" w:customStyle="1" w:styleId="CommentTextChar">
    <w:name w:val="Comment Text Char"/>
    <w:basedOn w:val="DefaultParagraphFont"/>
    <w:link w:val="CommentText"/>
    <w:semiHidden/>
    <w:rsid w:val="007D643F"/>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004/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itu.int/web/pp-18/fr/page/154-greening-the-pp" TargetMode="External"/><Relationship Id="rId4" Type="http://schemas.openxmlformats.org/officeDocument/2006/relationships/webSettings" Target="webSettings.xml"/><Relationship Id="rId9" Type="http://schemas.openxmlformats.org/officeDocument/2006/relationships/hyperlink" Target="https://www.itu.int/md/S19-CL-C-0004/f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my\AppData\Roaming\Microsoft\Templates\POOL%20F%20-%20ITU\PF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99BEA-42FF-4345-B92D-2288EEC23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PF_C19.dotx</Template>
  <TotalTime>78</TotalTime>
  <Pages>4</Pages>
  <Words>1081</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7445</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Lamy, Sylvie</dc:creator>
  <cp:keywords>C2018, C18</cp:keywords>
  <dc:description/>
  <cp:lastModifiedBy>Royer, Veronique</cp:lastModifiedBy>
  <cp:revision>11</cp:revision>
  <cp:lastPrinted>2019-06-03T06:32:00Z</cp:lastPrinted>
  <dcterms:created xsi:type="dcterms:W3CDTF">2019-06-03T05:42:00Z</dcterms:created>
  <dcterms:modified xsi:type="dcterms:W3CDTF">2019-06-04T05:53:00Z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