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 w14:paraId="4C90CEE4" w14:textId="77777777">
        <w:trPr>
          <w:cantSplit/>
        </w:trPr>
        <w:tc>
          <w:tcPr>
            <w:tcW w:w="6912" w:type="dxa"/>
          </w:tcPr>
          <w:p w14:paraId="5F7724BA" w14:textId="77777777" w:rsidR="00520F36" w:rsidRPr="0092392D" w:rsidRDefault="00520F36" w:rsidP="008C2919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8C2919">
              <w:rPr>
                <w:b/>
                <w:bCs/>
                <w:sz w:val="30"/>
                <w:szCs w:val="30"/>
                <w:lang w:val="fr-CH"/>
              </w:rPr>
              <w:t>9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r w:rsidRPr="00520F36">
              <w:rPr>
                <w:b/>
                <w:bCs/>
                <w:szCs w:val="24"/>
                <w:lang w:val="fr-CH"/>
              </w:rPr>
              <w:t xml:space="preserve">, </w:t>
            </w:r>
            <w:r w:rsidR="008C2919">
              <w:rPr>
                <w:b/>
                <w:bCs/>
                <w:szCs w:val="24"/>
                <w:lang w:val="fr-CH"/>
              </w:rPr>
              <w:t>10-20 juin 2019</w:t>
            </w:r>
          </w:p>
        </w:tc>
        <w:tc>
          <w:tcPr>
            <w:tcW w:w="3261" w:type="dxa"/>
          </w:tcPr>
          <w:p w14:paraId="78C8DB45" w14:textId="77777777" w:rsidR="00520F36" w:rsidRPr="0092392D" w:rsidRDefault="00520F36" w:rsidP="00520F36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631B841C" wp14:editId="31A80C3A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14:paraId="790B4D92" w14:textId="77777777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14:paraId="6A5DDF29" w14:textId="77777777" w:rsidR="00520F36" w:rsidRPr="00361350" w:rsidRDefault="00520F36" w:rsidP="004C37A9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2E471C09" w14:textId="77777777"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 w14:paraId="4606A7B3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41ABE51B" w14:textId="77777777" w:rsidR="00520F36" w:rsidRPr="0092392D" w:rsidRDefault="00520F36" w:rsidP="00DF74DD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7A811B71" w14:textId="77777777"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 w14:paraId="5057419E" w14:textId="77777777">
        <w:trPr>
          <w:cantSplit/>
          <w:trHeight w:val="20"/>
        </w:trPr>
        <w:tc>
          <w:tcPr>
            <w:tcW w:w="6912" w:type="dxa"/>
            <w:vMerge w:val="restart"/>
          </w:tcPr>
          <w:p w14:paraId="085C5C5E" w14:textId="0E2D078D" w:rsidR="00520F36" w:rsidRPr="005E4398" w:rsidRDefault="00331DCD" w:rsidP="00331DCD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 w:rsidRPr="005E4398">
              <w:rPr>
                <w:rFonts w:cs="Times"/>
                <w:b/>
                <w:bCs/>
                <w:szCs w:val="24"/>
                <w:lang w:val="fr-CH"/>
              </w:rPr>
              <w:t>Point de l’ordre du jour : ADM 19</w:t>
            </w:r>
          </w:p>
        </w:tc>
        <w:tc>
          <w:tcPr>
            <w:tcW w:w="3261" w:type="dxa"/>
          </w:tcPr>
          <w:p w14:paraId="5A50298F" w14:textId="1ABE753E" w:rsidR="00520F36" w:rsidRPr="00520F36" w:rsidRDefault="00520F36" w:rsidP="005E4398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C1</w:t>
            </w:r>
            <w:r w:rsidR="008C2919">
              <w:rPr>
                <w:b/>
                <w:bCs/>
              </w:rPr>
              <w:t>9</w:t>
            </w:r>
            <w:r>
              <w:rPr>
                <w:b/>
                <w:bCs/>
              </w:rPr>
              <w:t>/</w:t>
            </w:r>
            <w:r w:rsidR="005E4398">
              <w:rPr>
                <w:b/>
                <w:bCs/>
              </w:rPr>
              <w:t>95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 w14:paraId="7A3C03E9" w14:textId="77777777">
        <w:trPr>
          <w:cantSplit/>
          <w:trHeight w:val="20"/>
        </w:trPr>
        <w:tc>
          <w:tcPr>
            <w:tcW w:w="6912" w:type="dxa"/>
            <w:vMerge/>
          </w:tcPr>
          <w:p w14:paraId="3E7D2F1A" w14:textId="77777777"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14:paraId="6384D714" w14:textId="2012CD5C" w:rsidR="00520F36" w:rsidRPr="00520F36" w:rsidRDefault="005E4398" w:rsidP="003C3FAE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27 mai</w:t>
            </w:r>
            <w:r w:rsidR="00520F36">
              <w:rPr>
                <w:b/>
                <w:bCs/>
              </w:rPr>
              <w:t xml:space="preserve"> 201</w:t>
            </w:r>
            <w:r w:rsidR="008C2919">
              <w:rPr>
                <w:b/>
                <w:bCs/>
              </w:rPr>
              <w:t>9</w:t>
            </w:r>
          </w:p>
        </w:tc>
      </w:tr>
      <w:tr w:rsidR="00520F36" w:rsidRPr="0092392D" w14:paraId="3E3812DB" w14:textId="77777777">
        <w:trPr>
          <w:cantSplit/>
          <w:trHeight w:val="20"/>
        </w:trPr>
        <w:tc>
          <w:tcPr>
            <w:tcW w:w="6912" w:type="dxa"/>
            <w:vMerge/>
          </w:tcPr>
          <w:p w14:paraId="6B6F0631" w14:textId="77777777"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14:paraId="1D4D6C15" w14:textId="5BB8BDDF" w:rsidR="00520F36" w:rsidRPr="00520F36" w:rsidRDefault="00520F36" w:rsidP="005E4398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Original: </w:t>
            </w:r>
            <w:r w:rsidR="005E4398">
              <w:rPr>
                <w:b/>
                <w:bCs/>
              </w:rPr>
              <w:t>français</w:t>
            </w:r>
          </w:p>
        </w:tc>
      </w:tr>
      <w:tr w:rsidR="00520F36" w:rsidRPr="0092392D" w14:paraId="2412570C" w14:textId="77777777">
        <w:trPr>
          <w:cantSplit/>
        </w:trPr>
        <w:tc>
          <w:tcPr>
            <w:tcW w:w="10173" w:type="dxa"/>
            <w:gridSpan w:val="2"/>
          </w:tcPr>
          <w:p w14:paraId="303CF108" w14:textId="77777777" w:rsidR="005E4398" w:rsidRDefault="005E4398" w:rsidP="005E4398">
            <w:pPr>
              <w:pStyle w:val="Source"/>
              <w:rPr>
                <w:lang w:val="fr-CH"/>
              </w:rPr>
            </w:pPr>
            <w:bookmarkStart w:id="6" w:name="dsource" w:colFirst="0" w:colLast="0"/>
            <w:bookmarkEnd w:id="5"/>
            <w:r w:rsidRPr="00E35859">
              <w:t>Note du Secrétaire général</w:t>
            </w:r>
          </w:p>
          <w:p w14:paraId="2CF785F7" w14:textId="77777777" w:rsidR="005E4398" w:rsidRPr="00EE407D" w:rsidRDefault="005E4398" w:rsidP="005E4398">
            <w:pPr>
              <w:pStyle w:val="Title1"/>
              <w:rPr>
                <w:lang w:val="fr-CH"/>
              </w:rPr>
            </w:pPr>
            <w:r w:rsidRPr="00EE407D">
              <w:rPr>
                <w:lang w:val="fr-CH"/>
              </w:rPr>
              <w:t xml:space="preserve">CONTRIBUTION DE LA </w:t>
            </w:r>
            <w:r>
              <w:rPr>
                <w:lang w:val="fr-CH"/>
              </w:rPr>
              <w:t xml:space="preserve">république de </w:t>
            </w:r>
            <w:r w:rsidRPr="00EE407D">
              <w:rPr>
                <w:lang w:val="fr-CH"/>
              </w:rPr>
              <w:t xml:space="preserve">CÔTE D’IVOIRE </w:t>
            </w:r>
          </w:p>
          <w:p w14:paraId="7156A55A" w14:textId="4FE262D6" w:rsidR="00520F36" w:rsidRPr="00EE407D" w:rsidRDefault="00EE407D" w:rsidP="008E131A">
            <w:pPr>
              <w:pStyle w:val="Title1"/>
              <w:rPr>
                <w:b/>
              </w:rPr>
            </w:pPr>
            <w:r w:rsidRPr="00EE407D">
              <w:rPr>
                <w:lang w:val="fr-CH"/>
              </w:rPr>
              <w:t xml:space="preserve">RAPPORT </w:t>
            </w:r>
            <w:r>
              <w:rPr>
                <w:lang w:val="fr-CH"/>
              </w:rPr>
              <w:t>DU SECRETA</w:t>
            </w:r>
            <w:r w:rsidR="008E131A">
              <w:rPr>
                <w:lang w:val="fr-CH"/>
              </w:rPr>
              <w:t>ire</w:t>
            </w:r>
            <w:r>
              <w:rPr>
                <w:lang w:val="fr-CH"/>
              </w:rPr>
              <w:t xml:space="preserve"> GENERAL </w:t>
            </w:r>
            <w:r w:rsidRPr="00EE407D">
              <w:rPr>
                <w:lang w:val="fr-CH"/>
              </w:rPr>
              <w:t>SUR LA MISE EN ŒUVRE DE LA RÉSOLUTION 131 (RÉV. DUBAÏ, 2018) DE LA CONFÉRENCE DE PLÉNIPOTENTIAIRES – MESURER LES TECHNOLOGIES DE L'INFORMATION ET DE LA COMMUNICATION POUR ÉDIFIER UNE SOCIÉTÉ DE L'INFORMATION INCLUSIVE ET QUI FACILITE L'INTÉGRATION</w:t>
            </w:r>
          </w:p>
        </w:tc>
      </w:tr>
      <w:bookmarkEnd w:id="6"/>
    </w:tbl>
    <w:p w14:paraId="3D5BCFBE" w14:textId="77777777" w:rsidR="005E4398" w:rsidRDefault="005E4398" w:rsidP="005E4398">
      <w:pPr>
        <w:rPr>
          <w:lang w:val="fr-CH"/>
        </w:rPr>
      </w:pPr>
    </w:p>
    <w:p w14:paraId="063D7409" w14:textId="77777777" w:rsidR="005E4398" w:rsidRPr="00A53EC5" w:rsidRDefault="005E4398" w:rsidP="005E4398">
      <w:pPr>
        <w:spacing w:before="720"/>
      </w:pPr>
      <w:r w:rsidRPr="00E35859">
        <w:t xml:space="preserve">J'ai l'honneur de transmettre aux États Membres du Conseil une contribution soumise par </w:t>
      </w:r>
      <w:r w:rsidRPr="00A53EC5">
        <w:t>l</w:t>
      </w:r>
      <w:r>
        <w:t xml:space="preserve">a </w:t>
      </w:r>
      <w:r w:rsidRPr="00115DB8">
        <w:t xml:space="preserve">République </w:t>
      </w:r>
      <w:r>
        <w:t>de Côte d’Ivoire</w:t>
      </w:r>
      <w:r w:rsidRPr="00A53EC5">
        <w:t>.</w:t>
      </w:r>
    </w:p>
    <w:p w14:paraId="7E991FBC" w14:textId="77777777" w:rsidR="005E4398" w:rsidRPr="00E35859" w:rsidRDefault="005E4398" w:rsidP="005E439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840"/>
      </w:pPr>
      <w:r w:rsidRPr="00E35859">
        <w:tab/>
        <w:t>Houlin ZHAO</w:t>
      </w:r>
      <w:r w:rsidRPr="00E35859">
        <w:br/>
      </w:r>
      <w:r w:rsidRPr="00E35859">
        <w:tab/>
        <w:t>Secrétaire général</w:t>
      </w:r>
    </w:p>
    <w:p w14:paraId="0EBDED70" w14:textId="77777777" w:rsidR="005E4398" w:rsidRDefault="005E4398">
      <w:pPr>
        <w:rPr>
          <w:lang w:val="fr-CH"/>
        </w:rPr>
      </w:pPr>
    </w:p>
    <w:p w14:paraId="42272F2A" w14:textId="74494009" w:rsidR="005E4398" w:rsidRDefault="005E439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>
        <w:rPr>
          <w:lang w:val="fr-CH"/>
        </w:rPr>
        <w:br w:type="page"/>
      </w:r>
    </w:p>
    <w:p w14:paraId="392A9B0C" w14:textId="77777777" w:rsidR="005E4398" w:rsidRDefault="005E4398">
      <w:pPr>
        <w:rPr>
          <w:lang w:val="fr-CH"/>
        </w:rPr>
      </w:pPr>
    </w:p>
    <w:p w14:paraId="55033B46" w14:textId="77777777" w:rsidR="005E4398" w:rsidRPr="005C1B59" w:rsidRDefault="005E4398" w:rsidP="005E4398">
      <w:pPr>
        <w:pStyle w:val="Source"/>
        <w:rPr>
          <w:lang w:val="fr-CH"/>
        </w:rPr>
      </w:pPr>
      <w:r w:rsidRPr="005C1B59">
        <w:rPr>
          <w:lang w:val="fr-CH"/>
        </w:rPr>
        <w:t>C</w:t>
      </w:r>
      <w:r>
        <w:rPr>
          <w:lang w:val="fr-CH"/>
        </w:rPr>
        <w:t>ontribution de la République de Côte d’Ivoire</w:t>
      </w:r>
      <w:r w:rsidRPr="005C1B59">
        <w:rPr>
          <w:lang w:val="fr-CH"/>
        </w:rPr>
        <w:t xml:space="preserve"> </w:t>
      </w:r>
    </w:p>
    <w:p w14:paraId="15A31196" w14:textId="1FBA07EE" w:rsidR="005E4398" w:rsidRDefault="005E4398">
      <w:pPr>
        <w:pStyle w:val="Title1"/>
        <w:rPr>
          <w:lang w:val="fr-CH"/>
        </w:rPr>
      </w:pPr>
      <w:r w:rsidRPr="00EE407D">
        <w:rPr>
          <w:lang w:val="fr-CH"/>
        </w:rPr>
        <w:t xml:space="preserve">RAPPORT </w:t>
      </w:r>
      <w:r>
        <w:rPr>
          <w:lang w:val="fr-CH"/>
        </w:rPr>
        <w:t>DU SECRETA</w:t>
      </w:r>
      <w:r w:rsidR="008E131A">
        <w:rPr>
          <w:lang w:val="fr-CH"/>
        </w:rPr>
        <w:t>ire</w:t>
      </w:r>
      <w:r>
        <w:rPr>
          <w:lang w:val="fr-CH"/>
        </w:rPr>
        <w:t xml:space="preserve"> GENERAL </w:t>
      </w:r>
      <w:r w:rsidRPr="00EE407D">
        <w:rPr>
          <w:lang w:val="fr-CH"/>
        </w:rPr>
        <w:t>SUR LA MISE EN ŒUVRE DE LA RÉSOLUTION 131 (RÉV. DUBAÏ, 2018) DE LA CONFÉRENCE DE PLÉNIPOTENTIAIRES – MESURER LES TECHNOLOGIES DE L'INFORMATION ET DE LA COMMUNICATION POUR ÉDIFIER UNE SOCIÉTÉ DE L'INFORMATION INCLUSIVE ET QUI FACILITE L'INTÉGRATION</w:t>
      </w:r>
    </w:p>
    <w:p w14:paraId="3EACF43B" w14:textId="77777777" w:rsidR="005E4398" w:rsidRPr="0092392D" w:rsidRDefault="005E4398" w:rsidP="005E4398">
      <w:pPr>
        <w:pStyle w:val="Title1"/>
        <w:rPr>
          <w:lang w:val="fr-CH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92392D" w14:paraId="59CD13A3" w14:textId="77777777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55A13" w14:textId="77777777" w:rsidR="00520F36" w:rsidRPr="0092392D" w:rsidRDefault="00520F36" w:rsidP="00421F0D">
            <w:pPr>
              <w:pStyle w:val="Headingb"/>
              <w:numPr>
                <w:ilvl w:val="0"/>
                <w:numId w:val="0"/>
              </w:numPr>
              <w:rPr>
                <w:lang w:val="fr-CH"/>
              </w:rPr>
            </w:pPr>
            <w:r w:rsidRPr="0092392D">
              <w:rPr>
                <w:lang w:val="fr-CH"/>
              </w:rPr>
              <w:t>Résumé</w:t>
            </w:r>
          </w:p>
          <w:p w14:paraId="0B6D66FE" w14:textId="267146D5" w:rsidR="00EE407D" w:rsidRPr="00EE407D" w:rsidRDefault="00992550">
            <w:r>
              <w:t xml:space="preserve">Le présent document fait des propositions </w:t>
            </w:r>
            <w:r w:rsidR="00894570">
              <w:t xml:space="preserve">sur </w:t>
            </w:r>
            <w:r>
              <w:t xml:space="preserve">les travaux relatifs aux méthodes de calcul de l’IDI et du panier des prix des TIC </w:t>
            </w:r>
            <w:r w:rsidR="00894570">
              <w:t xml:space="preserve">et </w:t>
            </w:r>
            <w:r w:rsidR="00894570" w:rsidRPr="00EE407D">
              <w:t>invite</w:t>
            </w:r>
            <w:r w:rsidR="00ED19E2">
              <w:t xml:space="preserve"> le</w:t>
            </w:r>
            <w:r>
              <w:t xml:space="preserve"> Directeur du Bureau du </w:t>
            </w:r>
            <w:r w:rsidR="005E4398">
              <w:t>d</w:t>
            </w:r>
            <w:r>
              <w:t xml:space="preserve">éveloppement des </w:t>
            </w:r>
            <w:r w:rsidR="005E4398">
              <w:t>t</w:t>
            </w:r>
            <w:r>
              <w:t>élécommunications à soumettre également son</w:t>
            </w:r>
            <w:r w:rsidR="00ED19E2">
              <w:t xml:space="preserve"> rapport sur les</w:t>
            </w:r>
            <w:r>
              <w:t>dits</w:t>
            </w:r>
            <w:r w:rsidR="00ED19E2">
              <w:t xml:space="preserve"> travaux con</w:t>
            </w:r>
            <w:r>
              <w:t>formément</w:t>
            </w:r>
            <w:r w:rsidR="00ED19E2">
              <w:t xml:space="preserve"> au </w:t>
            </w:r>
            <w:r w:rsidRPr="00992550">
              <w:rPr>
                <w:lang w:val="fr-CH"/>
              </w:rPr>
              <w:t xml:space="preserve">point 20 du </w:t>
            </w:r>
            <w:r w:rsidRPr="00992550">
              <w:rPr>
                <w:i/>
                <w:iCs/>
                <w:lang w:val="fr-CH"/>
              </w:rPr>
              <w:t>charge le Directeur du Bureau de développement des télécommunications</w:t>
            </w:r>
            <w:r>
              <w:rPr>
                <w:i/>
                <w:iCs/>
                <w:lang w:val="fr-CH"/>
              </w:rPr>
              <w:t xml:space="preserve"> </w:t>
            </w:r>
            <w:r w:rsidR="00EE407D" w:rsidRPr="00EE407D">
              <w:rPr>
                <w:lang w:val="fr-CH"/>
              </w:rPr>
              <w:t xml:space="preserve">de la Résolution 131 (Rév. Dubaï, 2018) de la Conférence de plénipotentiaires, intitulée </w:t>
            </w:r>
            <w:r w:rsidR="00EE407D" w:rsidRPr="00EE407D">
              <w:rPr>
                <w:i/>
                <w:iCs/>
                <w:lang w:val="fr-CH"/>
              </w:rPr>
              <w:t>Mesurer les technologies de l'information et de la communication pour édifier une société de l'information inclusive et qui facilite l'intégration</w:t>
            </w:r>
            <w:r w:rsidR="00EE407D" w:rsidRPr="00EE407D">
              <w:rPr>
                <w:lang w:val="fr-CH"/>
              </w:rPr>
              <w:t>.</w:t>
            </w:r>
          </w:p>
          <w:p w14:paraId="7F14DAD0" w14:textId="77777777" w:rsidR="00520F36" w:rsidRPr="0092392D" w:rsidRDefault="00520F36" w:rsidP="00421F0D">
            <w:pPr>
              <w:pStyle w:val="Headingb"/>
              <w:numPr>
                <w:ilvl w:val="0"/>
                <w:numId w:val="0"/>
              </w:numPr>
              <w:rPr>
                <w:lang w:val="fr-CH"/>
              </w:rPr>
            </w:pPr>
            <w:r w:rsidRPr="0092392D">
              <w:rPr>
                <w:lang w:val="fr-CH"/>
              </w:rPr>
              <w:t>Suite à donner</w:t>
            </w:r>
          </w:p>
          <w:p w14:paraId="5E1B54C6" w14:textId="77777777" w:rsidR="00520F36" w:rsidRPr="0092392D" w:rsidRDefault="00894570" w:rsidP="00CB53E8">
            <w:pPr>
              <w:rPr>
                <w:sz w:val="22"/>
                <w:lang w:val="fr-CH"/>
              </w:rPr>
            </w:pPr>
            <w:r>
              <w:rPr>
                <w:lang w:val="fr-CH"/>
              </w:rPr>
              <w:t>Le Conseil est invité à prendre note des propositions soumises par la</w:t>
            </w:r>
            <w:r w:rsidR="00EE407D" w:rsidRPr="00EE407D">
              <w:rPr>
                <w:lang w:val="fr-CH"/>
              </w:rPr>
              <w:t xml:space="preserve"> Côte d’Ivoire</w:t>
            </w:r>
            <w:r w:rsidR="00EE407D">
              <w:rPr>
                <w:lang w:val="fr-CH"/>
              </w:rPr>
              <w:t xml:space="preserve"> </w:t>
            </w:r>
          </w:p>
          <w:p w14:paraId="59900978" w14:textId="77777777" w:rsidR="00520F36" w:rsidRPr="0092392D" w:rsidRDefault="00520F36" w:rsidP="00421F0D">
            <w:pPr>
              <w:pStyle w:val="Headingb"/>
              <w:numPr>
                <w:ilvl w:val="0"/>
                <w:numId w:val="0"/>
              </w:numPr>
              <w:rPr>
                <w:lang w:val="fr-CH"/>
              </w:rPr>
            </w:pPr>
            <w:r w:rsidRPr="0092392D">
              <w:rPr>
                <w:lang w:val="fr-CH"/>
              </w:rPr>
              <w:t>Références</w:t>
            </w:r>
          </w:p>
          <w:p w14:paraId="690401FC" w14:textId="77777777" w:rsidR="00520F36" w:rsidRPr="0092392D" w:rsidRDefault="00520F36">
            <w:pPr>
              <w:spacing w:after="120"/>
              <w:rPr>
                <w:i/>
                <w:iCs/>
                <w:lang w:val="fr-CH"/>
              </w:rPr>
            </w:pPr>
            <w:bookmarkStart w:id="7" w:name="_GoBack"/>
            <w:bookmarkEnd w:id="7"/>
          </w:p>
        </w:tc>
      </w:tr>
    </w:tbl>
    <w:p w14:paraId="15DA0BDE" w14:textId="77777777" w:rsidR="00C86674" w:rsidRDefault="00992550" w:rsidP="00C86674">
      <w:pPr>
        <w:pStyle w:val="Heading1"/>
      </w:pPr>
      <w:r>
        <w:t>Introduction</w:t>
      </w:r>
    </w:p>
    <w:p w14:paraId="690611DF" w14:textId="69573B20" w:rsidR="00992550" w:rsidRDefault="00992550" w:rsidP="003B0012">
      <w:pPr>
        <w:jc w:val="both"/>
        <w:rPr>
          <w:lang w:val="fr-CH"/>
        </w:rPr>
      </w:pPr>
      <w:r>
        <w:t xml:space="preserve">Le Directeur du BDT est invité à soumettre </w:t>
      </w:r>
      <w:r>
        <w:rPr>
          <w:rFonts w:asciiTheme="minorHAnsi" w:hAnsiTheme="minorHAnsi"/>
          <w:lang w:val="fr-CH" w:eastAsia="ko-KR"/>
        </w:rPr>
        <w:t xml:space="preserve">au Conseil dans son rapport annuel un </w:t>
      </w:r>
      <w:r w:rsidRPr="00072E06">
        <w:rPr>
          <w:rFonts w:asciiTheme="minorHAnsi" w:hAnsiTheme="minorHAnsi"/>
          <w:lang w:val="fr-CH" w:eastAsia="ko-KR"/>
        </w:rPr>
        <w:t xml:space="preserve">état d'avancement de la mise en œuvre de </w:t>
      </w:r>
      <w:r>
        <w:rPr>
          <w:rFonts w:asciiTheme="minorHAnsi" w:hAnsiTheme="minorHAnsi"/>
          <w:lang w:val="fr-CH" w:eastAsia="ko-KR"/>
        </w:rPr>
        <w:t>la présente résolution</w:t>
      </w:r>
      <w:r w:rsidRPr="00072E06">
        <w:rPr>
          <w:rFonts w:asciiTheme="minorHAnsi" w:hAnsiTheme="minorHAnsi"/>
          <w:lang w:val="fr-CH" w:eastAsia="ko-KR"/>
        </w:rPr>
        <w:t>, en particulier sur les travaux concernant l'examen des structures et des méthodes de calcul de l'Indice IDI et du Panier des prix des TIC</w:t>
      </w:r>
      <w:r w:rsidR="00A739F1">
        <w:rPr>
          <w:rFonts w:asciiTheme="minorHAnsi" w:hAnsiTheme="minorHAnsi"/>
          <w:lang w:val="fr-CH" w:eastAsia="ko-KR"/>
        </w:rPr>
        <w:t xml:space="preserve"> </w:t>
      </w:r>
      <w:r w:rsidR="00AC3AB5">
        <w:rPr>
          <w:rFonts w:asciiTheme="minorHAnsi" w:hAnsiTheme="minorHAnsi"/>
          <w:lang w:val="fr-CH" w:eastAsia="ko-KR"/>
        </w:rPr>
        <w:t>conformément</w:t>
      </w:r>
      <w:r>
        <w:t xml:space="preserve"> au </w:t>
      </w:r>
      <w:r w:rsidRPr="00992550">
        <w:rPr>
          <w:lang w:val="fr-CH"/>
        </w:rPr>
        <w:t xml:space="preserve">point 20 du </w:t>
      </w:r>
      <w:r w:rsidRPr="00992550">
        <w:rPr>
          <w:i/>
          <w:iCs/>
          <w:lang w:val="fr-CH"/>
        </w:rPr>
        <w:t>charge le Directeur du Bureau de développement des télécommunications</w:t>
      </w:r>
      <w:r>
        <w:rPr>
          <w:i/>
          <w:iCs/>
          <w:lang w:val="fr-CH"/>
        </w:rPr>
        <w:t xml:space="preserve"> </w:t>
      </w:r>
      <w:r w:rsidRPr="00EE407D">
        <w:rPr>
          <w:lang w:val="fr-CH"/>
        </w:rPr>
        <w:t xml:space="preserve">de la Résolution 131 (Rév. Dubaï, 2018) </w:t>
      </w:r>
      <w:r w:rsidRPr="00EE407D">
        <w:rPr>
          <w:lang w:val="fr-CH"/>
        </w:rPr>
        <w:lastRenderedPageBreak/>
        <w:t xml:space="preserve">de la Conférence de plénipotentiaires, intitulée </w:t>
      </w:r>
      <w:r w:rsidRPr="00EE407D">
        <w:rPr>
          <w:i/>
          <w:iCs/>
          <w:lang w:val="fr-CH"/>
        </w:rPr>
        <w:t>Mesurer les technologies de l'information et de la communication pour édifier une société de l'information inclusive et qui facilite l'intégration</w:t>
      </w:r>
      <w:r w:rsidRPr="00EE407D">
        <w:rPr>
          <w:lang w:val="fr-CH"/>
        </w:rPr>
        <w:t>.</w:t>
      </w:r>
    </w:p>
    <w:p w14:paraId="28E88A21" w14:textId="77777777" w:rsidR="00A739F1" w:rsidRDefault="00A739F1" w:rsidP="003B0012">
      <w:pPr>
        <w:jc w:val="both"/>
        <w:rPr>
          <w:rFonts w:asciiTheme="minorHAnsi" w:hAnsiTheme="minorHAnsi"/>
          <w:lang w:val="fr-CH" w:eastAsia="ko-KR"/>
        </w:rPr>
      </w:pPr>
      <w:r>
        <w:rPr>
          <w:lang w:val="fr-CH"/>
        </w:rPr>
        <w:t xml:space="preserve">Dans l’attente de ce rapport annuel, la Côte d’Ivoire voudrait faire des propositions sur les </w:t>
      </w:r>
      <w:r w:rsidRPr="00072E06">
        <w:rPr>
          <w:rFonts w:asciiTheme="minorHAnsi" w:hAnsiTheme="minorHAnsi"/>
          <w:lang w:val="fr-CH" w:eastAsia="ko-KR"/>
        </w:rPr>
        <w:t>méthodes de calcul de l'Indice IDI et du Panier des prix des TIC</w:t>
      </w:r>
      <w:r>
        <w:rPr>
          <w:rFonts w:asciiTheme="minorHAnsi" w:hAnsiTheme="minorHAnsi"/>
          <w:lang w:val="fr-CH" w:eastAsia="ko-KR"/>
        </w:rPr>
        <w:t>.</w:t>
      </w:r>
    </w:p>
    <w:p w14:paraId="7C07DFF6" w14:textId="77777777" w:rsidR="00A739F1" w:rsidRDefault="00A739F1" w:rsidP="00992550">
      <w:pPr>
        <w:rPr>
          <w:lang w:val="fr-CH"/>
        </w:rPr>
      </w:pPr>
    </w:p>
    <w:p w14:paraId="5527E79D" w14:textId="77777777" w:rsidR="00A739F1" w:rsidRDefault="00A739F1" w:rsidP="00C5172A">
      <w:pPr>
        <w:pStyle w:val="Heading1"/>
        <w:rPr>
          <w:lang w:val="fr-CH"/>
        </w:rPr>
      </w:pPr>
      <w:r>
        <w:rPr>
          <w:lang w:val="fr-CH"/>
        </w:rPr>
        <w:t>Discussions</w:t>
      </w:r>
    </w:p>
    <w:p w14:paraId="76ED46A0" w14:textId="77777777" w:rsidR="00A739F1" w:rsidRDefault="00A739F1" w:rsidP="003B0012">
      <w:pPr>
        <w:jc w:val="both"/>
        <w:rPr>
          <w:lang w:val="fr-CH"/>
        </w:rPr>
      </w:pPr>
      <w:r>
        <w:rPr>
          <w:lang w:val="fr-CH"/>
        </w:rPr>
        <w:t>La Côte d’Ivoire note le passage de 11 à 14 indicateurs dans le calcul de l’IDI.</w:t>
      </w:r>
    </w:p>
    <w:p w14:paraId="07BB6B1A" w14:textId="6DB5A866" w:rsidR="00A739F1" w:rsidRDefault="00A739F1" w:rsidP="005E4398">
      <w:pPr>
        <w:jc w:val="both"/>
        <w:rPr>
          <w:lang w:val="fr-CH"/>
        </w:rPr>
      </w:pPr>
      <w:r>
        <w:rPr>
          <w:lang w:val="fr-CH"/>
        </w:rPr>
        <w:t>Néanmoins, la Côte d’Ivoire voudrait faire noter que ces changements devraient également prendre en compte certaines particularités communes aux pays en développement.</w:t>
      </w:r>
    </w:p>
    <w:p w14:paraId="3C088B67" w14:textId="3DA8BC12" w:rsidR="00137FF0" w:rsidRDefault="00A739F1" w:rsidP="005E4398">
      <w:pPr>
        <w:jc w:val="both"/>
        <w:rPr>
          <w:lang w:val="fr-CH"/>
        </w:rPr>
      </w:pPr>
      <w:r>
        <w:rPr>
          <w:lang w:val="fr-CH"/>
        </w:rPr>
        <w:t>En effet les marchés de téléphonie mobile dans la plupart des pays en développement sont majoritairement prépayés. En Côte d’</w:t>
      </w:r>
      <w:r w:rsidR="00137FF0">
        <w:rPr>
          <w:lang w:val="fr-CH"/>
        </w:rPr>
        <w:t>Ivoire</w:t>
      </w:r>
      <w:r>
        <w:rPr>
          <w:lang w:val="fr-CH"/>
        </w:rPr>
        <w:t>, plus de 99% des abonnés à la téléphonie mobile possèdent des abonnements prépayés</w:t>
      </w:r>
      <w:r w:rsidR="00137FF0">
        <w:rPr>
          <w:lang w:val="fr-CH"/>
        </w:rPr>
        <w:t>. Ces marchés affichent une forte dynamique concurrentielle qui se traduit par l’octroi systématique et régulier d’offres promotionnelles ou de bonus</w:t>
      </w:r>
      <w:r w:rsidR="007F48DD">
        <w:rPr>
          <w:lang w:val="fr-CH"/>
        </w:rPr>
        <w:t xml:space="preserve"> de communication non </w:t>
      </w:r>
      <w:r w:rsidR="00137FF0">
        <w:rPr>
          <w:lang w:val="fr-CH"/>
        </w:rPr>
        <w:t>capté</w:t>
      </w:r>
      <w:r w:rsidR="007F48DD">
        <w:rPr>
          <w:lang w:val="fr-CH"/>
        </w:rPr>
        <w:t>e</w:t>
      </w:r>
      <w:r w:rsidR="00AC3AB5">
        <w:rPr>
          <w:lang w:val="fr-CH"/>
        </w:rPr>
        <w:t>s</w:t>
      </w:r>
      <w:r w:rsidR="007F48DD">
        <w:rPr>
          <w:lang w:val="fr-CH"/>
        </w:rPr>
        <w:t xml:space="preserve"> à ce jour</w:t>
      </w:r>
      <w:r w:rsidR="00137FF0">
        <w:rPr>
          <w:lang w:val="fr-CH"/>
        </w:rPr>
        <w:t xml:space="preserve"> dans le pan</w:t>
      </w:r>
      <w:r w:rsidR="007F48DD">
        <w:rPr>
          <w:lang w:val="fr-CH"/>
        </w:rPr>
        <w:t>ier des prix TIC</w:t>
      </w:r>
      <w:r w:rsidR="00137FF0">
        <w:rPr>
          <w:lang w:val="fr-CH"/>
        </w:rPr>
        <w:t xml:space="preserve"> de l’UIT. Le panier des prix </w:t>
      </w:r>
      <w:r w:rsidR="007F48DD">
        <w:rPr>
          <w:lang w:val="fr-CH"/>
        </w:rPr>
        <w:t>reflète les tarifs des</w:t>
      </w:r>
      <w:r w:rsidR="00137FF0">
        <w:rPr>
          <w:lang w:val="fr-CH"/>
        </w:rPr>
        <w:t xml:space="preserve"> seules offres de service affichées par les opérateurs parfois sur leur site</w:t>
      </w:r>
      <w:r w:rsidR="007F48DD">
        <w:rPr>
          <w:lang w:val="fr-CH"/>
        </w:rPr>
        <w:t>, tarifs</w:t>
      </w:r>
      <w:r w:rsidR="00137FF0">
        <w:rPr>
          <w:lang w:val="fr-CH"/>
        </w:rPr>
        <w:t xml:space="preserve"> auxquels sont constamment appliqués</w:t>
      </w:r>
      <w:r w:rsidR="007F48DD">
        <w:rPr>
          <w:lang w:val="fr-CH"/>
        </w:rPr>
        <w:t xml:space="preserve">, dans les faits, </w:t>
      </w:r>
      <w:r w:rsidR="00137FF0">
        <w:rPr>
          <w:lang w:val="fr-CH"/>
        </w:rPr>
        <w:t>à</w:t>
      </w:r>
      <w:r w:rsidR="007F48DD">
        <w:rPr>
          <w:lang w:val="fr-CH"/>
        </w:rPr>
        <w:t xml:space="preserve"> minima 200</w:t>
      </w:r>
      <w:r w:rsidR="00137FF0">
        <w:rPr>
          <w:lang w:val="fr-CH"/>
        </w:rPr>
        <w:t xml:space="preserve">% de bonus voir plus. </w:t>
      </w:r>
    </w:p>
    <w:p w14:paraId="2ED8C8C8" w14:textId="208F101B" w:rsidR="00EE5149" w:rsidRDefault="007F48DD" w:rsidP="005E4398">
      <w:pPr>
        <w:jc w:val="both"/>
      </w:pPr>
      <w:r>
        <w:rPr>
          <w:lang w:val="fr-CH"/>
        </w:rPr>
        <w:t>En outre,</w:t>
      </w:r>
      <w:r w:rsidR="00EE5149" w:rsidRPr="00EE5149">
        <w:t xml:space="preserve"> </w:t>
      </w:r>
      <w:r w:rsidR="00EE5149">
        <w:rPr>
          <w:lang w:val="fr-CH"/>
        </w:rPr>
        <w:t>l</w:t>
      </w:r>
      <w:r w:rsidR="00EE5149" w:rsidRPr="00EE5149">
        <w:rPr>
          <w:lang w:val="fr-CH"/>
        </w:rPr>
        <w:t>’inclusion financière s’accélère sur l’ensemble du globe grâce à l’internet et à la téléphonie mobile</w:t>
      </w:r>
      <w:r w:rsidR="00EE5149">
        <w:rPr>
          <w:rStyle w:val="FootnoteReference"/>
          <w:lang w:val="fr-CH"/>
        </w:rPr>
        <w:footnoteReference w:id="1"/>
      </w:r>
      <w:r w:rsidR="00EE5149">
        <w:rPr>
          <w:lang w:val="fr-CH"/>
        </w:rPr>
        <w:t xml:space="preserve">. Dans le résumé exécutif de son rapport « Base de données Global Findex 2017, Mesurer l’inclusion financière </w:t>
      </w:r>
      <w:r w:rsidR="00EE5149" w:rsidRPr="00EE5149">
        <w:rPr>
          <w:lang w:val="fr-CH"/>
        </w:rPr>
        <w:t>et la révolution technico-financière</w:t>
      </w:r>
      <w:r w:rsidR="00EE5149">
        <w:rPr>
          <w:lang w:val="fr-CH"/>
        </w:rPr>
        <w:t> », la Banque mondiale mentionne que « </w:t>
      </w:r>
      <w:r w:rsidR="005E4398">
        <w:rPr>
          <w:lang w:val="fr-CH"/>
        </w:rPr>
        <w:t>c</w:t>
      </w:r>
      <w:r w:rsidR="00EE5149">
        <w:t>’est en Afrique subsaharienne que le pouvoir des technologies financières s’illustre de la façon la plus convaincante : 21 % des adultes y possèdent aujourd’hui un compte d’argent mobile, soit près de deux fois la part de 2014, et ce chiffre est certainement le plus élevé de toutes les régions du monde »</w:t>
      </w:r>
    </w:p>
    <w:p w14:paraId="4D9B7CBE" w14:textId="77777777" w:rsidR="00C5172A" w:rsidRDefault="00EE5149" w:rsidP="003B0012">
      <w:pPr>
        <w:jc w:val="both"/>
      </w:pPr>
      <w:r>
        <w:t xml:space="preserve">A ce jour, cette évolution n’est pas encore </w:t>
      </w:r>
      <w:r w:rsidR="00C5172A">
        <w:t>reflétée</w:t>
      </w:r>
      <w:r>
        <w:t xml:space="preserve"> dans l’élaboration de l’IDI</w:t>
      </w:r>
      <w:r w:rsidR="00C5172A">
        <w:t>.</w:t>
      </w:r>
    </w:p>
    <w:p w14:paraId="610D67ED" w14:textId="2B699B93" w:rsidR="00137FF0" w:rsidRDefault="00EE5149" w:rsidP="003B0012">
      <w:pPr>
        <w:jc w:val="both"/>
        <w:rPr>
          <w:lang w:val="fr-CH"/>
        </w:rPr>
      </w:pPr>
      <w:r>
        <w:t>Et pourtant</w:t>
      </w:r>
      <w:r w:rsidR="009C4C3A">
        <w:t>,</w:t>
      </w:r>
      <w:r>
        <w:t xml:space="preserve"> </w:t>
      </w:r>
      <w:r w:rsidR="00C5172A">
        <w:t xml:space="preserve">toujours selon le résumé exécutif du rapport de la Banque Mondiale </w:t>
      </w:r>
      <w:r w:rsidR="00CB53E8">
        <w:t>suscité</w:t>
      </w:r>
      <w:r w:rsidR="00C5172A">
        <w:t>, d</w:t>
      </w:r>
      <w:r>
        <w:t>es recherches de plus en plus nombreuses dévoilent les nombreux avantages potentiels de l’inclusion financière pour le développement, en particulier l’utilisation de services financiers numériques</w:t>
      </w:r>
      <w:r w:rsidR="00C5172A">
        <w:t>.</w:t>
      </w:r>
      <w:r>
        <w:t xml:space="preserve"> </w:t>
      </w:r>
      <w:r w:rsidR="00C5172A">
        <w:t>L</w:t>
      </w:r>
      <w:r>
        <w:t xml:space="preserve">’évolution ininterrompue de </w:t>
      </w:r>
      <w:r>
        <w:lastRenderedPageBreak/>
        <w:t>l’inclusion financière</w:t>
      </w:r>
      <w:r w:rsidR="00C5172A">
        <w:t xml:space="preserve"> provient</w:t>
      </w:r>
      <w:r>
        <w:t xml:space="preserve"> des paiements numériques, des politiques gouvernementales et d’une nouvelle génération de services financiers par téléphonie mobile et Internet. </w:t>
      </w:r>
    </w:p>
    <w:p w14:paraId="5A58E64F" w14:textId="62B70FC6" w:rsidR="00C5172A" w:rsidRPr="00C5172A" w:rsidRDefault="00C5172A">
      <w:pPr>
        <w:jc w:val="both"/>
        <w:rPr>
          <w:b/>
        </w:rPr>
      </w:pPr>
      <w:r>
        <w:rPr>
          <w:lang w:val="fr-CH"/>
        </w:rPr>
        <w:t>Pour conclure, la prise en compte de c</w:t>
      </w:r>
      <w:r>
        <w:t xml:space="preserve">es questions communes aux pays en développement </w:t>
      </w:r>
      <w:r w:rsidR="009C4C3A">
        <w:t xml:space="preserve">a </w:t>
      </w:r>
      <w:r>
        <w:t>été formulée comme recommandation au cours du dernier a</w:t>
      </w:r>
      <w:r w:rsidRPr="00C5172A">
        <w:t>telier régional de l'UIT sur les statistiques des TIC pour l'Afrique qui s’est tenu à Abidjan du 06 au 09 mai 2019 et qui a enregistré la présence de 22 Etats Membres</w:t>
      </w:r>
      <w:r w:rsidR="005E4398">
        <w:t>.</w:t>
      </w:r>
    </w:p>
    <w:p w14:paraId="1F883E2A" w14:textId="77777777" w:rsidR="001B5EE6" w:rsidRPr="00645B3E" w:rsidRDefault="001B5EE6" w:rsidP="001B5EE6">
      <w:pPr>
        <w:pStyle w:val="Heading1"/>
      </w:pPr>
      <w:r w:rsidRPr="00645B3E">
        <w:t>Proposition</w:t>
      </w:r>
    </w:p>
    <w:p w14:paraId="618F77C5" w14:textId="77777777" w:rsidR="00C5172A" w:rsidRDefault="00C5172A" w:rsidP="003B0012">
      <w:pPr>
        <w:jc w:val="both"/>
        <w:rPr>
          <w:lang w:val="fr-CH"/>
        </w:rPr>
      </w:pPr>
      <w:r>
        <w:rPr>
          <w:lang w:val="fr-CH"/>
        </w:rPr>
        <w:t>Pour les travaux relatifs aux méthodes de calcul de l’IDI et sur le panier des prix des TIC, la Côte d’Ivoire propose :</w:t>
      </w:r>
    </w:p>
    <w:p w14:paraId="57F2B348" w14:textId="23E51A30" w:rsidR="00C5172A" w:rsidRDefault="005E4398">
      <w:pPr>
        <w:numPr>
          <w:ilvl w:val="0"/>
          <w:numId w:val="4"/>
        </w:numPr>
        <w:jc w:val="both"/>
      </w:pPr>
      <w:r>
        <w:rPr>
          <w:lang w:val="fr-CH"/>
        </w:rPr>
        <w:t>d</w:t>
      </w:r>
      <w:r w:rsidR="00C5172A">
        <w:t>e prendre en compte les services financiers mobiles</w:t>
      </w:r>
      <w:r w:rsidR="00C5172A" w:rsidRPr="00C5172A">
        <w:t xml:space="preserve"> dans le</w:t>
      </w:r>
      <w:r w:rsidR="00C5172A">
        <w:t>s indicateurs d’appréciation dans le calcul de l’IDI</w:t>
      </w:r>
      <w:r>
        <w:t> ;</w:t>
      </w:r>
    </w:p>
    <w:p w14:paraId="14D4AE85" w14:textId="22ECCBCA" w:rsidR="00CB53E8" w:rsidRDefault="005E4398">
      <w:pPr>
        <w:numPr>
          <w:ilvl w:val="0"/>
          <w:numId w:val="4"/>
        </w:numPr>
        <w:jc w:val="both"/>
      </w:pPr>
      <w:r>
        <w:t>d</w:t>
      </w:r>
      <w:r w:rsidR="006B1BD9">
        <w:t>e tenir en compte, dans le panier des prix TIC, des spécificités des pays en développement pour lesquels les offres promotionnelles / bonus sur les communications constituent « la règle »</w:t>
      </w:r>
      <w:r>
        <w:t>.</w:t>
      </w:r>
    </w:p>
    <w:p w14:paraId="3E37E43B" w14:textId="7152B9E1" w:rsidR="00CB53E8" w:rsidRDefault="00CB53E8">
      <w:pPr>
        <w:jc w:val="both"/>
      </w:pPr>
      <w:r>
        <w:t xml:space="preserve">La Côte d’Ivoire demande que le groupe d’experts sur les indicateurs de </w:t>
      </w:r>
      <w:r w:rsidR="005E4398">
        <w:t>t</w:t>
      </w:r>
      <w:r>
        <w:t>élécommunications/TIC (EGTI) examine ces propositions</w:t>
      </w:r>
      <w:r w:rsidR="003B0012">
        <w:t>.</w:t>
      </w:r>
    </w:p>
    <w:p w14:paraId="013B82F4" w14:textId="635A937C" w:rsidR="001B5EE6" w:rsidRDefault="00CB53E8" w:rsidP="003B0012">
      <w:pPr>
        <w:jc w:val="both"/>
        <w:rPr>
          <w:lang w:val="fr-CH"/>
        </w:rPr>
      </w:pPr>
      <w:r w:rsidRPr="00CB53E8">
        <w:rPr>
          <w:lang w:val="fr-CH"/>
        </w:rPr>
        <w:t xml:space="preserve">La Côte d’Ivoire invite également le Directeur du BDT </w:t>
      </w:r>
      <w:r w:rsidR="00AC3AB5">
        <w:rPr>
          <w:lang w:val="fr-CI"/>
        </w:rPr>
        <w:t>à</w:t>
      </w:r>
      <w:r w:rsidRPr="00CB53E8">
        <w:rPr>
          <w:lang w:val="fr-CH"/>
        </w:rPr>
        <w:t xml:space="preserve"> soumettre à la prochaine réunion du Conseil, son rapport sur l</w:t>
      </w:r>
      <w:r>
        <w:rPr>
          <w:lang w:val="fr-CH"/>
        </w:rPr>
        <w:t>’état d’avancement des</w:t>
      </w:r>
      <w:r w:rsidRPr="00CB53E8">
        <w:rPr>
          <w:lang w:val="fr-CH"/>
        </w:rPr>
        <w:t xml:space="preserve"> travaux relatifs aux méthodes de calcul de l’IDI et sur le panier des prix des TIC</w:t>
      </w:r>
      <w:r>
        <w:rPr>
          <w:lang w:val="fr-CH"/>
        </w:rPr>
        <w:t xml:space="preserve"> </w:t>
      </w:r>
      <w:r w:rsidRPr="00CB53E8">
        <w:rPr>
          <w:lang w:val="fr-CH"/>
        </w:rPr>
        <w:t xml:space="preserve">conformément au point 20 du </w:t>
      </w:r>
      <w:r w:rsidRPr="00CB53E8">
        <w:rPr>
          <w:i/>
          <w:lang w:val="fr-CH"/>
        </w:rPr>
        <w:t>charge le Directeur du Bureau de développement des télécommunications</w:t>
      </w:r>
      <w:r w:rsidRPr="00CB53E8">
        <w:rPr>
          <w:lang w:val="fr-CH"/>
        </w:rPr>
        <w:t xml:space="preserve"> de la Résolution 131 (Rév. Dubaï, 2018)</w:t>
      </w:r>
      <w:r w:rsidR="005E4398">
        <w:rPr>
          <w:lang w:val="fr-CH"/>
        </w:rPr>
        <w:t>.</w:t>
      </w:r>
    </w:p>
    <w:p w14:paraId="3EB29067" w14:textId="77777777" w:rsidR="005E4398" w:rsidRDefault="005E4398" w:rsidP="003B0012">
      <w:pPr>
        <w:jc w:val="both"/>
        <w:rPr>
          <w:lang w:val="fr-CH"/>
        </w:rPr>
      </w:pPr>
    </w:p>
    <w:p w14:paraId="24D8F49C" w14:textId="322CC21D" w:rsidR="005E4398" w:rsidRPr="005E4398" w:rsidRDefault="005E4398" w:rsidP="005E4398">
      <w:pPr>
        <w:jc w:val="center"/>
        <w:rPr>
          <w:u w:val="single"/>
          <w:lang w:val="fr-CH"/>
        </w:rPr>
      </w:pPr>
      <w:r>
        <w:rPr>
          <w:u w:val="single"/>
          <w:lang w:val="fr-CH"/>
        </w:rPr>
        <w:t>                                   </w:t>
      </w:r>
    </w:p>
    <w:sectPr w:rsidR="005E4398" w:rsidRPr="005E4398" w:rsidSect="005C389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F4052" w14:textId="77777777" w:rsidR="003C684E" w:rsidRDefault="003C684E">
      <w:r>
        <w:separator/>
      </w:r>
    </w:p>
  </w:endnote>
  <w:endnote w:type="continuationSeparator" w:id="0">
    <w:p w14:paraId="7259B55F" w14:textId="77777777" w:rsidR="003C684E" w:rsidRDefault="003C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24B0" w14:textId="0C5C46A4" w:rsidR="00732045" w:rsidRDefault="00D11792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0D6075">
      <w:t>Document1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630B01">
      <w:t>28.05.19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0D6075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2ECB0" w14:textId="11584853" w:rsidR="00732045" w:rsidRDefault="00D11792" w:rsidP="008C2919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0D6075">
      <w:t>Document1</w:t>
    </w:r>
    <w:r>
      <w:fldChar w:fldCharType="end"/>
    </w:r>
    <w:r w:rsidR="00732045">
      <w:tab/>
    </w:r>
    <w:r w:rsidR="00732045">
      <w:tab/>
    </w:r>
    <w:r w:rsidR="003C684E">
      <w:fldChar w:fldCharType="begin"/>
    </w:r>
    <w:r w:rsidR="003C684E">
      <w:instrText xml:space="preserve"> DATE   \* MERGEFORMAT </w:instrText>
    </w:r>
    <w:r w:rsidR="003C684E">
      <w:fldChar w:fldCharType="separate"/>
    </w:r>
    <w:r w:rsidR="00630B01">
      <w:t>28/05/2019</w:t>
    </w:r>
    <w:r w:rsidR="003C684E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2B4AC" w14:textId="77777777"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14:paraId="2849E84D" w14:textId="35218C6F" w:rsidR="00732045" w:rsidRDefault="00D11792" w:rsidP="008C2919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0D6075">
      <w:t>Document1</w:t>
    </w:r>
    <w:r>
      <w:fldChar w:fldCharType="end"/>
    </w:r>
    <w:r w:rsidR="00732045">
      <w:tab/>
    </w:r>
    <w:r w:rsidR="00732045">
      <w:tab/>
    </w:r>
    <w:r w:rsidR="003C684E">
      <w:fldChar w:fldCharType="begin"/>
    </w:r>
    <w:r w:rsidR="003C684E">
      <w:instrText xml:space="preserve"> DATE   \* MERGEFORMAT </w:instrText>
    </w:r>
    <w:r w:rsidR="003C684E">
      <w:fldChar w:fldCharType="separate"/>
    </w:r>
    <w:r w:rsidR="00630B01">
      <w:t>28/05/2019</w:t>
    </w:r>
    <w:r w:rsidR="003C684E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3BF08" w14:textId="77777777" w:rsidR="003C684E" w:rsidRDefault="003C684E">
      <w:r>
        <w:t>____________________</w:t>
      </w:r>
    </w:p>
  </w:footnote>
  <w:footnote w:type="continuationSeparator" w:id="0">
    <w:p w14:paraId="23761B23" w14:textId="77777777" w:rsidR="003C684E" w:rsidRDefault="003C684E">
      <w:r>
        <w:continuationSeparator/>
      </w:r>
    </w:p>
  </w:footnote>
  <w:footnote w:id="1">
    <w:p w14:paraId="15EBFD64" w14:textId="0D43E113" w:rsidR="00EE5149" w:rsidRPr="005E4398" w:rsidRDefault="00EE5149">
      <w:pPr>
        <w:pStyle w:val="FootnoteText"/>
        <w:rPr>
          <w:sz w:val="22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5E4398">
        <w:tab/>
      </w:r>
      <w:hyperlink r:id="rId1" w:history="1">
        <w:r w:rsidRPr="005E4398">
          <w:rPr>
            <w:rStyle w:val="Hyperlink"/>
            <w:sz w:val="22"/>
            <w:szCs w:val="18"/>
          </w:rPr>
          <w:t>https://www.banquemondiale.org/fr/news/press-release/2018/04/19/financial-inclusion-on-the-rise-but-gaps-remain-global-findex-database-shows</w:t>
        </w:r>
      </w:hyperlink>
      <w:r w:rsidRPr="005E4398">
        <w:rPr>
          <w:sz w:val="22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1A6B3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3D6505CE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DCF36" w14:textId="77777777"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D11792">
      <w:rPr>
        <w:noProof/>
      </w:rPr>
      <w:t>3</w:t>
    </w:r>
    <w:r>
      <w:rPr>
        <w:noProof/>
      </w:rPr>
      <w:fldChar w:fldCharType="end"/>
    </w:r>
  </w:p>
  <w:p w14:paraId="7BA34F89" w14:textId="685B3CC8" w:rsidR="00732045" w:rsidRDefault="00732045" w:rsidP="005E4398">
    <w:pPr>
      <w:pStyle w:val="Header"/>
    </w:pPr>
    <w:r>
      <w:t>C1</w:t>
    </w:r>
    <w:r w:rsidR="008C2919">
      <w:t>9</w:t>
    </w:r>
    <w:r>
      <w:t>/</w:t>
    </w:r>
    <w:r w:rsidR="005E4398">
      <w:t>95-</w:t>
    </w:r>
    <w:r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07217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BC7A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4EDC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726C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68E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E96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E64E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6AAA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826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E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D6557"/>
    <w:multiLevelType w:val="hybridMultilevel"/>
    <w:tmpl w:val="41DE6416"/>
    <w:lvl w:ilvl="0" w:tplc="A4E8E8A0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3EF50C2"/>
    <w:multiLevelType w:val="hybridMultilevel"/>
    <w:tmpl w:val="D3C246AA"/>
    <w:lvl w:ilvl="0" w:tplc="7ACA353E">
      <w:start w:val="1"/>
      <w:numFmt w:val="upperRoman"/>
      <w:lvlText w:val="%1."/>
      <w:lvlJc w:val="left"/>
      <w:pPr>
        <w:ind w:left="234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516C72BC"/>
    <w:multiLevelType w:val="multilevel"/>
    <w:tmpl w:val="040C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E7E5082"/>
    <w:multiLevelType w:val="hybridMultilevel"/>
    <w:tmpl w:val="9990C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75"/>
    <w:rsid w:val="000D0D0A"/>
    <w:rsid w:val="000D6075"/>
    <w:rsid w:val="00103163"/>
    <w:rsid w:val="00115D93"/>
    <w:rsid w:val="001247A8"/>
    <w:rsid w:val="001378C0"/>
    <w:rsid w:val="00137FF0"/>
    <w:rsid w:val="0018694A"/>
    <w:rsid w:val="001A3287"/>
    <w:rsid w:val="001A6508"/>
    <w:rsid w:val="001B5EE6"/>
    <w:rsid w:val="001D4C31"/>
    <w:rsid w:val="001E4D21"/>
    <w:rsid w:val="00207CD1"/>
    <w:rsid w:val="002477A2"/>
    <w:rsid w:val="00263A51"/>
    <w:rsid w:val="00267E02"/>
    <w:rsid w:val="002A5D44"/>
    <w:rsid w:val="002E0BC4"/>
    <w:rsid w:val="002F1B76"/>
    <w:rsid w:val="00331DCD"/>
    <w:rsid w:val="0033568E"/>
    <w:rsid w:val="00355FF5"/>
    <w:rsid w:val="00361350"/>
    <w:rsid w:val="003B0012"/>
    <w:rsid w:val="003C3FAE"/>
    <w:rsid w:val="003C684E"/>
    <w:rsid w:val="004038CB"/>
    <w:rsid w:val="0040546F"/>
    <w:rsid w:val="00421F0D"/>
    <w:rsid w:val="0042404A"/>
    <w:rsid w:val="0044618F"/>
    <w:rsid w:val="0046769A"/>
    <w:rsid w:val="00475FB3"/>
    <w:rsid w:val="004C37A9"/>
    <w:rsid w:val="004C546C"/>
    <w:rsid w:val="004D3651"/>
    <w:rsid w:val="004D75B2"/>
    <w:rsid w:val="004F259E"/>
    <w:rsid w:val="00511F1D"/>
    <w:rsid w:val="00520F36"/>
    <w:rsid w:val="00540615"/>
    <w:rsid w:val="00540A6D"/>
    <w:rsid w:val="00571EEA"/>
    <w:rsid w:val="00575417"/>
    <w:rsid w:val="005768E1"/>
    <w:rsid w:val="005B1938"/>
    <w:rsid w:val="005C3890"/>
    <w:rsid w:val="005E4398"/>
    <w:rsid w:val="005F7BFE"/>
    <w:rsid w:val="00600017"/>
    <w:rsid w:val="006235CA"/>
    <w:rsid w:val="00630B01"/>
    <w:rsid w:val="006643AB"/>
    <w:rsid w:val="006B1BD9"/>
    <w:rsid w:val="006D1BEB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7F48DD"/>
    <w:rsid w:val="00800037"/>
    <w:rsid w:val="0082762B"/>
    <w:rsid w:val="00861D73"/>
    <w:rsid w:val="00894570"/>
    <w:rsid w:val="008A4E87"/>
    <w:rsid w:val="008C2919"/>
    <w:rsid w:val="008D76E6"/>
    <w:rsid w:val="008E131A"/>
    <w:rsid w:val="0092392D"/>
    <w:rsid w:val="0093234A"/>
    <w:rsid w:val="00992550"/>
    <w:rsid w:val="009C307F"/>
    <w:rsid w:val="009C4C3A"/>
    <w:rsid w:val="00A2113E"/>
    <w:rsid w:val="00A23A51"/>
    <w:rsid w:val="00A24607"/>
    <w:rsid w:val="00A25CD3"/>
    <w:rsid w:val="00A739F1"/>
    <w:rsid w:val="00A82767"/>
    <w:rsid w:val="00AA332F"/>
    <w:rsid w:val="00AA7BBB"/>
    <w:rsid w:val="00AB64A8"/>
    <w:rsid w:val="00AC0266"/>
    <w:rsid w:val="00AC3AB5"/>
    <w:rsid w:val="00AD24EC"/>
    <w:rsid w:val="00B309F9"/>
    <w:rsid w:val="00B32B60"/>
    <w:rsid w:val="00B61619"/>
    <w:rsid w:val="00BB4545"/>
    <w:rsid w:val="00BD5873"/>
    <w:rsid w:val="00BE7510"/>
    <w:rsid w:val="00C04BE3"/>
    <w:rsid w:val="00C25D29"/>
    <w:rsid w:val="00C27A7C"/>
    <w:rsid w:val="00C5172A"/>
    <w:rsid w:val="00C60E24"/>
    <w:rsid w:val="00C86674"/>
    <w:rsid w:val="00CA08ED"/>
    <w:rsid w:val="00CB53E8"/>
    <w:rsid w:val="00CB7C99"/>
    <w:rsid w:val="00CF183B"/>
    <w:rsid w:val="00CF1AAC"/>
    <w:rsid w:val="00D11792"/>
    <w:rsid w:val="00D375CD"/>
    <w:rsid w:val="00D553A2"/>
    <w:rsid w:val="00D774D3"/>
    <w:rsid w:val="00D904E8"/>
    <w:rsid w:val="00DA08C3"/>
    <w:rsid w:val="00DB39FC"/>
    <w:rsid w:val="00DB5A3E"/>
    <w:rsid w:val="00DC22AA"/>
    <w:rsid w:val="00DF74DD"/>
    <w:rsid w:val="00E25AD0"/>
    <w:rsid w:val="00EB6350"/>
    <w:rsid w:val="00ED19E2"/>
    <w:rsid w:val="00EE407D"/>
    <w:rsid w:val="00EE5149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15F2A95"/>
  <w15:docId w15:val="{1AD7CF02-6EDC-40C0-BDEE-CD197280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numPr>
        <w:numId w:val="2"/>
      </w:numPr>
      <w:spacing w:before="48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numPr>
        <w:ilvl w:val="1"/>
      </w:num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numPr>
        <w:ilvl w:val="2"/>
      </w:num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732045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rsid w:val="00732045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qFormat/>
    <w:rsid w:val="00732045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qFormat/>
    <w:rsid w:val="00732045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qFormat/>
    <w:rsid w:val="0073204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styleId="ListParagraph">
    <w:name w:val="List Paragraph"/>
    <w:basedOn w:val="Normal"/>
    <w:uiPriority w:val="34"/>
    <w:qFormat/>
    <w:rsid w:val="00C8667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semiHidden/>
    <w:unhideWhenUsed/>
    <w:rsid w:val="008945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4570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nquemondiale.org/fr/news/press-release/2018/04/19/financial-inclusion-on-the-rise-but-gaps-remain-global-findex-database-sho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0DCA8CFB2CE4889D8B30E0381F6C5" ma:contentTypeVersion="2" ma:contentTypeDescription="Create a new document." ma:contentTypeScope="" ma:versionID="e107d229a766ff456f736b2882bdb555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19c8027f12dc0326c57fc181fc1116f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B614-1F37-438B-826C-0B7ECEA46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B226E-91E7-4E68-80FD-37E07262A17F}">
  <ds:schemaRefs>
    <ds:schemaRef ds:uri="1aaea1ea-72e4-4374-b05e-72e2f16fb7ae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EB8E47-E3D2-44CA-96B5-190F11CC5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2BBB4D-BA41-4193-869B-EBABA2C5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>Secrétariat général - Pool</Manager>
  <Company>Union internationale des télécommunications (UIT)</Company>
  <LinksUpToDate>false</LinksUpToDate>
  <CharactersWithSpaces>5840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2019</dc:subject>
  <dc:creator>Brouard, Ricarda</dc:creator>
  <cp:keywords>C2019, C19</cp:keywords>
  <dc:description/>
  <cp:lastModifiedBy>Janin, Patricia</cp:lastModifiedBy>
  <cp:revision>4</cp:revision>
  <cp:lastPrinted>2000-07-18T08:55:00Z</cp:lastPrinted>
  <dcterms:created xsi:type="dcterms:W3CDTF">2019-05-28T12:32:00Z</dcterms:created>
  <dcterms:modified xsi:type="dcterms:W3CDTF">2019-05-28T12:33:00Z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0x0101006890DCA8CFB2CE4889D8B30E0381F6C5</vt:lpwstr>
  </property>
</Properties>
</file>