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AB71E2">
        <w:trPr>
          <w:cantSplit/>
        </w:trPr>
        <w:tc>
          <w:tcPr>
            <w:tcW w:w="6912" w:type="dxa"/>
          </w:tcPr>
          <w:p w:rsidR="00093EEB" w:rsidRPr="00AB71E2" w:rsidRDefault="00093EEB" w:rsidP="00C2727F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AB71E2">
              <w:rPr>
                <w:b/>
                <w:bCs/>
                <w:sz w:val="30"/>
                <w:szCs w:val="30"/>
              </w:rPr>
              <w:t>Consejo 201</w:t>
            </w:r>
            <w:r w:rsidR="00C2727F" w:rsidRPr="00AB71E2">
              <w:rPr>
                <w:b/>
                <w:bCs/>
                <w:sz w:val="30"/>
                <w:szCs w:val="30"/>
              </w:rPr>
              <w:t>9</w:t>
            </w:r>
            <w:r w:rsidRPr="00AB71E2">
              <w:rPr>
                <w:b/>
                <w:bCs/>
                <w:sz w:val="26"/>
                <w:szCs w:val="26"/>
              </w:rPr>
              <w:br/>
            </w:r>
            <w:r w:rsidRPr="00AB71E2">
              <w:rPr>
                <w:b/>
                <w:bCs/>
                <w:szCs w:val="24"/>
              </w:rPr>
              <w:t>Ginebra, 1</w:t>
            </w:r>
            <w:r w:rsidR="00C2727F" w:rsidRPr="00AB71E2">
              <w:rPr>
                <w:b/>
                <w:bCs/>
                <w:szCs w:val="24"/>
              </w:rPr>
              <w:t>0</w:t>
            </w:r>
            <w:r w:rsidRPr="00AB71E2">
              <w:rPr>
                <w:b/>
                <w:bCs/>
                <w:szCs w:val="24"/>
              </w:rPr>
              <w:t>-2</w:t>
            </w:r>
            <w:r w:rsidR="00C2727F" w:rsidRPr="00AB71E2">
              <w:rPr>
                <w:b/>
                <w:bCs/>
                <w:szCs w:val="24"/>
              </w:rPr>
              <w:t>0</w:t>
            </w:r>
            <w:r w:rsidRPr="00AB71E2">
              <w:rPr>
                <w:b/>
                <w:bCs/>
                <w:szCs w:val="24"/>
              </w:rPr>
              <w:t xml:space="preserve"> de </w:t>
            </w:r>
            <w:r w:rsidR="00C2727F" w:rsidRPr="00AB71E2">
              <w:rPr>
                <w:b/>
                <w:bCs/>
                <w:szCs w:val="24"/>
              </w:rPr>
              <w:t>junio</w:t>
            </w:r>
            <w:r w:rsidRPr="00AB71E2">
              <w:rPr>
                <w:b/>
                <w:bCs/>
                <w:szCs w:val="24"/>
              </w:rPr>
              <w:t xml:space="preserve"> de 201</w:t>
            </w:r>
            <w:r w:rsidR="00C2727F" w:rsidRPr="00AB71E2">
              <w:rPr>
                <w:b/>
                <w:bCs/>
                <w:szCs w:val="24"/>
              </w:rPr>
              <w:t>9</w:t>
            </w:r>
          </w:p>
        </w:tc>
        <w:tc>
          <w:tcPr>
            <w:tcW w:w="3261" w:type="dxa"/>
          </w:tcPr>
          <w:p w:rsidR="00093EEB" w:rsidRPr="00AB71E2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AB71E2">
              <w:rPr>
                <w:rFonts w:cstheme="minorHAnsi"/>
                <w:b/>
                <w:bCs/>
                <w:szCs w:val="24"/>
                <w:lang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AB71E2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AB71E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AB71E2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AB71E2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AB71E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AB71E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AB71E2" w:rsidRDefault="000C009A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AB71E2">
              <w:rPr>
                <w:rFonts w:cs="Times"/>
                <w:b/>
                <w:bCs/>
                <w:szCs w:val="24"/>
              </w:rPr>
              <w:t>Punto del orden del día: ADM 28</w:t>
            </w:r>
          </w:p>
        </w:tc>
        <w:tc>
          <w:tcPr>
            <w:tcW w:w="3261" w:type="dxa"/>
          </w:tcPr>
          <w:p w:rsidR="00093EEB" w:rsidRPr="00AB71E2" w:rsidRDefault="00093EEB" w:rsidP="000C009A">
            <w:pPr>
              <w:spacing w:before="0"/>
              <w:rPr>
                <w:b/>
                <w:bCs/>
                <w:szCs w:val="24"/>
              </w:rPr>
            </w:pPr>
            <w:r w:rsidRPr="00AB71E2">
              <w:rPr>
                <w:b/>
                <w:bCs/>
                <w:szCs w:val="24"/>
              </w:rPr>
              <w:t>Documento C1</w:t>
            </w:r>
            <w:r w:rsidR="00C2727F" w:rsidRPr="00AB71E2">
              <w:rPr>
                <w:b/>
                <w:bCs/>
                <w:szCs w:val="24"/>
              </w:rPr>
              <w:t>9</w:t>
            </w:r>
            <w:r w:rsidRPr="00AB71E2">
              <w:rPr>
                <w:b/>
                <w:bCs/>
                <w:szCs w:val="24"/>
              </w:rPr>
              <w:t>/</w:t>
            </w:r>
            <w:r w:rsidR="000C009A" w:rsidRPr="00AB71E2">
              <w:rPr>
                <w:b/>
                <w:bCs/>
                <w:szCs w:val="24"/>
              </w:rPr>
              <w:t>90</w:t>
            </w:r>
            <w:r w:rsidRPr="00AB71E2">
              <w:rPr>
                <w:b/>
                <w:bCs/>
                <w:szCs w:val="24"/>
              </w:rPr>
              <w:t>-S</w:t>
            </w:r>
          </w:p>
        </w:tc>
      </w:tr>
      <w:tr w:rsidR="00093EEB" w:rsidRPr="00AB71E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AB71E2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AB71E2" w:rsidRDefault="000C009A" w:rsidP="00C2727F">
            <w:pPr>
              <w:spacing w:before="0"/>
              <w:rPr>
                <w:b/>
                <w:bCs/>
                <w:szCs w:val="24"/>
              </w:rPr>
            </w:pPr>
            <w:r w:rsidRPr="00AB71E2">
              <w:rPr>
                <w:b/>
                <w:bCs/>
                <w:szCs w:val="24"/>
              </w:rPr>
              <w:t>27 de mayo de 2019</w:t>
            </w:r>
          </w:p>
        </w:tc>
      </w:tr>
      <w:tr w:rsidR="00093EEB" w:rsidRPr="00AB71E2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AB71E2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AB71E2" w:rsidRDefault="00093EEB" w:rsidP="00093EEB">
            <w:pPr>
              <w:spacing w:before="0"/>
              <w:rPr>
                <w:b/>
                <w:bCs/>
                <w:szCs w:val="24"/>
              </w:rPr>
            </w:pPr>
            <w:r w:rsidRPr="00AB71E2">
              <w:rPr>
                <w:b/>
                <w:bCs/>
                <w:szCs w:val="24"/>
              </w:rPr>
              <w:t xml:space="preserve">Original: </w:t>
            </w:r>
            <w:r w:rsidR="000C009A" w:rsidRPr="00AB71E2">
              <w:rPr>
                <w:b/>
                <w:bCs/>
              </w:rPr>
              <w:t>francés</w:t>
            </w:r>
          </w:p>
        </w:tc>
      </w:tr>
      <w:tr w:rsidR="00093EEB" w:rsidRPr="00AB71E2">
        <w:trPr>
          <w:cantSplit/>
        </w:trPr>
        <w:tc>
          <w:tcPr>
            <w:tcW w:w="10173" w:type="dxa"/>
            <w:gridSpan w:val="2"/>
          </w:tcPr>
          <w:p w:rsidR="00093EEB" w:rsidRPr="00AB71E2" w:rsidRDefault="000C009A">
            <w:pPr>
              <w:pStyle w:val="Source"/>
            </w:pPr>
            <w:bookmarkStart w:id="7" w:name="dsource" w:colFirst="0" w:colLast="0"/>
            <w:bookmarkEnd w:id="1"/>
            <w:bookmarkEnd w:id="6"/>
            <w:r w:rsidRPr="00AB71E2">
              <w:t>Nota del Secretario General</w:t>
            </w:r>
          </w:p>
        </w:tc>
      </w:tr>
      <w:tr w:rsidR="00093EEB" w:rsidRPr="00AB71E2">
        <w:trPr>
          <w:cantSplit/>
        </w:trPr>
        <w:tc>
          <w:tcPr>
            <w:tcW w:w="10173" w:type="dxa"/>
            <w:gridSpan w:val="2"/>
          </w:tcPr>
          <w:p w:rsidR="00093EEB" w:rsidRPr="00AB71E2" w:rsidRDefault="000C009A">
            <w:pPr>
              <w:pStyle w:val="Title1"/>
            </w:pPr>
            <w:bookmarkStart w:id="8" w:name="dtitle1" w:colFirst="0" w:colLast="0"/>
            <w:bookmarkEnd w:id="7"/>
            <w:r w:rsidRPr="00AB71E2">
              <w:t>CONTRIBUción de la república de CÔTE D’IVOIRE</w:t>
            </w:r>
          </w:p>
        </w:tc>
      </w:tr>
      <w:tr w:rsidR="000C009A" w:rsidRPr="00AB71E2">
        <w:trPr>
          <w:cantSplit/>
        </w:trPr>
        <w:tc>
          <w:tcPr>
            <w:tcW w:w="10173" w:type="dxa"/>
            <w:gridSpan w:val="2"/>
          </w:tcPr>
          <w:p w:rsidR="000C009A" w:rsidRPr="00AB71E2" w:rsidRDefault="000C009A" w:rsidP="001A36B5">
            <w:pPr>
              <w:pStyle w:val="Title1"/>
            </w:pPr>
            <w:r w:rsidRPr="00AB71E2">
              <w:t xml:space="preserve">Aplicación de la nueva Resolución de la PP-18 </w:t>
            </w:r>
            <w:r w:rsidRPr="00AB71E2">
              <w:br/>
              <w:t>sobre la participación de las PYME en la UIT</w:t>
            </w:r>
          </w:p>
        </w:tc>
      </w:tr>
    </w:tbl>
    <w:bookmarkEnd w:id="8"/>
    <w:p w:rsidR="000C009A" w:rsidRPr="00AB71E2" w:rsidRDefault="000C009A" w:rsidP="000C009A">
      <w:pPr>
        <w:pStyle w:val="Normalaftertitle"/>
      </w:pPr>
      <w:r w:rsidRPr="00AB71E2">
        <w:t xml:space="preserve">Tengo el honor de transmitir a los Estados Miembros del Consejo una contribución presentada por la </w:t>
      </w:r>
      <w:r w:rsidRPr="00AB71E2">
        <w:rPr>
          <w:b/>
          <w:bCs/>
        </w:rPr>
        <w:t>República de Côte d’Ivoire</w:t>
      </w:r>
      <w:r w:rsidRPr="00AB71E2">
        <w:t>.</w:t>
      </w:r>
    </w:p>
    <w:p w:rsidR="000C009A" w:rsidRPr="00AB71E2" w:rsidRDefault="000C009A" w:rsidP="000C009A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enter" w:pos="7088"/>
        </w:tabs>
        <w:spacing w:before="1080"/>
      </w:pPr>
      <w:r w:rsidRPr="00AB71E2">
        <w:tab/>
        <w:t>Houlin</w:t>
      </w:r>
      <w:bookmarkStart w:id="9" w:name="_GoBack"/>
      <w:bookmarkEnd w:id="9"/>
      <w:r w:rsidRPr="00AB71E2">
        <w:t xml:space="preserve"> ZHAO</w:t>
      </w:r>
      <w:r w:rsidRPr="00AB71E2">
        <w:br/>
      </w:r>
      <w:r w:rsidRPr="00AB71E2">
        <w:tab/>
        <w:t>Secretario General</w:t>
      </w:r>
    </w:p>
    <w:p w:rsidR="000C009A" w:rsidRPr="00AB71E2" w:rsidRDefault="000C009A">
      <w:r w:rsidRPr="00AB71E2">
        <w:br w:type="page"/>
      </w:r>
    </w:p>
    <w:p w:rsidR="000C009A" w:rsidRPr="00AB71E2" w:rsidRDefault="000C009A" w:rsidP="000C009A">
      <w:pPr>
        <w:pStyle w:val="Source"/>
      </w:pPr>
      <w:r w:rsidRPr="00AB71E2">
        <w:lastRenderedPageBreak/>
        <w:t xml:space="preserve">Contribución de la República </w:t>
      </w:r>
      <w:r w:rsidR="001A36B5" w:rsidRPr="00AB71E2">
        <w:t>de Côte d’Ivoire</w:t>
      </w:r>
    </w:p>
    <w:p w:rsidR="000C009A" w:rsidRPr="00AB71E2" w:rsidRDefault="000C009A" w:rsidP="001A36B5">
      <w:pPr>
        <w:pStyle w:val="Title1"/>
      </w:pPr>
      <w:r w:rsidRPr="00AB71E2">
        <w:t xml:space="preserve">Aplicación de la nueva Resolución de la PP-18 </w:t>
      </w:r>
      <w:r w:rsidRPr="00AB71E2">
        <w:br/>
        <w:t>sobre la participación de las PYME en la UIT</w:t>
      </w:r>
    </w:p>
    <w:p w:rsidR="00093EEB" w:rsidRPr="00AB71E2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AB71E2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AB71E2" w:rsidRDefault="00093EEB">
            <w:pPr>
              <w:pStyle w:val="Headingb"/>
            </w:pPr>
            <w:r w:rsidRPr="00AB71E2">
              <w:t>Resumen</w:t>
            </w:r>
          </w:p>
          <w:p w:rsidR="000C009A" w:rsidRPr="00AB71E2" w:rsidRDefault="000C009A" w:rsidP="001A36B5">
            <w:r w:rsidRPr="00AB71E2">
              <w:t>El presente documento contiene las observaciones de Côte d’Ivoire acerca de la aplicación de la nueva Resolución de la PP-18 sobre la partic</w:t>
            </w:r>
            <w:r w:rsidR="001A36B5" w:rsidRPr="00AB71E2">
              <w:t>ipación de las PYME en la UIT.</w:t>
            </w:r>
          </w:p>
          <w:p w:rsidR="00093EEB" w:rsidRPr="00AB71E2" w:rsidRDefault="000C009A" w:rsidP="000C009A">
            <w:r w:rsidRPr="00AB71E2">
              <w:t xml:space="preserve">Dichas observaciones se refieren principalmente a los puntos </w:t>
            </w:r>
            <w:r w:rsidRPr="00AB71E2">
              <w:rPr>
                <w:b/>
                <w:bCs/>
              </w:rPr>
              <w:t>3.2</w:t>
            </w:r>
            <w:r w:rsidRPr="00AB71E2">
              <w:t xml:space="preserve">, </w:t>
            </w:r>
            <w:r w:rsidRPr="00AB71E2">
              <w:rPr>
                <w:b/>
                <w:bCs/>
              </w:rPr>
              <w:t>3.5</w:t>
            </w:r>
            <w:r w:rsidRPr="00AB71E2">
              <w:t xml:space="preserve">, </w:t>
            </w:r>
            <w:r w:rsidRPr="00AB71E2">
              <w:rPr>
                <w:b/>
                <w:bCs/>
              </w:rPr>
              <w:t>4.5</w:t>
            </w:r>
            <w:r w:rsidRPr="00AB71E2">
              <w:t xml:space="preserve">, </w:t>
            </w:r>
            <w:r w:rsidRPr="00AB71E2">
              <w:rPr>
                <w:b/>
                <w:bCs/>
              </w:rPr>
              <w:t>4.6</w:t>
            </w:r>
            <w:r w:rsidR="003C12E8" w:rsidRPr="00AB71E2">
              <w:t xml:space="preserve"> y </w:t>
            </w:r>
            <w:r w:rsidRPr="00AB71E2">
              <w:rPr>
                <w:b/>
                <w:bCs/>
              </w:rPr>
              <w:t>5.3</w:t>
            </w:r>
            <w:r w:rsidRPr="00AB71E2">
              <w:t xml:space="preserve"> del proyecto de informe sometido a examen.</w:t>
            </w:r>
          </w:p>
          <w:p w:rsidR="00093EEB" w:rsidRPr="00AB71E2" w:rsidRDefault="00093EEB">
            <w:pPr>
              <w:pStyle w:val="Headingb"/>
            </w:pPr>
            <w:r w:rsidRPr="00AB71E2">
              <w:t>Acción solicitada</w:t>
            </w:r>
          </w:p>
          <w:p w:rsidR="00093EEB" w:rsidRPr="00AB71E2" w:rsidRDefault="000C009A">
            <w:r w:rsidRPr="00AB71E2">
              <w:t>Côte d’Ivoire aprueba las recomendaciones formuladas al Consejo, a excepción de la que figura en el punto 5.3, respecto de la cual se presenta una propuesta alternativa.</w:t>
            </w:r>
          </w:p>
          <w:p w:rsidR="00093EEB" w:rsidRPr="00AB71E2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_tradnl"/>
              </w:rPr>
            </w:pPr>
            <w:r w:rsidRPr="00AB71E2">
              <w:rPr>
                <w:caps w:val="0"/>
                <w:sz w:val="22"/>
                <w:lang w:val="es-ES_tradnl"/>
              </w:rPr>
              <w:t>____________</w:t>
            </w:r>
          </w:p>
          <w:p w:rsidR="00093EEB" w:rsidRPr="00AB71E2" w:rsidRDefault="00093EEB">
            <w:pPr>
              <w:pStyle w:val="Headingb"/>
            </w:pPr>
            <w:r w:rsidRPr="00AB71E2">
              <w:t>Referencia</w:t>
            </w:r>
            <w:r w:rsidR="000C009A" w:rsidRPr="00AB71E2">
              <w:t>s</w:t>
            </w:r>
          </w:p>
          <w:p w:rsidR="00093EEB" w:rsidRPr="00AB71E2" w:rsidRDefault="000C009A" w:rsidP="000C009A">
            <w:pPr>
              <w:spacing w:after="120"/>
              <w:rPr>
                <w:i/>
                <w:iCs/>
              </w:rPr>
            </w:pPr>
            <w:hyperlink r:id="rId7" w:history="1">
              <w:r w:rsidRPr="00AB71E2">
                <w:rPr>
                  <w:rStyle w:val="Hyperlink"/>
                  <w:i/>
                  <w:iCs/>
                </w:rPr>
                <w:t>Resolución 209</w:t>
              </w:r>
            </w:hyperlink>
            <w:r w:rsidRPr="00AB71E2">
              <w:rPr>
                <w:i/>
                <w:iCs/>
              </w:rPr>
              <w:t xml:space="preserve">; Documento </w:t>
            </w:r>
            <w:hyperlink r:id="rId8" w:history="1">
              <w:r w:rsidRPr="00AB71E2">
                <w:rPr>
                  <w:rStyle w:val="Hyperlink"/>
                  <w:i/>
                  <w:iCs/>
                </w:rPr>
                <w:t>C19/56</w:t>
              </w:r>
            </w:hyperlink>
          </w:p>
        </w:tc>
      </w:tr>
    </w:tbl>
    <w:p w:rsidR="00C2727F" w:rsidRPr="00AB71E2" w:rsidRDefault="00C2727F" w:rsidP="000B0D00"/>
    <w:p w:rsidR="000C009A" w:rsidRPr="00AB71E2" w:rsidRDefault="000C009A" w:rsidP="00FC26BE">
      <w:pPr>
        <w:pStyle w:val="Heading1"/>
      </w:pPr>
      <w:r w:rsidRPr="00AB71E2">
        <w:t>1</w:t>
      </w:r>
      <w:r w:rsidRPr="00AB71E2">
        <w:tab/>
        <w:t>Debates</w:t>
      </w:r>
    </w:p>
    <w:p w:rsidR="000C009A" w:rsidRPr="00AB71E2" w:rsidRDefault="000C009A" w:rsidP="00AF5A53">
      <w:r w:rsidRPr="00AB71E2">
        <w:t xml:space="preserve">Côte d’Ivoire toma nota del informe relativo a la aplicación de la Resolución 209 sobre la participación de las </w:t>
      </w:r>
      <w:r w:rsidR="00AF5A53" w:rsidRPr="00AB71E2">
        <w:t xml:space="preserve">PYME </w:t>
      </w:r>
      <w:r w:rsidRPr="00AB71E2">
        <w:t>en la UIT.</w:t>
      </w:r>
    </w:p>
    <w:p w:rsidR="000C009A" w:rsidRPr="00AB71E2" w:rsidRDefault="000C009A" w:rsidP="000C009A">
      <w:r w:rsidRPr="00AB71E2">
        <w:t>Côte d’Ivoire observa en particular la dificultad que entraña determinar un volumen de negocios máximo al que todos los países puedan adherirse.</w:t>
      </w:r>
    </w:p>
    <w:p w:rsidR="000C009A" w:rsidRPr="00AB71E2" w:rsidRDefault="000C009A" w:rsidP="0041343F">
      <w:r w:rsidRPr="00AB71E2">
        <w:t xml:space="preserve">Uno de los principales desafíos de esta Resolución es alentar la participación de las </w:t>
      </w:r>
      <w:r w:rsidR="0041343F" w:rsidRPr="00AB71E2">
        <w:t xml:space="preserve">PYME </w:t>
      </w:r>
      <w:r w:rsidRPr="00AB71E2">
        <w:t xml:space="preserve">de los países en desarrollo. En efecto, las </w:t>
      </w:r>
      <w:r w:rsidR="0041343F" w:rsidRPr="00AB71E2">
        <w:t xml:space="preserve">PYME </w:t>
      </w:r>
      <w:r w:rsidRPr="00AB71E2">
        <w:t>tienen un importante papel que desempeñar en la reducción de la brecha digital entre los países desarrollados y los países en desarrollo, y son el vector esencial para alcanzar los Objetivos de Desarrollo Sostenible.</w:t>
      </w:r>
    </w:p>
    <w:p w:rsidR="000C009A" w:rsidRPr="00AB71E2" w:rsidRDefault="000C009A" w:rsidP="000C009A">
      <w:r w:rsidRPr="00AB71E2">
        <w:t>Habida cuenta de lo anterior, aprobamos todas las recomendaciones formuladas al Consejo, a excepción de la que figura en el punto 5.3, respecto de la cual presentamos una propuesta alternativa.</w:t>
      </w:r>
    </w:p>
    <w:p w:rsidR="000C009A" w:rsidRPr="00AB71E2" w:rsidRDefault="000C009A" w:rsidP="00FC26BE">
      <w:pPr>
        <w:pStyle w:val="Heading2"/>
      </w:pPr>
      <w:r w:rsidRPr="00AB71E2">
        <w:t>1.1</w:t>
      </w:r>
      <w:r w:rsidRPr="00AB71E2">
        <w:tab/>
        <w:t>Recomendación 5.3</w:t>
      </w:r>
    </w:p>
    <w:p w:rsidR="000C009A" w:rsidRPr="00AB71E2" w:rsidRDefault="000C009A" w:rsidP="00673EB5">
      <w:r w:rsidRPr="00AB71E2">
        <w:t xml:space="preserve">En el punto 5.3 del informe se recomienda que </w:t>
      </w:r>
      <w:r w:rsidR="00673EB5" w:rsidRPr="00AB71E2">
        <w:t xml:space="preserve">"el </w:t>
      </w:r>
      <w:r w:rsidRPr="00AB71E2">
        <w:t xml:space="preserve">Consejo debería fijar el nivel máximo de ingresos anuales en </w:t>
      </w:r>
      <w:r w:rsidRPr="00AB71E2">
        <w:rPr>
          <w:b/>
          <w:bCs/>
        </w:rPr>
        <w:t>15 millones CHF</w:t>
      </w:r>
      <w:r w:rsidRPr="00AB71E2">
        <w:t xml:space="preserve"> para cumplir lo estipulado en el </w:t>
      </w:r>
      <w:r w:rsidRPr="00AB71E2">
        <w:rPr>
          <w:i/>
          <w:iCs/>
        </w:rPr>
        <w:t>resuelve</w:t>
      </w:r>
      <w:r w:rsidRPr="00AB71E2">
        <w:t xml:space="preserve"> 3 de la nueva Resolución sobre las PYME</w:t>
      </w:r>
      <w:r w:rsidR="00673EB5" w:rsidRPr="00AB71E2">
        <w:t>".</w:t>
      </w:r>
    </w:p>
    <w:p w:rsidR="000C009A" w:rsidRPr="00AB71E2" w:rsidRDefault="000C009A" w:rsidP="000C009A">
      <w:r w:rsidRPr="00AB71E2">
        <w:t xml:space="preserve">Esta recomendación se fundamenta en un análisis del lucro cesante para la UIT basado en dos umbrales: 15 millones CHF y </w:t>
      </w:r>
      <w:r w:rsidRPr="00AB71E2">
        <w:rPr>
          <w:b/>
          <w:bCs/>
        </w:rPr>
        <w:t>50 millones CHF</w:t>
      </w:r>
      <w:r w:rsidRPr="00AB71E2">
        <w:t>.</w:t>
      </w:r>
    </w:p>
    <w:p w:rsidR="000C009A" w:rsidRPr="00AB71E2" w:rsidRDefault="000C009A" w:rsidP="006F13D3">
      <w:r w:rsidRPr="00AB71E2">
        <w:lastRenderedPageBreak/>
        <w:t xml:space="preserve">El análisis debería basarse en el principio de la adopción de contribuciones financieras reducidas y diferenciadas para las </w:t>
      </w:r>
      <w:r w:rsidR="006F13D3" w:rsidRPr="00AB71E2">
        <w:t xml:space="preserve">PYME </w:t>
      </w:r>
      <w:r w:rsidRPr="00AB71E2">
        <w:t>de los países en desarrollo respecto de los países desarrollados.</w:t>
      </w:r>
    </w:p>
    <w:p w:rsidR="000C009A" w:rsidRPr="00AB71E2" w:rsidRDefault="000C009A" w:rsidP="00845D6C">
      <w:r w:rsidRPr="00AB71E2">
        <w:t>De hecho, el importe de las contribuciones financieras reducidas se fija en 3</w:t>
      </w:r>
      <w:r w:rsidR="00845D6C" w:rsidRPr="00AB71E2">
        <w:t> 975 </w:t>
      </w:r>
      <w:r w:rsidRPr="00AB71E2">
        <w:t xml:space="preserve">CHF en el caso de las </w:t>
      </w:r>
      <w:r w:rsidR="00845D6C" w:rsidRPr="00AB71E2">
        <w:t xml:space="preserve">PYME </w:t>
      </w:r>
      <w:r w:rsidRPr="00AB71E2">
        <w:t>procedentes de países desarrollados y en 1</w:t>
      </w:r>
      <w:r w:rsidR="00845D6C" w:rsidRPr="00AB71E2">
        <w:t> </w:t>
      </w:r>
      <w:r w:rsidRPr="00AB71E2">
        <w:t xml:space="preserve">987,50 CHF en el caso de las </w:t>
      </w:r>
      <w:r w:rsidR="00845D6C" w:rsidRPr="00AB71E2">
        <w:t xml:space="preserve">PYME </w:t>
      </w:r>
      <w:r w:rsidRPr="00AB71E2">
        <w:t>procedentes de países en desarrollo, aunque está sujeto a una revisión periódica por el Consejo.</w:t>
      </w:r>
    </w:p>
    <w:p w:rsidR="000C009A" w:rsidRPr="00AB71E2" w:rsidRDefault="000C009A" w:rsidP="00D749EA">
      <w:r w:rsidRPr="00AB71E2">
        <w:t xml:space="preserve">En la medida en que la clasificación de las </w:t>
      </w:r>
      <w:r w:rsidR="00D749EA" w:rsidRPr="00AB71E2">
        <w:t xml:space="preserve">PYME </w:t>
      </w:r>
      <w:r w:rsidRPr="00AB71E2">
        <w:t xml:space="preserve">ya se realiza en términos de contribuciones financieras que deben abonar, consideramos que en los umbrales que deben fijarse para clasificar a las </w:t>
      </w:r>
      <w:r w:rsidR="00D749EA" w:rsidRPr="00AB71E2">
        <w:t xml:space="preserve">PYME </w:t>
      </w:r>
      <w:r w:rsidRPr="00AB71E2">
        <w:t>se debe tener en cuenta este factor.</w:t>
      </w:r>
    </w:p>
    <w:p w:rsidR="000C009A" w:rsidRPr="00AB71E2" w:rsidRDefault="000C009A" w:rsidP="000C009A">
      <w:r w:rsidRPr="00AB71E2">
        <w:t>Por consiguiente, se deberí</w:t>
      </w:r>
      <w:r w:rsidR="00FC26BE" w:rsidRPr="00AB71E2">
        <w:t>an fijar dos umbrales, a saber:</w:t>
      </w:r>
    </w:p>
    <w:p w:rsidR="000C009A" w:rsidRPr="00AB71E2" w:rsidRDefault="000C009A" w:rsidP="00823159">
      <w:pPr>
        <w:pStyle w:val="enumlev1"/>
      </w:pPr>
      <w:r w:rsidRPr="00AB71E2">
        <w:t>•</w:t>
      </w:r>
      <w:r w:rsidRPr="00AB71E2">
        <w:tab/>
      </w:r>
      <w:r w:rsidR="00090538" w:rsidRPr="00AB71E2">
        <w:t xml:space="preserve">un </w:t>
      </w:r>
      <w:r w:rsidRPr="00AB71E2">
        <w:t xml:space="preserve">umbral elevado para las </w:t>
      </w:r>
      <w:r w:rsidR="00823159" w:rsidRPr="00AB71E2">
        <w:t xml:space="preserve">PYME </w:t>
      </w:r>
      <w:r w:rsidRPr="00AB71E2">
        <w:t>de países en desarrollo, que incitaría su participación</w:t>
      </w:r>
      <w:r w:rsidR="00090538" w:rsidRPr="00AB71E2">
        <w:t>; y</w:t>
      </w:r>
    </w:p>
    <w:p w:rsidR="000C009A" w:rsidRPr="00AB71E2" w:rsidRDefault="000C009A" w:rsidP="003918AE">
      <w:pPr>
        <w:pStyle w:val="enumlev1"/>
      </w:pPr>
      <w:r w:rsidRPr="00AB71E2">
        <w:t>•</w:t>
      </w:r>
      <w:r w:rsidRPr="00AB71E2">
        <w:tab/>
      </w:r>
      <w:r w:rsidR="00090538" w:rsidRPr="00AB71E2">
        <w:t xml:space="preserve">un </w:t>
      </w:r>
      <w:r w:rsidRPr="00AB71E2">
        <w:t xml:space="preserve">umbral reducido para las </w:t>
      </w:r>
      <w:r w:rsidR="003918AE" w:rsidRPr="00AB71E2">
        <w:t xml:space="preserve">PYME </w:t>
      </w:r>
      <w:r w:rsidRPr="00AB71E2">
        <w:t xml:space="preserve">de países desarrollados, que permitiría evitar la pérdida de ingresos para la Unión en la medida en que la mayoría de las </w:t>
      </w:r>
      <w:r w:rsidR="003918AE" w:rsidRPr="00AB71E2">
        <w:t xml:space="preserve">PYME </w:t>
      </w:r>
      <w:r w:rsidRPr="00AB71E2">
        <w:t>Miembros de Sector proceden de países desarrollados.</w:t>
      </w:r>
    </w:p>
    <w:p w:rsidR="000C009A" w:rsidRPr="00AB71E2" w:rsidRDefault="00FC26BE" w:rsidP="00FC26BE">
      <w:pPr>
        <w:pStyle w:val="Heading1"/>
      </w:pPr>
      <w:r w:rsidRPr="00AB71E2">
        <w:t>2</w:t>
      </w:r>
      <w:r w:rsidRPr="00AB71E2">
        <w:tab/>
        <w:t>Propuestas</w:t>
      </w:r>
    </w:p>
    <w:p w:rsidR="000C009A" w:rsidRPr="00AB71E2" w:rsidRDefault="000C009A" w:rsidP="00294A95">
      <w:r w:rsidRPr="00AB71E2">
        <w:t xml:space="preserve">A fin de fomentar la integración de las </w:t>
      </w:r>
      <w:r w:rsidR="00294A95" w:rsidRPr="00AB71E2">
        <w:t xml:space="preserve">PYME </w:t>
      </w:r>
      <w:r w:rsidRPr="00AB71E2">
        <w:t>Asociadas de las cinco regiones de la UIT, y basándose en los dos umbrales indicados en el informe, Côte d’Ivoire propone lo siguiente:</w:t>
      </w:r>
    </w:p>
    <w:p w:rsidR="000C009A" w:rsidRPr="00AB71E2" w:rsidRDefault="00FC26BE" w:rsidP="00294A95">
      <w:pPr>
        <w:pStyle w:val="enumlev1"/>
      </w:pPr>
      <w:r w:rsidRPr="00AB71E2">
        <w:t>–</w:t>
      </w:r>
      <w:r w:rsidRPr="00AB71E2">
        <w:tab/>
        <w:t xml:space="preserve">un </w:t>
      </w:r>
      <w:r w:rsidR="000C009A" w:rsidRPr="00AB71E2">
        <w:t xml:space="preserve">umbral de 50 millones CHF para las </w:t>
      </w:r>
      <w:r w:rsidR="00294A95" w:rsidRPr="00AB71E2">
        <w:t xml:space="preserve">PYME </w:t>
      </w:r>
      <w:r w:rsidR="000C009A" w:rsidRPr="00AB71E2">
        <w:t>de países en desarrollo; y</w:t>
      </w:r>
    </w:p>
    <w:p w:rsidR="000C009A" w:rsidRPr="00AB71E2" w:rsidRDefault="00FC26BE" w:rsidP="00294A95">
      <w:pPr>
        <w:pStyle w:val="enumlev1"/>
      </w:pPr>
      <w:r w:rsidRPr="00AB71E2">
        <w:t>–</w:t>
      </w:r>
      <w:r w:rsidRPr="00AB71E2">
        <w:tab/>
      </w:r>
      <w:r w:rsidRPr="00AB71E2">
        <w:t>u</w:t>
      </w:r>
      <w:r w:rsidR="000C009A" w:rsidRPr="00AB71E2">
        <w:t xml:space="preserve">n umbral de 15 millones CHF para las </w:t>
      </w:r>
      <w:r w:rsidR="00294A95" w:rsidRPr="00AB71E2">
        <w:t xml:space="preserve">PYME </w:t>
      </w:r>
      <w:r w:rsidR="000C009A" w:rsidRPr="00AB71E2">
        <w:t>de países desarrollados.</w:t>
      </w:r>
    </w:p>
    <w:p w:rsidR="000C009A" w:rsidRPr="00AB71E2" w:rsidRDefault="000C009A" w:rsidP="000C009A">
      <w:r w:rsidRPr="00AB71E2">
        <w:t>Côte d’Ivoire invita al Grupo de Trabajo del Consejo sobre Recursos Humanos y Financieros a analizar la incidencia de la presente propuesta, que consideramos más equitativa al tiempo que respeta el espíritu de la Resolución 209.</w:t>
      </w:r>
    </w:p>
    <w:p w:rsidR="000C009A" w:rsidRPr="00AB71E2" w:rsidRDefault="000C009A" w:rsidP="0032202E">
      <w:pPr>
        <w:pStyle w:val="Reasons"/>
      </w:pPr>
    </w:p>
    <w:p w:rsidR="000C009A" w:rsidRPr="00AB71E2" w:rsidRDefault="000C009A">
      <w:pPr>
        <w:jc w:val="center"/>
      </w:pPr>
      <w:r w:rsidRPr="00AB71E2">
        <w:t>______________</w:t>
      </w:r>
    </w:p>
    <w:sectPr w:rsidR="000C009A" w:rsidRPr="00AB71E2" w:rsidSect="006710F6">
      <w:headerReference w:type="default" r:id="rId9"/>
      <w:footerReference w:type="default" r:id="rId10"/>
      <w:footerReference w:type="first" r:id="rId11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9A" w:rsidRDefault="000C009A">
      <w:r>
        <w:separator/>
      </w:r>
    </w:p>
  </w:endnote>
  <w:endnote w:type="continuationSeparator" w:id="0">
    <w:p w:rsidR="000C009A" w:rsidRDefault="000C0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BE" w:rsidRDefault="00FC26BE" w:rsidP="00FC26BE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\p \* MERGEFORMAT </w:instrText>
    </w:r>
    <w:r>
      <w:rPr>
        <w:lang w:val="en-US"/>
      </w:rPr>
      <w:fldChar w:fldCharType="separate"/>
    </w:r>
    <w:r>
      <w:rPr>
        <w:lang w:val="en-US"/>
      </w:rPr>
      <w:t>P:\ESP\SG\CONSEIL\C19\000\090S.docx</w:t>
    </w:r>
    <w:r>
      <w:rPr>
        <w:lang w:val="en-US"/>
      </w:rPr>
      <w:fldChar w:fldCharType="end"/>
    </w:r>
    <w:r>
      <w:rPr>
        <w:lang w:val="en-US"/>
      </w:rPr>
      <w:t xml:space="preserve"> (456063)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760F1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9A" w:rsidRDefault="000C009A">
      <w:r>
        <w:t>____________________</w:t>
      </w:r>
    </w:p>
  </w:footnote>
  <w:footnote w:type="continuationSeparator" w:id="0">
    <w:p w:rsidR="000C009A" w:rsidRDefault="000C0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F1C" w:rsidRDefault="000B7C15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AB71E2">
      <w:rPr>
        <w:noProof/>
      </w:rPr>
      <w:t>3</w:t>
    </w:r>
    <w:r>
      <w:rPr>
        <w:noProof/>
      </w:rPr>
      <w:fldChar w:fldCharType="end"/>
    </w:r>
  </w:p>
  <w:p w:rsidR="00760F1C" w:rsidRDefault="00760F1C" w:rsidP="000C009A">
    <w:pPr>
      <w:pStyle w:val="Header"/>
    </w:pPr>
    <w:r>
      <w:t>C</w:t>
    </w:r>
    <w:r w:rsidR="007F350B">
      <w:t>1</w:t>
    </w:r>
    <w:r w:rsidR="00C2727F">
      <w:t>9</w:t>
    </w:r>
    <w:r>
      <w:t>/</w:t>
    </w:r>
    <w:r w:rsidR="000C009A">
      <w:t>90</w:t>
    </w:r>
    <w:r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09A"/>
    <w:rsid w:val="00090538"/>
    <w:rsid w:val="00093EEB"/>
    <w:rsid w:val="000B0D00"/>
    <w:rsid w:val="000B7C15"/>
    <w:rsid w:val="000C009A"/>
    <w:rsid w:val="000D1D0F"/>
    <w:rsid w:val="000F5290"/>
    <w:rsid w:val="0010165C"/>
    <w:rsid w:val="00140CE2"/>
    <w:rsid w:val="00146BFB"/>
    <w:rsid w:val="00167D97"/>
    <w:rsid w:val="001A36B5"/>
    <w:rsid w:val="001F14A2"/>
    <w:rsid w:val="002801AA"/>
    <w:rsid w:val="00294A95"/>
    <w:rsid w:val="002C4676"/>
    <w:rsid w:val="002C70B0"/>
    <w:rsid w:val="002D61BC"/>
    <w:rsid w:val="002F3CC4"/>
    <w:rsid w:val="003918AE"/>
    <w:rsid w:val="003C12E8"/>
    <w:rsid w:val="0041343F"/>
    <w:rsid w:val="0048692F"/>
    <w:rsid w:val="004B6183"/>
    <w:rsid w:val="00513630"/>
    <w:rsid w:val="0052099B"/>
    <w:rsid w:val="00560125"/>
    <w:rsid w:val="00585553"/>
    <w:rsid w:val="005B34D9"/>
    <w:rsid w:val="005D0CCF"/>
    <w:rsid w:val="005F3BCB"/>
    <w:rsid w:val="005F410F"/>
    <w:rsid w:val="0060149A"/>
    <w:rsid w:val="00601924"/>
    <w:rsid w:val="006447EA"/>
    <w:rsid w:val="0064731F"/>
    <w:rsid w:val="006710F6"/>
    <w:rsid w:val="00673EB5"/>
    <w:rsid w:val="006C1B56"/>
    <w:rsid w:val="006D4761"/>
    <w:rsid w:val="006F13D3"/>
    <w:rsid w:val="00726872"/>
    <w:rsid w:val="00760F1C"/>
    <w:rsid w:val="007657F0"/>
    <w:rsid w:val="0077252D"/>
    <w:rsid w:val="007E5DD3"/>
    <w:rsid w:val="007F350B"/>
    <w:rsid w:val="00820BE4"/>
    <w:rsid w:val="00823159"/>
    <w:rsid w:val="008451E8"/>
    <w:rsid w:val="00845D6C"/>
    <w:rsid w:val="008F309C"/>
    <w:rsid w:val="00913B9C"/>
    <w:rsid w:val="00956E77"/>
    <w:rsid w:val="009F4811"/>
    <w:rsid w:val="00AA390C"/>
    <w:rsid w:val="00AB71E2"/>
    <w:rsid w:val="00AE7201"/>
    <w:rsid w:val="00AF5A53"/>
    <w:rsid w:val="00B0200A"/>
    <w:rsid w:val="00B574DB"/>
    <w:rsid w:val="00B826C2"/>
    <w:rsid w:val="00B8298E"/>
    <w:rsid w:val="00BD0723"/>
    <w:rsid w:val="00BD2518"/>
    <w:rsid w:val="00BF1D1C"/>
    <w:rsid w:val="00C20C59"/>
    <w:rsid w:val="00C2727F"/>
    <w:rsid w:val="00C55B1F"/>
    <w:rsid w:val="00CB1CE5"/>
    <w:rsid w:val="00CF1A67"/>
    <w:rsid w:val="00D2750E"/>
    <w:rsid w:val="00D62446"/>
    <w:rsid w:val="00D749EA"/>
    <w:rsid w:val="00D84F5D"/>
    <w:rsid w:val="00DA4EA2"/>
    <w:rsid w:val="00DC3D3E"/>
    <w:rsid w:val="00DE2C90"/>
    <w:rsid w:val="00DE3B24"/>
    <w:rsid w:val="00E06947"/>
    <w:rsid w:val="00E3592D"/>
    <w:rsid w:val="00E92DE8"/>
    <w:rsid w:val="00EB1212"/>
    <w:rsid w:val="00ED65AB"/>
    <w:rsid w:val="00F12850"/>
    <w:rsid w:val="00F33BF4"/>
    <w:rsid w:val="00F7105E"/>
    <w:rsid w:val="00F75F57"/>
    <w:rsid w:val="00F82FEE"/>
    <w:rsid w:val="00FC26BE"/>
    <w:rsid w:val="00FD57D3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528EDD-33BD-40F0-92B3-BCDC45B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19-CL-C-0056/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tu.int/en/council/Documents/basic-texts/RES-209-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C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PS_C19.dotx</Template>
  <TotalTime>13</TotalTime>
  <Pages>3</Pages>
  <Words>664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4169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</dc:creator>
  <cp:keywords>C2018, C18</cp:keywords>
  <dc:description/>
  <cp:lastModifiedBy>Spanish</cp:lastModifiedBy>
  <cp:revision>25</cp:revision>
  <cp:lastPrinted>2006-03-24T09:51:00Z</cp:lastPrinted>
  <dcterms:created xsi:type="dcterms:W3CDTF">2019-06-04T11:36:00Z</dcterms:created>
  <dcterms:modified xsi:type="dcterms:W3CDTF">2019-06-04T11:49:00Z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