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6260F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72B14" w:rsidRPr="006A4269">
              <w:rPr>
                <w:b/>
              </w:rPr>
              <w:t xml:space="preserve"> PL 1.7</w:t>
            </w:r>
          </w:p>
        </w:tc>
        <w:tc>
          <w:tcPr>
            <w:tcW w:w="3120" w:type="dxa"/>
          </w:tcPr>
          <w:p w:rsidR="00700D1F" w:rsidRPr="00700D1F" w:rsidRDefault="00700D1F" w:rsidP="00572B1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6260F1">
              <w:rPr>
                <w:b/>
                <w:bCs/>
                <w:szCs w:val="24"/>
                <w:lang w:eastAsia="zh-CN"/>
              </w:rPr>
              <w:t>8</w:t>
            </w:r>
            <w:r w:rsidR="00572B14">
              <w:rPr>
                <w:b/>
                <w:bCs/>
                <w:szCs w:val="24"/>
                <w:lang w:eastAsia="zh-CN"/>
              </w:rPr>
              <w:t>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6774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1D63C0">
              <w:rPr>
                <w:rFonts w:asciiTheme="minorHAnsi" w:hAnsiTheme="minorHAnsi" w:cstheme="minorHAnsi"/>
                <w:b/>
                <w:bCs/>
                <w:szCs w:val="24"/>
                <w:lang w:eastAsia="zh-CN"/>
              </w:rPr>
              <w:t>5</w:t>
            </w:r>
            <w:r w:rsidRPr="00FC5386">
              <w:rPr>
                <w:rFonts w:hint="eastAsia"/>
                <w:b/>
                <w:bCs/>
                <w:szCs w:val="24"/>
                <w:lang w:eastAsia="zh-CN"/>
              </w:rPr>
              <w:t>月</w:t>
            </w:r>
            <w:r w:rsidR="001D63C0">
              <w:rPr>
                <w:rFonts w:asciiTheme="minorHAnsi" w:hAnsiTheme="minorHAnsi" w:cstheme="minorHAnsi"/>
                <w:b/>
                <w:bCs/>
                <w:szCs w:val="24"/>
                <w:lang w:eastAsia="zh-CN"/>
              </w:rPr>
              <w:t>2</w:t>
            </w:r>
            <w:r w:rsidR="0016774D">
              <w:rPr>
                <w:rFonts w:asciiTheme="minorHAnsi" w:hAnsiTheme="minorHAnsi" w:cstheme="minorHAnsi"/>
                <w:b/>
                <w:bCs/>
                <w:szCs w:val="24"/>
                <w:lang w:eastAsia="zh-CN"/>
              </w:rPr>
              <w:t>7</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1D63C0">
              <w:rPr>
                <w:rFonts w:ascii="Times New Roman Bold" w:hAnsi="Times New Roman Bold" w:hint="eastAsia"/>
                <w:lang w:eastAsia="zh-CN"/>
              </w:rPr>
              <w:t>说明</w:t>
            </w:r>
          </w:p>
        </w:tc>
      </w:tr>
      <w:tr w:rsidR="0016774D">
        <w:trPr>
          <w:cantSplit/>
        </w:trPr>
        <w:tc>
          <w:tcPr>
            <w:tcW w:w="10031" w:type="dxa"/>
          </w:tcPr>
          <w:p w:rsidR="00572B14" w:rsidRPr="006A4269" w:rsidRDefault="001638A2" w:rsidP="00572B14">
            <w:pPr>
              <w:pStyle w:val="Title1"/>
              <w:rPr>
                <w:lang w:eastAsia="zh-CN"/>
              </w:rPr>
            </w:pPr>
            <w:r>
              <w:rPr>
                <w:rFonts w:hint="eastAsia"/>
                <w:lang w:eastAsia="zh-CN"/>
              </w:rPr>
              <w:t>科特迪瓦共和国的文稿</w:t>
            </w:r>
          </w:p>
          <w:p w:rsidR="0016774D" w:rsidRPr="0028571E" w:rsidRDefault="001638A2" w:rsidP="001638A2">
            <w:pPr>
              <w:pStyle w:val="Title1"/>
              <w:rPr>
                <w:lang w:eastAsia="zh-CN"/>
              </w:rPr>
            </w:pPr>
            <w:bookmarkStart w:id="2" w:name="lt_pId012"/>
            <w:r>
              <w:rPr>
                <w:rFonts w:hint="eastAsia"/>
                <w:lang w:eastAsia="zh-CN"/>
              </w:rPr>
              <w:t>《国际电信规则》专家组（</w:t>
            </w:r>
            <w:r w:rsidRPr="006A4269">
              <w:rPr>
                <w:lang w:eastAsia="zh-CN"/>
              </w:rPr>
              <w:t>EG-ITR</w:t>
            </w:r>
            <w:r>
              <w:rPr>
                <w:lang w:eastAsia="zh-CN"/>
              </w:rPr>
              <w:t>）</w:t>
            </w:r>
            <w:r>
              <w:rPr>
                <w:rFonts w:hint="eastAsia"/>
                <w:lang w:eastAsia="zh-CN"/>
              </w:rPr>
              <w:t>的职责范围</w:t>
            </w:r>
            <w:bookmarkEnd w:id="2"/>
          </w:p>
        </w:tc>
      </w:tr>
      <w:tr w:rsidR="0016774D">
        <w:trPr>
          <w:cantSplit/>
        </w:trPr>
        <w:tc>
          <w:tcPr>
            <w:tcW w:w="10031" w:type="dxa"/>
          </w:tcPr>
          <w:p w:rsidR="0016774D" w:rsidRDefault="0016774D" w:rsidP="0016774D">
            <w:pPr>
              <w:pStyle w:val="Title1"/>
              <w:rPr>
                <w:lang w:eastAsia="zh-CN"/>
              </w:rPr>
            </w:pPr>
          </w:p>
        </w:tc>
      </w:tr>
    </w:tbl>
    <w:p w:rsidR="001D63C0" w:rsidRDefault="001D63C0" w:rsidP="001D63C0">
      <w:pPr>
        <w:rPr>
          <w:lang w:eastAsia="zh-CN"/>
        </w:rPr>
      </w:pPr>
    </w:p>
    <w:p w:rsidR="0016774D" w:rsidRDefault="00572B14" w:rsidP="001638A2">
      <w:pPr>
        <w:pStyle w:val="Normalaftertitle"/>
        <w:ind w:firstLineChars="200" w:firstLine="480"/>
        <w:rPr>
          <w:lang w:eastAsia="zh-CN"/>
        </w:rPr>
      </w:pPr>
      <w:r w:rsidRPr="00F97A5C">
        <w:rPr>
          <w:lang w:eastAsia="zh-CN"/>
        </w:rPr>
        <w:t>我荣幸地向各理事国转呈</w:t>
      </w:r>
      <w:r w:rsidR="001638A2" w:rsidRPr="00EF688E">
        <w:rPr>
          <w:rFonts w:hint="eastAsia"/>
          <w:lang w:eastAsia="zh-CN"/>
        </w:rPr>
        <w:t>科特迪瓦共和国</w:t>
      </w:r>
      <w:r w:rsidRPr="00F97A5C">
        <w:rPr>
          <w:lang w:eastAsia="zh-CN"/>
        </w:rPr>
        <w:t>提交的文稿。</w:t>
      </w:r>
    </w:p>
    <w:p w:rsidR="0016774D" w:rsidRDefault="0016774D" w:rsidP="0016774D">
      <w:pPr>
        <w:tabs>
          <w:tab w:val="clear" w:pos="794"/>
          <w:tab w:val="clear" w:pos="1191"/>
          <w:tab w:val="clear" w:pos="1588"/>
          <w:tab w:val="clear" w:pos="1985"/>
          <w:tab w:val="center" w:pos="7088"/>
        </w:tabs>
        <w:spacing w:before="720"/>
        <w:rPr>
          <w:rFonts w:asciiTheme="majorBidi" w:hAnsiTheme="majorBidi" w:cstheme="majorBidi"/>
          <w:lang w:eastAsia="zh-CN"/>
        </w:rPr>
      </w:pPr>
      <w:r>
        <w:rPr>
          <w:rFonts w:asciiTheme="majorBidi" w:hAnsiTheme="majorBidi" w:cstheme="majorBidi"/>
          <w:lang w:eastAsia="zh-CN"/>
        </w:rPr>
        <w:tab/>
      </w:r>
      <w:r w:rsidRPr="00822597">
        <w:rPr>
          <w:rFonts w:asciiTheme="majorBidi" w:hAnsiTheme="majorBidi" w:cstheme="majorBidi"/>
          <w:lang w:eastAsia="zh-CN"/>
        </w:rPr>
        <w:t>秘书长</w:t>
      </w:r>
      <w:r w:rsidRPr="00822597">
        <w:rPr>
          <w:rFonts w:asciiTheme="majorBidi" w:hAnsiTheme="majorBidi" w:cstheme="majorBidi"/>
          <w:lang w:eastAsia="zh-CN"/>
        </w:rPr>
        <w:br/>
      </w:r>
      <w:r>
        <w:rPr>
          <w:rFonts w:asciiTheme="majorBidi" w:hAnsiTheme="majorBidi" w:cstheme="majorBidi"/>
          <w:lang w:eastAsia="zh-CN"/>
        </w:rPr>
        <w:tab/>
      </w:r>
      <w:r w:rsidRPr="00822597">
        <w:rPr>
          <w:rFonts w:asciiTheme="majorBidi" w:hAnsiTheme="majorBidi" w:cstheme="majorBidi"/>
          <w:lang w:eastAsia="zh-CN"/>
        </w:rPr>
        <w:t>赵厚麟</w:t>
      </w:r>
    </w:p>
    <w:p w:rsidR="0016774D" w:rsidRPr="00832A8F" w:rsidRDefault="0016774D" w:rsidP="0016774D">
      <w:pPr>
        <w:tabs>
          <w:tab w:val="left" w:pos="720"/>
        </w:tabs>
        <w:overflowPunct/>
        <w:autoSpaceDE/>
        <w:adjustRightInd/>
        <w:spacing w:before="0"/>
        <w:rPr>
          <w:lang w:eastAsia="zh-CN"/>
        </w:rPr>
      </w:pPr>
      <w:r w:rsidRPr="00832A8F">
        <w:rPr>
          <w:lang w:eastAsia="zh-CN"/>
        </w:rPr>
        <w:br w:type="page"/>
      </w:r>
    </w:p>
    <w:p w:rsidR="00572B14" w:rsidRPr="00830EE4" w:rsidRDefault="001623EE" w:rsidP="00572B14">
      <w:pPr>
        <w:pStyle w:val="Source"/>
        <w:rPr>
          <w:lang w:eastAsia="zh-CN"/>
        </w:rPr>
      </w:pPr>
      <w:r>
        <w:rPr>
          <w:rFonts w:hint="eastAsia"/>
          <w:lang w:eastAsia="zh-CN"/>
        </w:rPr>
        <w:lastRenderedPageBreak/>
        <w:t>科特迪瓦共和国的文稿</w:t>
      </w:r>
    </w:p>
    <w:p w:rsidR="00572B14" w:rsidRPr="00830EE4" w:rsidRDefault="001623EE" w:rsidP="00572B14">
      <w:pPr>
        <w:pStyle w:val="Title1"/>
        <w:rPr>
          <w:lang w:eastAsia="zh-CN"/>
        </w:rPr>
      </w:pPr>
      <w:r>
        <w:rPr>
          <w:rFonts w:hint="eastAsia"/>
          <w:lang w:eastAsia="zh-CN"/>
        </w:rPr>
        <w:t>《国际电信规则》专家组（</w:t>
      </w:r>
      <w:r w:rsidRPr="006A4269">
        <w:rPr>
          <w:lang w:eastAsia="zh-CN"/>
        </w:rPr>
        <w:t>EG-ITR</w:t>
      </w:r>
      <w:r>
        <w:rPr>
          <w:lang w:eastAsia="zh-CN"/>
        </w:rPr>
        <w:t>）</w:t>
      </w:r>
      <w:r>
        <w:rPr>
          <w:rFonts w:hint="eastAsia"/>
          <w:lang w:eastAsia="zh-CN"/>
        </w:rPr>
        <w:t>的职责范围</w:t>
      </w:r>
    </w:p>
    <w:p w:rsidR="00572B14" w:rsidRPr="00830EE4" w:rsidRDefault="00572B14" w:rsidP="00572B14">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72B14" w:rsidTr="005372E1">
        <w:trPr>
          <w:trHeight w:val="2811"/>
        </w:trPr>
        <w:tc>
          <w:tcPr>
            <w:tcW w:w="8080" w:type="dxa"/>
            <w:tcBorders>
              <w:top w:val="single" w:sz="12" w:space="0" w:color="auto"/>
              <w:left w:val="single" w:sz="12" w:space="0" w:color="auto"/>
              <w:bottom w:val="single" w:sz="12" w:space="0" w:color="auto"/>
              <w:right w:val="single" w:sz="12" w:space="0" w:color="auto"/>
            </w:tcBorders>
          </w:tcPr>
          <w:p w:rsidR="00572B14" w:rsidRPr="00572B14" w:rsidRDefault="00572B14" w:rsidP="00572B14">
            <w:pPr>
              <w:pStyle w:val="Headingb"/>
              <w:rPr>
                <w:lang w:eastAsia="zh-CN"/>
              </w:rPr>
            </w:pPr>
            <w:r>
              <w:rPr>
                <w:rFonts w:hint="eastAsia"/>
                <w:lang w:val="fr-FR" w:eastAsia="zh-CN"/>
              </w:rPr>
              <w:t>概</w:t>
            </w:r>
            <w:r>
              <w:rPr>
                <w:rFonts w:hint="eastAsia"/>
                <w:lang w:eastAsia="zh-CN"/>
              </w:rPr>
              <w:t>要</w:t>
            </w:r>
          </w:p>
          <w:p w:rsidR="00572B14" w:rsidRPr="00830EE4" w:rsidRDefault="001623EE" w:rsidP="00EF688E">
            <w:pPr>
              <w:ind w:firstLineChars="200" w:firstLine="480"/>
              <w:rPr>
                <w:lang w:eastAsia="zh-CN"/>
              </w:rPr>
            </w:pPr>
            <w:bookmarkStart w:id="3" w:name="lt_pId019"/>
            <w:r>
              <w:rPr>
                <w:rFonts w:hint="eastAsia"/>
                <w:lang w:eastAsia="zh-CN"/>
              </w:rPr>
              <w:t>有关</w:t>
            </w:r>
            <w:r w:rsidR="00572B14" w:rsidRPr="00830EE4">
              <w:rPr>
                <w:lang w:eastAsia="zh-CN"/>
              </w:rPr>
              <w:t>EG-ITR</w:t>
            </w:r>
            <w:r>
              <w:rPr>
                <w:rFonts w:hint="eastAsia"/>
                <w:lang w:eastAsia="zh-CN"/>
              </w:rPr>
              <w:t>新</w:t>
            </w:r>
            <w:r w:rsidR="00E40D2D">
              <w:rPr>
                <w:rFonts w:hint="eastAsia"/>
                <w:lang w:eastAsia="zh-CN"/>
              </w:rPr>
              <w:t>的</w:t>
            </w:r>
            <w:r>
              <w:rPr>
                <w:rFonts w:hint="eastAsia"/>
                <w:lang w:eastAsia="zh-CN"/>
              </w:rPr>
              <w:t>职责范围的提案</w:t>
            </w:r>
            <w:bookmarkEnd w:id="3"/>
            <w:r w:rsidR="00EF688E">
              <w:rPr>
                <w:lang w:eastAsia="zh-CN"/>
              </w:rPr>
              <w:t>。</w:t>
            </w:r>
          </w:p>
          <w:p w:rsidR="00572B14" w:rsidRPr="00830EE4" w:rsidRDefault="00572B14" w:rsidP="005372E1">
            <w:pPr>
              <w:pStyle w:val="Headingb"/>
              <w:rPr>
                <w:lang w:eastAsia="zh-CN"/>
              </w:rPr>
            </w:pPr>
            <w:r>
              <w:rPr>
                <w:rFonts w:hint="eastAsia"/>
                <w:lang w:eastAsia="zh-CN"/>
              </w:rPr>
              <w:t>需采取的行动</w:t>
            </w:r>
          </w:p>
          <w:p w:rsidR="00572B14" w:rsidRPr="00830EE4" w:rsidRDefault="001623EE" w:rsidP="00EF688E">
            <w:pPr>
              <w:spacing w:after="120"/>
              <w:ind w:firstLineChars="200" w:firstLine="480"/>
              <w:rPr>
                <w:lang w:eastAsia="zh-CN"/>
              </w:rPr>
            </w:pPr>
            <w:r>
              <w:rPr>
                <w:rFonts w:hint="eastAsia"/>
                <w:lang w:eastAsia="zh-CN"/>
              </w:rPr>
              <w:t>待审议。</w:t>
            </w:r>
          </w:p>
          <w:p w:rsidR="00572B14" w:rsidRPr="00830EE4" w:rsidRDefault="00572B14" w:rsidP="005372E1">
            <w:pPr>
              <w:pStyle w:val="Table"/>
              <w:keepNext w:val="0"/>
              <w:spacing w:before="120"/>
              <w:rPr>
                <w:rFonts w:ascii="Calibri" w:hAnsi="Calibri"/>
                <w:caps w:val="0"/>
                <w:sz w:val="22"/>
                <w:lang w:eastAsia="zh-CN"/>
              </w:rPr>
            </w:pPr>
            <w:r w:rsidRPr="00830EE4">
              <w:rPr>
                <w:rFonts w:ascii="Calibri" w:hAnsi="Calibri"/>
                <w:caps w:val="0"/>
                <w:sz w:val="22"/>
                <w:lang w:eastAsia="zh-CN"/>
              </w:rPr>
              <w:t>____________</w:t>
            </w:r>
          </w:p>
          <w:p w:rsidR="00572B14" w:rsidRPr="00813E5E" w:rsidRDefault="00572B14" w:rsidP="005372E1">
            <w:pPr>
              <w:pStyle w:val="Headingb"/>
              <w:rPr>
                <w:i/>
                <w:iCs/>
              </w:rPr>
            </w:pPr>
            <w:r w:rsidRPr="00FC5386">
              <w:rPr>
                <w:rFonts w:hint="eastAsia"/>
                <w:lang w:eastAsia="zh-CN"/>
              </w:rPr>
              <w:t>参考文件</w:t>
            </w:r>
          </w:p>
        </w:tc>
      </w:tr>
    </w:tbl>
    <w:p w:rsidR="00572B14" w:rsidRDefault="001623EE" w:rsidP="00EF688E">
      <w:pPr>
        <w:spacing w:before="360"/>
        <w:ind w:firstLineChars="200" w:firstLine="480"/>
        <w:rPr>
          <w:lang w:eastAsia="zh-CN"/>
        </w:rPr>
      </w:pPr>
      <w:bookmarkStart w:id="4" w:name="dstart"/>
      <w:bookmarkStart w:id="5" w:name="dbreak"/>
      <w:bookmarkStart w:id="6" w:name="lt_pId024"/>
      <w:bookmarkEnd w:id="4"/>
      <w:bookmarkEnd w:id="5"/>
      <w:r>
        <w:rPr>
          <w:rFonts w:hint="eastAsia"/>
          <w:lang w:eastAsia="zh-CN"/>
        </w:rPr>
        <w:t>2018</w:t>
      </w:r>
      <w:r>
        <w:rPr>
          <w:rFonts w:hint="eastAsia"/>
          <w:lang w:eastAsia="zh-CN"/>
        </w:rPr>
        <w:t>年在迪拜举办的全权代表大会修订了第</w:t>
      </w:r>
      <w:r>
        <w:rPr>
          <w:rFonts w:hint="eastAsia"/>
          <w:lang w:eastAsia="zh-CN"/>
        </w:rPr>
        <w:t>146</w:t>
      </w:r>
      <w:r>
        <w:rPr>
          <w:rFonts w:hint="eastAsia"/>
          <w:lang w:eastAsia="zh-CN"/>
        </w:rPr>
        <w:t>号决议，以便以国际电联随后召开的第一次理事会通过的新的职责范围重新召集《国际</w:t>
      </w:r>
      <w:r>
        <w:rPr>
          <w:lang w:eastAsia="zh-CN"/>
        </w:rPr>
        <w:t>电信规则》</w:t>
      </w:r>
      <w:r>
        <w:rPr>
          <w:rFonts w:hint="eastAsia"/>
          <w:lang w:eastAsia="zh-CN"/>
        </w:rPr>
        <w:t>专家组</w:t>
      </w:r>
      <w:r>
        <w:rPr>
          <w:lang w:eastAsia="zh-CN"/>
        </w:rPr>
        <w:t>（</w:t>
      </w:r>
      <w:r>
        <w:rPr>
          <w:rFonts w:hint="eastAsia"/>
          <w:lang w:eastAsia="zh-CN"/>
        </w:rPr>
        <w:t>EG-ITR</w:t>
      </w:r>
      <w:r>
        <w:rPr>
          <w:lang w:eastAsia="zh-CN"/>
        </w:rPr>
        <w:t>）</w:t>
      </w:r>
      <w:r>
        <w:rPr>
          <w:rFonts w:hint="eastAsia"/>
          <w:lang w:eastAsia="zh-CN"/>
        </w:rPr>
        <w:t>的活动。</w:t>
      </w:r>
      <w:bookmarkEnd w:id="6"/>
    </w:p>
    <w:p w:rsidR="00572B14" w:rsidRDefault="001623EE" w:rsidP="00EF688E">
      <w:pPr>
        <w:ind w:firstLineChars="200" w:firstLine="480"/>
        <w:rPr>
          <w:lang w:eastAsia="zh-CN"/>
        </w:rPr>
      </w:pPr>
      <w:bookmarkStart w:id="7" w:name="lt_pId025"/>
      <w:r>
        <w:rPr>
          <w:rFonts w:hint="eastAsia"/>
          <w:lang w:eastAsia="zh-CN"/>
        </w:rPr>
        <w:t>可以看到，之前专家组的报告强调，未能在成员国之间达成协商一致，</w:t>
      </w:r>
      <w:r w:rsidR="00E40D2D">
        <w:rPr>
          <w:rFonts w:hint="eastAsia"/>
          <w:lang w:eastAsia="zh-CN"/>
        </w:rPr>
        <w:t>这种状况</w:t>
      </w:r>
      <w:r>
        <w:rPr>
          <w:rFonts w:hint="eastAsia"/>
          <w:lang w:eastAsia="zh-CN"/>
        </w:rPr>
        <w:t>主要是由于专家组因对职责范围的误解，使成员国无法就只能在全球层面解决的、由电信</w:t>
      </w:r>
      <w:r>
        <w:rPr>
          <w:rFonts w:hint="eastAsia"/>
          <w:lang w:eastAsia="zh-CN"/>
        </w:rPr>
        <w:t>/</w:t>
      </w:r>
      <w:r>
        <w:rPr>
          <w:lang w:eastAsia="zh-CN"/>
        </w:rPr>
        <w:t>ICT</w:t>
      </w:r>
      <w:r>
        <w:rPr>
          <w:rFonts w:hint="eastAsia"/>
          <w:lang w:eastAsia="zh-CN"/>
        </w:rPr>
        <w:t>新趋势带来的政策问题进行公开讨论。</w:t>
      </w:r>
      <w:bookmarkEnd w:id="7"/>
    </w:p>
    <w:p w:rsidR="00572B14" w:rsidRDefault="00FF773F" w:rsidP="00EF688E">
      <w:pPr>
        <w:ind w:firstLineChars="200" w:firstLine="480"/>
        <w:rPr>
          <w:lang w:eastAsia="zh-CN"/>
        </w:rPr>
      </w:pPr>
      <w:bookmarkStart w:id="8" w:name="lt_pId027"/>
      <w:r>
        <w:rPr>
          <w:rFonts w:hint="eastAsia"/>
          <w:lang w:eastAsia="zh-CN"/>
        </w:rPr>
        <w:t>我们坚信，有了清楚明了的职责范围，就可以围绕实质性问题开展讨论并解决各国，尤其是发展中国家担忧的有关在日新月异的电信</w:t>
      </w:r>
      <w:r>
        <w:rPr>
          <w:rFonts w:hint="eastAsia"/>
          <w:lang w:eastAsia="zh-CN"/>
        </w:rPr>
        <w:t>/ICT</w:t>
      </w:r>
      <w:r>
        <w:rPr>
          <w:rFonts w:hint="eastAsia"/>
          <w:lang w:eastAsia="zh-CN"/>
        </w:rPr>
        <w:t>环境中的</w:t>
      </w:r>
      <w:r>
        <w:rPr>
          <w:rFonts w:hint="eastAsia"/>
          <w:lang w:eastAsia="zh-CN"/>
        </w:rPr>
        <w:t>ITR</w:t>
      </w:r>
      <w:r>
        <w:rPr>
          <w:rFonts w:hint="eastAsia"/>
          <w:lang w:eastAsia="zh-CN"/>
        </w:rPr>
        <w:t>问题，因此，代表非洲集团建议将以下案文纳入</w:t>
      </w:r>
      <w:r>
        <w:rPr>
          <w:rFonts w:hint="eastAsia"/>
          <w:lang w:eastAsia="zh-CN"/>
        </w:rPr>
        <w:t>ITR</w:t>
      </w:r>
      <w:r>
        <w:rPr>
          <w:rFonts w:hint="eastAsia"/>
          <w:lang w:eastAsia="zh-CN"/>
        </w:rPr>
        <w:t>专家组的职责范围，以便为达成一致提供一次机会：</w:t>
      </w:r>
      <w:bookmarkEnd w:id="8"/>
    </w:p>
    <w:p w:rsidR="00572B14" w:rsidRPr="00E40D2D" w:rsidRDefault="0089745B" w:rsidP="00EF688E">
      <w:pPr>
        <w:spacing w:before="240"/>
        <w:ind w:firstLineChars="200" w:firstLine="482"/>
        <w:rPr>
          <w:b/>
          <w:bCs/>
          <w:lang w:eastAsia="zh-CN"/>
        </w:rPr>
      </w:pPr>
      <w:bookmarkStart w:id="9" w:name="lt_pId028"/>
      <w:r>
        <w:rPr>
          <w:rFonts w:hint="eastAsia"/>
          <w:b/>
          <w:bCs/>
          <w:lang w:eastAsia="zh-CN"/>
        </w:rPr>
        <w:t>“</w:t>
      </w:r>
      <w:r w:rsidRPr="00E40D2D">
        <w:rPr>
          <w:rFonts w:hint="eastAsia"/>
          <w:b/>
          <w:bCs/>
          <w:lang w:eastAsia="zh-CN"/>
        </w:rPr>
        <w:t>向所有成员国和部门成员开放并采用国际电联六种正式语文工作的《国际</w:t>
      </w:r>
      <w:r w:rsidRPr="00E40D2D">
        <w:rPr>
          <w:b/>
          <w:bCs/>
          <w:lang w:eastAsia="zh-CN"/>
        </w:rPr>
        <w:t>电信规则》</w:t>
      </w:r>
      <w:r w:rsidRPr="00E40D2D">
        <w:rPr>
          <w:rFonts w:hint="eastAsia"/>
          <w:b/>
          <w:bCs/>
          <w:lang w:eastAsia="zh-CN"/>
        </w:rPr>
        <w:t>专家组</w:t>
      </w:r>
      <w:r w:rsidRPr="00E40D2D">
        <w:rPr>
          <w:b/>
          <w:bCs/>
          <w:lang w:eastAsia="zh-CN"/>
        </w:rPr>
        <w:t>（</w:t>
      </w:r>
      <w:r w:rsidRPr="00E40D2D">
        <w:rPr>
          <w:rFonts w:hint="eastAsia"/>
          <w:b/>
          <w:bCs/>
          <w:lang w:eastAsia="zh-CN"/>
        </w:rPr>
        <w:t>EG-ITR</w:t>
      </w:r>
      <w:r w:rsidRPr="00E40D2D">
        <w:rPr>
          <w:b/>
          <w:bCs/>
          <w:lang w:eastAsia="zh-CN"/>
        </w:rPr>
        <w:t>）</w:t>
      </w:r>
      <w:bookmarkEnd w:id="9"/>
      <w:r w:rsidR="00FF773F" w:rsidRPr="00E40D2D">
        <w:rPr>
          <w:rFonts w:hint="eastAsia"/>
          <w:b/>
          <w:bCs/>
          <w:lang w:eastAsia="zh-CN"/>
        </w:rPr>
        <w:t>将：</w:t>
      </w:r>
    </w:p>
    <w:p w:rsidR="00572B14" w:rsidRPr="00EF688E" w:rsidRDefault="00EF688E" w:rsidP="00EF688E">
      <w:pPr>
        <w:pStyle w:val="enumlev1"/>
        <w:spacing w:before="120"/>
        <w:rPr>
          <w:b/>
          <w:bCs/>
          <w:highlight w:val="green"/>
          <w:lang w:eastAsia="zh-CN"/>
        </w:rPr>
      </w:pPr>
      <w:bookmarkStart w:id="10" w:name="lt_pId029"/>
      <w:r w:rsidRPr="00EF688E">
        <w:rPr>
          <w:rFonts w:hint="eastAsia"/>
          <w:b/>
          <w:bCs/>
          <w:lang w:eastAsia="zh-CN"/>
        </w:rPr>
        <w:t>1</w:t>
      </w:r>
      <w:r w:rsidRPr="00EF688E">
        <w:rPr>
          <w:b/>
          <w:bCs/>
          <w:lang w:eastAsia="zh-CN"/>
        </w:rPr>
        <w:t>)</w:t>
      </w:r>
      <w:r w:rsidRPr="00EF688E">
        <w:rPr>
          <w:b/>
          <w:bCs/>
          <w:lang w:eastAsia="zh-CN"/>
        </w:rPr>
        <w:tab/>
      </w:r>
      <w:r w:rsidRPr="00EF688E">
        <w:rPr>
          <w:rFonts w:hint="eastAsia"/>
          <w:b/>
          <w:bCs/>
          <w:lang w:eastAsia="zh-CN"/>
        </w:rPr>
        <w:t>审查</w:t>
      </w:r>
      <w:r w:rsidRPr="00EF688E">
        <w:rPr>
          <w:b/>
          <w:bCs/>
          <w:lang w:eastAsia="zh-CN"/>
        </w:rPr>
        <w:t>现有运营环境，并</w:t>
      </w:r>
      <w:r w:rsidRPr="00EF688E">
        <w:rPr>
          <w:rFonts w:hint="eastAsia"/>
          <w:b/>
          <w:bCs/>
          <w:lang w:eastAsia="zh-CN"/>
        </w:rPr>
        <w:t>确定</w:t>
      </w:r>
      <w:r w:rsidRPr="00EF688E">
        <w:rPr>
          <w:b/>
          <w:bCs/>
          <w:lang w:eastAsia="zh-CN"/>
        </w:rPr>
        <w:t>成员国在电信</w:t>
      </w:r>
      <w:r w:rsidRPr="00EF688E">
        <w:rPr>
          <w:b/>
          <w:bCs/>
          <w:lang w:eastAsia="zh-CN"/>
        </w:rPr>
        <w:t>/ICT</w:t>
      </w:r>
      <w:r w:rsidRPr="00EF688E">
        <w:rPr>
          <w:b/>
          <w:bCs/>
          <w:lang w:eastAsia="zh-CN"/>
        </w:rPr>
        <w:t>国际政策方面的关切，</w:t>
      </w:r>
      <w:r w:rsidRPr="00EF688E">
        <w:rPr>
          <w:rFonts w:hint="eastAsia"/>
          <w:b/>
          <w:bCs/>
          <w:lang w:eastAsia="zh-CN"/>
        </w:rPr>
        <w:t>同时考虑到：</w:t>
      </w:r>
      <w:bookmarkEnd w:id="10"/>
    </w:p>
    <w:p w:rsidR="00572B14" w:rsidRPr="00EF688E" w:rsidRDefault="00EF688E" w:rsidP="00EF688E">
      <w:pPr>
        <w:pStyle w:val="enumlev2"/>
        <w:spacing w:before="120"/>
        <w:rPr>
          <w:b/>
          <w:bCs/>
          <w:lang w:eastAsia="zh-CN"/>
        </w:rPr>
      </w:pPr>
      <w:bookmarkStart w:id="11" w:name="lt_pId030"/>
      <w:r w:rsidRPr="00EF688E">
        <w:rPr>
          <w:rFonts w:hint="eastAsia"/>
          <w:b/>
          <w:bCs/>
          <w:lang w:eastAsia="zh-CN"/>
        </w:rPr>
        <w:t>a</w:t>
      </w:r>
      <w:r w:rsidRPr="00EF688E">
        <w:rPr>
          <w:b/>
          <w:bCs/>
          <w:lang w:eastAsia="zh-CN"/>
        </w:rPr>
        <w:t>)</w:t>
      </w:r>
      <w:r w:rsidRPr="00EF688E">
        <w:rPr>
          <w:b/>
          <w:bCs/>
          <w:lang w:eastAsia="zh-CN"/>
        </w:rPr>
        <w:tab/>
      </w:r>
      <w:r w:rsidR="00FF773F" w:rsidRPr="00EF688E">
        <w:rPr>
          <w:rFonts w:hint="eastAsia"/>
          <w:b/>
          <w:bCs/>
          <w:lang w:eastAsia="zh-CN"/>
        </w:rPr>
        <w:t>在</w:t>
      </w:r>
      <w:r w:rsidR="00FF773F" w:rsidRPr="00EF688E">
        <w:rPr>
          <w:rFonts w:hint="eastAsia"/>
          <w:b/>
          <w:bCs/>
          <w:lang w:eastAsia="zh-CN"/>
        </w:rPr>
        <w:t>ITR</w:t>
      </w:r>
      <w:r w:rsidR="00FF773F" w:rsidRPr="00EF688E">
        <w:rPr>
          <w:rFonts w:hint="eastAsia"/>
          <w:b/>
          <w:bCs/>
          <w:lang w:eastAsia="zh-CN"/>
        </w:rPr>
        <w:t>制定</w:t>
      </w:r>
      <w:r w:rsidR="00E40D2D" w:rsidRPr="00EF688E">
        <w:rPr>
          <w:rFonts w:hint="eastAsia"/>
          <w:b/>
          <w:bCs/>
          <w:lang w:eastAsia="zh-CN"/>
        </w:rPr>
        <w:t>时尚不存在</w:t>
      </w:r>
      <w:r w:rsidR="00FF773F" w:rsidRPr="00EF688E">
        <w:rPr>
          <w:rFonts w:hint="eastAsia"/>
          <w:b/>
          <w:bCs/>
          <w:lang w:eastAsia="zh-CN"/>
        </w:rPr>
        <w:t>技术变</w:t>
      </w:r>
      <w:r w:rsidR="00E40D2D" w:rsidRPr="00EF688E">
        <w:rPr>
          <w:rFonts w:hint="eastAsia"/>
          <w:b/>
          <w:bCs/>
          <w:lang w:eastAsia="zh-CN"/>
        </w:rPr>
        <w:t>化</w:t>
      </w:r>
      <w:r w:rsidR="00FF773F" w:rsidRPr="00EF688E">
        <w:rPr>
          <w:rFonts w:hint="eastAsia"/>
          <w:b/>
          <w:bCs/>
          <w:lang w:eastAsia="zh-CN"/>
        </w:rPr>
        <w:t>、</w:t>
      </w:r>
      <w:r w:rsidR="00E40D2D" w:rsidRPr="00EF688E">
        <w:rPr>
          <w:rFonts w:hint="eastAsia"/>
          <w:b/>
          <w:bCs/>
          <w:lang w:eastAsia="zh-CN"/>
        </w:rPr>
        <w:t>正在出现的</w:t>
      </w:r>
      <w:r w:rsidR="00FF773F" w:rsidRPr="00EF688E">
        <w:rPr>
          <w:rFonts w:hint="eastAsia"/>
          <w:b/>
          <w:bCs/>
          <w:lang w:eastAsia="zh-CN"/>
        </w:rPr>
        <w:t>问题和新趋势以及未来的技术变化和趋势；</w:t>
      </w:r>
      <w:bookmarkEnd w:id="11"/>
    </w:p>
    <w:p w:rsidR="00572B14" w:rsidRPr="00EF688E" w:rsidRDefault="00EF688E" w:rsidP="00EF688E">
      <w:pPr>
        <w:pStyle w:val="enumlev2"/>
        <w:spacing w:before="120"/>
        <w:rPr>
          <w:b/>
          <w:bCs/>
          <w:lang w:eastAsia="zh-CN"/>
        </w:rPr>
      </w:pPr>
      <w:bookmarkStart w:id="12" w:name="lt_pId031"/>
      <w:r w:rsidRPr="00EF688E">
        <w:rPr>
          <w:rFonts w:hint="eastAsia"/>
          <w:b/>
          <w:bCs/>
          <w:lang w:eastAsia="zh-CN"/>
        </w:rPr>
        <w:t>b</w:t>
      </w:r>
      <w:r w:rsidRPr="00EF688E">
        <w:rPr>
          <w:b/>
          <w:bCs/>
          <w:lang w:eastAsia="zh-CN"/>
        </w:rPr>
        <w:t>)</w:t>
      </w:r>
      <w:r w:rsidRPr="00EF688E">
        <w:rPr>
          <w:b/>
          <w:bCs/>
          <w:lang w:eastAsia="zh-CN"/>
        </w:rPr>
        <w:tab/>
      </w:r>
      <w:r w:rsidR="00FF773F" w:rsidRPr="00EF688E">
        <w:rPr>
          <w:rFonts w:hint="eastAsia"/>
          <w:b/>
          <w:bCs/>
          <w:lang w:eastAsia="zh-CN"/>
        </w:rPr>
        <w:t>国际电联全权代表大会有关新问题和趋势的决议</w:t>
      </w:r>
      <w:r w:rsidR="0087569B" w:rsidRPr="00EF688E">
        <w:rPr>
          <w:rFonts w:hint="eastAsia"/>
          <w:b/>
          <w:bCs/>
          <w:lang w:eastAsia="zh-CN"/>
        </w:rPr>
        <w:t>。</w:t>
      </w:r>
      <w:bookmarkEnd w:id="12"/>
    </w:p>
    <w:p w:rsidR="00572B14" w:rsidRPr="00EF688E" w:rsidRDefault="00EF688E" w:rsidP="00EF688E">
      <w:pPr>
        <w:pStyle w:val="enumlev1"/>
        <w:spacing w:before="120"/>
        <w:rPr>
          <w:b/>
          <w:bCs/>
          <w:lang w:eastAsia="zh-CN"/>
        </w:rPr>
      </w:pPr>
      <w:bookmarkStart w:id="13" w:name="lt_pId032"/>
      <w:r w:rsidRPr="00EF688E">
        <w:rPr>
          <w:b/>
          <w:bCs/>
          <w:szCs w:val="24"/>
          <w:lang w:eastAsia="zh-CN"/>
        </w:rPr>
        <w:t>2</w:t>
      </w:r>
      <w:r w:rsidRPr="00EF688E">
        <w:rPr>
          <w:b/>
          <w:bCs/>
          <w:szCs w:val="24"/>
          <w:lang w:eastAsia="zh-CN"/>
        </w:rPr>
        <w:t>)</w:t>
      </w:r>
      <w:r w:rsidRPr="00EF688E">
        <w:rPr>
          <w:b/>
          <w:bCs/>
          <w:szCs w:val="24"/>
          <w:lang w:eastAsia="zh-CN"/>
        </w:rPr>
        <w:tab/>
      </w:r>
      <w:r w:rsidR="0087569B" w:rsidRPr="00EF688E">
        <w:rPr>
          <w:rFonts w:hint="eastAsia"/>
          <w:b/>
          <w:bCs/>
          <w:lang w:eastAsia="zh-CN"/>
        </w:rPr>
        <w:t>可纳入全面的</w:t>
      </w:r>
      <w:r w:rsidR="0087569B" w:rsidRPr="00EF688E">
        <w:rPr>
          <w:rFonts w:hint="eastAsia"/>
          <w:b/>
          <w:bCs/>
          <w:lang w:eastAsia="zh-CN"/>
        </w:rPr>
        <w:t>/</w:t>
      </w:r>
      <w:r w:rsidR="0087569B" w:rsidRPr="00EF688E">
        <w:rPr>
          <w:rFonts w:hint="eastAsia"/>
          <w:b/>
          <w:bCs/>
          <w:lang w:eastAsia="zh-CN"/>
        </w:rPr>
        <w:t>新</w:t>
      </w:r>
      <w:r w:rsidR="0087569B" w:rsidRPr="00EF688E">
        <w:rPr>
          <w:rFonts w:hint="eastAsia"/>
          <w:b/>
          <w:bCs/>
          <w:lang w:eastAsia="zh-CN"/>
        </w:rPr>
        <w:t>ITR</w:t>
      </w:r>
      <w:r w:rsidR="0087569B" w:rsidRPr="00EF688E">
        <w:rPr>
          <w:rFonts w:hint="eastAsia"/>
          <w:b/>
          <w:bCs/>
          <w:lang w:eastAsia="zh-CN"/>
        </w:rPr>
        <w:t>的建议提案</w:t>
      </w:r>
      <w:bookmarkEnd w:id="13"/>
      <w:r>
        <w:rPr>
          <w:b/>
          <w:bCs/>
          <w:lang w:eastAsia="zh-CN"/>
        </w:rPr>
        <w:t>；</w:t>
      </w:r>
    </w:p>
    <w:p w:rsidR="00572B14" w:rsidRPr="00EF688E" w:rsidRDefault="00EF688E" w:rsidP="00EF688E">
      <w:pPr>
        <w:pStyle w:val="enumlev1"/>
        <w:spacing w:before="120"/>
        <w:rPr>
          <w:b/>
          <w:bCs/>
          <w:lang w:eastAsia="zh-CN"/>
        </w:rPr>
      </w:pPr>
      <w:r w:rsidRPr="00EF688E">
        <w:rPr>
          <w:b/>
          <w:bCs/>
          <w:szCs w:val="24"/>
          <w:lang w:eastAsia="zh-CN"/>
        </w:rPr>
        <w:t>3</w:t>
      </w:r>
      <w:r w:rsidRPr="00EF688E">
        <w:rPr>
          <w:b/>
          <w:bCs/>
          <w:szCs w:val="24"/>
          <w:lang w:eastAsia="zh-CN"/>
        </w:rPr>
        <w:t>)</w:t>
      </w:r>
      <w:r w:rsidRPr="00EF688E">
        <w:rPr>
          <w:b/>
          <w:bCs/>
          <w:szCs w:val="24"/>
          <w:lang w:eastAsia="zh-CN"/>
        </w:rPr>
        <w:tab/>
      </w:r>
      <w:r w:rsidR="00CB2453" w:rsidRPr="00EF688E">
        <w:rPr>
          <w:rFonts w:hint="eastAsia"/>
          <w:b/>
          <w:bCs/>
          <w:szCs w:val="24"/>
          <w:lang w:eastAsia="zh-CN"/>
        </w:rPr>
        <w:t>酌情</w:t>
      </w:r>
      <w:r w:rsidR="00CB2453" w:rsidRPr="00EF688E">
        <w:rPr>
          <w:b/>
          <w:bCs/>
          <w:szCs w:val="24"/>
          <w:lang w:eastAsia="zh-CN"/>
        </w:rPr>
        <w:t>考虑在</w:t>
      </w:r>
      <w:r w:rsidR="00CB2453" w:rsidRPr="00EF688E">
        <w:rPr>
          <w:b/>
          <w:bCs/>
          <w:szCs w:val="24"/>
          <w:lang w:eastAsia="zh-CN"/>
        </w:rPr>
        <w:t>ITR</w:t>
      </w:r>
      <w:r w:rsidR="00CB2453" w:rsidRPr="00EF688E">
        <w:rPr>
          <w:b/>
          <w:bCs/>
          <w:szCs w:val="24"/>
          <w:lang w:eastAsia="zh-CN"/>
        </w:rPr>
        <w:t>审议进程开始前已进行过的有关</w:t>
      </w:r>
      <w:r w:rsidR="00CB2453" w:rsidRPr="00EF688E">
        <w:rPr>
          <w:b/>
          <w:bCs/>
          <w:szCs w:val="24"/>
          <w:lang w:eastAsia="zh-CN"/>
        </w:rPr>
        <w:t>ITR</w:t>
      </w:r>
      <w:r w:rsidR="00CB2453" w:rsidRPr="00EF688E">
        <w:rPr>
          <w:rFonts w:hint="eastAsia"/>
          <w:b/>
          <w:bCs/>
          <w:szCs w:val="24"/>
          <w:lang w:eastAsia="zh-CN"/>
        </w:rPr>
        <w:t>的</w:t>
      </w:r>
      <w:r w:rsidR="00CB2453" w:rsidRPr="00EF688E">
        <w:rPr>
          <w:b/>
          <w:bCs/>
          <w:szCs w:val="24"/>
          <w:lang w:eastAsia="zh-CN"/>
        </w:rPr>
        <w:t>工作；</w:t>
      </w:r>
    </w:p>
    <w:p w:rsidR="00572B14" w:rsidRPr="00EF688E" w:rsidRDefault="00EF688E" w:rsidP="00EF688E">
      <w:pPr>
        <w:pStyle w:val="enumlev1"/>
        <w:spacing w:before="120"/>
        <w:rPr>
          <w:b/>
          <w:bCs/>
          <w:lang w:eastAsia="zh-CN"/>
        </w:rPr>
      </w:pPr>
      <w:r w:rsidRPr="00EF688E">
        <w:rPr>
          <w:b/>
          <w:bCs/>
          <w:szCs w:val="24"/>
          <w:lang w:eastAsia="zh-CN"/>
        </w:rPr>
        <w:t>4</w:t>
      </w:r>
      <w:r w:rsidRPr="00EF688E">
        <w:rPr>
          <w:b/>
          <w:bCs/>
          <w:szCs w:val="24"/>
          <w:lang w:eastAsia="zh-CN"/>
        </w:rPr>
        <w:t>)</w:t>
      </w:r>
      <w:r w:rsidRPr="00EF688E">
        <w:rPr>
          <w:b/>
          <w:bCs/>
          <w:szCs w:val="24"/>
          <w:lang w:eastAsia="zh-CN"/>
        </w:rPr>
        <w:tab/>
      </w:r>
      <w:r w:rsidR="00CB2453" w:rsidRPr="00EF688E">
        <w:rPr>
          <w:rFonts w:hint="eastAsia"/>
          <w:b/>
          <w:bCs/>
          <w:szCs w:val="24"/>
          <w:lang w:eastAsia="zh-CN"/>
        </w:rPr>
        <w:t>审议</w:t>
      </w:r>
      <w:r w:rsidR="00CB2453" w:rsidRPr="00EF688E">
        <w:rPr>
          <w:b/>
          <w:bCs/>
          <w:szCs w:val="24"/>
          <w:lang w:eastAsia="zh-CN"/>
        </w:rPr>
        <w:t>提交</w:t>
      </w:r>
      <w:r w:rsidR="00E40D2D" w:rsidRPr="00EF688E">
        <w:rPr>
          <w:rFonts w:hint="eastAsia"/>
          <w:b/>
          <w:bCs/>
          <w:szCs w:val="24"/>
          <w:lang w:eastAsia="zh-CN"/>
        </w:rPr>
        <w:t>专家组</w:t>
      </w:r>
      <w:r w:rsidR="00CB2453" w:rsidRPr="00EF688E">
        <w:rPr>
          <w:b/>
          <w:bCs/>
          <w:szCs w:val="24"/>
          <w:lang w:eastAsia="zh-CN"/>
        </w:rPr>
        <w:t>的文稿并将</w:t>
      </w:r>
      <w:r w:rsidR="00CB2453" w:rsidRPr="00EF688E">
        <w:rPr>
          <w:rFonts w:hint="eastAsia"/>
          <w:b/>
          <w:bCs/>
          <w:szCs w:val="24"/>
          <w:lang w:eastAsia="zh-CN"/>
        </w:rPr>
        <w:t>供</w:t>
      </w:r>
      <w:r w:rsidR="00CB2453" w:rsidRPr="00EF688E">
        <w:rPr>
          <w:b/>
          <w:bCs/>
          <w:szCs w:val="24"/>
          <w:lang w:eastAsia="zh-CN"/>
        </w:rPr>
        <w:t>参考</w:t>
      </w:r>
      <w:r w:rsidR="00CB2453" w:rsidRPr="00EF688E">
        <w:rPr>
          <w:rFonts w:hint="eastAsia"/>
          <w:b/>
          <w:bCs/>
          <w:szCs w:val="24"/>
          <w:lang w:eastAsia="zh-CN"/>
        </w:rPr>
        <w:t>的</w:t>
      </w:r>
      <w:r w:rsidR="00CB2453" w:rsidRPr="00EF688E">
        <w:rPr>
          <w:b/>
          <w:bCs/>
          <w:szCs w:val="24"/>
          <w:lang w:eastAsia="zh-CN"/>
        </w:rPr>
        <w:t>文件记录</w:t>
      </w:r>
      <w:r w:rsidR="00CB2453" w:rsidRPr="00EF688E">
        <w:rPr>
          <w:rFonts w:hint="eastAsia"/>
          <w:b/>
          <w:bCs/>
          <w:szCs w:val="24"/>
          <w:lang w:eastAsia="zh-CN"/>
        </w:rPr>
        <w:t>在案</w:t>
      </w:r>
      <w:r w:rsidR="00CB2453" w:rsidRPr="00EF688E">
        <w:rPr>
          <w:b/>
          <w:bCs/>
          <w:szCs w:val="24"/>
          <w:lang w:eastAsia="zh-CN"/>
        </w:rPr>
        <w:t>，包括提交理事会</w:t>
      </w:r>
      <w:r w:rsidR="00CB2453" w:rsidRPr="00EF688E">
        <w:rPr>
          <w:rFonts w:hint="eastAsia"/>
          <w:b/>
          <w:bCs/>
          <w:szCs w:val="24"/>
          <w:lang w:eastAsia="zh-CN"/>
        </w:rPr>
        <w:t>2018</w:t>
      </w:r>
      <w:r w:rsidR="00CB2453" w:rsidRPr="00EF688E">
        <w:rPr>
          <w:rFonts w:hint="eastAsia"/>
          <w:b/>
          <w:bCs/>
          <w:szCs w:val="24"/>
          <w:lang w:eastAsia="zh-CN"/>
        </w:rPr>
        <w:t>年</w:t>
      </w:r>
      <w:r w:rsidR="00CB2453" w:rsidRPr="00EF688E">
        <w:rPr>
          <w:b/>
          <w:bCs/>
          <w:szCs w:val="24"/>
          <w:lang w:eastAsia="zh-CN"/>
        </w:rPr>
        <w:t>会议和</w:t>
      </w:r>
      <w:r w:rsidR="00CB2453" w:rsidRPr="00EF688E">
        <w:rPr>
          <w:b/>
          <w:bCs/>
          <w:szCs w:val="24"/>
          <w:lang w:eastAsia="zh-CN"/>
        </w:rPr>
        <w:t>PP-18</w:t>
      </w:r>
      <w:r w:rsidR="00CB2453" w:rsidRPr="00EF688E">
        <w:rPr>
          <w:rFonts w:hint="eastAsia"/>
          <w:b/>
          <w:bCs/>
          <w:szCs w:val="24"/>
          <w:lang w:eastAsia="zh-CN"/>
        </w:rPr>
        <w:t>的</w:t>
      </w:r>
      <w:r w:rsidR="00CB2453" w:rsidRPr="00EF688E">
        <w:rPr>
          <w:b/>
          <w:bCs/>
          <w:szCs w:val="24"/>
          <w:lang w:eastAsia="zh-CN"/>
        </w:rPr>
        <w:t>文稿；</w:t>
      </w:r>
    </w:p>
    <w:p w:rsidR="00572B14" w:rsidRPr="00EF688E" w:rsidRDefault="00EF688E" w:rsidP="00EF688E">
      <w:pPr>
        <w:pStyle w:val="enumlev1"/>
        <w:spacing w:before="120"/>
        <w:rPr>
          <w:b/>
          <w:bCs/>
          <w:lang w:eastAsia="zh-CN"/>
        </w:rPr>
      </w:pPr>
      <w:r w:rsidRPr="00EF688E">
        <w:rPr>
          <w:b/>
          <w:bCs/>
          <w:szCs w:val="24"/>
          <w:lang w:eastAsia="zh-CN"/>
        </w:rPr>
        <w:t>5</w:t>
      </w:r>
      <w:r w:rsidRPr="00EF688E">
        <w:rPr>
          <w:b/>
          <w:bCs/>
          <w:szCs w:val="24"/>
          <w:lang w:eastAsia="zh-CN"/>
        </w:rPr>
        <w:t>)</w:t>
      </w:r>
      <w:r w:rsidRPr="00EF688E">
        <w:rPr>
          <w:b/>
          <w:bCs/>
          <w:szCs w:val="24"/>
          <w:lang w:eastAsia="zh-CN"/>
        </w:rPr>
        <w:tab/>
      </w:r>
      <w:r w:rsidR="00CB2453" w:rsidRPr="00EF688E">
        <w:rPr>
          <w:rFonts w:hint="eastAsia"/>
          <w:b/>
          <w:bCs/>
          <w:szCs w:val="24"/>
          <w:lang w:eastAsia="zh-CN"/>
        </w:rPr>
        <w:t>提供</w:t>
      </w:r>
      <w:r w:rsidR="00CB2453" w:rsidRPr="00EF688E">
        <w:rPr>
          <w:b/>
          <w:bCs/>
          <w:szCs w:val="24"/>
          <w:lang w:eastAsia="zh-CN"/>
        </w:rPr>
        <w:t>一份有关各项讨论成果的报告</w:t>
      </w:r>
      <w:r w:rsidR="00CB2453" w:rsidRPr="00EF688E">
        <w:rPr>
          <w:rFonts w:hint="eastAsia"/>
          <w:b/>
          <w:bCs/>
          <w:szCs w:val="24"/>
          <w:lang w:eastAsia="zh-CN"/>
        </w:rPr>
        <w:t>，</w:t>
      </w:r>
      <w:r w:rsidR="00CB2453" w:rsidRPr="00EF688E">
        <w:rPr>
          <w:b/>
          <w:bCs/>
          <w:szCs w:val="24"/>
          <w:lang w:eastAsia="zh-CN"/>
        </w:rPr>
        <w:t>包括对相关趋势和正在出现问题的讨论；</w:t>
      </w:r>
    </w:p>
    <w:p w:rsidR="00572B14" w:rsidRPr="00EF688E" w:rsidRDefault="00EF688E" w:rsidP="00EF688E">
      <w:pPr>
        <w:pStyle w:val="enumlev1"/>
        <w:spacing w:before="120"/>
        <w:rPr>
          <w:b/>
          <w:bCs/>
          <w:lang w:eastAsia="zh-CN"/>
        </w:rPr>
      </w:pPr>
      <w:bookmarkStart w:id="14" w:name="lt_pId036"/>
      <w:r w:rsidRPr="00EF688E">
        <w:rPr>
          <w:b/>
          <w:bCs/>
          <w:szCs w:val="24"/>
          <w:lang w:eastAsia="zh-CN"/>
        </w:rPr>
        <w:t>6</w:t>
      </w:r>
      <w:r w:rsidRPr="00EF688E">
        <w:rPr>
          <w:b/>
          <w:bCs/>
          <w:szCs w:val="24"/>
          <w:lang w:eastAsia="zh-CN"/>
        </w:rPr>
        <w:t>)</w:t>
      </w:r>
      <w:r w:rsidRPr="00EF688E">
        <w:rPr>
          <w:b/>
          <w:bCs/>
          <w:szCs w:val="24"/>
          <w:lang w:eastAsia="zh-CN"/>
        </w:rPr>
        <w:tab/>
      </w:r>
      <w:r w:rsidR="0087569B" w:rsidRPr="00EF688E">
        <w:rPr>
          <w:rFonts w:hint="eastAsia"/>
          <w:b/>
          <w:bCs/>
          <w:lang w:eastAsia="zh-CN"/>
        </w:rPr>
        <w:t>拟定酌情修改《组织法》和《公约》所需案文草案建议</w:t>
      </w:r>
      <w:bookmarkEnd w:id="14"/>
      <w:r w:rsidRPr="00EF688E">
        <w:rPr>
          <w:rFonts w:hint="eastAsia"/>
          <w:b/>
          <w:bCs/>
          <w:lang w:eastAsia="zh-CN"/>
        </w:rPr>
        <w:t>。</w:t>
      </w:r>
      <w:r w:rsidR="0089745B">
        <w:rPr>
          <w:rFonts w:hint="eastAsia"/>
          <w:b/>
          <w:bCs/>
          <w:lang w:eastAsia="zh-CN"/>
        </w:rPr>
        <w:t>”</w:t>
      </w:r>
      <w:bookmarkStart w:id="15" w:name="_GoBack"/>
      <w:bookmarkEnd w:id="15"/>
    </w:p>
    <w:p w:rsidR="00CB2453" w:rsidRPr="00E40D2D" w:rsidRDefault="00CB2453" w:rsidP="00411C49">
      <w:pPr>
        <w:pStyle w:val="Reasons"/>
        <w:rPr>
          <w:b/>
          <w:bCs/>
          <w:lang w:eastAsia="zh-CN"/>
        </w:rPr>
      </w:pPr>
    </w:p>
    <w:p w:rsidR="00195FED" w:rsidRDefault="00CB2453" w:rsidP="0087569B">
      <w:pPr>
        <w:jc w:val="center"/>
        <w:rPr>
          <w:lang w:eastAsia="zh-CN"/>
        </w:rPr>
      </w:pPr>
      <w:r>
        <w:t>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3A" w:rsidRDefault="0067553A">
      <w:r>
        <w:separator/>
      </w:r>
    </w:p>
  </w:endnote>
  <w:endnote w:type="continuationSeparator" w:id="0">
    <w:p w:rsidR="0067553A" w:rsidRDefault="0067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89745B" w:rsidP="00CB2453">
    <w:pPr>
      <w:pStyle w:val="Footer"/>
    </w:pPr>
    <w:r>
      <w:fldChar w:fldCharType="begin"/>
    </w:r>
    <w:r>
      <w:instrText xml:space="preserve"> FILENAME \p  \* MERGEFORMAT </w:instrText>
    </w:r>
    <w:r>
      <w:fldChar w:fldCharType="separate"/>
    </w:r>
    <w:r w:rsidR="00EF688E">
      <w:t>P:\CHI\SG\CONSEIL\C19\000\089C.docx</w:t>
    </w:r>
    <w:r>
      <w:fldChar w:fldCharType="end"/>
    </w:r>
    <w:r w:rsidR="004E4BFF">
      <w:t xml:space="preserve"> (</w:t>
    </w:r>
    <w:r w:rsidR="001D63C0">
      <w:t>45</w:t>
    </w:r>
    <w:r w:rsidR="006260F1">
      <w:t>6</w:t>
    </w:r>
    <w:r w:rsidR="00CB2453">
      <w:t>062</w:t>
    </w:r>
    <w:r w:rsidR="004E4BFF">
      <w:t>)</w:t>
    </w:r>
    <w:r w:rsidR="004E4BF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89745B" w:rsidRPr="0089745B" w:rsidRDefault="0089745B" w:rsidP="0089745B">
    <w:pPr>
      <w:pStyle w:val="Footer"/>
    </w:pPr>
    <w:r>
      <w:fldChar w:fldCharType="begin"/>
    </w:r>
    <w:r w:rsidRPr="0089745B">
      <w:instrText xml:space="preserve"> FILENAME \p  \* MERGEFORMAT </w:instrText>
    </w:r>
    <w:r>
      <w:fldChar w:fldCharType="separate"/>
    </w:r>
    <w:r w:rsidRPr="0089745B">
      <w:t>P:\CHI\SG\CONSEIL\C19\000\089C.docx</w:t>
    </w:r>
    <w:r>
      <w:fldChar w:fldCharType="end"/>
    </w:r>
    <w:r w:rsidRPr="0089745B">
      <w:t xml:space="preserve"> (456062)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3A" w:rsidRDefault="0067553A">
      <w:r>
        <w:t>____________________</w:t>
      </w:r>
    </w:p>
  </w:footnote>
  <w:footnote w:type="continuationSeparator" w:id="0">
    <w:p w:rsidR="0067553A" w:rsidRDefault="00675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89745B">
      <w:rPr>
        <w:noProof/>
      </w:rPr>
      <w:t>2</w:t>
    </w:r>
    <w:r>
      <w:rPr>
        <w:noProof/>
      </w:rPr>
      <w:fldChar w:fldCharType="end"/>
    </w:r>
  </w:p>
  <w:p w:rsidR="00AC516F" w:rsidRDefault="0098459B" w:rsidP="006C4577">
    <w:pPr>
      <w:pStyle w:val="Header"/>
      <w:rPr>
        <w:lang w:eastAsia="zh-CN"/>
      </w:rPr>
    </w:pPr>
    <w:r>
      <w:t>C1</w:t>
    </w:r>
    <w:r w:rsidR="00D453EE">
      <w:rPr>
        <w:lang w:eastAsia="zh-CN"/>
      </w:rPr>
      <w:t>9</w:t>
    </w:r>
    <w:r w:rsidR="004672E6">
      <w:t>/</w:t>
    </w:r>
    <w:r w:rsidR="006260F1">
      <w:rPr>
        <w:lang w:eastAsia="zh-CN"/>
      </w:rPr>
      <w:t>8</w:t>
    </w:r>
    <w:r w:rsidR="006C4577">
      <w:rPr>
        <w:lang w:eastAsia="zh-CN"/>
      </w:rPr>
      <w:t>9</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77B58"/>
    <w:multiLevelType w:val="hybridMultilevel"/>
    <w:tmpl w:val="1EB68358"/>
    <w:lvl w:ilvl="0" w:tplc="85ACB242">
      <w:start w:val="1"/>
      <w:numFmt w:val="decimal"/>
      <w:lvlText w:val="%1)"/>
      <w:lvlJc w:val="left"/>
      <w:pPr>
        <w:ind w:left="571" w:hanging="571"/>
      </w:pPr>
    </w:lvl>
    <w:lvl w:ilvl="1" w:tplc="236A1600">
      <w:start w:val="1"/>
      <w:numFmt w:val="lowerLetter"/>
      <w:lvlText w:val="%2."/>
      <w:lvlJc w:val="left"/>
      <w:pPr>
        <w:ind w:left="1080" w:hanging="360"/>
      </w:pPr>
    </w:lvl>
    <w:lvl w:ilvl="2" w:tplc="5746999E">
      <w:start w:val="1"/>
      <w:numFmt w:val="lowerRoman"/>
      <w:lvlText w:val="%3."/>
      <w:lvlJc w:val="right"/>
      <w:pPr>
        <w:ind w:left="1800" w:hanging="180"/>
      </w:pPr>
    </w:lvl>
    <w:lvl w:ilvl="3" w:tplc="C4A808F4">
      <w:start w:val="1"/>
      <w:numFmt w:val="decimal"/>
      <w:lvlText w:val="%4."/>
      <w:lvlJc w:val="left"/>
      <w:pPr>
        <w:ind w:left="2520" w:hanging="360"/>
      </w:pPr>
    </w:lvl>
    <w:lvl w:ilvl="4" w:tplc="C5C22206">
      <w:start w:val="1"/>
      <w:numFmt w:val="lowerLetter"/>
      <w:lvlText w:val="%5."/>
      <w:lvlJc w:val="left"/>
      <w:pPr>
        <w:ind w:left="3240" w:hanging="360"/>
      </w:pPr>
    </w:lvl>
    <w:lvl w:ilvl="5" w:tplc="85B26C44">
      <w:start w:val="1"/>
      <w:numFmt w:val="lowerRoman"/>
      <w:lvlText w:val="%6."/>
      <w:lvlJc w:val="right"/>
      <w:pPr>
        <w:ind w:left="3960" w:hanging="180"/>
      </w:pPr>
    </w:lvl>
    <w:lvl w:ilvl="6" w:tplc="D8BC43FE">
      <w:start w:val="1"/>
      <w:numFmt w:val="decimal"/>
      <w:lvlText w:val="%7."/>
      <w:lvlJc w:val="left"/>
      <w:pPr>
        <w:ind w:left="4680" w:hanging="360"/>
      </w:pPr>
    </w:lvl>
    <w:lvl w:ilvl="7" w:tplc="F8CC36D4">
      <w:start w:val="1"/>
      <w:numFmt w:val="lowerLetter"/>
      <w:lvlText w:val="%8."/>
      <w:lvlJc w:val="left"/>
      <w:pPr>
        <w:ind w:left="5400" w:hanging="360"/>
      </w:pPr>
    </w:lvl>
    <w:lvl w:ilvl="8" w:tplc="EAFA11A4">
      <w:start w:val="1"/>
      <w:numFmt w:val="lowerRoman"/>
      <w:lvlText w:val="%9."/>
      <w:lvlJc w:val="right"/>
      <w:pPr>
        <w:ind w:left="6120" w:hanging="180"/>
      </w:pPr>
    </w:lvl>
  </w:abstractNum>
  <w:abstractNum w:abstractNumId="2" w15:restartNumberingAfterBreak="0">
    <w:nsid w:val="08C34EBB"/>
    <w:multiLevelType w:val="hybridMultilevel"/>
    <w:tmpl w:val="472A9986"/>
    <w:lvl w:ilvl="0" w:tplc="85ACB242">
      <w:start w:val="1"/>
      <w:numFmt w:val="decimal"/>
      <w:lvlText w:val="%1)"/>
      <w:lvlJc w:val="left"/>
      <w:pPr>
        <w:ind w:left="571" w:hanging="571"/>
      </w:pPr>
    </w:lvl>
    <w:lvl w:ilvl="1" w:tplc="08090001">
      <w:start w:val="1"/>
      <w:numFmt w:val="bullet"/>
      <w:lvlText w:val=""/>
      <w:lvlJc w:val="left"/>
      <w:pPr>
        <w:ind w:left="1080" w:hanging="360"/>
      </w:pPr>
      <w:rPr>
        <w:rFonts w:ascii="Symbol" w:hAnsi="Symbol" w:hint="default"/>
      </w:rPr>
    </w:lvl>
    <w:lvl w:ilvl="2" w:tplc="5746999E">
      <w:start w:val="1"/>
      <w:numFmt w:val="lowerRoman"/>
      <w:lvlText w:val="%3."/>
      <w:lvlJc w:val="right"/>
      <w:pPr>
        <w:ind w:left="1800" w:hanging="180"/>
      </w:pPr>
    </w:lvl>
    <w:lvl w:ilvl="3" w:tplc="C4A808F4">
      <w:start w:val="1"/>
      <w:numFmt w:val="decimal"/>
      <w:lvlText w:val="%4."/>
      <w:lvlJc w:val="left"/>
      <w:pPr>
        <w:ind w:left="2520" w:hanging="360"/>
      </w:pPr>
    </w:lvl>
    <w:lvl w:ilvl="4" w:tplc="C5C22206">
      <w:start w:val="1"/>
      <w:numFmt w:val="lowerLetter"/>
      <w:lvlText w:val="%5."/>
      <w:lvlJc w:val="left"/>
      <w:pPr>
        <w:ind w:left="3240" w:hanging="360"/>
      </w:pPr>
    </w:lvl>
    <w:lvl w:ilvl="5" w:tplc="85B26C44">
      <w:start w:val="1"/>
      <w:numFmt w:val="lowerRoman"/>
      <w:lvlText w:val="%6."/>
      <w:lvlJc w:val="right"/>
      <w:pPr>
        <w:ind w:left="3960" w:hanging="180"/>
      </w:pPr>
    </w:lvl>
    <w:lvl w:ilvl="6" w:tplc="D8BC43FE">
      <w:start w:val="1"/>
      <w:numFmt w:val="decimal"/>
      <w:lvlText w:val="%7."/>
      <w:lvlJc w:val="left"/>
      <w:pPr>
        <w:ind w:left="4680" w:hanging="360"/>
      </w:pPr>
    </w:lvl>
    <w:lvl w:ilvl="7" w:tplc="F8CC36D4">
      <w:start w:val="1"/>
      <w:numFmt w:val="lowerLetter"/>
      <w:lvlText w:val="%8."/>
      <w:lvlJc w:val="left"/>
      <w:pPr>
        <w:ind w:left="5400" w:hanging="360"/>
      </w:pPr>
    </w:lvl>
    <w:lvl w:ilvl="8" w:tplc="EAFA11A4">
      <w:start w:val="1"/>
      <w:numFmt w:val="lowerRoman"/>
      <w:lvlText w:val="%9."/>
      <w:lvlJc w:val="right"/>
      <w:pPr>
        <w:ind w:left="6120" w:hanging="180"/>
      </w:pPr>
    </w:lvl>
  </w:abstractNum>
  <w:abstractNum w:abstractNumId="3" w15:restartNumberingAfterBreak="0">
    <w:nsid w:val="10A52B06"/>
    <w:multiLevelType w:val="hybridMultilevel"/>
    <w:tmpl w:val="BFF21722"/>
    <w:lvl w:ilvl="0" w:tplc="D044482A">
      <w:start w:val="1"/>
      <w:numFmt w:val="lowerLetter"/>
      <w:lvlText w:val="%1)"/>
      <w:lvlJc w:val="left"/>
      <w:pPr>
        <w:ind w:left="570" w:hanging="57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31EC3"/>
    <w:multiLevelType w:val="hybridMultilevel"/>
    <w:tmpl w:val="A930FF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EF56A0"/>
    <w:multiLevelType w:val="hybridMultilevel"/>
    <w:tmpl w:val="1D525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8"/>
  </w:num>
  <w:num w:numId="5">
    <w:abstractNumId w:val="11"/>
  </w:num>
  <w:num w:numId="6">
    <w:abstractNumId w:val="10"/>
  </w:num>
  <w:num w:numId="7">
    <w:abstractNumId w:val="4"/>
  </w:num>
  <w:num w:numId="8">
    <w:abstractNumId w:val="9"/>
  </w:num>
  <w:num w:numId="9">
    <w:abstractNumId w:val="5"/>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3A"/>
    <w:rsid w:val="00001B77"/>
    <w:rsid w:val="0000517A"/>
    <w:rsid w:val="00031E72"/>
    <w:rsid w:val="000324AA"/>
    <w:rsid w:val="000404D2"/>
    <w:rsid w:val="000853C0"/>
    <w:rsid w:val="000A1C21"/>
    <w:rsid w:val="000D15EA"/>
    <w:rsid w:val="00100D84"/>
    <w:rsid w:val="00124C9D"/>
    <w:rsid w:val="00157773"/>
    <w:rsid w:val="001623EE"/>
    <w:rsid w:val="001638A2"/>
    <w:rsid w:val="0016774D"/>
    <w:rsid w:val="0018251A"/>
    <w:rsid w:val="00190272"/>
    <w:rsid w:val="00193244"/>
    <w:rsid w:val="00195C6C"/>
    <w:rsid w:val="00195FED"/>
    <w:rsid w:val="001A4BD6"/>
    <w:rsid w:val="001D5A18"/>
    <w:rsid w:val="001D63C0"/>
    <w:rsid w:val="002167CE"/>
    <w:rsid w:val="002604AA"/>
    <w:rsid w:val="00280EB8"/>
    <w:rsid w:val="002A6670"/>
    <w:rsid w:val="002C0AFD"/>
    <w:rsid w:val="00303502"/>
    <w:rsid w:val="00325C25"/>
    <w:rsid w:val="00336014"/>
    <w:rsid w:val="00372C8F"/>
    <w:rsid w:val="00380ECE"/>
    <w:rsid w:val="00393DDF"/>
    <w:rsid w:val="00397F55"/>
    <w:rsid w:val="003B4454"/>
    <w:rsid w:val="003C2E37"/>
    <w:rsid w:val="003F1415"/>
    <w:rsid w:val="0040144C"/>
    <w:rsid w:val="00403EB7"/>
    <w:rsid w:val="004048D6"/>
    <w:rsid w:val="00430BF0"/>
    <w:rsid w:val="0046616B"/>
    <w:rsid w:val="004672E6"/>
    <w:rsid w:val="00474ED1"/>
    <w:rsid w:val="00493085"/>
    <w:rsid w:val="004A36EC"/>
    <w:rsid w:val="004D163F"/>
    <w:rsid w:val="004E4BFF"/>
    <w:rsid w:val="004F2598"/>
    <w:rsid w:val="005403F7"/>
    <w:rsid w:val="00540632"/>
    <w:rsid w:val="00541CF4"/>
    <w:rsid w:val="005451E8"/>
    <w:rsid w:val="005507F2"/>
    <w:rsid w:val="00572B14"/>
    <w:rsid w:val="005759CC"/>
    <w:rsid w:val="005A72E1"/>
    <w:rsid w:val="005C6632"/>
    <w:rsid w:val="005D1C9E"/>
    <w:rsid w:val="006260F1"/>
    <w:rsid w:val="00654257"/>
    <w:rsid w:val="0065435A"/>
    <w:rsid w:val="0067553A"/>
    <w:rsid w:val="006A2DD3"/>
    <w:rsid w:val="006A5AF8"/>
    <w:rsid w:val="006C36CD"/>
    <w:rsid w:val="006C4577"/>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7569B"/>
    <w:rsid w:val="00890AFB"/>
    <w:rsid w:val="00890FC4"/>
    <w:rsid w:val="00895905"/>
    <w:rsid w:val="0089745B"/>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051C"/>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2A1D"/>
    <w:rsid w:val="00C85F7E"/>
    <w:rsid w:val="00C90D53"/>
    <w:rsid w:val="00CB2453"/>
    <w:rsid w:val="00CD47F0"/>
    <w:rsid w:val="00CD5566"/>
    <w:rsid w:val="00CD64D7"/>
    <w:rsid w:val="00CE6F22"/>
    <w:rsid w:val="00CF41F6"/>
    <w:rsid w:val="00CF7D3E"/>
    <w:rsid w:val="00D02B4E"/>
    <w:rsid w:val="00D21F11"/>
    <w:rsid w:val="00D24569"/>
    <w:rsid w:val="00D36817"/>
    <w:rsid w:val="00D453EE"/>
    <w:rsid w:val="00D5666C"/>
    <w:rsid w:val="00D666BC"/>
    <w:rsid w:val="00D83542"/>
    <w:rsid w:val="00D851B9"/>
    <w:rsid w:val="00D92F45"/>
    <w:rsid w:val="00D94637"/>
    <w:rsid w:val="00D9725C"/>
    <w:rsid w:val="00DA7006"/>
    <w:rsid w:val="00DC6427"/>
    <w:rsid w:val="00DD66A1"/>
    <w:rsid w:val="00DE196D"/>
    <w:rsid w:val="00DF6B49"/>
    <w:rsid w:val="00E067C5"/>
    <w:rsid w:val="00E265BF"/>
    <w:rsid w:val="00E378D8"/>
    <w:rsid w:val="00E40D2D"/>
    <w:rsid w:val="00E43A12"/>
    <w:rsid w:val="00E67C67"/>
    <w:rsid w:val="00E77476"/>
    <w:rsid w:val="00E8228B"/>
    <w:rsid w:val="00EE5706"/>
    <w:rsid w:val="00EF373D"/>
    <w:rsid w:val="00EF688E"/>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F77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7CC116F-B23F-4072-BEC0-92379D45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uiPriority w:val="99"/>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uiPriority w:val="99"/>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uiPriority w:val="99"/>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uiPriority w:val="99"/>
    <w:locked/>
    <w:rsid w:val="00CD5566"/>
    <w:rPr>
      <w:rFonts w:ascii="Calibri" w:hAnsi="Calibri"/>
      <w:sz w:val="24"/>
      <w:lang w:val="en-GB" w:eastAsia="en-US"/>
    </w:rPr>
  </w:style>
  <w:style w:type="character" w:customStyle="1" w:styleId="CallChar">
    <w:name w:val="Call Char"/>
    <w:basedOn w:val="DefaultParagraphFont"/>
    <w:link w:val="Call"/>
    <w:uiPriority w:val="99"/>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1D63C0"/>
    <w:pPr>
      <w:keepNext/>
      <w:overflowPunct/>
      <w:autoSpaceDE/>
      <w:autoSpaceDN/>
      <w:adjustRightInd/>
      <w:spacing w:before="560" w:after="120"/>
      <w:jc w:val="center"/>
      <w:textAlignment w:val="auto"/>
    </w:pPr>
    <w:rPr>
      <w:rFonts w:ascii="Times New Roman" w:hAnsi="Times New Roman"/>
      <w:caps/>
    </w:rPr>
  </w:style>
  <w:style w:type="character" w:customStyle="1" w:styleId="RestitleChar">
    <w:name w:val="Res_title Char"/>
    <w:basedOn w:val="DefaultParagraphFont"/>
    <w:link w:val="Restitle"/>
    <w:uiPriority w:val="99"/>
    <w:locked/>
    <w:rsid w:val="006260F1"/>
    <w:rPr>
      <w:rFonts w:ascii="Calibri" w:hAnsi="Calibri"/>
      <w:b/>
      <w:sz w:val="28"/>
      <w:lang w:val="en-GB" w:eastAsia="en-US"/>
    </w:rPr>
  </w:style>
  <w:style w:type="character" w:customStyle="1" w:styleId="enumlev1Char">
    <w:name w:val="enumlev1 Char"/>
    <w:basedOn w:val="DefaultParagraphFont"/>
    <w:link w:val="enumlev1"/>
    <w:locked/>
    <w:rsid w:val="006260F1"/>
    <w:rPr>
      <w:rFonts w:ascii="Calibri" w:hAnsi="Calibri"/>
      <w:sz w:val="24"/>
      <w:lang w:val="en-GB" w:eastAsia="en-US"/>
    </w:rPr>
  </w:style>
  <w:style w:type="character" w:customStyle="1" w:styleId="enumlev2Char">
    <w:name w:val="enumlev2 Char"/>
    <w:basedOn w:val="enumlev1Char"/>
    <w:link w:val="enumlev2"/>
    <w:locked/>
    <w:rsid w:val="006260F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279D-43B1-464E-B737-8C5FFC71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12</TotalTime>
  <Pages>2</Pages>
  <Words>723</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Kong, Hongli</cp:lastModifiedBy>
  <cp:revision>3</cp:revision>
  <cp:lastPrinted>2015-02-24T13:23:00Z</cp:lastPrinted>
  <dcterms:created xsi:type="dcterms:W3CDTF">2019-05-30T09:28:00Z</dcterms:created>
  <dcterms:modified xsi:type="dcterms:W3CDTF">2019-05-30T09:41:00Z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