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Ind w:w="-115" w:type="dxa"/>
        <w:tblLayout w:type="fixed"/>
        <w:tblLook w:val="0000" w:firstRow="0" w:lastRow="0" w:firstColumn="0" w:lastColumn="0" w:noHBand="0" w:noVBand="0"/>
      </w:tblPr>
      <w:tblGrid>
        <w:gridCol w:w="6487"/>
        <w:gridCol w:w="3544"/>
      </w:tblGrid>
      <w:tr w:rsidR="0027519D">
        <w:tc>
          <w:tcPr>
            <w:tcW w:w="6487" w:type="dxa"/>
          </w:tcPr>
          <w:p w:rsidR="0027519D" w:rsidRDefault="00BD329C" w:rsidP="00BD329C">
            <w:pPr>
              <w:pStyle w:val="Standaard1"/>
              <w:spacing w:before="360" w:after="48" w:line="240" w:lineRule="atLeast"/>
            </w:pPr>
            <w:bookmarkStart w:id="0" w:name="dc06"/>
            <w:bookmarkStart w:id="1" w:name="_GoBack"/>
            <w:bookmarkEnd w:id="0"/>
            <w:bookmarkEnd w:id="1"/>
            <w:r w:rsidRPr="00E85629">
              <w:rPr>
                <w:b/>
                <w:bCs/>
                <w:position w:val="6"/>
                <w:sz w:val="30"/>
                <w:szCs w:val="30"/>
                <w:lang w:val="fr-CH"/>
              </w:rPr>
              <w:t>Council 201</w:t>
            </w:r>
            <w:r>
              <w:rPr>
                <w:b/>
                <w:bCs/>
                <w:position w:val="6"/>
                <w:sz w:val="30"/>
                <w:szCs w:val="30"/>
                <w:lang w:val="fr-CH"/>
              </w:rPr>
              <w:t>9</w:t>
            </w:r>
            <w:r w:rsidRPr="00E85629">
              <w:rPr>
                <w:rFonts w:cs="Times"/>
                <w:b/>
                <w:position w:val="6"/>
                <w:sz w:val="26"/>
                <w:szCs w:val="26"/>
                <w:lang w:val="en-US"/>
              </w:rPr>
              <w:br/>
            </w:r>
            <w:r w:rsidRPr="00E85629">
              <w:rPr>
                <w:b/>
                <w:bCs/>
                <w:position w:val="6"/>
                <w:lang w:val="fr-CH"/>
              </w:rPr>
              <w:t xml:space="preserve">Geneva, </w:t>
            </w:r>
            <w:r>
              <w:rPr>
                <w:b/>
                <w:bCs/>
                <w:position w:val="6"/>
                <w:lang w:val="fr-CH"/>
              </w:rPr>
              <w:t xml:space="preserve">10-20 </w:t>
            </w:r>
            <w:proofErr w:type="spellStart"/>
            <w:r>
              <w:rPr>
                <w:b/>
                <w:bCs/>
                <w:position w:val="6"/>
                <w:lang w:val="fr-CH"/>
              </w:rPr>
              <w:t>June</w:t>
            </w:r>
            <w:proofErr w:type="spellEnd"/>
            <w:r>
              <w:rPr>
                <w:b/>
                <w:bCs/>
                <w:position w:val="6"/>
                <w:lang w:val="fr-CH"/>
              </w:rPr>
              <w:t xml:space="preserve"> 2019</w:t>
            </w:r>
          </w:p>
        </w:tc>
        <w:tc>
          <w:tcPr>
            <w:tcW w:w="3544" w:type="dxa"/>
          </w:tcPr>
          <w:p w:rsidR="0027519D" w:rsidRDefault="00987415">
            <w:pPr>
              <w:pStyle w:val="Standaard1"/>
              <w:spacing w:before="0"/>
            </w:pPr>
            <w:bookmarkStart w:id="2" w:name="h.30j0zll" w:colFirst="0" w:colLast="0"/>
            <w:bookmarkEnd w:id="2"/>
            <w:r>
              <w:rPr>
                <w:noProof/>
                <w:lang w:eastAsia="zh-CN"/>
              </w:rPr>
              <w:drawing>
                <wp:inline distT="0" distB="0" distL="0" distR="0">
                  <wp:extent cx="1760220" cy="74676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1760220" cy="746760"/>
                          </a:xfrm>
                          <a:prstGeom prst="rect">
                            <a:avLst/>
                          </a:prstGeom>
                          <a:ln/>
                        </pic:spPr>
                      </pic:pic>
                    </a:graphicData>
                  </a:graphic>
                </wp:inline>
              </w:drawing>
            </w:r>
          </w:p>
        </w:tc>
      </w:tr>
      <w:tr w:rsidR="0027519D">
        <w:tc>
          <w:tcPr>
            <w:tcW w:w="6487" w:type="dxa"/>
            <w:tcBorders>
              <w:bottom w:val="single" w:sz="12" w:space="0" w:color="000000"/>
            </w:tcBorders>
          </w:tcPr>
          <w:p w:rsidR="0027519D" w:rsidRDefault="0027519D">
            <w:pPr>
              <w:pStyle w:val="Standaard1"/>
              <w:spacing w:before="0"/>
            </w:pPr>
          </w:p>
        </w:tc>
        <w:tc>
          <w:tcPr>
            <w:tcW w:w="3544" w:type="dxa"/>
            <w:tcBorders>
              <w:bottom w:val="single" w:sz="12" w:space="0" w:color="000000"/>
            </w:tcBorders>
          </w:tcPr>
          <w:p w:rsidR="0027519D" w:rsidRDefault="0027519D">
            <w:pPr>
              <w:pStyle w:val="Standaard1"/>
              <w:spacing w:before="0"/>
            </w:pPr>
          </w:p>
        </w:tc>
      </w:tr>
      <w:tr w:rsidR="0027519D">
        <w:tc>
          <w:tcPr>
            <w:tcW w:w="6487" w:type="dxa"/>
            <w:tcBorders>
              <w:top w:val="single" w:sz="12" w:space="0" w:color="000000"/>
            </w:tcBorders>
          </w:tcPr>
          <w:p w:rsidR="0027519D" w:rsidRDefault="0027519D">
            <w:pPr>
              <w:pStyle w:val="Standaard1"/>
              <w:spacing w:before="0"/>
            </w:pPr>
          </w:p>
        </w:tc>
        <w:tc>
          <w:tcPr>
            <w:tcW w:w="3544" w:type="dxa"/>
            <w:tcBorders>
              <w:top w:val="single" w:sz="12" w:space="0" w:color="000000"/>
            </w:tcBorders>
          </w:tcPr>
          <w:p w:rsidR="0027519D" w:rsidRDefault="0027519D">
            <w:pPr>
              <w:pStyle w:val="Standaard1"/>
              <w:spacing w:before="0"/>
            </w:pPr>
          </w:p>
        </w:tc>
      </w:tr>
      <w:tr w:rsidR="0027519D">
        <w:trPr>
          <w:trHeight w:val="20"/>
        </w:trPr>
        <w:tc>
          <w:tcPr>
            <w:tcW w:w="6487" w:type="dxa"/>
            <w:vMerge w:val="restart"/>
          </w:tcPr>
          <w:p w:rsidR="0027519D" w:rsidRPr="00B94A0C" w:rsidRDefault="00987415" w:rsidP="00BD329C">
            <w:pPr>
              <w:pStyle w:val="Standaard1"/>
              <w:spacing w:before="0"/>
              <w:rPr>
                <w:b/>
              </w:rPr>
            </w:pPr>
            <w:r w:rsidRPr="00B94A0C">
              <w:rPr>
                <w:b/>
              </w:rPr>
              <w:t>Agenda item: PL 1.7</w:t>
            </w:r>
          </w:p>
        </w:tc>
        <w:tc>
          <w:tcPr>
            <w:tcW w:w="3544" w:type="dxa"/>
          </w:tcPr>
          <w:p w:rsidR="0027519D" w:rsidRDefault="00BD329C" w:rsidP="00BD329C">
            <w:pPr>
              <w:pStyle w:val="Standaard1"/>
              <w:tabs>
                <w:tab w:val="left" w:pos="851"/>
              </w:tabs>
              <w:spacing w:before="0"/>
            </w:pPr>
            <w:r>
              <w:rPr>
                <w:b/>
              </w:rPr>
              <w:t>Document C19/86-E</w:t>
            </w:r>
          </w:p>
        </w:tc>
      </w:tr>
      <w:tr w:rsidR="0027519D">
        <w:trPr>
          <w:trHeight w:val="536"/>
        </w:trPr>
        <w:tc>
          <w:tcPr>
            <w:tcW w:w="6487" w:type="dxa"/>
            <w:vMerge/>
          </w:tcPr>
          <w:p w:rsidR="0027519D" w:rsidRDefault="0027519D">
            <w:pPr>
              <w:pStyle w:val="Standaard1"/>
              <w:tabs>
                <w:tab w:val="left" w:pos="851"/>
              </w:tabs>
            </w:pPr>
          </w:p>
        </w:tc>
        <w:tc>
          <w:tcPr>
            <w:tcW w:w="3544" w:type="dxa"/>
          </w:tcPr>
          <w:p w:rsidR="0027519D" w:rsidRDefault="00987415" w:rsidP="00BD329C">
            <w:pPr>
              <w:pStyle w:val="Standaard1"/>
              <w:tabs>
                <w:tab w:val="left" w:pos="993"/>
              </w:tabs>
              <w:spacing w:before="0"/>
              <w:rPr>
                <w:b/>
              </w:rPr>
            </w:pPr>
            <w:r>
              <w:rPr>
                <w:b/>
              </w:rPr>
              <w:t>2</w:t>
            </w:r>
            <w:r w:rsidR="00BD329C">
              <w:rPr>
                <w:b/>
              </w:rPr>
              <w:t>7</w:t>
            </w:r>
            <w:r>
              <w:rPr>
                <w:b/>
              </w:rPr>
              <w:t xml:space="preserve"> May 2019</w:t>
            </w:r>
          </w:p>
          <w:p w:rsidR="0027519D" w:rsidRDefault="00987415">
            <w:pPr>
              <w:pStyle w:val="Standaard1"/>
              <w:tabs>
                <w:tab w:val="left" w:pos="993"/>
              </w:tabs>
              <w:spacing w:before="0"/>
              <w:rPr>
                <w:b/>
              </w:rPr>
            </w:pPr>
            <w:r>
              <w:rPr>
                <w:b/>
              </w:rPr>
              <w:t>Original: English</w:t>
            </w:r>
          </w:p>
        </w:tc>
      </w:tr>
      <w:tr w:rsidR="0027519D">
        <w:trPr>
          <w:trHeight w:val="20"/>
        </w:trPr>
        <w:tc>
          <w:tcPr>
            <w:tcW w:w="6487" w:type="dxa"/>
            <w:vMerge/>
          </w:tcPr>
          <w:p w:rsidR="0027519D" w:rsidRDefault="0027519D">
            <w:pPr>
              <w:pStyle w:val="Standaard1"/>
              <w:tabs>
                <w:tab w:val="left" w:pos="851"/>
              </w:tabs>
            </w:pPr>
          </w:p>
        </w:tc>
        <w:tc>
          <w:tcPr>
            <w:tcW w:w="3544" w:type="dxa"/>
          </w:tcPr>
          <w:p w:rsidR="0027519D" w:rsidRDefault="0027519D">
            <w:pPr>
              <w:pStyle w:val="Standaard1"/>
              <w:tabs>
                <w:tab w:val="left" w:pos="993"/>
              </w:tabs>
              <w:spacing w:before="0"/>
              <w:rPr>
                <w:b/>
              </w:rPr>
            </w:pPr>
          </w:p>
        </w:tc>
      </w:tr>
      <w:tr w:rsidR="0027519D">
        <w:trPr>
          <w:trHeight w:val="122"/>
        </w:trPr>
        <w:tc>
          <w:tcPr>
            <w:tcW w:w="10031" w:type="dxa"/>
            <w:gridSpan w:val="2"/>
          </w:tcPr>
          <w:p w:rsidR="0027519D" w:rsidRPr="00BD329C" w:rsidRDefault="00BD329C" w:rsidP="00B94A0C">
            <w:pPr>
              <w:pStyle w:val="Source"/>
              <w:spacing w:before="480"/>
              <w:rPr>
                <w:b/>
                <w:bCs/>
                <w:caps w:val="0"/>
              </w:rPr>
            </w:pPr>
            <w:r w:rsidRPr="00BD329C">
              <w:rPr>
                <w:b/>
                <w:bCs/>
                <w:caps w:val="0"/>
              </w:rPr>
              <w:t>Note by the Secretary-General</w:t>
            </w:r>
          </w:p>
        </w:tc>
      </w:tr>
      <w:tr w:rsidR="0027519D">
        <w:trPr>
          <w:trHeight w:val="20"/>
        </w:trPr>
        <w:tc>
          <w:tcPr>
            <w:tcW w:w="10031" w:type="dxa"/>
            <w:gridSpan w:val="2"/>
          </w:tcPr>
          <w:p w:rsidR="00BD329C" w:rsidRPr="00BD329C" w:rsidRDefault="00BD329C" w:rsidP="00BD329C">
            <w:pPr>
              <w:pStyle w:val="Source"/>
              <w:rPr>
                <w:bCs/>
              </w:rPr>
            </w:pPr>
            <w:r w:rsidRPr="00BD329C">
              <w:rPr>
                <w:bCs/>
              </w:rPr>
              <w:t>Contribution from Austria, Bulgaria, Denmark, Estonia, Finland, Germany, Greece, Lithuania, Luxembourg, Malta, Moldova, Norway, Poland, Romania, Slovenia, Spain, Sweden, the Czech Republic, the Netherlands, the Slovak Republic and the United Kingdom</w:t>
            </w:r>
          </w:p>
          <w:p w:rsidR="00BD329C" w:rsidRDefault="00BD329C" w:rsidP="00BD329C">
            <w:pPr>
              <w:pStyle w:val="Title1"/>
            </w:pPr>
            <w:r>
              <w:t>PROPOSAL ON THE Terms of Reference of the Expert Group on the ITRs</w:t>
            </w:r>
          </w:p>
          <w:p w:rsidR="0027519D" w:rsidRDefault="0027519D">
            <w:pPr>
              <w:pStyle w:val="Standaard1"/>
              <w:spacing w:before="0" w:line="300" w:lineRule="atLeast"/>
              <w:jc w:val="center"/>
              <w:rPr>
                <w:rFonts w:ascii="Arial" w:hAnsi="Arial" w:cs="Arial"/>
              </w:rPr>
            </w:pPr>
          </w:p>
        </w:tc>
      </w:tr>
    </w:tbl>
    <w:p w:rsidR="0027519D" w:rsidRDefault="0027519D">
      <w:pPr>
        <w:pStyle w:val="Standaard1"/>
        <w:spacing w:before="0" w:line="300" w:lineRule="atLeast"/>
        <w:rPr>
          <w:rFonts w:ascii="Arial" w:hAnsi="Arial" w:cs="Arial"/>
        </w:rPr>
      </w:pPr>
    </w:p>
    <w:p w:rsidR="00B94A0C" w:rsidRPr="00B94A0C" w:rsidRDefault="00B94A0C" w:rsidP="00B94A0C">
      <w:pPr>
        <w:spacing w:line="240" w:lineRule="auto"/>
        <w:rPr>
          <w:rFonts w:ascii="Times New Roman" w:hAnsi="Times New Roman"/>
          <w:sz w:val="24"/>
          <w:szCs w:val="24"/>
          <w:lang w:val="en-US"/>
        </w:rPr>
      </w:pPr>
      <w:r w:rsidRPr="00B94A0C">
        <w:rPr>
          <w:sz w:val="24"/>
          <w:szCs w:val="24"/>
        </w:rPr>
        <w:t>I have the honour to transmit to the Member States of the Council a contribution submitted by Austria, Bulgaria, Denmark, Estonia, Finland, Germany, Greece, Lithuania, Luxembourg, Malta, Moldova, Norway, Poland, Romania, Slovenia, Spain, Sweden, the Czech Republic, the Netherlands, the Slovak Republic and the United Kingdom</w:t>
      </w:r>
      <w:r w:rsidRPr="00B94A0C">
        <w:rPr>
          <w:color w:val="000000"/>
          <w:sz w:val="24"/>
          <w:szCs w:val="24"/>
          <w:shd w:val="clear" w:color="auto" w:fill="FFFFFF"/>
          <w:lang w:val="en-US"/>
        </w:rPr>
        <w:t>.</w:t>
      </w:r>
    </w:p>
    <w:p w:rsidR="00B94A0C" w:rsidRPr="00B94A0C" w:rsidRDefault="00B94A0C" w:rsidP="00B94A0C">
      <w:pPr>
        <w:tabs>
          <w:tab w:val="left" w:pos="6237"/>
        </w:tabs>
        <w:spacing w:before="1000" w:after="0" w:line="240" w:lineRule="auto"/>
        <w:rPr>
          <w:sz w:val="24"/>
          <w:szCs w:val="24"/>
        </w:rPr>
      </w:pPr>
      <w:r w:rsidRPr="00B94A0C">
        <w:rPr>
          <w:sz w:val="24"/>
          <w:szCs w:val="24"/>
        </w:rPr>
        <w:tab/>
        <w:t>Houlin ZHAO</w:t>
      </w:r>
    </w:p>
    <w:p w:rsidR="00B94A0C" w:rsidRPr="00B94A0C" w:rsidRDefault="00B94A0C" w:rsidP="00B94A0C">
      <w:pPr>
        <w:tabs>
          <w:tab w:val="left" w:pos="6096"/>
        </w:tabs>
        <w:rPr>
          <w:sz w:val="24"/>
          <w:szCs w:val="24"/>
        </w:rPr>
      </w:pPr>
      <w:r w:rsidRPr="00B94A0C">
        <w:rPr>
          <w:sz w:val="24"/>
          <w:szCs w:val="24"/>
        </w:rPr>
        <w:tab/>
        <w:t>Secretary-General</w:t>
      </w:r>
    </w:p>
    <w:p w:rsidR="00B94A0C" w:rsidRPr="00B94A0C" w:rsidRDefault="00B94A0C">
      <w:pPr>
        <w:pStyle w:val="Standaard1"/>
        <w:spacing w:before="0" w:line="300" w:lineRule="atLeast"/>
        <w:rPr>
          <w:rFonts w:ascii="Arial" w:hAnsi="Arial" w:cs="Arial"/>
        </w:rPr>
      </w:pPr>
    </w:p>
    <w:p w:rsidR="00BD329C" w:rsidRDefault="00BD329C">
      <w:pPr>
        <w:rPr>
          <w:rFonts w:ascii="Arial" w:hAnsi="Arial" w:cs="Arial"/>
          <w:color w:val="000000"/>
          <w:sz w:val="24"/>
          <w:szCs w:val="24"/>
        </w:rPr>
      </w:pPr>
      <w:r>
        <w:rPr>
          <w:rFonts w:ascii="Arial" w:hAnsi="Arial" w:cs="Arial"/>
        </w:rPr>
        <w:br w:type="page"/>
      </w:r>
    </w:p>
    <w:p w:rsidR="0027519D" w:rsidRDefault="0027519D">
      <w:pPr>
        <w:pStyle w:val="Standaard1"/>
        <w:spacing w:before="0" w:line="300" w:lineRule="atLeast"/>
        <w:rPr>
          <w:rFonts w:ascii="Arial" w:hAnsi="Arial" w:cs="Arial"/>
        </w:rPr>
      </w:pPr>
    </w:p>
    <w:p w:rsidR="00BD329C" w:rsidRPr="00BD329C" w:rsidRDefault="00BD329C" w:rsidP="00BD329C">
      <w:pPr>
        <w:pStyle w:val="Source"/>
        <w:rPr>
          <w:b/>
          <w:bCs/>
          <w:caps w:val="0"/>
        </w:rPr>
      </w:pPr>
      <w:r w:rsidRPr="00BD329C">
        <w:rPr>
          <w:b/>
          <w:bCs/>
          <w:caps w:val="0"/>
        </w:rPr>
        <w:t>C</w:t>
      </w:r>
      <w:r>
        <w:rPr>
          <w:b/>
          <w:bCs/>
          <w:caps w:val="0"/>
        </w:rPr>
        <w:t xml:space="preserve">ontribution from </w:t>
      </w:r>
      <w:r w:rsidRPr="00BD329C">
        <w:rPr>
          <w:b/>
          <w:bCs/>
          <w:caps w:val="0"/>
        </w:rPr>
        <w:t xml:space="preserve">Austria, </w:t>
      </w:r>
      <w:r>
        <w:rPr>
          <w:b/>
          <w:bCs/>
          <w:caps w:val="0"/>
        </w:rPr>
        <w:t>B</w:t>
      </w:r>
      <w:r w:rsidRPr="00BD329C">
        <w:rPr>
          <w:b/>
          <w:bCs/>
          <w:caps w:val="0"/>
        </w:rPr>
        <w:t xml:space="preserve">ulgaria, </w:t>
      </w:r>
      <w:r>
        <w:rPr>
          <w:b/>
          <w:bCs/>
          <w:caps w:val="0"/>
        </w:rPr>
        <w:t>Denmark, Estonia, Fin</w:t>
      </w:r>
      <w:r w:rsidRPr="00BD329C">
        <w:rPr>
          <w:b/>
          <w:bCs/>
          <w:caps w:val="0"/>
        </w:rPr>
        <w:t xml:space="preserve">land, Germany, </w:t>
      </w:r>
      <w:r>
        <w:rPr>
          <w:b/>
          <w:bCs/>
          <w:caps w:val="0"/>
        </w:rPr>
        <w:t>G</w:t>
      </w:r>
      <w:r w:rsidRPr="00BD329C">
        <w:rPr>
          <w:b/>
          <w:bCs/>
          <w:caps w:val="0"/>
        </w:rPr>
        <w:t xml:space="preserve">reece, </w:t>
      </w:r>
      <w:r>
        <w:rPr>
          <w:b/>
          <w:bCs/>
          <w:caps w:val="0"/>
        </w:rPr>
        <w:t>L</w:t>
      </w:r>
      <w:r w:rsidRPr="00BD329C">
        <w:rPr>
          <w:b/>
          <w:bCs/>
          <w:caps w:val="0"/>
        </w:rPr>
        <w:t xml:space="preserve">ithuania, </w:t>
      </w:r>
      <w:r>
        <w:rPr>
          <w:b/>
          <w:bCs/>
          <w:caps w:val="0"/>
        </w:rPr>
        <w:t>L</w:t>
      </w:r>
      <w:r w:rsidRPr="00BD329C">
        <w:rPr>
          <w:b/>
          <w:bCs/>
          <w:caps w:val="0"/>
        </w:rPr>
        <w:t>uxemb</w:t>
      </w:r>
      <w:r>
        <w:rPr>
          <w:b/>
          <w:bCs/>
          <w:caps w:val="0"/>
        </w:rPr>
        <w:t>ourg, M</w:t>
      </w:r>
      <w:r w:rsidRPr="00BD329C">
        <w:rPr>
          <w:b/>
          <w:bCs/>
          <w:caps w:val="0"/>
        </w:rPr>
        <w:t>alta</w:t>
      </w:r>
      <w:r>
        <w:rPr>
          <w:b/>
          <w:bCs/>
          <w:caps w:val="0"/>
        </w:rPr>
        <w:t>,</w:t>
      </w:r>
      <w:r w:rsidRPr="00BD329C">
        <w:rPr>
          <w:b/>
          <w:bCs/>
          <w:caps w:val="0"/>
        </w:rPr>
        <w:t xml:space="preserve"> </w:t>
      </w:r>
      <w:r>
        <w:rPr>
          <w:b/>
          <w:bCs/>
          <w:caps w:val="0"/>
        </w:rPr>
        <w:t>M</w:t>
      </w:r>
      <w:r w:rsidRPr="00BD329C">
        <w:rPr>
          <w:b/>
          <w:bCs/>
          <w:caps w:val="0"/>
        </w:rPr>
        <w:t xml:space="preserve">oldova, </w:t>
      </w:r>
      <w:r>
        <w:rPr>
          <w:b/>
          <w:bCs/>
          <w:caps w:val="0"/>
        </w:rPr>
        <w:t>N</w:t>
      </w:r>
      <w:r w:rsidRPr="00BD329C">
        <w:rPr>
          <w:b/>
          <w:bCs/>
          <w:caps w:val="0"/>
        </w:rPr>
        <w:t xml:space="preserve">orway, Poland, </w:t>
      </w:r>
      <w:r>
        <w:rPr>
          <w:b/>
          <w:bCs/>
          <w:caps w:val="0"/>
        </w:rPr>
        <w:t>R</w:t>
      </w:r>
      <w:r w:rsidRPr="00BD329C">
        <w:rPr>
          <w:b/>
          <w:bCs/>
          <w:caps w:val="0"/>
        </w:rPr>
        <w:t xml:space="preserve">omania, </w:t>
      </w:r>
      <w:r>
        <w:rPr>
          <w:b/>
          <w:bCs/>
          <w:caps w:val="0"/>
        </w:rPr>
        <w:t>S</w:t>
      </w:r>
      <w:r w:rsidRPr="00BD329C">
        <w:rPr>
          <w:b/>
          <w:bCs/>
          <w:caps w:val="0"/>
        </w:rPr>
        <w:t xml:space="preserve">lovenia, </w:t>
      </w:r>
      <w:r>
        <w:rPr>
          <w:b/>
          <w:bCs/>
          <w:caps w:val="0"/>
        </w:rPr>
        <w:t>S</w:t>
      </w:r>
      <w:r w:rsidRPr="00BD329C">
        <w:rPr>
          <w:b/>
          <w:bCs/>
          <w:caps w:val="0"/>
        </w:rPr>
        <w:t xml:space="preserve">pain, Sweden, </w:t>
      </w:r>
      <w:r>
        <w:rPr>
          <w:b/>
          <w:bCs/>
          <w:caps w:val="0"/>
        </w:rPr>
        <w:t>t</w:t>
      </w:r>
      <w:r w:rsidRPr="00BD329C">
        <w:rPr>
          <w:b/>
          <w:bCs/>
          <w:caps w:val="0"/>
        </w:rPr>
        <w:t>he Czech Republic,</w:t>
      </w:r>
      <w:r w:rsidRPr="00BD329C">
        <w:rPr>
          <w:b/>
          <w:bCs/>
          <w:caps w:val="0"/>
        </w:rPr>
        <w:t xml:space="preserve"> </w:t>
      </w:r>
      <w:r>
        <w:rPr>
          <w:b/>
          <w:bCs/>
          <w:caps w:val="0"/>
        </w:rPr>
        <w:t>t</w:t>
      </w:r>
      <w:r w:rsidRPr="00BD329C">
        <w:rPr>
          <w:b/>
          <w:bCs/>
          <w:caps w:val="0"/>
        </w:rPr>
        <w:t>he Netherlands, the </w:t>
      </w:r>
      <w:r>
        <w:rPr>
          <w:b/>
          <w:bCs/>
          <w:caps w:val="0"/>
        </w:rPr>
        <w:t>S</w:t>
      </w:r>
      <w:r w:rsidRPr="00BD329C">
        <w:rPr>
          <w:b/>
          <w:bCs/>
          <w:caps w:val="0"/>
        </w:rPr>
        <w:t>lovak </w:t>
      </w:r>
      <w:r>
        <w:rPr>
          <w:b/>
          <w:bCs/>
          <w:caps w:val="0"/>
        </w:rPr>
        <w:t>R</w:t>
      </w:r>
      <w:r w:rsidRPr="00BD329C">
        <w:rPr>
          <w:b/>
          <w:bCs/>
          <w:caps w:val="0"/>
        </w:rPr>
        <w:t>epublic and the United Kingdom</w:t>
      </w:r>
    </w:p>
    <w:p w:rsidR="00BD329C" w:rsidRDefault="00BD329C" w:rsidP="00BD329C">
      <w:pPr>
        <w:pStyle w:val="Title1"/>
      </w:pPr>
      <w:r>
        <w:t>PROPOSAL ON THE Terms of Reference of the Expert Group on the ITRs</w:t>
      </w:r>
    </w:p>
    <w:p w:rsidR="00BD329C" w:rsidRDefault="00BD329C">
      <w:pPr>
        <w:pStyle w:val="Standaard1"/>
        <w:spacing w:before="0" w:line="300" w:lineRule="atLeast"/>
        <w:rPr>
          <w:rFonts w:ascii="Arial" w:hAnsi="Arial" w:cs="Arial"/>
        </w:rPr>
      </w:pPr>
    </w:p>
    <w:tbl>
      <w:tblPr>
        <w:tblStyle w:val="TableGrid"/>
        <w:tblW w:w="0" w:type="auto"/>
        <w:tblLook w:val="04A0" w:firstRow="1" w:lastRow="0" w:firstColumn="1" w:lastColumn="0" w:noHBand="0" w:noVBand="1"/>
      </w:tblPr>
      <w:tblGrid>
        <w:gridCol w:w="9016"/>
      </w:tblGrid>
      <w:tr w:rsidR="00BD329C" w:rsidTr="00BD329C">
        <w:tc>
          <w:tcPr>
            <w:tcW w:w="9016" w:type="dxa"/>
          </w:tcPr>
          <w:p w:rsidR="00BD329C" w:rsidRDefault="00BD329C" w:rsidP="00BD329C">
            <w:pPr>
              <w:pStyle w:val="Headingb"/>
            </w:pPr>
            <w:r>
              <w:t>Summary</w:t>
            </w:r>
          </w:p>
          <w:p w:rsidR="00BD329C" w:rsidRDefault="00BD329C" w:rsidP="00B94A0C">
            <w:pPr>
              <w:spacing w:before="120"/>
            </w:pPr>
            <w:r>
              <w:t>This contribution provides a proposal for the Terms of Reference for the Expert Group on the ITRs</w:t>
            </w:r>
          </w:p>
          <w:p w:rsidR="00BD329C" w:rsidRDefault="00BD329C" w:rsidP="00BD329C">
            <w:pPr>
              <w:pStyle w:val="Headingb"/>
            </w:pPr>
            <w:r>
              <w:t>Action required</w:t>
            </w:r>
          </w:p>
          <w:p w:rsidR="00BD329C" w:rsidRDefault="00BD329C" w:rsidP="00B94A0C">
            <w:pPr>
              <w:spacing w:before="120"/>
            </w:pPr>
            <w:r>
              <w:t xml:space="preserve">The Council </w:t>
            </w:r>
            <w:proofErr w:type="gramStart"/>
            <w:r>
              <w:t>is invited</w:t>
            </w:r>
            <w:proofErr w:type="gramEnd"/>
            <w:r>
              <w:t xml:space="preserve"> to decide on the proposed Terms of Reference.</w:t>
            </w:r>
          </w:p>
          <w:p w:rsidR="00BD329C" w:rsidRDefault="00BD329C" w:rsidP="00BD329C">
            <w:pPr>
              <w:pStyle w:val="Headingb"/>
            </w:pPr>
            <w:r>
              <w:t>References</w:t>
            </w:r>
          </w:p>
          <w:p w:rsidR="00BD329C" w:rsidRPr="00BD329C" w:rsidRDefault="00BD329C" w:rsidP="00BD329C">
            <w:pPr>
              <w:pStyle w:val="Standaard1"/>
              <w:spacing w:before="0" w:line="300" w:lineRule="atLeast"/>
              <w:rPr>
                <w:rFonts w:ascii="Arial" w:hAnsi="Arial" w:cs="Arial"/>
                <w:lang w:val="fr-CH"/>
              </w:rPr>
            </w:pPr>
            <w:hyperlink r:id="rId9" w:history="1">
              <w:proofErr w:type="spellStart"/>
              <w:r w:rsidRPr="00BD329C">
                <w:rPr>
                  <w:rStyle w:val="Hyperlink"/>
                  <w:i/>
                  <w:iCs/>
                  <w:lang w:val="fr-CH"/>
                </w:rPr>
                <w:t>Resolution</w:t>
              </w:r>
              <w:proofErr w:type="spellEnd"/>
              <w:r w:rsidRPr="00BD329C">
                <w:rPr>
                  <w:rStyle w:val="Hyperlink"/>
                  <w:i/>
                  <w:iCs/>
                  <w:lang w:val="fr-CH"/>
                </w:rPr>
                <w:t xml:space="preserve"> 146 (</w:t>
              </w:r>
              <w:proofErr w:type="spellStart"/>
              <w:r w:rsidRPr="00BD329C">
                <w:rPr>
                  <w:rStyle w:val="Hyperlink"/>
                  <w:i/>
                  <w:iCs/>
                  <w:lang w:val="fr-CH"/>
                </w:rPr>
                <w:t>Rev</w:t>
              </w:r>
              <w:proofErr w:type="spellEnd"/>
              <w:r w:rsidRPr="00BD329C">
                <w:rPr>
                  <w:rStyle w:val="Hyperlink"/>
                  <w:i/>
                  <w:iCs/>
                  <w:lang w:val="fr-CH"/>
                </w:rPr>
                <w:t xml:space="preserve">. </w:t>
              </w:r>
              <w:proofErr w:type="spellStart"/>
              <w:r w:rsidRPr="00BD329C">
                <w:rPr>
                  <w:rStyle w:val="Hyperlink"/>
                  <w:i/>
                  <w:iCs/>
                  <w:lang w:val="fr-CH"/>
                </w:rPr>
                <w:t>Dubai</w:t>
              </w:r>
              <w:proofErr w:type="spellEnd"/>
              <w:r w:rsidRPr="00BD329C">
                <w:rPr>
                  <w:rStyle w:val="Hyperlink"/>
                  <w:i/>
                  <w:iCs/>
                  <w:lang w:val="fr-CH"/>
                </w:rPr>
                <w:t>, 2018)</w:t>
              </w:r>
            </w:hyperlink>
            <w:r w:rsidRPr="00BD329C">
              <w:rPr>
                <w:rStyle w:val="Hyperlink"/>
                <w:iCs/>
                <w:color w:val="auto"/>
                <w:u w:val="none"/>
                <w:lang w:val="fr-CH"/>
              </w:rPr>
              <w:t xml:space="preserve">, Documents </w:t>
            </w:r>
            <w:hyperlink r:id="rId10" w:history="1">
              <w:r>
                <w:rPr>
                  <w:rStyle w:val="Hyperlink"/>
                  <w:lang w:val="it-CH"/>
                </w:rPr>
                <w:t>C19/26</w:t>
              </w:r>
            </w:hyperlink>
          </w:p>
          <w:p w:rsidR="00BD329C" w:rsidRDefault="00BD329C">
            <w:pPr>
              <w:pStyle w:val="Standaard1"/>
              <w:spacing w:before="0" w:line="300" w:lineRule="atLeast"/>
              <w:rPr>
                <w:rFonts w:ascii="Arial" w:hAnsi="Arial" w:cs="Arial"/>
              </w:rPr>
            </w:pPr>
          </w:p>
        </w:tc>
      </w:tr>
    </w:tbl>
    <w:p w:rsidR="00BD329C" w:rsidRDefault="00BD329C">
      <w:pPr>
        <w:pStyle w:val="Standaard1"/>
        <w:spacing w:before="0" w:line="300" w:lineRule="atLeast"/>
        <w:rPr>
          <w:rFonts w:ascii="Arial" w:hAnsi="Arial" w:cs="Arial"/>
        </w:rPr>
      </w:pPr>
    </w:p>
    <w:p w:rsidR="00BD329C" w:rsidRPr="00B94A0C" w:rsidRDefault="00BD329C">
      <w:pPr>
        <w:pStyle w:val="Standaard1"/>
        <w:spacing w:before="0" w:line="300" w:lineRule="atLeast"/>
        <w:rPr>
          <w:rFonts w:asciiTheme="minorHAnsi" w:hAnsiTheme="minorHAnsi" w:cstheme="minorHAnsi"/>
          <w:lang w:val="fr-CH"/>
        </w:rPr>
      </w:pPr>
    </w:p>
    <w:p w:rsidR="0027519D" w:rsidRPr="00B94A0C" w:rsidRDefault="00987415" w:rsidP="00B94A0C">
      <w:pPr>
        <w:pStyle w:val="Standaard1"/>
        <w:numPr>
          <w:ilvl w:val="0"/>
          <w:numId w:val="8"/>
        </w:numPr>
        <w:spacing w:before="0" w:line="300" w:lineRule="atLeast"/>
        <w:ind w:left="0" w:firstLine="0"/>
        <w:rPr>
          <w:rFonts w:asciiTheme="minorHAnsi" w:hAnsiTheme="minorHAnsi" w:cstheme="minorHAnsi"/>
        </w:rPr>
      </w:pPr>
      <w:r w:rsidRPr="00B94A0C">
        <w:rPr>
          <w:rFonts w:asciiTheme="minorHAnsi" w:hAnsiTheme="minorHAnsi" w:cstheme="minorHAnsi"/>
        </w:rPr>
        <w:t>Resolution 146 (revised Dubai, 2018) of the Plenipotentiary Conference instructed the Secretary General to reconvene an Expert Group on the International Telecommunications Regulations (EG-ITRs) and instructed Council to review and revise, at its 2019 session, the terms of reference for the EG</w:t>
      </w:r>
      <w:r w:rsidRPr="00B94A0C">
        <w:rPr>
          <w:rFonts w:asciiTheme="minorHAnsi" w:hAnsiTheme="minorHAnsi" w:cstheme="minorHAnsi"/>
        </w:rPr>
        <w:noBreakHyphen/>
        <w:t>ITRs.</w:t>
      </w:r>
    </w:p>
    <w:p w:rsidR="0027519D" w:rsidRPr="00B94A0C" w:rsidRDefault="0027519D" w:rsidP="00B94A0C">
      <w:pPr>
        <w:pStyle w:val="Standaard1"/>
        <w:spacing w:before="0" w:line="300" w:lineRule="atLeast"/>
        <w:rPr>
          <w:rFonts w:asciiTheme="minorHAnsi" w:hAnsiTheme="minorHAnsi" w:cstheme="minorHAnsi"/>
        </w:rPr>
      </w:pPr>
    </w:p>
    <w:p w:rsidR="0027519D" w:rsidRPr="00B94A0C" w:rsidRDefault="00987415" w:rsidP="00B94A0C">
      <w:pPr>
        <w:pStyle w:val="Standaard1"/>
        <w:numPr>
          <w:ilvl w:val="0"/>
          <w:numId w:val="8"/>
        </w:numPr>
        <w:spacing w:before="0" w:line="300" w:lineRule="atLeast"/>
        <w:ind w:left="0" w:firstLine="0"/>
        <w:rPr>
          <w:rFonts w:asciiTheme="minorHAnsi" w:hAnsiTheme="minorHAnsi" w:cstheme="minorHAnsi"/>
        </w:rPr>
      </w:pPr>
      <w:r w:rsidRPr="00B94A0C">
        <w:rPr>
          <w:rFonts w:asciiTheme="minorHAnsi" w:hAnsiTheme="minorHAnsi" w:cstheme="minorHAnsi"/>
        </w:rPr>
        <w:t xml:space="preserve">The previous Expert Group on the ITRs (2016-2018) undertook a major review of the ITRs based on contributions from Member States and Sector Members from all ITU regions and reported on the review to Council 2018. CEPT believes it will be important for the reconvened Group to build on that work. We propose that other stakeholders </w:t>
      </w:r>
      <w:proofErr w:type="gramStart"/>
      <w:r w:rsidRPr="00B94A0C">
        <w:rPr>
          <w:rFonts w:asciiTheme="minorHAnsi" w:hAnsiTheme="minorHAnsi" w:cstheme="minorHAnsi"/>
        </w:rPr>
        <w:t>should also be invited</w:t>
      </w:r>
      <w:proofErr w:type="gramEnd"/>
      <w:r w:rsidRPr="00B94A0C">
        <w:rPr>
          <w:rFonts w:asciiTheme="minorHAnsi" w:hAnsiTheme="minorHAnsi" w:cstheme="minorHAnsi"/>
        </w:rPr>
        <w:t xml:space="preserve"> to contribute their views and experience in order to provide a fuller picture.  </w:t>
      </w:r>
    </w:p>
    <w:p w:rsidR="0027519D" w:rsidRPr="00B94A0C" w:rsidRDefault="0027519D" w:rsidP="00B94A0C">
      <w:pPr>
        <w:pStyle w:val="Standaard1"/>
        <w:spacing w:before="0" w:line="300" w:lineRule="atLeast"/>
        <w:rPr>
          <w:rFonts w:asciiTheme="minorHAnsi" w:hAnsiTheme="minorHAnsi" w:cstheme="minorHAnsi"/>
        </w:rPr>
      </w:pPr>
    </w:p>
    <w:p w:rsidR="0027519D" w:rsidRPr="00B94A0C" w:rsidRDefault="00987415">
      <w:pPr>
        <w:pStyle w:val="Standaard1"/>
        <w:numPr>
          <w:ilvl w:val="0"/>
          <w:numId w:val="8"/>
        </w:numPr>
        <w:spacing w:before="0" w:line="300" w:lineRule="atLeast"/>
        <w:ind w:left="567" w:hanging="567"/>
        <w:rPr>
          <w:rFonts w:asciiTheme="minorHAnsi" w:hAnsiTheme="minorHAnsi" w:cstheme="minorHAnsi"/>
        </w:rPr>
      </w:pPr>
      <w:r w:rsidRPr="00B94A0C">
        <w:rPr>
          <w:rFonts w:asciiTheme="minorHAnsi" w:hAnsiTheme="minorHAnsi" w:cstheme="minorHAnsi"/>
        </w:rPr>
        <w:t>CEPT proposes the following Terms of Reference for the Expert Group on the ITRs:</w:t>
      </w:r>
    </w:p>
    <w:p w:rsidR="0027519D" w:rsidRPr="00B94A0C" w:rsidRDefault="00B94A0C" w:rsidP="00B94A0C">
      <w:pPr>
        <w:pStyle w:val="Standaard1"/>
        <w:spacing w:before="240" w:line="300" w:lineRule="atLeast"/>
        <w:ind w:left="567" w:hanging="567"/>
        <w:rPr>
          <w:rFonts w:asciiTheme="minorHAnsi" w:hAnsiTheme="minorHAnsi" w:cstheme="minorHAnsi"/>
          <w:i/>
        </w:rPr>
      </w:pPr>
      <w:r>
        <w:rPr>
          <w:rFonts w:asciiTheme="minorHAnsi" w:hAnsiTheme="minorHAnsi" w:cstheme="minorHAnsi"/>
          <w:i/>
        </w:rPr>
        <w:tab/>
      </w:r>
      <w:r w:rsidR="00987415" w:rsidRPr="00B94A0C">
        <w:rPr>
          <w:rFonts w:asciiTheme="minorHAnsi" w:hAnsiTheme="minorHAnsi" w:cstheme="minorHAnsi"/>
          <w:i/>
        </w:rPr>
        <w:t xml:space="preserve">The EG-ITRs shall undertake a review of the 2012 ITRs </w:t>
      </w:r>
      <w:proofErr w:type="gramStart"/>
      <w:r w:rsidR="00987415" w:rsidRPr="00B94A0C">
        <w:rPr>
          <w:rFonts w:asciiTheme="minorHAnsi" w:hAnsiTheme="minorHAnsi" w:cstheme="minorHAnsi"/>
          <w:i/>
        </w:rPr>
        <w:t>on the basis of</w:t>
      </w:r>
      <w:proofErr w:type="gramEnd"/>
      <w:r w:rsidR="00987415" w:rsidRPr="00B94A0C">
        <w:rPr>
          <w:rFonts w:asciiTheme="minorHAnsi" w:hAnsiTheme="minorHAnsi" w:cstheme="minorHAnsi"/>
          <w:i/>
        </w:rPr>
        <w:t xml:space="preserve"> </w:t>
      </w:r>
      <w:bookmarkStart w:id="3" w:name="_Hlk9863992"/>
      <w:r w:rsidR="00987415" w:rsidRPr="00B94A0C">
        <w:rPr>
          <w:rFonts w:asciiTheme="minorHAnsi" w:hAnsiTheme="minorHAnsi" w:cstheme="minorHAnsi"/>
          <w:i/>
        </w:rPr>
        <w:t>contributions submitted by Member States, Sector Members, the Directors of the Bureaux and</w:t>
      </w:r>
      <w:bookmarkEnd w:id="3"/>
      <w:r w:rsidR="00987415" w:rsidRPr="00B94A0C">
        <w:rPr>
          <w:rFonts w:asciiTheme="minorHAnsi" w:hAnsiTheme="minorHAnsi" w:cstheme="minorHAnsi"/>
          <w:i/>
        </w:rPr>
        <w:t xml:space="preserve"> consultation with other stakeholders. The EG-ITRs shall take into account the earlier work of the EG-ITRs (2016-2018), including its report to Plenipotentiary Conference in 2018, as well as experience of implementation of the 2012 ITRs. The </w:t>
      </w:r>
      <w:proofErr w:type="gramStart"/>
      <w:r w:rsidR="00987415" w:rsidRPr="00B94A0C">
        <w:rPr>
          <w:rFonts w:asciiTheme="minorHAnsi" w:hAnsiTheme="minorHAnsi" w:cstheme="minorHAnsi"/>
          <w:i/>
        </w:rPr>
        <w:t>review which should build on the work done by the EG-ITRs (2016-2018)</w:t>
      </w:r>
      <w:proofErr w:type="gramEnd"/>
      <w:r w:rsidR="00987415" w:rsidRPr="00B94A0C">
        <w:rPr>
          <w:rFonts w:asciiTheme="minorHAnsi" w:hAnsiTheme="minorHAnsi" w:cstheme="minorHAnsi"/>
          <w:i/>
        </w:rPr>
        <w:t xml:space="preserve"> should include:</w:t>
      </w:r>
    </w:p>
    <w:p w:rsidR="0027519D" w:rsidRPr="00B94A0C" w:rsidRDefault="00987415" w:rsidP="00B94A0C">
      <w:pPr>
        <w:pStyle w:val="Standaard1"/>
        <w:numPr>
          <w:ilvl w:val="0"/>
          <w:numId w:val="10"/>
        </w:numPr>
        <w:spacing w:line="300" w:lineRule="atLeast"/>
        <w:ind w:left="1661" w:hanging="357"/>
        <w:rPr>
          <w:rFonts w:asciiTheme="minorHAnsi" w:hAnsiTheme="minorHAnsi" w:cstheme="minorHAnsi"/>
          <w:i/>
        </w:rPr>
      </w:pPr>
      <w:r w:rsidRPr="00B94A0C">
        <w:rPr>
          <w:rFonts w:asciiTheme="minorHAnsi" w:hAnsiTheme="minorHAnsi" w:cstheme="minorHAnsi"/>
          <w:i/>
        </w:rPr>
        <w:t>an examination of the implementation of the 2012 ITRs and its practical effects</w:t>
      </w:r>
    </w:p>
    <w:p w:rsidR="0027519D" w:rsidRPr="00B94A0C" w:rsidRDefault="00987415" w:rsidP="00B94A0C">
      <w:pPr>
        <w:pStyle w:val="Standaard1"/>
        <w:numPr>
          <w:ilvl w:val="0"/>
          <w:numId w:val="10"/>
        </w:numPr>
        <w:spacing w:line="300" w:lineRule="atLeast"/>
        <w:ind w:left="1661" w:hanging="357"/>
        <w:rPr>
          <w:rFonts w:asciiTheme="minorHAnsi" w:hAnsiTheme="minorHAnsi" w:cstheme="minorHAnsi"/>
          <w:i/>
        </w:rPr>
      </w:pPr>
      <w:r w:rsidRPr="00B94A0C">
        <w:rPr>
          <w:rFonts w:asciiTheme="minorHAnsi" w:hAnsiTheme="minorHAnsi" w:cstheme="minorHAnsi"/>
          <w:i/>
        </w:rPr>
        <w:t>the applicability of the 2012 ITRs, taking into account the changing shape of the telecommunications industry and environment and the changes in the scope of national regulatory regimes</w:t>
      </w:r>
    </w:p>
    <w:p w:rsidR="0027519D" w:rsidRPr="00B94A0C" w:rsidRDefault="00987415" w:rsidP="00B94A0C">
      <w:pPr>
        <w:pStyle w:val="Standaard1"/>
        <w:numPr>
          <w:ilvl w:val="0"/>
          <w:numId w:val="10"/>
        </w:numPr>
        <w:spacing w:line="300" w:lineRule="atLeast"/>
        <w:ind w:left="1661" w:hanging="357"/>
        <w:rPr>
          <w:rFonts w:asciiTheme="minorHAnsi" w:hAnsiTheme="minorHAnsi" w:cstheme="minorHAnsi"/>
          <w:i/>
        </w:rPr>
      </w:pPr>
      <w:r w:rsidRPr="00B94A0C">
        <w:rPr>
          <w:rFonts w:asciiTheme="minorHAnsi" w:hAnsiTheme="minorHAnsi" w:cstheme="minorHAnsi"/>
          <w:i/>
        </w:rPr>
        <w:lastRenderedPageBreak/>
        <w:t>an analysis of experienced conflicts between the obligations of signatories to the 2012 ITRs and signatories to the 1988 ITRs with respect to implementation of the provisions of the 1988 and the 2012 ITRs.</w:t>
      </w:r>
    </w:p>
    <w:p w:rsidR="0027519D" w:rsidRPr="00B94A0C" w:rsidRDefault="00987415" w:rsidP="00B94A0C">
      <w:pPr>
        <w:pStyle w:val="Standaard1"/>
        <w:spacing w:before="240" w:line="300" w:lineRule="atLeast"/>
        <w:rPr>
          <w:rFonts w:asciiTheme="minorHAnsi" w:hAnsiTheme="minorHAnsi" w:cstheme="minorHAnsi"/>
          <w:i/>
        </w:rPr>
      </w:pPr>
      <w:r w:rsidRPr="00B94A0C">
        <w:rPr>
          <w:rFonts w:asciiTheme="minorHAnsi" w:hAnsiTheme="minorHAnsi" w:cstheme="minorHAnsi"/>
          <w:i/>
        </w:rPr>
        <w:t>The EG-ITRs will present annual progress reports reflecting all views to Council 2020 and to Council 2021, and a final report to Council 2022 for consideration and submission to the 2022 Plenipotentiary Conference with the Council’s comments.</w:t>
      </w:r>
    </w:p>
    <w:p w:rsidR="0027519D" w:rsidRPr="00B94A0C" w:rsidRDefault="00987415" w:rsidP="00B94A0C">
      <w:pPr>
        <w:pStyle w:val="Standaard1"/>
        <w:spacing w:before="240" w:line="300" w:lineRule="atLeast"/>
        <w:ind w:left="567" w:hanging="567"/>
        <w:rPr>
          <w:rFonts w:asciiTheme="minorHAnsi" w:hAnsiTheme="minorHAnsi" w:cstheme="minorHAnsi"/>
          <w:i/>
        </w:rPr>
      </w:pPr>
      <w:r w:rsidRPr="00B94A0C">
        <w:rPr>
          <w:rFonts w:asciiTheme="minorHAnsi" w:hAnsiTheme="minorHAnsi" w:cstheme="minorHAnsi"/>
          <w:i/>
        </w:rPr>
        <w:t xml:space="preserve">The EG-ITRs will meet twice a year, as part </w:t>
      </w:r>
      <w:proofErr w:type="gramStart"/>
      <w:r w:rsidRPr="00B94A0C">
        <w:rPr>
          <w:rFonts w:asciiTheme="minorHAnsi" w:hAnsiTheme="minorHAnsi" w:cstheme="minorHAnsi"/>
          <w:i/>
        </w:rPr>
        <w:t>of  the</w:t>
      </w:r>
      <w:proofErr w:type="gramEnd"/>
      <w:r w:rsidRPr="00B94A0C">
        <w:rPr>
          <w:rFonts w:asciiTheme="minorHAnsi" w:hAnsiTheme="minorHAnsi" w:cstheme="minorHAnsi"/>
          <w:i/>
        </w:rPr>
        <w:t xml:space="preserve"> Council Working Groups clusters. </w:t>
      </w:r>
    </w:p>
    <w:p w:rsidR="0027519D" w:rsidRPr="00B94A0C" w:rsidRDefault="00987415" w:rsidP="00B94A0C">
      <w:pPr>
        <w:pStyle w:val="Standaard1"/>
        <w:spacing w:before="240" w:line="300" w:lineRule="atLeast"/>
        <w:ind w:left="567" w:hanging="567"/>
        <w:rPr>
          <w:rFonts w:asciiTheme="minorHAnsi" w:hAnsiTheme="minorHAnsi" w:cstheme="minorHAnsi"/>
          <w:i/>
        </w:rPr>
      </w:pPr>
      <w:r w:rsidRPr="00B94A0C">
        <w:rPr>
          <w:rFonts w:asciiTheme="minorHAnsi" w:hAnsiTheme="minorHAnsi" w:cstheme="minorHAnsi"/>
          <w:i/>
        </w:rPr>
        <w:t xml:space="preserve">During meetings interpretation into ITU official languages will be available. </w:t>
      </w:r>
    </w:p>
    <w:p w:rsidR="0027519D" w:rsidRPr="00B94A0C" w:rsidRDefault="0027519D">
      <w:pPr>
        <w:pStyle w:val="Standaard1"/>
        <w:spacing w:before="0" w:line="300" w:lineRule="atLeast"/>
        <w:rPr>
          <w:rFonts w:asciiTheme="minorHAnsi" w:hAnsiTheme="minorHAnsi" w:cstheme="minorHAnsi"/>
          <w:b/>
        </w:rPr>
      </w:pPr>
    </w:p>
    <w:p w:rsidR="0027519D" w:rsidRPr="00B94A0C" w:rsidRDefault="00987415">
      <w:pPr>
        <w:pStyle w:val="Standaard1"/>
        <w:spacing w:before="0" w:line="300" w:lineRule="atLeast"/>
        <w:ind w:left="567"/>
        <w:jc w:val="center"/>
        <w:rPr>
          <w:rFonts w:asciiTheme="minorHAnsi" w:hAnsiTheme="minorHAnsi" w:cstheme="minorHAnsi"/>
        </w:rPr>
      </w:pPr>
      <w:r w:rsidRPr="00B94A0C">
        <w:rPr>
          <w:rFonts w:asciiTheme="minorHAnsi" w:hAnsiTheme="minorHAnsi" w:cstheme="minorHAnsi"/>
          <w:b/>
        </w:rPr>
        <w:t>____________________</w:t>
      </w:r>
    </w:p>
    <w:sectPr w:rsidR="0027519D" w:rsidRPr="00B94A0C" w:rsidSect="00B94A0C">
      <w:headerReference w:type="even" r:id="rId11"/>
      <w:headerReference w:type="default" r:id="rId12"/>
      <w:footerReference w:type="default" r:id="rId13"/>
      <w:footerReference w:type="first" r:id="rId14"/>
      <w:pgSz w:w="11906" w:h="16838" w:code="9"/>
      <w:pgMar w:top="919"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19D" w:rsidRDefault="00987415">
      <w:pPr>
        <w:spacing w:after="0" w:line="240" w:lineRule="auto"/>
      </w:pPr>
      <w:r>
        <w:separator/>
      </w:r>
    </w:p>
  </w:endnote>
  <w:endnote w:type="continuationSeparator" w:id="0">
    <w:p w:rsidR="0027519D" w:rsidRDefault="00987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19D" w:rsidRDefault="0027519D">
    <w:pPr>
      <w:pStyle w:val="Footer"/>
      <w:tabs>
        <w:tab w:val="left" w:pos="4425"/>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A0C" w:rsidRDefault="00B94A0C" w:rsidP="00B94A0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19D" w:rsidRDefault="00987415">
      <w:pPr>
        <w:spacing w:after="0" w:line="240" w:lineRule="auto"/>
      </w:pPr>
      <w:r>
        <w:separator/>
      </w:r>
    </w:p>
  </w:footnote>
  <w:footnote w:type="continuationSeparator" w:id="0">
    <w:p w:rsidR="0027519D" w:rsidRDefault="009874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19D" w:rsidRDefault="008E77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1704" o:spid="_x0000_s2049"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A0C" w:rsidRPr="00B94A0C" w:rsidRDefault="00B94A0C" w:rsidP="00B94A0C">
    <w:pPr>
      <w:pStyle w:val="Header"/>
      <w:spacing w:after="0" w:line="240" w:lineRule="auto"/>
      <w:jc w:val="center"/>
      <w:rPr>
        <w:sz w:val="20"/>
        <w:szCs w:val="20"/>
      </w:rPr>
    </w:pPr>
    <w:r w:rsidRPr="00B94A0C">
      <w:rPr>
        <w:sz w:val="20"/>
        <w:szCs w:val="20"/>
      </w:rPr>
      <w:fldChar w:fldCharType="begin"/>
    </w:r>
    <w:r w:rsidRPr="00B94A0C">
      <w:rPr>
        <w:sz w:val="20"/>
        <w:szCs w:val="20"/>
      </w:rPr>
      <w:instrText>PAGE</w:instrText>
    </w:r>
    <w:r w:rsidRPr="00B94A0C">
      <w:rPr>
        <w:sz w:val="20"/>
        <w:szCs w:val="20"/>
      </w:rPr>
      <w:fldChar w:fldCharType="separate"/>
    </w:r>
    <w:r w:rsidR="008E7713">
      <w:rPr>
        <w:noProof/>
        <w:sz w:val="20"/>
        <w:szCs w:val="20"/>
      </w:rPr>
      <w:t>3</w:t>
    </w:r>
    <w:r w:rsidRPr="00B94A0C">
      <w:rPr>
        <w:noProof/>
        <w:sz w:val="20"/>
        <w:szCs w:val="20"/>
      </w:rPr>
      <w:fldChar w:fldCharType="end"/>
    </w:r>
  </w:p>
  <w:p w:rsidR="00B94A0C" w:rsidRPr="00B94A0C" w:rsidRDefault="00B94A0C" w:rsidP="00D469D1">
    <w:pPr>
      <w:pStyle w:val="Header"/>
      <w:spacing w:after="0" w:line="240" w:lineRule="auto"/>
      <w:jc w:val="center"/>
      <w:rPr>
        <w:bCs/>
        <w:sz w:val="20"/>
        <w:szCs w:val="20"/>
      </w:rPr>
    </w:pPr>
    <w:r w:rsidRPr="00B94A0C">
      <w:rPr>
        <w:bCs/>
        <w:sz w:val="20"/>
        <w:szCs w:val="20"/>
      </w:rPr>
      <w:t>C19/</w:t>
    </w:r>
    <w:r w:rsidR="00D469D1">
      <w:rPr>
        <w:bCs/>
        <w:sz w:val="20"/>
        <w:szCs w:val="20"/>
      </w:rPr>
      <w:t>86</w:t>
    </w:r>
    <w:r w:rsidRPr="00B94A0C">
      <w:rPr>
        <w:bCs/>
        <w:sz w:val="20"/>
        <w:szCs w:val="20"/>
      </w:rPr>
      <w:t>-E</w:t>
    </w:r>
  </w:p>
  <w:p w:rsidR="00B94A0C" w:rsidRDefault="00B94A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B7A34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4006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CAD6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187E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2417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CC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406E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4CA9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248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CC40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A3C73"/>
    <w:multiLevelType w:val="hybridMultilevel"/>
    <w:tmpl w:val="82A67FF4"/>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49700F3"/>
    <w:multiLevelType w:val="hybridMultilevel"/>
    <w:tmpl w:val="46CC70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2231EF"/>
    <w:multiLevelType w:val="multilevel"/>
    <w:tmpl w:val="DAD0EB6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2AD031E3"/>
    <w:multiLevelType w:val="hybridMultilevel"/>
    <w:tmpl w:val="FBD01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42609F"/>
    <w:multiLevelType w:val="hybridMultilevel"/>
    <w:tmpl w:val="22D0DE7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941D31"/>
    <w:multiLevelType w:val="multilevel"/>
    <w:tmpl w:val="19F2C8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04C7F7F"/>
    <w:multiLevelType w:val="multilevel"/>
    <w:tmpl w:val="111E0B0E"/>
    <w:lvl w:ilvl="0">
      <w:start w:val="1"/>
      <w:numFmt w:val="lowerRoman"/>
      <w:lvlText w:val="%1."/>
      <w:lvlJc w:val="righ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65EB2BC1"/>
    <w:multiLevelType w:val="multilevel"/>
    <w:tmpl w:val="7A3490AE"/>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FAB390E"/>
    <w:multiLevelType w:val="hybridMultilevel"/>
    <w:tmpl w:val="7778B68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E2B180A"/>
    <w:multiLevelType w:val="hybridMultilevel"/>
    <w:tmpl w:val="CDDC2B8A"/>
    <w:lvl w:ilvl="0" w:tplc="0409001B">
      <w:start w:val="1"/>
      <w:numFmt w:val="lowerRoman"/>
      <w:lvlText w:val="%1."/>
      <w:lvlJc w:val="right"/>
      <w:pPr>
        <w:ind w:left="1664" w:hanging="360"/>
      </w:pPr>
      <w:rPr>
        <w:rFonts w:hint="default"/>
      </w:rPr>
    </w:lvl>
    <w:lvl w:ilvl="1" w:tplc="04090003" w:tentative="1">
      <w:start w:val="1"/>
      <w:numFmt w:val="bullet"/>
      <w:lvlText w:val="o"/>
      <w:lvlJc w:val="left"/>
      <w:pPr>
        <w:ind w:left="2384" w:hanging="360"/>
      </w:pPr>
      <w:rPr>
        <w:rFonts w:ascii="Courier New" w:hAnsi="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hint="default"/>
      </w:rPr>
    </w:lvl>
    <w:lvl w:ilvl="8" w:tplc="04090005" w:tentative="1">
      <w:start w:val="1"/>
      <w:numFmt w:val="bullet"/>
      <w:lvlText w:val=""/>
      <w:lvlJc w:val="left"/>
      <w:pPr>
        <w:ind w:left="7424" w:hanging="360"/>
      </w:pPr>
      <w:rPr>
        <w:rFonts w:ascii="Wingdings" w:hAnsi="Wingdings" w:hint="default"/>
      </w:rPr>
    </w:lvl>
  </w:abstractNum>
  <w:num w:numId="1">
    <w:abstractNumId w:val="15"/>
  </w:num>
  <w:num w:numId="2">
    <w:abstractNumId w:val="11"/>
  </w:num>
  <w:num w:numId="3">
    <w:abstractNumId w:val="17"/>
  </w:num>
  <w:num w:numId="4">
    <w:abstractNumId w:val="10"/>
  </w:num>
  <w:num w:numId="5">
    <w:abstractNumId w:val="14"/>
  </w:num>
  <w:num w:numId="6">
    <w:abstractNumId w:val="18"/>
  </w:num>
  <w:num w:numId="7">
    <w:abstractNumId w:val="16"/>
  </w:num>
  <w:num w:numId="8">
    <w:abstractNumId w:val="12"/>
  </w:num>
  <w:num w:numId="9">
    <w:abstractNumId w:val="13"/>
  </w:num>
  <w:num w:numId="10">
    <w:abstractNumId w:val="1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19D"/>
    <w:rsid w:val="0027519D"/>
    <w:rsid w:val="008E7713"/>
    <w:rsid w:val="00987415"/>
    <w:rsid w:val="00B94A0C"/>
    <w:rsid w:val="00BD329C"/>
    <w:rsid w:val="00D469D1"/>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docId w15:val="{1F19BCCA-9564-45CC-8F76-026F8E37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Times New Roman"/>
      <w:lang w:val="en-GB"/>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uiPriority w:val="99"/>
    <w:rPr>
      <w:rFonts w:ascii="Calibri" w:eastAsia="Calibri" w:hAnsi="Calibri" w:cs="Times New Roman"/>
      <w:lang w:val="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eastAsia="Calibri" w:hAnsi="Calibri" w:cs="Times New Roman"/>
      <w:lang w:val="en-GB"/>
    </w:rPr>
  </w:style>
  <w:style w:type="paragraph" w:styleId="BodyText">
    <w:name w:val="Body Text"/>
    <w:basedOn w:val="Normal"/>
    <w:link w:val="BodyTextChar"/>
    <w:semiHidden/>
    <w:pPr>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semiHidden/>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GB"/>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en-GB"/>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sz w:val="20"/>
      <w:szCs w:val="20"/>
      <w:lang w:val="fr-FR" w:eastAsia="fr-FR"/>
    </w:rPr>
  </w:style>
  <w:style w:type="paragraph" w:customStyle="1" w:styleId="B1">
    <w:name w:val="B1"/>
    <w:pPr>
      <w:tabs>
        <w:tab w:val="left" w:pos="567"/>
      </w:tabs>
      <w:overflowPunct w:val="0"/>
      <w:autoSpaceDE w:val="0"/>
      <w:autoSpaceDN w:val="0"/>
      <w:adjustRightInd w:val="0"/>
      <w:spacing w:after="0" w:line="240" w:lineRule="atLeast"/>
      <w:ind w:left="567" w:hanging="567"/>
      <w:jc w:val="both"/>
      <w:textAlignment w:val="baseline"/>
    </w:pPr>
    <w:rPr>
      <w:rFonts w:ascii="Arial" w:eastAsia="Times New Roman" w:hAnsi="Arial" w:cs="Times New Roman"/>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en-GB"/>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olor w:val="000000"/>
      <w:sz w:val="24"/>
      <w:szCs w:val="24"/>
      <w:lang w:eastAsia="en-GB"/>
    </w:rPr>
  </w:style>
  <w:style w:type="paragraph" w:customStyle="1" w:styleId="Header1">
    <w:name w:val="Header1"/>
    <w:basedOn w:val="Header"/>
    <w:pPr>
      <w:tabs>
        <w:tab w:val="clear" w:pos="4513"/>
        <w:tab w:val="clear" w:pos="9026"/>
        <w:tab w:val="center" w:pos="4536"/>
        <w:tab w:val="right" w:pos="9072"/>
      </w:tabs>
      <w:spacing w:after="0" w:line="240" w:lineRule="auto"/>
    </w:pPr>
    <w:rPr>
      <w:rFonts w:ascii="Arial" w:eastAsia="Times New Roman" w:hAnsi="Arial"/>
      <w:b/>
      <w:sz w:val="20"/>
      <w:szCs w:val="20"/>
      <w:lang w:val="nb-NO" w:eastAsia="de-DE"/>
    </w:rPr>
  </w:style>
  <w:style w:type="paragraph" w:styleId="Title">
    <w:name w:val="Title"/>
    <w:basedOn w:val="Normal"/>
    <w:link w:val="TitleChar"/>
    <w:qFormat/>
    <w:pPr>
      <w:spacing w:after="120" w:line="240" w:lineRule="auto"/>
      <w:jc w:val="center"/>
    </w:pPr>
    <w:rPr>
      <w:rFonts w:ascii="Arial" w:eastAsia="Times New Roman" w:hAnsi="Arial"/>
      <w:b/>
      <w:sz w:val="28"/>
      <w:szCs w:val="20"/>
      <w:lang w:val="de-DE" w:eastAsia="de-DE"/>
    </w:rPr>
  </w:style>
  <w:style w:type="character" w:customStyle="1" w:styleId="TitleChar">
    <w:name w:val="Title Char"/>
    <w:basedOn w:val="DefaultParagraphFont"/>
    <w:link w:val="Title"/>
    <w:rPr>
      <w:rFonts w:ascii="Arial" w:eastAsia="Times New Roman" w:hAnsi="Arial" w:cs="Times New Roman"/>
      <w:b/>
      <w:sz w:val="28"/>
      <w:szCs w:val="20"/>
      <w:lang w:val="de-DE" w:eastAsia="de-DE"/>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tandaard1">
    <w:name w:val="Standaard1"/>
    <w:pPr>
      <w:tabs>
        <w:tab w:val="left" w:pos="567"/>
        <w:tab w:val="left" w:pos="1134"/>
        <w:tab w:val="left" w:pos="1701"/>
        <w:tab w:val="left" w:pos="2268"/>
        <w:tab w:val="left" w:pos="2835"/>
      </w:tabs>
      <w:spacing w:before="120" w:after="0" w:line="240" w:lineRule="auto"/>
    </w:pPr>
    <w:rPr>
      <w:rFonts w:ascii="Calibri" w:eastAsia="Calibri" w:hAnsi="Calibri" w:cs="Calibri"/>
      <w:color w:val="000000"/>
      <w:sz w:val="24"/>
      <w:szCs w:val="24"/>
      <w:lang w:val="en-GB"/>
    </w:rPr>
  </w:style>
  <w:style w:type="paragraph" w:styleId="NoSpacing">
    <w:name w:val="No Spacing"/>
    <w:uiPriority w:val="1"/>
    <w:qFormat/>
    <w:pPr>
      <w:spacing w:after="0" w:line="240" w:lineRule="auto"/>
    </w:pPr>
    <w:rPr>
      <w:rFonts w:ascii="Calibri" w:eastAsia="Calibri" w:hAnsi="Calibri" w:cs="Times New Roman"/>
      <w:lang w:val="en-GB"/>
    </w:rPr>
  </w:style>
  <w:style w:type="paragraph" w:customStyle="1" w:styleId="enumlev1">
    <w:name w:val="enumlev1"/>
    <w:basedOn w:val="Normal"/>
    <w:link w:val="enumlev1Char"/>
    <w:pPr>
      <w:tabs>
        <w:tab w:val="left" w:pos="567"/>
        <w:tab w:val="left" w:pos="1134"/>
        <w:tab w:val="left" w:pos="1701"/>
        <w:tab w:val="left" w:pos="2268"/>
        <w:tab w:val="left" w:pos="2835"/>
      </w:tabs>
      <w:overflowPunct w:val="0"/>
      <w:autoSpaceDE w:val="0"/>
      <w:autoSpaceDN w:val="0"/>
      <w:adjustRightInd w:val="0"/>
      <w:spacing w:before="86" w:after="0" w:line="240" w:lineRule="auto"/>
      <w:ind w:left="567" w:hanging="567"/>
      <w:textAlignment w:val="baseline"/>
    </w:pPr>
    <w:rPr>
      <w:rFonts w:eastAsia="Times New Roman"/>
      <w:sz w:val="24"/>
      <w:szCs w:val="20"/>
    </w:rPr>
  </w:style>
  <w:style w:type="paragraph" w:customStyle="1" w:styleId="Normalaftertitle">
    <w:name w:val="Normal after title"/>
    <w:basedOn w:val="Normal"/>
    <w:next w:val="Normal"/>
    <w:link w:val="NormalaftertitleChar"/>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eastAsia="Times New Roman"/>
      <w:sz w:val="24"/>
      <w:szCs w:val="20"/>
    </w:rPr>
  </w:style>
  <w:style w:type="paragraph" w:customStyle="1" w:styleId="Annextitle">
    <w:name w:val="Annex_title"/>
    <w:basedOn w:val="Normal"/>
    <w:next w:val="Normal"/>
    <w:link w:val="AnnextitleChar"/>
    <w:pPr>
      <w:tabs>
        <w:tab w:val="left" w:pos="567"/>
        <w:tab w:val="left" w:pos="1134"/>
        <w:tab w:val="left" w:pos="1701"/>
        <w:tab w:val="left" w:pos="2268"/>
        <w:tab w:val="left" w:pos="2835"/>
      </w:tabs>
      <w:overflowPunct w:val="0"/>
      <w:autoSpaceDE w:val="0"/>
      <w:autoSpaceDN w:val="0"/>
      <w:adjustRightInd w:val="0"/>
      <w:spacing w:before="240" w:after="240" w:line="240" w:lineRule="auto"/>
      <w:jc w:val="center"/>
      <w:textAlignment w:val="baseline"/>
    </w:pPr>
    <w:rPr>
      <w:rFonts w:eastAsia="Times New Roman"/>
      <w:b/>
      <w:sz w:val="28"/>
      <w:szCs w:val="20"/>
    </w:rPr>
  </w:style>
  <w:style w:type="character" w:customStyle="1" w:styleId="NormalaftertitleChar">
    <w:name w:val="Normal after title Char"/>
    <w:basedOn w:val="DefaultParagraphFont"/>
    <w:link w:val="Normalaftertitle"/>
    <w:rPr>
      <w:rFonts w:ascii="Calibri" w:eastAsia="Times New Roman" w:hAnsi="Calibri" w:cs="Times New Roman"/>
      <w:sz w:val="24"/>
      <w:szCs w:val="20"/>
      <w:lang w:val="en-GB"/>
    </w:rPr>
  </w:style>
  <w:style w:type="character" w:customStyle="1" w:styleId="enumlev1Char">
    <w:name w:val="enumlev1 Char"/>
    <w:basedOn w:val="DefaultParagraphFont"/>
    <w:link w:val="enumlev1"/>
    <w:rPr>
      <w:rFonts w:ascii="Calibri" w:eastAsia="Times New Roman" w:hAnsi="Calibri" w:cs="Times New Roman"/>
      <w:sz w:val="24"/>
      <w:szCs w:val="20"/>
      <w:lang w:val="en-GB"/>
    </w:rPr>
  </w:style>
  <w:style w:type="character" w:customStyle="1" w:styleId="AnnextitleChar">
    <w:name w:val="Annex_title Char"/>
    <w:basedOn w:val="DefaultParagraphFont"/>
    <w:link w:val="Annextitle"/>
    <w:rPr>
      <w:rFonts w:ascii="Calibri" w:eastAsia="Times New Roman" w:hAnsi="Calibri" w:cs="Times New Roman"/>
      <w:b/>
      <w:sz w:val="28"/>
      <w:szCs w:val="20"/>
      <w:lang w:val="en-GB"/>
    </w:rPr>
  </w:style>
  <w:style w:type="paragraph" w:customStyle="1" w:styleId="Title1">
    <w:name w:val="Title 1"/>
    <w:basedOn w:val="Normal"/>
    <w:next w:val="Normal"/>
    <w:uiPriority w:val="99"/>
    <w:pPr>
      <w:tabs>
        <w:tab w:val="left" w:pos="567"/>
        <w:tab w:val="left" w:pos="1134"/>
        <w:tab w:val="left" w:pos="1701"/>
        <w:tab w:val="left" w:pos="2268"/>
        <w:tab w:val="left" w:pos="2835"/>
      </w:tabs>
      <w:overflowPunct w:val="0"/>
      <w:autoSpaceDE w:val="0"/>
      <w:autoSpaceDN w:val="0"/>
      <w:adjustRightInd w:val="0"/>
      <w:spacing w:before="240" w:after="0" w:line="240" w:lineRule="auto"/>
      <w:jc w:val="center"/>
      <w:textAlignment w:val="baseline"/>
    </w:pPr>
    <w:rPr>
      <w:rFonts w:eastAsia="Times New Roman"/>
      <w:caps/>
      <w:sz w:val="28"/>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lang w:val="en-GB"/>
    </w:rPr>
  </w:style>
  <w:style w:type="paragraph" w:customStyle="1" w:styleId="Normln1">
    <w:name w:val="Normální1"/>
    <w:pPr>
      <w:tabs>
        <w:tab w:val="left" w:pos="567"/>
        <w:tab w:val="left" w:pos="1134"/>
        <w:tab w:val="left" w:pos="1701"/>
        <w:tab w:val="left" w:pos="2268"/>
        <w:tab w:val="left" w:pos="2835"/>
      </w:tabs>
      <w:spacing w:before="120" w:after="0" w:line="240" w:lineRule="auto"/>
    </w:pPr>
    <w:rPr>
      <w:rFonts w:ascii="Calibri" w:eastAsia="Calibri" w:hAnsi="Calibri" w:cs="Calibri"/>
      <w:color w:val="000000"/>
      <w:sz w:val="24"/>
      <w:szCs w:val="24"/>
      <w:lang w:val="en-GB"/>
    </w:rPr>
  </w:style>
  <w:style w:type="paragraph" w:customStyle="1" w:styleId="Headingb">
    <w:name w:val="Heading_b"/>
    <w:basedOn w:val="Heading3"/>
    <w:next w:val="Normal"/>
    <w:pPr>
      <w:tabs>
        <w:tab w:val="left" w:pos="567"/>
        <w:tab w:val="left" w:pos="1134"/>
        <w:tab w:val="left" w:pos="1701"/>
        <w:tab w:val="left" w:pos="2268"/>
        <w:tab w:val="left" w:pos="2835"/>
      </w:tabs>
      <w:overflowPunct w:val="0"/>
      <w:autoSpaceDE w:val="0"/>
      <w:autoSpaceDN w:val="0"/>
      <w:adjustRightInd w:val="0"/>
      <w:spacing w:before="160" w:line="240" w:lineRule="auto"/>
      <w:ind w:left="567" w:hanging="567"/>
      <w:textAlignment w:val="baseline"/>
      <w:outlineLvl w:val="0"/>
    </w:pPr>
    <w:rPr>
      <w:rFonts w:ascii="Calibri" w:eastAsia="Times New Roman" w:hAnsi="Calibri" w:cs="Times New Roman"/>
      <w:b/>
      <w:color w:val="auto"/>
      <w:szCs w:val="20"/>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lang w:val="en-GB"/>
    </w:rPr>
  </w:style>
  <w:style w:type="table" w:styleId="TableGrid">
    <w:name w:val="Table Grid"/>
    <w:basedOn w:val="TableNormal"/>
    <w:uiPriority w:val="59"/>
    <w:rsid w:val="00BD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Title1"/>
    <w:rsid w:val="00BD3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206">
      <w:bodyDiv w:val="1"/>
      <w:marLeft w:val="0"/>
      <w:marRight w:val="0"/>
      <w:marTop w:val="0"/>
      <w:marBottom w:val="0"/>
      <w:divBdr>
        <w:top w:val="none" w:sz="0" w:space="0" w:color="auto"/>
        <w:left w:val="none" w:sz="0" w:space="0" w:color="auto"/>
        <w:bottom w:val="none" w:sz="0" w:space="0" w:color="auto"/>
        <w:right w:val="none" w:sz="0" w:space="0" w:color="auto"/>
      </w:divBdr>
    </w:div>
    <w:div w:id="808744341">
      <w:bodyDiv w:val="1"/>
      <w:marLeft w:val="0"/>
      <w:marRight w:val="0"/>
      <w:marTop w:val="0"/>
      <w:marBottom w:val="0"/>
      <w:divBdr>
        <w:top w:val="none" w:sz="0" w:space="0" w:color="auto"/>
        <w:left w:val="none" w:sz="0" w:space="0" w:color="auto"/>
        <w:bottom w:val="none" w:sz="0" w:space="0" w:color="auto"/>
        <w:right w:val="none" w:sz="0" w:space="0" w:color="auto"/>
      </w:divBdr>
    </w:div>
    <w:div w:id="95899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md/S19-CL-C-026/en" TargetMode="External"/><Relationship Id="rId4" Type="http://schemas.openxmlformats.org/officeDocument/2006/relationships/settings" Target="settings.xml"/><Relationship Id="rId9" Type="http://schemas.openxmlformats.org/officeDocument/2006/relationships/hyperlink" Target="https://www.itu.int/en/council/2019/Documents/basic-texts/RES-146-E.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69D1B-EB98-41A5-8836-A775D57D3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561</Words>
  <Characters>3201</Characters>
  <Application>Microsoft Office Word</Application>
  <DocSecurity>0</DocSecurity>
  <Lines>26</Lines>
  <Paragraphs>7</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Espinosa</dc:creator>
  <cp:keywords>C2019, C19</cp:keywords>
  <cp:lastModifiedBy>Janin, Patricia</cp:lastModifiedBy>
  <cp:revision>5</cp:revision>
  <dcterms:created xsi:type="dcterms:W3CDTF">2019-05-28T06:37:00Z</dcterms:created>
  <dcterms:modified xsi:type="dcterms:W3CDTF">2019-05-28T13:09:00Z</dcterms:modified>
</cp:coreProperties>
</file>