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137EFA">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137EFA">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137EFA">
            <w:pPr>
              <w:spacing w:before="0" w:after="48"/>
              <w:rPr>
                <w:b/>
                <w:smallCaps/>
                <w:szCs w:val="24"/>
              </w:rPr>
            </w:pPr>
          </w:p>
        </w:tc>
        <w:tc>
          <w:tcPr>
            <w:tcW w:w="3120" w:type="dxa"/>
            <w:tcBorders>
              <w:bottom w:val="single" w:sz="12" w:space="0" w:color="auto"/>
            </w:tcBorders>
          </w:tcPr>
          <w:p w:rsidR="00700D1F" w:rsidRPr="00617BE4" w:rsidRDefault="00700D1F" w:rsidP="00137EF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137EFA">
            <w:pPr>
              <w:spacing w:before="0" w:after="48"/>
              <w:rPr>
                <w:b/>
                <w:smallCaps/>
                <w:szCs w:val="24"/>
              </w:rPr>
            </w:pPr>
          </w:p>
        </w:tc>
        <w:tc>
          <w:tcPr>
            <w:tcW w:w="3120" w:type="dxa"/>
            <w:tcBorders>
              <w:top w:val="single" w:sz="12" w:space="0" w:color="auto"/>
            </w:tcBorders>
          </w:tcPr>
          <w:p w:rsidR="00700D1F" w:rsidRPr="00617BE4" w:rsidRDefault="00700D1F" w:rsidP="00137EFA">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37EFA">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137EFA">
              <w:rPr>
                <w:b/>
              </w:rPr>
              <w:t>1</w:t>
            </w:r>
            <w:r w:rsidR="00B40A53">
              <w:rPr>
                <w:b/>
              </w:rPr>
              <w:t>.</w:t>
            </w:r>
            <w:r w:rsidR="00D0575F">
              <w:rPr>
                <w:b/>
                <w:lang w:eastAsia="zh-CN"/>
              </w:rPr>
              <w:t>4</w:t>
            </w:r>
          </w:p>
        </w:tc>
        <w:tc>
          <w:tcPr>
            <w:tcW w:w="3120" w:type="dxa"/>
          </w:tcPr>
          <w:p w:rsidR="00700D1F" w:rsidRPr="00700D1F" w:rsidRDefault="00700D1F" w:rsidP="00137EF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D0575F">
              <w:rPr>
                <w:b/>
                <w:bCs/>
                <w:szCs w:val="24"/>
                <w:lang w:eastAsia="zh-CN"/>
              </w:rPr>
              <w:t>82</w:t>
            </w:r>
            <w:r w:rsidRPr="00FC5386">
              <w:rPr>
                <w:b/>
                <w:bCs/>
                <w:szCs w:val="24"/>
                <w:lang w:eastAsia="zh-CN"/>
              </w:rPr>
              <w:t>-C</w:t>
            </w:r>
          </w:p>
        </w:tc>
      </w:tr>
      <w:bookmarkEnd w:id="1"/>
      <w:tr w:rsidR="00700D1F">
        <w:trPr>
          <w:cantSplit/>
          <w:trHeight w:val="23"/>
        </w:trPr>
        <w:tc>
          <w:tcPr>
            <w:tcW w:w="6911" w:type="dxa"/>
            <w:vMerge/>
          </w:tcPr>
          <w:p w:rsidR="00700D1F" w:rsidRDefault="00700D1F" w:rsidP="00137EFA">
            <w:pPr>
              <w:tabs>
                <w:tab w:val="left" w:pos="851"/>
              </w:tabs>
              <w:rPr>
                <w:b/>
                <w:lang w:eastAsia="zh-CN"/>
              </w:rPr>
            </w:pPr>
          </w:p>
        </w:tc>
        <w:tc>
          <w:tcPr>
            <w:tcW w:w="3120" w:type="dxa"/>
          </w:tcPr>
          <w:p w:rsidR="00700D1F" w:rsidRPr="00FC5386" w:rsidRDefault="00700D1F" w:rsidP="00137EF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137EFA">
              <w:rPr>
                <w:rFonts w:asciiTheme="minorHAnsi" w:hAnsiTheme="minorHAnsi" w:cstheme="minorHAnsi"/>
                <w:b/>
                <w:bCs/>
                <w:szCs w:val="24"/>
                <w:lang w:eastAsia="zh-CN"/>
              </w:rPr>
              <w:t>5</w:t>
            </w:r>
            <w:r w:rsidRPr="00FC5386">
              <w:rPr>
                <w:rFonts w:hint="eastAsia"/>
                <w:b/>
                <w:bCs/>
                <w:szCs w:val="24"/>
                <w:lang w:eastAsia="zh-CN"/>
              </w:rPr>
              <w:t>月</w:t>
            </w:r>
            <w:r w:rsidR="00137EFA">
              <w:rPr>
                <w:rFonts w:asciiTheme="minorHAnsi" w:hAnsiTheme="minorHAnsi" w:cstheme="minorHAnsi"/>
                <w:b/>
                <w:bCs/>
                <w:szCs w:val="24"/>
                <w:lang w:eastAsia="zh-CN"/>
              </w:rPr>
              <w:t>27</w:t>
            </w:r>
            <w:r w:rsidRPr="00FC5386">
              <w:rPr>
                <w:rFonts w:hint="eastAsia"/>
                <w:b/>
                <w:bCs/>
                <w:szCs w:val="24"/>
                <w:lang w:eastAsia="zh-CN"/>
              </w:rPr>
              <w:t>日</w:t>
            </w:r>
          </w:p>
        </w:tc>
      </w:tr>
      <w:tr w:rsidR="00700D1F">
        <w:trPr>
          <w:cantSplit/>
          <w:trHeight w:val="23"/>
        </w:trPr>
        <w:tc>
          <w:tcPr>
            <w:tcW w:w="6911" w:type="dxa"/>
            <w:vMerge/>
          </w:tcPr>
          <w:p w:rsidR="00700D1F" w:rsidRDefault="00700D1F" w:rsidP="00137EFA">
            <w:pPr>
              <w:tabs>
                <w:tab w:val="left" w:pos="851"/>
              </w:tabs>
              <w:rPr>
                <w:b/>
                <w:lang w:eastAsia="zh-CN"/>
              </w:rPr>
            </w:pPr>
          </w:p>
        </w:tc>
        <w:tc>
          <w:tcPr>
            <w:tcW w:w="3120" w:type="dxa"/>
          </w:tcPr>
          <w:p w:rsidR="00700D1F" w:rsidRPr="00FC5386" w:rsidRDefault="00700D1F" w:rsidP="00137EFA">
            <w:pPr>
              <w:tabs>
                <w:tab w:val="left" w:pos="993"/>
              </w:tabs>
              <w:spacing w:before="0"/>
              <w:rPr>
                <w:rFonts w:ascii="SimSun" w:hAnsi="SimSun"/>
                <w:b/>
                <w:bCs/>
                <w:szCs w:val="24"/>
                <w:lang w:eastAsia="zh-CN"/>
              </w:rPr>
            </w:pPr>
            <w:r w:rsidRPr="00FC5386">
              <w:rPr>
                <w:rFonts w:hint="eastAsia"/>
                <w:b/>
                <w:bCs/>
                <w:szCs w:val="24"/>
                <w:lang w:eastAsia="zh-CN"/>
              </w:rPr>
              <w:t>原文：</w:t>
            </w:r>
            <w:r w:rsidR="00137EFA">
              <w:rPr>
                <w:rFonts w:hint="eastAsia"/>
                <w:b/>
                <w:bCs/>
                <w:szCs w:val="24"/>
                <w:lang w:eastAsia="zh-CN"/>
              </w:rPr>
              <w:t>法文</w:t>
            </w:r>
          </w:p>
        </w:tc>
      </w:tr>
    </w:tbl>
    <w:tbl>
      <w:tblPr>
        <w:tblW w:w="10139" w:type="dxa"/>
        <w:tblInd w:w="-108" w:type="dxa"/>
        <w:tblLayout w:type="fixed"/>
        <w:tblLook w:val="0000" w:firstRow="0" w:lastRow="0" w:firstColumn="0" w:lastColumn="0" w:noHBand="0" w:noVBand="0"/>
      </w:tblPr>
      <w:tblGrid>
        <w:gridCol w:w="108"/>
        <w:gridCol w:w="9923"/>
        <w:gridCol w:w="108"/>
      </w:tblGrid>
      <w:tr w:rsidR="0093362E" w:rsidTr="00D0575F">
        <w:trPr>
          <w:gridBefore w:val="1"/>
          <w:wBefore w:w="108" w:type="dxa"/>
          <w:cantSplit/>
        </w:trPr>
        <w:tc>
          <w:tcPr>
            <w:tcW w:w="10031" w:type="dxa"/>
            <w:gridSpan w:val="2"/>
          </w:tcPr>
          <w:p w:rsidR="0093362E" w:rsidRDefault="00137EFA" w:rsidP="00137EFA">
            <w:pPr>
              <w:pStyle w:val="Source"/>
              <w:rPr>
                <w:lang w:eastAsia="zh-CN"/>
              </w:rPr>
            </w:pPr>
            <w:r w:rsidRPr="00461BF4">
              <w:rPr>
                <w:rFonts w:ascii="Times New Roman" w:hAnsi="Times New Roman"/>
                <w:lang w:eastAsia="zh-CN"/>
              </w:rPr>
              <w:t>秘书长的说明</w:t>
            </w:r>
          </w:p>
        </w:tc>
      </w:tr>
      <w:tr w:rsidR="0093362E" w:rsidTr="00D0575F">
        <w:trPr>
          <w:gridBefore w:val="1"/>
          <w:wBefore w:w="108" w:type="dxa"/>
          <w:cantSplit/>
        </w:trPr>
        <w:tc>
          <w:tcPr>
            <w:tcW w:w="10031" w:type="dxa"/>
            <w:gridSpan w:val="2"/>
          </w:tcPr>
          <w:p w:rsidR="0093362E" w:rsidRDefault="00137EFA" w:rsidP="00137EFA">
            <w:pPr>
              <w:pStyle w:val="Title1"/>
              <w:rPr>
                <w:bCs/>
                <w:lang w:eastAsia="zh-CN"/>
              </w:rPr>
            </w:pPr>
            <w:bookmarkStart w:id="2" w:name="lt_pId013"/>
            <w:r>
              <w:rPr>
                <w:rFonts w:ascii="Times New Roman" w:hAnsi="Times New Roman" w:hint="eastAsia"/>
                <w:lang w:val="fr-CH" w:eastAsia="zh-CN"/>
              </w:rPr>
              <w:t>阿尔及利亚人民民主</w:t>
            </w:r>
            <w:r w:rsidRPr="00461BF4">
              <w:rPr>
                <w:rFonts w:ascii="Times New Roman" w:hAnsi="Times New Roman" w:hint="eastAsia"/>
                <w:lang w:val="fr-CH" w:eastAsia="zh-CN"/>
              </w:rPr>
              <w:t>共和国提交的文稿</w:t>
            </w:r>
            <w:bookmarkEnd w:id="2"/>
          </w:p>
        </w:tc>
      </w:tr>
      <w:tr w:rsidR="00D0575F" w:rsidRPr="00D0575F" w:rsidTr="00D0575F">
        <w:trPr>
          <w:gridAfter w:val="1"/>
          <w:wAfter w:w="108" w:type="dxa"/>
          <w:cantSplit/>
        </w:trPr>
        <w:tc>
          <w:tcPr>
            <w:tcW w:w="10031" w:type="dxa"/>
            <w:gridSpan w:val="2"/>
          </w:tcPr>
          <w:p w:rsidR="00D0575F" w:rsidRPr="00D0575F" w:rsidRDefault="00D0575F" w:rsidP="00D0575F">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imes New Roman" w:hAnsi="Times New Roman"/>
                <w:bCs/>
                <w:caps/>
                <w:sz w:val="28"/>
                <w:lang w:eastAsia="zh-CN"/>
              </w:rPr>
            </w:pPr>
            <w:r w:rsidRPr="00D0575F">
              <w:rPr>
                <w:rFonts w:ascii="Times New Roman" w:hAnsi="Times New Roman" w:hint="eastAsia"/>
                <w:bCs/>
                <w:caps/>
                <w:sz w:val="28"/>
                <w:lang w:eastAsia="zh-CN"/>
              </w:rPr>
              <w:t>国际电联理事会第</w:t>
            </w:r>
            <w:r w:rsidRPr="00A07E46">
              <w:rPr>
                <w:rFonts w:asciiTheme="minorHAnsi" w:hAnsiTheme="minorHAnsi" w:cstheme="minorHAnsi"/>
                <w:bCs/>
                <w:caps/>
                <w:sz w:val="28"/>
                <w:lang w:eastAsia="zh-CN"/>
              </w:rPr>
              <w:t>1305</w:t>
            </w:r>
            <w:r w:rsidRPr="00D0575F">
              <w:rPr>
                <w:rFonts w:ascii="Times New Roman" w:hAnsi="Times New Roman" w:hint="eastAsia"/>
                <w:bCs/>
                <w:caps/>
                <w:sz w:val="28"/>
                <w:lang w:eastAsia="zh-CN"/>
              </w:rPr>
              <w:t>号决议附件</w:t>
            </w:r>
            <w:r w:rsidRPr="00D0575F">
              <w:rPr>
                <w:rFonts w:ascii="Times New Roman" w:hAnsi="Times New Roman" w:hint="eastAsia"/>
                <w:bCs/>
                <w:caps/>
                <w:sz w:val="28"/>
                <w:lang w:eastAsia="zh-CN"/>
              </w:rPr>
              <w:t>1</w:t>
            </w:r>
            <w:r w:rsidRPr="00D0575F">
              <w:rPr>
                <w:rFonts w:ascii="Times New Roman" w:hAnsi="Times New Roman" w:hint="eastAsia"/>
                <w:bCs/>
                <w:caps/>
                <w:sz w:val="28"/>
                <w:lang w:eastAsia="zh-CN"/>
              </w:rPr>
              <w:t>拟议修正案</w:t>
            </w:r>
          </w:p>
        </w:tc>
      </w:tr>
    </w:tbl>
    <w:p w:rsidR="00D0575F" w:rsidRPr="00D0575F" w:rsidRDefault="00D0575F" w:rsidP="00D0575F">
      <w:pPr>
        <w:rPr>
          <w:rFonts w:ascii="Times New Roman" w:hAnsi="Times New Roman"/>
          <w:lang w:eastAsia="zh-CN"/>
        </w:rPr>
      </w:pPr>
    </w:p>
    <w:p w:rsidR="00137EFA" w:rsidRDefault="00D0575F" w:rsidP="00D0575F">
      <w:pPr>
        <w:pStyle w:val="Normalaftertitle"/>
        <w:ind w:firstLineChars="200" w:firstLine="480"/>
        <w:rPr>
          <w:rFonts w:asciiTheme="minorEastAsia" w:hAnsiTheme="minorEastAsia"/>
          <w:lang w:eastAsia="zh-CN"/>
        </w:rPr>
      </w:pPr>
      <w:r w:rsidRPr="00D0575F">
        <w:rPr>
          <w:rFonts w:ascii="Times New Roman" w:hAnsi="Times New Roman" w:hint="eastAsia"/>
          <w:lang w:val="fr-FR" w:eastAsia="zh-CN"/>
        </w:rPr>
        <w:t>我荣幸地向各理事国转呈后附的</w:t>
      </w:r>
      <w:r w:rsidRPr="00D0575F">
        <w:rPr>
          <w:rFonts w:ascii="Times New Roman" w:hAnsi="Times New Roman" w:hint="eastAsia"/>
          <w:b/>
          <w:bCs/>
          <w:lang w:val="fr-FR" w:eastAsia="zh-CN"/>
        </w:rPr>
        <w:t>阿尔及利亚人民民主共和国</w:t>
      </w:r>
      <w:r w:rsidRPr="00D0575F">
        <w:rPr>
          <w:rFonts w:ascii="Times New Roman" w:hAnsi="Times New Roman" w:hint="eastAsia"/>
          <w:lang w:val="fr-FR" w:eastAsia="zh-CN"/>
        </w:rPr>
        <w:t>提交的文稿。</w:t>
      </w:r>
      <w:r w:rsidR="00137EFA" w:rsidRPr="00F14A87">
        <w:rPr>
          <w:rFonts w:asciiTheme="minorEastAsia" w:hAnsiTheme="minorEastAsia"/>
          <w:lang w:eastAsia="zh-CN"/>
        </w:rPr>
        <w:t>。</w:t>
      </w:r>
    </w:p>
    <w:p w:rsidR="00137EFA" w:rsidRDefault="00137EFA" w:rsidP="00137EFA">
      <w:pPr>
        <w:rPr>
          <w:lang w:eastAsia="zh-CN"/>
        </w:rPr>
      </w:pPr>
    </w:p>
    <w:p w:rsidR="00137EFA" w:rsidRPr="00137EFA" w:rsidRDefault="00137EFA" w:rsidP="00137EFA">
      <w:pPr>
        <w:rPr>
          <w:lang w:eastAsia="zh-CN"/>
        </w:rPr>
      </w:pPr>
    </w:p>
    <w:p w:rsidR="00137EFA" w:rsidRPr="00137EFA" w:rsidRDefault="00137EFA" w:rsidP="00137EFA">
      <w:pPr>
        <w:pStyle w:val="Normalaftertitle"/>
        <w:ind w:firstLineChars="200" w:firstLine="480"/>
        <w:rPr>
          <w:rFonts w:asciiTheme="minorEastAsia" w:hAnsiTheme="minorEastAsia"/>
          <w:lang w:eastAsia="zh-CN"/>
        </w:rPr>
      </w:pP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sidRPr="00822597">
        <w:rPr>
          <w:rFonts w:asciiTheme="majorBidi" w:hAnsiTheme="majorBidi" w:cstheme="majorBidi"/>
          <w:lang w:eastAsia="zh-CN"/>
        </w:rPr>
        <w:t>秘书长</w:t>
      </w:r>
      <w:r w:rsidRPr="00822597">
        <w:rPr>
          <w:rFonts w:asciiTheme="majorBidi" w:hAnsiTheme="majorBidi" w:cstheme="majorBidi"/>
          <w:lang w:eastAsia="zh-CN"/>
        </w:rPr>
        <w:br/>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sidRPr="00822597">
        <w:rPr>
          <w:rFonts w:asciiTheme="majorBidi" w:hAnsiTheme="majorBidi" w:cstheme="majorBidi"/>
          <w:lang w:eastAsia="zh-CN"/>
        </w:rPr>
        <w:t>赵厚麟</w:t>
      </w:r>
    </w:p>
    <w:p w:rsidR="00137EFA" w:rsidRDefault="00137EFA" w:rsidP="00137EFA">
      <w:pPr>
        <w:tabs>
          <w:tab w:val="center" w:pos="7088"/>
        </w:tabs>
        <w:spacing w:before="720"/>
        <w:jc w:val="right"/>
        <w:rPr>
          <w:rFonts w:asciiTheme="majorBidi" w:hAnsiTheme="majorBidi" w:cstheme="majorBidi"/>
          <w:lang w:eastAsia="zh-CN"/>
        </w:rPr>
      </w:pPr>
    </w:p>
    <w:p w:rsidR="00137EFA" w:rsidRPr="00461BF4" w:rsidRDefault="00137EFA" w:rsidP="00137EFA">
      <w:pPr>
        <w:tabs>
          <w:tab w:val="center" w:pos="7088"/>
        </w:tabs>
        <w:spacing w:before="840"/>
        <w:rPr>
          <w:rFonts w:ascii="Times New Roman" w:hAnsi="Times New Roman"/>
          <w:lang w:eastAsia="zh-CN"/>
        </w:rPr>
      </w:pPr>
    </w:p>
    <w:p w:rsidR="00E378D8" w:rsidRDefault="00E378D8" w:rsidP="00137EFA">
      <w:pPr>
        <w:tabs>
          <w:tab w:val="clear" w:pos="794"/>
          <w:tab w:val="clear" w:pos="1191"/>
          <w:tab w:val="clear" w:pos="1588"/>
          <w:tab w:val="clear" w:pos="1985"/>
          <w:tab w:val="center" w:pos="8222"/>
        </w:tabs>
        <w:rPr>
          <w:szCs w:val="22"/>
          <w:lang w:val="fr-FR" w:eastAsia="zh-CN"/>
        </w:rPr>
      </w:pPr>
    </w:p>
    <w:p w:rsidR="00E378D8" w:rsidRDefault="00E378D8" w:rsidP="00137EFA">
      <w:pPr>
        <w:tabs>
          <w:tab w:val="left" w:pos="720"/>
        </w:tabs>
        <w:overflowPunct/>
        <w:autoSpaceDE/>
        <w:adjustRightInd/>
        <w:spacing w:before="0"/>
        <w:rPr>
          <w:lang w:val="fr-FR" w:eastAsia="zh-CN"/>
        </w:rPr>
      </w:pPr>
      <w:r>
        <w:rPr>
          <w:lang w:val="fr-FR" w:eastAsia="zh-CN"/>
        </w:rPr>
        <w:br w:type="page"/>
      </w:r>
    </w:p>
    <w:p w:rsidR="00137EFA" w:rsidRPr="00546731" w:rsidRDefault="00137EFA" w:rsidP="00137EFA">
      <w:pPr>
        <w:pStyle w:val="Source"/>
        <w:rPr>
          <w:caps/>
          <w:lang w:val="fr-CH" w:eastAsia="zh-CN"/>
        </w:rPr>
      </w:pPr>
      <w:r w:rsidRPr="00546731">
        <w:rPr>
          <w:rFonts w:hint="eastAsia"/>
          <w:lang w:val="fr-CH" w:eastAsia="zh-CN"/>
        </w:rPr>
        <w:lastRenderedPageBreak/>
        <w:t>阿尔及利亚人民民主共和国提交的文稿</w:t>
      </w:r>
    </w:p>
    <w:p w:rsidR="00137EFA" w:rsidRPr="0053691E" w:rsidRDefault="00CB6A2B" w:rsidP="00137EFA">
      <w:pPr>
        <w:pStyle w:val="Title1"/>
        <w:rPr>
          <w:rFonts w:asciiTheme="minorHAnsi" w:hAnsiTheme="minorHAnsi" w:cstheme="minorHAnsi"/>
          <w:caps w:val="0"/>
          <w:highlight w:val="lightGray"/>
          <w:lang w:val="fr-CH" w:eastAsia="zh-CN"/>
        </w:rPr>
      </w:pPr>
      <w:r w:rsidRPr="0053691E">
        <w:rPr>
          <w:rFonts w:asciiTheme="minorHAnsi" w:hAnsiTheme="minorHAnsi" w:cstheme="minorHAnsi"/>
          <w:bCs/>
          <w:lang w:eastAsia="zh-CN"/>
        </w:rPr>
        <w:t>国际电联理事会第</w:t>
      </w:r>
      <w:r w:rsidRPr="0053691E">
        <w:rPr>
          <w:rFonts w:asciiTheme="minorHAnsi" w:hAnsiTheme="minorHAnsi" w:cstheme="minorHAnsi"/>
          <w:bCs/>
          <w:lang w:eastAsia="zh-CN"/>
        </w:rPr>
        <w:t>1305</w:t>
      </w:r>
      <w:r w:rsidRPr="0053691E">
        <w:rPr>
          <w:rFonts w:asciiTheme="minorHAnsi" w:hAnsiTheme="minorHAnsi" w:cstheme="minorHAnsi"/>
          <w:bCs/>
          <w:lang w:eastAsia="zh-CN"/>
        </w:rPr>
        <w:t>号决议附件</w:t>
      </w:r>
      <w:r w:rsidRPr="0053691E">
        <w:rPr>
          <w:rFonts w:asciiTheme="minorHAnsi" w:hAnsiTheme="minorHAnsi" w:cstheme="minorHAnsi"/>
          <w:bCs/>
          <w:lang w:eastAsia="zh-CN"/>
        </w:rPr>
        <w:t>1</w:t>
      </w:r>
      <w:r w:rsidRPr="0053691E">
        <w:rPr>
          <w:rFonts w:asciiTheme="minorHAnsi" w:hAnsiTheme="minorHAnsi" w:cstheme="minorHAnsi"/>
          <w:bCs/>
          <w:lang w:eastAsia="zh-CN"/>
        </w:rPr>
        <w:t>拟议修正案</w:t>
      </w:r>
    </w:p>
    <w:p w:rsidR="00137EFA" w:rsidRPr="0053691E" w:rsidRDefault="00137EFA" w:rsidP="00137EFA">
      <w:pPr>
        <w:rPr>
          <w:rFonts w:asciiTheme="minorHAnsi" w:hAnsiTheme="minorHAnsi" w:cstheme="minorHAnsi"/>
          <w:lang w:val="fr-CH"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37EFA" w:rsidRPr="00461BF4" w:rsidTr="00BC443E">
        <w:trPr>
          <w:trHeight w:val="3372"/>
        </w:trPr>
        <w:tc>
          <w:tcPr>
            <w:tcW w:w="8080" w:type="dxa"/>
            <w:tcBorders>
              <w:top w:val="single" w:sz="12" w:space="0" w:color="auto"/>
              <w:left w:val="single" w:sz="12" w:space="0" w:color="auto"/>
              <w:bottom w:val="single" w:sz="12" w:space="0" w:color="auto"/>
              <w:right w:val="single" w:sz="12" w:space="0" w:color="auto"/>
            </w:tcBorders>
          </w:tcPr>
          <w:p w:rsidR="00137EFA" w:rsidRPr="00461BF4" w:rsidRDefault="00137EFA" w:rsidP="00137EFA">
            <w:pPr>
              <w:pStyle w:val="Headingb"/>
              <w:rPr>
                <w:rFonts w:ascii="Times New Roman" w:hAnsi="Times New Roman"/>
                <w:lang w:val="fr-CH" w:eastAsia="zh-CN"/>
              </w:rPr>
            </w:pPr>
            <w:r>
              <w:rPr>
                <w:rFonts w:ascii="Times New Roman" w:hAnsi="Times New Roman" w:hint="eastAsia"/>
                <w:lang w:val="fr-CH" w:eastAsia="zh-CN"/>
              </w:rPr>
              <w:t>概要</w:t>
            </w:r>
          </w:p>
          <w:p w:rsidR="00137EFA" w:rsidRPr="0053691E" w:rsidRDefault="006C5B72" w:rsidP="006C5B72">
            <w:pPr>
              <w:ind w:firstLineChars="200" w:firstLine="480"/>
              <w:rPr>
                <w:rFonts w:asciiTheme="minorHAnsi" w:hAnsiTheme="minorHAnsi" w:cstheme="minorHAnsi"/>
                <w:lang w:val="fr-CH" w:eastAsia="zh-CN"/>
              </w:rPr>
            </w:pPr>
            <w:bookmarkStart w:id="3" w:name="lt_pId021"/>
            <w:r w:rsidRPr="0053691E">
              <w:rPr>
                <w:rFonts w:asciiTheme="minorHAnsi" w:hAnsiTheme="minorHAnsi" w:cstheme="minorHAnsi"/>
                <w:lang w:val="fr-CH" w:eastAsia="zh-CN"/>
              </w:rPr>
              <w:t>全权代表大会（</w:t>
            </w:r>
            <w:r w:rsidRPr="0053691E">
              <w:rPr>
                <w:rFonts w:asciiTheme="minorHAnsi" w:hAnsiTheme="minorHAnsi" w:cstheme="minorHAnsi"/>
                <w:lang w:val="fr-CH" w:eastAsia="zh-CN"/>
              </w:rPr>
              <w:t>2018</w:t>
            </w:r>
            <w:r w:rsidRPr="0053691E">
              <w:rPr>
                <w:rFonts w:asciiTheme="minorHAnsi" w:hAnsiTheme="minorHAnsi" w:cstheme="minorHAnsi"/>
                <w:lang w:val="fr-CH" w:eastAsia="zh-CN"/>
              </w:rPr>
              <w:t>年，迪拜）通过了新的有关过顶业务</w:t>
            </w:r>
            <w:r w:rsidR="00137EFA" w:rsidRPr="0053691E">
              <w:rPr>
                <w:rFonts w:asciiTheme="minorHAnsi" w:hAnsiTheme="minorHAnsi" w:cstheme="minorHAnsi"/>
                <w:lang w:val="fr-CH" w:eastAsia="zh-CN"/>
              </w:rPr>
              <w:t>（</w:t>
            </w:r>
            <w:r w:rsidRPr="0053691E">
              <w:rPr>
                <w:rFonts w:asciiTheme="minorHAnsi" w:hAnsiTheme="minorHAnsi" w:cstheme="minorHAnsi"/>
                <w:lang w:val="fr-CH" w:eastAsia="zh-CN"/>
              </w:rPr>
              <w:t>OTT</w:t>
            </w:r>
            <w:r w:rsidR="00137EFA" w:rsidRPr="0053691E">
              <w:rPr>
                <w:rFonts w:asciiTheme="minorHAnsi" w:hAnsiTheme="minorHAnsi" w:cstheme="minorHAnsi"/>
                <w:lang w:val="fr-CH" w:eastAsia="zh-CN"/>
              </w:rPr>
              <w:t>）</w:t>
            </w:r>
            <w:r w:rsidRPr="0053691E">
              <w:rPr>
                <w:rFonts w:asciiTheme="minorHAnsi" w:hAnsiTheme="minorHAnsi" w:cstheme="minorHAnsi"/>
                <w:lang w:val="fr-CH" w:eastAsia="zh-CN"/>
              </w:rPr>
              <w:t>的第</w:t>
            </w:r>
            <w:r w:rsidRPr="0053691E">
              <w:rPr>
                <w:rFonts w:asciiTheme="minorHAnsi" w:hAnsiTheme="minorHAnsi" w:cstheme="minorHAnsi"/>
                <w:lang w:val="fr-CH" w:eastAsia="zh-CN"/>
              </w:rPr>
              <w:t>206</w:t>
            </w:r>
            <w:r w:rsidRPr="0053691E">
              <w:rPr>
                <w:rFonts w:asciiTheme="minorHAnsi" w:hAnsiTheme="minorHAnsi" w:cstheme="minorHAnsi"/>
                <w:lang w:val="fr-CH" w:eastAsia="zh-CN"/>
              </w:rPr>
              <w:t>号决议。现提议修正第</w:t>
            </w:r>
            <w:r w:rsidRPr="0053691E">
              <w:rPr>
                <w:rFonts w:asciiTheme="minorHAnsi" w:hAnsiTheme="minorHAnsi" w:cstheme="minorHAnsi"/>
                <w:lang w:val="fr-CH" w:eastAsia="zh-CN"/>
              </w:rPr>
              <w:t>1305</w:t>
            </w:r>
            <w:r w:rsidRPr="0053691E">
              <w:rPr>
                <w:rFonts w:asciiTheme="minorHAnsi" w:hAnsiTheme="minorHAnsi" w:cstheme="minorHAnsi"/>
                <w:lang w:val="fr-CH" w:eastAsia="zh-CN"/>
              </w:rPr>
              <w:t>号决议，以在其附件的表中纳入</w:t>
            </w:r>
            <w:r w:rsidRPr="0053691E">
              <w:rPr>
                <w:rFonts w:asciiTheme="minorHAnsi" w:hAnsiTheme="minorHAnsi" w:cstheme="minorHAnsi"/>
                <w:lang w:val="fr-CH" w:eastAsia="zh-CN"/>
              </w:rPr>
              <w:t>OTT</w:t>
            </w:r>
            <w:r w:rsidR="00137EFA" w:rsidRPr="0053691E">
              <w:rPr>
                <w:rFonts w:asciiTheme="minorHAnsi" w:hAnsiTheme="minorHAnsi" w:cstheme="minorHAnsi"/>
                <w:lang w:val="fr-CH" w:eastAsia="zh-CN"/>
              </w:rPr>
              <w:t>。</w:t>
            </w:r>
            <w:bookmarkEnd w:id="3"/>
          </w:p>
          <w:p w:rsidR="00137EFA" w:rsidRPr="00461BF4" w:rsidRDefault="00137EFA" w:rsidP="00137EFA">
            <w:pPr>
              <w:pStyle w:val="Headingb"/>
              <w:rPr>
                <w:rFonts w:ascii="Times New Roman" w:hAnsi="Times New Roman"/>
                <w:lang w:val="fr-CH" w:eastAsia="zh-CN"/>
              </w:rPr>
            </w:pPr>
            <w:bookmarkStart w:id="4" w:name="lt_pId022"/>
            <w:r w:rsidRPr="0053691E">
              <w:rPr>
                <w:rFonts w:asciiTheme="minorHAnsi" w:hAnsiTheme="minorHAnsi" w:cstheme="minorHAnsi"/>
                <w:lang w:val="fr-CH" w:eastAsia="zh-CN"/>
              </w:rPr>
              <w:t>需采取</w:t>
            </w:r>
            <w:r w:rsidR="00B45A98" w:rsidRPr="0053691E">
              <w:rPr>
                <w:rFonts w:asciiTheme="minorHAnsi" w:hAnsiTheme="minorHAnsi" w:cstheme="minorHAnsi"/>
                <w:lang w:val="fr-CH" w:eastAsia="zh-CN"/>
              </w:rPr>
              <w:t>的</w:t>
            </w:r>
            <w:r w:rsidRPr="0053691E">
              <w:rPr>
                <w:rFonts w:asciiTheme="minorHAnsi" w:hAnsiTheme="minorHAnsi" w:cstheme="minorHAnsi"/>
                <w:lang w:val="fr-CH" w:eastAsia="zh-CN"/>
              </w:rPr>
              <w:t>行动</w:t>
            </w:r>
            <w:bookmarkEnd w:id="4"/>
          </w:p>
          <w:p w:rsidR="00137EFA" w:rsidRPr="00461BF4" w:rsidRDefault="00137EFA" w:rsidP="00137EFA">
            <w:pPr>
              <w:ind w:firstLineChars="200" w:firstLine="480"/>
              <w:rPr>
                <w:rFonts w:ascii="Times New Roman" w:hAnsi="Times New Roman"/>
                <w:lang w:val="fr-CH" w:eastAsia="zh-CN"/>
              </w:rPr>
            </w:pPr>
            <w:bookmarkStart w:id="5" w:name="lt_pId023"/>
            <w:r w:rsidRPr="00546731">
              <w:rPr>
                <w:rFonts w:ascii="Times New Roman" w:hAnsi="Times New Roman" w:hint="eastAsia"/>
                <w:lang w:val="fr-CH" w:eastAsia="zh-CN"/>
              </w:rPr>
              <w:t>阿尔及利亚</w:t>
            </w:r>
            <w:r>
              <w:rPr>
                <w:rFonts w:ascii="Times New Roman" w:hAnsi="Times New Roman" w:hint="eastAsia"/>
                <w:lang w:val="fr-CH" w:eastAsia="zh-CN"/>
              </w:rPr>
              <w:t>请理事会注意本文稿的内容并通过</w:t>
            </w:r>
            <w:r w:rsidR="002B764E">
              <w:rPr>
                <w:rFonts w:ascii="Times New Roman" w:hAnsi="Times New Roman" w:hint="eastAsia"/>
                <w:lang w:val="fr-CH" w:eastAsia="zh-CN"/>
              </w:rPr>
              <w:t>其中的</w:t>
            </w:r>
            <w:r w:rsidR="00D672F2">
              <w:rPr>
                <w:rFonts w:ascii="Times New Roman" w:hAnsi="Times New Roman" w:hint="eastAsia"/>
                <w:lang w:val="fr-CH" w:eastAsia="zh-CN"/>
              </w:rPr>
              <w:t>拟议修正案</w:t>
            </w:r>
            <w:r>
              <w:rPr>
                <w:rFonts w:ascii="Times New Roman" w:hAnsi="Times New Roman" w:hint="eastAsia"/>
                <w:lang w:val="fr-CH" w:eastAsia="zh-CN"/>
              </w:rPr>
              <w:t>。</w:t>
            </w:r>
            <w:bookmarkEnd w:id="5"/>
          </w:p>
          <w:p w:rsidR="00137EFA" w:rsidRPr="00461BF4" w:rsidRDefault="00137EFA" w:rsidP="00137EFA">
            <w:pPr>
              <w:pStyle w:val="Table"/>
              <w:keepNext w:val="0"/>
              <w:spacing w:before="0" w:after="0"/>
              <w:rPr>
                <w:rFonts w:eastAsia="SimSun"/>
                <w:caps w:val="0"/>
                <w:sz w:val="22"/>
                <w:lang w:val="fr-CH" w:eastAsia="zh-CN"/>
              </w:rPr>
            </w:pPr>
            <w:r w:rsidRPr="00461BF4">
              <w:rPr>
                <w:rFonts w:eastAsia="SimSun"/>
                <w:caps w:val="0"/>
                <w:sz w:val="22"/>
                <w:lang w:val="fr-CH" w:eastAsia="zh-CN"/>
              </w:rPr>
              <w:t>____________</w:t>
            </w:r>
          </w:p>
          <w:p w:rsidR="00137EFA" w:rsidRPr="00461BF4" w:rsidRDefault="00137EFA" w:rsidP="00137EFA">
            <w:pPr>
              <w:pStyle w:val="Headingb"/>
              <w:rPr>
                <w:rFonts w:ascii="Times New Roman" w:hAnsi="Times New Roman"/>
                <w:lang w:val="fr-CH" w:eastAsia="zh-CN"/>
              </w:rPr>
            </w:pPr>
            <w:bookmarkStart w:id="6" w:name="lt_pId025"/>
            <w:r>
              <w:rPr>
                <w:rFonts w:ascii="Times New Roman" w:hAnsi="Times New Roman" w:hint="eastAsia"/>
                <w:lang w:val="fr-CH" w:eastAsia="zh-CN"/>
              </w:rPr>
              <w:t>参考文件</w:t>
            </w:r>
            <w:bookmarkEnd w:id="6"/>
          </w:p>
          <w:p w:rsidR="00137EFA" w:rsidRPr="00137EFA" w:rsidRDefault="00E43355" w:rsidP="00137EFA">
            <w:pPr>
              <w:spacing w:after="120"/>
              <w:rPr>
                <w:rFonts w:ascii="STKaiti" w:eastAsia="STKaiti" w:hAnsi="STKaiti"/>
                <w:b/>
                <w:color w:val="800000"/>
                <w:sz w:val="22"/>
                <w:lang w:val="fr-CH" w:eastAsia="zh-CN"/>
              </w:rPr>
            </w:pPr>
            <w:hyperlink r:id="rId9" w:history="1">
              <w:bookmarkStart w:id="7" w:name="lt_pId026"/>
              <w:r w:rsidR="00137EFA" w:rsidRPr="00137EFA">
                <w:rPr>
                  <w:rStyle w:val="Hyperlink"/>
                  <w:rFonts w:ascii="STKaiti" w:eastAsia="STKaiti" w:hAnsi="STKaiti"/>
                  <w:lang w:val="fr-CH" w:eastAsia="zh-CN"/>
                </w:rPr>
                <w:t>第</w:t>
              </w:r>
              <w:r w:rsidR="00EF033C">
                <w:rPr>
                  <w:rStyle w:val="Hyperlink"/>
                  <w:rFonts w:ascii="STKaiti" w:eastAsia="STKaiti" w:hAnsi="STKaiti"/>
                  <w:lang w:val="fr-CH" w:eastAsia="zh-CN"/>
                </w:rPr>
                <w:t>1102</w:t>
              </w:r>
              <w:r w:rsidR="00137EFA" w:rsidRPr="00137EFA">
                <w:rPr>
                  <w:rStyle w:val="Hyperlink"/>
                  <w:rFonts w:ascii="STKaiti" w:eastAsia="STKaiti" w:hAnsi="STKaiti" w:hint="eastAsia"/>
                  <w:lang w:val="fr-CH" w:eastAsia="zh-CN"/>
                </w:rPr>
                <w:t>号决议（2018年，迪拜，修订版）</w:t>
              </w:r>
              <w:bookmarkEnd w:id="7"/>
            </w:hyperlink>
            <w:r w:rsidR="00EF033C" w:rsidRPr="008F6297">
              <w:rPr>
                <w:rStyle w:val="Hyperlink"/>
                <w:rFonts w:ascii="STKaiti" w:eastAsia="STKaiti" w:hAnsi="STKaiti"/>
                <w:u w:val="none"/>
                <w:lang w:val="fr-CH" w:eastAsia="zh-CN"/>
              </w:rPr>
              <w:t>；</w:t>
            </w:r>
            <w:hyperlink r:id="rId10" w:history="1">
              <w:r w:rsidR="00EF033C" w:rsidRPr="008F6297">
                <w:rPr>
                  <w:rStyle w:val="Hyperlink"/>
                  <w:rFonts w:ascii="STKaiti" w:eastAsia="STKaiti" w:hAnsi="STKaiti" w:hint="eastAsia"/>
                  <w:lang w:val="fr-CH" w:eastAsia="zh-CN"/>
                </w:rPr>
                <w:t>理事会第1305号决议</w:t>
              </w:r>
            </w:hyperlink>
          </w:p>
          <w:p w:rsidR="00137EFA" w:rsidRPr="00461BF4" w:rsidRDefault="00137EFA" w:rsidP="00137EFA">
            <w:pPr>
              <w:spacing w:after="120"/>
              <w:rPr>
                <w:rFonts w:ascii="Times New Roman" w:hAnsi="Times New Roman"/>
                <w:i/>
                <w:iCs/>
                <w:lang w:val="fr-CH" w:eastAsia="zh-CN"/>
              </w:rPr>
            </w:pPr>
          </w:p>
        </w:tc>
      </w:tr>
    </w:tbl>
    <w:p w:rsidR="00137EFA" w:rsidRDefault="00137EFA" w:rsidP="00373791">
      <w:pPr>
        <w:pStyle w:val="Headingb"/>
        <w:spacing w:before="360"/>
        <w:rPr>
          <w:lang w:eastAsia="zh-CN"/>
        </w:rPr>
      </w:pPr>
      <w:bookmarkStart w:id="8" w:name="lt_pId027"/>
      <w:r>
        <w:rPr>
          <w:rFonts w:hint="eastAsia"/>
          <w:lang w:eastAsia="zh-CN"/>
        </w:rPr>
        <w:t>前言</w:t>
      </w:r>
      <w:bookmarkEnd w:id="8"/>
    </w:p>
    <w:p w:rsidR="0081291D" w:rsidRPr="0053691E" w:rsidRDefault="001B1E62" w:rsidP="0053691E">
      <w:pPr>
        <w:ind w:firstLineChars="200" w:firstLine="480"/>
        <w:rPr>
          <w:lang w:eastAsia="zh-CN"/>
        </w:rPr>
      </w:pPr>
      <w:r w:rsidRPr="0053691E">
        <w:rPr>
          <w:rFonts w:hint="eastAsia"/>
          <w:lang w:eastAsia="zh-CN"/>
        </w:rPr>
        <w:t>理事会第</w:t>
      </w:r>
      <w:r w:rsidRPr="0053691E">
        <w:rPr>
          <w:lang w:eastAsia="zh-CN"/>
        </w:rPr>
        <w:t>1305</w:t>
      </w:r>
      <w:r w:rsidRPr="0053691E">
        <w:rPr>
          <w:rFonts w:hint="eastAsia"/>
          <w:lang w:eastAsia="zh-CN"/>
        </w:rPr>
        <w:t>号决议（</w:t>
      </w:r>
      <w:r w:rsidRPr="0053691E">
        <w:rPr>
          <w:lang w:eastAsia="zh-CN"/>
        </w:rPr>
        <w:t>2009</w:t>
      </w:r>
      <w:r w:rsidRPr="0053691E">
        <w:rPr>
          <w:rFonts w:hint="eastAsia"/>
          <w:lang w:eastAsia="zh-CN"/>
        </w:rPr>
        <w:t>年）请成员国认识</w:t>
      </w:r>
      <w:r w:rsidR="000749EC" w:rsidRPr="0053691E">
        <w:rPr>
          <w:rFonts w:hint="eastAsia"/>
          <w:lang w:eastAsia="zh-CN"/>
        </w:rPr>
        <w:t>到</w:t>
      </w:r>
      <w:r w:rsidRPr="0053691E">
        <w:rPr>
          <w:rFonts w:hint="eastAsia"/>
          <w:lang w:eastAsia="zh-CN"/>
        </w:rPr>
        <w:t>根据国际电联成员在全权代表大会、理事会和世界大会上所做决定制定的该决议附件</w:t>
      </w:r>
      <w:r w:rsidRPr="0053691E">
        <w:rPr>
          <w:lang w:eastAsia="zh-CN"/>
        </w:rPr>
        <w:t>1</w:t>
      </w:r>
      <w:r w:rsidRPr="0053691E">
        <w:rPr>
          <w:rFonts w:hint="eastAsia"/>
          <w:lang w:eastAsia="zh-CN"/>
        </w:rPr>
        <w:t>议题清单中所列的国际电联在国际互联网公共政策问题方面的工作范围。</w:t>
      </w:r>
    </w:p>
    <w:p w:rsidR="0081291D" w:rsidRPr="0053691E" w:rsidRDefault="0081291D" w:rsidP="0053691E">
      <w:pPr>
        <w:ind w:firstLineChars="200" w:firstLine="480"/>
        <w:rPr>
          <w:lang w:eastAsia="zh-CN"/>
        </w:rPr>
      </w:pPr>
      <w:r w:rsidRPr="0053691E">
        <w:rPr>
          <w:rFonts w:hint="eastAsia"/>
          <w:lang w:eastAsia="zh-CN"/>
        </w:rPr>
        <w:t>在该决议中，理事会请成员国制定其针对清单中每个国际互联网相关公共政策问题的相应立场，并为国际电联在这些问题方面的工作积极提供文稿。</w:t>
      </w:r>
    </w:p>
    <w:p w:rsidR="00286B98" w:rsidRPr="0053691E" w:rsidRDefault="00286B98" w:rsidP="0053691E">
      <w:pPr>
        <w:ind w:firstLineChars="200" w:firstLine="480"/>
        <w:rPr>
          <w:lang w:eastAsia="zh-CN"/>
        </w:rPr>
      </w:pPr>
      <w:r w:rsidRPr="0053691E">
        <w:rPr>
          <w:rFonts w:hint="eastAsia"/>
          <w:lang w:eastAsia="zh-CN"/>
        </w:rPr>
        <w:t>理事会第</w:t>
      </w:r>
      <w:r w:rsidRPr="0053691E">
        <w:rPr>
          <w:lang w:eastAsia="zh-CN"/>
        </w:rPr>
        <w:t>1336</w:t>
      </w:r>
      <w:r w:rsidRPr="0053691E">
        <w:rPr>
          <w:rFonts w:hint="eastAsia"/>
          <w:lang w:eastAsia="zh-CN"/>
        </w:rPr>
        <w:t>号决议（</w:t>
      </w:r>
      <w:r w:rsidRPr="0053691E">
        <w:rPr>
          <w:rFonts w:hint="eastAsia"/>
          <w:lang w:eastAsia="zh-CN"/>
        </w:rPr>
        <w:t>2015</w:t>
      </w:r>
      <w:r w:rsidRPr="0053691E">
        <w:rPr>
          <w:rFonts w:hint="eastAsia"/>
          <w:lang w:eastAsia="zh-CN"/>
        </w:rPr>
        <w:t>年，修订版）规定，</w:t>
      </w:r>
      <w:r w:rsidRPr="0053691E">
        <w:rPr>
          <w:lang w:eastAsia="zh-CN"/>
        </w:rPr>
        <w:t>CWG-Internet</w:t>
      </w:r>
      <w:r w:rsidRPr="0053691E">
        <w:rPr>
          <w:rFonts w:hint="eastAsia"/>
          <w:lang w:eastAsia="zh-CN"/>
        </w:rPr>
        <w:t>工作组的职责范围是确定、研究和推进与国际互联网相关公共政策问题</w:t>
      </w:r>
      <w:r w:rsidR="000749EC" w:rsidRPr="0053691E">
        <w:rPr>
          <w:rFonts w:hint="eastAsia"/>
          <w:lang w:eastAsia="zh-CN"/>
        </w:rPr>
        <w:t>有关的</w:t>
      </w:r>
      <w:r w:rsidRPr="0053691E">
        <w:rPr>
          <w:rFonts w:hint="eastAsia"/>
          <w:lang w:eastAsia="zh-CN"/>
        </w:rPr>
        <w:t>事宜，包括理事会第</w:t>
      </w:r>
      <w:r w:rsidRPr="0053691E">
        <w:rPr>
          <w:lang w:eastAsia="zh-CN"/>
        </w:rPr>
        <w:t>1305</w:t>
      </w:r>
      <w:r w:rsidRPr="0053691E">
        <w:rPr>
          <w:rFonts w:hint="eastAsia"/>
          <w:lang w:eastAsia="zh-CN"/>
        </w:rPr>
        <w:t>号决议（</w:t>
      </w:r>
      <w:r w:rsidRPr="0053691E">
        <w:rPr>
          <w:lang w:eastAsia="zh-CN"/>
        </w:rPr>
        <w:t>2009</w:t>
      </w:r>
      <w:r w:rsidRPr="0053691E">
        <w:rPr>
          <w:rFonts w:hint="eastAsia"/>
          <w:lang w:eastAsia="zh-CN"/>
        </w:rPr>
        <w:t>年）附件</w:t>
      </w:r>
      <w:r w:rsidRPr="0053691E">
        <w:rPr>
          <w:rFonts w:hint="eastAsia"/>
          <w:lang w:eastAsia="zh-CN"/>
        </w:rPr>
        <w:t>1</w:t>
      </w:r>
      <w:r w:rsidRPr="0053691E">
        <w:rPr>
          <w:rFonts w:hint="eastAsia"/>
          <w:lang w:eastAsia="zh-CN"/>
        </w:rPr>
        <w:t>确定的问题。</w:t>
      </w:r>
    </w:p>
    <w:p w:rsidR="00732C9C" w:rsidRPr="0053691E" w:rsidRDefault="00732C9C" w:rsidP="0053691E">
      <w:pPr>
        <w:ind w:firstLineChars="200" w:firstLine="480"/>
        <w:rPr>
          <w:lang w:eastAsia="zh-CN"/>
        </w:rPr>
      </w:pPr>
      <w:r w:rsidRPr="0053691E">
        <w:rPr>
          <w:rFonts w:hint="eastAsia"/>
          <w:lang w:eastAsia="zh-CN"/>
        </w:rPr>
        <w:t>此外，全权代表大会（</w:t>
      </w:r>
      <w:r w:rsidRPr="0053691E">
        <w:rPr>
          <w:rFonts w:hint="eastAsia"/>
          <w:lang w:eastAsia="zh-CN"/>
        </w:rPr>
        <w:t>2018</w:t>
      </w:r>
      <w:r w:rsidRPr="0053691E">
        <w:rPr>
          <w:rFonts w:hint="eastAsia"/>
          <w:lang w:eastAsia="zh-CN"/>
        </w:rPr>
        <w:t>年，迪拜）通过的新的有关过顶业务（</w:t>
      </w:r>
      <w:r w:rsidRPr="0053691E">
        <w:rPr>
          <w:rFonts w:hint="eastAsia"/>
          <w:lang w:eastAsia="zh-CN"/>
        </w:rPr>
        <w:t>O</w:t>
      </w:r>
      <w:r w:rsidRPr="0053691E">
        <w:rPr>
          <w:lang w:eastAsia="zh-CN"/>
        </w:rPr>
        <w:t>TT</w:t>
      </w:r>
      <w:r w:rsidRPr="0053691E">
        <w:rPr>
          <w:rFonts w:hint="eastAsia"/>
          <w:lang w:eastAsia="zh-CN"/>
        </w:rPr>
        <w:t>）的决议特别规定：</w:t>
      </w:r>
    </w:p>
    <w:p w:rsidR="00043437" w:rsidRPr="00043437" w:rsidRDefault="00043437" w:rsidP="0053691E">
      <w:pPr>
        <w:pStyle w:val="enumlev1"/>
        <w:rPr>
          <w:rFonts w:eastAsia="Times New Roman"/>
          <w:lang w:eastAsia="zh-CN"/>
        </w:rPr>
      </w:pPr>
      <w:r>
        <w:rPr>
          <w:rFonts w:eastAsia="Times New Roman"/>
          <w:lang w:eastAsia="zh-CN"/>
        </w:rPr>
        <w:t>•</w:t>
      </w:r>
      <w:r>
        <w:rPr>
          <w:rFonts w:eastAsia="Times New Roman"/>
          <w:lang w:eastAsia="zh-CN"/>
        </w:rPr>
        <w:tab/>
      </w:r>
      <w:r w:rsidRPr="0060122F">
        <w:rPr>
          <w:rFonts w:hint="eastAsia"/>
          <w:noProof/>
          <w:lang w:eastAsia="zh-CN"/>
        </w:rPr>
        <w:t>OTT</w:t>
      </w:r>
      <w:r w:rsidRPr="0060122F">
        <w:rPr>
          <w:rFonts w:hint="eastAsia"/>
          <w:noProof/>
          <w:lang w:eastAsia="zh-CN"/>
        </w:rPr>
        <w:t>与电信运营商之间的相互合作可催生创新型、可持续且有活力的商业模式，并在增加社会福祉方面发挥其积极作用</w:t>
      </w:r>
      <w:r>
        <w:rPr>
          <w:rFonts w:hint="eastAsia"/>
          <w:noProof/>
          <w:lang w:eastAsia="zh-CN"/>
        </w:rPr>
        <w:t>；</w:t>
      </w:r>
    </w:p>
    <w:p w:rsidR="00043437" w:rsidRPr="00043437" w:rsidRDefault="00081597" w:rsidP="0053691E">
      <w:pPr>
        <w:pStyle w:val="enumlev1"/>
        <w:rPr>
          <w:rFonts w:eastAsia="Times New Roman"/>
          <w:lang w:eastAsia="zh-CN"/>
        </w:rPr>
      </w:pPr>
      <w:r>
        <w:rPr>
          <w:rFonts w:eastAsia="Times New Roman"/>
          <w:lang w:eastAsia="zh-CN"/>
        </w:rPr>
        <w:lastRenderedPageBreak/>
        <w:t>•</w:t>
      </w:r>
      <w:r>
        <w:rPr>
          <w:rFonts w:eastAsia="Times New Roman"/>
          <w:lang w:eastAsia="zh-CN"/>
        </w:rPr>
        <w:tab/>
      </w:r>
      <w:r w:rsidRPr="0060122F">
        <w:rPr>
          <w:rFonts w:hint="eastAsia"/>
          <w:noProof/>
          <w:szCs w:val="24"/>
          <w:lang w:eastAsia="zh-CN"/>
        </w:rPr>
        <w:t>鉴于</w:t>
      </w:r>
      <w:r w:rsidRPr="0060122F">
        <w:rPr>
          <w:rFonts w:cstheme="majorBidi" w:hint="eastAsia"/>
          <w:noProof/>
          <w:lang w:eastAsia="zh-CN"/>
        </w:rPr>
        <w:t>众多</w:t>
      </w:r>
      <w:r w:rsidRPr="0060122F">
        <w:rPr>
          <w:rFonts w:cstheme="majorBidi" w:hint="eastAsia"/>
          <w:noProof/>
          <w:lang w:eastAsia="zh-CN"/>
        </w:rPr>
        <w:t>OTT</w:t>
      </w:r>
      <w:r w:rsidRPr="0060122F">
        <w:rPr>
          <w:rFonts w:cstheme="majorBidi" w:hint="eastAsia"/>
          <w:noProof/>
          <w:lang w:eastAsia="zh-CN"/>
        </w:rPr>
        <w:t>业务的全球属性，应大力提倡在多</w:t>
      </w:r>
      <w:r>
        <w:rPr>
          <w:rFonts w:cstheme="majorBidi" w:hint="eastAsia"/>
          <w:noProof/>
          <w:lang w:eastAsia="zh-CN"/>
        </w:rPr>
        <w:t>个</w:t>
      </w:r>
      <w:r w:rsidRPr="0060122F">
        <w:rPr>
          <w:rFonts w:cstheme="majorBidi" w:hint="eastAsia"/>
          <w:noProof/>
          <w:lang w:eastAsia="zh-CN"/>
        </w:rPr>
        <w:t>成员国和部门成员之间开展协作；</w:t>
      </w:r>
    </w:p>
    <w:p w:rsidR="00043437" w:rsidRPr="00043437" w:rsidRDefault="00043437" w:rsidP="0053691E">
      <w:pPr>
        <w:pStyle w:val="enumlev1"/>
        <w:rPr>
          <w:rFonts w:eastAsia="Times New Roman"/>
          <w:szCs w:val="24"/>
          <w:lang w:eastAsia="zh-CN"/>
        </w:rPr>
      </w:pPr>
      <w:r w:rsidRPr="00043437">
        <w:rPr>
          <w:rFonts w:eastAsia="Times New Roman"/>
          <w:lang w:eastAsia="zh-CN"/>
        </w:rPr>
        <w:t>•</w:t>
      </w:r>
      <w:r w:rsidRPr="00043437">
        <w:rPr>
          <w:rFonts w:eastAsia="Times New Roman"/>
          <w:lang w:eastAsia="zh-CN"/>
        </w:rPr>
        <w:tab/>
      </w:r>
      <w:r w:rsidR="008D7886" w:rsidRPr="0060122F">
        <w:rPr>
          <w:rFonts w:hint="eastAsia"/>
          <w:noProof/>
          <w:lang w:eastAsia="zh-CN"/>
        </w:rPr>
        <w:t>OTT</w:t>
      </w:r>
      <w:r w:rsidR="008D7886" w:rsidRPr="0060122F">
        <w:rPr>
          <w:rFonts w:hint="eastAsia"/>
          <w:noProof/>
          <w:lang w:eastAsia="zh-CN"/>
        </w:rPr>
        <w:t>政策</w:t>
      </w:r>
      <w:r w:rsidR="008D7886">
        <w:rPr>
          <w:rFonts w:hint="eastAsia"/>
          <w:noProof/>
          <w:lang w:eastAsia="zh-CN"/>
        </w:rPr>
        <w:t>方面的一些</w:t>
      </w:r>
      <w:r w:rsidR="008D7886" w:rsidRPr="0060122F">
        <w:rPr>
          <w:rFonts w:hint="eastAsia"/>
          <w:noProof/>
          <w:lang w:eastAsia="zh-CN"/>
        </w:rPr>
        <w:t>问题，</w:t>
      </w:r>
      <w:r w:rsidR="008D7886">
        <w:rPr>
          <w:rFonts w:hint="eastAsia"/>
          <w:noProof/>
          <w:lang w:eastAsia="zh-CN"/>
        </w:rPr>
        <w:t>可能</w:t>
      </w:r>
      <w:r w:rsidR="008D7886" w:rsidRPr="0060122F">
        <w:rPr>
          <w:rFonts w:hint="eastAsia"/>
          <w:noProof/>
          <w:lang w:eastAsia="zh-CN"/>
        </w:rPr>
        <w:t>具有国际影响</w:t>
      </w:r>
      <w:r w:rsidR="008D7886">
        <w:rPr>
          <w:rFonts w:hint="eastAsia"/>
          <w:noProof/>
          <w:lang w:eastAsia="zh-CN"/>
        </w:rPr>
        <w:t>；</w:t>
      </w:r>
    </w:p>
    <w:p w:rsidR="00043437" w:rsidRPr="00043437" w:rsidRDefault="004A109C" w:rsidP="0053691E">
      <w:pPr>
        <w:pStyle w:val="enumlev1"/>
        <w:rPr>
          <w:rFonts w:eastAsia="Times New Roman"/>
          <w:lang w:eastAsia="zh-CN"/>
        </w:rPr>
      </w:pPr>
      <w:r>
        <w:rPr>
          <w:rFonts w:eastAsia="Times New Roman"/>
          <w:lang w:eastAsia="zh-CN"/>
        </w:rPr>
        <w:t>•</w:t>
      </w:r>
      <w:r>
        <w:rPr>
          <w:rFonts w:eastAsia="Times New Roman"/>
          <w:lang w:eastAsia="zh-CN"/>
        </w:rPr>
        <w:tab/>
      </w:r>
      <w:r>
        <w:rPr>
          <w:rFonts w:asciiTheme="minorHAnsi" w:hAnsiTheme="minorHAnsi" w:hint="eastAsia"/>
          <w:noProof/>
          <w:szCs w:val="24"/>
          <w:lang w:eastAsia="zh-CN"/>
        </w:rPr>
        <w:t>网络运营商和</w:t>
      </w:r>
      <w:r>
        <w:rPr>
          <w:rFonts w:asciiTheme="minorHAnsi" w:hAnsiTheme="minorHAnsi" w:hint="eastAsia"/>
          <w:noProof/>
          <w:szCs w:val="24"/>
          <w:lang w:eastAsia="zh-CN"/>
        </w:rPr>
        <w:t>OTT</w:t>
      </w:r>
      <w:r>
        <w:rPr>
          <w:rFonts w:asciiTheme="minorHAnsi" w:hAnsiTheme="minorHAnsi" w:hint="eastAsia"/>
          <w:noProof/>
          <w:szCs w:val="24"/>
          <w:lang w:eastAsia="zh-CN"/>
        </w:rPr>
        <w:t>是国际电信</w:t>
      </w:r>
      <w:r>
        <w:rPr>
          <w:rFonts w:asciiTheme="minorHAnsi" w:hAnsiTheme="minorHAnsi" w:hint="eastAsia"/>
          <w:noProof/>
          <w:szCs w:val="24"/>
          <w:lang w:eastAsia="zh-CN"/>
        </w:rPr>
        <w:t>/ICT</w:t>
      </w:r>
      <w:r>
        <w:rPr>
          <w:rFonts w:asciiTheme="minorHAnsi" w:hAnsiTheme="minorHAnsi" w:hint="eastAsia"/>
          <w:noProof/>
          <w:szCs w:val="24"/>
          <w:lang w:eastAsia="zh-CN"/>
        </w:rPr>
        <w:t>生态系统的组成部分；</w:t>
      </w:r>
    </w:p>
    <w:p w:rsidR="00043437" w:rsidRDefault="00043437" w:rsidP="0053691E">
      <w:pPr>
        <w:pStyle w:val="enumlev1"/>
        <w:rPr>
          <w:noProof/>
          <w:lang w:eastAsia="zh-CN"/>
        </w:rPr>
      </w:pPr>
      <w:r w:rsidRPr="00043437">
        <w:rPr>
          <w:rFonts w:eastAsia="Times New Roman"/>
          <w:lang w:eastAsia="zh-CN"/>
        </w:rPr>
        <w:t>•</w:t>
      </w:r>
      <w:r w:rsidRPr="00043437">
        <w:rPr>
          <w:rFonts w:eastAsia="Times New Roman"/>
          <w:lang w:eastAsia="zh-CN"/>
        </w:rPr>
        <w:tab/>
      </w:r>
      <w:r w:rsidR="00A77F71" w:rsidRPr="00FB5CA6">
        <w:rPr>
          <w:rFonts w:hint="eastAsia"/>
          <w:noProof/>
          <w:lang w:eastAsia="zh-CN"/>
        </w:rPr>
        <w:t>电信</w:t>
      </w:r>
      <w:r w:rsidR="00A77F71">
        <w:rPr>
          <w:rFonts w:hint="eastAsia"/>
          <w:noProof/>
          <w:lang w:eastAsia="zh-CN"/>
        </w:rPr>
        <w:t>/ICT</w:t>
      </w:r>
      <w:r w:rsidR="00A77F71">
        <w:rPr>
          <w:rFonts w:hint="eastAsia"/>
          <w:noProof/>
          <w:lang w:eastAsia="zh-CN"/>
        </w:rPr>
        <w:t>的</w:t>
      </w:r>
      <w:r w:rsidR="00A77F71" w:rsidRPr="00FB5CA6">
        <w:rPr>
          <w:rFonts w:hint="eastAsia"/>
          <w:noProof/>
          <w:lang w:eastAsia="zh-CN"/>
        </w:rPr>
        <w:t>技术</w:t>
      </w:r>
      <w:r w:rsidR="00A77F71" w:rsidRPr="00AE3C09">
        <w:rPr>
          <w:rFonts w:hint="eastAsia"/>
          <w:noProof/>
          <w:lang w:eastAsia="zh-CN"/>
        </w:rPr>
        <w:t>和</w:t>
      </w:r>
      <w:r w:rsidR="00A77F71" w:rsidRPr="00AE3C09">
        <w:rPr>
          <w:rFonts w:hint="eastAsia"/>
          <w:noProof/>
          <w:lang w:eastAsia="zh-CN"/>
        </w:rPr>
        <w:t>OTT</w:t>
      </w:r>
      <w:r w:rsidR="00A77F71" w:rsidRPr="00FB5CA6">
        <w:rPr>
          <w:rFonts w:hint="eastAsia"/>
          <w:noProof/>
          <w:lang w:eastAsia="zh-CN"/>
        </w:rPr>
        <w:t>发展</w:t>
      </w:r>
      <w:r w:rsidR="00A77F71">
        <w:rPr>
          <w:rFonts w:hint="eastAsia"/>
          <w:noProof/>
          <w:lang w:eastAsia="zh-CN"/>
        </w:rPr>
        <w:t>既创造</w:t>
      </w:r>
      <w:r w:rsidR="00A77F71" w:rsidRPr="00FB5CA6">
        <w:rPr>
          <w:rFonts w:hint="eastAsia"/>
          <w:noProof/>
          <w:lang w:eastAsia="zh-CN"/>
        </w:rPr>
        <w:t>了机遇</w:t>
      </w:r>
      <w:r w:rsidR="00AC61D9">
        <w:rPr>
          <w:rFonts w:hint="eastAsia"/>
          <w:noProof/>
          <w:lang w:eastAsia="zh-CN"/>
        </w:rPr>
        <w:t>，也带来了挑战</w:t>
      </w:r>
      <w:r w:rsidR="00A77F71">
        <w:rPr>
          <w:rFonts w:hint="eastAsia"/>
          <w:noProof/>
          <w:lang w:eastAsia="zh-CN"/>
        </w:rPr>
        <w:t>；</w:t>
      </w:r>
    </w:p>
    <w:p w:rsidR="00FD195E" w:rsidRPr="00FD195E" w:rsidRDefault="00FD195E" w:rsidP="0053691E">
      <w:pPr>
        <w:pStyle w:val="enumlev1"/>
        <w:rPr>
          <w:rFonts w:eastAsia="Times New Roman"/>
          <w:lang w:eastAsia="zh-CN"/>
        </w:rPr>
      </w:pPr>
      <w:r>
        <w:rPr>
          <w:rFonts w:eastAsia="Times New Roman"/>
          <w:lang w:eastAsia="zh-CN"/>
        </w:rPr>
        <w:t>•</w:t>
      </w:r>
      <w:r>
        <w:rPr>
          <w:rFonts w:eastAsia="Times New Roman"/>
          <w:lang w:eastAsia="zh-CN"/>
        </w:rPr>
        <w:tab/>
      </w:r>
      <w:r>
        <w:rPr>
          <w:rFonts w:hint="eastAsia"/>
          <w:noProof/>
          <w:lang w:eastAsia="zh-CN"/>
        </w:rPr>
        <w:t>全球电信生态系统相互依存，且越来越多地由数据驱动。</w:t>
      </w:r>
    </w:p>
    <w:p w:rsidR="00FD195E" w:rsidRPr="0053691E" w:rsidRDefault="0072047A" w:rsidP="0053691E">
      <w:pPr>
        <w:ind w:firstLineChars="200" w:firstLine="480"/>
        <w:rPr>
          <w:lang w:eastAsia="zh-CN"/>
        </w:rPr>
      </w:pPr>
      <w:r w:rsidRPr="0053691E">
        <w:rPr>
          <w:rFonts w:hint="eastAsia"/>
          <w:lang w:eastAsia="zh-CN"/>
        </w:rPr>
        <w:t>OTT</w:t>
      </w:r>
      <w:r w:rsidRPr="0053691E">
        <w:rPr>
          <w:rFonts w:hint="eastAsia"/>
          <w:lang w:eastAsia="zh-CN"/>
        </w:rPr>
        <w:t>业务由互联网提供，这既带来了挑战，也创造了机遇，对发展中国家尤其如此，因此促使我们在国家和国际层面采取积极主动的行动。</w:t>
      </w:r>
      <w:r w:rsidR="00FB00E8" w:rsidRPr="0053691E">
        <w:rPr>
          <w:rFonts w:hint="eastAsia"/>
          <w:lang w:eastAsia="zh-CN"/>
        </w:rPr>
        <w:t>有鉴于此</w:t>
      </w:r>
      <w:r w:rsidRPr="0053691E">
        <w:rPr>
          <w:rFonts w:hint="eastAsia"/>
          <w:lang w:eastAsia="zh-CN"/>
        </w:rPr>
        <w:t>，有必要在国际</w:t>
      </w:r>
      <w:r w:rsidR="00FB00E8" w:rsidRPr="0053691E">
        <w:rPr>
          <w:rFonts w:hint="eastAsia"/>
          <w:lang w:eastAsia="zh-CN"/>
        </w:rPr>
        <w:t>层面审视</w:t>
      </w:r>
      <w:r w:rsidRPr="0053691E">
        <w:rPr>
          <w:rFonts w:hint="eastAsia"/>
          <w:lang w:eastAsia="zh-CN"/>
        </w:rPr>
        <w:t>所有人的</w:t>
      </w:r>
      <w:r w:rsidR="00FB00E8" w:rsidRPr="0053691E">
        <w:rPr>
          <w:rFonts w:hint="eastAsia"/>
          <w:lang w:eastAsia="zh-CN"/>
        </w:rPr>
        <w:t>福祉</w:t>
      </w:r>
      <w:r w:rsidRPr="0053691E">
        <w:rPr>
          <w:rFonts w:hint="eastAsia"/>
          <w:lang w:eastAsia="zh-CN"/>
        </w:rPr>
        <w:t>，因为我们知道，</w:t>
      </w:r>
      <w:r w:rsidR="00FB00E8" w:rsidRPr="0053691E">
        <w:rPr>
          <w:rFonts w:hint="eastAsia"/>
          <w:lang w:eastAsia="zh-CN"/>
        </w:rPr>
        <w:t>O</w:t>
      </w:r>
      <w:r w:rsidR="00FB00E8" w:rsidRPr="0053691E">
        <w:rPr>
          <w:lang w:eastAsia="zh-CN"/>
        </w:rPr>
        <w:t>TT</w:t>
      </w:r>
      <w:r w:rsidR="00FB00E8" w:rsidRPr="0053691E">
        <w:rPr>
          <w:rFonts w:hint="eastAsia"/>
          <w:lang w:eastAsia="zh-CN"/>
        </w:rPr>
        <w:t>会</w:t>
      </w:r>
      <w:r w:rsidRPr="0053691E">
        <w:rPr>
          <w:rFonts w:hint="eastAsia"/>
          <w:lang w:eastAsia="zh-CN"/>
        </w:rPr>
        <w:t>继续</w:t>
      </w:r>
      <w:r w:rsidR="00FB00E8" w:rsidRPr="0053691E">
        <w:rPr>
          <w:rFonts w:hint="eastAsia"/>
          <w:lang w:eastAsia="zh-CN"/>
        </w:rPr>
        <w:t>引发</w:t>
      </w:r>
      <w:r w:rsidRPr="0053691E">
        <w:rPr>
          <w:rFonts w:hint="eastAsia"/>
          <w:lang w:eastAsia="zh-CN"/>
        </w:rPr>
        <w:t>国际互联网相关公共政策问题带来的同样挑战。</w:t>
      </w:r>
    </w:p>
    <w:p w:rsidR="00DD1479" w:rsidRPr="0053691E" w:rsidRDefault="00DD1479" w:rsidP="0053691E">
      <w:pPr>
        <w:pStyle w:val="Headingb"/>
        <w:rPr>
          <w:lang w:eastAsia="zh-CN"/>
        </w:rPr>
      </w:pPr>
      <w:bookmarkStart w:id="9" w:name="lt_pId035"/>
      <w:r w:rsidRPr="0053691E">
        <w:rPr>
          <w:rFonts w:hint="eastAsia"/>
          <w:lang w:eastAsia="zh-CN"/>
        </w:rPr>
        <w:t>提案</w:t>
      </w:r>
      <w:bookmarkEnd w:id="9"/>
    </w:p>
    <w:p w:rsidR="00DD1479" w:rsidRPr="0053691E" w:rsidRDefault="00DD1479" w:rsidP="0053691E">
      <w:pPr>
        <w:ind w:firstLineChars="200" w:firstLine="480"/>
        <w:rPr>
          <w:lang w:eastAsia="zh-CN"/>
        </w:rPr>
      </w:pPr>
      <w:r w:rsidRPr="0053691E">
        <w:rPr>
          <w:rFonts w:hint="eastAsia"/>
          <w:lang w:eastAsia="zh-CN"/>
        </w:rPr>
        <w:t>鉴于上述情况，我们提议将与</w:t>
      </w:r>
      <w:r w:rsidRPr="0053691E">
        <w:rPr>
          <w:lang w:eastAsia="zh-CN"/>
        </w:rPr>
        <w:t>OTT</w:t>
      </w:r>
      <w:r w:rsidRPr="0053691E">
        <w:rPr>
          <w:rFonts w:hint="eastAsia"/>
          <w:lang w:eastAsia="zh-CN"/>
        </w:rPr>
        <w:t>有关的问题列入第</w:t>
      </w:r>
      <w:r w:rsidRPr="0053691E">
        <w:rPr>
          <w:rFonts w:hint="eastAsia"/>
          <w:lang w:eastAsia="zh-CN"/>
        </w:rPr>
        <w:t>1305</w:t>
      </w:r>
      <w:r w:rsidRPr="0053691E">
        <w:rPr>
          <w:rFonts w:hint="eastAsia"/>
          <w:lang w:eastAsia="zh-CN"/>
        </w:rPr>
        <w:t>号决议附件</w:t>
      </w:r>
      <w:r w:rsidRPr="0053691E">
        <w:rPr>
          <w:rFonts w:hint="eastAsia"/>
          <w:lang w:eastAsia="zh-CN"/>
        </w:rPr>
        <w:t>1</w:t>
      </w:r>
      <w:r w:rsidRPr="0053691E">
        <w:rPr>
          <w:rFonts w:hint="eastAsia"/>
          <w:lang w:eastAsia="zh-CN"/>
        </w:rPr>
        <w:t>的议题清单之中</w:t>
      </w:r>
      <w:r w:rsidR="0053691E">
        <w:rPr>
          <w:rFonts w:hint="eastAsia"/>
          <w:lang w:eastAsia="zh-CN"/>
        </w:rPr>
        <w:t>。</w:t>
      </w:r>
    </w:p>
    <w:p w:rsidR="00137EFA" w:rsidRPr="0053691E" w:rsidRDefault="00137EFA" w:rsidP="0053691E">
      <w:pPr>
        <w:ind w:firstLineChars="200" w:firstLine="480"/>
        <w:rPr>
          <w:lang w:eastAsia="zh-CN"/>
        </w:rPr>
      </w:pPr>
    </w:p>
    <w:p w:rsidR="00137EFA" w:rsidRPr="00461BF4" w:rsidRDefault="00137EFA" w:rsidP="00137EFA">
      <w:pPr>
        <w:jc w:val="center"/>
        <w:rPr>
          <w:rFonts w:ascii="Times New Roman" w:hAnsi="Times New Roman"/>
          <w:u w:val="single"/>
          <w:lang w:eastAsia="zh-CN"/>
        </w:rPr>
      </w:pPr>
    </w:p>
    <w:p w:rsidR="00B45365" w:rsidRPr="00280EB8" w:rsidRDefault="00B45365" w:rsidP="00137EFA">
      <w:pPr>
        <w:rPr>
          <w:lang w:eastAsia="zh-CN"/>
        </w:rPr>
      </w:pPr>
    </w:p>
    <w:p w:rsidR="00195FED" w:rsidRDefault="00B40A53" w:rsidP="00137EFA">
      <w:pPr>
        <w:pStyle w:val="ListParagraph"/>
        <w:jc w:val="center"/>
        <w:rPr>
          <w:lang w:eastAsia="zh-CN"/>
        </w:rPr>
      </w:pPr>
      <w:r w:rsidRPr="00280EB8">
        <w:rPr>
          <w:lang w:val="en-US" w:eastAsia="zh-CN"/>
        </w:rPr>
        <w:t>________________</w:t>
      </w:r>
    </w:p>
    <w:sectPr w:rsidR="00195FED" w:rsidSect="006C36CD">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5FE" w:rsidRDefault="006125FE">
      <w:r>
        <w:separator/>
      </w:r>
    </w:p>
  </w:endnote>
  <w:endnote w:type="continuationSeparator" w:id="0">
    <w:p w:rsidR="006125FE" w:rsidRDefault="0061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355" w:rsidRDefault="00E43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B40A53" w:rsidP="00373791">
    <w:pPr>
      <w:pStyle w:val="Footer"/>
    </w:pP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864589" w:rsidP="00137EF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5FE" w:rsidRDefault="006125FE">
      <w:r>
        <w:t>____________________</w:t>
      </w:r>
    </w:p>
  </w:footnote>
  <w:footnote w:type="continuationSeparator" w:id="0">
    <w:p w:rsidR="006125FE" w:rsidRDefault="0061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355" w:rsidRDefault="00E43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E43355">
      <w:rPr>
        <w:noProof/>
      </w:rPr>
      <w:t>2</w:t>
    </w:r>
    <w:r>
      <w:rPr>
        <w:noProof/>
      </w:rPr>
      <w:fldChar w:fldCharType="end"/>
    </w:r>
  </w:p>
  <w:p w:rsidR="00AC516F" w:rsidRDefault="0098459B" w:rsidP="00137EFA">
    <w:pPr>
      <w:pStyle w:val="Header"/>
      <w:rPr>
        <w:lang w:eastAsia="zh-CN"/>
      </w:rPr>
    </w:pPr>
    <w:r>
      <w:t>C1</w:t>
    </w:r>
    <w:r w:rsidR="00D453EE">
      <w:rPr>
        <w:lang w:eastAsia="zh-CN"/>
      </w:rPr>
      <w:t>9</w:t>
    </w:r>
    <w:r w:rsidR="004672E6">
      <w:t>/</w:t>
    </w:r>
    <w:r w:rsidR="00FA6C29">
      <w:rPr>
        <w:lang w:eastAsia="zh-CN"/>
      </w:rPr>
      <w:t>82</w:t>
    </w:r>
    <w:r w:rsidR="00AC516F">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355" w:rsidRDefault="00E43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A396A"/>
    <w:multiLevelType w:val="hybridMultilevel"/>
    <w:tmpl w:val="29726454"/>
    <w:lvl w:ilvl="0" w:tplc="DFFA1AE0">
      <w:start w:val="1"/>
      <w:numFmt w:val="bullet"/>
      <w:lvlText w:val=""/>
      <w:lvlJc w:val="left"/>
      <w:pPr>
        <w:ind w:left="720" w:hanging="360"/>
      </w:pPr>
      <w:rPr>
        <w:rFonts w:ascii="Wingdings" w:hAnsi="Wingdings" w:hint="default"/>
      </w:rPr>
    </w:lvl>
    <w:lvl w:ilvl="1" w:tplc="881C2DBC" w:tentative="1">
      <w:start w:val="1"/>
      <w:numFmt w:val="bullet"/>
      <w:lvlText w:val="o"/>
      <w:lvlJc w:val="left"/>
      <w:pPr>
        <w:ind w:left="1440" w:hanging="360"/>
      </w:pPr>
      <w:rPr>
        <w:rFonts w:ascii="Courier New" w:hAnsi="Courier New" w:cs="Courier New" w:hint="default"/>
      </w:rPr>
    </w:lvl>
    <w:lvl w:ilvl="2" w:tplc="112079B4" w:tentative="1">
      <w:start w:val="1"/>
      <w:numFmt w:val="bullet"/>
      <w:lvlText w:val=""/>
      <w:lvlJc w:val="left"/>
      <w:pPr>
        <w:ind w:left="2160" w:hanging="360"/>
      </w:pPr>
      <w:rPr>
        <w:rFonts w:ascii="Wingdings" w:hAnsi="Wingdings" w:hint="default"/>
      </w:rPr>
    </w:lvl>
    <w:lvl w:ilvl="3" w:tplc="77509458" w:tentative="1">
      <w:start w:val="1"/>
      <w:numFmt w:val="bullet"/>
      <w:lvlText w:val=""/>
      <w:lvlJc w:val="left"/>
      <w:pPr>
        <w:ind w:left="2880" w:hanging="360"/>
      </w:pPr>
      <w:rPr>
        <w:rFonts w:ascii="Symbol" w:hAnsi="Symbol" w:hint="default"/>
      </w:rPr>
    </w:lvl>
    <w:lvl w:ilvl="4" w:tplc="61E2B468" w:tentative="1">
      <w:start w:val="1"/>
      <w:numFmt w:val="bullet"/>
      <w:lvlText w:val="o"/>
      <w:lvlJc w:val="left"/>
      <w:pPr>
        <w:ind w:left="3600" w:hanging="360"/>
      </w:pPr>
      <w:rPr>
        <w:rFonts w:ascii="Courier New" w:hAnsi="Courier New" w:cs="Courier New" w:hint="default"/>
      </w:rPr>
    </w:lvl>
    <w:lvl w:ilvl="5" w:tplc="72ACB6E4" w:tentative="1">
      <w:start w:val="1"/>
      <w:numFmt w:val="bullet"/>
      <w:lvlText w:val=""/>
      <w:lvlJc w:val="left"/>
      <w:pPr>
        <w:ind w:left="4320" w:hanging="360"/>
      </w:pPr>
      <w:rPr>
        <w:rFonts w:ascii="Wingdings" w:hAnsi="Wingdings" w:hint="default"/>
      </w:rPr>
    </w:lvl>
    <w:lvl w:ilvl="6" w:tplc="CD5AAF92" w:tentative="1">
      <w:start w:val="1"/>
      <w:numFmt w:val="bullet"/>
      <w:lvlText w:val=""/>
      <w:lvlJc w:val="left"/>
      <w:pPr>
        <w:ind w:left="5040" w:hanging="360"/>
      </w:pPr>
      <w:rPr>
        <w:rFonts w:ascii="Symbol" w:hAnsi="Symbol" w:hint="default"/>
      </w:rPr>
    </w:lvl>
    <w:lvl w:ilvl="7" w:tplc="2576840C" w:tentative="1">
      <w:start w:val="1"/>
      <w:numFmt w:val="bullet"/>
      <w:lvlText w:val="o"/>
      <w:lvlJc w:val="left"/>
      <w:pPr>
        <w:ind w:left="5760" w:hanging="360"/>
      </w:pPr>
      <w:rPr>
        <w:rFonts w:ascii="Courier New" w:hAnsi="Courier New" w:cs="Courier New" w:hint="default"/>
      </w:rPr>
    </w:lvl>
    <w:lvl w:ilvl="8" w:tplc="426CA134"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2296851"/>
    <w:multiLevelType w:val="hybridMultilevel"/>
    <w:tmpl w:val="9028F762"/>
    <w:lvl w:ilvl="0" w:tplc="B09A97D6">
      <w:start w:val="1"/>
      <w:numFmt w:val="bullet"/>
      <w:lvlText w:val=""/>
      <w:lvlJc w:val="left"/>
      <w:pPr>
        <w:ind w:left="720" w:hanging="360"/>
      </w:pPr>
      <w:rPr>
        <w:rFonts w:ascii="Wingdings" w:hAnsi="Wingdings" w:hint="default"/>
      </w:rPr>
    </w:lvl>
    <w:lvl w:ilvl="1" w:tplc="80B2A9F0">
      <w:start w:val="1"/>
      <w:numFmt w:val="bullet"/>
      <w:lvlText w:val="o"/>
      <w:lvlJc w:val="left"/>
      <w:pPr>
        <w:ind w:left="1440" w:hanging="360"/>
      </w:pPr>
      <w:rPr>
        <w:rFonts w:ascii="Courier New" w:hAnsi="Courier New" w:cs="Courier New" w:hint="default"/>
      </w:rPr>
    </w:lvl>
    <w:lvl w:ilvl="2" w:tplc="F2901E44">
      <w:start w:val="1"/>
      <w:numFmt w:val="bullet"/>
      <w:lvlText w:val=""/>
      <w:lvlJc w:val="left"/>
      <w:pPr>
        <w:ind w:left="2160" w:hanging="360"/>
      </w:pPr>
      <w:rPr>
        <w:rFonts w:ascii="Wingdings" w:hAnsi="Wingdings" w:hint="default"/>
      </w:rPr>
    </w:lvl>
    <w:lvl w:ilvl="3" w:tplc="59908456">
      <w:start w:val="1"/>
      <w:numFmt w:val="bullet"/>
      <w:lvlText w:val=""/>
      <w:lvlJc w:val="left"/>
      <w:pPr>
        <w:ind w:left="2880" w:hanging="360"/>
      </w:pPr>
      <w:rPr>
        <w:rFonts w:ascii="Symbol" w:hAnsi="Symbol" w:hint="default"/>
      </w:rPr>
    </w:lvl>
    <w:lvl w:ilvl="4" w:tplc="4A1EBA88">
      <w:start w:val="1"/>
      <w:numFmt w:val="bullet"/>
      <w:lvlText w:val="o"/>
      <w:lvlJc w:val="left"/>
      <w:pPr>
        <w:ind w:left="3600" w:hanging="360"/>
      </w:pPr>
      <w:rPr>
        <w:rFonts w:ascii="Courier New" w:hAnsi="Courier New" w:cs="Courier New" w:hint="default"/>
      </w:rPr>
    </w:lvl>
    <w:lvl w:ilvl="5" w:tplc="79BE0C2A">
      <w:start w:val="1"/>
      <w:numFmt w:val="bullet"/>
      <w:lvlText w:val=""/>
      <w:lvlJc w:val="left"/>
      <w:pPr>
        <w:ind w:left="4320" w:hanging="360"/>
      </w:pPr>
      <w:rPr>
        <w:rFonts w:ascii="Wingdings" w:hAnsi="Wingdings" w:hint="default"/>
      </w:rPr>
    </w:lvl>
    <w:lvl w:ilvl="6" w:tplc="1AC66940">
      <w:start w:val="1"/>
      <w:numFmt w:val="bullet"/>
      <w:lvlText w:val=""/>
      <w:lvlJc w:val="left"/>
      <w:pPr>
        <w:ind w:left="5040" w:hanging="360"/>
      </w:pPr>
      <w:rPr>
        <w:rFonts w:ascii="Symbol" w:hAnsi="Symbol" w:hint="default"/>
      </w:rPr>
    </w:lvl>
    <w:lvl w:ilvl="7" w:tplc="58DE8FC6">
      <w:start w:val="1"/>
      <w:numFmt w:val="bullet"/>
      <w:lvlText w:val="o"/>
      <w:lvlJc w:val="left"/>
      <w:pPr>
        <w:ind w:left="5760" w:hanging="360"/>
      </w:pPr>
      <w:rPr>
        <w:rFonts w:ascii="Courier New" w:hAnsi="Courier New" w:cs="Courier New" w:hint="default"/>
      </w:rPr>
    </w:lvl>
    <w:lvl w:ilvl="8" w:tplc="44388162">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FE"/>
    <w:rsid w:val="00001B77"/>
    <w:rsid w:val="0000517A"/>
    <w:rsid w:val="00031E72"/>
    <w:rsid w:val="000404D2"/>
    <w:rsid w:val="00043437"/>
    <w:rsid w:val="000749EC"/>
    <w:rsid w:val="00081597"/>
    <w:rsid w:val="000853C0"/>
    <w:rsid w:val="000A1C21"/>
    <w:rsid w:val="000D15EA"/>
    <w:rsid w:val="00100D84"/>
    <w:rsid w:val="00124C9D"/>
    <w:rsid w:val="00137EFA"/>
    <w:rsid w:val="00157773"/>
    <w:rsid w:val="0018251A"/>
    <w:rsid w:val="00190272"/>
    <w:rsid w:val="00193244"/>
    <w:rsid w:val="00195C6C"/>
    <w:rsid w:val="00195FED"/>
    <w:rsid w:val="001A33A3"/>
    <w:rsid w:val="001A4BD6"/>
    <w:rsid w:val="001B1E62"/>
    <w:rsid w:val="001D5A18"/>
    <w:rsid w:val="001E48BE"/>
    <w:rsid w:val="0026759E"/>
    <w:rsid w:val="00280EB8"/>
    <w:rsid w:val="00286B98"/>
    <w:rsid w:val="002A6670"/>
    <w:rsid w:val="002B764E"/>
    <w:rsid w:val="002E3E33"/>
    <w:rsid w:val="00303502"/>
    <w:rsid w:val="00325C25"/>
    <w:rsid w:val="00372C8F"/>
    <w:rsid w:val="00373791"/>
    <w:rsid w:val="00380ECE"/>
    <w:rsid w:val="00393DDF"/>
    <w:rsid w:val="00397F55"/>
    <w:rsid w:val="003B4454"/>
    <w:rsid w:val="003C2E37"/>
    <w:rsid w:val="003F1415"/>
    <w:rsid w:val="0040144C"/>
    <w:rsid w:val="00403EB7"/>
    <w:rsid w:val="00430BF0"/>
    <w:rsid w:val="004672E6"/>
    <w:rsid w:val="004725DF"/>
    <w:rsid w:val="00474ED1"/>
    <w:rsid w:val="00493085"/>
    <w:rsid w:val="004A109C"/>
    <w:rsid w:val="004A36EC"/>
    <w:rsid w:val="004D163F"/>
    <w:rsid w:val="004E4BFF"/>
    <w:rsid w:val="004F2598"/>
    <w:rsid w:val="0053691E"/>
    <w:rsid w:val="005403F7"/>
    <w:rsid w:val="00540632"/>
    <w:rsid w:val="00541CF4"/>
    <w:rsid w:val="005451E8"/>
    <w:rsid w:val="005507F2"/>
    <w:rsid w:val="005759CC"/>
    <w:rsid w:val="005A72E1"/>
    <w:rsid w:val="005C6632"/>
    <w:rsid w:val="005D1C9E"/>
    <w:rsid w:val="006125FE"/>
    <w:rsid w:val="00654257"/>
    <w:rsid w:val="0065435A"/>
    <w:rsid w:val="006A2DD3"/>
    <w:rsid w:val="006A5AF8"/>
    <w:rsid w:val="006C36CD"/>
    <w:rsid w:val="006C5B72"/>
    <w:rsid w:val="00700D1F"/>
    <w:rsid w:val="0072047A"/>
    <w:rsid w:val="007205CB"/>
    <w:rsid w:val="00726073"/>
    <w:rsid w:val="00732C9C"/>
    <w:rsid w:val="00734FE8"/>
    <w:rsid w:val="007360CE"/>
    <w:rsid w:val="00772315"/>
    <w:rsid w:val="00775157"/>
    <w:rsid w:val="007813AE"/>
    <w:rsid w:val="007A37DB"/>
    <w:rsid w:val="007A770D"/>
    <w:rsid w:val="007E189D"/>
    <w:rsid w:val="00811259"/>
    <w:rsid w:val="0081291D"/>
    <w:rsid w:val="00813AA2"/>
    <w:rsid w:val="008173A3"/>
    <w:rsid w:val="0086059C"/>
    <w:rsid w:val="00864589"/>
    <w:rsid w:val="00890AFB"/>
    <w:rsid w:val="00890FC4"/>
    <w:rsid w:val="00895905"/>
    <w:rsid w:val="008D7886"/>
    <w:rsid w:val="008F6297"/>
    <w:rsid w:val="009164A9"/>
    <w:rsid w:val="009258CB"/>
    <w:rsid w:val="0093362E"/>
    <w:rsid w:val="00944563"/>
    <w:rsid w:val="00953160"/>
    <w:rsid w:val="009625D8"/>
    <w:rsid w:val="0098459B"/>
    <w:rsid w:val="00997185"/>
    <w:rsid w:val="009A430D"/>
    <w:rsid w:val="009C2458"/>
    <w:rsid w:val="009C4A7B"/>
    <w:rsid w:val="009C6123"/>
    <w:rsid w:val="009F1E3E"/>
    <w:rsid w:val="00A02DAF"/>
    <w:rsid w:val="00A07E46"/>
    <w:rsid w:val="00A1213C"/>
    <w:rsid w:val="00A272FF"/>
    <w:rsid w:val="00A467AC"/>
    <w:rsid w:val="00A5354B"/>
    <w:rsid w:val="00A71B57"/>
    <w:rsid w:val="00A77F71"/>
    <w:rsid w:val="00AB42C1"/>
    <w:rsid w:val="00AC516F"/>
    <w:rsid w:val="00AC61D9"/>
    <w:rsid w:val="00AC7CA4"/>
    <w:rsid w:val="00AE2926"/>
    <w:rsid w:val="00B0184B"/>
    <w:rsid w:val="00B035CD"/>
    <w:rsid w:val="00B0769D"/>
    <w:rsid w:val="00B217F8"/>
    <w:rsid w:val="00B332EA"/>
    <w:rsid w:val="00B40A53"/>
    <w:rsid w:val="00B45365"/>
    <w:rsid w:val="00B45A98"/>
    <w:rsid w:val="00B46A65"/>
    <w:rsid w:val="00B60184"/>
    <w:rsid w:val="00B62D20"/>
    <w:rsid w:val="00B81E75"/>
    <w:rsid w:val="00BD1A5A"/>
    <w:rsid w:val="00BD7A9B"/>
    <w:rsid w:val="00BD7BE1"/>
    <w:rsid w:val="00BF416B"/>
    <w:rsid w:val="00C64E4E"/>
    <w:rsid w:val="00C66E64"/>
    <w:rsid w:val="00C761A0"/>
    <w:rsid w:val="00C85F7E"/>
    <w:rsid w:val="00C90D53"/>
    <w:rsid w:val="00CB6A2B"/>
    <w:rsid w:val="00CC042D"/>
    <w:rsid w:val="00CD47F0"/>
    <w:rsid w:val="00CD5566"/>
    <w:rsid w:val="00CD64D7"/>
    <w:rsid w:val="00CE6F22"/>
    <w:rsid w:val="00CF41F6"/>
    <w:rsid w:val="00CF7D3E"/>
    <w:rsid w:val="00D02B4E"/>
    <w:rsid w:val="00D0575F"/>
    <w:rsid w:val="00D06CD3"/>
    <w:rsid w:val="00D21F11"/>
    <w:rsid w:val="00D36817"/>
    <w:rsid w:val="00D453EE"/>
    <w:rsid w:val="00D5666C"/>
    <w:rsid w:val="00D666BC"/>
    <w:rsid w:val="00D672F2"/>
    <w:rsid w:val="00D83542"/>
    <w:rsid w:val="00D91FFE"/>
    <w:rsid w:val="00D92F45"/>
    <w:rsid w:val="00D94637"/>
    <w:rsid w:val="00D9725C"/>
    <w:rsid w:val="00DA7006"/>
    <w:rsid w:val="00DC6427"/>
    <w:rsid w:val="00DD1479"/>
    <w:rsid w:val="00DD66A1"/>
    <w:rsid w:val="00DE196D"/>
    <w:rsid w:val="00DF6B49"/>
    <w:rsid w:val="00E067C5"/>
    <w:rsid w:val="00E265BF"/>
    <w:rsid w:val="00E378D8"/>
    <w:rsid w:val="00E43355"/>
    <w:rsid w:val="00E43A12"/>
    <w:rsid w:val="00E67C67"/>
    <w:rsid w:val="00E77476"/>
    <w:rsid w:val="00E8228B"/>
    <w:rsid w:val="00EE5706"/>
    <w:rsid w:val="00EF033C"/>
    <w:rsid w:val="00EF373D"/>
    <w:rsid w:val="00F11595"/>
    <w:rsid w:val="00F13BC9"/>
    <w:rsid w:val="00F357B2"/>
    <w:rsid w:val="00F36556"/>
    <w:rsid w:val="00F705DF"/>
    <w:rsid w:val="00F70622"/>
    <w:rsid w:val="00F85624"/>
    <w:rsid w:val="00F87C05"/>
    <w:rsid w:val="00F93191"/>
    <w:rsid w:val="00F93A17"/>
    <w:rsid w:val="00FA2AF6"/>
    <w:rsid w:val="00FA6C29"/>
    <w:rsid w:val="00FB00E8"/>
    <w:rsid w:val="00FB073D"/>
    <w:rsid w:val="00FB771F"/>
    <w:rsid w:val="00FC5386"/>
    <w:rsid w:val="00FD195E"/>
    <w:rsid w:val="00FE0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392D112-94C8-4A5A-8287-E2933B8F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137EFA"/>
    <w:pPr>
      <w:keepNext/>
      <w:overflowPunct/>
      <w:autoSpaceDE/>
      <w:autoSpaceDN/>
      <w:adjustRightInd/>
      <w:spacing w:before="560" w:after="120"/>
      <w:jc w:val="center"/>
      <w:textAlignment w:val="auto"/>
    </w:pPr>
    <w:rPr>
      <w:rFonts w:ascii="Times New Roman" w:eastAsiaTheme="minorEastAsia"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S09-CL-C-0105" TargetMode="External"/><Relationship Id="rId4" Type="http://schemas.openxmlformats.org/officeDocument/2006/relationships/settings" Target="settings.xml"/><Relationship Id="rId9" Type="http://schemas.openxmlformats.org/officeDocument/2006/relationships/hyperlink" Target="https://www.itu.int/en/council/Documents/basic-texts/RES-146-C.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EBA1-655C-4892-96D2-B5B8F427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1</TotalTime>
  <Pages>3</Pages>
  <Words>889</Words>
  <Characters>377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Janin, Patricia</cp:lastModifiedBy>
  <cp:revision>3</cp:revision>
  <cp:lastPrinted>2015-02-24T13:23:00Z</cp:lastPrinted>
  <dcterms:created xsi:type="dcterms:W3CDTF">2019-06-04T06:53:00Z</dcterms:created>
  <dcterms:modified xsi:type="dcterms:W3CDTF">2019-06-04T06:54:00Z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