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137EFA">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137EFA">
            <w:pPr>
              <w:spacing w:before="0"/>
              <w:jc w:val="right"/>
            </w:pPr>
            <w:bookmarkStart w:id="1" w:name="ditulogo"/>
            <w:bookmarkEnd w:id="1"/>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137EFA">
            <w:pPr>
              <w:spacing w:before="0" w:after="48"/>
              <w:rPr>
                <w:b/>
                <w:smallCaps/>
                <w:szCs w:val="24"/>
              </w:rPr>
            </w:pPr>
          </w:p>
        </w:tc>
        <w:tc>
          <w:tcPr>
            <w:tcW w:w="3120" w:type="dxa"/>
            <w:tcBorders>
              <w:bottom w:val="single" w:sz="12" w:space="0" w:color="auto"/>
            </w:tcBorders>
          </w:tcPr>
          <w:p w:rsidR="00700D1F" w:rsidRPr="00617BE4" w:rsidRDefault="00700D1F" w:rsidP="00137EFA">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137EFA">
            <w:pPr>
              <w:spacing w:before="0" w:after="48"/>
              <w:rPr>
                <w:b/>
                <w:smallCaps/>
                <w:szCs w:val="24"/>
              </w:rPr>
            </w:pPr>
          </w:p>
        </w:tc>
        <w:tc>
          <w:tcPr>
            <w:tcW w:w="3120" w:type="dxa"/>
            <w:tcBorders>
              <w:top w:val="single" w:sz="12" w:space="0" w:color="auto"/>
            </w:tcBorders>
          </w:tcPr>
          <w:p w:rsidR="00700D1F" w:rsidRPr="00617BE4" w:rsidRDefault="00700D1F" w:rsidP="00137EFA">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137EFA">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137EFA">
              <w:rPr>
                <w:b/>
              </w:rPr>
              <w:t>1</w:t>
            </w:r>
            <w:r w:rsidR="00B40A53">
              <w:rPr>
                <w:b/>
              </w:rPr>
              <w:t>.</w:t>
            </w:r>
            <w:r w:rsidR="00137EFA">
              <w:rPr>
                <w:b/>
                <w:lang w:eastAsia="zh-CN"/>
              </w:rPr>
              <w:t>7</w:t>
            </w:r>
          </w:p>
        </w:tc>
        <w:tc>
          <w:tcPr>
            <w:tcW w:w="3120" w:type="dxa"/>
          </w:tcPr>
          <w:p w:rsidR="00700D1F" w:rsidRPr="00700D1F" w:rsidRDefault="00700D1F" w:rsidP="00137EFA">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137EFA">
              <w:rPr>
                <w:b/>
                <w:bCs/>
                <w:szCs w:val="24"/>
                <w:lang w:eastAsia="zh-CN"/>
              </w:rPr>
              <w:t>81</w:t>
            </w:r>
            <w:r w:rsidRPr="00FC5386">
              <w:rPr>
                <w:b/>
                <w:bCs/>
                <w:szCs w:val="24"/>
                <w:lang w:eastAsia="zh-CN"/>
              </w:rPr>
              <w:t>-C</w:t>
            </w:r>
          </w:p>
        </w:tc>
      </w:tr>
      <w:bookmarkEnd w:id="2"/>
      <w:tr w:rsidR="00700D1F">
        <w:trPr>
          <w:cantSplit/>
          <w:trHeight w:val="23"/>
        </w:trPr>
        <w:tc>
          <w:tcPr>
            <w:tcW w:w="6911" w:type="dxa"/>
            <w:vMerge/>
          </w:tcPr>
          <w:p w:rsidR="00700D1F" w:rsidRDefault="00700D1F" w:rsidP="00137EFA">
            <w:pPr>
              <w:tabs>
                <w:tab w:val="left" w:pos="851"/>
              </w:tabs>
              <w:rPr>
                <w:b/>
                <w:lang w:eastAsia="zh-CN"/>
              </w:rPr>
            </w:pPr>
          </w:p>
        </w:tc>
        <w:tc>
          <w:tcPr>
            <w:tcW w:w="3120" w:type="dxa"/>
          </w:tcPr>
          <w:p w:rsidR="00700D1F" w:rsidRPr="00FC5386" w:rsidRDefault="00700D1F" w:rsidP="00137EFA">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137EFA">
              <w:rPr>
                <w:rFonts w:asciiTheme="minorHAnsi" w:hAnsiTheme="minorHAnsi" w:cstheme="minorHAnsi"/>
                <w:b/>
                <w:bCs/>
                <w:szCs w:val="24"/>
                <w:lang w:eastAsia="zh-CN"/>
              </w:rPr>
              <w:t>5</w:t>
            </w:r>
            <w:r w:rsidRPr="00FC5386">
              <w:rPr>
                <w:rFonts w:hint="eastAsia"/>
                <w:b/>
                <w:bCs/>
                <w:szCs w:val="24"/>
                <w:lang w:eastAsia="zh-CN"/>
              </w:rPr>
              <w:t>月</w:t>
            </w:r>
            <w:r w:rsidR="00137EFA">
              <w:rPr>
                <w:rFonts w:asciiTheme="minorHAnsi" w:hAnsiTheme="minorHAnsi" w:cstheme="minorHAnsi"/>
                <w:b/>
                <w:bCs/>
                <w:szCs w:val="24"/>
                <w:lang w:eastAsia="zh-CN"/>
              </w:rPr>
              <w:t>27</w:t>
            </w:r>
            <w:r w:rsidRPr="00FC5386">
              <w:rPr>
                <w:rFonts w:hint="eastAsia"/>
                <w:b/>
                <w:bCs/>
                <w:szCs w:val="24"/>
                <w:lang w:eastAsia="zh-CN"/>
              </w:rPr>
              <w:t>日</w:t>
            </w:r>
          </w:p>
        </w:tc>
      </w:tr>
      <w:tr w:rsidR="00700D1F">
        <w:trPr>
          <w:cantSplit/>
          <w:trHeight w:val="23"/>
        </w:trPr>
        <w:tc>
          <w:tcPr>
            <w:tcW w:w="6911" w:type="dxa"/>
            <w:vMerge/>
          </w:tcPr>
          <w:p w:rsidR="00700D1F" w:rsidRDefault="00700D1F" w:rsidP="00137EFA">
            <w:pPr>
              <w:tabs>
                <w:tab w:val="left" w:pos="851"/>
              </w:tabs>
              <w:rPr>
                <w:b/>
                <w:lang w:eastAsia="zh-CN"/>
              </w:rPr>
            </w:pPr>
          </w:p>
        </w:tc>
        <w:tc>
          <w:tcPr>
            <w:tcW w:w="3120" w:type="dxa"/>
          </w:tcPr>
          <w:p w:rsidR="00700D1F" w:rsidRPr="00FC5386" w:rsidRDefault="00700D1F" w:rsidP="00137EFA">
            <w:pPr>
              <w:tabs>
                <w:tab w:val="left" w:pos="993"/>
              </w:tabs>
              <w:spacing w:before="0"/>
              <w:rPr>
                <w:rFonts w:ascii="SimSun" w:hAnsi="SimSun"/>
                <w:b/>
                <w:bCs/>
                <w:szCs w:val="24"/>
                <w:lang w:eastAsia="zh-CN"/>
              </w:rPr>
            </w:pPr>
            <w:r w:rsidRPr="00FC5386">
              <w:rPr>
                <w:rFonts w:hint="eastAsia"/>
                <w:b/>
                <w:bCs/>
                <w:szCs w:val="24"/>
                <w:lang w:eastAsia="zh-CN"/>
              </w:rPr>
              <w:t>原文：</w:t>
            </w:r>
            <w:r w:rsidR="00137EFA">
              <w:rPr>
                <w:rFonts w:hint="eastAsia"/>
                <w:b/>
                <w:bCs/>
                <w:szCs w:val="24"/>
                <w:lang w:eastAsia="zh-CN"/>
              </w:rPr>
              <w:t>法文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137EFA" w:rsidP="00137EFA">
            <w:pPr>
              <w:pStyle w:val="Source"/>
              <w:rPr>
                <w:lang w:eastAsia="zh-CN"/>
              </w:rPr>
            </w:pPr>
            <w:r w:rsidRPr="00461BF4">
              <w:rPr>
                <w:rFonts w:ascii="Times New Roman" w:hAnsi="Times New Roman"/>
                <w:lang w:eastAsia="zh-CN"/>
              </w:rPr>
              <w:t>秘书长的说明</w:t>
            </w:r>
          </w:p>
        </w:tc>
      </w:tr>
      <w:tr w:rsidR="0093362E">
        <w:trPr>
          <w:cantSplit/>
        </w:trPr>
        <w:tc>
          <w:tcPr>
            <w:tcW w:w="10031" w:type="dxa"/>
          </w:tcPr>
          <w:p w:rsidR="0093362E" w:rsidRDefault="00137EFA" w:rsidP="00137EFA">
            <w:pPr>
              <w:pStyle w:val="Title1"/>
              <w:rPr>
                <w:bCs/>
                <w:lang w:eastAsia="zh-CN"/>
              </w:rPr>
            </w:pPr>
            <w:bookmarkStart w:id="3" w:name="lt_pId013"/>
            <w:r>
              <w:rPr>
                <w:rFonts w:ascii="Times New Roman" w:hAnsi="Times New Roman" w:hint="eastAsia"/>
                <w:lang w:val="fr-CH" w:eastAsia="zh-CN"/>
              </w:rPr>
              <w:t>阿尔及利亚人民民主</w:t>
            </w:r>
            <w:r w:rsidRPr="00461BF4">
              <w:rPr>
                <w:rFonts w:ascii="Times New Roman" w:hAnsi="Times New Roman" w:hint="eastAsia"/>
                <w:lang w:val="fr-CH" w:eastAsia="zh-CN"/>
              </w:rPr>
              <w:t>共和国提交的文稿</w:t>
            </w:r>
            <w:bookmarkEnd w:id="3"/>
          </w:p>
        </w:tc>
      </w:tr>
      <w:tr w:rsidR="00137EFA">
        <w:trPr>
          <w:cantSplit/>
        </w:trPr>
        <w:tc>
          <w:tcPr>
            <w:tcW w:w="10031" w:type="dxa"/>
          </w:tcPr>
          <w:p w:rsidR="00137EFA" w:rsidRDefault="00137EFA" w:rsidP="00137EFA">
            <w:pPr>
              <w:pStyle w:val="Title1"/>
              <w:rPr>
                <w:rFonts w:ascii="Times New Roman" w:hAnsi="Times New Roman"/>
                <w:lang w:val="fr-CH" w:eastAsia="zh-CN"/>
              </w:rPr>
            </w:pPr>
            <w:bookmarkStart w:id="4" w:name="lt_pId014"/>
            <w:r w:rsidRPr="00461BF4">
              <w:rPr>
                <w:rFonts w:ascii="Times New Roman" w:hAnsi="Times New Roman" w:hint="eastAsia"/>
                <w:lang w:val="fr-CH" w:eastAsia="zh-CN"/>
              </w:rPr>
              <w:t>《国际电信规则》专家组的拟议职责范围</w:t>
            </w:r>
            <w:bookmarkEnd w:id="4"/>
          </w:p>
        </w:tc>
      </w:tr>
    </w:tbl>
    <w:p w:rsidR="0093362E" w:rsidRDefault="0093362E" w:rsidP="00137EFA">
      <w:pPr>
        <w:rPr>
          <w:lang w:eastAsia="zh-CN"/>
        </w:rPr>
      </w:pPr>
    </w:p>
    <w:p w:rsidR="00137EFA" w:rsidRDefault="00137EFA" w:rsidP="00137EFA">
      <w:pPr>
        <w:pStyle w:val="Normalaftertitle"/>
        <w:ind w:firstLineChars="200" w:firstLine="480"/>
        <w:rPr>
          <w:rFonts w:asciiTheme="minorEastAsia" w:hAnsiTheme="minorEastAsia"/>
          <w:lang w:eastAsia="zh-CN"/>
        </w:rPr>
      </w:pPr>
      <w:r w:rsidRPr="00F14A87">
        <w:rPr>
          <w:rFonts w:asciiTheme="minorEastAsia" w:hAnsiTheme="minorEastAsia"/>
          <w:lang w:eastAsia="zh-CN"/>
        </w:rPr>
        <w:t>我荣幸地向各理事国转呈</w:t>
      </w:r>
      <w:r w:rsidRPr="00D91FFE">
        <w:rPr>
          <w:rFonts w:asciiTheme="minorEastAsia" w:hAnsiTheme="minorEastAsia" w:hint="eastAsia"/>
          <w:b/>
          <w:bCs/>
          <w:lang w:eastAsia="zh-CN"/>
        </w:rPr>
        <w:t>阿尔及利亚人民民主共和国</w:t>
      </w:r>
      <w:r w:rsidRPr="00F14A87">
        <w:rPr>
          <w:rFonts w:asciiTheme="minorEastAsia" w:hAnsiTheme="minorEastAsia"/>
          <w:lang w:eastAsia="zh-CN"/>
        </w:rPr>
        <w:t>提交的文稿。</w:t>
      </w:r>
    </w:p>
    <w:p w:rsidR="00137EFA" w:rsidRDefault="00137EFA" w:rsidP="00137EFA">
      <w:pPr>
        <w:rPr>
          <w:lang w:eastAsia="zh-CN"/>
        </w:rPr>
      </w:pPr>
    </w:p>
    <w:p w:rsidR="00137EFA" w:rsidRPr="00137EFA" w:rsidRDefault="00137EFA" w:rsidP="00137EFA">
      <w:pPr>
        <w:rPr>
          <w:lang w:eastAsia="zh-CN"/>
        </w:rPr>
      </w:pPr>
    </w:p>
    <w:p w:rsidR="00137EFA" w:rsidRPr="00137EFA" w:rsidRDefault="00137EFA" w:rsidP="00137EFA">
      <w:pPr>
        <w:pStyle w:val="Normalaftertitle"/>
        <w:ind w:firstLineChars="200" w:firstLine="480"/>
        <w:rPr>
          <w:rFonts w:asciiTheme="minorEastAsia" w:hAnsiTheme="minorEastAsia"/>
          <w:lang w:eastAsia="zh-CN"/>
        </w:rPr>
      </w:pP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Pr>
          <w:rFonts w:asciiTheme="minorEastAsia" w:hAnsiTheme="minorEastAsia"/>
          <w:lang w:eastAsia="zh-CN"/>
        </w:rPr>
        <w:tab/>
      </w:r>
      <w:r w:rsidRPr="00822597">
        <w:rPr>
          <w:rFonts w:asciiTheme="majorBidi" w:hAnsiTheme="majorBidi" w:cstheme="majorBidi"/>
          <w:lang w:eastAsia="zh-CN"/>
        </w:rPr>
        <w:t>秘书长</w:t>
      </w:r>
      <w:r w:rsidRPr="00822597">
        <w:rPr>
          <w:rFonts w:asciiTheme="majorBidi" w:hAnsiTheme="majorBidi" w:cstheme="majorBidi"/>
          <w:lang w:eastAsia="zh-CN"/>
        </w:rPr>
        <w:br/>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Pr>
          <w:rFonts w:asciiTheme="majorBidi" w:hAnsiTheme="majorBidi" w:cstheme="majorBidi"/>
          <w:lang w:eastAsia="zh-CN"/>
        </w:rPr>
        <w:tab/>
      </w:r>
      <w:r w:rsidRPr="00822597">
        <w:rPr>
          <w:rFonts w:asciiTheme="majorBidi" w:hAnsiTheme="majorBidi" w:cstheme="majorBidi"/>
          <w:lang w:eastAsia="zh-CN"/>
        </w:rPr>
        <w:t>赵厚麟</w:t>
      </w:r>
    </w:p>
    <w:p w:rsidR="00137EFA" w:rsidRDefault="00137EFA" w:rsidP="00137EFA">
      <w:pPr>
        <w:tabs>
          <w:tab w:val="center" w:pos="7088"/>
        </w:tabs>
        <w:spacing w:before="720"/>
        <w:jc w:val="right"/>
        <w:rPr>
          <w:rFonts w:asciiTheme="majorBidi" w:hAnsiTheme="majorBidi" w:cstheme="majorBidi"/>
          <w:lang w:eastAsia="zh-CN"/>
        </w:rPr>
      </w:pPr>
    </w:p>
    <w:p w:rsidR="00137EFA" w:rsidRPr="00461BF4" w:rsidRDefault="00137EFA" w:rsidP="00137EFA">
      <w:pPr>
        <w:tabs>
          <w:tab w:val="center" w:pos="7088"/>
        </w:tabs>
        <w:spacing w:before="840"/>
        <w:rPr>
          <w:rFonts w:ascii="Times New Roman" w:hAnsi="Times New Roman"/>
          <w:lang w:eastAsia="zh-CN"/>
        </w:rPr>
      </w:pPr>
    </w:p>
    <w:p w:rsidR="00E378D8" w:rsidRDefault="00E378D8" w:rsidP="00137EFA">
      <w:pPr>
        <w:tabs>
          <w:tab w:val="clear" w:pos="794"/>
          <w:tab w:val="clear" w:pos="1191"/>
          <w:tab w:val="clear" w:pos="1588"/>
          <w:tab w:val="clear" w:pos="1985"/>
          <w:tab w:val="center" w:pos="8222"/>
        </w:tabs>
        <w:rPr>
          <w:szCs w:val="22"/>
          <w:lang w:val="fr-FR" w:eastAsia="zh-CN"/>
        </w:rPr>
      </w:pPr>
    </w:p>
    <w:p w:rsidR="00E378D8" w:rsidRDefault="00E378D8" w:rsidP="00137EFA">
      <w:pPr>
        <w:tabs>
          <w:tab w:val="left" w:pos="720"/>
        </w:tabs>
        <w:overflowPunct/>
        <w:autoSpaceDE/>
        <w:adjustRightInd/>
        <w:spacing w:before="0"/>
        <w:rPr>
          <w:lang w:val="fr-FR" w:eastAsia="zh-CN"/>
        </w:rPr>
      </w:pPr>
      <w:r>
        <w:rPr>
          <w:lang w:val="fr-FR" w:eastAsia="zh-CN"/>
        </w:rPr>
        <w:br w:type="page"/>
      </w:r>
    </w:p>
    <w:p w:rsidR="00137EFA" w:rsidRPr="00546731" w:rsidRDefault="00137EFA" w:rsidP="00137EFA">
      <w:pPr>
        <w:pStyle w:val="Source"/>
        <w:rPr>
          <w:caps/>
          <w:lang w:val="fr-CH" w:eastAsia="zh-CN"/>
        </w:rPr>
      </w:pPr>
      <w:r w:rsidRPr="00546731">
        <w:rPr>
          <w:rFonts w:hint="eastAsia"/>
          <w:lang w:val="fr-CH" w:eastAsia="zh-CN"/>
        </w:rPr>
        <w:lastRenderedPageBreak/>
        <w:t>阿尔及利亚人民民主共和国提交的文稿</w:t>
      </w:r>
    </w:p>
    <w:p w:rsidR="00137EFA" w:rsidRPr="00546731" w:rsidRDefault="00137EFA" w:rsidP="00137EFA">
      <w:pPr>
        <w:pStyle w:val="Title1"/>
        <w:rPr>
          <w:rFonts w:ascii="Times New Roman" w:hAnsi="Times New Roman"/>
          <w:caps w:val="0"/>
          <w:highlight w:val="lightGray"/>
          <w:lang w:val="fr-CH" w:eastAsia="zh-CN"/>
        </w:rPr>
      </w:pPr>
      <w:r w:rsidRPr="00546731">
        <w:rPr>
          <w:rFonts w:ascii="Times New Roman" w:hAnsi="Times New Roman" w:hint="eastAsia"/>
          <w:caps w:val="0"/>
          <w:lang w:val="fr-CH" w:eastAsia="zh-CN"/>
        </w:rPr>
        <w:t>《国际电信规则》专家组的拟议职责范围</w:t>
      </w:r>
    </w:p>
    <w:p w:rsidR="00137EFA" w:rsidRPr="00461BF4" w:rsidRDefault="00137EFA" w:rsidP="00137EFA">
      <w:pPr>
        <w:rPr>
          <w:rFonts w:ascii="Times New Roman" w:hAnsi="Times New Roman"/>
          <w:lang w:val="fr-CH"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37EFA" w:rsidRPr="00461BF4" w:rsidTr="00BC443E">
        <w:trPr>
          <w:trHeight w:val="3372"/>
        </w:trPr>
        <w:tc>
          <w:tcPr>
            <w:tcW w:w="8080" w:type="dxa"/>
            <w:tcBorders>
              <w:top w:val="single" w:sz="12" w:space="0" w:color="auto"/>
              <w:left w:val="single" w:sz="12" w:space="0" w:color="auto"/>
              <w:bottom w:val="single" w:sz="12" w:space="0" w:color="auto"/>
              <w:right w:val="single" w:sz="12" w:space="0" w:color="auto"/>
            </w:tcBorders>
          </w:tcPr>
          <w:p w:rsidR="00137EFA" w:rsidRPr="00461BF4" w:rsidRDefault="00137EFA" w:rsidP="00137EFA">
            <w:pPr>
              <w:pStyle w:val="Headingb"/>
              <w:rPr>
                <w:rFonts w:ascii="Times New Roman" w:hAnsi="Times New Roman"/>
                <w:lang w:val="fr-CH" w:eastAsia="zh-CN"/>
              </w:rPr>
            </w:pPr>
            <w:r>
              <w:rPr>
                <w:rFonts w:ascii="Times New Roman" w:hAnsi="Times New Roman" w:hint="eastAsia"/>
                <w:lang w:val="fr-CH" w:eastAsia="zh-CN"/>
              </w:rPr>
              <w:t>概要</w:t>
            </w:r>
          </w:p>
          <w:p w:rsidR="00137EFA" w:rsidRPr="00461BF4" w:rsidRDefault="00137EFA" w:rsidP="00137EFA">
            <w:pPr>
              <w:ind w:firstLineChars="200" w:firstLine="480"/>
              <w:rPr>
                <w:rFonts w:ascii="Times New Roman" w:hAnsi="Times New Roman"/>
                <w:lang w:val="fr-CH" w:eastAsia="zh-CN"/>
              </w:rPr>
            </w:pPr>
            <w:bookmarkStart w:id="5" w:name="lt_pId021"/>
            <w:r>
              <w:rPr>
                <w:rFonts w:ascii="Times New Roman" w:hAnsi="Times New Roman" w:hint="eastAsia"/>
                <w:lang w:val="fr-CH" w:eastAsia="zh-CN"/>
              </w:rPr>
              <w:t>本文稿就</w:t>
            </w:r>
            <w:r w:rsidRPr="00546731">
              <w:rPr>
                <w:rFonts w:ascii="Times New Roman" w:hAnsi="Times New Roman" w:hint="eastAsia"/>
                <w:lang w:val="fr-CH" w:eastAsia="zh-CN"/>
              </w:rPr>
              <w:t>《国际电信规则》</w:t>
            </w:r>
            <w:r>
              <w:rPr>
                <w:rFonts w:ascii="Times New Roman" w:hAnsi="Times New Roman" w:hint="eastAsia"/>
                <w:lang w:val="fr-CH" w:eastAsia="zh-CN"/>
              </w:rPr>
              <w:t>（</w:t>
            </w:r>
            <w:proofErr w:type="spellStart"/>
            <w:r w:rsidRPr="00137EFA">
              <w:rPr>
                <w:rFonts w:asciiTheme="minorHAnsi" w:hAnsiTheme="minorHAnsi" w:cstheme="minorHAnsi"/>
                <w:lang w:val="fr-CH" w:eastAsia="zh-CN"/>
              </w:rPr>
              <w:t>ITRs</w:t>
            </w:r>
            <w:proofErr w:type="spellEnd"/>
            <w:r>
              <w:rPr>
                <w:rFonts w:ascii="Times New Roman" w:hAnsi="Times New Roman" w:hint="eastAsia"/>
                <w:lang w:val="fr-CH" w:eastAsia="zh-CN"/>
              </w:rPr>
              <w:t>）专家组未来的职责范围提出了建议。</w:t>
            </w:r>
            <w:bookmarkEnd w:id="5"/>
          </w:p>
          <w:p w:rsidR="00137EFA" w:rsidRPr="00461BF4" w:rsidRDefault="00137EFA" w:rsidP="00137EFA">
            <w:pPr>
              <w:pStyle w:val="Headingb"/>
              <w:rPr>
                <w:rFonts w:ascii="Times New Roman" w:hAnsi="Times New Roman"/>
                <w:lang w:val="fr-CH" w:eastAsia="zh-CN"/>
              </w:rPr>
            </w:pPr>
            <w:bookmarkStart w:id="6" w:name="lt_pId022"/>
            <w:r>
              <w:rPr>
                <w:rFonts w:ascii="Times New Roman" w:hAnsi="Times New Roman" w:hint="eastAsia"/>
                <w:lang w:val="fr-CH" w:eastAsia="zh-CN"/>
              </w:rPr>
              <w:t>需采取行动</w:t>
            </w:r>
            <w:bookmarkEnd w:id="6"/>
          </w:p>
          <w:p w:rsidR="00137EFA" w:rsidRPr="00461BF4" w:rsidRDefault="00137EFA" w:rsidP="00137EFA">
            <w:pPr>
              <w:ind w:firstLineChars="200" w:firstLine="480"/>
              <w:rPr>
                <w:rFonts w:ascii="Times New Roman" w:hAnsi="Times New Roman"/>
                <w:lang w:val="fr-CH" w:eastAsia="zh-CN"/>
              </w:rPr>
            </w:pPr>
            <w:bookmarkStart w:id="7" w:name="lt_pId023"/>
            <w:r w:rsidRPr="00546731">
              <w:rPr>
                <w:rFonts w:ascii="Times New Roman" w:hAnsi="Times New Roman" w:hint="eastAsia"/>
                <w:lang w:val="fr-CH" w:eastAsia="zh-CN"/>
              </w:rPr>
              <w:t>阿尔及利亚</w:t>
            </w:r>
            <w:r>
              <w:rPr>
                <w:rFonts w:ascii="Times New Roman" w:hAnsi="Times New Roman" w:hint="eastAsia"/>
                <w:lang w:val="fr-CH" w:eastAsia="zh-CN"/>
              </w:rPr>
              <w:t>请理事会注意本文稿的内容并通过</w:t>
            </w:r>
            <w:r w:rsidRPr="00546731">
              <w:rPr>
                <w:rFonts w:ascii="Times New Roman" w:hAnsi="Times New Roman" w:hint="eastAsia"/>
                <w:lang w:val="fr-CH" w:eastAsia="zh-CN"/>
              </w:rPr>
              <w:t>《国际电信规则》专家组拟议职责范围</w:t>
            </w:r>
            <w:r>
              <w:rPr>
                <w:rFonts w:ascii="Times New Roman" w:hAnsi="Times New Roman" w:hint="eastAsia"/>
                <w:lang w:val="fr-CH" w:eastAsia="zh-CN"/>
              </w:rPr>
              <w:t>的案文。</w:t>
            </w:r>
            <w:bookmarkEnd w:id="7"/>
          </w:p>
          <w:p w:rsidR="00137EFA" w:rsidRPr="00461BF4" w:rsidRDefault="00137EFA" w:rsidP="00137EFA">
            <w:pPr>
              <w:pStyle w:val="Table"/>
              <w:keepNext w:val="0"/>
              <w:spacing w:before="0" w:after="0"/>
              <w:rPr>
                <w:rFonts w:eastAsia="SimSun"/>
                <w:caps w:val="0"/>
                <w:sz w:val="22"/>
                <w:lang w:val="fr-CH" w:eastAsia="zh-CN"/>
              </w:rPr>
            </w:pPr>
            <w:r w:rsidRPr="00461BF4">
              <w:rPr>
                <w:rFonts w:eastAsia="SimSun"/>
                <w:caps w:val="0"/>
                <w:sz w:val="22"/>
                <w:lang w:val="fr-CH" w:eastAsia="zh-CN"/>
              </w:rPr>
              <w:t>____________</w:t>
            </w:r>
          </w:p>
          <w:p w:rsidR="00137EFA" w:rsidRPr="00461BF4" w:rsidRDefault="00137EFA" w:rsidP="00137EFA">
            <w:pPr>
              <w:pStyle w:val="Headingb"/>
              <w:rPr>
                <w:rFonts w:ascii="Times New Roman" w:hAnsi="Times New Roman"/>
                <w:lang w:val="fr-CH" w:eastAsia="zh-CN"/>
              </w:rPr>
            </w:pPr>
            <w:bookmarkStart w:id="8" w:name="lt_pId025"/>
            <w:r>
              <w:rPr>
                <w:rFonts w:ascii="Times New Roman" w:hAnsi="Times New Roman" w:hint="eastAsia"/>
                <w:lang w:val="fr-CH" w:eastAsia="zh-CN"/>
              </w:rPr>
              <w:t>参考文件</w:t>
            </w:r>
            <w:bookmarkEnd w:id="8"/>
          </w:p>
          <w:p w:rsidR="00137EFA" w:rsidRPr="00137EFA" w:rsidRDefault="00EB2A98" w:rsidP="00137EFA">
            <w:pPr>
              <w:spacing w:after="120"/>
              <w:rPr>
                <w:rFonts w:ascii="STKaiti" w:eastAsia="STKaiti" w:hAnsi="STKaiti"/>
                <w:b/>
                <w:color w:val="800000"/>
                <w:sz w:val="22"/>
                <w:lang w:val="fr-CH" w:eastAsia="zh-CN"/>
              </w:rPr>
            </w:pPr>
            <w:hyperlink r:id="rId9" w:history="1">
              <w:bookmarkStart w:id="9" w:name="lt_pId026"/>
              <w:r w:rsidR="00137EFA" w:rsidRPr="00137EFA">
                <w:rPr>
                  <w:rStyle w:val="Hyperlink"/>
                  <w:rFonts w:ascii="STKaiti" w:eastAsia="STKaiti" w:hAnsi="STKaiti"/>
                  <w:lang w:val="fr-CH" w:eastAsia="zh-CN"/>
                </w:rPr>
                <w:t>第146</w:t>
              </w:r>
              <w:r w:rsidR="00137EFA" w:rsidRPr="00137EFA">
                <w:rPr>
                  <w:rStyle w:val="Hyperlink"/>
                  <w:rFonts w:ascii="STKaiti" w:eastAsia="STKaiti" w:hAnsi="STKaiti" w:hint="eastAsia"/>
                  <w:lang w:val="fr-CH" w:eastAsia="zh-CN"/>
                </w:rPr>
                <w:t>号决议（2018年，迪拜，修订版）</w:t>
              </w:r>
              <w:bookmarkEnd w:id="9"/>
            </w:hyperlink>
          </w:p>
          <w:p w:rsidR="00137EFA" w:rsidRPr="00461BF4" w:rsidRDefault="00137EFA" w:rsidP="00137EFA">
            <w:pPr>
              <w:spacing w:after="120"/>
              <w:rPr>
                <w:rFonts w:ascii="Times New Roman" w:hAnsi="Times New Roman"/>
                <w:i/>
                <w:iCs/>
                <w:lang w:val="fr-CH" w:eastAsia="zh-CN"/>
              </w:rPr>
            </w:pPr>
          </w:p>
        </w:tc>
      </w:tr>
    </w:tbl>
    <w:p w:rsidR="00137EFA" w:rsidRPr="00461BF4" w:rsidRDefault="00137EFA" w:rsidP="00137EFA">
      <w:pPr>
        <w:pStyle w:val="Headingb"/>
        <w:rPr>
          <w:lang w:eastAsia="zh-CN"/>
        </w:rPr>
      </w:pPr>
      <w:bookmarkStart w:id="10" w:name="lt_pId027"/>
      <w:r>
        <w:rPr>
          <w:rFonts w:hint="eastAsia"/>
          <w:lang w:eastAsia="zh-CN"/>
        </w:rPr>
        <w:t>前言</w:t>
      </w:r>
      <w:bookmarkEnd w:id="10"/>
    </w:p>
    <w:p w:rsidR="00137EFA" w:rsidRPr="00137EFA" w:rsidRDefault="00137EFA" w:rsidP="00137EFA">
      <w:pPr>
        <w:ind w:firstLineChars="200" w:firstLine="480"/>
        <w:jc w:val="both"/>
        <w:rPr>
          <w:rFonts w:asciiTheme="minorHAnsi" w:hAnsiTheme="minorHAnsi" w:cstheme="minorHAnsi"/>
          <w:lang w:eastAsia="zh-CN"/>
        </w:rPr>
      </w:pPr>
      <w:bookmarkStart w:id="11" w:name="lt_pId028"/>
      <w:r w:rsidRPr="00137EFA">
        <w:rPr>
          <w:rFonts w:asciiTheme="minorHAnsi" w:hAnsiTheme="minorHAnsi" w:cstheme="minorHAnsi"/>
          <w:lang w:val="fr-CH" w:eastAsia="zh-CN"/>
        </w:rPr>
        <w:t>《国际电信规则》（</w:t>
      </w:r>
      <w:proofErr w:type="spellStart"/>
      <w:r w:rsidRPr="00137EFA">
        <w:rPr>
          <w:rFonts w:asciiTheme="minorHAnsi" w:hAnsiTheme="minorHAnsi" w:cstheme="minorHAnsi"/>
          <w:lang w:val="fr-CH" w:eastAsia="zh-CN"/>
        </w:rPr>
        <w:t>ITRs</w:t>
      </w:r>
      <w:proofErr w:type="spellEnd"/>
      <w:r w:rsidRPr="00137EFA">
        <w:rPr>
          <w:rFonts w:asciiTheme="minorHAnsi" w:hAnsiTheme="minorHAnsi" w:cstheme="minorHAnsi"/>
          <w:lang w:val="fr-CH" w:eastAsia="zh-CN"/>
        </w:rPr>
        <w:t>）是国际电联行政法规的组成部分，</w:t>
      </w:r>
      <w:r>
        <w:rPr>
          <w:rFonts w:asciiTheme="minorHAnsi" w:hAnsiTheme="minorHAnsi" w:cstheme="minorHAnsi" w:hint="eastAsia"/>
          <w:lang w:val="fr-CH" w:eastAsia="zh-CN"/>
        </w:rPr>
        <w:t>而</w:t>
      </w:r>
      <w:r w:rsidRPr="00137EFA">
        <w:rPr>
          <w:rFonts w:asciiTheme="minorHAnsi" w:hAnsiTheme="minorHAnsi" w:cstheme="minorHAnsi"/>
          <w:lang w:val="fr-CH" w:eastAsia="zh-CN"/>
        </w:rPr>
        <w:t>且是国际电联《组织法》和《公约》的补充。</w:t>
      </w:r>
      <w:bookmarkStart w:id="12" w:name="lt_pId029"/>
      <w:bookmarkEnd w:id="11"/>
      <w:r w:rsidRPr="00137EFA">
        <w:rPr>
          <w:rFonts w:asciiTheme="minorHAnsi" w:hAnsiTheme="minorHAnsi" w:cstheme="minorHAnsi"/>
          <w:lang w:val="fr-CH" w:eastAsia="zh-CN"/>
        </w:rPr>
        <w:t>因此</w:t>
      </w:r>
      <w:r>
        <w:rPr>
          <w:rFonts w:asciiTheme="minorHAnsi" w:hAnsiTheme="minorHAnsi" w:cstheme="minorHAnsi" w:hint="eastAsia"/>
          <w:lang w:val="fr-CH" w:eastAsia="zh-CN"/>
        </w:rPr>
        <w:t>人们</w:t>
      </w:r>
      <w:r w:rsidRPr="00137EFA">
        <w:rPr>
          <w:rFonts w:asciiTheme="minorHAnsi" w:hAnsiTheme="minorHAnsi" w:cstheme="minorHAnsi"/>
          <w:lang w:val="fr-CH" w:eastAsia="zh-CN"/>
        </w:rPr>
        <w:t>将</w:t>
      </w:r>
      <w:r>
        <w:rPr>
          <w:rFonts w:asciiTheme="minorHAnsi" w:hAnsiTheme="minorHAnsi" w:cstheme="minorHAnsi" w:hint="eastAsia"/>
          <w:lang w:val="fr-CH" w:eastAsia="zh-CN"/>
        </w:rPr>
        <w:t>其</w:t>
      </w:r>
      <w:r w:rsidRPr="00137EFA">
        <w:rPr>
          <w:rFonts w:asciiTheme="minorHAnsi" w:hAnsiTheme="minorHAnsi" w:cstheme="minorHAnsi"/>
          <w:lang w:val="fr-CH" w:eastAsia="zh-CN"/>
        </w:rPr>
        <w:t>视作《组织法》和《公约》的法律条款，且此条约在其管辖范围内，制定了</w:t>
      </w:r>
      <w:r w:rsidRPr="00137EFA">
        <w:rPr>
          <w:rFonts w:asciiTheme="minorHAnsi" w:hAnsiTheme="minorHAnsi" w:cstheme="minorHAnsi"/>
          <w:b/>
          <w:lang w:val="fr-CH" w:eastAsia="zh-CN"/>
        </w:rPr>
        <w:t>向公众提供的国际电信服务及操作的一般原则</w:t>
      </w:r>
      <w:r w:rsidRPr="00137EFA">
        <w:rPr>
          <w:rFonts w:asciiTheme="minorHAnsi" w:hAnsiTheme="minorHAnsi" w:cstheme="minorHAnsi"/>
          <w:lang w:val="fr-CH" w:eastAsia="zh-CN"/>
        </w:rPr>
        <w:t>。</w:t>
      </w:r>
      <w:bookmarkEnd w:id="12"/>
      <w:r w:rsidRPr="00137EFA">
        <w:rPr>
          <w:rFonts w:asciiTheme="minorHAnsi" w:hAnsiTheme="minorHAnsi" w:cstheme="minorHAnsi"/>
          <w:lang w:eastAsia="zh-CN"/>
        </w:rPr>
        <w:t xml:space="preserve"> </w:t>
      </w:r>
    </w:p>
    <w:p w:rsidR="00137EFA" w:rsidRPr="00137EFA" w:rsidRDefault="00137EFA" w:rsidP="00137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both"/>
        <w:rPr>
          <w:rFonts w:asciiTheme="minorHAnsi" w:hAnsiTheme="minorHAnsi" w:cstheme="minorHAnsi"/>
          <w:b/>
          <w:color w:val="800000"/>
          <w:sz w:val="22"/>
          <w:highlight w:val="white"/>
          <w:lang w:eastAsia="zh-CN"/>
        </w:rPr>
      </w:pPr>
      <w:bookmarkStart w:id="13" w:name="lt_pId030"/>
      <w:r w:rsidRPr="00137EFA">
        <w:rPr>
          <w:rFonts w:asciiTheme="minorHAnsi" w:hAnsiTheme="minorHAnsi" w:cstheme="minorHAnsi"/>
          <w:color w:val="212121"/>
          <w:highlight w:val="white"/>
          <w:lang w:eastAsia="zh-CN"/>
        </w:rPr>
        <w:t>鉴于国际</w:t>
      </w:r>
      <w:r>
        <w:rPr>
          <w:rFonts w:asciiTheme="minorHAnsi" w:hAnsiTheme="minorHAnsi" w:cstheme="minorHAnsi" w:hint="eastAsia"/>
          <w:color w:val="212121"/>
          <w:highlight w:val="white"/>
          <w:lang w:eastAsia="zh-CN"/>
        </w:rPr>
        <w:t>电信</w:t>
      </w:r>
      <w:r w:rsidRPr="00137EFA">
        <w:rPr>
          <w:rFonts w:asciiTheme="minorHAnsi" w:hAnsiTheme="minorHAnsi" w:cstheme="minorHAnsi"/>
          <w:color w:val="212121"/>
          <w:highlight w:val="white"/>
          <w:lang w:eastAsia="zh-CN"/>
        </w:rPr>
        <w:t>联盟是联合国负责电信</w:t>
      </w:r>
      <w:r w:rsidRPr="00137EFA">
        <w:rPr>
          <w:rFonts w:asciiTheme="minorHAnsi" w:hAnsiTheme="minorHAnsi" w:cstheme="minorHAnsi"/>
          <w:color w:val="212121"/>
          <w:highlight w:val="white"/>
          <w:lang w:eastAsia="zh-CN"/>
        </w:rPr>
        <w:t>/ICT</w:t>
      </w:r>
      <w:r w:rsidRPr="00137EFA">
        <w:rPr>
          <w:rFonts w:asciiTheme="minorHAnsi" w:hAnsiTheme="minorHAnsi" w:cstheme="minorHAnsi"/>
          <w:color w:val="212121"/>
          <w:highlight w:val="white"/>
          <w:lang w:eastAsia="zh-CN"/>
        </w:rPr>
        <w:t>业务的专门机构，</w:t>
      </w:r>
      <w:r>
        <w:rPr>
          <w:rFonts w:asciiTheme="minorHAnsi" w:hAnsiTheme="minorHAnsi" w:cstheme="minorHAnsi" w:hint="eastAsia"/>
          <w:color w:val="212121"/>
          <w:highlight w:val="white"/>
          <w:lang w:eastAsia="zh-CN"/>
        </w:rPr>
        <w:t>而</w:t>
      </w:r>
      <w:r w:rsidRPr="00137EFA">
        <w:rPr>
          <w:rFonts w:asciiTheme="minorHAnsi" w:hAnsiTheme="minorHAnsi" w:cstheme="minorHAnsi"/>
          <w:color w:val="212121"/>
          <w:highlight w:val="white"/>
          <w:lang w:eastAsia="zh-CN"/>
        </w:rPr>
        <w:t>且能够在推广新兴技术统一框架方面发挥重要作用；同时考虑到国际电联在推动国际合作以及成员国与全体利益攸关方开展协</w:t>
      </w:r>
      <w:r>
        <w:rPr>
          <w:rFonts w:asciiTheme="minorHAnsi" w:hAnsiTheme="minorHAnsi" w:cstheme="minorHAnsi" w:hint="eastAsia"/>
          <w:color w:val="212121"/>
          <w:highlight w:val="white"/>
          <w:lang w:eastAsia="zh-CN"/>
        </w:rPr>
        <w:t>调</w:t>
      </w:r>
      <w:r w:rsidRPr="00137EFA">
        <w:rPr>
          <w:rFonts w:asciiTheme="minorHAnsi" w:hAnsiTheme="minorHAnsi" w:cstheme="minorHAnsi"/>
          <w:color w:val="212121"/>
          <w:highlight w:val="white"/>
          <w:lang w:eastAsia="zh-CN"/>
        </w:rPr>
        <w:t>方面</w:t>
      </w:r>
      <w:r>
        <w:rPr>
          <w:rFonts w:asciiTheme="minorHAnsi" w:hAnsiTheme="minorHAnsi" w:cstheme="minorHAnsi" w:hint="eastAsia"/>
          <w:color w:val="212121"/>
          <w:highlight w:val="white"/>
          <w:lang w:eastAsia="zh-CN"/>
        </w:rPr>
        <w:t>发挥</w:t>
      </w:r>
      <w:r w:rsidRPr="00137EFA">
        <w:rPr>
          <w:rFonts w:asciiTheme="minorHAnsi" w:hAnsiTheme="minorHAnsi" w:cstheme="minorHAnsi"/>
          <w:color w:val="212121"/>
          <w:highlight w:val="white"/>
          <w:lang w:eastAsia="zh-CN"/>
        </w:rPr>
        <w:t>的职能，第</w:t>
      </w:r>
      <w:r w:rsidRPr="00137EFA">
        <w:rPr>
          <w:rFonts w:asciiTheme="minorHAnsi" w:hAnsiTheme="minorHAnsi" w:cstheme="minorHAnsi"/>
          <w:color w:val="212121"/>
          <w:highlight w:val="white"/>
          <w:lang w:eastAsia="zh-CN"/>
        </w:rPr>
        <w:t>146</w:t>
      </w:r>
      <w:r w:rsidRPr="00137EFA">
        <w:rPr>
          <w:rFonts w:asciiTheme="minorHAnsi" w:hAnsiTheme="minorHAnsi" w:cstheme="minorHAnsi"/>
          <w:color w:val="212121"/>
          <w:highlight w:val="white"/>
          <w:lang w:eastAsia="zh-CN"/>
        </w:rPr>
        <w:t>号决议（</w:t>
      </w:r>
      <w:r w:rsidRPr="00137EFA">
        <w:rPr>
          <w:rFonts w:asciiTheme="minorHAnsi" w:hAnsiTheme="minorHAnsi" w:cstheme="minorHAnsi"/>
          <w:color w:val="212121"/>
          <w:lang w:eastAsia="zh-CN"/>
        </w:rPr>
        <w:t>2018</w:t>
      </w:r>
      <w:r w:rsidRPr="00137EFA">
        <w:rPr>
          <w:rFonts w:asciiTheme="minorHAnsi" w:hAnsiTheme="minorHAnsi" w:cstheme="minorHAnsi"/>
          <w:color w:val="212121"/>
          <w:lang w:eastAsia="zh-CN"/>
        </w:rPr>
        <w:t>年，迪拜，修订版</w:t>
      </w:r>
      <w:r w:rsidRPr="00137EFA">
        <w:rPr>
          <w:rFonts w:asciiTheme="minorHAnsi" w:hAnsiTheme="minorHAnsi" w:cstheme="minorHAnsi"/>
          <w:color w:val="212121"/>
          <w:highlight w:val="white"/>
          <w:lang w:eastAsia="zh-CN"/>
        </w:rPr>
        <w:t>）的</w:t>
      </w:r>
      <w:r w:rsidRPr="00137EFA">
        <w:rPr>
          <w:rFonts w:asciiTheme="minorHAnsi" w:eastAsia="STKaiti" w:hAnsiTheme="minorHAnsi" w:cstheme="minorHAnsi"/>
          <w:color w:val="212121"/>
          <w:highlight w:val="white"/>
          <w:lang w:eastAsia="zh-CN"/>
        </w:rPr>
        <w:t>做出决议</w:t>
      </w:r>
      <w:r w:rsidRPr="00137EFA">
        <w:rPr>
          <w:rFonts w:asciiTheme="minorHAnsi" w:hAnsiTheme="minorHAnsi" w:cstheme="minorHAnsi"/>
          <w:color w:val="212121"/>
          <w:highlight w:val="white"/>
          <w:lang w:eastAsia="zh-CN"/>
        </w:rPr>
        <w:t>部分提出：</w:t>
      </w:r>
      <w:bookmarkEnd w:id="13"/>
      <w:r w:rsidRPr="00137EFA">
        <w:rPr>
          <w:rFonts w:asciiTheme="minorHAnsi" w:hAnsiTheme="minorHAnsi" w:cstheme="minorHAnsi"/>
          <w:b/>
          <w:color w:val="800000"/>
          <w:sz w:val="22"/>
          <w:lang w:eastAsia="zh-CN"/>
        </w:rPr>
        <w:t xml:space="preserve"> </w:t>
      </w:r>
    </w:p>
    <w:p w:rsidR="00137EFA" w:rsidRPr="00137EFA" w:rsidRDefault="00137EFA" w:rsidP="00137EFA">
      <w:pPr>
        <w:pStyle w:val="enumlev1"/>
        <w:rPr>
          <w:highlight w:val="white"/>
          <w:lang w:eastAsia="zh-CN"/>
        </w:rPr>
      </w:pPr>
      <w:r>
        <w:rPr>
          <w:lang w:eastAsia="zh-CN"/>
        </w:rPr>
        <w:t>–</w:t>
      </w:r>
      <w:r>
        <w:rPr>
          <w:lang w:eastAsia="zh-CN"/>
        </w:rPr>
        <w:tab/>
      </w:r>
      <w:r w:rsidRPr="00137EFA">
        <w:rPr>
          <w:lang w:eastAsia="zh-CN"/>
        </w:rPr>
        <w:t>应定期审议并修订《国际电信规则》</w:t>
      </w:r>
      <w:r w:rsidRPr="00137EFA">
        <w:rPr>
          <w:highlight w:val="white"/>
          <w:lang w:eastAsia="zh-CN"/>
        </w:rPr>
        <w:t xml:space="preserve"> </w:t>
      </w:r>
    </w:p>
    <w:p w:rsidR="00137EFA" w:rsidRPr="00137EFA" w:rsidRDefault="00137EFA" w:rsidP="00137EFA">
      <w:pPr>
        <w:pStyle w:val="enumlev1"/>
        <w:rPr>
          <w:lang w:eastAsia="zh-CN"/>
        </w:rPr>
      </w:pPr>
      <w:r w:rsidRPr="00137EFA">
        <w:rPr>
          <w:rFonts w:eastAsia="STKaiti"/>
          <w:lang w:eastAsia="zh-CN"/>
        </w:rPr>
        <w:t>–</w:t>
      </w:r>
      <w:r>
        <w:rPr>
          <w:rFonts w:eastAsia="STKaiti"/>
          <w:lang w:eastAsia="zh-CN"/>
        </w:rPr>
        <w:tab/>
      </w:r>
      <w:r w:rsidRPr="00137EFA">
        <w:rPr>
          <w:rFonts w:asciiTheme="minorEastAsia" w:eastAsiaTheme="minorEastAsia" w:hAnsiTheme="minorEastAsia"/>
          <w:lang w:eastAsia="zh-CN"/>
        </w:rPr>
        <w:t>对《国际电信规则》进行全面审查，以便就与其相关的未来工作方向达成共识，</w:t>
      </w:r>
    </w:p>
    <w:p w:rsidR="00137EFA" w:rsidRPr="002E3E33" w:rsidRDefault="00137EFA" w:rsidP="002E3E33">
      <w:pPr>
        <w:ind w:firstLineChars="200" w:firstLine="480"/>
        <w:rPr>
          <w:lang w:eastAsia="zh-CN"/>
        </w:rPr>
      </w:pPr>
      <w:bookmarkStart w:id="14" w:name="lt_pId033"/>
      <w:r w:rsidRPr="002E3E33">
        <w:rPr>
          <w:lang w:eastAsia="zh-CN"/>
        </w:rPr>
        <w:t>同一决议责成秘书长，再次</w:t>
      </w:r>
      <w:r w:rsidR="002E3E33">
        <w:rPr>
          <w:rFonts w:hint="eastAsia"/>
          <w:lang w:eastAsia="zh-CN"/>
        </w:rPr>
        <w:t>召集</w:t>
      </w:r>
      <w:r w:rsidRPr="002E3E33">
        <w:rPr>
          <w:lang w:eastAsia="zh-CN"/>
        </w:rPr>
        <w:t>向国际电联成员国和部门成员开放的《国际电信规则》专家组（</w:t>
      </w:r>
      <w:r w:rsidRPr="002E3E33">
        <w:rPr>
          <w:lang w:eastAsia="zh-CN"/>
        </w:rPr>
        <w:t>EG-ITR</w:t>
      </w:r>
      <w:r w:rsidR="001E48BE" w:rsidRPr="005D657B">
        <w:rPr>
          <w:lang w:eastAsia="zh-CN"/>
        </w:rPr>
        <w:t>s</w:t>
      </w:r>
      <w:r w:rsidRPr="002E3E33">
        <w:rPr>
          <w:lang w:eastAsia="zh-CN"/>
        </w:rPr>
        <w:t>）</w:t>
      </w:r>
      <w:r w:rsidR="002E3E33">
        <w:rPr>
          <w:lang w:eastAsia="zh-CN"/>
        </w:rPr>
        <w:t>，</w:t>
      </w:r>
      <w:r w:rsidRPr="002E3E33">
        <w:rPr>
          <w:lang w:eastAsia="zh-CN"/>
        </w:rPr>
        <w:t>负责进行《规则》的审议工作，其职责范围和工作方法由国际电联理事会确定；</w:t>
      </w:r>
      <w:bookmarkEnd w:id="14"/>
    </w:p>
    <w:p w:rsidR="00137EFA" w:rsidRPr="00461BF4" w:rsidRDefault="00137EFA" w:rsidP="002E3E33">
      <w:pPr>
        <w:ind w:firstLineChars="200" w:firstLine="480"/>
        <w:rPr>
          <w:rFonts w:ascii="Times New Roman" w:hAnsi="Times New Roman"/>
          <w:lang w:eastAsia="zh-CN"/>
        </w:rPr>
      </w:pPr>
      <w:r w:rsidRPr="002E3E33">
        <w:rPr>
          <w:lang w:eastAsia="zh-CN"/>
        </w:rPr>
        <w:lastRenderedPageBreak/>
        <w:t>此外，责成本届理事会会议审议并修订新</w:t>
      </w:r>
      <w:r w:rsidR="002E3E33">
        <w:rPr>
          <w:rFonts w:hint="eastAsia"/>
          <w:lang w:eastAsia="zh-CN"/>
        </w:rPr>
        <w:t>的</w:t>
      </w:r>
      <w:r w:rsidRPr="002E3E33">
        <w:rPr>
          <w:lang w:eastAsia="zh-CN"/>
        </w:rPr>
        <w:t>EG-</w:t>
      </w:r>
      <w:r w:rsidR="002E3E33" w:rsidRPr="005D657B">
        <w:rPr>
          <w:lang w:eastAsia="zh-CN"/>
        </w:rPr>
        <w:t>ITRs</w:t>
      </w:r>
      <w:r w:rsidRPr="002E3E33">
        <w:rPr>
          <w:lang w:eastAsia="zh-CN"/>
        </w:rPr>
        <w:t>的职责范围。</w:t>
      </w:r>
    </w:p>
    <w:p w:rsidR="00137EFA" w:rsidRPr="00461BF4" w:rsidRDefault="00137EFA" w:rsidP="00137EFA">
      <w:pPr>
        <w:overflowPunct/>
        <w:autoSpaceDE/>
        <w:autoSpaceDN/>
        <w:adjustRightInd/>
        <w:spacing w:before="0"/>
        <w:textAlignment w:val="auto"/>
        <w:rPr>
          <w:rFonts w:ascii="Times New Roman" w:hAnsi="Times New Roman"/>
          <w:b/>
          <w:bCs/>
          <w:lang w:eastAsia="zh-CN"/>
        </w:rPr>
      </w:pPr>
      <w:r w:rsidRPr="00461BF4">
        <w:rPr>
          <w:rFonts w:ascii="Times New Roman" w:hAnsi="Times New Roman"/>
          <w:b/>
          <w:bCs/>
          <w:lang w:eastAsia="zh-CN"/>
        </w:rPr>
        <w:br w:type="page"/>
      </w:r>
    </w:p>
    <w:p w:rsidR="00137EFA" w:rsidRPr="00461BF4" w:rsidRDefault="00137EFA" w:rsidP="001A33A3">
      <w:pPr>
        <w:pStyle w:val="Headingb"/>
        <w:rPr>
          <w:lang w:eastAsia="zh-CN"/>
        </w:rPr>
      </w:pPr>
      <w:bookmarkStart w:id="15" w:name="lt_pId035"/>
      <w:r>
        <w:rPr>
          <w:rFonts w:hint="eastAsia"/>
          <w:lang w:eastAsia="zh-CN"/>
        </w:rPr>
        <w:lastRenderedPageBreak/>
        <w:t>提案</w:t>
      </w:r>
      <w:bookmarkEnd w:id="15"/>
    </w:p>
    <w:p w:rsidR="00137EFA" w:rsidRPr="00461BF4" w:rsidRDefault="00137EFA" w:rsidP="001A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both"/>
        <w:rPr>
          <w:rFonts w:ascii="Times New Roman" w:hAnsi="Times New Roman"/>
          <w:color w:val="212121"/>
          <w:lang w:eastAsia="zh-CN"/>
        </w:rPr>
      </w:pPr>
      <w:bookmarkStart w:id="16" w:name="lt_pId036"/>
      <w:r>
        <w:rPr>
          <w:rFonts w:ascii="Times New Roman" w:hAnsi="Times New Roman" w:hint="eastAsia"/>
          <w:color w:val="212121"/>
          <w:lang w:eastAsia="zh-CN"/>
        </w:rPr>
        <w:t>新专家组的职责范围应明确</w:t>
      </w:r>
      <w:r w:rsidR="001A33A3">
        <w:rPr>
          <w:rFonts w:ascii="Times New Roman" w:hAnsi="Times New Roman" w:hint="eastAsia"/>
          <w:color w:val="212121"/>
          <w:lang w:eastAsia="zh-CN"/>
        </w:rPr>
        <w:t>有利于该组</w:t>
      </w:r>
      <w:r>
        <w:rPr>
          <w:rFonts w:ascii="Times New Roman" w:hAnsi="Times New Roman" w:hint="eastAsia"/>
          <w:color w:val="212121"/>
          <w:lang w:eastAsia="zh-CN"/>
        </w:rPr>
        <w:t>：</w:t>
      </w:r>
      <w:bookmarkEnd w:id="16"/>
    </w:p>
    <w:p w:rsidR="00137EFA" w:rsidRPr="00461BF4" w:rsidRDefault="001A33A3" w:rsidP="001A33A3">
      <w:pPr>
        <w:pStyle w:val="enumlev1"/>
        <w:rPr>
          <w:lang w:eastAsia="zh-CN"/>
        </w:rPr>
      </w:pPr>
      <w:r>
        <w:rPr>
          <w:lang w:eastAsia="zh-CN"/>
        </w:rPr>
        <w:t>–</w:t>
      </w:r>
      <w:r>
        <w:rPr>
          <w:lang w:eastAsia="zh-CN"/>
        </w:rPr>
        <w:tab/>
      </w:r>
      <w:r w:rsidR="00137EFA">
        <w:rPr>
          <w:rFonts w:hint="eastAsia"/>
          <w:lang w:eastAsia="zh-CN"/>
        </w:rPr>
        <w:t>研究当前的电信运营背景，确定关乎成员国电信</w:t>
      </w:r>
      <w:r w:rsidR="00137EFA">
        <w:rPr>
          <w:rFonts w:hint="eastAsia"/>
          <w:lang w:eastAsia="zh-CN"/>
        </w:rPr>
        <w:t>/</w:t>
      </w:r>
      <w:r w:rsidR="00137EFA">
        <w:rPr>
          <w:lang w:eastAsia="zh-CN"/>
        </w:rPr>
        <w:t>ICT</w:t>
      </w:r>
      <w:r w:rsidR="00137EFA">
        <w:rPr>
          <w:rFonts w:hint="eastAsia"/>
          <w:lang w:eastAsia="zh-CN"/>
        </w:rPr>
        <w:t>且具有国际意义的重大问题；</w:t>
      </w:r>
    </w:p>
    <w:p w:rsidR="00137EFA" w:rsidRPr="00461BF4" w:rsidRDefault="001A33A3" w:rsidP="001A33A3">
      <w:pPr>
        <w:pStyle w:val="enumlev1"/>
        <w:rPr>
          <w:lang w:eastAsia="zh-CN"/>
        </w:rPr>
      </w:pPr>
      <w:r>
        <w:rPr>
          <w:lang w:eastAsia="zh-CN"/>
        </w:rPr>
        <w:t>–</w:t>
      </w:r>
      <w:r>
        <w:rPr>
          <w:lang w:eastAsia="zh-CN"/>
        </w:rPr>
        <w:tab/>
      </w:r>
      <w:r w:rsidR="00137EFA">
        <w:rPr>
          <w:rFonts w:hint="eastAsia"/>
          <w:lang w:eastAsia="zh-CN"/>
        </w:rPr>
        <w:t>分析自</w:t>
      </w:r>
      <w:r w:rsidR="00137EFA">
        <w:rPr>
          <w:rFonts w:hint="eastAsia"/>
          <w:lang w:eastAsia="zh-CN"/>
        </w:rPr>
        <w:t>2012</w:t>
      </w:r>
      <w:r w:rsidR="00137EFA">
        <w:rPr>
          <w:rFonts w:hint="eastAsia"/>
          <w:lang w:eastAsia="zh-CN"/>
        </w:rPr>
        <w:t>年</w:t>
      </w:r>
      <w:r>
        <w:rPr>
          <w:rFonts w:hint="eastAsia"/>
          <w:lang w:eastAsia="zh-CN"/>
        </w:rPr>
        <w:t>版</w:t>
      </w:r>
      <w:r w:rsidR="00137EFA" w:rsidRPr="00C1730E">
        <w:rPr>
          <w:rFonts w:hint="eastAsia"/>
          <w:lang w:eastAsia="zh-CN"/>
        </w:rPr>
        <w:t>《国际电信规则》制定以来</w:t>
      </w:r>
      <w:r w:rsidR="00137EFA">
        <w:rPr>
          <w:rFonts w:hint="eastAsia"/>
          <w:lang w:eastAsia="zh-CN"/>
        </w:rPr>
        <w:t>出现的新技术和新趋势；</w:t>
      </w:r>
    </w:p>
    <w:p w:rsidR="00137EFA" w:rsidRPr="00461BF4" w:rsidRDefault="001A33A3" w:rsidP="001A33A3">
      <w:pPr>
        <w:pStyle w:val="enumlev1"/>
        <w:rPr>
          <w:lang w:eastAsia="zh-CN"/>
        </w:rPr>
      </w:pPr>
      <w:bookmarkStart w:id="17" w:name="lt_pId039"/>
      <w:r>
        <w:rPr>
          <w:lang w:eastAsia="zh-CN"/>
        </w:rPr>
        <w:t>–</w:t>
      </w:r>
      <w:r>
        <w:rPr>
          <w:lang w:eastAsia="zh-CN"/>
        </w:rPr>
        <w:tab/>
      </w:r>
      <w:r w:rsidR="00137EFA">
        <w:rPr>
          <w:rFonts w:hint="eastAsia"/>
          <w:lang w:eastAsia="zh-CN"/>
        </w:rPr>
        <w:t>考虑到对</w:t>
      </w:r>
      <w:r w:rsidR="00137EFA" w:rsidRPr="00C1730E">
        <w:rPr>
          <w:rFonts w:hint="eastAsia"/>
          <w:lang w:eastAsia="zh-CN"/>
        </w:rPr>
        <w:t>《国际电信规则》</w:t>
      </w:r>
      <w:r w:rsidR="00137EFA">
        <w:rPr>
          <w:rFonts w:hint="eastAsia"/>
          <w:lang w:eastAsia="zh-CN"/>
        </w:rPr>
        <w:t>有影响的全权代表大会决议，并就未来可能的修订提出建议；</w:t>
      </w:r>
      <w:bookmarkEnd w:id="17"/>
    </w:p>
    <w:p w:rsidR="00137EFA" w:rsidRPr="00461BF4" w:rsidRDefault="001A33A3" w:rsidP="001A33A3">
      <w:pPr>
        <w:pStyle w:val="enumlev1"/>
        <w:rPr>
          <w:lang w:eastAsia="zh-CN"/>
        </w:rPr>
      </w:pPr>
      <w:bookmarkStart w:id="18" w:name="lt_pId040"/>
      <w:r>
        <w:rPr>
          <w:lang w:eastAsia="zh-CN"/>
        </w:rPr>
        <w:t>–</w:t>
      </w:r>
      <w:r>
        <w:rPr>
          <w:lang w:eastAsia="zh-CN"/>
        </w:rPr>
        <w:tab/>
      </w:r>
      <w:r w:rsidR="00137EFA">
        <w:rPr>
          <w:rFonts w:hint="eastAsia"/>
          <w:lang w:eastAsia="zh-CN"/>
        </w:rPr>
        <w:t>处理</w:t>
      </w:r>
      <w:r>
        <w:rPr>
          <w:rFonts w:hint="eastAsia"/>
          <w:lang w:eastAsia="zh-CN"/>
        </w:rPr>
        <w:t>可以</w:t>
      </w:r>
      <w:r w:rsidR="00137EFA">
        <w:rPr>
          <w:rFonts w:hint="eastAsia"/>
          <w:lang w:eastAsia="zh-CN"/>
        </w:rPr>
        <w:t>纳入</w:t>
      </w:r>
      <w:r w:rsidR="00137EFA" w:rsidRPr="00C1730E">
        <w:rPr>
          <w:rFonts w:hint="eastAsia"/>
          <w:lang w:eastAsia="zh-CN"/>
        </w:rPr>
        <w:t>《国际电信规则》</w:t>
      </w:r>
      <w:r w:rsidR="00137EFA">
        <w:rPr>
          <w:rFonts w:hint="eastAsia"/>
          <w:lang w:eastAsia="zh-CN"/>
        </w:rPr>
        <w:t>修订案的成员国和部门成员</w:t>
      </w:r>
      <w:r>
        <w:rPr>
          <w:rFonts w:hint="eastAsia"/>
          <w:lang w:eastAsia="zh-CN"/>
        </w:rPr>
        <w:t>提案</w:t>
      </w:r>
      <w:r w:rsidR="00137EFA">
        <w:rPr>
          <w:rFonts w:hint="eastAsia"/>
          <w:lang w:eastAsia="zh-CN"/>
        </w:rPr>
        <w:t>，特别是涉及网络安全、保护个人隐私、国际互连互通以及新兴技术的</w:t>
      </w:r>
      <w:r>
        <w:rPr>
          <w:rFonts w:hint="eastAsia"/>
          <w:lang w:eastAsia="zh-CN"/>
        </w:rPr>
        <w:t>提案</w:t>
      </w:r>
      <w:r w:rsidR="00137EFA">
        <w:rPr>
          <w:rFonts w:hint="eastAsia"/>
          <w:lang w:eastAsia="zh-CN"/>
        </w:rPr>
        <w:t>；</w:t>
      </w:r>
      <w:bookmarkEnd w:id="18"/>
    </w:p>
    <w:p w:rsidR="00137EFA" w:rsidRPr="00461BF4" w:rsidRDefault="001A33A3" w:rsidP="001A33A3">
      <w:pPr>
        <w:pStyle w:val="enumlev1"/>
        <w:rPr>
          <w:lang w:eastAsia="zh-CN"/>
        </w:rPr>
      </w:pPr>
      <w:bookmarkStart w:id="19" w:name="lt_pId042"/>
      <w:r>
        <w:rPr>
          <w:lang w:eastAsia="zh-CN"/>
        </w:rPr>
        <w:t>–</w:t>
      </w:r>
      <w:r>
        <w:rPr>
          <w:lang w:eastAsia="zh-CN"/>
        </w:rPr>
        <w:tab/>
      </w:r>
      <w:r w:rsidR="00137EFA">
        <w:rPr>
          <w:rFonts w:hint="eastAsia"/>
          <w:lang w:eastAsia="zh-CN"/>
        </w:rPr>
        <w:t>起草一份提交理事会</w:t>
      </w:r>
      <w:r w:rsidR="00137EFA">
        <w:rPr>
          <w:rFonts w:hint="eastAsia"/>
          <w:lang w:eastAsia="zh-CN"/>
        </w:rPr>
        <w:t>2022</w:t>
      </w:r>
      <w:r w:rsidR="00137EFA">
        <w:rPr>
          <w:rFonts w:hint="eastAsia"/>
          <w:lang w:eastAsia="zh-CN"/>
        </w:rPr>
        <w:t>年会议和</w:t>
      </w:r>
      <w:r w:rsidR="00137EFA">
        <w:rPr>
          <w:rFonts w:hint="eastAsia"/>
          <w:lang w:eastAsia="zh-CN"/>
        </w:rPr>
        <w:t>2022</w:t>
      </w:r>
      <w:r w:rsidR="00137EFA">
        <w:rPr>
          <w:rFonts w:hint="eastAsia"/>
          <w:lang w:eastAsia="zh-CN"/>
        </w:rPr>
        <w:t>年全权代表大会的报告。</w:t>
      </w:r>
      <w:bookmarkEnd w:id="19"/>
    </w:p>
    <w:p w:rsidR="00137EFA" w:rsidRPr="00461BF4" w:rsidRDefault="00137EFA" w:rsidP="00137EFA">
      <w:pPr>
        <w:overflowPunct/>
        <w:autoSpaceDE/>
        <w:autoSpaceDN/>
        <w:adjustRightInd/>
        <w:spacing w:before="0"/>
        <w:textAlignment w:val="auto"/>
        <w:rPr>
          <w:rFonts w:ascii="Times New Roman" w:hAnsi="Times New Roman"/>
          <w:lang w:eastAsia="zh-CN"/>
        </w:rPr>
      </w:pPr>
    </w:p>
    <w:p w:rsidR="00137EFA" w:rsidRPr="00461BF4" w:rsidRDefault="00137EFA" w:rsidP="00137EFA">
      <w:pPr>
        <w:jc w:val="center"/>
        <w:rPr>
          <w:rFonts w:ascii="Times New Roman" w:hAnsi="Times New Roman"/>
          <w:u w:val="single"/>
          <w:lang w:eastAsia="zh-CN"/>
        </w:rPr>
      </w:pPr>
    </w:p>
    <w:p w:rsidR="00B45365" w:rsidRPr="00280EB8" w:rsidRDefault="00B45365" w:rsidP="00137EFA">
      <w:pPr>
        <w:rPr>
          <w:lang w:eastAsia="zh-CN"/>
        </w:rPr>
      </w:pPr>
    </w:p>
    <w:p w:rsidR="00195FED" w:rsidRDefault="00B40A53" w:rsidP="00137EFA">
      <w:pPr>
        <w:pStyle w:val="ListParagraph"/>
        <w:jc w:val="center"/>
        <w:rPr>
          <w:lang w:eastAsia="zh-CN"/>
        </w:rPr>
      </w:pPr>
      <w:r w:rsidRPr="00280EB8">
        <w:rPr>
          <w:lang w:val="en-US" w:eastAsia="zh-CN"/>
        </w:rPr>
        <w:t>________________</w:t>
      </w:r>
    </w:p>
    <w:sectPr w:rsidR="00195FED" w:rsidSect="006C36CD">
      <w:head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5FE" w:rsidRDefault="006125FE">
      <w:r>
        <w:separator/>
      </w:r>
    </w:p>
  </w:endnote>
  <w:endnote w:type="continuationSeparator" w:id="0">
    <w:p w:rsidR="006125FE" w:rsidRDefault="0061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864589" w:rsidP="00137EFA">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5FE" w:rsidRDefault="006125FE">
      <w:r>
        <w:t>____________________</w:t>
      </w:r>
    </w:p>
  </w:footnote>
  <w:footnote w:type="continuationSeparator" w:id="0">
    <w:p w:rsidR="006125FE" w:rsidRDefault="00612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EB2A98">
      <w:rPr>
        <w:noProof/>
      </w:rPr>
      <w:t>3</w:t>
    </w:r>
    <w:r>
      <w:rPr>
        <w:noProof/>
      </w:rPr>
      <w:fldChar w:fldCharType="end"/>
    </w:r>
  </w:p>
  <w:p w:rsidR="00AC516F" w:rsidRDefault="0098459B" w:rsidP="00137EFA">
    <w:pPr>
      <w:pStyle w:val="Header"/>
      <w:rPr>
        <w:lang w:eastAsia="zh-CN"/>
      </w:rPr>
    </w:pPr>
    <w:r>
      <w:t>C1</w:t>
    </w:r>
    <w:r w:rsidR="00D453EE">
      <w:rPr>
        <w:lang w:eastAsia="zh-CN"/>
      </w:rPr>
      <w:t>9</w:t>
    </w:r>
    <w:r w:rsidR="004672E6">
      <w:t>/</w:t>
    </w:r>
    <w:r w:rsidR="00137EFA">
      <w:rPr>
        <w:lang w:eastAsia="zh-CN"/>
      </w:rPr>
      <w:t>81</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A396A"/>
    <w:multiLevelType w:val="hybridMultilevel"/>
    <w:tmpl w:val="29726454"/>
    <w:lvl w:ilvl="0" w:tplc="DFFA1AE0">
      <w:start w:val="1"/>
      <w:numFmt w:val="bullet"/>
      <w:lvlText w:val=""/>
      <w:lvlJc w:val="left"/>
      <w:pPr>
        <w:ind w:left="720" w:hanging="360"/>
      </w:pPr>
      <w:rPr>
        <w:rFonts w:ascii="Wingdings" w:hAnsi="Wingdings" w:hint="default"/>
      </w:rPr>
    </w:lvl>
    <w:lvl w:ilvl="1" w:tplc="881C2DBC" w:tentative="1">
      <w:start w:val="1"/>
      <w:numFmt w:val="bullet"/>
      <w:lvlText w:val="o"/>
      <w:lvlJc w:val="left"/>
      <w:pPr>
        <w:ind w:left="1440" w:hanging="360"/>
      </w:pPr>
      <w:rPr>
        <w:rFonts w:ascii="Courier New" w:hAnsi="Courier New" w:cs="Courier New" w:hint="default"/>
      </w:rPr>
    </w:lvl>
    <w:lvl w:ilvl="2" w:tplc="112079B4" w:tentative="1">
      <w:start w:val="1"/>
      <w:numFmt w:val="bullet"/>
      <w:lvlText w:val=""/>
      <w:lvlJc w:val="left"/>
      <w:pPr>
        <w:ind w:left="2160" w:hanging="360"/>
      </w:pPr>
      <w:rPr>
        <w:rFonts w:ascii="Wingdings" w:hAnsi="Wingdings" w:hint="default"/>
      </w:rPr>
    </w:lvl>
    <w:lvl w:ilvl="3" w:tplc="77509458" w:tentative="1">
      <w:start w:val="1"/>
      <w:numFmt w:val="bullet"/>
      <w:lvlText w:val=""/>
      <w:lvlJc w:val="left"/>
      <w:pPr>
        <w:ind w:left="2880" w:hanging="360"/>
      </w:pPr>
      <w:rPr>
        <w:rFonts w:ascii="Symbol" w:hAnsi="Symbol" w:hint="default"/>
      </w:rPr>
    </w:lvl>
    <w:lvl w:ilvl="4" w:tplc="61E2B468" w:tentative="1">
      <w:start w:val="1"/>
      <w:numFmt w:val="bullet"/>
      <w:lvlText w:val="o"/>
      <w:lvlJc w:val="left"/>
      <w:pPr>
        <w:ind w:left="3600" w:hanging="360"/>
      </w:pPr>
      <w:rPr>
        <w:rFonts w:ascii="Courier New" w:hAnsi="Courier New" w:cs="Courier New" w:hint="default"/>
      </w:rPr>
    </w:lvl>
    <w:lvl w:ilvl="5" w:tplc="72ACB6E4" w:tentative="1">
      <w:start w:val="1"/>
      <w:numFmt w:val="bullet"/>
      <w:lvlText w:val=""/>
      <w:lvlJc w:val="left"/>
      <w:pPr>
        <w:ind w:left="4320" w:hanging="360"/>
      </w:pPr>
      <w:rPr>
        <w:rFonts w:ascii="Wingdings" w:hAnsi="Wingdings" w:hint="default"/>
      </w:rPr>
    </w:lvl>
    <w:lvl w:ilvl="6" w:tplc="CD5AAF92" w:tentative="1">
      <w:start w:val="1"/>
      <w:numFmt w:val="bullet"/>
      <w:lvlText w:val=""/>
      <w:lvlJc w:val="left"/>
      <w:pPr>
        <w:ind w:left="5040" w:hanging="360"/>
      </w:pPr>
      <w:rPr>
        <w:rFonts w:ascii="Symbol" w:hAnsi="Symbol" w:hint="default"/>
      </w:rPr>
    </w:lvl>
    <w:lvl w:ilvl="7" w:tplc="2576840C" w:tentative="1">
      <w:start w:val="1"/>
      <w:numFmt w:val="bullet"/>
      <w:lvlText w:val="o"/>
      <w:lvlJc w:val="left"/>
      <w:pPr>
        <w:ind w:left="5760" w:hanging="360"/>
      </w:pPr>
      <w:rPr>
        <w:rFonts w:ascii="Courier New" w:hAnsi="Courier New" w:cs="Courier New" w:hint="default"/>
      </w:rPr>
    </w:lvl>
    <w:lvl w:ilvl="8" w:tplc="426CA134"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2296851"/>
    <w:multiLevelType w:val="hybridMultilevel"/>
    <w:tmpl w:val="9028F762"/>
    <w:lvl w:ilvl="0" w:tplc="B09A97D6">
      <w:start w:val="1"/>
      <w:numFmt w:val="bullet"/>
      <w:lvlText w:val=""/>
      <w:lvlJc w:val="left"/>
      <w:pPr>
        <w:ind w:left="720" w:hanging="360"/>
      </w:pPr>
      <w:rPr>
        <w:rFonts w:ascii="Wingdings" w:hAnsi="Wingdings" w:hint="default"/>
      </w:rPr>
    </w:lvl>
    <w:lvl w:ilvl="1" w:tplc="80B2A9F0">
      <w:start w:val="1"/>
      <w:numFmt w:val="bullet"/>
      <w:lvlText w:val="o"/>
      <w:lvlJc w:val="left"/>
      <w:pPr>
        <w:ind w:left="1440" w:hanging="360"/>
      </w:pPr>
      <w:rPr>
        <w:rFonts w:ascii="Courier New" w:hAnsi="Courier New" w:cs="Courier New" w:hint="default"/>
      </w:rPr>
    </w:lvl>
    <w:lvl w:ilvl="2" w:tplc="F2901E44">
      <w:start w:val="1"/>
      <w:numFmt w:val="bullet"/>
      <w:lvlText w:val=""/>
      <w:lvlJc w:val="left"/>
      <w:pPr>
        <w:ind w:left="2160" w:hanging="360"/>
      </w:pPr>
      <w:rPr>
        <w:rFonts w:ascii="Wingdings" w:hAnsi="Wingdings" w:hint="default"/>
      </w:rPr>
    </w:lvl>
    <w:lvl w:ilvl="3" w:tplc="59908456">
      <w:start w:val="1"/>
      <w:numFmt w:val="bullet"/>
      <w:lvlText w:val=""/>
      <w:lvlJc w:val="left"/>
      <w:pPr>
        <w:ind w:left="2880" w:hanging="360"/>
      </w:pPr>
      <w:rPr>
        <w:rFonts w:ascii="Symbol" w:hAnsi="Symbol" w:hint="default"/>
      </w:rPr>
    </w:lvl>
    <w:lvl w:ilvl="4" w:tplc="4A1EBA88">
      <w:start w:val="1"/>
      <w:numFmt w:val="bullet"/>
      <w:lvlText w:val="o"/>
      <w:lvlJc w:val="left"/>
      <w:pPr>
        <w:ind w:left="3600" w:hanging="360"/>
      </w:pPr>
      <w:rPr>
        <w:rFonts w:ascii="Courier New" w:hAnsi="Courier New" w:cs="Courier New" w:hint="default"/>
      </w:rPr>
    </w:lvl>
    <w:lvl w:ilvl="5" w:tplc="79BE0C2A">
      <w:start w:val="1"/>
      <w:numFmt w:val="bullet"/>
      <w:lvlText w:val=""/>
      <w:lvlJc w:val="left"/>
      <w:pPr>
        <w:ind w:left="4320" w:hanging="360"/>
      </w:pPr>
      <w:rPr>
        <w:rFonts w:ascii="Wingdings" w:hAnsi="Wingdings" w:hint="default"/>
      </w:rPr>
    </w:lvl>
    <w:lvl w:ilvl="6" w:tplc="1AC66940">
      <w:start w:val="1"/>
      <w:numFmt w:val="bullet"/>
      <w:lvlText w:val=""/>
      <w:lvlJc w:val="left"/>
      <w:pPr>
        <w:ind w:left="5040" w:hanging="360"/>
      </w:pPr>
      <w:rPr>
        <w:rFonts w:ascii="Symbol" w:hAnsi="Symbol" w:hint="default"/>
      </w:rPr>
    </w:lvl>
    <w:lvl w:ilvl="7" w:tplc="58DE8FC6">
      <w:start w:val="1"/>
      <w:numFmt w:val="bullet"/>
      <w:lvlText w:val="o"/>
      <w:lvlJc w:val="left"/>
      <w:pPr>
        <w:ind w:left="5760" w:hanging="360"/>
      </w:pPr>
      <w:rPr>
        <w:rFonts w:ascii="Courier New" w:hAnsi="Courier New" w:cs="Courier New" w:hint="default"/>
      </w:rPr>
    </w:lvl>
    <w:lvl w:ilvl="8" w:tplc="44388162">
      <w:start w:val="1"/>
      <w:numFmt w:val="bullet"/>
      <w:lvlText w:val=""/>
      <w:lvlJc w:val="left"/>
      <w:pPr>
        <w:ind w:left="648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8"/>
  </w:num>
  <w:num w:numId="6">
    <w:abstractNumId w:val="7"/>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FE"/>
    <w:rsid w:val="00001B77"/>
    <w:rsid w:val="0000517A"/>
    <w:rsid w:val="00031E72"/>
    <w:rsid w:val="000404D2"/>
    <w:rsid w:val="000853C0"/>
    <w:rsid w:val="000A1C21"/>
    <w:rsid w:val="000D15EA"/>
    <w:rsid w:val="00100D84"/>
    <w:rsid w:val="00124C9D"/>
    <w:rsid w:val="00137EFA"/>
    <w:rsid w:val="00157773"/>
    <w:rsid w:val="0018251A"/>
    <w:rsid w:val="00190272"/>
    <w:rsid w:val="00193244"/>
    <w:rsid w:val="00195C6C"/>
    <w:rsid w:val="00195FED"/>
    <w:rsid w:val="001A33A3"/>
    <w:rsid w:val="001A4BD6"/>
    <w:rsid w:val="001D5A18"/>
    <w:rsid w:val="001E48BE"/>
    <w:rsid w:val="00280EB8"/>
    <w:rsid w:val="002A6670"/>
    <w:rsid w:val="002E3E33"/>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11B82"/>
    <w:rsid w:val="006125FE"/>
    <w:rsid w:val="00654257"/>
    <w:rsid w:val="0065435A"/>
    <w:rsid w:val="006A2DD3"/>
    <w:rsid w:val="006A5AF8"/>
    <w:rsid w:val="006C36CD"/>
    <w:rsid w:val="006F4676"/>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1FFE"/>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B2A98"/>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392D112-94C8-4A5A-8287-E2933B8F7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137EFA"/>
    <w:pPr>
      <w:keepNext/>
      <w:overflowPunct/>
      <w:autoSpaceDE/>
      <w:autoSpaceDN/>
      <w:adjustRightInd/>
      <w:spacing w:before="560" w:after="120"/>
      <w:jc w:val="center"/>
      <w:textAlignment w:val="auto"/>
    </w:pPr>
    <w:rPr>
      <w:rFonts w:ascii="Times New Roman" w:eastAsiaTheme="minorEastAsia"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146-C.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2BDDD-B569-4EFF-BB8B-BF08ECD4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Template>
  <TotalTime>1</TotalTime>
  <Pages>3</Pages>
  <Words>841</Words>
  <Characters>287</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C2019, C19</cp:keywords>
  <dc:description/>
  <cp:lastModifiedBy>Janin, Patricia</cp:lastModifiedBy>
  <cp:revision>4</cp:revision>
  <cp:lastPrinted>2015-02-24T13:23:00Z</cp:lastPrinted>
  <dcterms:created xsi:type="dcterms:W3CDTF">2019-05-31T13:50:00Z</dcterms:created>
  <dcterms:modified xsi:type="dcterms:W3CDTF">2019-05-31T13:51:00Z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