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464F7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464F7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464F7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464F7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AD373D" w:rsidP="00C464F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7B6FBF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ADM 18</w:t>
            </w:r>
          </w:p>
        </w:tc>
        <w:tc>
          <w:tcPr>
            <w:tcW w:w="3261" w:type="dxa"/>
          </w:tcPr>
          <w:p w:rsidR="00520F36" w:rsidRPr="00520F36" w:rsidRDefault="00520F36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AD373D">
              <w:rPr>
                <w:b/>
                <w:bCs/>
              </w:rPr>
              <w:t>76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464F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AD373D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464F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464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B73E5C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AD373D" w:rsidP="00C464F7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B73E5C">
        <w:trPr>
          <w:cantSplit/>
        </w:trPr>
        <w:tc>
          <w:tcPr>
            <w:tcW w:w="10173" w:type="dxa"/>
            <w:gridSpan w:val="2"/>
          </w:tcPr>
          <w:p w:rsidR="00520F36" w:rsidRDefault="00AD373D" w:rsidP="00C464F7">
            <w:pPr>
              <w:pStyle w:val="Title1"/>
            </w:pPr>
            <w:bookmarkStart w:id="7" w:name="dtitle1" w:colFirst="0" w:colLast="0"/>
            <w:bookmarkEnd w:id="6"/>
            <w:r>
              <w:t>Contribution de la fédération de russie</w:t>
            </w:r>
          </w:p>
          <w:p w:rsidR="00AD373D" w:rsidRPr="00B73E5C" w:rsidRDefault="00B73E5C" w:rsidP="00C464F7">
            <w:pPr>
              <w:pStyle w:val="Title2"/>
              <w:ind w:left="-108" w:right="-141"/>
            </w:pPr>
            <w:r w:rsidRPr="00B73E5C">
              <w:t xml:space="preserve">Garantir </w:t>
            </w:r>
            <w:r>
              <w:t>la préservation</w:t>
            </w:r>
            <w:r w:rsidRPr="00B73E5C">
              <w:t xml:space="preserve"> des contributions/dons</w:t>
            </w:r>
            <w:r w:rsidR="00C464F7">
              <w:rPr>
                <w:rStyle w:val="FootnoteReference"/>
              </w:rPr>
              <w:footnoteReference w:id="1"/>
            </w:r>
            <w:r w:rsidRPr="00B73E5C">
              <w:t xml:space="preserve"> </w:t>
            </w:r>
            <w:r w:rsidR="007642EF">
              <w:t>des</w:t>
            </w:r>
            <w:r w:rsidRPr="00B73E5C">
              <w:t xml:space="preserve"> parties prenantes </w:t>
            </w:r>
            <w:r w:rsidR="00880AC5">
              <w:br/>
            </w:r>
            <w:r w:rsidRPr="00B73E5C">
              <w:t>de l</w:t>
            </w:r>
            <w:r w:rsidR="007B6FBF">
              <w:t>'</w:t>
            </w:r>
            <w:r w:rsidRPr="00B73E5C">
              <w:t xml:space="preserve">uit </w:t>
            </w:r>
            <w:r w:rsidR="007642EF">
              <w:t>se trouvant dans les locaux actuels</w:t>
            </w:r>
            <w:r w:rsidR="007642EF" w:rsidRPr="00B73E5C">
              <w:t xml:space="preserve"> </w:t>
            </w:r>
            <w:r w:rsidRPr="00B73E5C">
              <w:t>de l</w:t>
            </w:r>
            <w:r w:rsidR="007B6FBF">
              <w:t>'</w:t>
            </w:r>
            <w:r w:rsidRPr="00B73E5C">
              <w:t xml:space="preserve">union </w:t>
            </w:r>
            <w:r w:rsidR="00880AC5">
              <w:br/>
            </w:r>
            <w:r w:rsidRPr="00B73E5C">
              <w:t xml:space="preserve">lors de la </w:t>
            </w:r>
            <w:r>
              <w:t xml:space="preserve">mise en oeuvre du projet de construction </w:t>
            </w:r>
            <w:r w:rsidR="00880AC5">
              <w:br/>
            </w:r>
            <w:r>
              <w:t>des nouveaux locaux du siège de l</w:t>
            </w:r>
            <w:r w:rsidR="007B6FBF">
              <w:t>'</w:t>
            </w:r>
            <w:r>
              <w:t>union</w:t>
            </w:r>
          </w:p>
        </w:tc>
      </w:tr>
    </w:tbl>
    <w:bookmarkEnd w:id="7"/>
    <w:p w:rsidR="00520F36" w:rsidRDefault="00AD373D" w:rsidP="00880AC5">
      <w:pPr>
        <w:pStyle w:val="Normalaftertitle"/>
        <w:spacing w:before="480"/>
      </w:pPr>
      <w:r w:rsidRPr="00150BCB">
        <w:t>J</w:t>
      </w:r>
      <w:r w:rsidR="007B6FBF">
        <w:t>'</w:t>
      </w:r>
      <w:r w:rsidRPr="00150BCB">
        <w:t>ai l</w:t>
      </w:r>
      <w:r w:rsidR="007B6FBF">
        <w:t>'</w:t>
      </w:r>
      <w:r w:rsidRPr="00150BCB">
        <w:t xml:space="preserve">honneur de transmettre aux </w:t>
      </w:r>
      <w:r w:rsidR="00157C10" w:rsidRPr="00150BCB">
        <w:t>États</w:t>
      </w:r>
      <w:r w:rsidRPr="00150BCB">
        <w:t xml:space="preserve"> Membres du Conseil la contri</w:t>
      </w:r>
      <w:r>
        <w:t>bution ci-jointe soumise par la </w:t>
      </w:r>
      <w:r w:rsidRPr="00150BCB">
        <w:rPr>
          <w:b/>
          <w:bCs/>
        </w:rPr>
        <w:t>Fédération de Russie</w:t>
      </w:r>
      <w:r w:rsidRPr="004F1FBD">
        <w:t>.</w:t>
      </w:r>
    </w:p>
    <w:p w:rsidR="00AD373D" w:rsidRPr="00150BCB" w:rsidRDefault="00AD373D" w:rsidP="00C464F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>
        <w:tab/>
      </w:r>
      <w:r w:rsidRPr="00150BCB">
        <w:t>Houlin ZHAO</w:t>
      </w:r>
      <w:r w:rsidRPr="00150BCB">
        <w:br/>
      </w:r>
      <w:r>
        <w:tab/>
      </w:r>
      <w:r w:rsidRPr="00150BCB">
        <w:t>Secrétaire général</w:t>
      </w:r>
    </w:p>
    <w:p w:rsidR="00AD373D" w:rsidRDefault="00AD373D" w:rsidP="00C464F7">
      <w:r>
        <w:br w:type="page"/>
      </w:r>
    </w:p>
    <w:p w:rsidR="00AD373D" w:rsidRPr="000D5191" w:rsidRDefault="00AD373D" w:rsidP="00C464F7">
      <w:pPr>
        <w:pStyle w:val="Source"/>
      </w:pPr>
      <w:r>
        <w:lastRenderedPageBreak/>
        <w:t xml:space="preserve">Contribution de la </w:t>
      </w:r>
      <w:r w:rsidRPr="000D5191">
        <w:t>Fédération de Russie</w:t>
      </w:r>
    </w:p>
    <w:p w:rsidR="00AD373D" w:rsidRPr="00C464F7" w:rsidRDefault="00B73E5C" w:rsidP="00C464F7">
      <w:pPr>
        <w:pStyle w:val="Title1"/>
        <w:ind w:left="-142" w:right="-142"/>
        <w:rPr>
          <w:spacing w:val="-2"/>
        </w:rPr>
      </w:pPr>
      <w:r w:rsidRPr="00C464F7">
        <w:rPr>
          <w:spacing w:val="-2"/>
        </w:rPr>
        <w:t>Garantir la préservation des contributions/don</w:t>
      </w:r>
      <w:r w:rsidR="00C464F7" w:rsidRPr="00C464F7">
        <w:rPr>
          <w:spacing w:val="-2"/>
        </w:rPr>
        <w:t>s</w:t>
      </w:r>
      <w:r w:rsidR="00C464F7" w:rsidRPr="00C464F7">
        <w:rPr>
          <w:rStyle w:val="FootnoteReference"/>
          <w:spacing w:val="-2"/>
        </w:rPr>
        <w:footnoteReference w:id="2"/>
      </w:r>
      <w:r w:rsidRPr="00C464F7">
        <w:rPr>
          <w:spacing w:val="-2"/>
        </w:rPr>
        <w:t xml:space="preserve"> </w:t>
      </w:r>
      <w:r w:rsidR="007642EF" w:rsidRPr="00C464F7">
        <w:rPr>
          <w:spacing w:val="-2"/>
        </w:rPr>
        <w:t>des</w:t>
      </w:r>
      <w:r w:rsidRPr="00C464F7">
        <w:rPr>
          <w:spacing w:val="-2"/>
        </w:rPr>
        <w:t xml:space="preserve"> parties prenantes </w:t>
      </w:r>
      <w:r w:rsidR="00880AC5">
        <w:rPr>
          <w:spacing w:val="-2"/>
        </w:rPr>
        <w:br/>
      </w:r>
      <w:r w:rsidRPr="00C464F7">
        <w:rPr>
          <w:spacing w:val="-2"/>
        </w:rPr>
        <w:t>de l</w:t>
      </w:r>
      <w:r w:rsidR="007B6FBF">
        <w:rPr>
          <w:spacing w:val="-2"/>
        </w:rPr>
        <w:t>'</w:t>
      </w:r>
      <w:r w:rsidRPr="00C464F7">
        <w:rPr>
          <w:spacing w:val="-2"/>
        </w:rPr>
        <w:t xml:space="preserve">uit </w:t>
      </w:r>
      <w:r w:rsidR="007642EF" w:rsidRPr="00C464F7">
        <w:rPr>
          <w:spacing w:val="-2"/>
        </w:rPr>
        <w:t>se trouvant dans</w:t>
      </w:r>
      <w:r w:rsidRPr="00C464F7">
        <w:rPr>
          <w:spacing w:val="-2"/>
        </w:rPr>
        <w:t xml:space="preserve"> </w:t>
      </w:r>
      <w:r w:rsidR="007642EF" w:rsidRPr="00C464F7">
        <w:rPr>
          <w:spacing w:val="-2"/>
        </w:rPr>
        <w:t>les locaux actuels</w:t>
      </w:r>
      <w:r w:rsidRPr="00C464F7">
        <w:rPr>
          <w:spacing w:val="-2"/>
        </w:rPr>
        <w:t xml:space="preserve"> de l</w:t>
      </w:r>
      <w:r w:rsidR="007B6FBF">
        <w:rPr>
          <w:spacing w:val="-2"/>
        </w:rPr>
        <w:t>'</w:t>
      </w:r>
      <w:r w:rsidRPr="00C464F7">
        <w:rPr>
          <w:spacing w:val="-2"/>
        </w:rPr>
        <w:t xml:space="preserve">union </w:t>
      </w:r>
      <w:r w:rsidR="00880AC5">
        <w:rPr>
          <w:spacing w:val="-2"/>
        </w:rPr>
        <w:br/>
      </w:r>
      <w:r w:rsidRPr="00C464F7">
        <w:rPr>
          <w:spacing w:val="-2"/>
        </w:rPr>
        <w:t xml:space="preserve">lors de la mise en oeuvre du projet de construction </w:t>
      </w:r>
      <w:r w:rsidR="00880AC5">
        <w:rPr>
          <w:spacing w:val="-2"/>
        </w:rPr>
        <w:br/>
      </w:r>
      <w:r w:rsidRPr="00C464F7">
        <w:rPr>
          <w:spacing w:val="-2"/>
        </w:rPr>
        <w:t>des nouveaux locaux du siège de L</w:t>
      </w:r>
      <w:r w:rsidR="007B6FBF">
        <w:rPr>
          <w:spacing w:val="-2"/>
        </w:rPr>
        <w:t>'</w:t>
      </w:r>
      <w:r w:rsidRPr="00C464F7">
        <w:rPr>
          <w:spacing w:val="-2"/>
        </w:rPr>
        <w:t>UnIon</w:t>
      </w:r>
    </w:p>
    <w:p w:rsidR="00455449" w:rsidRPr="00B73E5C" w:rsidRDefault="00455449" w:rsidP="00C464F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55449" w:rsidRPr="00455449" w:rsidTr="001073A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449" w:rsidRPr="00C464F7" w:rsidRDefault="00455449" w:rsidP="00C464F7">
            <w:pPr>
              <w:pStyle w:val="Headingb"/>
            </w:pPr>
            <w:r w:rsidRPr="00C464F7">
              <w:lastRenderedPageBreak/>
              <w:t>Résumé</w:t>
            </w:r>
          </w:p>
          <w:p w:rsidR="00455449" w:rsidRPr="00E7201A" w:rsidRDefault="00E7201A" w:rsidP="00C464F7">
            <w:r w:rsidRPr="00E7201A">
              <w:t xml:space="preserve">Compte tenu de la mise en </w:t>
            </w:r>
            <w:r w:rsidR="00157C10" w:rsidRPr="00E7201A">
              <w:t>œuvre</w:t>
            </w:r>
            <w:r w:rsidRPr="00E7201A">
              <w:t xml:space="preserve"> du projet visant à démolir le b</w:t>
            </w:r>
            <w:r>
              <w:t>âtiment Varembé existant et à construire, à la place, le nouveau bâtiment du siège de l</w:t>
            </w:r>
            <w:r w:rsidR="007B6FBF">
              <w:t>'</w:t>
            </w:r>
            <w:r>
              <w:t>UIT, à transformer temporairement le bâtiment Montbrillant et la Tour pendant la construction du nouveau bâtiment</w:t>
            </w:r>
            <w:r w:rsidR="00BD38C8">
              <w:t xml:space="preserve"> Varembé</w:t>
            </w:r>
            <w:r>
              <w:t xml:space="preserve"> et à vendre la Tour au terme de la construct</w:t>
            </w:r>
            <w:bookmarkStart w:id="8" w:name="_GoBack"/>
            <w:bookmarkEnd w:id="8"/>
            <w:r>
              <w:t>ion, il est essentiel de prendre des mesure</w:t>
            </w:r>
            <w:r w:rsidR="003371B1">
              <w:t>s</w:t>
            </w:r>
            <w:r>
              <w:t xml:space="preserve"> appropriées pour garantir la préservation des contributions/dons </w:t>
            </w:r>
            <w:r w:rsidR="001452E8">
              <w:t>offerts</w:t>
            </w:r>
            <w:r>
              <w:t xml:space="preserve"> à l</w:t>
            </w:r>
            <w:r w:rsidR="007B6FBF">
              <w:t>'</w:t>
            </w:r>
            <w:r>
              <w:t xml:space="preserve">Union par des </w:t>
            </w:r>
            <w:r w:rsidR="00157C10">
              <w:t>États</w:t>
            </w:r>
            <w:r>
              <w:t xml:space="preserve"> Membre</w:t>
            </w:r>
            <w:r w:rsidR="007642EF">
              <w:t>s</w:t>
            </w:r>
            <w:r>
              <w:t xml:space="preserve"> ou des Membres de Secteur de l</w:t>
            </w:r>
            <w:r w:rsidR="007B6FBF">
              <w:t>'</w:t>
            </w:r>
            <w:r>
              <w:t>UIT avant le début du projet</w:t>
            </w:r>
            <w:r w:rsidR="00455449" w:rsidRPr="00E7201A">
              <w:t>.</w:t>
            </w:r>
          </w:p>
          <w:p w:rsidR="00455449" w:rsidRPr="00C464F7" w:rsidRDefault="00455449" w:rsidP="00C464F7">
            <w:pPr>
              <w:pStyle w:val="Headingb"/>
            </w:pPr>
            <w:r w:rsidRPr="00C464F7">
              <w:t>Suite à donner</w:t>
            </w:r>
          </w:p>
          <w:p w:rsidR="00455449" w:rsidRPr="00E7201A" w:rsidRDefault="00E7201A" w:rsidP="00C464F7">
            <w:r w:rsidRPr="00E7201A">
              <w:t xml:space="preserve">Le Conseil est invité à </w:t>
            </w:r>
            <w:r w:rsidRPr="00E7201A">
              <w:rPr>
                <w:b/>
                <w:bCs/>
              </w:rPr>
              <w:t>prendre une décision</w:t>
            </w:r>
            <w:r w:rsidR="00455449" w:rsidRPr="00880AC5">
              <w:rPr>
                <w:bCs/>
              </w:rPr>
              <w:t>.</w:t>
            </w:r>
          </w:p>
          <w:p w:rsidR="00455449" w:rsidRPr="00E7201A" w:rsidRDefault="00455449" w:rsidP="00C464F7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7201A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455449" w:rsidRPr="00E7201A" w:rsidRDefault="00455449" w:rsidP="00C464F7">
            <w:pPr>
              <w:pStyle w:val="Headingb"/>
            </w:pPr>
            <w:r w:rsidRPr="00E7201A">
              <w:t>Références</w:t>
            </w:r>
          </w:p>
          <w:bookmarkStart w:id="9" w:name="lt_pId025"/>
          <w:p w:rsidR="00455449" w:rsidRPr="00455449" w:rsidRDefault="00455449" w:rsidP="0010443D">
            <w:pPr>
              <w:spacing w:after="120"/>
              <w:rPr>
                <w:i/>
                <w:iCs/>
                <w:lang w:val="fr-CH"/>
              </w:rPr>
            </w:pPr>
            <w:r w:rsidRPr="006F02B8">
              <w:rPr>
                <w:i/>
                <w:iCs/>
              </w:rPr>
              <w:fldChar w:fldCharType="begin"/>
            </w:r>
            <w:r w:rsidR="00F60CF4">
              <w:rPr>
                <w:i/>
                <w:iCs/>
              </w:rPr>
              <w:instrText>HYPERLINK "https://www.itu.int/en/council/Documents/basic-texts/RES-194-F.pdf"</w:instrText>
            </w:r>
            <w:r w:rsidR="00F60CF4" w:rsidRPr="006F02B8">
              <w:rPr>
                <w:i/>
                <w:iCs/>
              </w:rPr>
            </w:r>
            <w:r w:rsidRPr="006F02B8">
              <w:rPr>
                <w:i/>
                <w:iCs/>
              </w:rPr>
              <w:fldChar w:fldCharType="separate"/>
            </w:r>
            <w:r w:rsidRPr="00455449">
              <w:rPr>
                <w:rStyle w:val="Hyperlink"/>
                <w:rFonts w:cs="Calibri"/>
                <w:i/>
                <w:iCs/>
                <w:szCs w:val="24"/>
                <w:lang w:val="fr-CH"/>
              </w:rPr>
              <w:t>Résolution 194 (Busan, 2014)</w:t>
            </w:r>
            <w:r w:rsidRPr="006F02B8">
              <w:rPr>
                <w:i/>
                <w:iCs/>
              </w:rPr>
              <w:fldChar w:fldCharType="end"/>
            </w:r>
            <w:r w:rsidR="00E7201A">
              <w:rPr>
                <w:i/>
                <w:iCs/>
              </w:rPr>
              <w:t xml:space="preserve"> de la Conférence de plénipotentiaires</w:t>
            </w:r>
            <w:r w:rsidRPr="00455449">
              <w:rPr>
                <w:rFonts w:cs="Calibri"/>
                <w:i/>
                <w:iCs/>
                <w:color w:val="000000" w:themeColor="text1"/>
                <w:szCs w:val="24"/>
                <w:lang w:val="fr-CH"/>
              </w:rPr>
              <w:t xml:space="preserve">, </w:t>
            </w:r>
            <w:hyperlink r:id="rId8" w:history="1">
              <w:r w:rsidRPr="00455449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Décision 588</w:t>
              </w:r>
            </w:hyperlink>
            <w:r w:rsidRPr="00455449">
              <w:rPr>
                <w:i/>
                <w:iCs/>
                <w:szCs w:val="24"/>
                <w:lang w:val="fr-CH"/>
              </w:rPr>
              <w:t xml:space="preserve"> </w:t>
            </w:r>
            <w:r>
              <w:rPr>
                <w:i/>
                <w:iCs/>
                <w:szCs w:val="24"/>
                <w:lang w:val="fr-CH"/>
              </w:rPr>
              <w:t xml:space="preserve">du Conseil, </w:t>
            </w:r>
            <w:r w:rsidRPr="00455449">
              <w:rPr>
                <w:i/>
                <w:iCs/>
                <w:szCs w:val="24"/>
                <w:lang w:val="fr-CH"/>
              </w:rPr>
              <w:t xml:space="preserve">Documents </w:t>
            </w:r>
            <w:hyperlink r:id="rId9" w:history="1">
              <w:r w:rsidRPr="00455449">
                <w:rPr>
                  <w:rStyle w:val="Hyperlink"/>
                  <w:rFonts w:cs="Calibri"/>
                  <w:i/>
                  <w:iCs/>
                  <w:szCs w:val="24"/>
                  <w:lang w:val="fr-CH"/>
                </w:rPr>
                <w:t>C16/7</w:t>
              </w:r>
            </w:hyperlink>
            <w:r w:rsidRPr="00455449">
              <w:rPr>
                <w:rFonts w:cs="Calibri"/>
                <w:i/>
                <w:iCs/>
                <w:szCs w:val="24"/>
                <w:lang w:val="fr-CH"/>
              </w:rPr>
              <w:t>,</w:t>
            </w:r>
            <w:r w:rsidRPr="00455449">
              <w:rPr>
                <w:rFonts w:cs="Calibri"/>
                <w:i/>
                <w:iCs/>
                <w:color w:val="000000" w:themeColor="text1"/>
                <w:szCs w:val="24"/>
                <w:lang w:val="fr-CH"/>
              </w:rPr>
              <w:t xml:space="preserve"> </w:t>
            </w:r>
            <w:hyperlink r:id="rId10" w:history="1">
              <w:r w:rsidRPr="00455449">
                <w:rPr>
                  <w:rStyle w:val="Hyperlink"/>
                  <w:rFonts w:cs="Calibri"/>
                  <w:i/>
                  <w:iCs/>
                  <w:szCs w:val="24"/>
                  <w:lang w:val="fr-CH"/>
                </w:rPr>
                <w:t>C18/7</w:t>
              </w:r>
            </w:hyperlink>
            <w:r w:rsidRPr="00455449">
              <w:rPr>
                <w:rStyle w:val="Hyperlink"/>
                <w:rFonts w:cs="Calibri"/>
                <w:i/>
                <w:iCs/>
                <w:color w:val="auto"/>
                <w:szCs w:val="24"/>
                <w:u w:val="none"/>
                <w:lang w:val="fr-CH"/>
              </w:rPr>
              <w:t xml:space="preserve">, </w:t>
            </w:r>
            <w:hyperlink r:id="rId11" w:history="1">
              <w:r w:rsidRPr="00455449">
                <w:rPr>
                  <w:rStyle w:val="Hyperlink"/>
                  <w:rFonts w:cs="Calibri"/>
                  <w:i/>
                  <w:iCs/>
                  <w:szCs w:val="24"/>
                  <w:lang w:val="fr-CH"/>
                </w:rPr>
                <w:t>C18/INF/19</w:t>
              </w:r>
            </w:hyperlink>
            <w:bookmarkEnd w:id="9"/>
          </w:p>
        </w:tc>
      </w:tr>
    </w:tbl>
    <w:p w:rsidR="00455449" w:rsidRPr="00420F9F" w:rsidRDefault="00455449" w:rsidP="00C464F7">
      <w:pPr>
        <w:pStyle w:val="Heading1"/>
        <w:spacing w:before="360"/>
        <w:rPr>
          <w:lang w:val="fr-CH"/>
        </w:rPr>
      </w:pPr>
      <w:r w:rsidRPr="00420F9F">
        <w:rPr>
          <w:lang w:val="fr-CH"/>
        </w:rPr>
        <w:t>1</w:t>
      </w:r>
      <w:r w:rsidRPr="00420F9F">
        <w:rPr>
          <w:lang w:val="fr-CH"/>
        </w:rPr>
        <w:tab/>
        <w:t>Rappel</w:t>
      </w:r>
    </w:p>
    <w:p w:rsidR="00455449" w:rsidRPr="00420F9F" w:rsidRDefault="00455449" w:rsidP="00C464F7">
      <w:pPr>
        <w:spacing w:before="80"/>
        <w:rPr>
          <w:lang w:val="fr-CH"/>
        </w:rPr>
      </w:pPr>
      <w:r>
        <w:rPr>
          <w:lang w:val="fr-CH"/>
        </w:rPr>
        <w:t>1.1</w:t>
      </w:r>
      <w:r w:rsidRPr="00420F9F">
        <w:rPr>
          <w:lang w:val="fr-CH"/>
        </w:rPr>
        <w:tab/>
        <w:t xml:space="preserve">Par sa </w:t>
      </w:r>
      <w:hyperlink r:id="rId12" w:history="1">
        <w:r w:rsidRPr="00602729">
          <w:rPr>
            <w:rStyle w:val="Hyperlink"/>
            <w:lang w:val="fr-CH"/>
          </w:rPr>
          <w:t>Décision 588</w:t>
        </w:r>
      </w:hyperlink>
      <w:r w:rsidRPr="00420F9F">
        <w:rPr>
          <w:lang w:val="fr-CH"/>
        </w:rPr>
        <w:t>, le Conseil</w:t>
      </w:r>
      <w:r w:rsidR="00E7201A">
        <w:rPr>
          <w:lang w:val="fr-CH"/>
        </w:rPr>
        <w:t>,</w:t>
      </w:r>
      <w:r w:rsidRPr="00420F9F">
        <w:rPr>
          <w:lang w:val="fr-CH"/>
        </w:rPr>
        <w:t xml:space="preserve"> à sa session de 2016</w:t>
      </w:r>
      <w:r w:rsidR="00E7201A">
        <w:rPr>
          <w:lang w:val="fr-CH"/>
        </w:rPr>
        <w:t>,</w:t>
      </w:r>
      <w:r w:rsidRPr="00420F9F">
        <w:rPr>
          <w:lang w:val="fr-CH"/>
        </w:rPr>
        <w:t xml:space="preserve"> a décidé de remplacer le bâtiment Varembé par une nouvelle construction qui inclura aussi les bureaux et les installations de la Tour.</w:t>
      </w:r>
    </w:p>
    <w:p w:rsidR="00455449" w:rsidRPr="00420F9F" w:rsidRDefault="00455449" w:rsidP="00C464F7">
      <w:pPr>
        <w:spacing w:before="80"/>
        <w:rPr>
          <w:lang w:val="fr-CH"/>
        </w:rPr>
      </w:pPr>
      <w:r>
        <w:rPr>
          <w:lang w:val="fr-CH"/>
        </w:rPr>
        <w:t>1.2</w:t>
      </w:r>
      <w:r w:rsidRPr="00420F9F">
        <w:rPr>
          <w:lang w:val="fr-CH"/>
        </w:rPr>
        <w:tab/>
      </w:r>
      <w:r w:rsidR="00E7201A" w:rsidRPr="00420F9F">
        <w:rPr>
          <w:lang w:val="fr-CH"/>
        </w:rPr>
        <w:t>Le modèle financier applicable au nouveau bâtiment est un prêt sans intérêts sur 50 ans contracté auprès du pays hôte. Le premier remboursement du prêt sera dû à la fin de l</w:t>
      </w:r>
      <w:r w:rsidR="007B6FBF">
        <w:rPr>
          <w:lang w:val="fr-CH"/>
        </w:rPr>
        <w:t>'</w:t>
      </w:r>
      <w:r w:rsidR="00E7201A" w:rsidRPr="00420F9F">
        <w:rPr>
          <w:lang w:val="fr-CH"/>
        </w:rPr>
        <w:t>année au cours de laquelle l</w:t>
      </w:r>
      <w:r w:rsidR="007B6FBF">
        <w:rPr>
          <w:lang w:val="fr-CH"/>
        </w:rPr>
        <w:t>'</w:t>
      </w:r>
      <w:r w:rsidR="00E7201A" w:rsidRPr="00420F9F">
        <w:rPr>
          <w:lang w:val="fr-CH"/>
        </w:rPr>
        <w:t>UIT aura réceptionné le nouveau bâtiment</w:t>
      </w:r>
      <w:r w:rsidR="00E7201A">
        <w:rPr>
          <w:lang w:val="fr-CH"/>
        </w:rPr>
        <w:t>.</w:t>
      </w:r>
    </w:p>
    <w:p w:rsidR="00455449" w:rsidRDefault="00455449" w:rsidP="00C464F7">
      <w:pPr>
        <w:spacing w:before="80"/>
      </w:pPr>
      <w:r>
        <w:rPr>
          <w:lang w:val="fr-CH"/>
        </w:rPr>
        <w:t>1.3</w:t>
      </w:r>
      <w:r w:rsidRPr="00420F9F">
        <w:rPr>
          <w:lang w:val="fr-CH"/>
        </w:rPr>
        <w:tab/>
      </w:r>
      <w:bookmarkStart w:id="10" w:name="lt_pId012"/>
      <w:r w:rsidR="003371B1">
        <w:rPr>
          <w:szCs w:val="24"/>
        </w:rPr>
        <w:t>À</w:t>
      </w:r>
      <w:r>
        <w:rPr>
          <w:szCs w:val="24"/>
        </w:rPr>
        <w:t xml:space="preserve"> sa session ordinaire de 2017, le Conseil a approuvé le Document </w:t>
      </w:r>
      <w:hyperlink r:id="rId13" w:history="1">
        <w:r w:rsidRPr="0098453E">
          <w:rPr>
            <w:rStyle w:val="Hyperlink"/>
            <w:szCs w:val="24"/>
          </w:rPr>
          <w:t>C17/67</w:t>
        </w:r>
      </w:hyperlink>
      <w:r w:rsidR="00BD38C8">
        <w:rPr>
          <w:rStyle w:val="Hyperlink"/>
          <w:color w:val="auto"/>
          <w:szCs w:val="24"/>
          <w:u w:val="none"/>
        </w:rPr>
        <w:t xml:space="preserve">, intitulé </w:t>
      </w:r>
      <w:r>
        <w:rPr>
          <w:lang w:val="fr-CH"/>
        </w:rPr>
        <w:t>"</w:t>
      </w:r>
      <w:r>
        <w:rPr>
          <w:color w:val="000000"/>
          <w:lang w:val="fr-CH"/>
        </w:rPr>
        <w:t>A</w:t>
      </w:r>
      <w:r w:rsidRPr="00EF3F43">
        <w:rPr>
          <w:color w:val="000000"/>
          <w:lang w:val="fr-CH"/>
        </w:rPr>
        <w:t xml:space="preserve">méliorer la stabilité et la </w:t>
      </w:r>
      <w:r w:rsidRPr="00C464F7">
        <w:rPr>
          <w:lang w:val="fr-CH"/>
        </w:rPr>
        <w:t>prévisibilité</w:t>
      </w:r>
      <w:r w:rsidRPr="00EF3F43">
        <w:rPr>
          <w:color w:val="000000"/>
          <w:lang w:val="fr-CH"/>
        </w:rPr>
        <w:t xml:space="preserve"> des bases financières de l</w:t>
      </w:r>
      <w:r w:rsidR="007B6FBF">
        <w:rPr>
          <w:color w:val="000000"/>
          <w:lang w:val="fr-CH"/>
        </w:rPr>
        <w:t>'</w:t>
      </w:r>
      <w:r w:rsidRPr="00EF3F43">
        <w:rPr>
          <w:color w:val="000000"/>
          <w:lang w:val="fr-CH"/>
        </w:rPr>
        <w:t>Union</w:t>
      </w:r>
      <w:bookmarkEnd w:id="10"/>
      <w:r>
        <w:rPr>
          <w:color w:val="000000"/>
          <w:lang w:val="fr-CH"/>
        </w:rPr>
        <w:t>"</w:t>
      </w:r>
      <w:r w:rsidR="00BD38C8">
        <w:rPr>
          <w:color w:val="000000"/>
          <w:lang w:val="fr-CH"/>
        </w:rPr>
        <w:t>,</w:t>
      </w:r>
      <w:r w:rsidRPr="00455449">
        <w:rPr>
          <w:rFonts w:ascii="Segoe UI" w:hAnsi="Segoe UI" w:cs="Segoe UI"/>
          <w:color w:val="000000"/>
          <w:sz w:val="20"/>
        </w:rPr>
        <w:t xml:space="preserve"> </w:t>
      </w:r>
      <w:r w:rsidRPr="00140E3B">
        <w:t>y compris son Annexe 1 relative aux principes régissant la mobilisation des ressources</w:t>
      </w:r>
      <w:r w:rsidR="00140E3B">
        <w:t>,</w:t>
      </w:r>
      <w:r w:rsidR="001452E8">
        <w:t xml:space="preserve"> sur la base desquels le Secrétaire général a entamé des consultations </w:t>
      </w:r>
      <w:r w:rsidR="00BD38C8">
        <w:t>auprès</w:t>
      </w:r>
      <w:r w:rsidR="001452E8">
        <w:t xml:space="preserve"> des </w:t>
      </w:r>
      <w:r w:rsidR="00157C10">
        <w:t>États</w:t>
      </w:r>
      <w:r w:rsidR="001452E8">
        <w:t xml:space="preserve"> Membres, des Membres de Secteur et des établissements universitaires concernant la possibilité de </w:t>
      </w:r>
      <w:r w:rsidR="00BD38C8">
        <w:t>contribuer à financer</w:t>
      </w:r>
      <w:r w:rsidR="001452E8">
        <w:t xml:space="preserve"> le projet</w:t>
      </w:r>
      <w:r w:rsidR="00140E3B" w:rsidRPr="00F724AC">
        <w:t>.</w:t>
      </w:r>
    </w:p>
    <w:p w:rsidR="00880AC5" w:rsidRDefault="00880AC5" w:rsidP="00C464F7">
      <w:pPr>
        <w:spacing w:before="80"/>
      </w:pPr>
      <w:r>
        <w:br w:type="page"/>
      </w:r>
    </w:p>
    <w:p w:rsidR="00140E3B" w:rsidRDefault="00140E3B" w:rsidP="00C464F7">
      <w:pPr>
        <w:spacing w:before="80"/>
        <w:rPr>
          <w:lang w:val="fr-CH"/>
        </w:rPr>
      </w:pPr>
      <w:r>
        <w:lastRenderedPageBreak/>
        <w:t>1.4</w:t>
      </w:r>
      <w:r>
        <w:tab/>
      </w:r>
      <w:r w:rsidRPr="00E27452">
        <w:rPr>
          <w:lang w:val="fr-CH"/>
        </w:rPr>
        <w:t>Un accord de parrainage a été signé entre le Secrétaire général de l</w:t>
      </w:r>
      <w:r w:rsidR="007B6FBF">
        <w:rPr>
          <w:lang w:val="fr-CH"/>
        </w:rPr>
        <w:t>'</w:t>
      </w:r>
      <w:r w:rsidRPr="00E27452">
        <w:rPr>
          <w:lang w:val="fr-CH"/>
        </w:rPr>
        <w:t>UIT et l</w:t>
      </w:r>
      <w:r w:rsidR="007B6FBF">
        <w:rPr>
          <w:lang w:val="fr-CH"/>
        </w:rPr>
        <w:t>'</w:t>
      </w:r>
      <w:r w:rsidRPr="00E27452">
        <w:rPr>
          <w:lang w:val="fr-CH"/>
        </w:rPr>
        <w:t xml:space="preserve">Arabie </w:t>
      </w:r>
      <w:r>
        <w:rPr>
          <w:lang w:val="fr-CH"/>
        </w:rPr>
        <w:t>s</w:t>
      </w:r>
      <w:r w:rsidRPr="00E27452">
        <w:rPr>
          <w:lang w:val="fr-CH"/>
        </w:rPr>
        <w:t>aoudite à Riyad le 27 septembre 2018. L</w:t>
      </w:r>
      <w:r w:rsidR="007B6FBF">
        <w:rPr>
          <w:lang w:val="fr-CH"/>
        </w:rPr>
        <w:t>'</w:t>
      </w:r>
      <w:r w:rsidRPr="00E27452">
        <w:rPr>
          <w:lang w:val="fr-CH"/>
        </w:rPr>
        <w:t xml:space="preserve">Arabie </w:t>
      </w:r>
      <w:r>
        <w:rPr>
          <w:lang w:val="fr-CH"/>
        </w:rPr>
        <w:t>s</w:t>
      </w:r>
      <w:r w:rsidRPr="00E27452">
        <w:rPr>
          <w:lang w:val="fr-CH"/>
        </w:rPr>
        <w:t>aoudite versera une somme de 10 millions CHF pour parrainer la salle de conférence principale. Cette somme sera versée dans son intégralité à l</w:t>
      </w:r>
      <w:r w:rsidR="007B6FBF">
        <w:rPr>
          <w:lang w:val="fr-CH"/>
        </w:rPr>
        <w:t>'</w:t>
      </w:r>
      <w:r w:rsidRPr="00E27452">
        <w:rPr>
          <w:lang w:val="fr-CH"/>
        </w:rPr>
        <w:t>UIT avant le début de la construction.</w:t>
      </w:r>
    </w:p>
    <w:p w:rsidR="00140E3B" w:rsidRDefault="00140E3B" w:rsidP="00C464F7">
      <w:pPr>
        <w:rPr>
          <w:lang w:val="fr-CH"/>
        </w:rPr>
      </w:pPr>
      <w:r>
        <w:rPr>
          <w:lang w:val="fr-CH"/>
        </w:rPr>
        <w:t>1.5</w:t>
      </w:r>
      <w:r>
        <w:rPr>
          <w:lang w:val="fr-CH"/>
        </w:rPr>
        <w:tab/>
      </w:r>
      <w:r w:rsidRPr="00E27452">
        <w:rPr>
          <w:lang w:val="fr-CH"/>
        </w:rPr>
        <w:t xml:space="preserve">Le 17 octobre 2018, une offre de parrainage soumise par les </w:t>
      </w:r>
      <w:r w:rsidR="00157C10" w:rsidRPr="00E27452">
        <w:rPr>
          <w:lang w:val="fr-CH"/>
        </w:rPr>
        <w:t>Émirats</w:t>
      </w:r>
      <w:r w:rsidRPr="00E27452">
        <w:rPr>
          <w:lang w:val="fr-CH"/>
        </w:rPr>
        <w:t xml:space="preserve"> arabes unis portant sur la seconde grande salle de conférence a été reçue.</w:t>
      </w:r>
    </w:p>
    <w:p w:rsidR="00140E3B" w:rsidRDefault="00140E3B" w:rsidP="00C464F7">
      <w:pPr>
        <w:rPr>
          <w:lang w:val="fr-CH"/>
        </w:rPr>
      </w:pPr>
      <w:r>
        <w:rPr>
          <w:lang w:val="fr-CH"/>
        </w:rPr>
        <w:t>1.6</w:t>
      </w:r>
      <w:r>
        <w:rPr>
          <w:lang w:val="fr-CH"/>
        </w:rPr>
        <w:tab/>
      </w:r>
      <w:r w:rsidRPr="00E27452">
        <w:rPr>
          <w:lang w:val="fr-CH"/>
        </w:rPr>
        <w:t>La République tchèque a fait un don généreux de 100 000 USD destinés à financer la construction du nouveau bâtiment ou l</w:t>
      </w:r>
      <w:r w:rsidR="007B6FBF">
        <w:rPr>
          <w:lang w:val="fr-CH"/>
        </w:rPr>
        <w:t>'</w:t>
      </w:r>
      <w:r w:rsidRPr="00E27452">
        <w:rPr>
          <w:lang w:val="fr-CH"/>
        </w:rPr>
        <w:t>achat de matériel technique et d</w:t>
      </w:r>
      <w:r w:rsidR="007B6FBF">
        <w:rPr>
          <w:lang w:val="fr-CH"/>
        </w:rPr>
        <w:t>'</w:t>
      </w:r>
      <w:r w:rsidRPr="00E27452">
        <w:rPr>
          <w:lang w:val="fr-CH"/>
        </w:rPr>
        <w:t xml:space="preserve">autres équipements pour le bâtiment. Ce don a été versé au fonds provisoire pour le nouveau bâtiment créé par le Conseil à sa première session de </w:t>
      </w:r>
      <w:r w:rsidR="00C464F7">
        <w:rPr>
          <w:lang w:val="fr-CH"/>
        </w:rPr>
        <w:t>2018.</w:t>
      </w:r>
    </w:p>
    <w:p w:rsidR="00140E3B" w:rsidRPr="00140E3B" w:rsidRDefault="00140E3B" w:rsidP="00C464F7">
      <w:pPr>
        <w:rPr>
          <w:lang w:val="fr-CH"/>
        </w:rPr>
      </w:pPr>
      <w:r w:rsidRPr="001452E8">
        <w:t>1.7</w:t>
      </w:r>
      <w:r w:rsidRPr="001452E8">
        <w:tab/>
      </w:r>
      <w:r w:rsidR="001452E8" w:rsidRPr="001452E8">
        <w:t>Ces dons et parrainages sont considérés comme un complément au budget approuvé da</w:t>
      </w:r>
      <w:r w:rsidR="001452E8">
        <w:t>ns le cadre de la Décision 588</w:t>
      </w:r>
      <w:r w:rsidRPr="001452E8">
        <w:t xml:space="preserve">. </w:t>
      </w:r>
      <w:r w:rsidR="001452E8">
        <w:rPr>
          <w:lang w:val="fr-CH"/>
        </w:rPr>
        <w:t>Les États Membres sont convenus de rechercher</w:t>
      </w:r>
      <w:r w:rsidRPr="00E27452">
        <w:rPr>
          <w:lang w:val="fr-CH"/>
        </w:rPr>
        <w:t xml:space="preserve"> un emplacement adapté</w:t>
      </w:r>
      <w:r w:rsidR="001452E8">
        <w:rPr>
          <w:lang w:val="fr-CH"/>
        </w:rPr>
        <w:t xml:space="preserve">, </w:t>
      </w:r>
      <w:r w:rsidR="001452E8" w:rsidRPr="00E27452">
        <w:rPr>
          <w:lang w:val="fr-CH"/>
        </w:rPr>
        <w:t>dans le nouveau bâtiment</w:t>
      </w:r>
      <w:r w:rsidR="001452E8">
        <w:rPr>
          <w:lang w:val="fr-CH"/>
        </w:rPr>
        <w:t>,</w:t>
      </w:r>
      <w:r w:rsidRPr="00E27452">
        <w:rPr>
          <w:lang w:val="fr-CH"/>
        </w:rPr>
        <w:t xml:space="preserve"> pour rendre hommage à la générosité des donateurs.</w:t>
      </w:r>
    </w:p>
    <w:p w:rsidR="00140E3B" w:rsidRDefault="00140E3B" w:rsidP="00C464F7">
      <w:pPr>
        <w:rPr>
          <w:lang w:val="fr-CH"/>
        </w:rPr>
      </w:pPr>
      <w:r>
        <w:rPr>
          <w:lang w:val="fr-CH"/>
        </w:rPr>
        <w:t>1.8</w:t>
      </w:r>
      <w:r>
        <w:rPr>
          <w:lang w:val="fr-CH"/>
        </w:rPr>
        <w:tab/>
      </w:r>
      <w:r w:rsidR="001452E8">
        <w:rPr>
          <w:lang w:val="fr-CH"/>
        </w:rPr>
        <w:t>P</w:t>
      </w:r>
      <w:r w:rsidR="001452E8" w:rsidRPr="00420F9F">
        <w:rPr>
          <w:lang w:val="fr-CH"/>
        </w:rPr>
        <w:t>endant la période de démolition/construction</w:t>
      </w:r>
      <w:r w:rsidR="001452E8">
        <w:rPr>
          <w:lang w:val="fr-CH"/>
        </w:rPr>
        <w:t xml:space="preserve">, des solutions seront mises en place pour </w:t>
      </w:r>
      <w:r w:rsidR="00BD38C8">
        <w:rPr>
          <w:lang w:val="fr-CH"/>
        </w:rPr>
        <w:t xml:space="preserve">reloger temporairement le </w:t>
      </w:r>
      <w:r w:rsidR="001452E8">
        <w:rPr>
          <w:lang w:val="fr-CH"/>
        </w:rPr>
        <w:t xml:space="preserve">personnel, </w:t>
      </w:r>
      <w:r w:rsidRPr="00420F9F">
        <w:rPr>
          <w:lang w:val="fr-CH"/>
        </w:rPr>
        <w:t xml:space="preserve">notamment </w:t>
      </w:r>
      <w:r w:rsidR="00BD38C8">
        <w:rPr>
          <w:lang w:val="fr-CH"/>
        </w:rPr>
        <w:t>grâce à</w:t>
      </w:r>
      <w:r w:rsidRPr="00420F9F">
        <w:rPr>
          <w:lang w:val="fr-CH"/>
        </w:rPr>
        <w:t xml:space="preserve"> l</w:t>
      </w:r>
      <w:r w:rsidR="007B6FBF">
        <w:rPr>
          <w:lang w:val="fr-CH"/>
        </w:rPr>
        <w:t>'</w:t>
      </w:r>
      <w:r w:rsidRPr="00420F9F">
        <w:rPr>
          <w:lang w:val="fr-CH"/>
        </w:rPr>
        <w:t>adoption d</w:t>
      </w:r>
      <w:r w:rsidR="007B6FBF">
        <w:rPr>
          <w:lang w:val="fr-CH"/>
        </w:rPr>
        <w:t>'</w:t>
      </w:r>
      <w:r w:rsidRPr="00420F9F">
        <w:rPr>
          <w:lang w:val="fr-CH"/>
        </w:rPr>
        <w:t xml:space="preserve">un régime de travail flexible et </w:t>
      </w:r>
      <w:r w:rsidR="00BD38C8">
        <w:rPr>
          <w:lang w:val="fr-CH"/>
        </w:rPr>
        <w:t>à</w:t>
      </w:r>
      <w:r w:rsidRPr="00420F9F">
        <w:rPr>
          <w:lang w:val="fr-CH"/>
        </w:rPr>
        <w:t xml:space="preserve"> l</w:t>
      </w:r>
      <w:r w:rsidR="007B6FBF">
        <w:rPr>
          <w:lang w:val="fr-CH"/>
        </w:rPr>
        <w:t>'</w:t>
      </w:r>
      <w:r w:rsidRPr="00420F9F">
        <w:rPr>
          <w:lang w:val="fr-CH"/>
        </w:rPr>
        <w:t xml:space="preserve">augmentation de la capacité </w:t>
      </w:r>
      <w:r w:rsidR="00BD38C8">
        <w:rPr>
          <w:lang w:val="fr-CH"/>
        </w:rPr>
        <w:t>du</w:t>
      </w:r>
      <w:r w:rsidRPr="00420F9F">
        <w:rPr>
          <w:lang w:val="fr-CH"/>
        </w:rPr>
        <w:t xml:space="preserve"> bâtiment Montbrillant et de la Tour.</w:t>
      </w:r>
    </w:p>
    <w:p w:rsidR="00140E3B" w:rsidRPr="00C464F7" w:rsidRDefault="00140E3B" w:rsidP="00C464F7">
      <w:r w:rsidRPr="001452E8">
        <w:t>1.9</w:t>
      </w:r>
      <w:r w:rsidRPr="001452E8">
        <w:tab/>
      </w:r>
      <w:r w:rsidR="001452E8" w:rsidRPr="001452E8">
        <w:t>Au terme du projet, il est prévu de vendre la Tour, dans laquelle se trouvent actuellement un grand nombre de contributions/dons offerts à l</w:t>
      </w:r>
      <w:r w:rsidR="007B6FBF">
        <w:t>'</w:t>
      </w:r>
      <w:r w:rsidR="001452E8" w:rsidRPr="001452E8">
        <w:t>UIT par des États Membres et des Membres de Secteur.</w:t>
      </w:r>
    </w:p>
    <w:p w:rsidR="00140E3B" w:rsidRPr="001B02FF" w:rsidRDefault="00140E3B" w:rsidP="00C464F7">
      <w:r w:rsidRPr="001B02FF">
        <w:t>1.10</w:t>
      </w:r>
      <w:r w:rsidRPr="001B02FF">
        <w:tab/>
      </w:r>
      <w:r w:rsidR="001B02FF" w:rsidRPr="001B02FF">
        <w:t xml:space="preserve">Tous les bâtiments </w:t>
      </w:r>
      <w:r w:rsidR="00BD38C8">
        <w:t>actuels</w:t>
      </w:r>
      <w:r w:rsidR="001B02FF" w:rsidRPr="001B02FF">
        <w:t xml:space="preserve"> du siège de l</w:t>
      </w:r>
      <w:r w:rsidR="007B6FBF">
        <w:t>'</w:t>
      </w:r>
      <w:r w:rsidR="001B02FF" w:rsidRPr="001B02FF">
        <w:t>UIT contiennent un grand nombre de contributions/dons</w:t>
      </w:r>
      <w:r w:rsidR="001B02FF">
        <w:t xml:space="preserve"> qui ont été</w:t>
      </w:r>
      <w:r w:rsidR="001B02FF" w:rsidRPr="001B02FF">
        <w:t xml:space="preserve"> offerts </w:t>
      </w:r>
      <w:r w:rsidR="00BD38C8">
        <w:t>à l</w:t>
      </w:r>
      <w:r w:rsidR="007B6FBF">
        <w:t>'</w:t>
      </w:r>
      <w:r w:rsidR="00BD38C8">
        <w:t xml:space="preserve">Union </w:t>
      </w:r>
      <w:r w:rsidR="001B02FF" w:rsidRPr="001B02FF">
        <w:t xml:space="preserve">par </w:t>
      </w:r>
      <w:r w:rsidR="001B02FF">
        <w:t>des</w:t>
      </w:r>
      <w:r w:rsidR="001B02FF" w:rsidRPr="001B02FF">
        <w:t xml:space="preserve"> États Membres et </w:t>
      </w:r>
      <w:r w:rsidR="001B02FF">
        <w:t>des</w:t>
      </w:r>
      <w:r w:rsidR="001B02FF" w:rsidRPr="001B02FF">
        <w:t xml:space="preserve"> Memb</w:t>
      </w:r>
      <w:r w:rsidR="00BD38C8">
        <w:t xml:space="preserve">res de Secteur </w:t>
      </w:r>
      <w:r w:rsidR="001B02FF" w:rsidRPr="001B02FF">
        <w:t>avant le début du projet.</w:t>
      </w:r>
    </w:p>
    <w:p w:rsidR="00140E3B" w:rsidRPr="001B02FF" w:rsidRDefault="00140E3B" w:rsidP="00C464F7">
      <w:r w:rsidRPr="001B02FF">
        <w:t>1.11</w:t>
      </w:r>
      <w:r w:rsidRPr="001B02FF">
        <w:tab/>
      </w:r>
      <w:r w:rsidR="001B02FF" w:rsidRPr="001B02FF">
        <w:t>À ce jour, le secrétariat n</w:t>
      </w:r>
      <w:r w:rsidR="007B6FBF">
        <w:t>'</w:t>
      </w:r>
      <w:r w:rsidR="001B02FF" w:rsidRPr="001B02FF">
        <w:t>a pas</w:t>
      </w:r>
      <w:r w:rsidR="001B02FF">
        <w:t xml:space="preserve"> </w:t>
      </w:r>
      <w:r w:rsidR="00BD38C8">
        <w:t>déployé d</w:t>
      </w:r>
      <w:r w:rsidR="007B6FBF">
        <w:t>'</w:t>
      </w:r>
      <w:r w:rsidR="00BD38C8">
        <w:t>efforts suffisants</w:t>
      </w:r>
      <w:r w:rsidR="001B02FF">
        <w:t xml:space="preserve"> pour </w:t>
      </w:r>
      <w:r w:rsidR="00BD38C8">
        <w:t xml:space="preserve">passer en revue </w:t>
      </w:r>
      <w:r w:rsidR="001B02FF">
        <w:t>ces contributions/dons</w:t>
      </w:r>
      <w:r w:rsidR="00BD38C8">
        <w:t xml:space="preserve"> et évaluer leur importance</w:t>
      </w:r>
      <w:r w:rsidR="001B02FF">
        <w:t xml:space="preserve">, élaborer des propositions visant à les préserver pendant la mise en </w:t>
      </w:r>
      <w:r w:rsidR="00157C10">
        <w:t>œuvre</w:t>
      </w:r>
      <w:r w:rsidR="001B02FF">
        <w:t xml:space="preserve"> du projet et garantir leur intégration dans le</w:t>
      </w:r>
      <w:r w:rsidR="00BD38C8">
        <w:t>s</w:t>
      </w:r>
      <w:r w:rsidR="001B02FF">
        <w:t xml:space="preserve"> nouveau</w:t>
      </w:r>
      <w:r w:rsidR="00BD38C8">
        <w:t>x</w:t>
      </w:r>
      <w:r w:rsidR="001B02FF">
        <w:t xml:space="preserve"> </w:t>
      </w:r>
      <w:r w:rsidR="00BD38C8">
        <w:t>locaux</w:t>
      </w:r>
      <w:r w:rsidR="001B02FF">
        <w:t xml:space="preserve"> de l</w:t>
      </w:r>
      <w:r w:rsidR="007B6FBF">
        <w:t>'</w:t>
      </w:r>
      <w:r w:rsidR="001B02FF">
        <w:t>UIT au terme du projet</w:t>
      </w:r>
      <w:r w:rsidRPr="001B02FF">
        <w:t>.</w:t>
      </w:r>
    </w:p>
    <w:p w:rsidR="001B02FF" w:rsidRPr="001B02FF" w:rsidRDefault="00140E3B" w:rsidP="00C464F7">
      <w:r w:rsidRPr="001B02FF">
        <w:lastRenderedPageBreak/>
        <w:t>1.12</w:t>
      </w:r>
      <w:r w:rsidRPr="001B02FF">
        <w:tab/>
      </w:r>
      <w:r w:rsidR="001B02FF" w:rsidRPr="001B02FF">
        <w:t xml:space="preserve">Dans le cadre de ses négociations </w:t>
      </w:r>
      <w:r w:rsidR="001B02FF">
        <w:t>avec les sponsors potentiels du projet, le secrétariat n</w:t>
      </w:r>
      <w:r w:rsidR="007B6FBF">
        <w:t>'</w:t>
      </w:r>
      <w:r w:rsidR="001B02FF">
        <w:t>a pas tenu compte de la nécessité de garantir la préservation des contributions/dons offerts par le passé par des États Membres et des Membres de Secteur; ce qui peut compromettre les efforts visant à transmettre l</w:t>
      </w:r>
      <w:r w:rsidR="007B6FBF">
        <w:t>'</w:t>
      </w:r>
      <w:r w:rsidR="001B02FF">
        <w:t>héritage et à préserver l</w:t>
      </w:r>
      <w:r w:rsidR="007B6FBF">
        <w:t>'</w:t>
      </w:r>
      <w:r w:rsidR="001B02FF">
        <w:t>histoire de l</w:t>
      </w:r>
      <w:r w:rsidR="007B6FBF">
        <w:t>'</w:t>
      </w:r>
      <w:r w:rsidR="001B02FF">
        <w:t>Union.</w:t>
      </w:r>
    </w:p>
    <w:p w:rsidR="00140E3B" w:rsidRPr="001B02FF" w:rsidRDefault="00140E3B" w:rsidP="00C464F7">
      <w:pPr>
        <w:pStyle w:val="Heading1"/>
      </w:pPr>
      <w:r w:rsidRPr="001B02FF">
        <w:t>2</w:t>
      </w:r>
      <w:r w:rsidRPr="001B02FF">
        <w:tab/>
      </w:r>
      <w:r w:rsidR="001B02FF" w:rsidRPr="001B02FF">
        <w:t>Proposition</w:t>
      </w:r>
    </w:p>
    <w:p w:rsidR="001B02FF" w:rsidRPr="001B02FF" w:rsidRDefault="001B02FF" w:rsidP="00C464F7">
      <w:bookmarkStart w:id="11" w:name="lt_pId060"/>
      <w:r w:rsidRPr="001B02FF">
        <w:t>Compte tenu de ce qui précède, en particulier des paragraphes 1.10 à 1.12, l</w:t>
      </w:r>
      <w:r w:rsidR="007B6FBF">
        <w:t>'</w:t>
      </w:r>
      <w:r w:rsidR="00880AC5">
        <w:t>A</w:t>
      </w:r>
      <w:r w:rsidRPr="001B02FF">
        <w:t xml:space="preserve">dministration de la Fédération de </w:t>
      </w:r>
      <w:r w:rsidRPr="00C464F7">
        <w:t>Russie et ... propose[nt] que</w:t>
      </w:r>
      <w:r>
        <w:t xml:space="preserve"> le Conseil:</w:t>
      </w:r>
    </w:p>
    <w:bookmarkEnd w:id="11"/>
    <w:p w:rsidR="00140E3B" w:rsidRPr="001B02FF" w:rsidRDefault="00140E3B" w:rsidP="00C464F7">
      <w:r w:rsidRPr="001B02FF">
        <w:t>2.1</w:t>
      </w:r>
      <w:r w:rsidRPr="001B02FF">
        <w:tab/>
      </w:r>
      <w:bookmarkStart w:id="12" w:name="lt_pId062"/>
      <w:r w:rsidR="001B02FF">
        <w:t>p</w:t>
      </w:r>
      <w:r w:rsidR="001B02FF" w:rsidRPr="001B02FF">
        <w:t>renne d</w:t>
      </w:r>
      <w:r w:rsidR="007B6FBF">
        <w:t>'</w:t>
      </w:r>
      <w:r w:rsidR="001B02FF" w:rsidRPr="001B02FF">
        <w:t xml:space="preserve">urgence des mesures pour garantir la préservation des contributions/dons offerts par les </w:t>
      </w:r>
      <w:r w:rsidR="00157C10" w:rsidRPr="001B02FF">
        <w:t>États</w:t>
      </w:r>
      <w:r w:rsidR="001B02FF" w:rsidRPr="001B02FF">
        <w:t xml:space="preserve"> Membres et les Membres de S</w:t>
      </w:r>
      <w:r w:rsidR="001B02FF">
        <w:t>e</w:t>
      </w:r>
      <w:r w:rsidR="001B02FF" w:rsidRPr="001B02FF">
        <w:t xml:space="preserve">cteur avant le début du projet de </w:t>
      </w:r>
      <w:r w:rsidR="001B02FF">
        <w:t>construction du nouveau bâtiment du siège de l</w:t>
      </w:r>
      <w:r w:rsidR="007B6FBF">
        <w:t>'</w:t>
      </w:r>
      <w:r w:rsidR="001B02FF">
        <w:t>UIT</w:t>
      </w:r>
      <w:r w:rsidRPr="001B02FF">
        <w:t>.</w:t>
      </w:r>
      <w:bookmarkEnd w:id="12"/>
    </w:p>
    <w:p w:rsidR="00140E3B" w:rsidRPr="00BD38C8" w:rsidRDefault="00140E3B" w:rsidP="00C464F7">
      <w:r w:rsidRPr="001B02FF">
        <w:t>2.2</w:t>
      </w:r>
      <w:r w:rsidRPr="001B02FF">
        <w:tab/>
      </w:r>
      <w:bookmarkStart w:id="13" w:name="lt_pId064"/>
      <w:r w:rsidR="001B02FF" w:rsidRPr="001B02FF">
        <w:t>charge le secrétariat de la session de 2020 du Conseil de passer en revue les contributions/dons existants et d</w:t>
      </w:r>
      <w:r w:rsidR="007B6FBF">
        <w:t>'</w:t>
      </w:r>
      <w:r w:rsidR="001B02FF" w:rsidRPr="001B02FF">
        <w:t xml:space="preserve">élaborer des propositions </w:t>
      </w:r>
      <w:r w:rsidR="00BD38C8">
        <w:t>concernant leur préservation</w:t>
      </w:r>
      <w:r w:rsidR="001B02FF" w:rsidRPr="001B02FF">
        <w:t xml:space="preserve"> pendant la mise en </w:t>
      </w:r>
      <w:r w:rsidR="00157C10" w:rsidRPr="001B02FF">
        <w:t>œuvre</w:t>
      </w:r>
      <w:r w:rsidR="00BD38C8">
        <w:t xml:space="preserve"> du projet et leur intégration</w:t>
      </w:r>
      <w:r w:rsidR="001B02FF" w:rsidRPr="001B02FF">
        <w:t xml:space="preserve"> dans les nouveaux locaux de l</w:t>
      </w:r>
      <w:r w:rsidR="007B6FBF">
        <w:t>'</w:t>
      </w:r>
      <w:r w:rsidR="001B02FF" w:rsidRPr="001B02FF">
        <w:t>UIT au terme du projet.</w:t>
      </w:r>
      <w:bookmarkEnd w:id="13"/>
    </w:p>
    <w:p w:rsidR="00140E3B" w:rsidRPr="000B67BB" w:rsidRDefault="00140E3B" w:rsidP="00C464F7">
      <w:r w:rsidRPr="001B02FF">
        <w:t>2.3</w:t>
      </w:r>
      <w:r w:rsidRPr="001B02FF">
        <w:tab/>
      </w:r>
      <w:bookmarkStart w:id="14" w:name="lt_pId066"/>
      <w:r w:rsidR="001B02FF" w:rsidRPr="001B02FF">
        <w:t>charge le S</w:t>
      </w:r>
      <w:r w:rsidR="001B02FF">
        <w:t>e</w:t>
      </w:r>
      <w:r w:rsidR="001B02FF" w:rsidRPr="001B02FF">
        <w:t xml:space="preserve">crétaire général de tenir compte </w:t>
      </w:r>
      <w:r w:rsidR="001B02FF">
        <w:t xml:space="preserve">des contributions/dons offerts par le passé par des </w:t>
      </w:r>
      <w:r w:rsidR="00157C10">
        <w:t>États</w:t>
      </w:r>
      <w:r w:rsidR="001B02FF">
        <w:t xml:space="preserve"> Membres et des Membres de Secteur </w:t>
      </w:r>
      <w:r w:rsidR="000B67BB">
        <w:t>dans le cadre des négociations avec les sponsors potentiels du projet, de façon à garantir la pr</w:t>
      </w:r>
      <w:r w:rsidR="00BD38C8">
        <w:t>éservation de ces contributions/</w:t>
      </w:r>
      <w:r w:rsidR="000B67BB">
        <w:t>dons, compte tenu de leur importance pour l</w:t>
      </w:r>
      <w:r w:rsidR="007B6FBF">
        <w:t>'</w:t>
      </w:r>
      <w:r w:rsidR="000B67BB">
        <w:t>histoire de l</w:t>
      </w:r>
      <w:r w:rsidR="007B6FBF">
        <w:t>'</w:t>
      </w:r>
      <w:r w:rsidR="000B67BB">
        <w:t>Union</w:t>
      </w:r>
      <w:r w:rsidRPr="000B67BB">
        <w:t>.</w:t>
      </w:r>
      <w:bookmarkEnd w:id="14"/>
    </w:p>
    <w:p w:rsidR="00455449" w:rsidRPr="000B67BB" w:rsidRDefault="000B67BB" w:rsidP="00C464F7">
      <w:bookmarkStart w:id="15" w:name="lt_pId067"/>
      <w:r w:rsidRPr="000B67BB">
        <w:t xml:space="preserve">Le projet de décision de la session de 2019 du Conseil </w:t>
      </w:r>
      <w:r>
        <w:t>est reproduit</w:t>
      </w:r>
      <w:r w:rsidRPr="000B67BB">
        <w:t xml:space="preserve"> en annexe</w:t>
      </w:r>
      <w:r w:rsidR="00C464F7">
        <w:t>.</w:t>
      </w:r>
      <w:bookmarkEnd w:id="15"/>
      <w:r w:rsidR="00140E3B" w:rsidRPr="000B67BB">
        <w:br w:type="page"/>
      </w:r>
    </w:p>
    <w:p w:rsidR="0014111D" w:rsidRPr="00C464F7" w:rsidRDefault="0014111D" w:rsidP="00C464F7">
      <w:pPr>
        <w:pStyle w:val="AnnexNo"/>
      </w:pPr>
      <w:r w:rsidRPr="00C464F7">
        <w:lastRenderedPageBreak/>
        <w:t>Annexe</w:t>
      </w:r>
    </w:p>
    <w:p w:rsidR="0014111D" w:rsidRDefault="0014111D" w:rsidP="0010443D">
      <w:pPr>
        <w:pStyle w:val="PartNo"/>
      </w:pPr>
      <w:r w:rsidRPr="00C464F7">
        <w:t>décision xxx</w:t>
      </w:r>
    </w:p>
    <w:p w:rsidR="00661A86" w:rsidRPr="00661A86" w:rsidRDefault="00661A86" w:rsidP="00661A86">
      <w:pPr>
        <w:jc w:val="center"/>
      </w:pPr>
      <w:r>
        <w:t>(adoptée à la XXX séance plénière)</w:t>
      </w:r>
    </w:p>
    <w:p w:rsidR="0014111D" w:rsidRPr="00631F35" w:rsidRDefault="00631F35" w:rsidP="00C464F7">
      <w:pPr>
        <w:pStyle w:val="Annextitle"/>
        <w:rPr>
          <w:sz w:val="26"/>
        </w:rPr>
      </w:pPr>
      <w:r w:rsidRPr="00631F35">
        <w:rPr>
          <w:sz w:val="26"/>
        </w:rPr>
        <w:t>Garantir la préservation des contributions/dons</w:t>
      </w:r>
      <w:r w:rsidRPr="007E08F5">
        <w:rPr>
          <w:b w:val="0"/>
          <w:bCs/>
          <w:position w:val="6"/>
          <w:sz w:val="16"/>
          <w:lang w:val="ru-RU"/>
        </w:rPr>
        <w:footnoteReference w:id="3"/>
      </w:r>
      <w:r w:rsidRPr="00631F35">
        <w:rPr>
          <w:sz w:val="26"/>
        </w:rPr>
        <w:t xml:space="preserve"> des </w:t>
      </w:r>
      <w:r w:rsidR="00157C10" w:rsidRPr="00631F35">
        <w:rPr>
          <w:sz w:val="26"/>
        </w:rPr>
        <w:t>États</w:t>
      </w:r>
      <w:r w:rsidRPr="00631F35">
        <w:rPr>
          <w:sz w:val="26"/>
        </w:rPr>
        <w:t xml:space="preserve"> Membres et </w:t>
      </w:r>
      <w:r w:rsidR="008E18EB">
        <w:rPr>
          <w:sz w:val="26"/>
        </w:rPr>
        <w:br/>
      </w:r>
      <w:r w:rsidRPr="00631F35">
        <w:rPr>
          <w:sz w:val="26"/>
        </w:rPr>
        <w:t>des Membres de Secteur</w:t>
      </w:r>
      <w:r>
        <w:rPr>
          <w:sz w:val="26"/>
        </w:rPr>
        <w:t xml:space="preserve"> dans les nouveaux locaux du siège de l</w:t>
      </w:r>
      <w:r w:rsidR="007B6FBF">
        <w:rPr>
          <w:sz w:val="26"/>
        </w:rPr>
        <w:t>'</w:t>
      </w:r>
      <w:r>
        <w:rPr>
          <w:sz w:val="26"/>
        </w:rPr>
        <w:t>Union</w:t>
      </w:r>
    </w:p>
    <w:p w:rsidR="001A0EEC" w:rsidRPr="00F60CF4" w:rsidRDefault="001A0EEC" w:rsidP="00C464F7">
      <w:pPr>
        <w:pStyle w:val="Normalaftertitle"/>
        <w:spacing w:before="360"/>
        <w:rPr>
          <w:lang w:val="fr-CH"/>
        </w:rPr>
      </w:pPr>
      <w:r w:rsidRPr="00F60CF4">
        <w:rPr>
          <w:lang w:val="fr-CH"/>
        </w:rPr>
        <w:t>Le Conseil,</w:t>
      </w:r>
    </w:p>
    <w:p w:rsidR="001A0EEC" w:rsidRPr="00CF5E36" w:rsidRDefault="001A0EEC" w:rsidP="00C464F7">
      <w:pPr>
        <w:pStyle w:val="Call"/>
      </w:pPr>
      <w:bookmarkStart w:id="16" w:name="_Toc406757765"/>
      <w:r w:rsidRPr="00CF5E36">
        <w:t>reconnaissant</w:t>
      </w:r>
    </w:p>
    <w:p w:rsidR="001A0EEC" w:rsidRPr="00BE2909" w:rsidRDefault="00BE2909" w:rsidP="0010443D">
      <w:pPr>
        <w:rPr>
          <w:lang w:val="fr-CH"/>
        </w:rPr>
      </w:pPr>
      <w:r w:rsidRPr="00BE2909">
        <w:rPr>
          <w:lang w:val="fr-CH"/>
        </w:rPr>
        <w:t xml:space="preserve">la </w:t>
      </w:r>
      <w:r w:rsidR="001A0EEC" w:rsidRPr="00BE2909">
        <w:rPr>
          <w:lang w:val="fr-CH"/>
        </w:rPr>
        <w:t>R</w:t>
      </w:r>
      <w:r w:rsidRPr="00BE2909">
        <w:rPr>
          <w:lang w:val="fr-CH"/>
        </w:rPr>
        <w:t>é</w:t>
      </w:r>
      <w:r w:rsidR="001A0EEC" w:rsidRPr="00BE2909">
        <w:rPr>
          <w:lang w:val="fr-CH"/>
        </w:rPr>
        <w:t>solution </w:t>
      </w:r>
      <w:r w:rsidR="001A0EEC" w:rsidRPr="00BE2909">
        <w:rPr>
          <w:rStyle w:val="href"/>
          <w:lang w:val="fr-CH"/>
        </w:rPr>
        <w:t>194</w:t>
      </w:r>
      <w:r w:rsidR="001A0EEC" w:rsidRPr="00BE2909">
        <w:rPr>
          <w:lang w:val="fr-CH"/>
        </w:rPr>
        <w:t xml:space="preserve"> (Busan, 2014)</w:t>
      </w:r>
      <w:bookmarkStart w:id="17" w:name="_Toc407016302"/>
      <w:bookmarkEnd w:id="16"/>
      <w:r w:rsidR="00631F35">
        <w:rPr>
          <w:lang w:val="fr-CH"/>
        </w:rPr>
        <w:t xml:space="preserve"> de la Conférence de plénipotentiaires</w:t>
      </w:r>
      <w:r w:rsidR="00BD38C8">
        <w:rPr>
          <w:lang w:val="fr-CH"/>
        </w:rPr>
        <w:t xml:space="preserve"> </w:t>
      </w:r>
      <w:r w:rsidR="00631F35">
        <w:rPr>
          <w:lang w:val="fr-CH"/>
        </w:rPr>
        <w:t>relative aux o</w:t>
      </w:r>
      <w:r w:rsidRPr="002F5CED">
        <w:t>ptions à long terme pour les locaux du siège de l</w:t>
      </w:r>
      <w:r w:rsidR="007B6FBF">
        <w:t>'</w:t>
      </w:r>
      <w:r w:rsidRPr="002F5CED">
        <w:t>Union</w:t>
      </w:r>
      <w:bookmarkEnd w:id="17"/>
      <w:r w:rsidR="001A0EEC" w:rsidRPr="00BE2909">
        <w:rPr>
          <w:lang w:val="fr-CH"/>
        </w:rPr>
        <w:t>;</w:t>
      </w:r>
    </w:p>
    <w:p w:rsidR="001A0EEC" w:rsidRPr="00BE2909" w:rsidRDefault="00BE2909" w:rsidP="0010443D">
      <w:pPr>
        <w:rPr>
          <w:lang w:val="fr-CH"/>
        </w:rPr>
      </w:pPr>
      <w:bookmarkStart w:id="18" w:name="_Toc536018369"/>
      <w:r w:rsidRPr="00BE2909">
        <w:rPr>
          <w:lang w:val="fr-CH"/>
        </w:rPr>
        <w:t xml:space="preserve">la </w:t>
      </w:r>
      <w:r w:rsidR="001A0EEC" w:rsidRPr="00BE2909">
        <w:rPr>
          <w:lang w:val="fr-CH"/>
        </w:rPr>
        <w:t>R</w:t>
      </w:r>
      <w:r w:rsidRPr="00BE2909">
        <w:rPr>
          <w:lang w:val="fr-CH"/>
        </w:rPr>
        <w:t>é</w:t>
      </w:r>
      <w:r w:rsidR="001A0EEC" w:rsidRPr="00BE2909">
        <w:rPr>
          <w:lang w:val="fr-CH"/>
        </w:rPr>
        <w:t xml:space="preserve">solution </w:t>
      </w:r>
      <w:r w:rsidR="001A0EEC" w:rsidRPr="00BE2909">
        <w:rPr>
          <w:rStyle w:val="href"/>
          <w:lang w:val="fr-CH"/>
        </w:rPr>
        <w:t>212</w:t>
      </w:r>
      <w:r w:rsidR="001A0EEC" w:rsidRPr="00BE2909">
        <w:rPr>
          <w:lang w:val="fr-CH"/>
        </w:rPr>
        <w:t xml:space="preserve"> (Duba</w:t>
      </w:r>
      <w:r w:rsidRPr="00BE2909">
        <w:rPr>
          <w:lang w:val="fr-CH"/>
        </w:rPr>
        <w:t>ï</w:t>
      </w:r>
      <w:r w:rsidR="001A0EEC" w:rsidRPr="00BE2909">
        <w:rPr>
          <w:lang w:val="fr-CH"/>
        </w:rPr>
        <w:t>, 2018)</w:t>
      </w:r>
      <w:bookmarkStart w:id="19" w:name="_Toc536018038"/>
      <w:bookmarkStart w:id="20" w:name="_Toc536018370"/>
      <w:bookmarkEnd w:id="18"/>
      <w:r w:rsidR="00631F35">
        <w:rPr>
          <w:lang w:val="fr-CH"/>
        </w:rPr>
        <w:t xml:space="preserve"> de la Conférence de plénipotentiaires, intitulée "</w:t>
      </w:r>
      <w:r w:rsidRPr="00322382">
        <w:rPr>
          <w:lang w:val="fr-CH"/>
        </w:rPr>
        <w:t>Locaux futurs du siège de l</w:t>
      </w:r>
      <w:r w:rsidR="007B6FBF">
        <w:rPr>
          <w:lang w:val="fr-CH"/>
        </w:rPr>
        <w:t>'</w:t>
      </w:r>
      <w:r w:rsidRPr="00322382">
        <w:rPr>
          <w:lang w:val="fr-CH"/>
        </w:rPr>
        <w:t>Union</w:t>
      </w:r>
      <w:bookmarkEnd w:id="19"/>
      <w:bookmarkEnd w:id="20"/>
      <w:r w:rsidR="00631F35">
        <w:rPr>
          <w:lang w:val="fr-CH"/>
        </w:rPr>
        <w:t>"</w:t>
      </w:r>
      <w:r w:rsidR="001A0EEC" w:rsidRPr="00BE2909">
        <w:rPr>
          <w:lang w:val="fr-CH"/>
        </w:rPr>
        <w:t>;</w:t>
      </w:r>
    </w:p>
    <w:p w:rsidR="001A0EEC" w:rsidRPr="00BE2909" w:rsidRDefault="00BE2909" w:rsidP="0010443D">
      <w:pPr>
        <w:rPr>
          <w:lang w:val="fr-CH"/>
        </w:rPr>
      </w:pPr>
      <w:r w:rsidRPr="00BE2909">
        <w:rPr>
          <w:lang w:val="fr-CH"/>
        </w:rPr>
        <w:t xml:space="preserve">la </w:t>
      </w:r>
      <w:r w:rsidR="001A0EEC" w:rsidRPr="00BE2909">
        <w:rPr>
          <w:lang w:val="fr-CH"/>
        </w:rPr>
        <w:t>D</w:t>
      </w:r>
      <w:r w:rsidRPr="00BE2909">
        <w:rPr>
          <w:lang w:val="fr-CH"/>
        </w:rPr>
        <w:t>é</w:t>
      </w:r>
      <w:r w:rsidR="001A0EEC" w:rsidRPr="00BE2909">
        <w:rPr>
          <w:lang w:val="fr-CH"/>
        </w:rPr>
        <w:t>cision 588 (2016)</w:t>
      </w:r>
      <w:r w:rsidR="00BD38C8">
        <w:rPr>
          <w:lang w:val="fr-CH"/>
        </w:rPr>
        <w:t xml:space="preserve"> du Conseil </w:t>
      </w:r>
      <w:r w:rsidR="00631F35">
        <w:rPr>
          <w:lang w:val="fr-CH"/>
        </w:rPr>
        <w:t>relative aux</w:t>
      </w:r>
      <w:bookmarkStart w:id="21" w:name="_Toc458425541"/>
      <w:bookmarkStart w:id="22" w:name="_Toc531076653"/>
      <w:bookmarkStart w:id="23" w:name="_Toc532830843"/>
      <w:bookmarkStart w:id="24" w:name="_Toc532831130"/>
      <w:r w:rsidR="00631F35">
        <w:rPr>
          <w:lang w:val="fr-CH"/>
        </w:rPr>
        <w:t xml:space="preserve"> l</w:t>
      </w:r>
      <w:r w:rsidRPr="00D8555F">
        <w:rPr>
          <w:lang w:val="fr-CH"/>
        </w:rPr>
        <w:t>ocaux du siège de l</w:t>
      </w:r>
      <w:r w:rsidR="007B6FBF">
        <w:rPr>
          <w:lang w:val="fr-CH"/>
        </w:rPr>
        <w:t>'</w:t>
      </w:r>
      <w:r w:rsidRPr="00D8555F">
        <w:rPr>
          <w:lang w:val="fr-CH"/>
        </w:rPr>
        <w:t>Union</w:t>
      </w:r>
      <w:bookmarkEnd w:id="21"/>
      <w:bookmarkEnd w:id="22"/>
      <w:bookmarkEnd w:id="23"/>
      <w:bookmarkEnd w:id="24"/>
      <w:r w:rsidR="001A0EEC" w:rsidRPr="00BE2909">
        <w:rPr>
          <w:lang w:val="fr-CH"/>
        </w:rPr>
        <w:t>,</w:t>
      </w:r>
    </w:p>
    <w:p w:rsidR="00BE2909" w:rsidRPr="0002206A" w:rsidRDefault="00BE2909" w:rsidP="0010443D">
      <w:pPr>
        <w:pStyle w:val="Call"/>
        <w:rPr>
          <w:lang w:val="fr-CH"/>
        </w:rPr>
      </w:pPr>
      <w:r w:rsidRPr="0002206A">
        <w:rPr>
          <w:lang w:val="fr-CH"/>
        </w:rPr>
        <w:t xml:space="preserve">rappelant </w:t>
      </w:r>
      <w:r w:rsidR="00631F35">
        <w:rPr>
          <w:lang w:val="fr-CH"/>
        </w:rPr>
        <w:t>ses</w:t>
      </w:r>
      <w:r w:rsidRPr="0002206A">
        <w:rPr>
          <w:lang w:val="fr-CH"/>
        </w:rPr>
        <w:t xml:space="preserve"> décision</w:t>
      </w:r>
      <w:r w:rsidR="00631F35">
        <w:rPr>
          <w:lang w:val="fr-CH"/>
        </w:rPr>
        <w:t>s concernant</w:t>
      </w:r>
    </w:p>
    <w:p w:rsidR="001A0EEC" w:rsidRPr="00BE2909" w:rsidRDefault="00BE2909" w:rsidP="0010443D">
      <w:pPr>
        <w:rPr>
          <w:rFonts w:cstheme="minorHAnsi"/>
          <w:szCs w:val="24"/>
          <w:lang w:val="fr-CH"/>
        </w:rPr>
      </w:pPr>
      <w:r>
        <w:rPr>
          <w:lang w:val="fr-CH"/>
        </w:rPr>
        <w:t>le Groupe de travail du Conseil sur les locaux du siège (GTC-HQP)</w:t>
      </w:r>
      <w:r w:rsidR="001A0EEC" w:rsidRPr="00BE2909">
        <w:rPr>
          <w:rFonts w:cstheme="minorHAnsi"/>
          <w:szCs w:val="24"/>
          <w:lang w:val="fr-CH"/>
        </w:rPr>
        <w:t>;</w:t>
      </w:r>
    </w:p>
    <w:p w:rsidR="001A0EEC" w:rsidRPr="00631F35" w:rsidRDefault="00631F35" w:rsidP="0010443D">
      <w:r w:rsidRPr="00631F35">
        <w:t xml:space="preserve">le Groupe consultatif </w:t>
      </w:r>
      <w:r w:rsidRPr="008E18EB">
        <w:rPr>
          <w:lang w:val="fr-CH"/>
        </w:rPr>
        <w:t>d</w:t>
      </w:r>
      <w:r w:rsidR="007B6FBF">
        <w:rPr>
          <w:lang w:val="fr-CH"/>
        </w:rPr>
        <w:t>'</w:t>
      </w:r>
      <w:r w:rsidR="00157C10" w:rsidRPr="008E18EB">
        <w:rPr>
          <w:lang w:val="fr-CH"/>
        </w:rPr>
        <w:t>États</w:t>
      </w:r>
      <w:r w:rsidRPr="00631F35">
        <w:t xml:space="preserve"> Membres</w:t>
      </w:r>
      <w:r w:rsidR="001A0EEC" w:rsidRPr="00631F35">
        <w:t>,</w:t>
      </w:r>
    </w:p>
    <w:p w:rsidR="00BE2909" w:rsidRPr="00846304" w:rsidRDefault="00BE2909" w:rsidP="00C464F7">
      <w:pPr>
        <w:pStyle w:val="Call"/>
        <w:rPr>
          <w:lang w:val="fr-CH"/>
        </w:rPr>
      </w:pPr>
      <w:r w:rsidRPr="00846304">
        <w:rPr>
          <w:lang w:val="fr-CH"/>
        </w:rPr>
        <w:lastRenderedPageBreak/>
        <w:t>ayant tenu compte</w:t>
      </w:r>
    </w:p>
    <w:p w:rsidR="00484286" w:rsidRDefault="00BE2909" w:rsidP="0010443D">
      <w:pPr>
        <w:rPr>
          <w:rFonts w:cstheme="minorHAnsi"/>
          <w:szCs w:val="24"/>
          <w:lang w:val="fr-CH"/>
        </w:rPr>
      </w:pPr>
      <w:r>
        <w:rPr>
          <w:lang w:val="fr-CH"/>
        </w:rPr>
        <w:t>du rapport final du GTC-HQP et approuvé ses conclusions et recommandations finales</w:t>
      </w:r>
      <w:r w:rsidR="001A0EEC" w:rsidRPr="00BE2909">
        <w:rPr>
          <w:rFonts w:cstheme="minorHAnsi"/>
          <w:szCs w:val="24"/>
          <w:lang w:val="fr-CH"/>
        </w:rPr>
        <w:t xml:space="preserve"> (</w:t>
      </w:r>
      <w:hyperlink r:id="rId14" w:history="1">
        <w:r w:rsidR="001A0EEC" w:rsidRPr="00BE2909">
          <w:rPr>
            <w:rStyle w:val="Hyperlink"/>
            <w:rFonts w:cstheme="minorHAnsi"/>
            <w:szCs w:val="24"/>
            <w:lang w:val="fr-CH"/>
          </w:rPr>
          <w:t>Document C16/7</w:t>
        </w:r>
      </w:hyperlink>
      <w:r w:rsidR="001A0EEC" w:rsidRPr="00BE2909">
        <w:rPr>
          <w:rFonts w:cstheme="minorHAnsi"/>
          <w:szCs w:val="24"/>
          <w:lang w:val="fr-CH"/>
        </w:rPr>
        <w:t>);</w:t>
      </w:r>
    </w:p>
    <w:p w:rsidR="001A0EEC" w:rsidRPr="00484286" w:rsidRDefault="00BD38C8" w:rsidP="0010443D">
      <w:pPr>
        <w:rPr>
          <w:rFonts w:cstheme="minorHAnsi"/>
          <w:szCs w:val="24"/>
          <w:lang w:val="fr-CH"/>
        </w:rPr>
      </w:pPr>
      <w:r>
        <w:rPr>
          <w:rFonts w:cstheme="minorHAnsi"/>
          <w:szCs w:val="24"/>
          <w:lang w:val="fr-CH"/>
        </w:rPr>
        <w:t>des</w:t>
      </w:r>
      <w:r w:rsidR="00484286" w:rsidRPr="00484286">
        <w:rPr>
          <w:rFonts w:cstheme="minorHAnsi"/>
          <w:szCs w:val="24"/>
          <w:lang w:val="fr-CH"/>
        </w:rPr>
        <w:t xml:space="preserve"> rapports</w:t>
      </w:r>
      <w:r>
        <w:rPr>
          <w:rFonts w:cstheme="minorHAnsi"/>
          <w:szCs w:val="24"/>
          <w:lang w:val="fr-CH"/>
        </w:rPr>
        <w:t xml:space="preserve"> qui lui ont été </w:t>
      </w:r>
      <w:r w:rsidRPr="008E18EB">
        <w:rPr>
          <w:lang w:val="fr-CH"/>
        </w:rPr>
        <w:t>soumis</w:t>
      </w:r>
      <w:r>
        <w:rPr>
          <w:rFonts w:cstheme="minorHAnsi"/>
          <w:szCs w:val="24"/>
          <w:lang w:val="fr-CH"/>
        </w:rPr>
        <w:t xml:space="preserve"> par le Secrétaire général au sujet de</w:t>
      </w:r>
      <w:r w:rsidR="00484286" w:rsidRPr="00484286">
        <w:rPr>
          <w:rFonts w:cstheme="minorHAnsi"/>
          <w:szCs w:val="24"/>
          <w:lang w:val="fr-CH"/>
        </w:rPr>
        <w:t xml:space="preserve"> l</w:t>
      </w:r>
      <w:r w:rsidR="007B6FBF">
        <w:rPr>
          <w:rFonts w:cstheme="minorHAnsi"/>
          <w:szCs w:val="24"/>
          <w:lang w:val="fr-CH"/>
        </w:rPr>
        <w:t>'</w:t>
      </w:r>
      <w:r w:rsidR="00484286" w:rsidRPr="00484286">
        <w:rPr>
          <w:rFonts w:cstheme="minorHAnsi"/>
          <w:szCs w:val="24"/>
          <w:lang w:val="fr-CH"/>
        </w:rPr>
        <w:t>état d</w:t>
      </w:r>
      <w:r w:rsidR="007B6FBF">
        <w:rPr>
          <w:rFonts w:cstheme="minorHAnsi"/>
          <w:szCs w:val="24"/>
          <w:lang w:val="fr-CH"/>
        </w:rPr>
        <w:t>'</w:t>
      </w:r>
      <w:r w:rsidR="00484286" w:rsidRPr="00484286">
        <w:rPr>
          <w:rFonts w:cstheme="minorHAnsi"/>
          <w:szCs w:val="24"/>
          <w:lang w:val="fr-CH"/>
        </w:rPr>
        <w:t xml:space="preserve">avancement des travaux concernant le projet de nouveau </w:t>
      </w:r>
      <w:r w:rsidR="00484286">
        <w:rPr>
          <w:rFonts w:cstheme="minorHAnsi"/>
          <w:szCs w:val="24"/>
          <w:lang w:val="fr-CH"/>
        </w:rPr>
        <w:t>b</w:t>
      </w:r>
      <w:r>
        <w:rPr>
          <w:rFonts w:cstheme="minorHAnsi"/>
          <w:szCs w:val="24"/>
          <w:lang w:val="fr-CH"/>
        </w:rPr>
        <w:t>âtiment du siège de l</w:t>
      </w:r>
      <w:r w:rsidR="007B6FBF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 xml:space="preserve">UIT, rapports qui figurent </w:t>
      </w:r>
      <w:r w:rsidR="00484286">
        <w:rPr>
          <w:rFonts w:cstheme="minorHAnsi"/>
          <w:szCs w:val="24"/>
          <w:lang w:val="fr-CH"/>
        </w:rPr>
        <w:t>dans les Documents</w:t>
      </w:r>
      <w:r w:rsidR="001A0EEC" w:rsidRPr="00484286">
        <w:rPr>
          <w:lang w:val="fr-CH"/>
        </w:rPr>
        <w:t xml:space="preserve"> C17/99, C17/67, </w:t>
      </w:r>
      <w:r w:rsidR="001A0EEC">
        <w:rPr>
          <w:lang w:val="ru-RU"/>
        </w:rPr>
        <w:t>С</w:t>
      </w:r>
      <w:r w:rsidR="001A0EEC" w:rsidRPr="00484286">
        <w:rPr>
          <w:lang w:val="fr-CH"/>
        </w:rPr>
        <w:t xml:space="preserve">18/47, </w:t>
      </w:r>
      <w:r w:rsidR="001A0EEC">
        <w:rPr>
          <w:lang w:val="ru-RU"/>
        </w:rPr>
        <w:t>С</w:t>
      </w:r>
      <w:r w:rsidR="001A0EEC" w:rsidRPr="00484286">
        <w:rPr>
          <w:lang w:val="fr-CH"/>
        </w:rPr>
        <w:t xml:space="preserve">18/48, C18/123 </w:t>
      </w:r>
      <w:r w:rsidR="00484286">
        <w:rPr>
          <w:lang w:val="fr-CH"/>
        </w:rPr>
        <w:t>et</w:t>
      </w:r>
      <w:r w:rsidR="001A0EEC" w:rsidRPr="00484286">
        <w:rPr>
          <w:lang w:val="fr-CH"/>
        </w:rPr>
        <w:t xml:space="preserve"> C18/123(Add.1),</w:t>
      </w:r>
    </w:p>
    <w:p w:rsidR="00BE2909" w:rsidRPr="00846304" w:rsidRDefault="00BE2909" w:rsidP="00C464F7">
      <w:pPr>
        <w:pStyle w:val="Call"/>
        <w:rPr>
          <w:lang w:val="fr-CH"/>
        </w:rPr>
      </w:pPr>
      <w:r w:rsidRPr="00846304">
        <w:rPr>
          <w:lang w:val="fr-CH"/>
        </w:rPr>
        <w:t>accueillant avec satisfaction</w:t>
      </w:r>
    </w:p>
    <w:p w:rsidR="001A0EEC" w:rsidRPr="00BE2909" w:rsidRDefault="00BE2909" w:rsidP="0010443D">
      <w:pPr>
        <w:rPr>
          <w:lang w:val="fr-CH"/>
        </w:rPr>
      </w:pPr>
      <w:r>
        <w:rPr>
          <w:lang w:val="fr-CH"/>
        </w:rPr>
        <w:t>l</w:t>
      </w:r>
      <w:r w:rsidR="007B6FBF">
        <w:rPr>
          <w:lang w:val="fr-CH"/>
        </w:rPr>
        <w:t>'</w:t>
      </w:r>
      <w:r>
        <w:rPr>
          <w:lang w:val="fr-CH"/>
        </w:rPr>
        <w:t>offre du pays hôte qui propose un prêt sans intérêt à hauteur de 150 millions CHF pour la construction du nouveau bâtiment Varembé et d</w:t>
      </w:r>
      <w:r w:rsidR="007B6FBF">
        <w:rPr>
          <w:lang w:val="fr-CH"/>
        </w:rPr>
        <w:t>'</w:t>
      </w:r>
      <w:r>
        <w:rPr>
          <w:lang w:val="fr-CH"/>
        </w:rPr>
        <w:t>un passage le reliant au bâtiment Montbrillant</w:t>
      </w:r>
      <w:r w:rsidR="001A0EEC" w:rsidRPr="00BE2909">
        <w:rPr>
          <w:lang w:val="fr-CH"/>
        </w:rPr>
        <w:t>;</w:t>
      </w:r>
    </w:p>
    <w:p w:rsidR="001A0EEC" w:rsidRPr="00484286" w:rsidRDefault="00484286" w:rsidP="0010443D">
      <w:r w:rsidRPr="00484286">
        <w:t xml:space="preserve">les parrainages de </w:t>
      </w:r>
      <w:r w:rsidRPr="008E18EB">
        <w:rPr>
          <w:lang w:val="fr-CH"/>
        </w:rPr>
        <w:t>l</w:t>
      </w:r>
      <w:r w:rsidR="007B6FBF">
        <w:rPr>
          <w:lang w:val="fr-CH"/>
        </w:rPr>
        <w:t>'</w:t>
      </w:r>
      <w:r w:rsidRPr="008E18EB">
        <w:rPr>
          <w:lang w:val="fr-CH"/>
        </w:rPr>
        <w:t>Arabie</w:t>
      </w:r>
      <w:r w:rsidRPr="00484286">
        <w:t xml:space="preserve"> </w:t>
      </w:r>
      <w:r w:rsidRPr="0010443D">
        <w:rPr>
          <w:lang w:val="fr-CH"/>
        </w:rPr>
        <w:t>Saoudite</w:t>
      </w:r>
      <w:r w:rsidRPr="00484286">
        <w:t xml:space="preserve">, des </w:t>
      </w:r>
      <w:r>
        <w:t>Émirats arabes unis et de la République tchèque, qui ont respectivement versé 10 millions CHF, 5 millions CHF et 100 000 USD</w:t>
      </w:r>
      <w:r w:rsidR="001A0EEC" w:rsidRPr="00484286">
        <w:t>,</w:t>
      </w:r>
    </w:p>
    <w:p w:rsidR="00661A86" w:rsidRDefault="00661A86" w:rsidP="00C464F7">
      <w:pPr>
        <w:pStyle w:val="Call"/>
      </w:pPr>
      <w:r>
        <w:br w:type="page"/>
      </w:r>
    </w:p>
    <w:p w:rsidR="001A0EEC" w:rsidRPr="008E18EB" w:rsidRDefault="00BE2909" w:rsidP="00C464F7">
      <w:pPr>
        <w:pStyle w:val="Call"/>
        <w:rPr>
          <w:i w:val="0"/>
        </w:rPr>
      </w:pPr>
      <w:r w:rsidRPr="008E18EB">
        <w:lastRenderedPageBreak/>
        <w:t>notant</w:t>
      </w:r>
    </w:p>
    <w:p w:rsidR="001A0EEC" w:rsidRPr="00484286" w:rsidRDefault="00484286" w:rsidP="0010443D">
      <w:r w:rsidRPr="00484286">
        <w:t xml:space="preserve">les </w:t>
      </w:r>
      <w:r>
        <w:t>nombreuses</w:t>
      </w:r>
      <w:r w:rsidRPr="00484286">
        <w:t xml:space="preserve"> </w:t>
      </w:r>
      <w:r w:rsidRPr="008E18EB">
        <w:rPr>
          <w:lang w:val="fr-CH"/>
        </w:rPr>
        <w:t>contributions</w:t>
      </w:r>
      <w:r w:rsidRPr="00484286">
        <w:t xml:space="preserve"> apportées par certains </w:t>
      </w:r>
      <w:r w:rsidR="00157C10" w:rsidRPr="00484286">
        <w:t>État</w:t>
      </w:r>
      <w:r w:rsidR="00157C10">
        <w:t>s</w:t>
      </w:r>
      <w:r>
        <w:t xml:space="preserve"> Membres et Membres de Secteur au cours des dernières </w:t>
      </w:r>
      <w:r w:rsidRPr="0010443D">
        <w:rPr>
          <w:lang w:val="fr-CH"/>
        </w:rPr>
        <w:t>années</w:t>
      </w:r>
      <w:r>
        <w:t xml:space="preserve"> afin d</w:t>
      </w:r>
      <w:r w:rsidR="007B6FBF">
        <w:t>'</w:t>
      </w:r>
      <w:r>
        <w:t>aider l</w:t>
      </w:r>
      <w:r w:rsidR="007B6FBF">
        <w:t>'</w:t>
      </w:r>
      <w:r>
        <w:t xml:space="preserve">UIT à mener ses activités dans les bâtiments </w:t>
      </w:r>
      <w:r w:rsidR="00BD38C8">
        <w:t>actuels</w:t>
      </w:r>
      <w:r>
        <w:t xml:space="preserve"> de l</w:t>
      </w:r>
      <w:r w:rsidR="007B6FBF">
        <w:t>'</w:t>
      </w:r>
      <w:r>
        <w:t xml:space="preserve">Union, notamment dans le cadre de </w:t>
      </w:r>
      <w:r w:rsidR="00BD38C8">
        <w:t>parrainages</w:t>
      </w:r>
      <w:r>
        <w:t xml:space="preserve"> visant à améliorer le fonctionnem</w:t>
      </w:r>
      <w:r w:rsidR="0010443D">
        <w:t xml:space="preserve">ent et les </w:t>
      </w:r>
      <w:r>
        <w:t>équipement</w:t>
      </w:r>
      <w:r w:rsidR="0010443D">
        <w:t>s</w:t>
      </w:r>
      <w:r>
        <w:t xml:space="preserve"> des locaux et des salles de l</w:t>
      </w:r>
      <w:r w:rsidR="007B6FBF">
        <w:t>'</w:t>
      </w:r>
      <w:r>
        <w:t>Union</w:t>
      </w:r>
      <w:r w:rsidR="001A0EEC" w:rsidRPr="00484286">
        <w:t>;</w:t>
      </w:r>
    </w:p>
    <w:p w:rsidR="001A0EEC" w:rsidRPr="00C464F7" w:rsidRDefault="00484286" w:rsidP="00C464F7">
      <w:r w:rsidRPr="00484286">
        <w:t xml:space="preserve">le grand nombre de cadeaux </w:t>
      </w:r>
      <w:r w:rsidR="00157C10" w:rsidRPr="00484286">
        <w:t>commémoratifs</w:t>
      </w:r>
      <w:r w:rsidRPr="00484286">
        <w:t xml:space="preserve"> qui ont été offerts à l</w:t>
      </w:r>
      <w:r w:rsidR="007B6FBF">
        <w:t>'</w:t>
      </w:r>
      <w:r w:rsidRPr="00484286">
        <w:t>Union (</w:t>
      </w:r>
      <w:r w:rsidR="00157C10" w:rsidRPr="00484286">
        <w:t>œuvres</w:t>
      </w:r>
      <w:r w:rsidRPr="00484286">
        <w:t xml:space="preserve">, plaques commémoratives, bustes de </w:t>
      </w:r>
      <w:r>
        <w:t xml:space="preserve">personnalités historiques ayant contribué de manière significative au développement des télécommunications, objets culturels, etc.) par des </w:t>
      </w:r>
      <w:r w:rsidR="00157C10">
        <w:t>États</w:t>
      </w:r>
      <w:r>
        <w:t xml:space="preserve"> Membres et des Membres de </w:t>
      </w:r>
      <w:r w:rsidR="00157C10">
        <w:t>Secteur</w:t>
      </w:r>
      <w:r>
        <w:t>,</w:t>
      </w:r>
    </w:p>
    <w:p w:rsidR="001A0EEC" w:rsidRPr="00C464F7" w:rsidRDefault="00BE2909" w:rsidP="00C464F7">
      <w:pPr>
        <w:pStyle w:val="Call"/>
        <w:rPr>
          <w:i w:val="0"/>
        </w:rPr>
      </w:pPr>
      <w:r w:rsidRPr="00C464F7">
        <w:t>décide</w:t>
      </w:r>
    </w:p>
    <w:p w:rsidR="001A0EEC" w:rsidRPr="00BD38C8" w:rsidRDefault="001A0EEC" w:rsidP="00C464F7">
      <w:r w:rsidRPr="00484286">
        <w:t>1</w:t>
      </w:r>
      <w:r w:rsidRPr="00484286">
        <w:tab/>
      </w:r>
      <w:r w:rsidR="00484286" w:rsidRPr="00484286">
        <w:t xml:space="preserve">de réaffirmer la nécessité de préserver les contributions/dons reçus des </w:t>
      </w:r>
      <w:r w:rsidR="00157C10" w:rsidRPr="00484286">
        <w:t>États</w:t>
      </w:r>
      <w:r w:rsidR="00484286" w:rsidRPr="00484286">
        <w:t xml:space="preserve"> Membres et des Membres de Secteur au cours des dernières années</w:t>
      </w:r>
      <w:r w:rsidR="00484286">
        <w:t xml:space="preserve"> et de rechercher un </w:t>
      </w:r>
      <w:r w:rsidR="00BD38C8">
        <w:t>emplacement</w:t>
      </w:r>
      <w:r w:rsidR="00484286">
        <w:t xml:space="preserve"> approprié pour les conserver pendant les travaux visant à remplacer le bâtiment Varembé par le nouveau bâtiment, à agrandir et à réaménager le bâtiment Montbrillant et, à terme, à vendre la Tour;</w:t>
      </w:r>
    </w:p>
    <w:p w:rsidR="001A0EEC" w:rsidRPr="009A404F" w:rsidRDefault="001A0EEC" w:rsidP="00C464F7">
      <w:r w:rsidRPr="009A404F">
        <w:t>2</w:t>
      </w:r>
      <w:r w:rsidRPr="009A404F">
        <w:tab/>
      </w:r>
      <w:bookmarkStart w:id="25" w:name="lt_pId101"/>
      <w:r w:rsidR="009A404F" w:rsidRPr="009A404F">
        <w:t xml:space="preserve">de tenir compte de la nécessité de préserver les contributions/dons offerts par le passé par des </w:t>
      </w:r>
      <w:r w:rsidR="00157C10" w:rsidRPr="009A404F">
        <w:t>États</w:t>
      </w:r>
      <w:r w:rsidR="009A404F" w:rsidRPr="009A404F">
        <w:t xml:space="preserve"> Membres et des Membres de Secteur, et de prendre en considération la valeur de ces contributions/dons dans le cadre des consultations menées </w:t>
      </w:r>
      <w:r w:rsidR="00BD38C8">
        <w:t>auprès d</w:t>
      </w:r>
      <w:r w:rsidR="009A404F" w:rsidRPr="009A404F">
        <w:t>es membres de l</w:t>
      </w:r>
      <w:r w:rsidR="007B6FBF">
        <w:t>'</w:t>
      </w:r>
      <w:r w:rsidR="009A404F" w:rsidRPr="009A404F">
        <w:t>Union qui constituent des sponsors potentiels pour les différents éléments du nouveau b</w:t>
      </w:r>
      <w:r w:rsidR="009A404F">
        <w:t xml:space="preserve">âtiment, tels que les salles de conférence, les salles de réunion, </w:t>
      </w:r>
      <w:r w:rsidR="0010443D">
        <w:t xml:space="preserve">les </w:t>
      </w:r>
      <w:r w:rsidR="00BD38C8">
        <w:t>équipement</w:t>
      </w:r>
      <w:r w:rsidR="0010443D">
        <w:t>s</w:t>
      </w:r>
      <w:r w:rsidR="009A404F">
        <w:t xml:space="preserve"> et d</w:t>
      </w:r>
      <w:r w:rsidR="007B6FBF">
        <w:t>'</w:t>
      </w:r>
      <w:r w:rsidR="009A404F">
        <w:t>autres éléments</w:t>
      </w:r>
      <w:r w:rsidRPr="009A404F">
        <w:t>,</w:t>
      </w:r>
      <w:bookmarkEnd w:id="25"/>
    </w:p>
    <w:p w:rsidR="001A0EEC" w:rsidRPr="00C464F7" w:rsidRDefault="00BE2909" w:rsidP="00C464F7">
      <w:pPr>
        <w:pStyle w:val="Call"/>
        <w:rPr>
          <w:i w:val="0"/>
        </w:rPr>
      </w:pPr>
      <w:r w:rsidRPr="00C464F7">
        <w:t>charge le Secrétaire général</w:t>
      </w:r>
    </w:p>
    <w:p w:rsidR="001A0EEC" w:rsidRPr="004C5886" w:rsidRDefault="001A0EEC" w:rsidP="00C464F7">
      <w:r w:rsidRPr="004C5886">
        <w:t>1</w:t>
      </w:r>
      <w:r w:rsidRPr="004C5886">
        <w:tab/>
      </w:r>
      <w:r w:rsidR="004C5886" w:rsidRPr="004C5886">
        <w:t xml:space="preserve">de passer en revue tous les dons et les contributions des </w:t>
      </w:r>
      <w:r w:rsidR="00157C10" w:rsidRPr="004C5886">
        <w:t>États</w:t>
      </w:r>
      <w:r w:rsidR="004C5886" w:rsidRPr="004C5886">
        <w:t xml:space="preserve"> Membres et des Memb</w:t>
      </w:r>
      <w:r w:rsidR="004C5886">
        <w:t>res de Secteur qui se trouvent dans les locaux actuels de l</w:t>
      </w:r>
      <w:r w:rsidR="007B6FBF">
        <w:t>'</w:t>
      </w:r>
      <w:r w:rsidR="004C5886">
        <w:t>UIT;</w:t>
      </w:r>
    </w:p>
    <w:p w:rsidR="001A0EEC" w:rsidRPr="004C5886" w:rsidRDefault="001A0EEC" w:rsidP="00C464F7">
      <w:r w:rsidRPr="004C5886">
        <w:t>2</w:t>
      </w:r>
      <w:r w:rsidRPr="004C5886">
        <w:tab/>
      </w:r>
      <w:bookmarkStart w:id="26" w:name="lt_pId106"/>
      <w:r w:rsidR="004C5886" w:rsidRPr="004C5886">
        <w:t xml:space="preserve">de mener des consultations </w:t>
      </w:r>
      <w:r w:rsidR="00BD38C8">
        <w:t xml:space="preserve">auprès des </w:t>
      </w:r>
      <w:r w:rsidR="00157C10" w:rsidRPr="004C5886">
        <w:t>États</w:t>
      </w:r>
      <w:r w:rsidR="004C5886" w:rsidRPr="004C5886">
        <w:t xml:space="preserve"> Membres et </w:t>
      </w:r>
      <w:r w:rsidR="00BD38C8">
        <w:t>des</w:t>
      </w:r>
      <w:r w:rsidR="004C5886" w:rsidRPr="004C5886">
        <w:t xml:space="preserve"> Membres de Secteur au sujet de leurs contributions/dons se trouvant </w:t>
      </w:r>
      <w:r w:rsidR="004C5886" w:rsidRPr="004C5886">
        <w:lastRenderedPageBreak/>
        <w:t xml:space="preserve">dans les </w:t>
      </w:r>
      <w:r w:rsidR="004C5886">
        <w:t>locaux actuels de l</w:t>
      </w:r>
      <w:r w:rsidR="007B6FBF">
        <w:t>'</w:t>
      </w:r>
      <w:r w:rsidR="004C5886">
        <w:t xml:space="preserve">UIT, et de rechercher un </w:t>
      </w:r>
      <w:r w:rsidR="00BD38C8">
        <w:t>emplacement</w:t>
      </w:r>
      <w:r w:rsidR="004C5886">
        <w:t xml:space="preserve"> approprié pour ces contributions/dons dans les nouveaux locaux de l</w:t>
      </w:r>
      <w:r w:rsidR="007B6FBF">
        <w:t>'</w:t>
      </w:r>
      <w:r w:rsidR="004C5886">
        <w:t>U</w:t>
      </w:r>
      <w:bookmarkEnd w:id="26"/>
      <w:r w:rsidR="004C5886">
        <w:t>nion;</w:t>
      </w:r>
    </w:p>
    <w:p w:rsidR="001A0EEC" w:rsidRPr="004C5886" w:rsidRDefault="001A0EEC" w:rsidP="0010443D">
      <w:r w:rsidRPr="004C5886">
        <w:t>3</w:t>
      </w:r>
      <w:r w:rsidRPr="004C5886">
        <w:tab/>
      </w:r>
      <w:bookmarkStart w:id="27" w:name="lt_pId108"/>
      <w:r w:rsidR="004C5886" w:rsidRPr="004C5886">
        <w:t xml:space="preserve">de </w:t>
      </w:r>
      <w:r w:rsidR="004C5886">
        <w:t>présenter</w:t>
      </w:r>
      <w:r w:rsidR="004C5886" w:rsidRPr="004C5886">
        <w:t xml:space="preserve"> des informations détaillées </w:t>
      </w:r>
      <w:r w:rsidR="0010443D">
        <w:t xml:space="preserve">sur les </w:t>
      </w:r>
      <w:r w:rsidR="004C5886" w:rsidRPr="004C5886">
        <w:t xml:space="preserve">contributions et </w:t>
      </w:r>
      <w:r w:rsidR="0010443D">
        <w:t xml:space="preserve">les </w:t>
      </w:r>
      <w:r w:rsidR="004C5886" w:rsidRPr="004C5886">
        <w:t>dons qui ont été reçu</w:t>
      </w:r>
      <w:r w:rsidR="003371B1">
        <w:t>s</w:t>
      </w:r>
      <w:r w:rsidR="004C5886" w:rsidRPr="004C5886">
        <w:t xml:space="preserve"> des </w:t>
      </w:r>
      <w:r w:rsidR="00157C10" w:rsidRPr="004C5886">
        <w:t>États</w:t>
      </w:r>
      <w:r w:rsidR="004C5886" w:rsidRPr="004C5886">
        <w:t xml:space="preserve"> Membres et des Membres de Secteur et qui se trouvent dans les locaux de l</w:t>
      </w:r>
      <w:r w:rsidR="007B6FBF">
        <w:t>'</w:t>
      </w:r>
      <w:r w:rsidR="004C5886" w:rsidRPr="004C5886">
        <w:t xml:space="preserve">UIT, ainsi que sur les résultats des consultations menées avec les </w:t>
      </w:r>
      <w:r w:rsidR="00157C10" w:rsidRPr="004C5886">
        <w:t>États</w:t>
      </w:r>
      <w:r w:rsidR="004C5886" w:rsidRPr="004C5886">
        <w:t xml:space="preserve"> Membres et les Membres de Secteur concernés au sujet de </w:t>
      </w:r>
      <w:r w:rsidR="004C5886">
        <w:t>ce qu</w:t>
      </w:r>
      <w:r w:rsidR="007B6FBF">
        <w:t>'</w:t>
      </w:r>
      <w:r w:rsidR="004C5886">
        <w:t>il adviendra de ces contributions/dons après l</w:t>
      </w:r>
      <w:r w:rsidR="007B6FBF">
        <w:t>'</w:t>
      </w:r>
      <w:r w:rsidR="004C5886">
        <w:t>achèvement et la réception du nouveau bâtiment du siège de l</w:t>
      </w:r>
      <w:r w:rsidR="007B6FBF">
        <w:t>'</w:t>
      </w:r>
      <w:r w:rsidR="004C5886">
        <w:t>UIT, dans le cadre d</w:t>
      </w:r>
      <w:r w:rsidR="007B6FBF">
        <w:t>'</w:t>
      </w:r>
      <w:r w:rsidR="004C5886">
        <w:t>un rapport qui sera soumis au Conseil en 2020</w:t>
      </w:r>
      <w:r w:rsidRPr="004C5886">
        <w:t>;</w:t>
      </w:r>
      <w:bookmarkEnd w:id="27"/>
    </w:p>
    <w:p w:rsidR="001A0EEC" w:rsidRPr="00BE2909" w:rsidRDefault="001A0EEC" w:rsidP="00C464F7">
      <w:pPr>
        <w:rPr>
          <w:lang w:val="fr-CH"/>
        </w:rPr>
      </w:pPr>
      <w:r w:rsidRPr="00BE2909">
        <w:rPr>
          <w:lang w:val="fr-CH"/>
        </w:rPr>
        <w:t>4</w:t>
      </w:r>
      <w:r w:rsidRPr="00BE2909">
        <w:rPr>
          <w:lang w:val="fr-CH"/>
        </w:rPr>
        <w:tab/>
      </w:r>
      <w:r w:rsidR="004C5886">
        <w:rPr>
          <w:lang w:val="fr-CH"/>
        </w:rPr>
        <w:t xml:space="preserve">de tenir compte des contributions existantes des </w:t>
      </w:r>
      <w:r w:rsidR="00157C10">
        <w:rPr>
          <w:lang w:val="fr-CH"/>
        </w:rPr>
        <w:t>États</w:t>
      </w:r>
      <w:r w:rsidR="004C5886">
        <w:rPr>
          <w:lang w:val="fr-CH"/>
        </w:rPr>
        <w:t xml:space="preserve"> Membres et des Membres de Secteur et de la nécessité de les préserver ou de re</w:t>
      </w:r>
      <w:r w:rsidR="00157C10">
        <w:rPr>
          <w:lang w:val="fr-CH"/>
        </w:rPr>
        <w:t xml:space="preserve">chercher un </w:t>
      </w:r>
      <w:r w:rsidR="00BD38C8">
        <w:rPr>
          <w:lang w:val="fr-CH"/>
        </w:rPr>
        <w:t>emplacement</w:t>
      </w:r>
      <w:r w:rsidR="00157C10">
        <w:rPr>
          <w:lang w:val="fr-CH"/>
        </w:rPr>
        <w:t xml:space="preserve"> approprié pour ces contributions dans le cadre de la </w:t>
      </w:r>
      <w:r w:rsidR="00BE2909" w:rsidRPr="0002206A">
        <w:rPr>
          <w:lang w:val="fr-CH"/>
        </w:rPr>
        <w:t>campagne</w:t>
      </w:r>
      <w:r w:rsidR="00157C10">
        <w:rPr>
          <w:lang w:val="fr-CH"/>
        </w:rPr>
        <w:t xml:space="preserve"> faite</w:t>
      </w:r>
      <w:r w:rsidR="00BE2909" w:rsidRPr="0002206A">
        <w:rPr>
          <w:lang w:val="fr-CH"/>
        </w:rPr>
        <w:t xml:space="preserve"> auprès des </w:t>
      </w:r>
      <w:r w:rsidR="00157C10" w:rsidRPr="0002206A">
        <w:rPr>
          <w:lang w:val="fr-CH"/>
        </w:rPr>
        <w:t>États</w:t>
      </w:r>
      <w:r w:rsidR="00BE2909" w:rsidRPr="0002206A">
        <w:rPr>
          <w:lang w:val="fr-CH"/>
        </w:rPr>
        <w:t xml:space="preserve"> Membres, des Membres de</w:t>
      </w:r>
      <w:r w:rsidR="003371B1">
        <w:rPr>
          <w:lang w:val="fr-CH"/>
        </w:rPr>
        <w:t xml:space="preserve"> Secteur</w:t>
      </w:r>
      <w:r w:rsidR="00BE2909" w:rsidRPr="0002206A">
        <w:rPr>
          <w:lang w:val="fr-CH"/>
        </w:rPr>
        <w:t xml:space="preserve"> et des Associés pour leur demander de contribuer à financer certains éléments du projet (par exemple, salles, mobilier, Musée </w:t>
      </w:r>
      <w:r w:rsidR="00157C10">
        <w:rPr>
          <w:lang w:val="fr-CH"/>
        </w:rPr>
        <w:t>"À</w:t>
      </w:r>
      <w:r w:rsidR="00BE2909" w:rsidRPr="0002206A">
        <w:rPr>
          <w:lang w:val="fr-CH"/>
        </w:rPr>
        <w:t xml:space="preserve"> la découverte des TIC</w:t>
      </w:r>
      <w:r w:rsidR="00157C10">
        <w:rPr>
          <w:lang w:val="fr-CH"/>
        </w:rPr>
        <w:t>"</w:t>
      </w:r>
      <w:r w:rsidR="00BE2909" w:rsidRPr="0002206A">
        <w:rPr>
          <w:lang w:val="fr-CH"/>
        </w:rPr>
        <w:t xml:space="preserve"> ou décoration)</w:t>
      </w:r>
      <w:r w:rsidRPr="00BE2909">
        <w:rPr>
          <w:lang w:val="fr-CH"/>
        </w:rPr>
        <w:t>.</w:t>
      </w:r>
    </w:p>
    <w:p w:rsidR="001A0EEC" w:rsidRPr="00BE2909" w:rsidRDefault="001A0EEC" w:rsidP="00880AC5">
      <w:pPr>
        <w:rPr>
          <w:lang w:val="fr-CH"/>
        </w:rPr>
      </w:pPr>
    </w:p>
    <w:p w:rsidR="00AD373D" w:rsidRDefault="00AD373D" w:rsidP="00C464F7">
      <w:pPr>
        <w:jc w:val="center"/>
      </w:pPr>
      <w:r>
        <w:t>______________</w:t>
      </w:r>
    </w:p>
    <w:sectPr w:rsidR="00AD373D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30" w:rsidRDefault="00EA6430">
      <w:r>
        <w:separator/>
      </w:r>
    </w:p>
  </w:endnote>
  <w:endnote w:type="continuationSeparator" w:id="0">
    <w:p w:rsidR="00EA6430" w:rsidRDefault="00EA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D38C8" w:rsidRDefault="00174A18">
    <w:pPr>
      <w:pStyle w:val="Footer"/>
      <w:rPr>
        <w:lang w:val="en-US"/>
      </w:rPr>
    </w:pPr>
    <w:r>
      <w:fldChar w:fldCharType="begin"/>
    </w:r>
    <w:r w:rsidRPr="00BD38C8">
      <w:rPr>
        <w:lang w:val="en-US"/>
      </w:rPr>
      <w:instrText xml:space="preserve"> FILENAME \p \* MERGEFORMAT </w:instrText>
    </w:r>
    <w:r>
      <w:fldChar w:fldCharType="separate"/>
    </w:r>
    <w:r w:rsidR="00C60FC3">
      <w:rPr>
        <w:lang w:val="en-US"/>
      </w:rPr>
      <w:t>P:\SPM\GBS\c19\Doc\reftext\076V2F.DOCX</w:t>
    </w:r>
    <w:r>
      <w:fldChar w:fldCharType="end"/>
    </w:r>
    <w:r w:rsidR="00732045" w:rsidRPr="00BD38C8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60FC3">
      <w:t>11.06.19</w:t>
    </w:r>
    <w:r w:rsidR="002F1B76">
      <w:fldChar w:fldCharType="end"/>
    </w:r>
    <w:r w:rsidR="00732045" w:rsidRPr="00BD38C8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60FC3">
      <w:t>11.06.19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60FC3" w:rsidRDefault="00174A18" w:rsidP="00C464F7">
    <w:pPr>
      <w:pStyle w:val="Footer"/>
      <w:rPr>
        <w:lang w:val="en-GB"/>
      </w:rPr>
    </w:pPr>
    <w:r>
      <w:fldChar w:fldCharType="begin"/>
    </w:r>
    <w:r w:rsidRPr="00C60FC3">
      <w:rPr>
        <w:lang w:val="en-GB"/>
      </w:rPr>
      <w:instrText xml:space="preserve"> FILENAME \p \* MERGEFORMAT </w:instrText>
    </w:r>
    <w:r>
      <w:fldChar w:fldCharType="separate"/>
    </w:r>
    <w:r w:rsidR="00C60FC3" w:rsidRPr="00C60FC3">
      <w:rPr>
        <w:lang w:val="en-GB"/>
      </w:rPr>
      <w:t>P:\SPM\GBS\c19\Doc\reftext\076V2F.DOCX</w:t>
    </w:r>
    <w:r>
      <w:fldChar w:fldCharType="end"/>
    </w:r>
    <w:r w:rsidR="00AD373D" w:rsidRPr="00C60FC3">
      <w:rPr>
        <w:lang w:val="en-GB"/>
      </w:rPr>
      <w:t xml:space="preserve"> (456033)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C464F7" w:rsidRDefault="00732045" w:rsidP="00C464F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30" w:rsidRDefault="00EA6430">
      <w:r>
        <w:t>____________________</w:t>
      </w:r>
    </w:p>
  </w:footnote>
  <w:footnote w:type="continuationSeparator" w:id="0">
    <w:p w:rsidR="00EA6430" w:rsidRDefault="00EA6430">
      <w:r>
        <w:continuationSeparator/>
      </w:r>
    </w:p>
  </w:footnote>
  <w:footnote w:id="1">
    <w:p w:rsidR="00C464F7" w:rsidRPr="00C464F7" w:rsidRDefault="00C464F7">
      <w:pPr>
        <w:pStyle w:val="FootnoteText"/>
        <w:rPr>
          <w:spacing w:val="-2"/>
        </w:rPr>
      </w:pPr>
      <w:r>
        <w:rPr>
          <w:rStyle w:val="FootnoteReference"/>
        </w:rPr>
        <w:footnoteRef/>
      </w:r>
      <w:r>
        <w:tab/>
      </w:r>
      <w:r w:rsidRPr="00C464F7">
        <w:rPr>
          <w:spacing w:val="-2"/>
        </w:rPr>
        <w:t>Dons – cadeaux commémoratifs; appui technique et financier dans le cadre d</w:t>
      </w:r>
      <w:r w:rsidR="007B6FBF">
        <w:rPr>
          <w:spacing w:val="-2"/>
        </w:rPr>
        <w:t>'</w:t>
      </w:r>
      <w:r w:rsidRPr="00C464F7">
        <w:rPr>
          <w:spacing w:val="-2"/>
        </w:rPr>
        <w:t>un parrainage; objets ayant une valeur culturelle ou historique, notamment les œuvres, bustes de scientifiques éminents dans le domaine des télécommunications, plaques, exemples d</w:t>
      </w:r>
      <w:r w:rsidR="007B6FBF">
        <w:rPr>
          <w:spacing w:val="-2"/>
        </w:rPr>
        <w:t>'</w:t>
      </w:r>
      <w:r w:rsidRPr="00C464F7">
        <w:rPr>
          <w:spacing w:val="-2"/>
        </w:rPr>
        <w:t>équipements de télécommunication exposés (par exemple Musée "À la découverte des TIC"); noms de salles, etc.</w:t>
      </w:r>
    </w:p>
  </w:footnote>
  <w:footnote w:id="2">
    <w:p w:rsidR="00C464F7" w:rsidRPr="00C464F7" w:rsidRDefault="00C464F7">
      <w:pPr>
        <w:pStyle w:val="FootnoteText"/>
        <w:rPr>
          <w:spacing w:val="-2"/>
        </w:rPr>
      </w:pPr>
      <w:r>
        <w:rPr>
          <w:rStyle w:val="FootnoteReference"/>
        </w:rPr>
        <w:footnoteRef/>
      </w:r>
      <w:r>
        <w:tab/>
      </w:r>
      <w:r w:rsidRPr="00C464F7">
        <w:rPr>
          <w:spacing w:val="-2"/>
        </w:rPr>
        <w:t>Dons – cadeaux commémoratifs; appui technique et financier dans le cadre d</w:t>
      </w:r>
      <w:r w:rsidR="007B6FBF">
        <w:rPr>
          <w:spacing w:val="-2"/>
        </w:rPr>
        <w:t>'</w:t>
      </w:r>
      <w:r w:rsidRPr="00C464F7">
        <w:rPr>
          <w:spacing w:val="-2"/>
        </w:rPr>
        <w:t>un parrainage; objets ayant une valeur culturelle ou historique, notamment les œuvres, bustes de scientifiques éminents dans le domaine des télécommunications, plaques, exemples d</w:t>
      </w:r>
      <w:r w:rsidR="007B6FBF">
        <w:rPr>
          <w:spacing w:val="-2"/>
        </w:rPr>
        <w:t>'</w:t>
      </w:r>
      <w:r w:rsidRPr="00C464F7">
        <w:rPr>
          <w:spacing w:val="-2"/>
        </w:rPr>
        <w:t>équipements de télécommunication exposés (par exemple Musée "À la découverte des TIC"); noms de salles, etc.</w:t>
      </w:r>
    </w:p>
  </w:footnote>
  <w:footnote w:id="3">
    <w:p w:rsidR="00631F35" w:rsidRPr="00631F35" w:rsidRDefault="00631F35" w:rsidP="008E18EB">
      <w:pPr>
        <w:pStyle w:val="FootnoteText"/>
      </w:pPr>
      <w:r w:rsidRPr="00BD4523">
        <w:rPr>
          <w:rStyle w:val="FootnoteReference"/>
        </w:rPr>
        <w:footnoteRef/>
      </w:r>
      <w:r w:rsidRPr="00631F35">
        <w:tab/>
      </w:r>
      <w:r w:rsidRPr="00E7201A">
        <w:t>Dons – cadeaux commémoratifs; appui technique et financier dans le cadre d</w:t>
      </w:r>
      <w:r w:rsidR="007B6FBF">
        <w:t>'</w:t>
      </w:r>
      <w:r w:rsidRPr="00E7201A">
        <w:t>un parrainage; objets ayant une valeur culturelle ou historique, notamment les œuvres, bustes de scientifiques éminents dans le domaine des télécommunications, plaques, exemples d</w:t>
      </w:r>
      <w:r w:rsidR="007B6FBF">
        <w:t>'</w:t>
      </w:r>
      <w:r w:rsidRPr="00E7201A">
        <w:t>équipements de télécommunication exposés (</w:t>
      </w:r>
      <w:r>
        <w:t>par exemple Musée "À la découverte des TIC</w:t>
      </w:r>
      <w:r w:rsidR="00BD38C8">
        <w:t>"</w:t>
      </w:r>
      <w:r>
        <w:t>)</w:t>
      </w:r>
      <w:r w:rsidRPr="00631F3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60FC3">
      <w:rPr>
        <w:noProof/>
      </w:rPr>
      <w:t>3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AD373D">
      <w:t>/76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0"/>
    <w:rsid w:val="000B67BB"/>
    <w:rsid w:val="000D0D0A"/>
    <w:rsid w:val="00103163"/>
    <w:rsid w:val="0010443D"/>
    <w:rsid w:val="00106B19"/>
    <w:rsid w:val="00115D93"/>
    <w:rsid w:val="001247A8"/>
    <w:rsid w:val="001378C0"/>
    <w:rsid w:val="00140E3B"/>
    <w:rsid w:val="0014111D"/>
    <w:rsid w:val="001452E8"/>
    <w:rsid w:val="00157C10"/>
    <w:rsid w:val="00174A18"/>
    <w:rsid w:val="0018694A"/>
    <w:rsid w:val="001A0EEC"/>
    <w:rsid w:val="001A3287"/>
    <w:rsid w:val="001A6508"/>
    <w:rsid w:val="001B02FF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371B1"/>
    <w:rsid w:val="00355FF5"/>
    <w:rsid w:val="00361350"/>
    <w:rsid w:val="003C3FAE"/>
    <w:rsid w:val="004038CB"/>
    <w:rsid w:val="0040546F"/>
    <w:rsid w:val="0042404A"/>
    <w:rsid w:val="0044618F"/>
    <w:rsid w:val="00455449"/>
    <w:rsid w:val="0046769A"/>
    <w:rsid w:val="00475FB3"/>
    <w:rsid w:val="00484286"/>
    <w:rsid w:val="004C37A9"/>
    <w:rsid w:val="004C5886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31F35"/>
    <w:rsid w:val="00661A86"/>
    <w:rsid w:val="006643AB"/>
    <w:rsid w:val="007210CD"/>
    <w:rsid w:val="00732045"/>
    <w:rsid w:val="007369DB"/>
    <w:rsid w:val="00752D75"/>
    <w:rsid w:val="007642EF"/>
    <w:rsid w:val="007956C2"/>
    <w:rsid w:val="007A187E"/>
    <w:rsid w:val="007B6FBF"/>
    <w:rsid w:val="007C72C2"/>
    <w:rsid w:val="007D4436"/>
    <w:rsid w:val="007F257A"/>
    <w:rsid w:val="007F3665"/>
    <w:rsid w:val="00800037"/>
    <w:rsid w:val="00861D73"/>
    <w:rsid w:val="00880AC5"/>
    <w:rsid w:val="008A4E87"/>
    <w:rsid w:val="008D76E6"/>
    <w:rsid w:val="008E18EB"/>
    <w:rsid w:val="0092392D"/>
    <w:rsid w:val="0093234A"/>
    <w:rsid w:val="00942884"/>
    <w:rsid w:val="009A404F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D373D"/>
    <w:rsid w:val="00B309F9"/>
    <w:rsid w:val="00B32B60"/>
    <w:rsid w:val="00B61619"/>
    <w:rsid w:val="00B73E5C"/>
    <w:rsid w:val="00BB4545"/>
    <w:rsid w:val="00BD38C8"/>
    <w:rsid w:val="00BD5873"/>
    <w:rsid w:val="00BE2909"/>
    <w:rsid w:val="00C04BE3"/>
    <w:rsid w:val="00C25D29"/>
    <w:rsid w:val="00C27A7C"/>
    <w:rsid w:val="00C464F7"/>
    <w:rsid w:val="00C60FC3"/>
    <w:rsid w:val="00CA08ED"/>
    <w:rsid w:val="00CA5232"/>
    <w:rsid w:val="00CF183B"/>
    <w:rsid w:val="00CF5E36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7201A"/>
    <w:rsid w:val="00EA6430"/>
    <w:rsid w:val="00EB6350"/>
    <w:rsid w:val="00F15B57"/>
    <w:rsid w:val="00F427DB"/>
    <w:rsid w:val="00F60CF4"/>
    <w:rsid w:val="00FA5EB1"/>
    <w:rsid w:val="00FA7439"/>
    <w:rsid w:val="00FC4EC0"/>
    <w:rsid w:val="00FE24E9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BE778D2-E1BC-47AE-AF52-99A08E2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rmal"/>
    <w:link w:val="FootnoteTextChar"/>
    <w:uiPriority w:val="99"/>
    <w:qFormat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AD373D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140E3B"/>
    <w:rPr>
      <w:rFonts w:ascii="Calibri" w:hAnsi="Calibri"/>
      <w:b/>
      <w:sz w:val="28"/>
      <w:lang w:val="fr-FR" w:eastAsia="en-US"/>
    </w:rPr>
  </w:style>
  <w:style w:type="paragraph" w:customStyle="1" w:styleId="DeD">
    <w:name w:val="DeDé"/>
    <w:basedOn w:val="Normal"/>
    <w:rsid w:val="0014111D"/>
    <w:rPr>
      <w:lang w:val="en-US"/>
    </w:rPr>
  </w:style>
  <w:style w:type="character" w:customStyle="1" w:styleId="href">
    <w:name w:val="href"/>
    <w:basedOn w:val="DefaultParagraphFont"/>
    <w:uiPriority w:val="99"/>
    <w:rsid w:val="001A0EEC"/>
    <w:rPr>
      <w:color w:val="auto"/>
    </w:rPr>
  </w:style>
  <w:style w:type="character" w:customStyle="1" w:styleId="CallChar">
    <w:name w:val="Call Char"/>
    <w:basedOn w:val="DefaultParagraphFont"/>
    <w:link w:val="Call"/>
    <w:rsid w:val="001A0EEC"/>
    <w:rPr>
      <w:rFonts w:ascii="Calibri" w:hAnsi="Calibri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6-CL-C-0124/fr" TargetMode="External"/><Relationship Id="rId13" Type="http://schemas.openxmlformats.org/officeDocument/2006/relationships/hyperlink" Target="http://www.itu.int/md/S17-CL-C-0067/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CL-C-0124/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19/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L-C-0007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007/fr" TargetMode="External"/><Relationship Id="rId14" Type="http://schemas.openxmlformats.org/officeDocument/2006/relationships/hyperlink" Target="http://www.itu.int/md/S16-CL-C-0007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EF29-C516-4C8E-B7A7-10DA4F9A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10766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Janin, Patricia</cp:lastModifiedBy>
  <cp:revision>3</cp:revision>
  <cp:lastPrinted>2019-06-11T08:55:00Z</cp:lastPrinted>
  <dcterms:created xsi:type="dcterms:W3CDTF">2019-06-11T08:54:00Z</dcterms:created>
  <dcterms:modified xsi:type="dcterms:W3CDTF">2019-06-11T08:55:00Z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