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21EA1" w:rsidTr="00F724AC">
        <w:trPr>
          <w:cantSplit/>
        </w:trPr>
        <w:tc>
          <w:tcPr>
            <w:tcW w:w="6911" w:type="dxa"/>
          </w:tcPr>
          <w:p w:rsidR="002A2188" w:rsidRPr="00521EA1" w:rsidRDefault="002A2188" w:rsidP="00A5640D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521EA1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521EA1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521EA1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521EA1">
              <w:rPr>
                <w:b/>
                <w:bCs/>
                <w:position w:val="6"/>
                <w:szCs w:val="24"/>
              </w:rPr>
              <w:t>Geneva, 1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>-2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521EA1">
              <w:rPr>
                <w:b/>
                <w:bCs/>
                <w:position w:val="6"/>
                <w:szCs w:val="24"/>
              </w:rPr>
              <w:t>June</w:t>
            </w:r>
            <w:r w:rsidRPr="00521EA1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521EA1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521EA1" w:rsidRDefault="002A2188" w:rsidP="00A5640D">
            <w:pPr>
              <w:spacing w:before="0"/>
              <w:jc w:val="right"/>
            </w:pPr>
            <w:bookmarkStart w:id="2" w:name="ditulogo"/>
            <w:bookmarkEnd w:id="2"/>
            <w:r w:rsidRPr="00521EA1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521EA1" w:rsidRDefault="0098453E" w:rsidP="0098453E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 ADM 18</w:t>
            </w:r>
          </w:p>
        </w:tc>
        <w:tc>
          <w:tcPr>
            <w:tcW w:w="3120" w:type="dxa"/>
          </w:tcPr>
          <w:p w:rsidR="002A2188" w:rsidRPr="00521EA1" w:rsidRDefault="002A2188" w:rsidP="00A5640D">
            <w:pPr>
              <w:tabs>
                <w:tab w:val="left" w:pos="851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>Document C1</w:t>
            </w:r>
            <w:r w:rsidR="00FB1279" w:rsidRPr="00521EA1">
              <w:rPr>
                <w:b/>
              </w:rPr>
              <w:t>9</w:t>
            </w:r>
            <w:r w:rsidRPr="00521EA1">
              <w:rPr>
                <w:b/>
              </w:rPr>
              <w:t>/</w:t>
            </w:r>
            <w:r w:rsidR="00813055" w:rsidRPr="00521EA1">
              <w:rPr>
                <w:b/>
              </w:rPr>
              <w:t>76</w:t>
            </w:r>
            <w:r w:rsidRPr="00521EA1">
              <w:rPr>
                <w:b/>
              </w:rPr>
              <w:t>-E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521EA1" w:rsidRDefault="002A2188" w:rsidP="00A5640D">
            <w:pPr>
              <w:tabs>
                <w:tab w:val="left" w:pos="851"/>
              </w:tabs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521EA1" w:rsidRDefault="00813055" w:rsidP="00A5640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>27 May</w:t>
            </w:r>
            <w:r w:rsidR="002A2188" w:rsidRPr="00521EA1">
              <w:rPr>
                <w:b/>
              </w:rPr>
              <w:t xml:space="preserve"> 201</w:t>
            </w:r>
            <w:r w:rsidR="00FB1279" w:rsidRPr="00521EA1">
              <w:rPr>
                <w:b/>
              </w:rPr>
              <w:t>9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521EA1" w:rsidRDefault="002A2188" w:rsidP="00A5640D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521EA1" w:rsidRDefault="002A2188" w:rsidP="00A5640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 xml:space="preserve">Original: </w:t>
            </w:r>
            <w:r w:rsidR="00813055" w:rsidRPr="00521EA1">
              <w:rPr>
                <w:b/>
              </w:rPr>
              <w:t>Russian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A5640D">
            <w:pPr>
              <w:pStyle w:val="Source"/>
            </w:pPr>
            <w:bookmarkStart w:id="7" w:name="dsource" w:colFirst="0" w:colLast="0"/>
            <w:bookmarkEnd w:id="6"/>
            <w:r w:rsidRPr="00521EA1">
              <w:t>Note by the Secretary-General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A5640D">
            <w:pPr>
              <w:pStyle w:val="Title1"/>
            </w:pPr>
            <w:bookmarkStart w:id="8" w:name="dtitle1" w:colFirst="0" w:colLast="0"/>
            <w:bookmarkEnd w:id="7"/>
            <w:r w:rsidRPr="00521EA1">
              <w:t>contribution from the russian federation</w:t>
            </w:r>
          </w:p>
        </w:tc>
      </w:tr>
      <w:tr w:rsidR="00813055" w:rsidRPr="00521EA1" w:rsidTr="00F724AC">
        <w:trPr>
          <w:cantSplit/>
        </w:trPr>
        <w:tc>
          <w:tcPr>
            <w:tcW w:w="10031" w:type="dxa"/>
            <w:gridSpan w:val="2"/>
          </w:tcPr>
          <w:p w:rsidR="00813055" w:rsidRPr="00521EA1" w:rsidRDefault="006D25D2" w:rsidP="00A5640D">
            <w:pPr>
              <w:pStyle w:val="Title1"/>
            </w:pPr>
            <w:r w:rsidRPr="00AB6EB5">
              <w:t xml:space="preserve">ensuring </w:t>
            </w:r>
            <w:r w:rsidR="0080363C" w:rsidRPr="00AB6EB5">
              <w:t xml:space="preserve">THE </w:t>
            </w:r>
            <w:r w:rsidR="0071550A" w:rsidRPr="00AB6EB5">
              <w:t xml:space="preserve">PRESERVATION OF </w:t>
            </w:r>
            <w:r w:rsidR="00EB65DC" w:rsidRPr="00AB6EB5">
              <w:t>CONTRIBUTIONS/</w:t>
            </w:r>
            <w:r w:rsidRPr="00521EA1">
              <w:t>Donations</w:t>
            </w:r>
            <w:r w:rsidRPr="00521EA1">
              <w:rPr>
                <w:rStyle w:val="FootnoteReference"/>
              </w:rPr>
              <w:footnoteReference w:id="1"/>
            </w:r>
            <w:r w:rsidRPr="00521EA1">
              <w:t xml:space="preserve"> </w:t>
            </w:r>
            <w:r w:rsidR="0080363C">
              <w:t xml:space="preserve">FROM ITU </w:t>
            </w:r>
            <w:r w:rsidRPr="006D25D2">
              <w:t xml:space="preserve">PARTICIPANTS IN </w:t>
            </w:r>
            <w:r w:rsidR="00F724AC">
              <w:t xml:space="preserve">THE </w:t>
            </w:r>
            <w:r w:rsidRPr="006D25D2">
              <w:t xml:space="preserve">EXISTING BUILDINGS </w:t>
            </w:r>
            <w:r w:rsidR="0071550A">
              <w:t xml:space="preserve">OF THE UNION </w:t>
            </w:r>
            <w:r w:rsidRPr="006D25D2">
              <w:t xml:space="preserve">WHEN IMPLEMENTING THE PROJECT FOR THE CONSTRUCTION OF </w:t>
            </w:r>
            <w:r w:rsidR="0071550A">
              <w:t xml:space="preserve">THE </w:t>
            </w:r>
            <w:r w:rsidR="00A5640D">
              <w:t>UNION'</w:t>
            </w:r>
            <w:r w:rsidR="00440908">
              <w:t xml:space="preserve">S </w:t>
            </w:r>
            <w:r w:rsidRPr="006D25D2">
              <w:t xml:space="preserve">NEW HEADQUARTERS </w:t>
            </w:r>
            <w:r w:rsidR="00AB6EB5">
              <w:t>PREMISES</w:t>
            </w:r>
          </w:p>
        </w:tc>
      </w:tr>
      <w:bookmarkEnd w:id="8"/>
    </w:tbl>
    <w:p w:rsidR="002A2188" w:rsidRPr="00521EA1" w:rsidRDefault="002A2188" w:rsidP="00A5640D"/>
    <w:p w:rsidR="00813055" w:rsidRPr="00521EA1" w:rsidRDefault="00813055" w:rsidP="00A5640D">
      <w:pPr>
        <w:pStyle w:val="Normalaftertitle"/>
        <w:rPr>
          <w:b/>
          <w:bCs/>
        </w:rPr>
      </w:pPr>
      <w:bookmarkStart w:id="9" w:name="dstart"/>
      <w:bookmarkStart w:id="10" w:name="dbreak"/>
      <w:bookmarkEnd w:id="9"/>
      <w:bookmarkEnd w:id="10"/>
      <w:r w:rsidRPr="00521EA1">
        <w:t xml:space="preserve">I have the honour to transmit to the Member States of the Council the attached contribution submitted by the </w:t>
      </w:r>
      <w:r w:rsidRPr="00521EA1">
        <w:rPr>
          <w:b/>
          <w:bCs/>
        </w:rPr>
        <w:t>Russian Federation.</w:t>
      </w:r>
    </w:p>
    <w:p w:rsidR="00813055" w:rsidRPr="00521EA1" w:rsidRDefault="00813055" w:rsidP="00A5640D"/>
    <w:p w:rsidR="00813055" w:rsidRPr="00521EA1" w:rsidRDefault="00813055" w:rsidP="00A5640D"/>
    <w:p w:rsidR="00813055" w:rsidRPr="00521EA1" w:rsidRDefault="00813055" w:rsidP="00A5640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521EA1">
        <w:tab/>
        <w:t>Houlin ZHAO</w:t>
      </w:r>
      <w:r w:rsidRPr="00521EA1">
        <w:br/>
      </w:r>
      <w:r w:rsidRPr="00521EA1">
        <w:tab/>
        <w:t>Secretary-General</w:t>
      </w:r>
    </w:p>
    <w:p w:rsidR="00813055" w:rsidRPr="00521EA1" w:rsidRDefault="00813055" w:rsidP="00A564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21EA1">
        <w:br w:type="page"/>
      </w:r>
    </w:p>
    <w:p w:rsidR="00813055" w:rsidRPr="0071550A" w:rsidRDefault="0071550A" w:rsidP="006F02B8">
      <w:pPr>
        <w:pStyle w:val="Source"/>
      </w:pPr>
      <w:r w:rsidRPr="0071550A">
        <w:lastRenderedPageBreak/>
        <w:t>Contribution from the Russian Fe</w:t>
      </w:r>
      <w:r>
        <w:t>deration</w:t>
      </w:r>
    </w:p>
    <w:p w:rsidR="00813055" w:rsidRPr="0071550A" w:rsidRDefault="0071550A" w:rsidP="006F02B8">
      <w:pPr>
        <w:pStyle w:val="Title1"/>
        <w:rPr>
          <w:b/>
        </w:rPr>
      </w:pPr>
      <w:bookmarkStart w:id="11" w:name="lt_pId018"/>
      <w:r>
        <w:t xml:space="preserve">ENSURING </w:t>
      </w:r>
      <w:r w:rsidRPr="0071550A">
        <w:t xml:space="preserve">THE </w:t>
      </w:r>
      <w:r w:rsidR="00EB65DC" w:rsidRPr="00AB6EB5">
        <w:t>PRESERVATION</w:t>
      </w:r>
      <w:r w:rsidR="00B5130B">
        <w:t xml:space="preserve"> </w:t>
      </w:r>
      <w:r>
        <w:t xml:space="preserve">OF </w:t>
      </w:r>
      <w:r w:rsidR="00EB65DC">
        <w:t>CONTRIBUTIONS/</w:t>
      </w:r>
      <w:r w:rsidR="00813055" w:rsidRPr="0071550A">
        <w:t>DONATIONS</w:t>
      </w:r>
      <w:r w:rsidR="00813055" w:rsidRPr="00521EA1">
        <w:rPr>
          <w:rStyle w:val="FootnoteReference"/>
          <w:bCs/>
          <w:sz w:val="20"/>
        </w:rPr>
        <w:footnoteReference w:id="2"/>
      </w:r>
      <w:bookmarkEnd w:id="11"/>
      <w:r>
        <w:t xml:space="preserve"> FROM ITU PARTICIPANTS IN THE </w:t>
      </w:r>
      <w:r w:rsidRPr="0071550A">
        <w:t xml:space="preserve">EXISTING BUILDINGS </w:t>
      </w:r>
      <w:r w:rsidR="00B92138">
        <w:t xml:space="preserve">OF THE UNION WHEN IMPLEMENTING </w:t>
      </w:r>
      <w:r w:rsidRPr="0071550A">
        <w:t xml:space="preserve">THE PROJECT FOR THE CONSTRUCTION OF THE </w:t>
      </w:r>
      <w:r w:rsidR="006F02B8">
        <w:t>UNION'</w:t>
      </w:r>
      <w:r w:rsidR="00B92138">
        <w:t xml:space="preserve">S </w:t>
      </w:r>
      <w:r w:rsidRPr="0071550A">
        <w:t xml:space="preserve">NEW </w:t>
      </w:r>
      <w:r w:rsidR="00B92138">
        <w:t xml:space="preserve">HEADQUARTERS </w:t>
      </w:r>
      <w:r w:rsidR="00AB6EB5" w:rsidRPr="00AB6EB5">
        <w:t>PREMISES</w:t>
      </w:r>
    </w:p>
    <w:p w:rsidR="00813055" w:rsidRPr="0071550A" w:rsidRDefault="00813055" w:rsidP="00A5640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13055" w:rsidRPr="00521EA1" w:rsidTr="00F724A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055" w:rsidRPr="00521EA1" w:rsidRDefault="00813055" w:rsidP="00A5640D">
            <w:pPr>
              <w:pStyle w:val="Headingb"/>
            </w:pPr>
            <w:r w:rsidRPr="00521EA1">
              <w:t>Summary</w:t>
            </w:r>
          </w:p>
          <w:p w:rsidR="00503858" w:rsidRPr="00440908" w:rsidRDefault="00B92138" w:rsidP="006F02B8">
            <w:r w:rsidRPr="00440908">
              <w:t xml:space="preserve">In view </w:t>
            </w:r>
            <w:r w:rsidR="00503858" w:rsidRPr="00440908">
              <w:t xml:space="preserve">of the implementation of the project to demolish the existing Varembé building and to construct </w:t>
            </w:r>
            <w:r w:rsidR="009445F4" w:rsidRPr="00440908">
              <w:t>the new ITU h</w:t>
            </w:r>
            <w:r w:rsidR="00503858" w:rsidRPr="00440908">
              <w:t xml:space="preserve">eadquarters </w:t>
            </w:r>
            <w:r w:rsidR="00EB65DC" w:rsidRPr="00440908">
              <w:t xml:space="preserve">building </w:t>
            </w:r>
            <w:r w:rsidR="00503858" w:rsidRPr="00440908">
              <w:t xml:space="preserve">in its place, the temporary </w:t>
            </w:r>
            <w:r w:rsidR="00EB65DC" w:rsidRPr="00440908">
              <w:t xml:space="preserve">conversion </w:t>
            </w:r>
            <w:r w:rsidR="00503858" w:rsidRPr="00440908">
              <w:t xml:space="preserve">of the Montbrillant and Tower buildings during the construction of the new Varembé building and the subsequent sale of the Tower building after the completion of the construction, it is </w:t>
            </w:r>
            <w:r w:rsidRPr="00440908">
              <w:t xml:space="preserve">essential </w:t>
            </w:r>
            <w:r w:rsidR="00503858" w:rsidRPr="00440908">
              <w:t>to take appropriate measures to ensure the</w:t>
            </w:r>
            <w:r w:rsidR="0073746A" w:rsidRPr="00440908">
              <w:t xml:space="preserve"> preservation</w:t>
            </w:r>
            <w:r w:rsidR="00503858" w:rsidRPr="00440908">
              <w:t xml:space="preserve"> of the contributions/donations made to the Union by ITU Member States and Sector Members prior to the start of the project.</w:t>
            </w:r>
          </w:p>
          <w:p w:rsidR="00813055" w:rsidRPr="00521EA1" w:rsidRDefault="00813055" w:rsidP="00A5640D">
            <w:pPr>
              <w:pStyle w:val="Headingb"/>
            </w:pPr>
            <w:r w:rsidRPr="00521EA1">
              <w:t>Action required</w:t>
            </w:r>
          </w:p>
          <w:p w:rsidR="000A0B04" w:rsidRDefault="000A0B04" w:rsidP="006F02B8">
            <w:pPr>
              <w:rPr>
                <w:b/>
                <w:caps/>
              </w:rPr>
            </w:pPr>
            <w:r>
              <w:t xml:space="preserve">The </w:t>
            </w:r>
            <w:r w:rsidR="002C2CB2">
              <w:t xml:space="preserve">Council is invited to </w:t>
            </w:r>
            <w:r w:rsidR="002C2CB2">
              <w:rPr>
                <w:b/>
              </w:rPr>
              <w:t>take a decision.</w:t>
            </w:r>
          </w:p>
          <w:p w:rsidR="00813055" w:rsidRPr="00521EA1" w:rsidRDefault="00813055" w:rsidP="00A5640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521EA1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813055" w:rsidRPr="00521EA1" w:rsidRDefault="00813055" w:rsidP="00A5640D">
            <w:pPr>
              <w:pStyle w:val="Headingb"/>
            </w:pPr>
            <w:r w:rsidRPr="00521EA1">
              <w:t>References</w:t>
            </w:r>
          </w:p>
          <w:bookmarkStart w:id="13" w:name="lt_pId025"/>
          <w:p w:rsidR="00813055" w:rsidRPr="006F02B8" w:rsidRDefault="00813055" w:rsidP="00A5640D">
            <w:pPr>
              <w:rPr>
                <w:i/>
                <w:iCs/>
              </w:rPr>
            </w:pPr>
            <w:r w:rsidRPr="006F02B8">
              <w:rPr>
                <w:i/>
                <w:iCs/>
              </w:rPr>
              <w:fldChar w:fldCharType="begin"/>
            </w:r>
            <w:r w:rsidR="00521EA1" w:rsidRPr="006F02B8">
              <w:rPr>
                <w:i/>
                <w:iCs/>
              </w:rPr>
              <w:instrText>HYPERLINK "http://www.itu.int/pub/S-CONF-PLEN-2015"</w:instrText>
            </w:r>
            <w:r w:rsidRPr="006F02B8">
              <w:rPr>
                <w:i/>
                <w:iCs/>
              </w:rPr>
              <w:fldChar w:fldCharType="separate"/>
            </w:r>
            <w:r w:rsidR="00521EA1" w:rsidRPr="006F02B8">
              <w:rPr>
                <w:rStyle w:val="Hyperlink"/>
                <w:rFonts w:cs="Calibri"/>
                <w:i/>
                <w:iCs/>
                <w:szCs w:val="24"/>
              </w:rPr>
              <w:t>Resolution 194 (Busan, 2014)</w:t>
            </w:r>
            <w:r w:rsidRPr="006F02B8">
              <w:rPr>
                <w:i/>
                <w:iCs/>
              </w:rPr>
              <w:fldChar w:fldCharType="end"/>
            </w:r>
            <w:r w:rsidRPr="006F02B8">
              <w:rPr>
                <w:rFonts w:cs="Calibri"/>
                <w:i/>
                <w:iCs/>
                <w:color w:val="000000" w:themeColor="text1"/>
                <w:szCs w:val="24"/>
              </w:rPr>
              <w:t xml:space="preserve">, </w:t>
            </w:r>
            <w:hyperlink r:id="rId9" w:history="1">
              <w:r w:rsidRPr="006F02B8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Council Decision 588</w:t>
              </w:r>
            </w:hyperlink>
            <w:r w:rsidRPr="006F02B8">
              <w:rPr>
                <w:rStyle w:val="Hyperlink"/>
                <w:rFonts w:asciiTheme="minorHAnsi" w:hAnsiTheme="minorHAnsi"/>
                <w:i/>
                <w:iCs/>
                <w:szCs w:val="24"/>
              </w:rPr>
              <w:t>,</w:t>
            </w:r>
            <w:r w:rsidR="000A0B04" w:rsidRPr="006F02B8">
              <w:rPr>
                <w:i/>
                <w:iCs/>
                <w:szCs w:val="24"/>
              </w:rPr>
              <w:t xml:space="preserve"> Documents</w:t>
            </w:r>
            <w:r w:rsidRPr="006F02B8">
              <w:rPr>
                <w:i/>
                <w:iCs/>
                <w:szCs w:val="24"/>
              </w:rPr>
              <w:t xml:space="preserve"> </w:t>
            </w:r>
            <w:hyperlink r:id="rId10" w:history="1">
              <w:r w:rsidRPr="006F02B8">
                <w:rPr>
                  <w:rStyle w:val="Hyperlink"/>
                  <w:rFonts w:cs="Calibri"/>
                  <w:i/>
                  <w:iCs/>
                  <w:szCs w:val="24"/>
                </w:rPr>
                <w:t>C16/7</w:t>
              </w:r>
            </w:hyperlink>
            <w:r w:rsidRPr="006F02B8">
              <w:rPr>
                <w:rFonts w:cs="Calibri"/>
                <w:i/>
                <w:iCs/>
                <w:color w:val="000000" w:themeColor="text1"/>
                <w:szCs w:val="24"/>
              </w:rPr>
              <w:t xml:space="preserve">, </w:t>
            </w:r>
            <w:hyperlink r:id="rId11" w:history="1">
              <w:r w:rsidRPr="006F02B8">
                <w:rPr>
                  <w:rStyle w:val="Hyperlink"/>
                  <w:rFonts w:cs="Calibri"/>
                  <w:i/>
                  <w:iCs/>
                  <w:szCs w:val="24"/>
                </w:rPr>
                <w:t>C18/7</w:t>
              </w:r>
            </w:hyperlink>
            <w:r w:rsidRPr="006F02B8">
              <w:rPr>
                <w:rStyle w:val="Hyperlink"/>
                <w:rFonts w:cs="Calibri"/>
                <w:i/>
                <w:iCs/>
                <w:szCs w:val="24"/>
              </w:rPr>
              <w:t xml:space="preserve">, </w:t>
            </w:r>
            <w:hyperlink r:id="rId12" w:history="1">
              <w:r w:rsidRPr="006F02B8">
                <w:rPr>
                  <w:rStyle w:val="Hyperlink"/>
                  <w:rFonts w:cs="Calibri"/>
                  <w:i/>
                  <w:iCs/>
                  <w:szCs w:val="24"/>
                </w:rPr>
                <w:t>C18/INF/19</w:t>
              </w:r>
            </w:hyperlink>
            <w:bookmarkEnd w:id="13"/>
          </w:p>
          <w:p w:rsidR="00813055" w:rsidRPr="00521EA1" w:rsidRDefault="00813055" w:rsidP="00A5640D">
            <w:pPr>
              <w:rPr>
                <w:i/>
                <w:iCs/>
              </w:rPr>
            </w:pPr>
          </w:p>
        </w:tc>
      </w:tr>
    </w:tbl>
    <w:p w:rsidR="00813055" w:rsidRPr="00521EA1" w:rsidRDefault="006F02B8" w:rsidP="00A5640D">
      <w:pPr>
        <w:pStyle w:val="Heading1"/>
      </w:pPr>
      <w:r>
        <w:t>1</w:t>
      </w:r>
      <w:r w:rsidR="00813055" w:rsidRPr="00521EA1">
        <w:tab/>
        <w:t>Background</w:t>
      </w:r>
    </w:p>
    <w:p w:rsidR="00813055" w:rsidRPr="00521EA1" w:rsidRDefault="006F02B8" w:rsidP="00A5640D">
      <w:pPr>
        <w:rPr>
          <w:szCs w:val="24"/>
        </w:rPr>
      </w:pPr>
      <w:r>
        <w:t>1.1</w:t>
      </w:r>
      <w:r w:rsidR="00813055" w:rsidRPr="00521EA1">
        <w:tab/>
      </w:r>
      <w:r w:rsidR="00F724AC">
        <w:t xml:space="preserve">In </w:t>
      </w:r>
      <w:r w:rsidR="00F724AC" w:rsidRPr="00521EA1">
        <w:t>2016</w:t>
      </w:r>
      <w:r w:rsidR="00F724AC">
        <w:t xml:space="preserve">, </w:t>
      </w:r>
      <w:r w:rsidR="00813055" w:rsidRPr="00521EA1">
        <w:t xml:space="preserve">through </w:t>
      </w:r>
      <w:hyperlink r:id="rId13" w:history="1">
        <w:r w:rsidR="00813055" w:rsidRPr="0098453E">
          <w:rPr>
            <w:rStyle w:val="Hyperlink"/>
            <w:rFonts w:asciiTheme="minorHAnsi" w:hAnsiTheme="minorHAnsi"/>
          </w:rPr>
          <w:t>Decision 588</w:t>
        </w:r>
      </w:hyperlink>
      <w:r w:rsidR="00813055" w:rsidRPr="00521EA1">
        <w:t xml:space="preserve">, </w:t>
      </w:r>
      <w:r w:rsidR="00F724AC">
        <w:t xml:space="preserve">the </w:t>
      </w:r>
      <w:r w:rsidR="00F724AC" w:rsidRPr="00521EA1">
        <w:t xml:space="preserve">Council </w:t>
      </w:r>
      <w:r w:rsidR="00813055" w:rsidRPr="00521EA1">
        <w:t xml:space="preserve">decided to replace the Varembé building by a new building </w:t>
      </w:r>
      <w:r w:rsidR="00813055" w:rsidRPr="00521EA1">
        <w:rPr>
          <w:szCs w:val="24"/>
        </w:rPr>
        <w:t xml:space="preserve">that would also </w:t>
      </w:r>
      <w:r w:rsidR="00385394">
        <w:rPr>
          <w:szCs w:val="24"/>
        </w:rPr>
        <w:t xml:space="preserve">house </w:t>
      </w:r>
      <w:r w:rsidR="00813055" w:rsidRPr="00521EA1">
        <w:rPr>
          <w:szCs w:val="24"/>
        </w:rPr>
        <w:t xml:space="preserve">the offices and </w:t>
      </w:r>
      <w:r w:rsidR="00440908">
        <w:rPr>
          <w:szCs w:val="24"/>
        </w:rPr>
        <w:t xml:space="preserve">other </w:t>
      </w:r>
      <w:r w:rsidR="00813055" w:rsidRPr="00521EA1">
        <w:rPr>
          <w:szCs w:val="24"/>
        </w:rPr>
        <w:t xml:space="preserve">facilities of the Tower building. </w:t>
      </w:r>
    </w:p>
    <w:p w:rsidR="00B5130B" w:rsidRDefault="006F02B8" w:rsidP="00A5640D">
      <w:pPr>
        <w:rPr>
          <w:szCs w:val="24"/>
        </w:rPr>
      </w:pPr>
      <w:r>
        <w:rPr>
          <w:szCs w:val="24"/>
        </w:rPr>
        <w:lastRenderedPageBreak/>
        <w:t>1.2</w:t>
      </w:r>
      <w:r w:rsidR="00813055" w:rsidRPr="00521EA1">
        <w:rPr>
          <w:szCs w:val="24"/>
        </w:rPr>
        <w:tab/>
      </w:r>
      <w:r w:rsidR="00342269" w:rsidRPr="00342269">
        <w:rPr>
          <w:bCs/>
          <w:szCs w:val="24"/>
        </w:rPr>
        <w:t>The</w:t>
      </w:r>
      <w:r w:rsidR="00342269" w:rsidRPr="00342269">
        <w:rPr>
          <w:szCs w:val="24"/>
        </w:rPr>
        <w:t xml:space="preserve"> financial model for </w:t>
      </w:r>
      <w:r w:rsidR="00501E3B">
        <w:rPr>
          <w:szCs w:val="24"/>
        </w:rPr>
        <w:t>the new building</w:t>
      </w:r>
      <w:r w:rsidR="00342269" w:rsidRPr="00342269">
        <w:rPr>
          <w:szCs w:val="24"/>
        </w:rPr>
        <w:t xml:space="preserve"> is a 50-year interest-free loan from </w:t>
      </w:r>
      <w:r w:rsidR="00342269" w:rsidRPr="009878AE">
        <w:rPr>
          <w:bCs/>
          <w:szCs w:val="24"/>
        </w:rPr>
        <w:t>the</w:t>
      </w:r>
      <w:r w:rsidR="009878AE" w:rsidRPr="009878AE">
        <w:rPr>
          <w:szCs w:val="24"/>
        </w:rPr>
        <w:t xml:space="preserve"> host c</w:t>
      </w:r>
      <w:r w:rsidR="00342269" w:rsidRPr="009878AE">
        <w:rPr>
          <w:szCs w:val="24"/>
        </w:rPr>
        <w:t xml:space="preserve">ountry. </w:t>
      </w:r>
      <w:r w:rsidR="00967B45" w:rsidRPr="009878AE">
        <w:rPr>
          <w:bCs/>
          <w:szCs w:val="24"/>
        </w:rPr>
        <w:t>The</w:t>
      </w:r>
      <w:r w:rsidR="00967B45" w:rsidRPr="009878AE">
        <w:rPr>
          <w:szCs w:val="24"/>
        </w:rPr>
        <w:t xml:space="preserve"> first repayment of </w:t>
      </w:r>
      <w:r w:rsidR="00967B45" w:rsidRPr="009878AE">
        <w:rPr>
          <w:bCs/>
          <w:szCs w:val="24"/>
        </w:rPr>
        <w:t>the</w:t>
      </w:r>
      <w:r w:rsidR="00967B45" w:rsidRPr="009878AE">
        <w:rPr>
          <w:szCs w:val="24"/>
        </w:rPr>
        <w:t xml:space="preserve"> </w:t>
      </w:r>
      <w:r w:rsidR="00501E3B" w:rsidRPr="009878AE">
        <w:rPr>
          <w:szCs w:val="24"/>
        </w:rPr>
        <w:t>loan will be</w:t>
      </w:r>
      <w:r w:rsidR="00967B45" w:rsidRPr="009878AE">
        <w:rPr>
          <w:szCs w:val="24"/>
        </w:rPr>
        <w:t xml:space="preserve"> made at </w:t>
      </w:r>
      <w:r w:rsidR="00967B45" w:rsidRPr="009878AE">
        <w:rPr>
          <w:bCs/>
          <w:szCs w:val="24"/>
        </w:rPr>
        <w:t>the</w:t>
      </w:r>
      <w:r w:rsidR="00967B45" w:rsidRPr="009878AE">
        <w:rPr>
          <w:szCs w:val="24"/>
        </w:rPr>
        <w:t xml:space="preserve"> end of </w:t>
      </w:r>
      <w:r w:rsidR="00967B45" w:rsidRPr="009878AE">
        <w:rPr>
          <w:bCs/>
          <w:szCs w:val="24"/>
        </w:rPr>
        <w:t>the</w:t>
      </w:r>
      <w:r w:rsidR="00967B45" w:rsidRPr="009878AE">
        <w:rPr>
          <w:szCs w:val="24"/>
        </w:rPr>
        <w:t xml:space="preserve"> year of </w:t>
      </w:r>
      <w:r w:rsidR="00E3330D" w:rsidRPr="009878AE">
        <w:rPr>
          <w:szCs w:val="24"/>
        </w:rPr>
        <w:t>the</w:t>
      </w:r>
      <w:r w:rsidR="00E3330D">
        <w:rPr>
          <w:szCs w:val="24"/>
        </w:rPr>
        <w:t xml:space="preserve"> </w:t>
      </w:r>
      <w:r w:rsidR="00967B45" w:rsidRPr="00967B45">
        <w:rPr>
          <w:szCs w:val="24"/>
        </w:rPr>
        <w:t xml:space="preserve">successful </w:t>
      </w:r>
      <w:r w:rsidR="004A31AD">
        <w:rPr>
          <w:szCs w:val="24"/>
        </w:rPr>
        <w:t xml:space="preserve">commissioning </w:t>
      </w:r>
      <w:r w:rsidR="00967B45" w:rsidRPr="00967B45">
        <w:rPr>
          <w:szCs w:val="24"/>
        </w:rPr>
        <w:t xml:space="preserve">of </w:t>
      </w:r>
      <w:r w:rsidR="00967B45" w:rsidRPr="00967B45">
        <w:rPr>
          <w:bCs/>
          <w:szCs w:val="24"/>
        </w:rPr>
        <w:t>the</w:t>
      </w:r>
      <w:r w:rsidR="00967B45" w:rsidRPr="00967B45">
        <w:rPr>
          <w:szCs w:val="24"/>
        </w:rPr>
        <w:t xml:space="preserve"> new </w:t>
      </w:r>
      <w:r w:rsidR="004A31AD" w:rsidRPr="00967B45">
        <w:rPr>
          <w:szCs w:val="24"/>
        </w:rPr>
        <w:t xml:space="preserve">ITU </w:t>
      </w:r>
      <w:r w:rsidR="004A31AD">
        <w:rPr>
          <w:szCs w:val="24"/>
        </w:rPr>
        <w:t>building</w:t>
      </w:r>
      <w:r w:rsidR="00967B45">
        <w:rPr>
          <w:szCs w:val="24"/>
        </w:rPr>
        <w:t xml:space="preserve">. </w:t>
      </w:r>
    </w:p>
    <w:p w:rsidR="00813055" w:rsidRPr="00521EA1" w:rsidRDefault="006F02B8" w:rsidP="00A5640D">
      <w:pPr>
        <w:rPr>
          <w:szCs w:val="24"/>
        </w:rPr>
      </w:pPr>
      <w:r>
        <w:rPr>
          <w:szCs w:val="24"/>
        </w:rPr>
        <w:t>1.3</w:t>
      </w:r>
      <w:r w:rsidR="00813055" w:rsidRPr="00521EA1">
        <w:rPr>
          <w:szCs w:val="24"/>
        </w:rPr>
        <w:tab/>
      </w:r>
      <w:r w:rsidR="00F724AC">
        <w:rPr>
          <w:szCs w:val="24"/>
        </w:rPr>
        <w:t xml:space="preserve">At its </w:t>
      </w:r>
      <w:r w:rsidR="00967B45">
        <w:rPr>
          <w:szCs w:val="24"/>
        </w:rPr>
        <w:t>ordinary session</w:t>
      </w:r>
      <w:r w:rsidR="00B5130B">
        <w:rPr>
          <w:szCs w:val="24"/>
        </w:rPr>
        <w:t xml:space="preserve"> in 2017</w:t>
      </w:r>
      <w:r w:rsidR="00967B45">
        <w:rPr>
          <w:szCs w:val="24"/>
        </w:rPr>
        <w:t xml:space="preserve">, the Council approved Document </w:t>
      </w:r>
      <w:hyperlink r:id="rId14" w:history="1">
        <w:r w:rsidR="002961E2" w:rsidRPr="0098453E">
          <w:rPr>
            <w:rStyle w:val="Hyperlink"/>
            <w:szCs w:val="24"/>
          </w:rPr>
          <w:t>C17/67</w:t>
        </w:r>
      </w:hyperlink>
      <w:r w:rsidR="002961E2" w:rsidRPr="00521EA1">
        <w:rPr>
          <w:szCs w:val="24"/>
        </w:rPr>
        <w:t xml:space="preserve"> "</w:t>
      </w:r>
      <w:r w:rsidR="002961E2" w:rsidRPr="00521EA1">
        <w:t>Improving the stability and predictability of t</w:t>
      </w:r>
      <w:r w:rsidR="00967B45">
        <w:t>he financial base of the Union", including Annex 1 on principles for resource m</w:t>
      </w:r>
      <w:r w:rsidR="00967B45" w:rsidRPr="00967B45">
        <w:t>obilization</w:t>
      </w:r>
      <w:r w:rsidR="00E20A48">
        <w:t xml:space="preserve">, in accordance with which </w:t>
      </w:r>
      <w:r w:rsidR="00E20A48" w:rsidRPr="00E20A48">
        <w:t xml:space="preserve">the Secretary-General </w:t>
      </w:r>
      <w:r w:rsidR="00E20A48">
        <w:t xml:space="preserve">initiated </w:t>
      </w:r>
      <w:r w:rsidR="00E20A48" w:rsidRPr="00E20A48">
        <w:t>consultations with Mem</w:t>
      </w:r>
      <w:r w:rsidR="00E20A48">
        <w:t xml:space="preserve">ber States, Sector Members and academia </w:t>
      </w:r>
      <w:r w:rsidR="00E20A48" w:rsidRPr="00E20A48">
        <w:t xml:space="preserve">on the possibility of sponsoring the </w:t>
      </w:r>
      <w:r w:rsidR="00587CA9" w:rsidRPr="00F724AC">
        <w:t>p</w:t>
      </w:r>
      <w:r w:rsidR="00E20A48" w:rsidRPr="00F724AC">
        <w:t>roject.</w:t>
      </w:r>
    </w:p>
    <w:p w:rsidR="002961E2" w:rsidRPr="00521EA1" w:rsidRDefault="002961E2" w:rsidP="00A5640D">
      <w:r w:rsidRPr="00521EA1">
        <w:t>1.4</w:t>
      </w:r>
      <w:r w:rsidRPr="00521EA1">
        <w:tab/>
        <w:t xml:space="preserve">A sponsorship agreement was signed between </w:t>
      </w:r>
      <w:r w:rsidR="00E20A48">
        <w:t xml:space="preserve">the </w:t>
      </w:r>
      <w:r w:rsidRPr="00521EA1">
        <w:t xml:space="preserve">ITU Secretary-General and Saudi Arabia in Riyadh on 27 September 2018. Saudi Arabia will provide </w:t>
      </w:r>
      <w:r w:rsidR="00DC28A9" w:rsidRPr="00521EA1">
        <w:t xml:space="preserve">sponsorship </w:t>
      </w:r>
      <w:r w:rsidR="00DC28A9">
        <w:t xml:space="preserve">of </w:t>
      </w:r>
      <w:r w:rsidRPr="00521EA1">
        <w:t>CHF</w:t>
      </w:r>
      <w:r w:rsidR="00DC28A9">
        <w:t xml:space="preserve"> </w:t>
      </w:r>
      <w:r w:rsidR="0098453E">
        <w:t>10 </w:t>
      </w:r>
      <w:r w:rsidRPr="00521EA1">
        <w:t xml:space="preserve">million </w:t>
      </w:r>
      <w:r w:rsidR="00DC28A9">
        <w:t xml:space="preserve">for </w:t>
      </w:r>
      <w:r w:rsidRPr="00521EA1">
        <w:t xml:space="preserve">the </w:t>
      </w:r>
      <w:r w:rsidR="00385394" w:rsidRPr="00385394">
        <w:t xml:space="preserve">main </w:t>
      </w:r>
      <w:r w:rsidR="00DC28A9" w:rsidRPr="00385394">
        <w:t>c</w:t>
      </w:r>
      <w:r w:rsidRPr="00385394">
        <w:t>onference room.</w:t>
      </w:r>
      <w:r w:rsidRPr="00521EA1">
        <w:t xml:space="preserve"> The full amount will be transferred to ITU before the start of construction.</w:t>
      </w:r>
    </w:p>
    <w:p w:rsidR="002961E2" w:rsidRPr="00521EA1" w:rsidRDefault="002961E2" w:rsidP="00A5640D">
      <w:r w:rsidRPr="00521EA1">
        <w:t>1.5</w:t>
      </w:r>
      <w:r w:rsidRPr="00521EA1">
        <w:tab/>
        <w:t>A letter was rec</w:t>
      </w:r>
      <w:r w:rsidR="0098453E">
        <w:t>ei</w:t>
      </w:r>
      <w:r w:rsidRPr="00521EA1">
        <w:t>ved on 17 October 2018 from</w:t>
      </w:r>
      <w:r w:rsidR="00385394">
        <w:t xml:space="preserve"> the United Arab Emirates </w:t>
      </w:r>
      <w:r w:rsidRPr="00521EA1">
        <w:t>with a sp</w:t>
      </w:r>
      <w:r w:rsidR="00DC28A9">
        <w:t xml:space="preserve">onsorship offer for the second </w:t>
      </w:r>
      <w:r w:rsidR="00385394" w:rsidRPr="00385394">
        <w:t xml:space="preserve">main </w:t>
      </w:r>
      <w:r w:rsidR="00DC28A9" w:rsidRPr="00385394">
        <w:t>c</w:t>
      </w:r>
      <w:r w:rsidRPr="00385394">
        <w:t>onference room.</w:t>
      </w:r>
      <w:r w:rsidRPr="00521EA1">
        <w:t xml:space="preserve"> </w:t>
      </w:r>
    </w:p>
    <w:p w:rsidR="002961E2" w:rsidRPr="00521EA1" w:rsidRDefault="002961E2" w:rsidP="00A5640D">
      <w:pPr>
        <w:rPr>
          <w:color w:val="000000"/>
          <w:lang w:eastAsia="zh-CN"/>
        </w:rPr>
      </w:pPr>
      <w:r w:rsidRPr="00521EA1">
        <w:rPr>
          <w:color w:val="000000"/>
          <w:lang w:eastAsia="zh-CN"/>
        </w:rPr>
        <w:t>1.6</w:t>
      </w:r>
      <w:r w:rsidRPr="00521EA1">
        <w:rPr>
          <w:color w:val="000000"/>
          <w:lang w:eastAsia="zh-CN"/>
        </w:rPr>
        <w:tab/>
        <w:t xml:space="preserve">The Czech Republic has made a generous donation of </w:t>
      </w:r>
      <w:r w:rsidR="00727132" w:rsidRPr="00521EA1">
        <w:rPr>
          <w:color w:val="000000"/>
          <w:lang w:eastAsia="zh-CN"/>
        </w:rPr>
        <w:t xml:space="preserve">USD </w:t>
      </w:r>
      <w:r w:rsidRPr="00521EA1">
        <w:rPr>
          <w:color w:val="000000"/>
          <w:lang w:eastAsia="zh-CN"/>
        </w:rPr>
        <w:t>100</w:t>
      </w:r>
      <w:r w:rsidR="00727132">
        <w:rPr>
          <w:color w:val="000000"/>
          <w:lang w:eastAsia="zh-CN"/>
        </w:rPr>
        <w:t xml:space="preserve"> 000</w:t>
      </w:r>
      <w:r w:rsidRPr="00521EA1">
        <w:rPr>
          <w:color w:val="000000"/>
          <w:lang w:eastAsia="zh-CN"/>
        </w:rPr>
        <w:t xml:space="preserve"> </w:t>
      </w:r>
      <w:r w:rsidR="00727132">
        <w:rPr>
          <w:color w:val="000000"/>
          <w:lang w:eastAsia="zh-CN"/>
        </w:rPr>
        <w:t xml:space="preserve">for </w:t>
      </w:r>
      <w:r w:rsidRPr="00521EA1">
        <w:rPr>
          <w:color w:val="000000"/>
          <w:lang w:eastAsia="zh-CN"/>
        </w:rPr>
        <w:t xml:space="preserve">the construction or </w:t>
      </w:r>
      <w:r w:rsidR="00727132">
        <w:rPr>
          <w:color w:val="000000"/>
          <w:lang w:eastAsia="zh-CN"/>
        </w:rPr>
        <w:t>purchase of technical and other equipment for</w:t>
      </w:r>
      <w:r w:rsidRPr="00521EA1">
        <w:rPr>
          <w:color w:val="000000"/>
          <w:lang w:eastAsia="zh-CN"/>
        </w:rPr>
        <w:t xml:space="preserve"> the new building. This </w:t>
      </w:r>
      <w:r w:rsidR="00B5130B">
        <w:rPr>
          <w:color w:val="000000"/>
          <w:lang w:eastAsia="zh-CN"/>
        </w:rPr>
        <w:t xml:space="preserve">was </w:t>
      </w:r>
      <w:r w:rsidRPr="00521EA1">
        <w:rPr>
          <w:color w:val="000000"/>
          <w:lang w:eastAsia="zh-CN"/>
        </w:rPr>
        <w:t>added to the temporary new b</w:t>
      </w:r>
      <w:r w:rsidR="00B5130B">
        <w:rPr>
          <w:color w:val="000000"/>
          <w:lang w:eastAsia="zh-CN"/>
        </w:rPr>
        <w:t xml:space="preserve">uilding fund created by </w:t>
      </w:r>
      <w:r w:rsidR="00F724AC">
        <w:rPr>
          <w:color w:val="000000"/>
          <w:lang w:eastAsia="zh-CN"/>
        </w:rPr>
        <w:t xml:space="preserve">the </w:t>
      </w:r>
      <w:r w:rsidR="00B5130B">
        <w:rPr>
          <w:color w:val="000000"/>
          <w:lang w:eastAsia="zh-CN"/>
        </w:rPr>
        <w:t>Council</w:t>
      </w:r>
      <w:r w:rsidRPr="00521EA1">
        <w:rPr>
          <w:color w:val="000000"/>
          <w:lang w:eastAsia="zh-CN"/>
        </w:rPr>
        <w:t xml:space="preserve"> </w:t>
      </w:r>
      <w:r w:rsidR="00727132">
        <w:rPr>
          <w:color w:val="000000"/>
          <w:lang w:eastAsia="zh-CN"/>
        </w:rPr>
        <w:t xml:space="preserve">at its </w:t>
      </w:r>
      <w:r w:rsidRPr="00521EA1">
        <w:rPr>
          <w:color w:val="000000"/>
          <w:lang w:eastAsia="zh-CN"/>
        </w:rPr>
        <w:t>first session</w:t>
      </w:r>
      <w:r w:rsidR="00727132">
        <w:rPr>
          <w:color w:val="000000"/>
          <w:lang w:eastAsia="zh-CN"/>
        </w:rPr>
        <w:t xml:space="preserve"> in </w:t>
      </w:r>
      <w:r w:rsidR="00727132" w:rsidRPr="00521EA1">
        <w:rPr>
          <w:color w:val="000000"/>
          <w:lang w:eastAsia="zh-CN"/>
        </w:rPr>
        <w:t>2018</w:t>
      </w:r>
      <w:r w:rsidRPr="00521EA1">
        <w:rPr>
          <w:color w:val="000000"/>
          <w:lang w:eastAsia="zh-CN"/>
        </w:rPr>
        <w:t xml:space="preserve">. </w:t>
      </w:r>
    </w:p>
    <w:p w:rsidR="002961E2" w:rsidRPr="00521EA1" w:rsidRDefault="002961E2" w:rsidP="00A5640D">
      <w:pPr>
        <w:rPr>
          <w:rFonts w:asciiTheme="minorHAnsi" w:hAnsiTheme="minorHAnsi" w:cstheme="minorHAnsi"/>
          <w:color w:val="000000"/>
          <w:szCs w:val="24"/>
          <w:lang w:eastAsia="zh-CN"/>
        </w:rPr>
      </w:pPr>
      <w:r w:rsidRPr="00521EA1">
        <w:t>1.7</w:t>
      </w:r>
      <w:r w:rsidRPr="00521EA1">
        <w:tab/>
      </w:r>
      <w:r w:rsidR="00727132">
        <w:t>S</w:t>
      </w:r>
      <w:r w:rsidR="00727132" w:rsidRPr="00727132">
        <w:t xml:space="preserve">uch sponsorships </w:t>
      </w:r>
      <w:r w:rsidR="00727132" w:rsidRPr="00727132">
        <w:rPr>
          <w:bCs/>
        </w:rPr>
        <w:t>and</w:t>
      </w:r>
      <w:r w:rsidR="00727132" w:rsidRPr="00727132">
        <w:t xml:space="preserve"> donations </w:t>
      </w:r>
      <w:r w:rsidR="004A31AD">
        <w:t>are</w:t>
      </w:r>
      <w:r w:rsidR="00727132">
        <w:t xml:space="preserve"> </w:t>
      </w:r>
      <w:r w:rsidR="00B5130B">
        <w:t>c</w:t>
      </w:r>
      <w:r w:rsidR="00727132" w:rsidRPr="00727132">
        <w:t xml:space="preserve">onsidered as supplementary to </w:t>
      </w:r>
      <w:r w:rsidR="00727132" w:rsidRPr="00727132">
        <w:rPr>
          <w:bCs/>
        </w:rPr>
        <w:t>the</w:t>
      </w:r>
      <w:r w:rsidR="00727132">
        <w:t xml:space="preserve"> budget authoriz</w:t>
      </w:r>
      <w:r w:rsidR="00727132" w:rsidRPr="00727132">
        <w:t>ed in Decision 588</w:t>
      </w:r>
      <w:r w:rsidR="0036414E">
        <w:t>.</w:t>
      </w:r>
      <w:r w:rsidR="00727132" w:rsidRPr="00727132">
        <w:t xml:space="preserve"> </w:t>
      </w:r>
      <w:r w:rsidR="0036414E">
        <w:rPr>
          <w:rFonts w:asciiTheme="minorHAnsi" w:hAnsiTheme="minorHAnsi" w:cstheme="minorHAnsi"/>
          <w:color w:val="000000"/>
          <w:szCs w:val="24"/>
          <w:lang w:eastAsia="zh-CN"/>
        </w:rPr>
        <w:t xml:space="preserve">Member States have agreed to find </w:t>
      </w:r>
      <w:r w:rsidR="0036414E" w:rsidRPr="00521EA1">
        <w:rPr>
          <w:rFonts w:asciiTheme="minorHAnsi" w:hAnsiTheme="minorHAnsi" w:cstheme="minorHAnsi"/>
          <w:color w:val="000000"/>
          <w:szCs w:val="24"/>
          <w:lang w:eastAsia="zh-CN"/>
        </w:rPr>
        <w:t xml:space="preserve">a suitable location in the new building </w:t>
      </w:r>
      <w:r w:rsidR="0036414E">
        <w:rPr>
          <w:rFonts w:asciiTheme="minorHAnsi" w:hAnsiTheme="minorHAnsi" w:cstheme="minorHAnsi"/>
          <w:color w:val="000000"/>
          <w:szCs w:val="24"/>
          <w:lang w:eastAsia="zh-CN"/>
        </w:rPr>
        <w:t xml:space="preserve">to mark </w:t>
      </w:r>
      <w:r w:rsidR="00EF487B">
        <w:rPr>
          <w:rFonts w:asciiTheme="minorHAnsi" w:hAnsiTheme="minorHAnsi" w:cstheme="minorHAnsi"/>
          <w:color w:val="000000"/>
          <w:szCs w:val="24"/>
          <w:lang w:eastAsia="zh-CN"/>
        </w:rPr>
        <w:t xml:space="preserve">their appreciation for </w:t>
      </w:r>
      <w:r w:rsidRPr="00521EA1">
        <w:rPr>
          <w:rFonts w:asciiTheme="minorHAnsi" w:hAnsiTheme="minorHAnsi" w:cstheme="minorHAnsi"/>
          <w:color w:val="000000"/>
          <w:szCs w:val="24"/>
          <w:lang w:eastAsia="zh-CN"/>
        </w:rPr>
        <w:t>the generosity of donors.</w:t>
      </w:r>
    </w:p>
    <w:p w:rsidR="002961E2" w:rsidRPr="00521EA1" w:rsidRDefault="002961E2" w:rsidP="00A5640D">
      <w:r w:rsidRPr="00521EA1">
        <w:rPr>
          <w:rFonts w:cstheme="minorHAnsi"/>
          <w:color w:val="000000"/>
          <w:lang w:eastAsia="zh-CN"/>
        </w:rPr>
        <w:t>1.8</w:t>
      </w:r>
      <w:r w:rsidRPr="00521EA1">
        <w:rPr>
          <w:rFonts w:cstheme="minorHAnsi"/>
          <w:color w:val="000000"/>
          <w:lang w:eastAsia="zh-CN"/>
        </w:rPr>
        <w:tab/>
      </w:r>
      <w:r w:rsidR="00112FF4">
        <w:t>D</w:t>
      </w:r>
      <w:r w:rsidRPr="00521EA1">
        <w:t>uring the demolition/construction period</w:t>
      </w:r>
      <w:r w:rsidR="00112FF4">
        <w:t>,</w:t>
      </w:r>
      <w:r w:rsidR="00112FF4" w:rsidRPr="00112FF4">
        <w:t xml:space="preserve"> </w:t>
      </w:r>
      <w:r w:rsidR="00112FF4">
        <w:t>t</w:t>
      </w:r>
      <w:r w:rsidR="00112FF4" w:rsidRPr="00521EA1">
        <w:t>emporary accommodation</w:t>
      </w:r>
      <w:r w:rsidR="004F5839">
        <w:t xml:space="preserve"> will be </w:t>
      </w:r>
      <w:r w:rsidR="00112FF4">
        <w:t>provided</w:t>
      </w:r>
      <w:r w:rsidR="00F50B65">
        <w:t xml:space="preserve"> for staff</w:t>
      </w:r>
      <w:r w:rsidRPr="00521EA1">
        <w:t>,</w:t>
      </w:r>
      <w:r w:rsidR="004A31AD">
        <w:t xml:space="preserve"> </w:t>
      </w:r>
      <w:r w:rsidRPr="00521EA1">
        <w:t xml:space="preserve">including through the introduction of flexible working </w:t>
      </w:r>
      <w:r w:rsidR="00112FF4">
        <w:t xml:space="preserve">arrangements </w:t>
      </w:r>
      <w:r w:rsidRPr="00521EA1">
        <w:t xml:space="preserve">and </w:t>
      </w:r>
      <w:r w:rsidR="00EF487B">
        <w:t xml:space="preserve">by </w:t>
      </w:r>
      <w:r w:rsidRPr="00B92138">
        <w:t>increasing the capacity</w:t>
      </w:r>
      <w:r w:rsidRPr="00521EA1">
        <w:t xml:space="preserve"> of the Montbrillant and Tower buildings.</w:t>
      </w:r>
    </w:p>
    <w:p w:rsidR="002961E2" w:rsidRPr="00521EA1" w:rsidRDefault="002961E2" w:rsidP="00A5640D">
      <w:r w:rsidRPr="00521EA1">
        <w:t>1.9</w:t>
      </w:r>
      <w:r w:rsidRPr="00521EA1">
        <w:tab/>
      </w:r>
      <w:r w:rsidR="00112FF4" w:rsidRPr="00112FF4">
        <w:t xml:space="preserve">Following the completion of the </w:t>
      </w:r>
      <w:r w:rsidR="00112FF4" w:rsidRPr="00F724AC">
        <w:t>project</w:t>
      </w:r>
      <w:r w:rsidR="00B92138">
        <w:t>,</w:t>
      </w:r>
      <w:r w:rsidR="004F5839">
        <w:t xml:space="preserve"> it is planned </w:t>
      </w:r>
      <w:r w:rsidR="00112FF4" w:rsidRPr="00112FF4">
        <w:t xml:space="preserve">to sell the Tower building, which currently houses </w:t>
      </w:r>
      <w:r w:rsidR="004A31AD">
        <w:t xml:space="preserve">a large number of </w:t>
      </w:r>
      <w:r w:rsidR="0073746A">
        <w:t>contributions/</w:t>
      </w:r>
      <w:r w:rsidR="00112FF4" w:rsidRPr="00112FF4">
        <w:t xml:space="preserve">donations </w:t>
      </w:r>
      <w:r w:rsidR="0073746A">
        <w:t xml:space="preserve">received by ITU </w:t>
      </w:r>
      <w:r w:rsidR="00112FF4" w:rsidRPr="00112FF4">
        <w:t>from Member States and Sector Members.</w:t>
      </w:r>
    </w:p>
    <w:p w:rsidR="002961E2" w:rsidRPr="00521EA1" w:rsidRDefault="002961E2" w:rsidP="00A5640D">
      <w:r w:rsidRPr="00521EA1">
        <w:lastRenderedPageBreak/>
        <w:t>1.10</w:t>
      </w:r>
      <w:r w:rsidRPr="00521EA1">
        <w:tab/>
      </w:r>
      <w:r w:rsidR="00D616AE" w:rsidRPr="00F50B65">
        <w:t>All ITU</w:t>
      </w:r>
      <w:r w:rsidR="0098453E">
        <w:t>'</w:t>
      </w:r>
      <w:r w:rsidR="0073746A" w:rsidRPr="00F50B65">
        <w:t>s</w:t>
      </w:r>
      <w:r w:rsidR="00D616AE" w:rsidRPr="00F50B65">
        <w:t xml:space="preserve"> </w:t>
      </w:r>
      <w:r w:rsidR="0073746A" w:rsidRPr="00F50B65">
        <w:t xml:space="preserve">existing </w:t>
      </w:r>
      <w:r w:rsidR="00D616AE" w:rsidRPr="00F50B65">
        <w:t>h</w:t>
      </w:r>
      <w:r w:rsidR="00112FF4" w:rsidRPr="00F50B65">
        <w:t>eadquarters buildings</w:t>
      </w:r>
      <w:r w:rsidR="00112FF4" w:rsidRPr="00112FF4">
        <w:t xml:space="preserve"> contain many </w:t>
      </w:r>
      <w:r w:rsidR="00112FF4" w:rsidRPr="009878AE">
        <w:t>contributions/donations</w:t>
      </w:r>
      <w:r w:rsidR="009878AE" w:rsidRPr="009878AE">
        <w:t xml:space="preserve"> </w:t>
      </w:r>
      <w:r w:rsidR="004F5839">
        <w:t xml:space="preserve">made to </w:t>
      </w:r>
      <w:r w:rsidR="00F724AC">
        <w:t>the Union</w:t>
      </w:r>
      <w:r w:rsidR="00AB6EB5">
        <w:t xml:space="preserve"> </w:t>
      </w:r>
      <w:r w:rsidR="004F5839">
        <w:t xml:space="preserve">by </w:t>
      </w:r>
      <w:r w:rsidR="00112FF4" w:rsidRPr="00112FF4">
        <w:t>Member States and Sect</w:t>
      </w:r>
      <w:r w:rsidR="00112FF4">
        <w:t xml:space="preserve">or Members </w:t>
      </w:r>
      <w:r w:rsidR="00112FF4" w:rsidRPr="00112FF4">
        <w:t xml:space="preserve">prior to the start of the </w:t>
      </w:r>
      <w:r w:rsidR="00794FDB" w:rsidRPr="00F724AC">
        <w:t>p</w:t>
      </w:r>
      <w:r w:rsidR="00112FF4" w:rsidRPr="00F724AC">
        <w:t>roject.</w:t>
      </w:r>
    </w:p>
    <w:p w:rsidR="002961E2" w:rsidRPr="00521EA1" w:rsidRDefault="002961E2" w:rsidP="00A5640D">
      <w:r w:rsidRPr="00521EA1">
        <w:t>1.11</w:t>
      </w:r>
      <w:r w:rsidRPr="00521EA1">
        <w:tab/>
      </w:r>
      <w:r w:rsidR="00112FF4" w:rsidRPr="00112FF4">
        <w:t xml:space="preserve">To date, the </w:t>
      </w:r>
      <w:r w:rsidR="00F724AC" w:rsidRPr="009878AE">
        <w:t>s</w:t>
      </w:r>
      <w:r w:rsidR="00112FF4" w:rsidRPr="009878AE">
        <w:t>ecretariat has</w:t>
      </w:r>
      <w:r w:rsidR="00112FF4" w:rsidRPr="00112FF4">
        <w:t xml:space="preserve"> not made </w:t>
      </w:r>
      <w:r w:rsidR="00D56E67">
        <w:t xml:space="preserve">sufficient </w:t>
      </w:r>
      <w:r w:rsidR="00112FF4" w:rsidRPr="00112FF4">
        <w:t xml:space="preserve">efforts </w:t>
      </w:r>
      <w:r w:rsidR="00112FF4" w:rsidRPr="00794FDB">
        <w:t xml:space="preserve">to </w:t>
      </w:r>
      <w:r w:rsidR="00F50B65">
        <w:t xml:space="preserve">review </w:t>
      </w:r>
      <w:r w:rsidR="00112FF4" w:rsidRPr="00112FF4">
        <w:t xml:space="preserve">and assess the </w:t>
      </w:r>
      <w:r w:rsidR="00794FDB">
        <w:t xml:space="preserve">importance </w:t>
      </w:r>
      <w:r w:rsidR="00112FF4" w:rsidRPr="00112FF4">
        <w:t xml:space="preserve">of </w:t>
      </w:r>
      <w:r w:rsidR="00A12CB5">
        <w:t xml:space="preserve">these </w:t>
      </w:r>
      <w:r w:rsidR="00A12CB5" w:rsidRPr="009878AE">
        <w:t>contributions/</w:t>
      </w:r>
      <w:r w:rsidR="00112FF4" w:rsidRPr="009878AE">
        <w:t>donations,</w:t>
      </w:r>
      <w:r w:rsidR="00112FF4" w:rsidRPr="00112FF4">
        <w:t xml:space="preserve"> to </w:t>
      </w:r>
      <w:r w:rsidR="00A12CB5">
        <w:t xml:space="preserve">draft </w:t>
      </w:r>
      <w:r w:rsidR="00112FF4" w:rsidRPr="00112FF4">
        <w:t>proposals</w:t>
      </w:r>
      <w:r w:rsidR="00F724AC">
        <w:t xml:space="preserve"> on</w:t>
      </w:r>
      <w:r w:rsidR="00794FDB">
        <w:t xml:space="preserve"> their </w:t>
      </w:r>
      <w:r w:rsidR="00A12CB5" w:rsidRPr="00D616AE">
        <w:t>safekeeping</w:t>
      </w:r>
      <w:r w:rsidR="00A12CB5">
        <w:t xml:space="preserve"> </w:t>
      </w:r>
      <w:r w:rsidR="00112FF4" w:rsidRPr="00112FF4">
        <w:t>during the implementation of t</w:t>
      </w:r>
      <w:r w:rsidR="00587CA9">
        <w:t>he p</w:t>
      </w:r>
      <w:r w:rsidR="00112FF4">
        <w:t xml:space="preserve">roject, and to ensure </w:t>
      </w:r>
      <w:r w:rsidR="00F724AC">
        <w:t xml:space="preserve">their preservation </w:t>
      </w:r>
      <w:r w:rsidR="00F50B65">
        <w:t>o</w:t>
      </w:r>
      <w:r w:rsidR="00112FF4" w:rsidRPr="00112FF4">
        <w:t xml:space="preserve">n the </w:t>
      </w:r>
      <w:r w:rsidR="00F50B65">
        <w:t xml:space="preserve">ITU’s </w:t>
      </w:r>
      <w:r w:rsidR="00112FF4" w:rsidRPr="00112FF4">
        <w:t>new premis</w:t>
      </w:r>
      <w:r w:rsidR="00587CA9">
        <w:t xml:space="preserve">es </w:t>
      </w:r>
      <w:r w:rsidR="00AB6EB5">
        <w:t xml:space="preserve">after the </w:t>
      </w:r>
      <w:r w:rsidR="00587CA9">
        <w:t>completion of the p</w:t>
      </w:r>
      <w:r w:rsidR="00112FF4" w:rsidRPr="00112FF4">
        <w:t>roject.</w:t>
      </w:r>
    </w:p>
    <w:p w:rsidR="002961E2" w:rsidRPr="00521EA1" w:rsidRDefault="002961E2" w:rsidP="00A5640D">
      <w:r w:rsidRPr="00521EA1">
        <w:t>1.12</w:t>
      </w:r>
      <w:r w:rsidRPr="00521EA1">
        <w:tab/>
      </w:r>
      <w:r w:rsidR="00B116E1">
        <w:t>In its negotiations</w:t>
      </w:r>
      <w:r w:rsidR="00B116E1" w:rsidRPr="00B116E1">
        <w:t xml:space="preserve"> with potential project sponsors</w:t>
      </w:r>
      <w:r w:rsidR="00B116E1">
        <w:t>, the</w:t>
      </w:r>
      <w:r w:rsidR="00B116E1" w:rsidRPr="00B116E1">
        <w:t xml:space="preserve"> </w:t>
      </w:r>
      <w:r w:rsidR="00F724AC">
        <w:t>s</w:t>
      </w:r>
      <w:r w:rsidR="00B116E1">
        <w:t>ecretariat</w:t>
      </w:r>
      <w:r w:rsidR="00B116E1" w:rsidRPr="00B116E1">
        <w:t xml:space="preserve"> </w:t>
      </w:r>
      <w:r w:rsidR="006F64EF">
        <w:t xml:space="preserve">has not considered </w:t>
      </w:r>
      <w:r w:rsidR="00B116E1" w:rsidRPr="00B116E1">
        <w:t xml:space="preserve">the need to ensure the </w:t>
      </w:r>
      <w:r w:rsidR="00AB6EB5">
        <w:t xml:space="preserve">preservation </w:t>
      </w:r>
      <w:r w:rsidR="00B116E1">
        <w:t>of contributions/donations</w:t>
      </w:r>
      <w:r w:rsidR="003E14D5">
        <w:t xml:space="preserve"> </w:t>
      </w:r>
      <w:r w:rsidR="00794FDB">
        <w:t xml:space="preserve">made </w:t>
      </w:r>
      <w:r w:rsidR="00F50B65">
        <w:t xml:space="preserve">in the past </w:t>
      </w:r>
      <w:r w:rsidR="00794FDB">
        <w:t xml:space="preserve">by </w:t>
      </w:r>
      <w:r w:rsidR="00B116E1" w:rsidRPr="00B116E1">
        <w:t xml:space="preserve">Member States and </w:t>
      </w:r>
      <w:r w:rsidR="00D539AA">
        <w:t>S</w:t>
      </w:r>
      <w:r w:rsidR="00D539AA" w:rsidRPr="00B116E1">
        <w:t xml:space="preserve">ector </w:t>
      </w:r>
      <w:r w:rsidR="00AB6EB5">
        <w:t xml:space="preserve">Members; </w:t>
      </w:r>
      <w:r w:rsidR="00AB6EB5" w:rsidRPr="00AB6EB5">
        <w:t xml:space="preserve">this </w:t>
      </w:r>
      <w:r w:rsidR="00B116E1" w:rsidRPr="00AB6EB5">
        <w:t xml:space="preserve">may </w:t>
      </w:r>
      <w:r w:rsidR="00F75ADD" w:rsidRPr="00AB6EB5">
        <w:t xml:space="preserve">be detrimental </w:t>
      </w:r>
      <w:r w:rsidR="00E867A1" w:rsidRPr="00AB6EB5">
        <w:t xml:space="preserve">to ensuring the legacy </w:t>
      </w:r>
      <w:r w:rsidR="00B116E1" w:rsidRPr="00AB6EB5">
        <w:t xml:space="preserve">and </w:t>
      </w:r>
      <w:r w:rsidR="00E867A1" w:rsidRPr="00AB6EB5">
        <w:t xml:space="preserve">protecting the history </w:t>
      </w:r>
      <w:r w:rsidR="00F40A14" w:rsidRPr="00AB6EB5">
        <w:t xml:space="preserve">of the </w:t>
      </w:r>
      <w:r w:rsidR="00B116E1" w:rsidRPr="00AB6EB5">
        <w:t>Union.</w:t>
      </w:r>
    </w:p>
    <w:p w:rsidR="002961E2" w:rsidRPr="00521EA1" w:rsidRDefault="002961E2" w:rsidP="00266055">
      <w:pPr>
        <w:pStyle w:val="Heading1"/>
        <w:spacing w:before="240"/>
      </w:pPr>
      <w:r w:rsidRPr="00521EA1">
        <w:t>2</w:t>
      </w:r>
      <w:r w:rsidRPr="00521EA1">
        <w:tab/>
      </w:r>
      <w:r w:rsidR="00D56E67">
        <w:t>Proposal</w:t>
      </w:r>
    </w:p>
    <w:p w:rsidR="002961E2" w:rsidRPr="00521EA1" w:rsidRDefault="00D56E67" w:rsidP="00266055">
      <w:pPr>
        <w:spacing w:before="60"/>
      </w:pPr>
      <w:bookmarkStart w:id="14" w:name="lt_pId060"/>
      <w:r>
        <w:t>In the light of the foregoing, in particular paragraphs 1.10-1.12</w:t>
      </w:r>
      <w:r w:rsidR="00F50B65">
        <w:t xml:space="preserve"> above</w:t>
      </w:r>
      <w:r>
        <w:t xml:space="preserve">, the </w:t>
      </w:r>
      <w:r>
        <w:rPr>
          <w:color w:val="000000"/>
        </w:rPr>
        <w:t>Administration of the Russian Federation</w:t>
      </w:r>
      <w:r>
        <w:t xml:space="preserve"> and … proposes that the Council</w:t>
      </w:r>
      <w:r w:rsidR="002961E2" w:rsidRPr="00521EA1">
        <w:t>:</w:t>
      </w:r>
      <w:bookmarkEnd w:id="14"/>
    </w:p>
    <w:p w:rsidR="002961E2" w:rsidRPr="00521EA1" w:rsidRDefault="002961E2" w:rsidP="00266055">
      <w:pPr>
        <w:spacing w:before="60"/>
      </w:pPr>
      <w:r w:rsidRPr="00521EA1">
        <w:t>2.1</w:t>
      </w:r>
      <w:r w:rsidRPr="00521EA1">
        <w:tab/>
      </w:r>
      <w:bookmarkStart w:id="15" w:name="lt_pId062"/>
      <w:r w:rsidR="009E6CC4" w:rsidRPr="009E6CC4">
        <w:t xml:space="preserve">Take urgent measures to ensure the </w:t>
      </w:r>
      <w:r w:rsidR="00AB6EB5">
        <w:t xml:space="preserve">preservation </w:t>
      </w:r>
      <w:r w:rsidR="009E6CC4">
        <w:t xml:space="preserve">of </w:t>
      </w:r>
      <w:r w:rsidR="009E6CC4" w:rsidRPr="009E6CC4">
        <w:t>contributions/donations made by Member States and Sector Members</w:t>
      </w:r>
      <w:r w:rsidR="009E6CC4">
        <w:t xml:space="preserve"> prior to th</w:t>
      </w:r>
      <w:r w:rsidR="004D7ABA">
        <w:t>e start of the ITU</w:t>
      </w:r>
      <w:r w:rsidR="00F50B65">
        <w:t>’s new</w:t>
      </w:r>
      <w:r w:rsidR="004D7ABA">
        <w:t xml:space="preserve"> headquarters </w:t>
      </w:r>
      <w:r w:rsidR="00EB65DC">
        <w:t xml:space="preserve">building </w:t>
      </w:r>
      <w:r w:rsidR="009E6CC4">
        <w:t>p</w:t>
      </w:r>
      <w:r w:rsidR="009E6CC4" w:rsidRPr="009E6CC4">
        <w:t>roject</w:t>
      </w:r>
      <w:r w:rsidRPr="00521EA1">
        <w:t>.</w:t>
      </w:r>
      <w:bookmarkEnd w:id="15"/>
    </w:p>
    <w:p w:rsidR="002961E2" w:rsidRPr="00521EA1" w:rsidRDefault="002961E2" w:rsidP="00266055">
      <w:pPr>
        <w:spacing w:before="60"/>
      </w:pPr>
      <w:r w:rsidRPr="00521EA1">
        <w:t>2.2</w:t>
      </w:r>
      <w:r w:rsidRPr="00521EA1">
        <w:tab/>
      </w:r>
      <w:bookmarkStart w:id="16" w:name="lt_pId064"/>
      <w:r w:rsidR="009E6CC4" w:rsidRPr="009E6CC4">
        <w:t>I</w:t>
      </w:r>
      <w:r w:rsidR="00F724AC">
        <w:t xml:space="preserve">nstruct the </w:t>
      </w:r>
      <w:r w:rsidR="00F724AC" w:rsidRPr="003E14D5">
        <w:t>s</w:t>
      </w:r>
      <w:r w:rsidR="00100FEE" w:rsidRPr="003E14D5">
        <w:t>ecretariat</w:t>
      </w:r>
      <w:r w:rsidR="00100FEE">
        <w:t xml:space="preserve"> of the </w:t>
      </w:r>
      <w:r w:rsidR="009E6CC4" w:rsidRPr="009E6CC4">
        <w:t xml:space="preserve">2020 </w:t>
      </w:r>
      <w:r w:rsidR="00100FEE" w:rsidRPr="009E6CC4">
        <w:t xml:space="preserve">Session </w:t>
      </w:r>
      <w:r w:rsidR="00100FEE">
        <w:t xml:space="preserve">of the </w:t>
      </w:r>
      <w:r w:rsidR="009E6CC4" w:rsidRPr="009E6CC4">
        <w:t xml:space="preserve">Council </w:t>
      </w:r>
      <w:r w:rsidR="00100FEE">
        <w:t xml:space="preserve">to </w:t>
      </w:r>
      <w:r w:rsidR="00DC7C4C">
        <w:t xml:space="preserve">review </w:t>
      </w:r>
      <w:r w:rsidR="009E6CC4" w:rsidRPr="009E6CC4">
        <w:t>t</w:t>
      </w:r>
      <w:r w:rsidR="00100FEE">
        <w:t>he contributions/</w:t>
      </w:r>
      <w:r w:rsidR="009878AE">
        <w:t>donations</w:t>
      </w:r>
      <w:r w:rsidR="00BE0948">
        <w:t xml:space="preserve"> </w:t>
      </w:r>
      <w:r w:rsidR="00100FEE">
        <w:t xml:space="preserve">made </w:t>
      </w:r>
      <w:r w:rsidR="009E6CC4" w:rsidRPr="009E6CC4">
        <w:t xml:space="preserve">and </w:t>
      </w:r>
      <w:r w:rsidR="00100FEE">
        <w:t xml:space="preserve">to </w:t>
      </w:r>
      <w:r w:rsidR="00F724AC">
        <w:t>draft proposals on</w:t>
      </w:r>
      <w:r w:rsidR="009E6CC4" w:rsidRPr="009E6CC4">
        <w:t xml:space="preserve"> their safekeeping during the im</w:t>
      </w:r>
      <w:r w:rsidR="008B439A">
        <w:t>plementation of the project and</w:t>
      </w:r>
      <w:r w:rsidR="00100FEE">
        <w:t xml:space="preserve"> their preservation </w:t>
      </w:r>
      <w:r w:rsidR="00DA066B">
        <w:t>o</w:t>
      </w:r>
      <w:r w:rsidR="009E6CC4" w:rsidRPr="009E6CC4">
        <w:t xml:space="preserve">n the </w:t>
      </w:r>
      <w:r w:rsidR="00F50B65" w:rsidRPr="009E6CC4">
        <w:t>ITU</w:t>
      </w:r>
      <w:r w:rsidR="00DA066B">
        <w:t>’s</w:t>
      </w:r>
      <w:r w:rsidR="00F50B65" w:rsidRPr="009E6CC4">
        <w:t xml:space="preserve"> </w:t>
      </w:r>
      <w:r w:rsidR="009E6CC4" w:rsidRPr="009E6CC4">
        <w:t>new premises after the completion of the project</w:t>
      </w:r>
      <w:r w:rsidRPr="00521EA1">
        <w:t>.</w:t>
      </w:r>
      <w:bookmarkEnd w:id="16"/>
    </w:p>
    <w:p w:rsidR="002961E2" w:rsidRPr="00521EA1" w:rsidRDefault="002961E2" w:rsidP="00266055">
      <w:pPr>
        <w:spacing w:before="60"/>
      </w:pPr>
      <w:r w:rsidRPr="00521EA1">
        <w:t>2.3</w:t>
      </w:r>
      <w:r w:rsidRPr="00521EA1">
        <w:tab/>
      </w:r>
      <w:bookmarkStart w:id="17" w:name="lt_pId066"/>
      <w:r w:rsidR="00F724AC">
        <w:t>Instruct the Secretary-</w:t>
      </w:r>
      <w:r w:rsidR="00100FEE">
        <w:t xml:space="preserve">General to take </w:t>
      </w:r>
      <w:r w:rsidR="00F724AC">
        <w:t xml:space="preserve">into account the </w:t>
      </w:r>
      <w:r w:rsidR="00100FEE">
        <w:t>contributions/donations</w:t>
      </w:r>
      <w:r w:rsidR="009878AE">
        <w:t xml:space="preserve"> </w:t>
      </w:r>
      <w:r w:rsidR="00100FEE">
        <w:t xml:space="preserve">made </w:t>
      </w:r>
      <w:r w:rsidR="00DA066B">
        <w:t xml:space="preserve">in the past </w:t>
      </w:r>
      <w:r w:rsidR="00100FEE">
        <w:t xml:space="preserve">by </w:t>
      </w:r>
      <w:r w:rsidR="00100FEE" w:rsidRPr="00B116E1">
        <w:t xml:space="preserve">Member States and </w:t>
      </w:r>
      <w:r w:rsidR="00100FEE">
        <w:t>S</w:t>
      </w:r>
      <w:r w:rsidR="00100FEE" w:rsidRPr="00B116E1">
        <w:t>ector Members</w:t>
      </w:r>
      <w:r w:rsidR="00100FEE">
        <w:t xml:space="preserve"> when conducting </w:t>
      </w:r>
      <w:r w:rsidR="00D616AE">
        <w:t xml:space="preserve">his </w:t>
      </w:r>
      <w:r w:rsidR="00100FEE">
        <w:t>negotiations with potential project sponso</w:t>
      </w:r>
      <w:r w:rsidR="00D616AE">
        <w:t>rs</w:t>
      </w:r>
      <w:r w:rsidR="00AB6EB5">
        <w:t>,</w:t>
      </w:r>
      <w:r w:rsidR="00D616AE">
        <w:t xml:space="preserve"> with a view to ensuring the</w:t>
      </w:r>
      <w:r w:rsidR="00F724AC">
        <w:t xml:space="preserve"> </w:t>
      </w:r>
      <w:r w:rsidR="00AB6EB5">
        <w:t xml:space="preserve">preservation </w:t>
      </w:r>
      <w:r w:rsidR="00D616AE">
        <w:t>of such contributions/donations</w:t>
      </w:r>
      <w:r w:rsidR="003E14D5">
        <w:t xml:space="preserve"> </w:t>
      </w:r>
      <w:r w:rsidR="008B439A">
        <w:t xml:space="preserve">and </w:t>
      </w:r>
      <w:r w:rsidR="00D616AE">
        <w:t xml:space="preserve">their </w:t>
      </w:r>
      <w:r w:rsidR="008B439A">
        <w:t>importance for the history of the Union</w:t>
      </w:r>
      <w:r w:rsidRPr="00521EA1">
        <w:t>.</w:t>
      </w:r>
      <w:bookmarkEnd w:id="17"/>
    </w:p>
    <w:p w:rsidR="002961E2" w:rsidRPr="00521EA1" w:rsidRDefault="008B439A" w:rsidP="00A5640D">
      <w:bookmarkStart w:id="18" w:name="lt_pId067"/>
      <w:r w:rsidRPr="00AB6EB5">
        <w:t>The draft decision of the 2019 Session of the Council is attached.</w:t>
      </w:r>
      <w:r>
        <w:t xml:space="preserve"> </w:t>
      </w:r>
    </w:p>
    <w:bookmarkEnd w:id="18"/>
    <w:p w:rsidR="002961E2" w:rsidRPr="00521EA1" w:rsidRDefault="00266055" w:rsidP="00266055">
      <w:pPr>
        <w:pStyle w:val="AnnexNo"/>
      </w:pPr>
      <w:r>
        <w:t>ANNEX</w:t>
      </w:r>
    </w:p>
    <w:p w:rsidR="002961E2" w:rsidRPr="00521EA1" w:rsidRDefault="002961E2" w:rsidP="00A5640D">
      <w:pPr>
        <w:pStyle w:val="PartNo"/>
      </w:pPr>
      <w:r w:rsidRPr="00521EA1">
        <w:lastRenderedPageBreak/>
        <w:t>decision xxx</w:t>
      </w:r>
    </w:p>
    <w:p w:rsidR="002961E2" w:rsidRPr="00521EA1" w:rsidRDefault="002961E2" w:rsidP="00A5640D">
      <w:pPr>
        <w:pStyle w:val="Partref"/>
      </w:pPr>
      <w:r w:rsidRPr="00521EA1">
        <w:t>(</w:t>
      </w:r>
      <w:r w:rsidR="008B439A" w:rsidRPr="009878AE">
        <w:t>adopted at</w:t>
      </w:r>
      <w:r w:rsidR="008B439A">
        <w:t xml:space="preserve"> the XXX Plenary Meeting</w:t>
      </w:r>
      <w:r w:rsidRPr="00521EA1">
        <w:t>)</w:t>
      </w:r>
    </w:p>
    <w:p w:rsidR="00D53467" w:rsidRPr="00521EA1" w:rsidRDefault="00D83932" w:rsidP="00A5640D">
      <w:pPr>
        <w:pStyle w:val="Parttitle"/>
      </w:pPr>
      <w:r>
        <w:t xml:space="preserve">Ensuring the </w:t>
      </w:r>
      <w:r w:rsidR="003E14D5">
        <w:t>preservation of contributions</w:t>
      </w:r>
      <w:r w:rsidR="00AB6EB5">
        <w:t>/</w:t>
      </w:r>
      <w:r w:rsidR="00D53467" w:rsidRPr="00521EA1">
        <w:t>donations</w:t>
      </w:r>
      <w:r w:rsidR="00D53467" w:rsidRPr="00521EA1">
        <w:rPr>
          <w:rStyle w:val="FootnoteReference"/>
          <w:b w:val="0"/>
          <w:bCs/>
          <w:sz w:val="20"/>
        </w:rPr>
        <w:footnoteReference w:id="3"/>
      </w:r>
      <w:r>
        <w:t xml:space="preserve"> from Member States and Sector Members in the </w:t>
      </w:r>
      <w:r w:rsidR="00B71995">
        <w:t>Union'</w:t>
      </w:r>
      <w:r w:rsidR="00B92138">
        <w:t>s</w:t>
      </w:r>
      <w:r w:rsidR="00D96EFE">
        <w:t xml:space="preserve"> </w:t>
      </w:r>
      <w:r w:rsidRPr="00AB6EB5">
        <w:t>new headquarters premises</w:t>
      </w:r>
    </w:p>
    <w:p w:rsidR="002961E2" w:rsidRPr="00521EA1" w:rsidRDefault="002961E2" w:rsidP="00A5640D">
      <w:r w:rsidRPr="00521EA1">
        <w:t>The Council,</w:t>
      </w:r>
    </w:p>
    <w:p w:rsidR="00D83932" w:rsidRPr="00D83932" w:rsidRDefault="00BE0948" w:rsidP="00B71995">
      <w:pPr>
        <w:pStyle w:val="Call"/>
      </w:pPr>
      <w:bookmarkStart w:id="19" w:name="_Toc406757765"/>
      <w:r>
        <w:t>r</w:t>
      </w:r>
      <w:r w:rsidR="00D83932" w:rsidRPr="00D83932">
        <w:t>ecognizing</w:t>
      </w:r>
    </w:p>
    <w:p w:rsidR="002961E2" w:rsidRPr="00521EA1" w:rsidRDefault="001627B6" w:rsidP="00A5640D">
      <w:r w:rsidRPr="00521EA1">
        <w:t>Resolution </w:t>
      </w:r>
      <w:r w:rsidRPr="00521EA1">
        <w:rPr>
          <w:rStyle w:val="href"/>
        </w:rPr>
        <w:t>194</w:t>
      </w:r>
      <w:r w:rsidRPr="00521EA1">
        <w:t xml:space="preserve"> (Busan, 2014)</w:t>
      </w:r>
      <w:bookmarkEnd w:id="19"/>
      <w:r w:rsidRPr="00521EA1">
        <w:t xml:space="preserve"> </w:t>
      </w:r>
      <w:bookmarkStart w:id="20" w:name="_Toc406757766"/>
      <w:r w:rsidR="00D83932" w:rsidRPr="00634240">
        <w:t>on o</w:t>
      </w:r>
      <w:r w:rsidRPr="00634240">
        <w:t>ptions for</w:t>
      </w:r>
      <w:r w:rsidRPr="00521EA1">
        <w:t xml:space="preserve"> the Union's headquarters premises over the long term</w:t>
      </w:r>
      <w:bookmarkEnd w:id="20"/>
      <w:r w:rsidRPr="00521EA1">
        <w:t>;</w:t>
      </w:r>
    </w:p>
    <w:p w:rsidR="001627B6" w:rsidRPr="00521EA1" w:rsidRDefault="00401A2C" w:rsidP="00A5640D">
      <w:bookmarkStart w:id="21" w:name="_Toc536018369"/>
      <w:r w:rsidRPr="00521EA1">
        <w:t xml:space="preserve">Resolution </w:t>
      </w:r>
      <w:r w:rsidRPr="00521EA1">
        <w:rPr>
          <w:rStyle w:val="href"/>
        </w:rPr>
        <w:t>212</w:t>
      </w:r>
      <w:r w:rsidRPr="00521EA1">
        <w:t xml:space="preserve"> (Dubai, 2018)</w:t>
      </w:r>
      <w:bookmarkEnd w:id="21"/>
      <w:r w:rsidRPr="00521EA1">
        <w:t xml:space="preserve"> </w:t>
      </w:r>
      <w:bookmarkStart w:id="22" w:name="_Toc536018370"/>
      <w:r w:rsidR="00D83932">
        <w:t>on t</w:t>
      </w:r>
      <w:r w:rsidRPr="00521EA1">
        <w:t>he Union's future headquarters premises</w:t>
      </w:r>
      <w:bookmarkEnd w:id="22"/>
      <w:r w:rsidRPr="00521EA1">
        <w:t>;</w:t>
      </w:r>
    </w:p>
    <w:p w:rsidR="00401A2C" w:rsidRPr="00521EA1" w:rsidRDefault="00401A2C" w:rsidP="00A5640D">
      <w:r w:rsidRPr="00521EA1">
        <w:t xml:space="preserve">Decision 588 </w:t>
      </w:r>
      <w:r w:rsidR="00365CFA">
        <w:t>(</w:t>
      </w:r>
      <w:r w:rsidR="00BE0948" w:rsidRPr="009878AE">
        <w:t>Council, 20</w:t>
      </w:r>
      <w:r w:rsidRPr="009878AE">
        <w:t>16</w:t>
      </w:r>
      <w:r w:rsidR="00365CFA" w:rsidRPr="009878AE">
        <w:t>)</w:t>
      </w:r>
      <w:r w:rsidR="00D53467" w:rsidRPr="00521EA1">
        <w:t xml:space="preserve"> </w:t>
      </w:r>
      <w:r w:rsidR="00542981">
        <w:t>on</w:t>
      </w:r>
      <w:r w:rsidRPr="00521EA1">
        <w:t xml:space="preserve"> headquarters premises</w:t>
      </w:r>
      <w:r w:rsidR="00D66646">
        <w:t>,</w:t>
      </w:r>
    </w:p>
    <w:p w:rsidR="00D53467" w:rsidRPr="00521EA1" w:rsidRDefault="00056B2A" w:rsidP="00A5640D">
      <w:pPr>
        <w:pStyle w:val="Call"/>
      </w:pPr>
      <w:r>
        <w:t>recalling</w:t>
      </w:r>
      <w:r w:rsidR="00D53467" w:rsidRPr="00521EA1">
        <w:t xml:space="preserve"> its decision</w:t>
      </w:r>
      <w:r>
        <w:t>s on</w:t>
      </w:r>
    </w:p>
    <w:p w:rsidR="00D53467" w:rsidRPr="00521EA1" w:rsidRDefault="00D53467" w:rsidP="00A5640D">
      <w:pPr>
        <w:widowControl w:val="0"/>
        <w:snapToGrid w:val="0"/>
        <w:rPr>
          <w:rFonts w:cstheme="minorHAnsi"/>
          <w:szCs w:val="24"/>
        </w:rPr>
      </w:pPr>
      <w:r w:rsidRPr="00521EA1">
        <w:rPr>
          <w:rFonts w:cstheme="minorHAnsi"/>
          <w:szCs w:val="24"/>
        </w:rPr>
        <w:t>the Council Working Group on headquarters premises (CWG-HQP)</w:t>
      </w:r>
      <w:r w:rsidR="00D66646">
        <w:rPr>
          <w:rFonts w:cstheme="minorHAnsi"/>
          <w:szCs w:val="24"/>
        </w:rPr>
        <w:t>;</w:t>
      </w:r>
    </w:p>
    <w:p w:rsidR="00D53467" w:rsidRPr="00521EA1" w:rsidRDefault="00056B2A" w:rsidP="00A5640D">
      <w:pPr>
        <w:ind w:left="567" w:hanging="567"/>
      </w:pPr>
      <w:r>
        <w:lastRenderedPageBreak/>
        <w:t>the Member States Adv</w:t>
      </w:r>
      <w:r w:rsidR="00E4619D">
        <w:t>i</w:t>
      </w:r>
      <w:r>
        <w:t>sory Group</w:t>
      </w:r>
      <w:r w:rsidR="00D66646">
        <w:t>,</w:t>
      </w:r>
    </w:p>
    <w:p w:rsidR="00D53467" w:rsidRPr="00521EA1" w:rsidRDefault="00D53467" w:rsidP="00A5640D">
      <w:pPr>
        <w:pStyle w:val="Call"/>
      </w:pPr>
      <w:r w:rsidRPr="00521EA1">
        <w:t>having considered</w:t>
      </w:r>
    </w:p>
    <w:p w:rsidR="00D53467" w:rsidRPr="00521EA1" w:rsidRDefault="00D53467" w:rsidP="00A5640D">
      <w:pPr>
        <w:snapToGrid w:val="0"/>
        <w:rPr>
          <w:rFonts w:cstheme="minorHAnsi"/>
          <w:szCs w:val="24"/>
        </w:rPr>
      </w:pPr>
      <w:r w:rsidRPr="00521EA1">
        <w:rPr>
          <w:rFonts w:cstheme="minorHAnsi"/>
          <w:szCs w:val="24"/>
        </w:rPr>
        <w:t>the Final Repo</w:t>
      </w:r>
      <w:r w:rsidR="00634240">
        <w:rPr>
          <w:rFonts w:cstheme="minorHAnsi"/>
          <w:szCs w:val="24"/>
        </w:rPr>
        <w:t>rt of CWG-HQP and endorsed its final conclusions and r</w:t>
      </w:r>
      <w:r w:rsidR="003E14D5">
        <w:rPr>
          <w:rFonts w:cstheme="minorHAnsi"/>
          <w:szCs w:val="24"/>
        </w:rPr>
        <w:t>ecommendations</w:t>
      </w:r>
      <w:r w:rsidR="00D66646">
        <w:rPr>
          <w:rFonts w:cstheme="minorHAnsi"/>
          <w:szCs w:val="24"/>
        </w:rPr>
        <w:t>,</w:t>
      </w:r>
      <w:r w:rsidR="003E14D5">
        <w:rPr>
          <w:rFonts w:cstheme="minorHAnsi"/>
          <w:szCs w:val="24"/>
        </w:rPr>
        <w:t xml:space="preserve"> </w:t>
      </w:r>
      <w:r w:rsidRPr="00521EA1">
        <w:rPr>
          <w:rFonts w:cstheme="minorHAnsi"/>
          <w:szCs w:val="24"/>
        </w:rPr>
        <w:t>(</w:t>
      </w:r>
      <w:hyperlink r:id="rId15" w:history="1">
        <w:r w:rsidRPr="00521EA1">
          <w:rPr>
            <w:rStyle w:val="Hyperlink"/>
            <w:rFonts w:cstheme="minorHAnsi"/>
            <w:szCs w:val="24"/>
          </w:rPr>
          <w:t>Document C16/7</w:t>
        </w:r>
      </w:hyperlink>
      <w:r w:rsidR="00D66646">
        <w:rPr>
          <w:rFonts w:cstheme="minorHAnsi"/>
          <w:szCs w:val="24"/>
        </w:rPr>
        <w:t>);</w:t>
      </w:r>
    </w:p>
    <w:p w:rsidR="00D53467" w:rsidRPr="00521EA1" w:rsidRDefault="00056B2A" w:rsidP="00B71995">
      <w:r>
        <w:t xml:space="preserve">the reports to the Council </w:t>
      </w:r>
      <w:r w:rsidR="003E14D5">
        <w:t xml:space="preserve">by </w:t>
      </w:r>
      <w:r w:rsidR="00E4619D">
        <w:t xml:space="preserve">the </w:t>
      </w:r>
      <w:r w:rsidR="00E4619D" w:rsidRPr="00745971">
        <w:t>Secretary-General</w:t>
      </w:r>
      <w:r w:rsidR="00E4619D">
        <w:t xml:space="preserve"> on the progress of work on the </w:t>
      </w:r>
      <w:r w:rsidR="00363224">
        <w:t xml:space="preserve">project for the </w:t>
      </w:r>
      <w:r w:rsidR="00D66646">
        <w:t xml:space="preserve">ITU’s  </w:t>
      </w:r>
      <w:r w:rsidR="00745971">
        <w:t>new</w:t>
      </w:r>
      <w:r w:rsidR="00E4619D">
        <w:t xml:space="preserve"> headquarters building</w:t>
      </w:r>
      <w:r w:rsidR="00EA5F36">
        <w:t xml:space="preserve">, contained in </w:t>
      </w:r>
      <w:r w:rsidR="00DC09BD" w:rsidRPr="003E14D5">
        <w:t>D</w:t>
      </w:r>
      <w:r w:rsidR="00EA5F36" w:rsidRPr="003E14D5">
        <w:t>ocuments</w:t>
      </w:r>
      <w:r w:rsidR="00745971">
        <w:t xml:space="preserve"> C17/99</w:t>
      </w:r>
      <w:r w:rsidR="00EA5F36" w:rsidRPr="00266055">
        <w:t xml:space="preserve">, </w:t>
      </w:r>
      <w:r w:rsidR="00EA5F36" w:rsidRPr="00EA5F36">
        <w:rPr>
          <w:lang w:val="en-US"/>
        </w:rPr>
        <w:t>C</w:t>
      </w:r>
      <w:r w:rsidR="00EA5F36" w:rsidRPr="00266055">
        <w:t xml:space="preserve">17/67, </w:t>
      </w:r>
      <w:r w:rsidR="00EA5F36">
        <w:rPr>
          <w:lang w:val="ru-RU"/>
        </w:rPr>
        <w:t>С</w:t>
      </w:r>
      <w:r w:rsidR="00EA5F36" w:rsidRPr="00266055">
        <w:t xml:space="preserve">18/47, </w:t>
      </w:r>
      <w:r w:rsidR="00EA5F36">
        <w:rPr>
          <w:lang w:val="ru-RU"/>
        </w:rPr>
        <w:t>С</w:t>
      </w:r>
      <w:r w:rsidR="00EA5F36" w:rsidRPr="00266055">
        <w:t xml:space="preserve">18/48, C18/123 and </w:t>
      </w:r>
      <w:r w:rsidR="00EA5F36" w:rsidRPr="003E14D5">
        <w:rPr>
          <w:lang w:val="en-US"/>
        </w:rPr>
        <w:t>C</w:t>
      </w:r>
      <w:r w:rsidR="00EA5F36" w:rsidRPr="00266055">
        <w:t>18/123</w:t>
      </w:r>
      <w:r w:rsidR="003E14D5" w:rsidRPr="003E14D5">
        <w:rPr>
          <w:lang w:val="en-US"/>
        </w:rPr>
        <w:t>(</w:t>
      </w:r>
      <w:r w:rsidR="00EA5F36" w:rsidRPr="003E14D5">
        <w:rPr>
          <w:lang w:val="en-US"/>
        </w:rPr>
        <w:t>A</w:t>
      </w:r>
      <w:r w:rsidR="003E14D5" w:rsidRPr="003E14D5">
        <w:rPr>
          <w:lang w:val="en-US"/>
        </w:rPr>
        <w:t>dd.</w:t>
      </w:r>
      <w:r w:rsidR="00EA5F36" w:rsidRPr="00266055">
        <w:t>1</w:t>
      </w:r>
      <w:r w:rsidR="003E14D5" w:rsidRPr="003E14D5">
        <w:rPr>
          <w:lang w:val="en-US"/>
        </w:rPr>
        <w:t>)</w:t>
      </w:r>
      <w:r w:rsidR="00EA5F36" w:rsidRPr="00266055">
        <w:t>,</w:t>
      </w:r>
    </w:p>
    <w:p w:rsidR="00951178" w:rsidRPr="00AE55A2" w:rsidRDefault="00951178" w:rsidP="00A5640D">
      <w:pPr>
        <w:pStyle w:val="Call"/>
      </w:pPr>
      <w:r w:rsidRPr="00AE55A2">
        <w:t>welcoming</w:t>
      </w:r>
    </w:p>
    <w:p w:rsidR="00D66646" w:rsidRDefault="00951178" w:rsidP="00C97651">
      <w:r>
        <w:t>the offer o</w:t>
      </w:r>
      <w:r w:rsidR="00056B2A">
        <w:t>f an interest-</w:t>
      </w:r>
      <w:r w:rsidR="00C97651">
        <w:t>free loan of CHF </w:t>
      </w:r>
      <w:r>
        <w:t>150</w:t>
      </w:r>
      <w:r w:rsidR="00C97651">
        <w:t> </w:t>
      </w:r>
      <w:r>
        <w:t xml:space="preserve">million from the </w:t>
      </w:r>
      <w:r w:rsidR="00DC09BD" w:rsidRPr="00745971">
        <w:t>h</w:t>
      </w:r>
      <w:r w:rsidRPr="00745971">
        <w:t xml:space="preserve">ost </w:t>
      </w:r>
      <w:r w:rsidR="00DC09BD" w:rsidRPr="00745971">
        <w:t>c</w:t>
      </w:r>
      <w:r w:rsidRPr="00745971">
        <w:t>ountry</w:t>
      </w:r>
      <w:r>
        <w:t xml:space="preserve"> for the construction of </w:t>
      </w:r>
      <w:r w:rsidR="00EA5F36">
        <w:t xml:space="preserve">a </w:t>
      </w:r>
      <w:r>
        <w:t>new Varembé building and its connecti</w:t>
      </w:r>
      <w:r w:rsidR="00D66646">
        <w:t>on to the Montbrillant building;</w:t>
      </w:r>
    </w:p>
    <w:p w:rsidR="00951178" w:rsidRDefault="00EA5F36" w:rsidP="00B71995">
      <w:r>
        <w:t xml:space="preserve">the sponsorship of Saudi Arabia, </w:t>
      </w:r>
      <w:r w:rsidRPr="00363224">
        <w:t>the</w:t>
      </w:r>
      <w:r w:rsidR="00363224">
        <w:t xml:space="preserve"> United Arab Emirates</w:t>
      </w:r>
      <w:r>
        <w:t xml:space="preserve"> and the Czech Republic, which have </w:t>
      </w:r>
      <w:r w:rsidR="00D91F26">
        <w:t xml:space="preserve">provided </w:t>
      </w:r>
      <w:r w:rsidR="00C97651">
        <w:t>CHF </w:t>
      </w:r>
      <w:r>
        <w:t>10</w:t>
      </w:r>
      <w:r w:rsidR="00C97651">
        <w:t> million, CHF 5 million and USD </w:t>
      </w:r>
      <w:r>
        <w:t>100</w:t>
      </w:r>
      <w:r w:rsidR="00C97651">
        <w:t> </w:t>
      </w:r>
      <w:r>
        <w:t>000 resp</w:t>
      </w:r>
      <w:r w:rsidR="00363224">
        <w:t>ectively,</w:t>
      </w:r>
    </w:p>
    <w:p w:rsidR="00EA5F36" w:rsidRPr="00EA5F36" w:rsidRDefault="00EA5F36" w:rsidP="00B71995">
      <w:pPr>
        <w:pStyle w:val="Call"/>
        <w:rPr>
          <w:i w:val="0"/>
        </w:rPr>
      </w:pPr>
      <w:r w:rsidRPr="00363224">
        <w:t>noting</w:t>
      </w:r>
    </w:p>
    <w:p w:rsidR="00D91F26" w:rsidRDefault="00D91F26" w:rsidP="00A5640D">
      <w:r>
        <w:t xml:space="preserve">the significant contribution made by some Member States and Sector Members </w:t>
      </w:r>
      <w:r w:rsidR="00CE5014">
        <w:t>in previous years to support</w:t>
      </w:r>
      <w:r>
        <w:t xml:space="preserve"> </w:t>
      </w:r>
      <w:r w:rsidR="00D66646">
        <w:t xml:space="preserve">the </w:t>
      </w:r>
      <w:r>
        <w:t>ITU</w:t>
      </w:r>
      <w:r w:rsidR="00D66646">
        <w:t xml:space="preserve">’s </w:t>
      </w:r>
      <w:r>
        <w:t xml:space="preserve">activities </w:t>
      </w:r>
      <w:r w:rsidRPr="00D66646">
        <w:t>in the existing buildings of the Union</w:t>
      </w:r>
      <w:r>
        <w:t xml:space="preserve">, including </w:t>
      </w:r>
      <w:r w:rsidR="00CE5014">
        <w:t xml:space="preserve">through </w:t>
      </w:r>
      <w:r>
        <w:t>sponsorship to enhance the functionality and equipment of the Union's premises and halls;</w:t>
      </w:r>
    </w:p>
    <w:p w:rsidR="00951178" w:rsidRDefault="00D91F26" w:rsidP="00A5640D">
      <w:r>
        <w:t xml:space="preserve">the large number of </w:t>
      </w:r>
      <w:r w:rsidR="0002217A">
        <w:t xml:space="preserve">commemorative gifts </w:t>
      </w:r>
      <w:r w:rsidR="00CE5014">
        <w:t xml:space="preserve">made to </w:t>
      </w:r>
      <w:r>
        <w:t>the Union (such as monuments, memorial plaques, busts of historical figures that have made a significant contribution to the development of telecommunications, objects</w:t>
      </w:r>
      <w:r w:rsidR="0002217A" w:rsidRPr="0002217A">
        <w:t xml:space="preserve"> </w:t>
      </w:r>
      <w:r w:rsidR="0002217A">
        <w:t>of cultural value</w:t>
      </w:r>
      <w:r>
        <w:t xml:space="preserve">, etc.) </w:t>
      </w:r>
      <w:r w:rsidR="00CE5014">
        <w:t xml:space="preserve">by </w:t>
      </w:r>
      <w:r>
        <w:t>Member States and Sector Members</w:t>
      </w:r>
      <w:r w:rsidR="00C33269" w:rsidRPr="00CE5014">
        <w:t>,</w:t>
      </w:r>
    </w:p>
    <w:p w:rsidR="00EA5F36" w:rsidRPr="00EA5F36" w:rsidRDefault="00EA5F36" w:rsidP="00B71995">
      <w:pPr>
        <w:pStyle w:val="Call"/>
        <w:rPr>
          <w:i w:val="0"/>
        </w:rPr>
      </w:pPr>
      <w:r w:rsidRPr="00363224">
        <w:t>decides</w:t>
      </w:r>
    </w:p>
    <w:p w:rsidR="00D53467" w:rsidRPr="00521EA1" w:rsidRDefault="00D53467" w:rsidP="00B71995">
      <w:r w:rsidRPr="00521EA1">
        <w:t>1</w:t>
      </w:r>
      <w:r w:rsidRPr="00521EA1">
        <w:tab/>
      </w:r>
      <w:r w:rsidR="004A2C50">
        <w:t xml:space="preserve">to </w:t>
      </w:r>
      <w:r w:rsidR="00C33269">
        <w:t xml:space="preserve">reaffirm </w:t>
      </w:r>
      <w:r w:rsidR="00C33269" w:rsidRPr="00C33269">
        <w:t xml:space="preserve">the need to preserve </w:t>
      </w:r>
      <w:r w:rsidR="00CE5014">
        <w:t>the contributions/</w:t>
      </w:r>
      <w:r w:rsidR="00CE5014" w:rsidRPr="00C33269">
        <w:t xml:space="preserve">donations </w:t>
      </w:r>
      <w:r w:rsidR="00CE5014">
        <w:t xml:space="preserve">received from </w:t>
      </w:r>
      <w:r w:rsidR="00CE5014" w:rsidRPr="00C33269">
        <w:t xml:space="preserve">Member States and Sector Members in previous years </w:t>
      </w:r>
      <w:r w:rsidR="00C33269" w:rsidRPr="00C33269">
        <w:t xml:space="preserve">and </w:t>
      </w:r>
      <w:r w:rsidR="00CE5014">
        <w:t xml:space="preserve">to </w:t>
      </w:r>
      <w:r w:rsidR="00DE03F3">
        <w:t xml:space="preserve">identify </w:t>
      </w:r>
      <w:r w:rsidR="00C33269">
        <w:t xml:space="preserve">an </w:t>
      </w:r>
      <w:r w:rsidR="00C33269" w:rsidRPr="00C33269">
        <w:t xml:space="preserve">appropriate </w:t>
      </w:r>
      <w:r w:rsidR="00CE5014">
        <w:t xml:space="preserve">place to keep them </w:t>
      </w:r>
      <w:r w:rsidR="00C33269">
        <w:t>during the works to replace</w:t>
      </w:r>
      <w:r w:rsidR="00C33269" w:rsidRPr="00C33269">
        <w:t xml:space="preserve"> the Varembé building with </w:t>
      </w:r>
      <w:r w:rsidR="00CE5014">
        <w:t xml:space="preserve">the </w:t>
      </w:r>
      <w:r w:rsidR="00C33269" w:rsidRPr="00C33269">
        <w:t xml:space="preserve">new building, the </w:t>
      </w:r>
      <w:r w:rsidR="004A2C50">
        <w:t xml:space="preserve">extension </w:t>
      </w:r>
      <w:r w:rsidR="00C33269" w:rsidRPr="00C33269">
        <w:t>and</w:t>
      </w:r>
      <w:r w:rsidR="00C33269">
        <w:t xml:space="preserve"> re</w:t>
      </w:r>
      <w:r w:rsidR="00B71995">
        <w:t>furbishment of the Montbrillant</w:t>
      </w:r>
      <w:r w:rsidR="00C33269" w:rsidRPr="00C33269">
        <w:t xml:space="preserve"> building and the subsequent sale of the Tower building;</w:t>
      </w:r>
    </w:p>
    <w:p w:rsidR="00D53467" w:rsidRPr="00521EA1" w:rsidRDefault="00D53467" w:rsidP="00B71995">
      <w:r w:rsidRPr="00521EA1">
        <w:lastRenderedPageBreak/>
        <w:t>2</w:t>
      </w:r>
      <w:r w:rsidRPr="00521EA1">
        <w:tab/>
      </w:r>
      <w:bookmarkStart w:id="23" w:name="lt_pId101"/>
      <w:r w:rsidR="004A2C50">
        <w:t xml:space="preserve">to </w:t>
      </w:r>
      <w:r w:rsidR="0002217A">
        <w:t xml:space="preserve">consider </w:t>
      </w:r>
      <w:r w:rsidR="004A2C50" w:rsidRPr="004A2C50">
        <w:t xml:space="preserve">the need to preserve </w:t>
      </w:r>
      <w:r w:rsidR="000A00D5">
        <w:t xml:space="preserve">the </w:t>
      </w:r>
      <w:r w:rsidR="004A2C50">
        <w:t>contributions/</w:t>
      </w:r>
      <w:r w:rsidR="004A2C50" w:rsidRPr="004A2C50">
        <w:t xml:space="preserve">donations </w:t>
      </w:r>
      <w:r w:rsidR="004A2C50">
        <w:t xml:space="preserve">made </w:t>
      </w:r>
      <w:r w:rsidR="000A00D5">
        <w:t xml:space="preserve">in the past </w:t>
      </w:r>
      <w:r w:rsidR="004A2C50" w:rsidRPr="004A2C50">
        <w:t>by Me</w:t>
      </w:r>
      <w:r w:rsidR="004A2C50">
        <w:t xml:space="preserve">mber States and Sector Members </w:t>
      </w:r>
      <w:r w:rsidR="004A2C50" w:rsidRPr="004A2C50">
        <w:t xml:space="preserve">and the </w:t>
      </w:r>
      <w:r w:rsidR="004A2C50">
        <w:t>value of such contributions/donations</w:t>
      </w:r>
      <w:r w:rsidR="004A2C50" w:rsidRPr="004A2C50">
        <w:t xml:space="preserve"> </w:t>
      </w:r>
      <w:r w:rsidR="004D7ABA">
        <w:t xml:space="preserve">during </w:t>
      </w:r>
      <w:r w:rsidR="004A2C50" w:rsidRPr="004A2C50">
        <w:t>consultation</w:t>
      </w:r>
      <w:r w:rsidR="004A2C50">
        <w:t>s</w:t>
      </w:r>
      <w:r w:rsidR="00C94933">
        <w:t xml:space="preserve"> </w:t>
      </w:r>
      <w:r w:rsidR="004D7ABA">
        <w:t xml:space="preserve">held </w:t>
      </w:r>
      <w:r w:rsidR="00C94933">
        <w:t>with m</w:t>
      </w:r>
      <w:r w:rsidR="004A2C50" w:rsidRPr="004A2C50">
        <w:t xml:space="preserve">embers of the Union that are potential sponsors </w:t>
      </w:r>
      <w:r w:rsidR="00C94933">
        <w:t xml:space="preserve">for </w:t>
      </w:r>
      <w:r w:rsidR="0002217A">
        <w:t xml:space="preserve">the </w:t>
      </w:r>
      <w:r w:rsidR="004A2C50" w:rsidRPr="004A2C50">
        <w:t xml:space="preserve">various </w:t>
      </w:r>
      <w:r w:rsidR="0002217A">
        <w:t xml:space="preserve">elements </w:t>
      </w:r>
      <w:r w:rsidR="004A2C50" w:rsidRPr="004A2C50">
        <w:t>of the new building, such as conference rooms, meeting rooms, equipment and other facilities,</w:t>
      </w:r>
      <w:bookmarkEnd w:id="23"/>
    </w:p>
    <w:p w:rsidR="000A00D5" w:rsidRPr="000A00D5" w:rsidRDefault="000A00D5" w:rsidP="00B71995">
      <w:pPr>
        <w:pStyle w:val="Call"/>
        <w:rPr>
          <w:i w:val="0"/>
        </w:rPr>
      </w:pPr>
      <w:r w:rsidRPr="000A00D5">
        <w:t>instructs the Secretary-General</w:t>
      </w:r>
    </w:p>
    <w:p w:rsidR="000A00D5" w:rsidRDefault="00D53467" w:rsidP="00B71995">
      <w:r w:rsidRPr="00521EA1">
        <w:t>1</w:t>
      </w:r>
      <w:r w:rsidRPr="00521EA1">
        <w:tab/>
      </w:r>
      <w:r w:rsidR="000A00D5" w:rsidRPr="000A00D5">
        <w:t xml:space="preserve">to </w:t>
      </w:r>
      <w:r w:rsidR="00DC7C4C">
        <w:t xml:space="preserve">review all the </w:t>
      </w:r>
      <w:r w:rsidR="000A00D5">
        <w:t xml:space="preserve">donations and </w:t>
      </w:r>
      <w:r w:rsidR="000A00D5" w:rsidRPr="000A00D5">
        <w:t xml:space="preserve">contributions from Member States and Sector Members </w:t>
      </w:r>
      <w:r w:rsidR="00DC7C4C">
        <w:t xml:space="preserve">contained </w:t>
      </w:r>
      <w:r w:rsidR="004A6F99">
        <w:t xml:space="preserve">in </w:t>
      </w:r>
      <w:r w:rsidR="00DC7C4C" w:rsidRPr="0002217A">
        <w:t>I</w:t>
      </w:r>
      <w:r w:rsidR="000A00D5" w:rsidRPr="0002217A">
        <w:t>TU</w:t>
      </w:r>
      <w:r w:rsidR="004A6F99" w:rsidRPr="0002217A">
        <w:t>’s</w:t>
      </w:r>
      <w:r w:rsidR="004A6F99">
        <w:t xml:space="preserve"> existing buildings</w:t>
      </w:r>
      <w:r w:rsidR="00B71995">
        <w:t>;</w:t>
      </w:r>
    </w:p>
    <w:p w:rsidR="00D53467" w:rsidRPr="00521EA1" w:rsidRDefault="00D53467" w:rsidP="00B71995">
      <w:r w:rsidRPr="00521EA1">
        <w:t>2</w:t>
      </w:r>
      <w:r w:rsidRPr="00521EA1">
        <w:tab/>
      </w:r>
      <w:bookmarkStart w:id="24" w:name="lt_pId106"/>
      <w:r w:rsidR="000A00D5">
        <w:t xml:space="preserve">to </w:t>
      </w:r>
      <w:r w:rsidR="00E24A7B">
        <w:t xml:space="preserve">hold consultations </w:t>
      </w:r>
      <w:r w:rsidR="000A00D5">
        <w:t xml:space="preserve">with Member States and Sector Members </w:t>
      </w:r>
      <w:r w:rsidR="00E24A7B">
        <w:t>c</w:t>
      </w:r>
      <w:r w:rsidR="000A00D5">
        <w:t>on</w:t>
      </w:r>
      <w:r w:rsidR="00E24A7B">
        <w:t>cerning</w:t>
      </w:r>
      <w:r w:rsidR="000A00D5">
        <w:t xml:space="preserve"> their </w:t>
      </w:r>
      <w:r w:rsidR="004A6F99">
        <w:t>contributions/</w:t>
      </w:r>
      <w:r w:rsidR="000A00D5">
        <w:t xml:space="preserve">donations </w:t>
      </w:r>
      <w:r w:rsidR="00E24A7B">
        <w:t xml:space="preserve">located </w:t>
      </w:r>
      <w:r w:rsidR="000A00D5">
        <w:t>in ITU</w:t>
      </w:r>
      <w:r w:rsidR="004A6F99">
        <w:t>’s</w:t>
      </w:r>
      <w:r w:rsidR="000A00D5">
        <w:t xml:space="preserve"> </w:t>
      </w:r>
      <w:r w:rsidR="004A6F99">
        <w:t xml:space="preserve">existing </w:t>
      </w:r>
      <w:r w:rsidR="000A00D5">
        <w:t xml:space="preserve">buildings, </w:t>
      </w:r>
      <w:r w:rsidR="004A6F99">
        <w:t xml:space="preserve">and </w:t>
      </w:r>
      <w:r w:rsidR="000A00D5">
        <w:t xml:space="preserve">to </w:t>
      </w:r>
      <w:r w:rsidR="0002217A">
        <w:t xml:space="preserve">identify the appropriate place </w:t>
      </w:r>
      <w:r w:rsidR="000A00D5">
        <w:t xml:space="preserve">for </w:t>
      </w:r>
      <w:r w:rsidR="004A6F99">
        <w:t>such contribut</w:t>
      </w:r>
      <w:r w:rsidR="000A00D5">
        <w:t>i</w:t>
      </w:r>
      <w:r w:rsidR="004A6F99">
        <w:t>o</w:t>
      </w:r>
      <w:r w:rsidR="000A00D5">
        <w:t>n</w:t>
      </w:r>
      <w:r w:rsidR="004A6F99">
        <w:t>s/donations in</w:t>
      </w:r>
      <w:r w:rsidR="000A00D5">
        <w:t xml:space="preserve"> the </w:t>
      </w:r>
      <w:r w:rsidR="004A6F99">
        <w:t>Union’s new buildings</w:t>
      </w:r>
      <w:r w:rsidRPr="00521EA1">
        <w:t>;</w:t>
      </w:r>
      <w:bookmarkEnd w:id="24"/>
    </w:p>
    <w:p w:rsidR="00D53467" w:rsidRPr="00521EA1" w:rsidRDefault="00D53467" w:rsidP="00B71995">
      <w:r w:rsidRPr="00521EA1">
        <w:t>3</w:t>
      </w:r>
      <w:r w:rsidRPr="00521EA1">
        <w:tab/>
      </w:r>
      <w:bookmarkStart w:id="25" w:name="lt_pId108"/>
      <w:r w:rsidR="000A00D5">
        <w:t xml:space="preserve">to provide detailed information on the contributions and </w:t>
      </w:r>
      <w:r w:rsidR="00E24A7B">
        <w:t xml:space="preserve">donations </w:t>
      </w:r>
      <w:r w:rsidR="004F5839">
        <w:t xml:space="preserve">received </w:t>
      </w:r>
      <w:r w:rsidR="000A00D5">
        <w:t xml:space="preserve">from Member States and Sector Members </w:t>
      </w:r>
      <w:r w:rsidR="00E24A7B">
        <w:t xml:space="preserve">contained </w:t>
      </w:r>
      <w:r w:rsidR="000A00D5">
        <w:t xml:space="preserve">in </w:t>
      </w:r>
      <w:r w:rsidR="000A00D5" w:rsidRPr="0002217A">
        <w:t>ITU</w:t>
      </w:r>
      <w:r w:rsidR="00E24A7B" w:rsidRPr="0002217A">
        <w:t>’s</w:t>
      </w:r>
      <w:r w:rsidR="000A00D5" w:rsidRPr="0002217A">
        <w:t xml:space="preserve"> buildings</w:t>
      </w:r>
      <w:r w:rsidR="0002217A">
        <w:t xml:space="preserve"> and on </w:t>
      </w:r>
      <w:r w:rsidR="000A00D5">
        <w:t xml:space="preserve">the results of </w:t>
      </w:r>
      <w:r w:rsidR="0002217A">
        <w:t>the consultations held with the</w:t>
      </w:r>
      <w:r w:rsidR="00D96EFE">
        <w:t xml:space="preserve"> </w:t>
      </w:r>
      <w:r w:rsidR="000A00D5">
        <w:t xml:space="preserve">Member States and Sector Members </w:t>
      </w:r>
      <w:r w:rsidR="0002217A">
        <w:t xml:space="preserve">concerned </w:t>
      </w:r>
      <w:r w:rsidR="000A00D5">
        <w:t>on the f</w:t>
      </w:r>
      <w:r w:rsidR="004F5839">
        <w:t>ate</w:t>
      </w:r>
      <w:r w:rsidR="000A00D5">
        <w:t xml:space="preserve"> of such </w:t>
      </w:r>
      <w:r w:rsidR="00E24A7B">
        <w:t>contributions/</w:t>
      </w:r>
      <w:r w:rsidR="000A00D5">
        <w:t>donations following the completion an</w:t>
      </w:r>
      <w:r w:rsidR="00D96EFE">
        <w:t>d commissioning of ITU</w:t>
      </w:r>
      <w:r w:rsidR="0002217A">
        <w:t>’s</w:t>
      </w:r>
      <w:r w:rsidR="00D96EFE">
        <w:t xml:space="preserve"> </w:t>
      </w:r>
      <w:r w:rsidR="0002217A">
        <w:t xml:space="preserve">new </w:t>
      </w:r>
      <w:r w:rsidR="00D96EFE">
        <w:t>h</w:t>
      </w:r>
      <w:r w:rsidR="000A00D5">
        <w:t xml:space="preserve">eadquarters building, </w:t>
      </w:r>
      <w:r w:rsidR="00D96EFE">
        <w:t>for a report</w:t>
      </w:r>
      <w:r w:rsidR="000A00D5">
        <w:t xml:space="preserve"> to the Council in 2020</w:t>
      </w:r>
      <w:r w:rsidR="000A00D5" w:rsidRPr="0002217A">
        <w:t>;</w:t>
      </w:r>
      <w:bookmarkEnd w:id="25"/>
      <w:r w:rsidRPr="00521EA1">
        <w:t xml:space="preserve"> </w:t>
      </w:r>
    </w:p>
    <w:p w:rsidR="00D53467" w:rsidRDefault="00D53467" w:rsidP="00B71995">
      <w:r w:rsidRPr="00521EA1">
        <w:t>4</w:t>
      </w:r>
      <w:r w:rsidRPr="00521EA1">
        <w:tab/>
      </w:r>
      <w:r w:rsidR="00DE03F3">
        <w:t xml:space="preserve">to </w:t>
      </w:r>
      <w:r w:rsidR="0002217A">
        <w:t xml:space="preserve">take into account the </w:t>
      </w:r>
      <w:r w:rsidR="00DE03F3">
        <w:t xml:space="preserve">existing contributions from Member States and Sector Members and the need to preserve them or identify an appropriate </w:t>
      </w:r>
      <w:r w:rsidR="0002217A">
        <w:t xml:space="preserve">place </w:t>
      </w:r>
      <w:r w:rsidR="00DE03F3">
        <w:t xml:space="preserve">for them when </w:t>
      </w:r>
      <w:r w:rsidRPr="00521EA1">
        <w:t>canvass</w:t>
      </w:r>
      <w:r w:rsidR="00DE03F3">
        <w:t>ing</w:t>
      </w:r>
      <w:r w:rsidRPr="00521EA1">
        <w:t xml:space="preserve"> Member States, Sector Members and Associates to sponsor aspects of this project (such as rooms, </w:t>
      </w:r>
      <w:r w:rsidR="004F5839">
        <w:t>items</w:t>
      </w:r>
      <w:r w:rsidR="004F5839" w:rsidRPr="00521EA1">
        <w:t xml:space="preserve"> </w:t>
      </w:r>
      <w:r w:rsidR="004F5839">
        <w:t xml:space="preserve">of </w:t>
      </w:r>
      <w:r w:rsidRPr="00521EA1">
        <w:t>furniture</w:t>
      </w:r>
      <w:r w:rsidR="00DE03F3">
        <w:t>, ICT Discovery or decor).</w:t>
      </w:r>
    </w:p>
    <w:p w:rsidR="00521EA1" w:rsidRDefault="00B71995" w:rsidP="00A5640D">
      <w:pPr>
        <w:jc w:val="center"/>
      </w:pPr>
      <w:r>
        <w:t>_____________</w:t>
      </w:r>
    </w:p>
    <w:sectPr w:rsidR="00521EA1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9D" w:rsidRDefault="00E4619D">
      <w:r>
        <w:separator/>
      </w:r>
    </w:p>
  </w:endnote>
  <w:endnote w:type="continuationSeparator" w:id="0">
    <w:p w:rsidR="00E4619D" w:rsidRDefault="00E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4619D" w:rsidRPr="006D25D2" w:rsidRDefault="00E4619D" w:rsidP="006F02B8">
    <w:pPr>
      <w:pStyle w:val="Footer"/>
      <w:rPr>
        <w:lang w:val="fr-CH"/>
      </w:rPr>
    </w:pPr>
    <w:r>
      <w:fldChar w:fldCharType="begin"/>
    </w:r>
    <w:r w:rsidRPr="006D25D2">
      <w:rPr>
        <w:lang w:val="fr-CH"/>
      </w:rPr>
      <w:instrText xml:space="preserve"> FILENAME \p  \* MERGEFORMAT </w:instrText>
    </w:r>
    <w:r>
      <w:fldChar w:fldCharType="separate"/>
    </w:r>
    <w:r w:rsidR="006F02B8">
      <w:rPr>
        <w:lang w:val="fr-CH"/>
      </w:rPr>
      <w:t>P:\ENG\SG\CONSEIL\C19\000\076E.docx</w:t>
    </w:r>
    <w:r>
      <w:fldChar w:fldCharType="end"/>
    </w:r>
    <w:r w:rsidRPr="006D25D2">
      <w:rPr>
        <w:lang w:val="fr-CH"/>
      </w:rPr>
      <w:t xml:space="preserve"> (456033)</w:t>
    </w:r>
    <w:r w:rsidR="006F02B8" w:rsidRPr="006D25D2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9D" w:rsidRDefault="00E4619D">
      <w:r>
        <w:t>____________________</w:t>
      </w:r>
    </w:p>
  </w:footnote>
  <w:footnote w:type="continuationSeparator" w:id="0">
    <w:p w:rsidR="00E4619D" w:rsidRDefault="00E4619D">
      <w:r>
        <w:continuationSeparator/>
      </w:r>
    </w:p>
  </w:footnote>
  <w:footnote w:id="1">
    <w:p w:rsidR="00E4619D" w:rsidRPr="00813055" w:rsidRDefault="00E4619D" w:rsidP="006D25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440908">
        <w:rPr>
          <w:lang w:val="en-US"/>
        </w:rPr>
        <w:t>Donations</w:t>
      </w:r>
      <w:r w:rsidR="0098453E">
        <w:t xml:space="preserve"> –</w:t>
      </w:r>
      <w:r w:rsidRPr="00440908">
        <w:t xml:space="preserve"> commemorative gifts; </w:t>
      </w:r>
      <w:r w:rsidR="009225CF" w:rsidRPr="00440908">
        <w:t>financial and technical support through sponsorship</w:t>
      </w:r>
      <w:r w:rsidR="00EB65DC" w:rsidRPr="00440908">
        <w:t>;</w:t>
      </w:r>
      <w:r w:rsidRPr="00440908">
        <w:t xml:space="preserve"> objects of cultural and historical value, including monuments, busts of eminent telecommunication scientists,</w:t>
      </w:r>
      <w:r w:rsidR="00EB65DC" w:rsidRPr="00440908">
        <w:t xml:space="preserve"> plaques,</w:t>
      </w:r>
      <w:r w:rsidRPr="00440908">
        <w:t xml:space="preserve"> </w:t>
      </w:r>
      <w:r w:rsidR="0073746A" w:rsidRPr="00440908">
        <w:t xml:space="preserve">examples of </w:t>
      </w:r>
      <w:r w:rsidRPr="00440908">
        <w:t>telecommunication e</w:t>
      </w:r>
      <w:r w:rsidR="0073746A" w:rsidRPr="00440908">
        <w:t>quipment on display</w:t>
      </w:r>
      <w:r w:rsidRPr="00440908">
        <w:t xml:space="preserve"> (</w:t>
      </w:r>
      <w:r w:rsidRPr="00440908">
        <w:rPr>
          <w:lang w:val="en-US"/>
        </w:rPr>
        <w:t xml:space="preserve">i.e. for </w:t>
      </w:r>
      <w:r w:rsidRPr="00440908">
        <w:t>ICT Discovery</w:t>
      </w:r>
      <w:r w:rsidR="00EB65DC" w:rsidRPr="00440908">
        <w:t>);</w:t>
      </w:r>
      <w:r w:rsidRPr="00440908">
        <w:t xml:space="preserve"> hall</w:t>
      </w:r>
      <w:r>
        <w:t xml:space="preserve"> names etc. </w:t>
      </w:r>
    </w:p>
  </w:footnote>
  <w:footnote w:id="2">
    <w:p w:rsidR="00E4619D" w:rsidRPr="0071550A" w:rsidRDefault="00E4619D" w:rsidP="0071550A">
      <w:pPr>
        <w:pStyle w:val="FootnoteText"/>
        <w:rPr>
          <w:lang w:val="en-US"/>
        </w:rPr>
      </w:pPr>
      <w:r w:rsidRPr="00BD4523">
        <w:rPr>
          <w:rStyle w:val="FootnoteReference"/>
        </w:rPr>
        <w:footnoteRef/>
      </w:r>
      <w:r w:rsidRPr="00813055">
        <w:t xml:space="preserve"> </w:t>
      </w:r>
      <w:bookmarkStart w:id="12" w:name="lt_pId114"/>
      <w:r>
        <w:tab/>
      </w:r>
      <w:bookmarkEnd w:id="12"/>
      <w:r w:rsidRPr="0071550A">
        <w:rPr>
          <w:lang w:val="en-US"/>
        </w:rPr>
        <w:t>Donations</w:t>
      </w:r>
      <w:r w:rsidR="0098453E">
        <w:t xml:space="preserve"> –</w:t>
      </w:r>
      <w:r w:rsidRPr="0071550A">
        <w:t xml:space="preserve"> commemorative gifts; </w:t>
      </w:r>
      <w:r w:rsidR="009225CF">
        <w:t>financial and technical support through sponsorship</w:t>
      </w:r>
      <w:r w:rsidR="00EB65DC">
        <w:t>;</w:t>
      </w:r>
      <w:r w:rsidRPr="0071550A">
        <w:t xml:space="preserve"> objects of cultural and historical value, including monuments, busts of eminent telecommunication scientists, plaques, </w:t>
      </w:r>
      <w:r w:rsidR="009225CF">
        <w:t xml:space="preserve">examples </w:t>
      </w:r>
      <w:r w:rsidR="009225CF" w:rsidRPr="00B92138">
        <w:t xml:space="preserve">of </w:t>
      </w:r>
      <w:r w:rsidRPr="00B92138">
        <w:t>telecommunication</w:t>
      </w:r>
      <w:r w:rsidRPr="0071550A">
        <w:t xml:space="preserve"> e</w:t>
      </w:r>
      <w:r w:rsidR="009225CF">
        <w:t xml:space="preserve">quipment on display </w:t>
      </w:r>
      <w:r w:rsidRPr="0071550A">
        <w:t>(</w:t>
      </w:r>
      <w:r w:rsidRPr="0071550A">
        <w:rPr>
          <w:lang w:val="en-US"/>
        </w:rPr>
        <w:t xml:space="preserve">i.e. for </w:t>
      </w:r>
      <w:r w:rsidR="009225CF">
        <w:t>ICT Discovery</w:t>
      </w:r>
      <w:r w:rsidR="0073746A">
        <w:t>);</w:t>
      </w:r>
      <w:r w:rsidRPr="0071550A">
        <w:t xml:space="preserve"> hall names</w:t>
      </w:r>
      <w:r w:rsidR="009225CF">
        <w:t>,</w:t>
      </w:r>
      <w:r w:rsidRPr="0071550A">
        <w:t xml:space="preserve"> etc.</w:t>
      </w:r>
    </w:p>
  </w:footnote>
  <w:footnote w:id="3">
    <w:p w:rsidR="00E4619D" w:rsidRPr="00813055" w:rsidRDefault="00E4619D" w:rsidP="00B71995">
      <w:pPr>
        <w:pStyle w:val="FootnoteText"/>
        <w:rPr>
          <w:lang w:val="en-US"/>
        </w:rPr>
      </w:pPr>
      <w:r w:rsidRPr="00BD4523">
        <w:rPr>
          <w:rStyle w:val="FootnoteReference"/>
        </w:rPr>
        <w:footnoteRef/>
      </w:r>
      <w:r w:rsidRPr="00813055">
        <w:t xml:space="preserve"> </w:t>
      </w:r>
      <w:r>
        <w:tab/>
      </w:r>
      <w:r w:rsidR="00C97651">
        <w:t>D</w:t>
      </w:r>
      <w:r w:rsidR="00C97651">
        <w:rPr>
          <w:lang w:val="en-US"/>
        </w:rPr>
        <w:t>onations</w:t>
      </w:r>
      <w:r w:rsidR="00B71995">
        <w:t xml:space="preserve"> –</w:t>
      </w:r>
      <w:r w:rsidRPr="004F5839">
        <w:t xml:space="preserve"> </w:t>
      </w:r>
      <w:r w:rsidR="00DC09BD" w:rsidRPr="004F5839">
        <w:t xml:space="preserve">commemorative gifts; </w:t>
      </w:r>
      <w:r w:rsidR="009225CF" w:rsidRPr="004F5839">
        <w:t>financial and technical support through sponsorship</w:t>
      </w:r>
      <w:r w:rsidR="00DC09BD" w:rsidRPr="004F5839">
        <w:t xml:space="preserve">; objects of cultural and historical value, including monuments, busts of eminent telecommunication scientists, plaques, </w:t>
      </w:r>
      <w:r w:rsidR="009225CF" w:rsidRPr="004F5839">
        <w:t xml:space="preserve">examples of </w:t>
      </w:r>
      <w:r w:rsidR="00DC09BD" w:rsidRPr="004F5839">
        <w:t>telecommunication e</w:t>
      </w:r>
      <w:r w:rsidR="009225CF" w:rsidRPr="004F5839">
        <w:t>quipment on display</w:t>
      </w:r>
      <w:r w:rsidRPr="004F5839">
        <w:t xml:space="preserve"> (</w:t>
      </w:r>
      <w:r w:rsidR="00DC09BD" w:rsidRPr="004F5839">
        <w:rPr>
          <w:lang w:val="en-US"/>
        </w:rPr>
        <w:t xml:space="preserve">i.e. </w:t>
      </w:r>
      <w:r w:rsidR="009225CF" w:rsidRPr="004F5839">
        <w:rPr>
          <w:lang w:val="en-US"/>
        </w:rPr>
        <w:t xml:space="preserve">for </w:t>
      </w:r>
      <w:r w:rsidR="00B71995">
        <w:t>ICT Discovery).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A3ABF">
      <w:rPr>
        <w:noProof/>
      </w:rPr>
      <w:t>2</w:t>
    </w:r>
    <w:r>
      <w:rPr>
        <w:noProof/>
      </w:rPr>
      <w:fldChar w:fldCharType="end"/>
    </w:r>
  </w:p>
  <w:p w:rsidR="00E4619D" w:rsidRPr="00623AE3" w:rsidRDefault="00E4619D" w:rsidP="00813055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76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067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04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E8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F4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04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45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C0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8C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64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A6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C"/>
    <w:rsid w:val="000210D4"/>
    <w:rsid w:val="0002217A"/>
    <w:rsid w:val="00056B2A"/>
    <w:rsid w:val="00063016"/>
    <w:rsid w:val="00066795"/>
    <w:rsid w:val="00076AF6"/>
    <w:rsid w:val="00085CF2"/>
    <w:rsid w:val="000A00D5"/>
    <w:rsid w:val="000A0B04"/>
    <w:rsid w:val="000B1705"/>
    <w:rsid w:val="000D75B2"/>
    <w:rsid w:val="00100FEE"/>
    <w:rsid w:val="001121F5"/>
    <w:rsid w:val="00112FF4"/>
    <w:rsid w:val="001400DC"/>
    <w:rsid w:val="00140CE1"/>
    <w:rsid w:val="001627B6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66055"/>
    <w:rsid w:val="0027303B"/>
    <w:rsid w:val="0028109B"/>
    <w:rsid w:val="002961E2"/>
    <w:rsid w:val="002A2188"/>
    <w:rsid w:val="002B1F58"/>
    <w:rsid w:val="002C1C7A"/>
    <w:rsid w:val="002C2CB2"/>
    <w:rsid w:val="0030160F"/>
    <w:rsid w:val="00322D0D"/>
    <w:rsid w:val="00342269"/>
    <w:rsid w:val="00363224"/>
    <w:rsid w:val="0036414E"/>
    <w:rsid w:val="00365CFA"/>
    <w:rsid w:val="00385394"/>
    <w:rsid w:val="003942D4"/>
    <w:rsid w:val="003958A8"/>
    <w:rsid w:val="003C2533"/>
    <w:rsid w:val="003E14D5"/>
    <w:rsid w:val="00401A2C"/>
    <w:rsid w:val="0040435A"/>
    <w:rsid w:val="00416A24"/>
    <w:rsid w:val="00427398"/>
    <w:rsid w:val="00431D9E"/>
    <w:rsid w:val="00433CE8"/>
    <w:rsid w:val="00434A5C"/>
    <w:rsid w:val="00440908"/>
    <w:rsid w:val="004544D9"/>
    <w:rsid w:val="00490E72"/>
    <w:rsid w:val="00491157"/>
    <w:rsid w:val="004921C8"/>
    <w:rsid w:val="004A2C50"/>
    <w:rsid w:val="004A31AD"/>
    <w:rsid w:val="004A6F99"/>
    <w:rsid w:val="004D1851"/>
    <w:rsid w:val="004D599D"/>
    <w:rsid w:val="004D7ABA"/>
    <w:rsid w:val="004E2EA5"/>
    <w:rsid w:val="004E3AEB"/>
    <w:rsid w:val="004F5839"/>
    <w:rsid w:val="00501E3B"/>
    <w:rsid w:val="0050223C"/>
    <w:rsid w:val="00503858"/>
    <w:rsid w:val="00521EA1"/>
    <w:rsid w:val="005243FF"/>
    <w:rsid w:val="00542981"/>
    <w:rsid w:val="00564FBC"/>
    <w:rsid w:val="00582442"/>
    <w:rsid w:val="00587CA9"/>
    <w:rsid w:val="005F3269"/>
    <w:rsid w:val="00623AE3"/>
    <w:rsid w:val="00634240"/>
    <w:rsid w:val="0064737F"/>
    <w:rsid w:val="00647DA8"/>
    <w:rsid w:val="006535F1"/>
    <w:rsid w:val="0065557D"/>
    <w:rsid w:val="00662984"/>
    <w:rsid w:val="006716BB"/>
    <w:rsid w:val="006B6680"/>
    <w:rsid w:val="006B6DCC"/>
    <w:rsid w:val="006D25D2"/>
    <w:rsid w:val="006D423B"/>
    <w:rsid w:val="006F02B8"/>
    <w:rsid w:val="006F64EF"/>
    <w:rsid w:val="00702DEF"/>
    <w:rsid w:val="00706861"/>
    <w:rsid w:val="0071550A"/>
    <w:rsid w:val="00727132"/>
    <w:rsid w:val="00731702"/>
    <w:rsid w:val="0073746A"/>
    <w:rsid w:val="00745971"/>
    <w:rsid w:val="0075051B"/>
    <w:rsid w:val="00780886"/>
    <w:rsid w:val="00793188"/>
    <w:rsid w:val="00794D34"/>
    <w:rsid w:val="00794FDB"/>
    <w:rsid w:val="0080363C"/>
    <w:rsid w:val="00813055"/>
    <w:rsid w:val="00813E5E"/>
    <w:rsid w:val="0083581B"/>
    <w:rsid w:val="008567FC"/>
    <w:rsid w:val="00864AFF"/>
    <w:rsid w:val="008B439A"/>
    <w:rsid w:val="008B4A6A"/>
    <w:rsid w:val="008C63F3"/>
    <w:rsid w:val="008C7E27"/>
    <w:rsid w:val="009173EF"/>
    <w:rsid w:val="009225CF"/>
    <w:rsid w:val="00932906"/>
    <w:rsid w:val="009445F4"/>
    <w:rsid w:val="00951178"/>
    <w:rsid w:val="00961B0B"/>
    <w:rsid w:val="00967B45"/>
    <w:rsid w:val="0097274F"/>
    <w:rsid w:val="0098453E"/>
    <w:rsid w:val="009878AE"/>
    <w:rsid w:val="009B38C3"/>
    <w:rsid w:val="009B5B12"/>
    <w:rsid w:val="009E17BD"/>
    <w:rsid w:val="009E485A"/>
    <w:rsid w:val="009E6CC4"/>
    <w:rsid w:val="00A04CEC"/>
    <w:rsid w:val="00A12CB5"/>
    <w:rsid w:val="00A27F92"/>
    <w:rsid w:val="00A32257"/>
    <w:rsid w:val="00A36D20"/>
    <w:rsid w:val="00A55622"/>
    <w:rsid w:val="00A5640D"/>
    <w:rsid w:val="00A83502"/>
    <w:rsid w:val="00AB4435"/>
    <w:rsid w:val="00AB6EB5"/>
    <w:rsid w:val="00AD15B3"/>
    <w:rsid w:val="00AF6E49"/>
    <w:rsid w:val="00B04A67"/>
    <w:rsid w:val="00B0583C"/>
    <w:rsid w:val="00B116E1"/>
    <w:rsid w:val="00B212E7"/>
    <w:rsid w:val="00B40A81"/>
    <w:rsid w:val="00B44910"/>
    <w:rsid w:val="00B5130B"/>
    <w:rsid w:val="00B71995"/>
    <w:rsid w:val="00B72267"/>
    <w:rsid w:val="00B76EB6"/>
    <w:rsid w:val="00B7737B"/>
    <w:rsid w:val="00B824C8"/>
    <w:rsid w:val="00B92138"/>
    <w:rsid w:val="00BC251A"/>
    <w:rsid w:val="00BD032B"/>
    <w:rsid w:val="00BE0948"/>
    <w:rsid w:val="00BE2640"/>
    <w:rsid w:val="00C01189"/>
    <w:rsid w:val="00C33269"/>
    <w:rsid w:val="00C374DE"/>
    <w:rsid w:val="00C47AD4"/>
    <w:rsid w:val="00C52759"/>
    <w:rsid w:val="00C52D81"/>
    <w:rsid w:val="00C55198"/>
    <w:rsid w:val="00C94933"/>
    <w:rsid w:val="00C97651"/>
    <w:rsid w:val="00CA6393"/>
    <w:rsid w:val="00CB18FF"/>
    <w:rsid w:val="00CD0C08"/>
    <w:rsid w:val="00CE03FB"/>
    <w:rsid w:val="00CE433C"/>
    <w:rsid w:val="00CE5014"/>
    <w:rsid w:val="00CF33F3"/>
    <w:rsid w:val="00D06183"/>
    <w:rsid w:val="00D22C42"/>
    <w:rsid w:val="00D53467"/>
    <w:rsid w:val="00D539AA"/>
    <w:rsid w:val="00D56E67"/>
    <w:rsid w:val="00D616AE"/>
    <w:rsid w:val="00D65041"/>
    <w:rsid w:val="00D66646"/>
    <w:rsid w:val="00D83932"/>
    <w:rsid w:val="00D91F26"/>
    <w:rsid w:val="00D96EFE"/>
    <w:rsid w:val="00DA066B"/>
    <w:rsid w:val="00DB384B"/>
    <w:rsid w:val="00DC09BD"/>
    <w:rsid w:val="00DC28A9"/>
    <w:rsid w:val="00DC7C4C"/>
    <w:rsid w:val="00DE03F3"/>
    <w:rsid w:val="00E10E80"/>
    <w:rsid w:val="00E124F0"/>
    <w:rsid w:val="00E20A48"/>
    <w:rsid w:val="00E24A7B"/>
    <w:rsid w:val="00E3330D"/>
    <w:rsid w:val="00E4619D"/>
    <w:rsid w:val="00E60F04"/>
    <w:rsid w:val="00E854E4"/>
    <w:rsid w:val="00E867A1"/>
    <w:rsid w:val="00EA3ABF"/>
    <w:rsid w:val="00EA5F36"/>
    <w:rsid w:val="00EB0D6F"/>
    <w:rsid w:val="00EB2232"/>
    <w:rsid w:val="00EB65DC"/>
    <w:rsid w:val="00EC5337"/>
    <w:rsid w:val="00EF487B"/>
    <w:rsid w:val="00F2150A"/>
    <w:rsid w:val="00F231D8"/>
    <w:rsid w:val="00F40A14"/>
    <w:rsid w:val="00F46C5F"/>
    <w:rsid w:val="00F50B65"/>
    <w:rsid w:val="00F724AC"/>
    <w:rsid w:val="00F75ADD"/>
    <w:rsid w:val="00F761A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AA80876-240B-4904-9997-59F36BD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055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3055"/>
    <w:rPr>
      <w:rFonts w:ascii="Calibri" w:hAnsi="Calibri"/>
      <w:b/>
      <w:sz w:val="28"/>
      <w:lang w:val="en-GB" w:eastAsia="en-US"/>
    </w:rPr>
  </w:style>
  <w:style w:type="character" w:customStyle="1" w:styleId="href">
    <w:name w:val="href"/>
    <w:basedOn w:val="DefaultParagraphFont"/>
    <w:uiPriority w:val="99"/>
    <w:rsid w:val="001627B6"/>
    <w:rPr>
      <w:color w:val="auto"/>
    </w:rPr>
  </w:style>
  <w:style w:type="character" w:customStyle="1" w:styleId="CallChar">
    <w:name w:val="Call Char"/>
    <w:basedOn w:val="DefaultParagraphFont"/>
    <w:link w:val="Call"/>
    <w:rsid w:val="00D53467"/>
    <w:rPr>
      <w:rFonts w:ascii="Calibri" w:hAnsi="Calibri"/>
      <w:i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346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ListParagraphChar">
    <w:name w:val="List Paragraph Char"/>
    <w:link w:val="ListParagraph"/>
    <w:uiPriority w:val="34"/>
    <w:rsid w:val="00D53467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724A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4AC"/>
    <w:rPr>
      <w:rFonts w:ascii="Lucida Grande" w:hAnsi="Lucida Grande" w:cs="Lucida Grande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C3326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6-CL-C-012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1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007/en" TargetMode="External"/><Relationship Id="rId10" Type="http://schemas.openxmlformats.org/officeDocument/2006/relationships/hyperlink" Target="https://www.itu.int/md/S16-CL-C-000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yperlink" Target="http://www.itu.int/md/S17-CL-C-006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8B22-231F-4E52-BAEA-EA8EB81C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1</TotalTime>
  <Pages>5</Pages>
  <Words>1387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9610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>Council 2018</dc:subject>
  <dc:creator>Ruepp, Rowena</dc:creator>
  <cp:keywords>C2019, C19</cp:keywords>
  <dc:description/>
  <cp:lastModifiedBy>Janin, Patricia</cp:lastModifiedBy>
  <cp:revision>3</cp:revision>
  <cp:lastPrinted>2000-07-18T13:30:00Z</cp:lastPrinted>
  <dcterms:created xsi:type="dcterms:W3CDTF">2019-05-31T08:08:00Z</dcterms:created>
  <dcterms:modified xsi:type="dcterms:W3CDTF">2019-05-31T08:08:00Z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