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A42085" w14:paraId="4BF0BFBF" w14:textId="77777777" w:rsidTr="00464B6C">
        <w:trPr>
          <w:cantSplit/>
        </w:trPr>
        <w:tc>
          <w:tcPr>
            <w:tcW w:w="6911" w:type="dxa"/>
          </w:tcPr>
          <w:p w14:paraId="2518847B" w14:textId="77777777" w:rsidR="002A2188" w:rsidRPr="00A42085" w:rsidRDefault="002A2188" w:rsidP="00457EA2">
            <w:pPr>
              <w:spacing w:before="360" w:after="48"/>
              <w:rPr>
                <w:position w:val="6"/>
              </w:rPr>
            </w:pPr>
            <w:bookmarkStart w:id="0" w:name="dc06"/>
            <w:bookmarkEnd w:id="0"/>
            <w:r w:rsidRPr="00A42085">
              <w:rPr>
                <w:b/>
                <w:bCs/>
                <w:position w:val="6"/>
                <w:sz w:val="30"/>
                <w:szCs w:val="30"/>
              </w:rPr>
              <w:t>Council 201</w:t>
            </w:r>
            <w:r w:rsidR="00FB1279" w:rsidRPr="00A42085">
              <w:rPr>
                <w:b/>
                <w:bCs/>
                <w:position w:val="6"/>
                <w:sz w:val="30"/>
                <w:szCs w:val="30"/>
              </w:rPr>
              <w:t>9</w:t>
            </w:r>
            <w:r w:rsidRPr="00A42085">
              <w:rPr>
                <w:rFonts w:cs="Times"/>
                <w:b/>
                <w:position w:val="6"/>
                <w:sz w:val="26"/>
                <w:szCs w:val="26"/>
              </w:rPr>
              <w:br/>
            </w:r>
            <w:r w:rsidRPr="00A42085">
              <w:rPr>
                <w:b/>
                <w:bCs/>
                <w:position w:val="6"/>
                <w:szCs w:val="24"/>
              </w:rPr>
              <w:t>Geneva, 1</w:t>
            </w:r>
            <w:r w:rsidR="00FB1279" w:rsidRPr="00A42085">
              <w:rPr>
                <w:b/>
                <w:bCs/>
                <w:position w:val="6"/>
                <w:szCs w:val="24"/>
              </w:rPr>
              <w:t>0</w:t>
            </w:r>
            <w:r w:rsidRPr="00A42085">
              <w:rPr>
                <w:b/>
                <w:bCs/>
                <w:position w:val="6"/>
                <w:szCs w:val="24"/>
              </w:rPr>
              <w:t>-2</w:t>
            </w:r>
            <w:r w:rsidR="00FB1279" w:rsidRPr="00A42085">
              <w:rPr>
                <w:b/>
                <w:bCs/>
                <w:position w:val="6"/>
                <w:szCs w:val="24"/>
              </w:rPr>
              <w:t>0</w:t>
            </w:r>
            <w:r w:rsidRPr="00A42085">
              <w:rPr>
                <w:b/>
                <w:bCs/>
                <w:position w:val="6"/>
                <w:szCs w:val="24"/>
              </w:rPr>
              <w:t xml:space="preserve"> </w:t>
            </w:r>
            <w:r w:rsidR="00FB1279" w:rsidRPr="00A42085">
              <w:rPr>
                <w:b/>
                <w:bCs/>
                <w:position w:val="6"/>
                <w:szCs w:val="24"/>
              </w:rPr>
              <w:t>June</w:t>
            </w:r>
            <w:r w:rsidRPr="00A42085">
              <w:rPr>
                <w:b/>
                <w:bCs/>
                <w:position w:val="6"/>
                <w:szCs w:val="24"/>
              </w:rPr>
              <w:t xml:space="preserve"> 201</w:t>
            </w:r>
            <w:r w:rsidR="00FB1279" w:rsidRPr="00A42085">
              <w:rPr>
                <w:b/>
                <w:bCs/>
                <w:position w:val="6"/>
                <w:szCs w:val="24"/>
              </w:rPr>
              <w:t>9</w:t>
            </w:r>
          </w:p>
        </w:tc>
        <w:tc>
          <w:tcPr>
            <w:tcW w:w="3120" w:type="dxa"/>
          </w:tcPr>
          <w:p w14:paraId="389F2239" w14:textId="77777777" w:rsidR="002A2188" w:rsidRPr="00A42085" w:rsidRDefault="002A2188" w:rsidP="00457EA2">
            <w:pPr>
              <w:spacing w:before="0"/>
              <w:jc w:val="right"/>
            </w:pPr>
            <w:bookmarkStart w:id="1" w:name="ditulogo"/>
            <w:bookmarkEnd w:id="1"/>
            <w:r w:rsidRPr="00A42085">
              <w:rPr>
                <w:rFonts w:ascii="Verdana" w:hAnsi="Verdana"/>
                <w:noProof/>
                <w:color w:val="FFFFFF"/>
                <w:sz w:val="26"/>
                <w:szCs w:val="26"/>
                <w:lang w:eastAsia="zh-CN"/>
              </w:rPr>
              <w:drawing>
                <wp:inline distT="0" distB="0" distL="0" distR="0" wp14:anchorId="3B245513" wp14:editId="7BE090F7">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A42085" w14:paraId="38E757A8" w14:textId="77777777" w:rsidTr="00464B6C">
        <w:trPr>
          <w:cantSplit/>
        </w:trPr>
        <w:tc>
          <w:tcPr>
            <w:tcW w:w="6911" w:type="dxa"/>
            <w:tcBorders>
              <w:bottom w:val="single" w:sz="12" w:space="0" w:color="auto"/>
            </w:tcBorders>
          </w:tcPr>
          <w:p w14:paraId="6DF8D076" w14:textId="77777777" w:rsidR="002A2188" w:rsidRPr="00A42085" w:rsidRDefault="002A2188" w:rsidP="00457EA2">
            <w:pPr>
              <w:spacing w:before="0" w:after="48"/>
              <w:rPr>
                <w:b/>
                <w:smallCaps/>
                <w:szCs w:val="24"/>
              </w:rPr>
            </w:pPr>
          </w:p>
        </w:tc>
        <w:tc>
          <w:tcPr>
            <w:tcW w:w="3120" w:type="dxa"/>
            <w:tcBorders>
              <w:bottom w:val="single" w:sz="12" w:space="0" w:color="auto"/>
            </w:tcBorders>
          </w:tcPr>
          <w:p w14:paraId="7D62230B" w14:textId="77777777" w:rsidR="002A2188" w:rsidRPr="00A42085" w:rsidRDefault="002A2188" w:rsidP="00457EA2">
            <w:pPr>
              <w:spacing w:before="0"/>
              <w:rPr>
                <w:szCs w:val="24"/>
              </w:rPr>
            </w:pPr>
          </w:p>
        </w:tc>
      </w:tr>
      <w:tr w:rsidR="002A2188" w:rsidRPr="00A42085" w14:paraId="62C2207B" w14:textId="77777777" w:rsidTr="00464B6C">
        <w:trPr>
          <w:cantSplit/>
        </w:trPr>
        <w:tc>
          <w:tcPr>
            <w:tcW w:w="6911" w:type="dxa"/>
            <w:tcBorders>
              <w:top w:val="single" w:sz="12" w:space="0" w:color="auto"/>
            </w:tcBorders>
          </w:tcPr>
          <w:p w14:paraId="1E1A88D9" w14:textId="77777777" w:rsidR="002A2188" w:rsidRPr="00A42085" w:rsidRDefault="002A2188" w:rsidP="00457EA2">
            <w:pPr>
              <w:spacing w:before="0" w:after="48"/>
              <w:rPr>
                <w:b/>
                <w:smallCaps/>
                <w:szCs w:val="24"/>
              </w:rPr>
            </w:pPr>
          </w:p>
        </w:tc>
        <w:tc>
          <w:tcPr>
            <w:tcW w:w="3120" w:type="dxa"/>
            <w:tcBorders>
              <w:top w:val="single" w:sz="12" w:space="0" w:color="auto"/>
            </w:tcBorders>
          </w:tcPr>
          <w:p w14:paraId="7B00A4E0" w14:textId="77777777" w:rsidR="002A2188" w:rsidRPr="00A42085" w:rsidRDefault="002A2188" w:rsidP="00457EA2">
            <w:pPr>
              <w:spacing w:before="0"/>
              <w:rPr>
                <w:szCs w:val="24"/>
              </w:rPr>
            </w:pPr>
          </w:p>
        </w:tc>
      </w:tr>
      <w:tr w:rsidR="002A2188" w:rsidRPr="00A42085" w14:paraId="6850B397" w14:textId="77777777" w:rsidTr="00464B6C">
        <w:trPr>
          <w:cantSplit/>
          <w:trHeight w:val="23"/>
        </w:trPr>
        <w:tc>
          <w:tcPr>
            <w:tcW w:w="6911" w:type="dxa"/>
            <w:vMerge w:val="restart"/>
          </w:tcPr>
          <w:p w14:paraId="4C64F94E" w14:textId="7BFFB65F" w:rsidR="002A2188" w:rsidRPr="00A42085" w:rsidRDefault="00457EA2" w:rsidP="00457EA2">
            <w:pPr>
              <w:tabs>
                <w:tab w:val="left" w:pos="851"/>
              </w:tabs>
              <w:spacing w:before="0"/>
              <w:rPr>
                <w:b/>
              </w:rPr>
            </w:pPr>
            <w:bookmarkStart w:id="2" w:name="dmeeting" w:colFirst="0" w:colLast="0"/>
            <w:bookmarkStart w:id="3" w:name="dnum" w:colFirst="1" w:colLast="1"/>
            <w:r>
              <w:rPr>
                <w:b/>
              </w:rPr>
              <w:t>Agenda item: PL 1.7</w:t>
            </w:r>
          </w:p>
        </w:tc>
        <w:tc>
          <w:tcPr>
            <w:tcW w:w="3120" w:type="dxa"/>
          </w:tcPr>
          <w:p w14:paraId="58BD1162" w14:textId="77777777" w:rsidR="002A2188" w:rsidRPr="00A42085" w:rsidRDefault="002A2188" w:rsidP="00457EA2">
            <w:pPr>
              <w:tabs>
                <w:tab w:val="left" w:pos="851"/>
              </w:tabs>
              <w:spacing w:before="0"/>
              <w:rPr>
                <w:b/>
              </w:rPr>
            </w:pPr>
            <w:r w:rsidRPr="00A42085">
              <w:rPr>
                <w:b/>
              </w:rPr>
              <w:t>Document C1</w:t>
            </w:r>
            <w:r w:rsidR="00FB1279" w:rsidRPr="00A42085">
              <w:rPr>
                <w:b/>
              </w:rPr>
              <w:t>9</w:t>
            </w:r>
            <w:r w:rsidRPr="00A42085">
              <w:rPr>
                <w:b/>
              </w:rPr>
              <w:t>/</w:t>
            </w:r>
            <w:r w:rsidR="001E5721" w:rsidRPr="00A42085">
              <w:rPr>
                <w:b/>
              </w:rPr>
              <w:t>74</w:t>
            </w:r>
            <w:r w:rsidRPr="00A42085">
              <w:rPr>
                <w:b/>
              </w:rPr>
              <w:t>-E</w:t>
            </w:r>
          </w:p>
        </w:tc>
      </w:tr>
      <w:tr w:rsidR="002A2188" w:rsidRPr="00A42085" w14:paraId="1C182C2E" w14:textId="77777777" w:rsidTr="00464B6C">
        <w:trPr>
          <w:cantSplit/>
          <w:trHeight w:val="23"/>
        </w:trPr>
        <w:tc>
          <w:tcPr>
            <w:tcW w:w="6911" w:type="dxa"/>
            <w:vMerge/>
          </w:tcPr>
          <w:p w14:paraId="7B06A3A2" w14:textId="77777777" w:rsidR="002A2188" w:rsidRPr="00A42085" w:rsidRDefault="002A2188" w:rsidP="00457EA2">
            <w:pPr>
              <w:tabs>
                <w:tab w:val="left" w:pos="851"/>
              </w:tabs>
              <w:rPr>
                <w:b/>
              </w:rPr>
            </w:pPr>
            <w:bookmarkStart w:id="4" w:name="ddate" w:colFirst="1" w:colLast="1"/>
            <w:bookmarkEnd w:id="2"/>
            <w:bookmarkEnd w:id="3"/>
          </w:p>
        </w:tc>
        <w:tc>
          <w:tcPr>
            <w:tcW w:w="3120" w:type="dxa"/>
          </w:tcPr>
          <w:p w14:paraId="48C080C0" w14:textId="77777777" w:rsidR="002A2188" w:rsidRPr="00A42085" w:rsidRDefault="001E5721" w:rsidP="00457EA2">
            <w:pPr>
              <w:tabs>
                <w:tab w:val="left" w:pos="993"/>
              </w:tabs>
              <w:spacing w:before="0"/>
              <w:rPr>
                <w:b/>
              </w:rPr>
            </w:pPr>
            <w:r w:rsidRPr="00A42085">
              <w:rPr>
                <w:b/>
              </w:rPr>
              <w:t>27 May</w:t>
            </w:r>
            <w:r w:rsidR="002A2188" w:rsidRPr="00A42085">
              <w:rPr>
                <w:b/>
              </w:rPr>
              <w:t xml:space="preserve"> 201</w:t>
            </w:r>
            <w:r w:rsidR="00FB1279" w:rsidRPr="00A42085">
              <w:rPr>
                <w:b/>
              </w:rPr>
              <w:t>9</w:t>
            </w:r>
          </w:p>
        </w:tc>
      </w:tr>
      <w:tr w:rsidR="002A2188" w:rsidRPr="00A42085" w14:paraId="02DD739E" w14:textId="77777777" w:rsidTr="00464B6C">
        <w:trPr>
          <w:cantSplit/>
          <w:trHeight w:val="23"/>
        </w:trPr>
        <w:tc>
          <w:tcPr>
            <w:tcW w:w="6911" w:type="dxa"/>
            <w:vMerge/>
          </w:tcPr>
          <w:p w14:paraId="66639FCC" w14:textId="77777777" w:rsidR="002A2188" w:rsidRPr="00A42085" w:rsidRDefault="002A2188" w:rsidP="00457EA2">
            <w:pPr>
              <w:tabs>
                <w:tab w:val="left" w:pos="851"/>
              </w:tabs>
              <w:rPr>
                <w:b/>
              </w:rPr>
            </w:pPr>
            <w:bookmarkStart w:id="5" w:name="dorlang" w:colFirst="1" w:colLast="1"/>
            <w:bookmarkEnd w:id="4"/>
          </w:p>
        </w:tc>
        <w:tc>
          <w:tcPr>
            <w:tcW w:w="3120" w:type="dxa"/>
          </w:tcPr>
          <w:p w14:paraId="16F65311" w14:textId="77777777" w:rsidR="002A2188" w:rsidRPr="00A42085" w:rsidRDefault="002A2188" w:rsidP="00457EA2">
            <w:pPr>
              <w:tabs>
                <w:tab w:val="left" w:pos="993"/>
              </w:tabs>
              <w:spacing w:before="0"/>
              <w:rPr>
                <w:b/>
              </w:rPr>
            </w:pPr>
            <w:r w:rsidRPr="00A42085">
              <w:rPr>
                <w:b/>
              </w:rPr>
              <w:t xml:space="preserve">Original: </w:t>
            </w:r>
            <w:r w:rsidR="001E5721" w:rsidRPr="00A42085">
              <w:rPr>
                <w:b/>
              </w:rPr>
              <w:t>Russian</w:t>
            </w:r>
          </w:p>
        </w:tc>
      </w:tr>
      <w:tr w:rsidR="002A2188" w:rsidRPr="00A42085" w14:paraId="69A20014" w14:textId="77777777" w:rsidTr="00464B6C">
        <w:trPr>
          <w:cantSplit/>
        </w:trPr>
        <w:tc>
          <w:tcPr>
            <w:tcW w:w="10031" w:type="dxa"/>
            <w:gridSpan w:val="2"/>
          </w:tcPr>
          <w:p w14:paraId="04A92FF8" w14:textId="77777777" w:rsidR="002A2188" w:rsidRPr="00A42085" w:rsidRDefault="001E5721" w:rsidP="00457EA2">
            <w:pPr>
              <w:pStyle w:val="Source"/>
            </w:pPr>
            <w:bookmarkStart w:id="6" w:name="dsource" w:colFirst="0" w:colLast="0"/>
            <w:bookmarkEnd w:id="5"/>
            <w:r w:rsidRPr="00A42085">
              <w:t>Note by the Secretary-General</w:t>
            </w:r>
          </w:p>
        </w:tc>
      </w:tr>
      <w:tr w:rsidR="002A2188" w:rsidRPr="00A42085" w14:paraId="59E5F528" w14:textId="77777777" w:rsidTr="00464B6C">
        <w:trPr>
          <w:cantSplit/>
        </w:trPr>
        <w:tc>
          <w:tcPr>
            <w:tcW w:w="10031" w:type="dxa"/>
            <w:gridSpan w:val="2"/>
          </w:tcPr>
          <w:p w14:paraId="06E9FEF0" w14:textId="77777777" w:rsidR="002A2188" w:rsidRPr="00A42085" w:rsidRDefault="001E5721" w:rsidP="00457EA2">
            <w:pPr>
              <w:pStyle w:val="Title1"/>
            </w:pPr>
            <w:bookmarkStart w:id="7" w:name="dtitle1" w:colFirst="0" w:colLast="0"/>
            <w:bookmarkEnd w:id="6"/>
            <w:r w:rsidRPr="00A42085">
              <w:t>contribution from the russian federation</w:t>
            </w:r>
          </w:p>
        </w:tc>
      </w:tr>
      <w:tr w:rsidR="001E5721" w:rsidRPr="00A42085" w14:paraId="6762D5CA" w14:textId="77777777" w:rsidTr="00464B6C">
        <w:trPr>
          <w:cantSplit/>
        </w:trPr>
        <w:tc>
          <w:tcPr>
            <w:tcW w:w="10031" w:type="dxa"/>
            <w:gridSpan w:val="2"/>
          </w:tcPr>
          <w:p w14:paraId="65FAF3AB" w14:textId="47C9C8EE" w:rsidR="001E5721" w:rsidRPr="00A42085" w:rsidRDefault="001E5721" w:rsidP="00457EA2">
            <w:pPr>
              <w:pStyle w:val="Title2"/>
            </w:pPr>
            <w:r w:rsidRPr="00A42085">
              <w:t xml:space="preserve">draft new resolution on </w:t>
            </w:r>
            <w:r w:rsidR="001267BA">
              <w:t xml:space="preserve">THE </w:t>
            </w:r>
            <w:r w:rsidR="001267BA" w:rsidRPr="001267BA">
              <w:t>Expert Group on the International Telecommunication Regulations (EG-ITR</w:t>
            </w:r>
            <w:r w:rsidR="00621536">
              <w:t>s)</w:t>
            </w:r>
          </w:p>
        </w:tc>
      </w:tr>
    </w:tbl>
    <w:bookmarkEnd w:id="7"/>
    <w:p w14:paraId="55B08B16" w14:textId="77777777" w:rsidR="001E5721" w:rsidRPr="00A42085" w:rsidRDefault="001E5721" w:rsidP="00457EA2">
      <w:pPr>
        <w:pStyle w:val="Normalaftertitle"/>
        <w:rPr>
          <w:b/>
          <w:bCs/>
        </w:rPr>
      </w:pPr>
      <w:r w:rsidRPr="00A42085">
        <w:t xml:space="preserve">I have the honour to transmit to the Member States of the Council the attached contribution submitted by the </w:t>
      </w:r>
      <w:r w:rsidRPr="00A42085">
        <w:rPr>
          <w:b/>
          <w:bCs/>
        </w:rPr>
        <w:t>Russian Federation.</w:t>
      </w:r>
    </w:p>
    <w:p w14:paraId="70D4A9A0" w14:textId="77777777" w:rsidR="001E5721" w:rsidRPr="00A42085" w:rsidRDefault="001E5721" w:rsidP="00457EA2"/>
    <w:p w14:paraId="297C48C7" w14:textId="77777777" w:rsidR="001E5721" w:rsidRPr="00A42085" w:rsidRDefault="001E5721" w:rsidP="00457EA2"/>
    <w:p w14:paraId="2000B244" w14:textId="77777777" w:rsidR="001E5721" w:rsidRPr="00A42085" w:rsidRDefault="001E5721" w:rsidP="00457EA2">
      <w:pPr>
        <w:tabs>
          <w:tab w:val="clear" w:pos="567"/>
          <w:tab w:val="clear" w:pos="1134"/>
          <w:tab w:val="clear" w:pos="1701"/>
          <w:tab w:val="clear" w:pos="2268"/>
          <w:tab w:val="clear" w:pos="2835"/>
          <w:tab w:val="center" w:pos="7088"/>
        </w:tabs>
      </w:pPr>
      <w:r w:rsidRPr="00A42085">
        <w:tab/>
        <w:t>Houlin ZHAO</w:t>
      </w:r>
      <w:r w:rsidRPr="00A42085">
        <w:br/>
      </w:r>
      <w:r w:rsidRPr="00A42085">
        <w:tab/>
        <w:t>Secretary-General</w:t>
      </w:r>
    </w:p>
    <w:p w14:paraId="55C3A87A" w14:textId="77777777" w:rsidR="001E5721" w:rsidRPr="00A42085" w:rsidRDefault="001E5721" w:rsidP="00457EA2">
      <w:pPr>
        <w:tabs>
          <w:tab w:val="clear" w:pos="567"/>
          <w:tab w:val="clear" w:pos="1134"/>
          <w:tab w:val="clear" w:pos="1701"/>
          <w:tab w:val="clear" w:pos="2268"/>
          <w:tab w:val="clear" w:pos="2835"/>
        </w:tabs>
        <w:overflowPunct/>
        <w:autoSpaceDE/>
        <w:autoSpaceDN/>
        <w:adjustRightInd/>
        <w:spacing w:before="0"/>
        <w:textAlignment w:val="auto"/>
      </w:pPr>
      <w:r w:rsidRPr="00A42085">
        <w:br w:type="page"/>
      </w:r>
    </w:p>
    <w:p w14:paraId="4E233EFD" w14:textId="05BA18A2" w:rsidR="00264425" w:rsidRPr="00A42085" w:rsidRDefault="00846EE1" w:rsidP="00457EA2">
      <w:pPr>
        <w:pStyle w:val="ResNo"/>
      </w:pPr>
      <w:bookmarkStart w:id="8" w:name="dstart"/>
      <w:bookmarkStart w:id="9" w:name="dbreak"/>
      <w:bookmarkEnd w:id="8"/>
      <w:bookmarkEnd w:id="9"/>
      <w:r>
        <w:lastRenderedPageBreak/>
        <w:t>COUNCIL</w:t>
      </w:r>
      <w:r w:rsidR="001E5721" w:rsidRPr="00A42085">
        <w:t xml:space="preserve"> resolution xxx</w:t>
      </w:r>
    </w:p>
    <w:p w14:paraId="3934549D" w14:textId="77777777" w:rsidR="001E5721" w:rsidRPr="00A42085" w:rsidRDefault="001267BA" w:rsidP="00457EA2">
      <w:pPr>
        <w:pStyle w:val="Resref"/>
        <w:rPr>
          <w:rFonts w:asciiTheme="minorHAnsi" w:hAnsiTheme="minorHAnsi" w:cstheme="minorHAnsi"/>
        </w:rPr>
      </w:pPr>
      <w:r w:rsidRPr="001267BA">
        <w:rPr>
          <w:rFonts w:asciiTheme="minorHAnsi" w:hAnsiTheme="minorHAnsi" w:cstheme="minorHAnsi"/>
        </w:rPr>
        <w:t xml:space="preserve">(adopted at the </w:t>
      </w:r>
      <w:r>
        <w:rPr>
          <w:rFonts w:asciiTheme="minorHAnsi" w:hAnsiTheme="minorHAnsi" w:cstheme="minorHAnsi"/>
        </w:rPr>
        <w:t>XXX</w:t>
      </w:r>
      <w:r w:rsidRPr="001267BA">
        <w:rPr>
          <w:rFonts w:asciiTheme="minorHAnsi" w:hAnsiTheme="minorHAnsi" w:cstheme="minorHAnsi"/>
        </w:rPr>
        <w:t xml:space="preserve"> Plenary Meeting)</w:t>
      </w:r>
    </w:p>
    <w:p w14:paraId="279EE9AC" w14:textId="77777777" w:rsidR="001E5721" w:rsidRPr="00A42085" w:rsidRDefault="001E5721" w:rsidP="00457EA2">
      <w:pPr>
        <w:pStyle w:val="Restitle"/>
      </w:pPr>
      <w:bookmarkStart w:id="10" w:name="_Toc458082566"/>
      <w:bookmarkStart w:id="11" w:name="_Toc489512256"/>
      <w:bookmarkStart w:id="12" w:name="_Toc530996677"/>
      <w:r w:rsidRPr="00A42085">
        <w:t>Expert Group on the International Telecommunication Regulations (EG-ITRs)</w:t>
      </w:r>
      <w:bookmarkEnd w:id="10"/>
      <w:bookmarkEnd w:id="11"/>
      <w:bookmarkEnd w:id="12"/>
    </w:p>
    <w:p w14:paraId="16772EC6" w14:textId="77777777" w:rsidR="001E5721" w:rsidRPr="00A42085" w:rsidRDefault="001E5721" w:rsidP="00457EA2">
      <w:pPr>
        <w:pStyle w:val="Normalaftertitle"/>
      </w:pPr>
      <w:r w:rsidRPr="00A42085">
        <w:t>The Co</w:t>
      </w:r>
      <w:bookmarkStart w:id="13" w:name="_GoBack"/>
      <w:bookmarkEnd w:id="13"/>
      <w:r w:rsidRPr="00A42085">
        <w:t>uncil,</w:t>
      </w:r>
    </w:p>
    <w:p w14:paraId="754A19C0" w14:textId="77777777" w:rsidR="001E5721" w:rsidRPr="00A42085" w:rsidRDefault="001E5721" w:rsidP="00457EA2">
      <w:pPr>
        <w:pStyle w:val="Call"/>
      </w:pPr>
      <w:r w:rsidRPr="00A42085">
        <w:t>considering</w:t>
      </w:r>
    </w:p>
    <w:p w14:paraId="36CAC0F4" w14:textId="77777777" w:rsidR="001E5721" w:rsidRPr="00A42085" w:rsidRDefault="001E5721" w:rsidP="00457EA2">
      <w:pPr>
        <w:snapToGrid w:val="0"/>
        <w:rPr>
          <w:szCs w:val="24"/>
        </w:rPr>
      </w:pPr>
      <w:r w:rsidRPr="00A42085">
        <w:rPr>
          <w:i/>
          <w:szCs w:val="24"/>
        </w:rPr>
        <w:t>a)</w:t>
      </w:r>
      <w:r w:rsidRPr="00A42085">
        <w:rPr>
          <w:szCs w:val="24"/>
        </w:rPr>
        <w:tab/>
        <w:t>Article 25 of the ITU Constitution, on World Conferences on International Telecommunications (WCIT);</w:t>
      </w:r>
    </w:p>
    <w:p w14:paraId="1B592131" w14:textId="77777777" w:rsidR="001E5721" w:rsidRPr="00A42085" w:rsidRDefault="001E5721" w:rsidP="00457EA2">
      <w:pPr>
        <w:snapToGrid w:val="0"/>
        <w:rPr>
          <w:szCs w:val="24"/>
        </w:rPr>
      </w:pPr>
      <w:r w:rsidRPr="00A42085">
        <w:rPr>
          <w:i/>
          <w:szCs w:val="24"/>
        </w:rPr>
        <w:t>b)</w:t>
      </w:r>
      <w:r w:rsidRPr="00A42085">
        <w:rPr>
          <w:szCs w:val="24"/>
        </w:rPr>
        <w:tab/>
        <w:t>No. 48 in Article 3 of the ITU Convention, on other conferences and assemblies;</w:t>
      </w:r>
    </w:p>
    <w:p w14:paraId="455B1264" w14:textId="0733DDA2" w:rsidR="001E5721" w:rsidRPr="00A42085" w:rsidRDefault="001E5721" w:rsidP="00457EA2">
      <w:pPr>
        <w:pStyle w:val="Head"/>
        <w:tabs>
          <w:tab w:val="clear" w:pos="6663"/>
        </w:tabs>
        <w:adjustRightInd w:val="0"/>
        <w:snapToGrid w:val="0"/>
        <w:spacing w:before="120"/>
        <w:rPr>
          <w:szCs w:val="24"/>
        </w:rPr>
      </w:pPr>
      <w:r w:rsidRPr="00A42085">
        <w:rPr>
          <w:i/>
          <w:iCs/>
          <w:szCs w:val="24"/>
        </w:rPr>
        <w:t>c)</w:t>
      </w:r>
      <w:r w:rsidRPr="00A42085">
        <w:rPr>
          <w:szCs w:val="24"/>
        </w:rPr>
        <w:tab/>
        <w:t xml:space="preserve">Resolution 146 (Rev. Dubai, 2018) of the Plenipotentiary Conference, on </w:t>
      </w:r>
      <w:r w:rsidR="00621536">
        <w:rPr>
          <w:szCs w:val="24"/>
        </w:rPr>
        <w:t>the p</w:t>
      </w:r>
      <w:r w:rsidRPr="00A42085">
        <w:rPr>
          <w:szCs w:val="24"/>
        </w:rPr>
        <w:t>eriodic review and revision of the International Telecommunication Regulations;</w:t>
      </w:r>
    </w:p>
    <w:p w14:paraId="51DD6C01" w14:textId="49BF3C9A" w:rsidR="001E5721" w:rsidRPr="00A42085" w:rsidRDefault="001E5721" w:rsidP="00457EA2">
      <w:pPr>
        <w:snapToGrid w:val="0"/>
        <w:rPr>
          <w:szCs w:val="24"/>
        </w:rPr>
      </w:pPr>
      <w:r w:rsidRPr="00A42085">
        <w:rPr>
          <w:i/>
          <w:szCs w:val="24"/>
        </w:rPr>
        <w:t>d)</w:t>
      </w:r>
      <w:r w:rsidRPr="00A42085">
        <w:rPr>
          <w:szCs w:val="24"/>
        </w:rPr>
        <w:tab/>
      </w:r>
      <w:r w:rsidRPr="00A42085">
        <w:rPr>
          <w:rFonts w:eastAsia="SimSun"/>
          <w:szCs w:val="24"/>
        </w:rPr>
        <w:t xml:space="preserve">Resolution 144 (Rev. Dubai, 2018) </w:t>
      </w:r>
      <w:r w:rsidRPr="00A42085">
        <w:rPr>
          <w:szCs w:val="24"/>
        </w:rPr>
        <w:t>of the Plenipotentiary Conference</w:t>
      </w:r>
      <w:r w:rsidRPr="00A42085">
        <w:rPr>
          <w:rFonts w:eastAsia="SimSun"/>
          <w:szCs w:val="24"/>
        </w:rPr>
        <w:t xml:space="preserve"> on </w:t>
      </w:r>
      <w:r w:rsidR="00621536">
        <w:rPr>
          <w:rFonts w:eastAsia="SimSun"/>
          <w:szCs w:val="24"/>
        </w:rPr>
        <w:t>the a</w:t>
      </w:r>
      <w:r w:rsidRPr="00A42085">
        <w:rPr>
          <w:rFonts w:eastAsia="SimSun"/>
          <w:szCs w:val="24"/>
        </w:rPr>
        <w:t xml:space="preserve">vailability of model host-country agreements in advance for conferences and assemblies of the Union held away from Geneva, and </w:t>
      </w:r>
      <w:r w:rsidR="00621536">
        <w:rPr>
          <w:rFonts w:eastAsia="SimSun"/>
          <w:szCs w:val="24"/>
        </w:rPr>
        <w:t xml:space="preserve">Resolution </w:t>
      </w:r>
      <w:r w:rsidRPr="00A42085">
        <w:rPr>
          <w:rFonts w:eastAsia="SimSun"/>
          <w:szCs w:val="24"/>
        </w:rPr>
        <w:t xml:space="preserve">175 (Rev. Dubai, 2018) </w:t>
      </w:r>
      <w:r w:rsidRPr="00A42085">
        <w:rPr>
          <w:szCs w:val="24"/>
        </w:rPr>
        <w:t>of the Plenipotentiary Conference</w:t>
      </w:r>
      <w:r w:rsidRPr="00A42085">
        <w:rPr>
          <w:rFonts w:eastAsia="SimSun"/>
          <w:szCs w:val="24"/>
        </w:rPr>
        <w:t xml:space="preserve"> on Telecommunication/information and communication technology accessibility for persons with disabilities and persons with specific needs;</w:t>
      </w:r>
    </w:p>
    <w:p w14:paraId="36854EDC" w14:textId="4884B3CA" w:rsidR="001E5721" w:rsidRPr="00A42085" w:rsidRDefault="001E5721" w:rsidP="00457EA2">
      <w:pPr>
        <w:snapToGrid w:val="0"/>
        <w:rPr>
          <w:szCs w:val="24"/>
        </w:rPr>
      </w:pPr>
      <w:r w:rsidRPr="00A42085">
        <w:rPr>
          <w:i/>
          <w:iCs/>
          <w:szCs w:val="24"/>
        </w:rPr>
        <w:t>e)</w:t>
      </w:r>
      <w:r w:rsidRPr="00A42085">
        <w:rPr>
          <w:szCs w:val="24"/>
        </w:rPr>
        <w:tab/>
        <w:t xml:space="preserve">Resolution 4 (Dubai, 2012) of the World Conference on International Telecommunications, on </w:t>
      </w:r>
      <w:r w:rsidR="00621536">
        <w:rPr>
          <w:szCs w:val="24"/>
        </w:rPr>
        <w:t xml:space="preserve">the </w:t>
      </w:r>
      <w:r w:rsidRPr="00A42085">
        <w:rPr>
          <w:szCs w:val="24"/>
        </w:rPr>
        <w:t>periodic review of the International Telecommunication Regulations;</w:t>
      </w:r>
    </w:p>
    <w:p w14:paraId="332F285D" w14:textId="2854A7A6" w:rsidR="001E5721" w:rsidRPr="00457EA2" w:rsidRDefault="001E5721" w:rsidP="00457EA2">
      <w:pPr>
        <w:rPr>
          <w:szCs w:val="24"/>
        </w:rPr>
      </w:pPr>
      <w:r w:rsidRPr="00A42085">
        <w:rPr>
          <w:i/>
          <w:iCs/>
          <w:szCs w:val="24"/>
        </w:rPr>
        <w:t>f)</w:t>
      </w:r>
      <w:r w:rsidRPr="00A42085">
        <w:rPr>
          <w:i/>
          <w:iCs/>
          <w:szCs w:val="24"/>
        </w:rPr>
        <w:tab/>
      </w:r>
      <w:bookmarkStart w:id="14" w:name="_Toc475345311"/>
      <w:r w:rsidRPr="00A42085">
        <w:t xml:space="preserve">Resolution </w:t>
      </w:r>
      <w:r w:rsidRPr="00A42085">
        <w:rPr>
          <w:rStyle w:val="href"/>
        </w:rPr>
        <w:t xml:space="preserve">87 </w:t>
      </w:r>
      <w:r w:rsidRPr="00A42085">
        <w:t>(Hammamet, 2016)</w:t>
      </w:r>
      <w:bookmarkEnd w:id="14"/>
      <w:r w:rsidRPr="00A42085">
        <w:t xml:space="preserve"> </w:t>
      </w:r>
      <w:bookmarkStart w:id="15" w:name="_Toc475345312"/>
      <w:r w:rsidR="001267BA" w:rsidRPr="001267BA">
        <w:t xml:space="preserve">of the World Telecommunication Standardization Assembly (WTSA) </w:t>
      </w:r>
      <w:r w:rsidR="001267BA">
        <w:t xml:space="preserve">on </w:t>
      </w:r>
      <w:r w:rsidR="00621536">
        <w:t xml:space="preserve">the </w:t>
      </w:r>
      <w:r w:rsidR="001267BA">
        <w:t>p</w:t>
      </w:r>
      <w:r w:rsidRPr="00A42085">
        <w:t>articipation of the ITU Telecommunication Standardization Sector in the periodic review and revision of the International Telecommunication Regulations</w:t>
      </w:r>
      <w:bookmarkEnd w:id="15"/>
      <w:r w:rsidRPr="00A42085">
        <w:t>,</w:t>
      </w:r>
    </w:p>
    <w:p w14:paraId="332C347A" w14:textId="77777777" w:rsidR="001E5721" w:rsidRPr="00A42085" w:rsidRDefault="001E5721" w:rsidP="00457EA2">
      <w:pPr>
        <w:pStyle w:val="Call"/>
      </w:pPr>
      <w:proofErr w:type="gramStart"/>
      <w:r w:rsidRPr="00A42085">
        <w:t>resolves</w:t>
      </w:r>
      <w:proofErr w:type="gramEnd"/>
    </w:p>
    <w:p w14:paraId="41E60B1B" w14:textId="1E1FBBB2" w:rsidR="001E5721" w:rsidRPr="00A42085" w:rsidRDefault="001E5721" w:rsidP="00457EA2">
      <w:pPr>
        <w:pStyle w:val="enumlev1"/>
        <w:snapToGrid w:val="0"/>
        <w:spacing w:before="120"/>
        <w:ind w:left="0" w:firstLine="0"/>
        <w:rPr>
          <w:szCs w:val="24"/>
        </w:rPr>
      </w:pPr>
      <w:r w:rsidRPr="00A42085">
        <w:rPr>
          <w:szCs w:val="24"/>
        </w:rPr>
        <w:t>1</w:t>
      </w:r>
      <w:r w:rsidRPr="00A42085">
        <w:rPr>
          <w:szCs w:val="24"/>
        </w:rPr>
        <w:tab/>
        <w:t>that an Expert Group on the International Telecommunication Regulations (EG-ITRs), open to all Member States and Sector Members,</w:t>
      </w:r>
      <w:r w:rsidR="001267BA">
        <w:rPr>
          <w:szCs w:val="24"/>
        </w:rPr>
        <w:t xml:space="preserve"> </w:t>
      </w:r>
      <w:r w:rsidRPr="00A42085">
        <w:rPr>
          <w:szCs w:val="24"/>
        </w:rPr>
        <w:t xml:space="preserve">be </w:t>
      </w:r>
      <w:r w:rsidR="001267BA">
        <w:rPr>
          <w:szCs w:val="24"/>
        </w:rPr>
        <w:t>re</w:t>
      </w:r>
      <w:r w:rsidR="006C7BAA">
        <w:rPr>
          <w:szCs w:val="24"/>
        </w:rPr>
        <w:t>convened</w:t>
      </w:r>
      <w:r w:rsidRPr="00A42085">
        <w:rPr>
          <w:szCs w:val="24"/>
        </w:rPr>
        <w:t xml:space="preserve"> </w:t>
      </w:r>
      <w:r w:rsidR="001267BA">
        <w:rPr>
          <w:szCs w:val="24"/>
        </w:rPr>
        <w:t xml:space="preserve">to conduct </w:t>
      </w:r>
      <w:r w:rsidR="001267BA">
        <w:rPr>
          <w:color w:val="000000"/>
        </w:rPr>
        <w:t>a comprehensive review of the ITRs with a view to achieving consensus on the way forward in respect of the ITRs</w:t>
      </w:r>
      <w:r w:rsidR="001267BA">
        <w:rPr>
          <w:szCs w:val="24"/>
        </w:rPr>
        <w:t xml:space="preserve">, </w:t>
      </w:r>
      <w:r w:rsidRPr="00A42085">
        <w:rPr>
          <w:szCs w:val="24"/>
        </w:rPr>
        <w:t>with the Terms of Reference shown in Annex 1 of this Resolution;</w:t>
      </w:r>
    </w:p>
    <w:p w14:paraId="3144DC08" w14:textId="42705F2D" w:rsidR="001E5721" w:rsidRPr="00A42085" w:rsidRDefault="001E5721" w:rsidP="00457EA2">
      <w:pPr>
        <w:pStyle w:val="enumlev1"/>
        <w:snapToGrid w:val="0"/>
        <w:spacing w:before="120"/>
        <w:ind w:left="0" w:firstLine="0"/>
        <w:rPr>
          <w:szCs w:val="24"/>
        </w:rPr>
      </w:pPr>
      <w:r w:rsidRPr="00A42085">
        <w:rPr>
          <w:szCs w:val="24"/>
        </w:rPr>
        <w:t>2</w:t>
      </w:r>
      <w:r w:rsidRPr="00A42085">
        <w:rPr>
          <w:szCs w:val="24"/>
        </w:rPr>
        <w:tab/>
        <w:t xml:space="preserve">that </w:t>
      </w:r>
      <w:r w:rsidR="00E8307D" w:rsidRPr="00A42085">
        <w:rPr>
          <w:szCs w:val="24"/>
        </w:rPr>
        <w:t>EG-ITRs</w:t>
      </w:r>
      <w:r w:rsidRPr="00A42085">
        <w:rPr>
          <w:szCs w:val="24"/>
        </w:rPr>
        <w:t xml:space="preserve"> </w:t>
      </w:r>
      <w:r w:rsidR="00621536">
        <w:rPr>
          <w:szCs w:val="24"/>
        </w:rPr>
        <w:t xml:space="preserve">shall have </w:t>
      </w:r>
      <w:r w:rsidRPr="00A42085">
        <w:rPr>
          <w:szCs w:val="24"/>
        </w:rPr>
        <w:t>a Chairman and six Vice-Chairmen, one from each ITU region, nominated by Council and taking into account competency and qualification as well as enhancing gender balance;</w:t>
      </w:r>
    </w:p>
    <w:p w14:paraId="39B9F4DA" w14:textId="6C000E12" w:rsidR="001E5721" w:rsidRPr="00A42085" w:rsidRDefault="001E5721" w:rsidP="00457EA2">
      <w:pPr>
        <w:pStyle w:val="enumlev1"/>
        <w:snapToGrid w:val="0"/>
        <w:spacing w:before="120"/>
        <w:ind w:left="0" w:firstLine="0"/>
        <w:rPr>
          <w:szCs w:val="24"/>
        </w:rPr>
      </w:pPr>
      <w:r w:rsidRPr="00A42085">
        <w:rPr>
          <w:szCs w:val="24"/>
        </w:rPr>
        <w:t>3</w:t>
      </w:r>
      <w:r w:rsidRPr="00A42085">
        <w:rPr>
          <w:szCs w:val="24"/>
        </w:rPr>
        <w:tab/>
        <w:t xml:space="preserve">that EG-ITRs shall prepare a progress report to the 2020 </w:t>
      </w:r>
      <w:r w:rsidR="00E8307D">
        <w:rPr>
          <w:szCs w:val="24"/>
        </w:rPr>
        <w:t xml:space="preserve">and </w:t>
      </w:r>
      <w:r w:rsidRPr="00A42085">
        <w:rPr>
          <w:szCs w:val="24"/>
        </w:rPr>
        <w:t>2021 session</w:t>
      </w:r>
      <w:r w:rsidR="00E8307D">
        <w:rPr>
          <w:szCs w:val="24"/>
        </w:rPr>
        <w:t>s</w:t>
      </w:r>
      <w:r w:rsidRPr="00A42085">
        <w:rPr>
          <w:szCs w:val="24"/>
        </w:rPr>
        <w:t xml:space="preserve"> of the Council;</w:t>
      </w:r>
    </w:p>
    <w:p w14:paraId="2DF30FC9" w14:textId="0CA9F2C6" w:rsidR="001E5721" w:rsidRPr="00A42085" w:rsidRDefault="001E5721" w:rsidP="00457EA2">
      <w:pPr>
        <w:pStyle w:val="enumlev1"/>
        <w:snapToGrid w:val="0"/>
        <w:spacing w:before="120"/>
        <w:ind w:left="0" w:firstLine="0"/>
        <w:rPr>
          <w:szCs w:val="24"/>
        </w:rPr>
      </w:pPr>
      <w:r w:rsidRPr="00A42085">
        <w:rPr>
          <w:szCs w:val="24"/>
        </w:rPr>
        <w:t>4</w:t>
      </w:r>
      <w:r w:rsidRPr="00A42085">
        <w:rPr>
          <w:szCs w:val="24"/>
        </w:rPr>
        <w:tab/>
        <w:t xml:space="preserve">that EG-ITRs shall prepare a final report to the 2022 session of the Council for submission of the report to the </w:t>
      </w:r>
      <w:r w:rsidR="009437AA" w:rsidRPr="00A42085">
        <w:rPr>
          <w:szCs w:val="24"/>
        </w:rPr>
        <w:t xml:space="preserve">2022 </w:t>
      </w:r>
      <w:r w:rsidRPr="00A42085">
        <w:rPr>
          <w:szCs w:val="24"/>
        </w:rPr>
        <w:t>Plenipotentiary Conference with the Council's comments;</w:t>
      </w:r>
    </w:p>
    <w:p w14:paraId="60B15B86" w14:textId="6ED34FEC" w:rsidR="001E5721" w:rsidRPr="00A42085" w:rsidRDefault="001E5721" w:rsidP="00457EA2">
      <w:pPr>
        <w:pStyle w:val="enumlev1"/>
        <w:snapToGrid w:val="0"/>
        <w:spacing w:before="120"/>
        <w:ind w:left="0" w:firstLine="0"/>
        <w:rPr>
          <w:szCs w:val="24"/>
        </w:rPr>
      </w:pPr>
      <w:r w:rsidRPr="00A42085">
        <w:rPr>
          <w:szCs w:val="24"/>
        </w:rPr>
        <w:t>5</w:t>
      </w:r>
      <w:r w:rsidRPr="00A42085">
        <w:rPr>
          <w:szCs w:val="24"/>
        </w:rPr>
        <w:tab/>
        <w:t>that the General Rules of conferences, assemblies, and meet</w:t>
      </w:r>
      <w:r w:rsidR="00621536">
        <w:rPr>
          <w:szCs w:val="24"/>
        </w:rPr>
        <w:t>ings of the Union and Rules of P</w:t>
      </w:r>
      <w:r w:rsidRPr="00A42085">
        <w:rPr>
          <w:szCs w:val="24"/>
        </w:rPr>
        <w:t xml:space="preserve">rocedure of the Council related to working groups of the Council shall apply to </w:t>
      </w:r>
      <w:r w:rsidR="00E8307D" w:rsidRPr="00A42085">
        <w:rPr>
          <w:szCs w:val="24"/>
        </w:rPr>
        <w:t>EG-ITRs</w:t>
      </w:r>
      <w:r w:rsidRPr="00A42085">
        <w:rPr>
          <w:szCs w:val="24"/>
        </w:rPr>
        <w:t>;</w:t>
      </w:r>
    </w:p>
    <w:p w14:paraId="0F1104CA" w14:textId="17FDE72D" w:rsidR="001E5721" w:rsidRPr="00A42085" w:rsidRDefault="001E5721" w:rsidP="00457EA2">
      <w:pPr>
        <w:snapToGrid w:val="0"/>
        <w:ind w:right="-20"/>
        <w:rPr>
          <w:szCs w:val="24"/>
        </w:rPr>
      </w:pPr>
      <w:r w:rsidRPr="00A42085">
        <w:rPr>
          <w:rFonts w:cs="Calibri"/>
          <w:spacing w:val="1"/>
          <w:position w:val="2"/>
          <w:szCs w:val="24"/>
        </w:rPr>
        <w:t>6</w:t>
      </w:r>
      <w:r w:rsidRPr="00A42085">
        <w:rPr>
          <w:rFonts w:cs="Calibri"/>
          <w:spacing w:val="1"/>
          <w:position w:val="2"/>
          <w:szCs w:val="24"/>
        </w:rPr>
        <w:tab/>
        <w:t>that t</w:t>
      </w:r>
      <w:r w:rsidRPr="00A42085">
        <w:rPr>
          <w:rFonts w:cs="Calibri"/>
          <w:position w:val="2"/>
          <w:szCs w:val="24"/>
        </w:rPr>
        <w:t xml:space="preserve">o </w:t>
      </w:r>
      <w:r w:rsidRPr="00A42085">
        <w:rPr>
          <w:rFonts w:cs="Calibri"/>
          <w:spacing w:val="1"/>
          <w:position w:val="2"/>
          <w:szCs w:val="24"/>
        </w:rPr>
        <w:t>t</w:t>
      </w:r>
      <w:r w:rsidRPr="00A42085">
        <w:rPr>
          <w:rFonts w:cs="Calibri"/>
          <w:spacing w:val="-1"/>
          <w:position w:val="2"/>
          <w:szCs w:val="24"/>
        </w:rPr>
        <w:t>h</w:t>
      </w:r>
      <w:r w:rsidRPr="00A42085">
        <w:rPr>
          <w:rFonts w:cs="Calibri"/>
          <w:position w:val="2"/>
          <w:szCs w:val="24"/>
        </w:rPr>
        <w:t>e maxim</w:t>
      </w:r>
      <w:r w:rsidRPr="00A42085">
        <w:rPr>
          <w:rFonts w:cs="Calibri"/>
          <w:spacing w:val="1"/>
          <w:position w:val="2"/>
          <w:szCs w:val="24"/>
        </w:rPr>
        <w:t>u</w:t>
      </w:r>
      <w:r w:rsidRPr="00A42085">
        <w:rPr>
          <w:rFonts w:cs="Calibri"/>
          <w:position w:val="2"/>
          <w:szCs w:val="24"/>
        </w:rPr>
        <w:t>m e</w:t>
      </w:r>
      <w:r w:rsidRPr="00A42085">
        <w:rPr>
          <w:rFonts w:cs="Calibri"/>
          <w:spacing w:val="-3"/>
          <w:position w:val="2"/>
          <w:szCs w:val="24"/>
        </w:rPr>
        <w:t>x</w:t>
      </w:r>
      <w:r w:rsidRPr="00A42085">
        <w:rPr>
          <w:rFonts w:cs="Calibri"/>
          <w:spacing w:val="1"/>
          <w:position w:val="2"/>
          <w:szCs w:val="24"/>
        </w:rPr>
        <w:t>t</w:t>
      </w:r>
      <w:r w:rsidRPr="00A42085">
        <w:rPr>
          <w:rFonts w:cs="Calibri"/>
          <w:position w:val="2"/>
          <w:szCs w:val="24"/>
        </w:rPr>
        <w:t>e</w:t>
      </w:r>
      <w:r w:rsidRPr="00A42085">
        <w:rPr>
          <w:rFonts w:cs="Calibri"/>
          <w:spacing w:val="-1"/>
          <w:position w:val="2"/>
          <w:szCs w:val="24"/>
        </w:rPr>
        <w:t>n</w:t>
      </w:r>
      <w:r w:rsidRPr="00A42085">
        <w:rPr>
          <w:rFonts w:cs="Calibri"/>
          <w:position w:val="2"/>
          <w:szCs w:val="24"/>
        </w:rPr>
        <w:t xml:space="preserve">t </w:t>
      </w:r>
      <w:r w:rsidRPr="00A42085">
        <w:rPr>
          <w:rFonts w:cs="Calibri"/>
          <w:spacing w:val="-1"/>
          <w:position w:val="2"/>
          <w:szCs w:val="24"/>
        </w:rPr>
        <w:t>p</w:t>
      </w:r>
      <w:r w:rsidRPr="00A42085">
        <w:rPr>
          <w:rFonts w:cs="Calibri"/>
          <w:position w:val="2"/>
          <w:szCs w:val="24"/>
        </w:rPr>
        <w:t>ossi</w:t>
      </w:r>
      <w:r w:rsidRPr="00A42085">
        <w:rPr>
          <w:rFonts w:cs="Calibri"/>
          <w:spacing w:val="1"/>
          <w:position w:val="2"/>
          <w:szCs w:val="24"/>
        </w:rPr>
        <w:t>b</w:t>
      </w:r>
      <w:r w:rsidRPr="00A42085">
        <w:rPr>
          <w:rFonts w:cs="Calibri"/>
          <w:position w:val="2"/>
          <w:szCs w:val="24"/>
        </w:rPr>
        <w:t xml:space="preserve">le, </w:t>
      </w:r>
      <w:r w:rsidR="00621536">
        <w:rPr>
          <w:rFonts w:cs="Calibri"/>
          <w:spacing w:val="1"/>
          <w:position w:val="2"/>
          <w:szCs w:val="24"/>
        </w:rPr>
        <w:t xml:space="preserve">provision shall be made for </w:t>
      </w:r>
      <w:r w:rsidRPr="00A42085">
        <w:rPr>
          <w:rFonts w:cs="Calibri"/>
          <w:position w:val="2"/>
          <w:szCs w:val="24"/>
        </w:rPr>
        <w:t>r</w:t>
      </w:r>
      <w:r w:rsidRPr="00A42085">
        <w:rPr>
          <w:rFonts w:cs="Calibri"/>
          <w:spacing w:val="1"/>
          <w:position w:val="2"/>
          <w:szCs w:val="24"/>
        </w:rPr>
        <w:t>e</w:t>
      </w:r>
      <w:r w:rsidRPr="00A42085">
        <w:rPr>
          <w:rFonts w:cs="Calibri"/>
          <w:position w:val="2"/>
          <w:szCs w:val="24"/>
        </w:rPr>
        <w:t>m</w:t>
      </w:r>
      <w:r w:rsidRPr="00A42085">
        <w:rPr>
          <w:rFonts w:cs="Calibri"/>
          <w:spacing w:val="-1"/>
          <w:position w:val="2"/>
          <w:szCs w:val="24"/>
        </w:rPr>
        <w:t>o</w:t>
      </w:r>
      <w:r w:rsidRPr="00A42085">
        <w:rPr>
          <w:rFonts w:cs="Calibri"/>
          <w:spacing w:val="1"/>
          <w:position w:val="2"/>
          <w:szCs w:val="24"/>
        </w:rPr>
        <w:t>t</w:t>
      </w:r>
      <w:r w:rsidRPr="00A42085">
        <w:rPr>
          <w:rFonts w:cs="Calibri"/>
          <w:position w:val="2"/>
          <w:szCs w:val="24"/>
        </w:rPr>
        <w:t xml:space="preserve">e </w:t>
      </w:r>
      <w:r w:rsidRPr="00A42085">
        <w:rPr>
          <w:rFonts w:cs="Calibri"/>
          <w:spacing w:val="1"/>
          <w:position w:val="1"/>
          <w:szCs w:val="24"/>
        </w:rPr>
        <w:t>p</w:t>
      </w:r>
      <w:r w:rsidRPr="00A42085">
        <w:rPr>
          <w:rFonts w:cs="Calibri"/>
          <w:position w:val="1"/>
          <w:szCs w:val="24"/>
        </w:rPr>
        <w:t>ar</w:t>
      </w:r>
      <w:r w:rsidRPr="00A42085">
        <w:rPr>
          <w:rFonts w:cs="Calibri"/>
          <w:spacing w:val="2"/>
          <w:position w:val="1"/>
          <w:szCs w:val="24"/>
        </w:rPr>
        <w:t>t</w:t>
      </w:r>
      <w:r w:rsidRPr="00A42085">
        <w:rPr>
          <w:rFonts w:cs="Calibri"/>
          <w:position w:val="1"/>
          <w:szCs w:val="24"/>
        </w:rPr>
        <w:t>i</w:t>
      </w:r>
      <w:r w:rsidRPr="00A42085">
        <w:rPr>
          <w:rFonts w:cs="Calibri"/>
          <w:spacing w:val="-1"/>
          <w:position w:val="1"/>
          <w:szCs w:val="24"/>
        </w:rPr>
        <w:t>c</w:t>
      </w:r>
      <w:r w:rsidRPr="00A42085">
        <w:rPr>
          <w:rFonts w:cs="Calibri"/>
          <w:position w:val="1"/>
          <w:szCs w:val="24"/>
        </w:rPr>
        <w:t>i</w:t>
      </w:r>
      <w:r w:rsidRPr="00A42085">
        <w:rPr>
          <w:rFonts w:cs="Calibri"/>
          <w:spacing w:val="-1"/>
          <w:position w:val="1"/>
          <w:szCs w:val="24"/>
        </w:rPr>
        <w:t>p</w:t>
      </w:r>
      <w:r w:rsidRPr="00A42085">
        <w:rPr>
          <w:rFonts w:cs="Calibri"/>
          <w:position w:val="1"/>
          <w:szCs w:val="24"/>
        </w:rPr>
        <w:t>a</w:t>
      </w:r>
      <w:r w:rsidRPr="00A42085">
        <w:rPr>
          <w:rFonts w:cs="Calibri"/>
          <w:spacing w:val="1"/>
          <w:position w:val="1"/>
          <w:szCs w:val="24"/>
        </w:rPr>
        <w:t>t</w:t>
      </w:r>
      <w:r w:rsidRPr="00A42085">
        <w:rPr>
          <w:rFonts w:cs="Calibri"/>
          <w:position w:val="1"/>
          <w:szCs w:val="24"/>
        </w:rPr>
        <w:t>i</w:t>
      </w:r>
      <w:r w:rsidRPr="00A42085">
        <w:rPr>
          <w:rFonts w:cs="Calibri"/>
          <w:spacing w:val="-2"/>
          <w:position w:val="1"/>
          <w:szCs w:val="24"/>
        </w:rPr>
        <w:t>o</w:t>
      </w:r>
      <w:r w:rsidRPr="00A42085">
        <w:rPr>
          <w:rFonts w:cs="Calibri"/>
          <w:spacing w:val="1"/>
          <w:position w:val="1"/>
          <w:szCs w:val="24"/>
        </w:rPr>
        <w:t>n</w:t>
      </w:r>
      <w:r w:rsidRPr="00A42085">
        <w:rPr>
          <w:rFonts w:cs="Calibri"/>
          <w:position w:val="1"/>
          <w:szCs w:val="24"/>
        </w:rPr>
        <w:t xml:space="preserve"> </w:t>
      </w:r>
      <w:r w:rsidR="00E8307D">
        <w:rPr>
          <w:rFonts w:cs="Calibri"/>
          <w:position w:val="1"/>
          <w:szCs w:val="24"/>
        </w:rPr>
        <w:t xml:space="preserve">in </w:t>
      </w:r>
      <w:r w:rsidRPr="00A42085">
        <w:rPr>
          <w:rFonts w:cs="Calibri"/>
          <w:position w:val="1"/>
          <w:szCs w:val="24"/>
        </w:rPr>
        <w:t>and</w:t>
      </w:r>
      <w:r w:rsidRPr="00A42085">
        <w:rPr>
          <w:rFonts w:cs="Calibri"/>
          <w:spacing w:val="53"/>
          <w:position w:val="1"/>
          <w:szCs w:val="24"/>
        </w:rPr>
        <w:t xml:space="preserve"> </w:t>
      </w:r>
      <w:r w:rsidRPr="00A42085">
        <w:rPr>
          <w:rFonts w:cs="Calibri"/>
          <w:spacing w:val="-1"/>
          <w:position w:val="1"/>
          <w:szCs w:val="24"/>
        </w:rPr>
        <w:t>w</w:t>
      </w:r>
      <w:r w:rsidRPr="00A42085">
        <w:rPr>
          <w:rFonts w:cs="Calibri"/>
          <w:spacing w:val="-2"/>
          <w:position w:val="1"/>
          <w:szCs w:val="24"/>
        </w:rPr>
        <w:t>e</w:t>
      </w:r>
      <w:r w:rsidRPr="00A42085">
        <w:rPr>
          <w:rFonts w:cs="Calibri"/>
          <w:spacing w:val="1"/>
          <w:position w:val="1"/>
          <w:szCs w:val="24"/>
        </w:rPr>
        <w:t>b</w:t>
      </w:r>
      <w:r w:rsidRPr="00A42085">
        <w:rPr>
          <w:rFonts w:cs="Calibri"/>
          <w:spacing w:val="-1"/>
          <w:position w:val="1"/>
          <w:szCs w:val="24"/>
        </w:rPr>
        <w:t>c</w:t>
      </w:r>
      <w:r w:rsidRPr="00A42085">
        <w:rPr>
          <w:rFonts w:cs="Calibri"/>
          <w:position w:val="1"/>
          <w:szCs w:val="24"/>
        </w:rPr>
        <w:t>as</w:t>
      </w:r>
      <w:r w:rsidRPr="00A42085">
        <w:rPr>
          <w:rFonts w:cs="Calibri"/>
          <w:spacing w:val="1"/>
          <w:position w:val="1"/>
          <w:szCs w:val="24"/>
        </w:rPr>
        <w:t>t</w:t>
      </w:r>
      <w:r w:rsidRPr="00A42085">
        <w:rPr>
          <w:rFonts w:cs="Calibri"/>
          <w:position w:val="1"/>
          <w:szCs w:val="24"/>
        </w:rPr>
        <w:t>i</w:t>
      </w:r>
      <w:r w:rsidRPr="00A42085">
        <w:rPr>
          <w:rFonts w:cs="Calibri"/>
          <w:spacing w:val="-1"/>
          <w:position w:val="1"/>
          <w:szCs w:val="24"/>
        </w:rPr>
        <w:t>n</w:t>
      </w:r>
      <w:r w:rsidRPr="00A42085">
        <w:rPr>
          <w:rFonts w:cs="Calibri"/>
          <w:position w:val="1"/>
          <w:szCs w:val="24"/>
        </w:rPr>
        <w:t>g</w:t>
      </w:r>
      <w:r w:rsidR="00EC69DA" w:rsidRPr="00A42085">
        <w:rPr>
          <w:rFonts w:cs="Calibri"/>
          <w:position w:val="1"/>
          <w:szCs w:val="24"/>
        </w:rPr>
        <w:t xml:space="preserve"> </w:t>
      </w:r>
      <w:r w:rsidR="00E8307D">
        <w:rPr>
          <w:rFonts w:cs="Calibri"/>
          <w:position w:val="1"/>
          <w:szCs w:val="24"/>
        </w:rPr>
        <w:t xml:space="preserve">of </w:t>
      </w:r>
      <w:r w:rsidR="00E8307D" w:rsidRPr="00A42085">
        <w:rPr>
          <w:szCs w:val="24"/>
        </w:rPr>
        <w:t>EG-ITRs</w:t>
      </w:r>
      <w:r w:rsidR="00E8307D">
        <w:rPr>
          <w:szCs w:val="24"/>
        </w:rPr>
        <w:t xml:space="preserve"> meetings</w:t>
      </w:r>
      <w:r w:rsidRPr="00A42085">
        <w:rPr>
          <w:rFonts w:cs="Calibri"/>
          <w:position w:val="1"/>
          <w:szCs w:val="24"/>
        </w:rPr>
        <w:t>;</w:t>
      </w:r>
    </w:p>
    <w:p w14:paraId="1AF17C72" w14:textId="3BAE0134" w:rsidR="001E5721" w:rsidRPr="00A42085" w:rsidRDefault="001E5721" w:rsidP="00457EA2">
      <w:pPr>
        <w:pStyle w:val="enumlev1"/>
        <w:snapToGrid w:val="0"/>
        <w:spacing w:before="120"/>
        <w:ind w:left="0" w:firstLine="0"/>
        <w:rPr>
          <w:szCs w:val="24"/>
        </w:rPr>
      </w:pPr>
      <w:r w:rsidRPr="00A42085">
        <w:rPr>
          <w:szCs w:val="24"/>
        </w:rPr>
        <w:t>7</w:t>
      </w:r>
      <w:r w:rsidRPr="00A42085">
        <w:rPr>
          <w:szCs w:val="24"/>
        </w:rPr>
        <w:tab/>
        <w:t xml:space="preserve">that all the output documents of meetings of </w:t>
      </w:r>
      <w:r w:rsidR="00E8307D" w:rsidRPr="00A42085">
        <w:rPr>
          <w:szCs w:val="24"/>
        </w:rPr>
        <w:t>EG-ITRs</w:t>
      </w:r>
      <w:r w:rsidRPr="00A42085">
        <w:rPr>
          <w:szCs w:val="24"/>
        </w:rPr>
        <w:t xml:space="preserve"> shall be made publicly available, and that all input documents shall be made publicly available subject to the decision of the submitter;</w:t>
      </w:r>
    </w:p>
    <w:p w14:paraId="3D3FEAB2" w14:textId="0B9C575A" w:rsidR="001E5721" w:rsidRPr="00A42085" w:rsidRDefault="001E5721" w:rsidP="00457EA2">
      <w:pPr>
        <w:pStyle w:val="enumlev1"/>
        <w:snapToGrid w:val="0"/>
        <w:spacing w:before="120"/>
        <w:ind w:left="0" w:firstLine="0"/>
        <w:rPr>
          <w:szCs w:val="24"/>
        </w:rPr>
      </w:pPr>
      <w:r w:rsidRPr="00A42085">
        <w:rPr>
          <w:szCs w:val="24"/>
        </w:rPr>
        <w:lastRenderedPageBreak/>
        <w:t>8</w:t>
      </w:r>
      <w:r w:rsidRPr="00A42085">
        <w:rPr>
          <w:szCs w:val="24"/>
        </w:rPr>
        <w:tab/>
        <w:t>that EG-ITRs</w:t>
      </w:r>
      <w:r w:rsidR="00EC69DA" w:rsidRPr="00A42085">
        <w:rPr>
          <w:szCs w:val="24"/>
        </w:rPr>
        <w:t xml:space="preserve"> </w:t>
      </w:r>
      <w:r w:rsidR="00E8307D">
        <w:rPr>
          <w:szCs w:val="24"/>
        </w:rPr>
        <w:t xml:space="preserve">shall hold its first meeting in 2019 and subsequently </w:t>
      </w:r>
      <w:r w:rsidRPr="00A42085">
        <w:rPr>
          <w:szCs w:val="24"/>
        </w:rPr>
        <w:t xml:space="preserve">should meet physically </w:t>
      </w:r>
      <w:r w:rsidR="00E8307D">
        <w:rPr>
          <w:szCs w:val="24"/>
        </w:rPr>
        <w:t>twice yearly, including on</w:t>
      </w:r>
      <w:r w:rsidR="00621536">
        <w:rPr>
          <w:szCs w:val="24"/>
        </w:rPr>
        <w:t>c</w:t>
      </w:r>
      <w:r w:rsidR="00E8307D">
        <w:rPr>
          <w:szCs w:val="24"/>
        </w:rPr>
        <w:t xml:space="preserve">e </w:t>
      </w:r>
      <w:r w:rsidRPr="00A42085">
        <w:rPr>
          <w:szCs w:val="24"/>
        </w:rPr>
        <w:t xml:space="preserve">as part of the cluster of Council Working Group meetings in </w:t>
      </w:r>
      <w:r w:rsidR="009437AA" w:rsidRPr="00A42085">
        <w:rPr>
          <w:szCs w:val="24"/>
        </w:rPr>
        <w:t xml:space="preserve">2020 </w:t>
      </w:r>
      <w:r w:rsidRPr="00A42085">
        <w:rPr>
          <w:szCs w:val="24"/>
        </w:rPr>
        <w:t xml:space="preserve">and </w:t>
      </w:r>
      <w:r w:rsidR="009437AA" w:rsidRPr="00A42085">
        <w:rPr>
          <w:szCs w:val="24"/>
        </w:rPr>
        <w:t xml:space="preserve">2021 </w:t>
      </w:r>
      <w:r w:rsidRPr="00A42085">
        <w:rPr>
          <w:szCs w:val="24"/>
        </w:rPr>
        <w:t>and that a final physical meeting</w:t>
      </w:r>
      <w:r w:rsidR="00E8307D">
        <w:rPr>
          <w:szCs w:val="24"/>
        </w:rPr>
        <w:t xml:space="preserve"> of </w:t>
      </w:r>
      <w:r w:rsidR="00E8307D" w:rsidRPr="00A42085">
        <w:rPr>
          <w:szCs w:val="24"/>
        </w:rPr>
        <w:t>EG-ITRs</w:t>
      </w:r>
      <w:r w:rsidRPr="00A42085">
        <w:rPr>
          <w:szCs w:val="24"/>
        </w:rPr>
        <w:t xml:space="preserve"> should be held prior to Council in </w:t>
      </w:r>
      <w:r w:rsidR="009437AA" w:rsidRPr="00A42085">
        <w:rPr>
          <w:szCs w:val="24"/>
        </w:rPr>
        <w:t>2022;</w:t>
      </w:r>
    </w:p>
    <w:p w14:paraId="581B7ADD" w14:textId="2BDF91E0" w:rsidR="009437AA" w:rsidRPr="00A42085" w:rsidRDefault="009437AA" w:rsidP="00457EA2">
      <w:pPr>
        <w:pStyle w:val="enumlev1"/>
        <w:snapToGrid w:val="0"/>
        <w:spacing w:before="120"/>
        <w:ind w:left="0" w:firstLine="0"/>
        <w:rPr>
          <w:szCs w:val="24"/>
        </w:rPr>
      </w:pPr>
      <w:r w:rsidRPr="00A42085">
        <w:rPr>
          <w:szCs w:val="24"/>
        </w:rPr>
        <w:t>9</w:t>
      </w:r>
      <w:r w:rsidRPr="00A42085">
        <w:rPr>
          <w:szCs w:val="24"/>
        </w:rPr>
        <w:tab/>
      </w:r>
      <w:r w:rsidR="00815050">
        <w:rPr>
          <w:szCs w:val="24"/>
        </w:rPr>
        <w:t xml:space="preserve">that </w:t>
      </w:r>
      <w:r w:rsidR="00815050" w:rsidRPr="00A42085">
        <w:rPr>
          <w:szCs w:val="24"/>
        </w:rPr>
        <w:t>EG-ITRs</w:t>
      </w:r>
      <w:r w:rsidR="00815050" w:rsidRPr="00A42085">
        <w:t xml:space="preserve"> </w:t>
      </w:r>
      <w:r w:rsidR="00815050">
        <w:t>shall submit a</w:t>
      </w:r>
      <w:r w:rsidR="006261A1">
        <w:t>n interim</w:t>
      </w:r>
      <w:r w:rsidR="00815050">
        <w:t xml:space="preserve"> report </w:t>
      </w:r>
      <w:r w:rsidR="006261A1">
        <w:t xml:space="preserve">with comments </w:t>
      </w:r>
      <w:r w:rsidR="00815050">
        <w:t>f</w:t>
      </w:r>
      <w:r w:rsidR="006261A1">
        <w:t>rom</w:t>
      </w:r>
      <w:r w:rsidR="00815050">
        <w:t xml:space="preserve"> the 2020 session of the Council to the </w:t>
      </w:r>
      <w:r w:rsidR="00815050" w:rsidRPr="001267BA">
        <w:t>World Telecommunication Standardization Assembly (WTSA)</w:t>
      </w:r>
      <w:r w:rsidR="00815050">
        <w:t xml:space="preserve">, taking into account </w:t>
      </w:r>
      <w:r w:rsidRPr="00A42085">
        <w:t>that ITU</w:t>
      </w:r>
      <w:r w:rsidRPr="00A42085">
        <w:noBreakHyphen/>
        <w:t>T is playing an important role in resolving new and emerging issues</w:t>
      </w:r>
      <w:r w:rsidR="00815050">
        <w:t>, including those</w:t>
      </w:r>
      <w:r w:rsidRPr="00A42085">
        <w:t xml:space="preserve"> arising from the changing global international telecommunication/information communication technology environment,</w:t>
      </w:r>
    </w:p>
    <w:p w14:paraId="31456613" w14:textId="77777777" w:rsidR="001E5721" w:rsidRPr="00A42085" w:rsidRDefault="001E5721" w:rsidP="00457EA2">
      <w:pPr>
        <w:pStyle w:val="Call"/>
      </w:pPr>
      <w:r w:rsidRPr="00A42085">
        <w:t>instructs the Secretary-General</w:t>
      </w:r>
    </w:p>
    <w:p w14:paraId="4E69AF0F" w14:textId="77777777" w:rsidR="001E5721" w:rsidRPr="00A42085" w:rsidRDefault="001E5721" w:rsidP="00457EA2">
      <w:pPr>
        <w:snapToGrid w:val="0"/>
        <w:ind w:left="40" w:right="-20"/>
        <w:rPr>
          <w:rFonts w:cs="Calibri"/>
          <w:szCs w:val="24"/>
        </w:rPr>
      </w:pPr>
      <w:r w:rsidRPr="00A42085">
        <w:rPr>
          <w:rFonts w:cs="Calibri"/>
          <w:spacing w:val="1"/>
          <w:position w:val="2"/>
          <w:szCs w:val="24"/>
        </w:rPr>
        <w:t>t</w:t>
      </w:r>
      <w:r w:rsidRPr="00A42085">
        <w:rPr>
          <w:rFonts w:cs="Calibri"/>
          <w:position w:val="2"/>
          <w:szCs w:val="24"/>
        </w:rPr>
        <w:t>o</w:t>
      </w:r>
      <w:r w:rsidRPr="00A42085">
        <w:rPr>
          <w:rFonts w:cs="Calibri"/>
          <w:spacing w:val="-4"/>
          <w:position w:val="2"/>
          <w:szCs w:val="24"/>
        </w:rPr>
        <w:t xml:space="preserve"> </w:t>
      </w:r>
      <w:r w:rsidRPr="00A42085">
        <w:rPr>
          <w:rFonts w:cs="Calibri"/>
          <w:position w:val="2"/>
          <w:szCs w:val="24"/>
        </w:rPr>
        <w:t>ma</w:t>
      </w:r>
      <w:r w:rsidRPr="00A42085">
        <w:rPr>
          <w:rFonts w:cs="Calibri"/>
          <w:spacing w:val="2"/>
          <w:position w:val="2"/>
          <w:szCs w:val="24"/>
        </w:rPr>
        <w:t>k</w:t>
      </w:r>
      <w:r w:rsidRPr="00A42085">
        <w:rPr>
          <w:rFonts w:cs="Calibri"/>
          <w:position w:val="2"/>
          <w:szCs w:val="24"/>
        </w:rPr>
        <w:t>e</w:t>
      </w:r>
      <w:r w:rsidRPr="00A42085">
        <w:rPr>
          <w:rFonts w:cs="Calibri"/>
          <w:spacing w:val="-6"/>
          <w:position w:val="2"/>
          <w:szCs w:val="24"/>
        </w:rPr>
        <w:t xml:space="preserve"> </w:t>
      </w:r>
      <w:r w:rsidRPr="00A42085">
        <w:rPr>
          <w:rFonts w:cs="Calibri"/>
          <w:spacing w:val="-1"/>
          <w:position w:val="2"/>
          <w:szCs w:val="24"/>
        </w:rPr>
        <w:t>n</w:t>
      </w:r>
      <w:r w:rsidRPr="00A42085">
        <w:rPr>
          <w:rFonts w:cs="Calibri"/>
          <w:position w:val="2"/>
          <w:szCs w:val="24"/>
        </w:rPr>
        <w:t>ece</w:t>
      </w:r>
      <w:r w:rsidRPr="00A42085">
        <w:rPr>
          <w:rFonts w:cs="Calibri"/>
          <w:spacing w:val="2"/>
          <w:position w:val="2"/>
          <w:szCs w:val="24"/>
        </w:rPr>
        <w:t>ss</w:t>
      </w:r>
      <w:r w:rsidRPr="00A42085">
        <w:rPr>
          <w:rFonts w:cs="Calibri"/>
          <w:position w:val="2"/>
          <w:szCs w:val="24"/>
        </w:rPr>
        <w:t>a</w:t>
      </w:r>
      <w:r w:rsidRPr="00A42085">
        <w:rPr>
          <w:rFonts w:cs="Calibri"/>
          <w:spacing w:val="-2"/>
          <w:position w:val="2"/>
          <w:szCs w:val="24"/>
        </w:rPr>
        <w:t>r</w:t>
      </w:r>
      <w:r w:rsidRPr="00A42085">
        <w:rPr>
          <w:rFonts w:cs="Calibri"/>
          <w:position w:val="2"/>
          <w:szCs w:val="24"/>
        </w:rPr>
        <w:t>y</w:t>
      </w:r>
      <w:r w:rsidRPr="00A42085">
        <w:rPr>
          <w:rFonts w:cs="Calibri"/>
          <w:spacing w:val="-7"/>
          <w:position w:val="2"/>
          <w:szCs w:val="24"/>
        </w:rPr>
        <w:t xml:space="preserve"> </w:t>
      </w:r>
      <w:r w:rsidRPr="00A42085">
        <w:rPr>
          <w:rFonts w:cs="Calibri"/>
          <w:position w:val="2"/>
          <w:szCs w:val="24"/>
        </w:rPr>
        <w:t>a</w:t>
      </w:r>
      <w:r w:rsidRPr="00A42085">
        <w:rPr>
          <w:rFonts w:cs="Calibri"/>
          <w:spacing w:val="-2"/>
          <w:position w:val="2"/>
          <w:szCs w:val="24"/>
        </w:rPr>
        <w:t>rr</w:t>
      </w:r>
      <w:r w:rsidRPr="00A42085">
        <w:rPr>
          <w:rFonts w:cs="Calibri"/>
          <w:position w:val="2"/>
          <w:szCs w:val="24"/>
        </w:rPr>
        <w:t>a</w:t>
      </w:r>
      <w:r w:rsidRPr="00A42085">
        <w:rPr>
          <w:rFonts w:cs="Calibri"/>
          <w:spacing w:val="-1"/>
          <w:position w:val="2"/>
          <w:szCs w:val="24"/>
        </w:rPr>
        <w:t>n</w:t>
      </w:r>
      <w:r w:rsidRPr="00A42085">
        <w:rPr>
          <w:rFonts w:cs="Calibri"/>
          <w:spacing w:val="2"/>
          <w:position w:val="2"/>
          <w:szCs w:val="24"/>
        </w:rPr>
        <w:t>g</w:t>
      </w:r>
      <w:r w:rsidRPr="00A42085">
        <w:rPr>
          <w:rFonts w:cs="Calibri"/>
          <w:position w:val="2"/>
          <w:szCs w:val="24"/>
        </w:rPr>
        <w:t>em</w:t>
      </w:r>
      <w:r w:rsidRPr="00A42085">
        <w:rPr>
          <w:rFonts w:cs="Calibri"/>
          <w:spacing w:val="1"/>
          <w:position w:val="2"/>
          <w:szCs w:val="24"/>
        </w:rPr>
        <w:t>e</w:t>
      </w:r>
      <w:r w:rsidRPr="00A42085">
        <w:rPr>
          <w:rFonts w:cs="Calibri"/>
          <w:spacing w:val="-1"/>
          <w:position w:val="2"/>
          <w:szCs w:val="24"/>
        </w:rPr>
        <w:t>n</w:t>
      </w:r>
      <w:r w:rsidRPr="00A42085">
        <w:rPr>
          <w:rFonts w:cs="Calibri"/>
          <w:spacing w:val="1"/>
          <w:position w:val="2"/>
          <w:szCs w:val="24"/>
        </w:rPr>
        <w:t>t</w:t>
      </w:r>
      <w:r w:rsidRPr="00A42085">
        <w:rPr>
          <w:rFonts w:cs="Calibri"/>
          <w:position w:val="2"/>
          <w:szCs w:val="24"/>
        </w:rPr>
        <w:t>s</w:t>
      </w:r>
      <w:r w:rsidRPr="00A42085">
        <w:rPr>
          <w:rFonts w:cs="Calibri"/>
          <w:spacing w:val="-9"/>
          <w:position w:val="2"/>
          <w:szCs w:val="24"/>
        </w:rPr>
        <w:t xml:space="preserve"> </w:t>
      </w:r>
      <w:r w:rsidRPr="00A42085">
        <w:rPr>
          <w:rFonts w:cs="Calibri"/>
          <w:spacing w:val="-1"/>
          <w:position w:val="2"/>
          <w:szCs w:val="24"/>
        </w:rPr>
        <w:t xml:space="preserve">to implement this </w:t>
      </w:r>
      <w:r w:rsidRPr="00A42085">
        <w:rPr>
          <w:rFonts w:cs="Calibri"/>
          <w:spacing w:val="-2"/>
          <w:position w:val="2"/>
          <w:szCs w:val="24"/>
        </w:rPr>
        <w:t>R</w:t>
      </w:r>
      <w:r w:rsidRPr="00A42085">
        <w:rPr>
          <w:rFonts w:cs="Calibri"/>
          <w:position w:val="2"/>
          <w:szCs w:val="24"/>
        </w:rPr>
        <w:t>e</w:t>
      </w:r>
      <w:r w:rsidRPr="00A42085">
        <w:rPr>
          <w:rFonts w:cs="Calibri"/>
          <w:spacing w:val="2"/>
          <w:position w:val="2"/>
          <w:szCs w:val="24"/>
        </w:rPr>
        <w:t>s</w:t>
      </w:r>
      <w:r w:rsidRPr="00A42085">
        <w:rPr>
          <w:rFonts w:cs="Calibri"/>
          <w:spacing w:val="-2"/>
          <w:position w:val="2"/>
          <w:szCs w:val="24"/>
        </w:rPr>
        <w:t>o</w:t>
      </w:r>
      <w:r w:rsidRPr="00A42085">
        <w:rPr>
          <w:rFonts w:cs="Calibri"/>
          <w:spacing w:val="2"/>
          <w:position w:val="2"/>
          <w:szCs w:val="24"/>
        </w:rPr>
        <w:t>l</w:t>
      </w:r>
      <w:r w:rsidRPr="00A42085">
        <w:rPr>
          <w:rFonts w:cs="Calibri"/>
          <w:spacing w:val="-1"/>
          <w:position w:val="2"/>
          <w:szCs w:val="24"/>
        </w:rPr>
        <w:t>u</w:t>
      </w:r>
      <w:r w:rsidRPr="00A42085">
        <w:rPr>
          <w:rFonts w:cs="Calibri"/>
          <w:spacing w:val="1"/>
          <w:position w:val="2"/>
          <w:szCs w:val="24"/>
        </w:rPr>
        <w:t>t</w:t>
      </w:r>
      <w:r w:rsidRPr="00A42085">
        <w:rPr>
          <w:rFonts w:cs="Calibri"/>
          <w:spacing w:val="-2"/>
          <w:position w:val="2"/>
          <w:szCs w:val="24"/>
        </w:rPr>
        <w:t>i</w:t>
      </w:r>
      <w:r w:rsidRPr="00A42085">
        <w:rPr>
          <w:rFonts w:cs="Calibri"/>
          <w:spacing w:val="3"/>
          <w:position w:val="2"/>
          <w:szCs w:val="24"/>
        </w:rPr>
        <w:t>o</w:t>
      </w:r>
      <w:r w:rsidRPr="00A42085">
        <w:rPr>
          <w:rFonts w:cs="Calibri"/>
          <w:spacing w:val="-1"/>
          <w:position w:val="2"/>
          <w:szCs w:val="24"/>
        </w:rPr>
        <w:t>n</w:t>
      </w:r>
      <w:r w:rsidRPr="00A42085">
        <w:rPr>
          <w:rFonts w:cs="Calibri"/>
          <w:position w:val="2"/>
          <w:szCs w:val="24"/>
        </w:rPr>
        <w:t>,</w:t>
      </w:r>
    </w:p>
    <w:p w14:paraId="476DA937" w14:textId="77777777" w:rsidR="001E5721" w:rsidRPr="00A42085" w:rsidRDefault="001E5721" w:rsidP="00457EA2">
      <w:pPr>
        <w:pStyle w:val="Call"/>
      </w:pPr>
      <w:r w:rsidRPr="00A42085">
        <w:t>instructs the Directors of the Bureaux</w:t>
      </w:r>
    </w:p>
    <w:p w14:paraId="550189DB" w14:textId="1DB1B726" w:rsidR="001E5721" w:rsidRPr="00A42085" w:rsidRDefault="001E5721" w:rsidP="00457EA2">
      <w:pPr>
        <w:snapToGrid w:val="0"/>
        <w:rPr>
          <w:szCs w:val="24"/>
        </w:rPr>
      </w:pPr>
      <w:r w:rsidRPr="00A42085">
        <w:rPr>
          <w:szCs w:val="24"/>
        </w:rPr>
        <w:t>1</w:t>
      </w:r>
      <w:r w:rsidRPr="00A42085">
        <w:rPr>
          <w:szCs w:val="24"/>
        </w:rPr>
        <w:tab/>
        <w:t xml:space="preserve">each within their field of competence, </w:t>
      </w:r>
      <w:r w:rsidR="00BB74B9">
        <w:rPr>
          <w:szCs w:val="24"/>
        </w:rPr>
        <w:t xml:space="preserve"> drawing on</w:t>
      </w:r>
      <w:r w:rsidR="00D22C44">
        <w:rPr>
          <w:szCs w:val="24"/>
        </w:rPr>
        <w:t>, where necessary,</w:t>
      </w:r>
      <w:r w:rsidRPr="00A42085">
        <w:rPr>
          <w:szCs w:val="24"/>
        </w:rPr>
        <w:t xml:space="preserve"> </w:t>
      </w:r>
      <w:r w:rsidR="00BB74B9">
        <w:rPr>
          <w:szCs w:val="24"/>
        </w:rPr>
        <w:t xml:space="preserve">the </w:t>
      </w:r>
      <w:r w:rsidRPr="00A42085">
        <w:rPr>
          <w:szCs w:val="24"/>
        </w:rPr>
        <w:t xml:space="preserve">advice </w:t>
      </w:r>
      <w:r w:rsidR="00BB74B9">
        <w:rPr>
          <w:szCs w:val="24"/>
        </w:rPr>
        <w:t xml:space="preserve">of </w:t>
      </w:r>
      <w:r w:rsidRPr="00A42085">
        <w:rPr>
          <w:szCs w:val="24"/>
        </w:rPr>
        <w:t>the relevant advisory group</w:t>
      </w:r>
      <w:r w:rsidR="00D22C44">
        <w:rPr>
          <w:szCs w:val="24"/>
        </w:rPr>
        <w:t xml:space="preserve"> and, as appropriate, </w:t>
      </w:r>
      <w:r w:rsidR="00BB74B9">
        <w:rPr>
          <w:szCs w:val="24"/>
        </w:rPr>
        <w:t xml:space="preserve">the </w:t>
      </w:r>
      <w:r w:rsidR="00D22C44">
        <w:rPr>
          <w:szCs w:val="24"/>
        </w:rPr>
        <w:t>outputs of study groups</w:t>
      </w:r>
      <w:r w:rsidRPr="00A42085">
        <w:rPr>
          <w:szCs w:val="24"/>
        </w:rPr>
        <w:t xml:space="preserve">, to contribute to the work of </w:t>
      </w:r>
      <w:r w:rsidR="00D22C44" w:rsidRPr="00A42085">
        <w:rPr>
          <w:szCs w:val="24"/>
        </w:rPr>
        <w:t>EG-ITRs</w:t>
      </w:r>
      <w:r w:rsidRPr="00A42085">
        <w:rPr>
          <w:szCs w:val="24"/>
        </w:rPr>
        <w:t>, recognizing that the ITU Telecommunication Standardization Sector has most of the work relevant to the ITRs;</w:t>
      </w:r>
    </w:p>
    <w:p w14:paraId="37127F76" w14:textId="45CBF290" w:rsidR="001E5721" w:rsidRPr="00A42085" w:rsidRDefault="001E5721" w:rsidP="00457EA2">
      <w:pPr>
        <w:snapToGrid w:val="0"/>
        <w:rPr>
          <w:szCs w:val="24"/>
        </w:rPr>
      </w:pPr>
      <w:r w:rsidRPr="00A42085">
        <w:rPr>
          <w:szCs w:val="24"/>
        </w:rPr>
        <w:t>2</w:t>
      </w:r>
      <w:r w:rsidRPr="00A42085">
        <w:rPr>
          <w:szCs w:val="24"/>
        </w:rPr>
        <w:tab/>
        <w:t>to submit the results of their work to EG-ITRs</w:t>
      </w:r>
      <w:r w:rsidR="00D22C44">
        <w:rPr>
          <w:szCs w:val="24"/>
        </w:rPr>
        <w:t xml:space="preserve"> in the form of contributions, where necessary, and with comments of the relevant advisory and study groups, as appropriate</w:t>
      </w:r>
      <w:r w:rsidRPr="00A42085">
        <w:rPr>
          <w:szCs w:val="24"/>
        </w:rPr>
        <w:t>;</w:t>
      </w:r>
    </w:p>
    <w:p w14:paraId="5BB090BB" w14:textId="5A754E7B" w:rsidR="001E5721" w:rsidRPr="00A42085" w:rsidRDefault="001E5721" w:rsidP="00457EA2">
      <w:pPr>
        <w:snapToGrid w:val="0"/>
        <w:rPr>
          <w:szCs w:val="24"/>
        </w:rPr>
      </w:pPr>
      <w:r w:rsidRPr="00A42085">
        <w:rPr>
          <w:szCs w:val="24"/>
        </w:rPr>
        <w:t>3</w:t>
      </w:r>
      <w:r w:rsidRPr="00A42085">
        <w:rPr>
          <w:szCs w:val="24"/>
        </w:rPr>
        <w:tab/>
        <w:t xml:space="preserve">to consider providing fellowships, where resources are available, for developing and least developed countries according to the list established by the United Nations, in order to widen participation in </w:t>
      </w:r>
      <w:r w:rsidR="00D22C44" w:rsidRPr="00A42085">
        <w:rPr>
          <w:szCs w:val="24"/>
        </w:rPr>
        <w:t>EG-ITRs</w:t>
      </w:r>
      <w:r w:rsidRPr="00A42085">
        <w:rPr>
          <w:szCs w:val="24"/>
        </w:rPr>
        <w:t>,</w:t>
      </w:r>
    </w:p>
    <w:p w14:paraId="1FAD3EFC" w14:textId="3B519F2E" w:rsidR="009437AA" w:rsidRPr="00263A47" w:rsidRDefault="006261A1" w:rsidP="00457EA2">
      <w:pPr>
        <w:pStyle w:val="Call"/>
      </w:pPr>
      <w:proofErr w:type="gramStart"/>
      <w:r>
        <w:t>i</w:t>
      </w:r>
      <w:r w:rsidR="00217C40">
        <w:t>nvites</w:t>
      </w:r>
      <w:proofErr w:type="gramEnd"/>
      <w:r w:rsidR="00217C40">
        <w:t xml:space="preserve"> the</w:t>
      </w:r>
      <w:r w:rsidR="00217C40" w:rsidRPr="00217C40">
        <w:t xml:space="preserve"> World Telecommunication Standardization Assembly</w:t>
      </w:r>
    </w:p>
    <w:p w14:paraId="54561659" w14:textId="6150A784" w:rsidR="009437AA" w:rsidRPr="00A42085" w:rsidRDefault="00217C40" w:rsidP="00457EA2">
      <w:proofErr w:type="gramStart"/>
      <w:r>
        <w:t>to</w:t>
      </w:r>
      <w:proofErr w:type="gramEnd"/>
      <w:r>
        <w:t xml:space="preserve"> consider the interim report of </w:t>
      </w:r>
      <w:r w:rsidRPr="00A42085">
        <w:rPr>
          <w:szCs w:val="24"/>
        </w:rPr>
        <w:t>EG-ITRs</w:t>
      </w:r>
      <w:r>
        <w:rPr>
          <w:szCs w:val="24"/>
        </w:rPr>
        <w:t>, with comments f</w:t>
      </w:r>
      <w:r w:rsidR="006261A1">
        <w:rPr>
          <w:szCs w:val="24"/>
        </w:rPr>
        <w:t>rom</w:t>
      </w:r>
      <w:r>
        <w:rPr>
          <w:szCs w:val="24"/>
        </w:rPr>
        <w:t xml:space="preserve"> the 2020 session of the Council</w:t>
      </w:r>
      <w:r w:rsidR="009437AA" w:rsidRPr="00A42085">
        <w:t>,</w:t>
      </w:r>
    </w:p>
    <w:p w14:paraId="05A43525" w14:textId="77777777" w:rsidR="001E5721" w:rsidRPr="00A42085" w:rsidRDefault="001E5721" w:rsidP="00457EA2">
      <w:pPr>
        <w:pStyle w:val="Call"/>
      </w:pPr>
      <w:r w:rsidRPr="00A42085">
        <w:t>invites Member States and Sector Members</w:t>
      </w:r>
    </w:p>
    <w:p w14:paraId="079773A2" w14:textId="6E374B37" w:rsidR="001E5721" w:rsidRPr="00A42085" w:rsidRDefault="001E5721" w:rsidP="00457EA2">
      <w:pPr>
        <w:pStyle w:val="enumlev1"/>
        <w:snapToGrid w:val="0"/>
        <w:spacing w:before="120"/>
        <w:ind w:left="0" w:firstLine="0"/>
        <w:rPr>
          <w:szCs w:val="24"/>
        </w:rPr>
      </w:pPr>
      <w:proofErr w:type="gramStart"/>
      <w:r w:rsidRPr="00A42085">
        <w:rPr>
          <w:szCs w:val="24"/>
        </w:rPr>
        <w:t>to</w:t>
      </w:r>
      <w:proofErr w:type="gramEnd"/>
      <w:r w:rsidRPr="00A42085">
        <w:rPr>
          <w:szCs w:val="24"/>
        </w:rPr>
        <w:t xml:space="preserve"> participate in and contribute to the EG-ITRs on the review of the </w:t>
      </w:r>
      <w:r w:rsidR="00217C40">
        <w:rPr>
          <w:szCs w:val="24"/>
        </w:rPr>
        <w:t>ITRs</w:t>
      </w:r>
      <w:r w:rsidRPr="00A42085">
        <w:rPr>
          <w:szCs w:val="24"/>
        </w:rPr>
        <w:t>.</w:t>
      </w:r>
    </w:p>
    <w:p w14:paraId="583BC140" w14:textId="09222770" w:rsidR="001E5721" w:rsidRPr="00A42085" w:rsidRDefault="00BB74B9" w:rsidP="00263A47">
      <w:pPr>
        <w:tabs>
          <w:tab w:val="clear" w:pos="567"/>
          <w:tab w:val="clear" w:pos="1134"/>
          <w:tab w:val="clear" w:pos="1701"/>
          <w:tab w:val="clear" w:pos="2268"/>
          <w:tab w:val="clear" w:pos="2835"/>
          <w:tab w:val="left" w:pos="794"/>
          <w:tab w:val="left" w:pos="1191"/>
          <w:tab w:val="left" w:pos="1588"/>
          <w:tab w:val="left" w:pos="1985"/>
        </w:tabs>
        <w:spacing w:before="1080"/>
      </w:pPr>
      <w:r w:rsidRPr="00263A47">
        <w:rPr>
          <w:b/>
          <w:bCs/>
          <w:sz w:val="22"/>
          <w:lang w:val="ru-RU"/>
        </w:rPr>
        <w:t>Annex</w:t>
      </w:r>
      <w:r w:rsidRPr="00263A47">
        <w:rPr>
          <w:b/>
        </w:rPr>
        <w:t>:</w:t>
      </w:r>
      <w:r>
        <w:t xml:space="preserve"> 1</w:t>
      </w:r>
      <w:r w:rsidR="001E5721" w:rsidRPr="00A42085">
        <w:br w:type="page"/>
      </w:r>
    </w:p>
    <w:p w14:paraId="0771A552" w14:textId="77777777" w:rsidR="001E5721" w:rsidRPr="00A42085" w:rsidRDefault="001E5721" w:rsidP="00457EA2">
      <w:pPr>
        <w:pStyle w:val="AnnexNo"/>
      </w:pPr>
      <w:bookmarkStart w:id="16" w:name="_Toc489512257"/>
      <w:r w:rsidRPr="00A42085">
        <w:lastRenderedPageBreak/>
        <w:t>Annex 1</w:t>
      </w:r>
      <w:bookmarkEnd w:id="16"/>
    </w:p>
    <w:p w14:paraId="2DDFF1F0" w14:textId="75028C31" w:rsidR="001E5721" w:rsidRPr="00A42085" w:rsidRDefault="001E5721" w:rsidP="00457EA2">
      <w:pPr>
        <w:pStyle w:val="Annextitle"/>
      </w:pPr>
      <w:r w:rsidRPr="00A42085">
        <w:t xml:space="preserve">Terms of Reference of the Expert Group on the </w:t>
      </w:r>
      <w:r w:rsidR="00263A47">
        <w:br/>
      </w:r>
      <w:r w:rsidRPr="00A42085">
        <w:t>International Telecommunication Regulations (EG-ITR</w:t>
      </w:r>
      <w:r w:rsidR="00B019F8">
        <w:t>s</w:t>
      </w:r>
      <w:r w:rsidRPr="00A42085">
        <w:t>)</w:t>
      </w:r>
    </w:p>
    <w:p w14:paraId="0351520B" w14:textId="50540E44" w:rsidR="009437AA" w:rsidRPr="00B5433A" w:rsidRDefault="00217C40" w:rsidP="00263A47">
      <w:pPr>
        <w:pStyle w:val="Normalaftertitle"/>
      </w:pPr>
      <w:r>
        <w:t xml:space="preserve">For the </w:t>
      </w:r>
      <w:r w:rsidR="00BB74B9">
        <w:t xml:space="preserve">purpose of </w:t>
      </w:r>
      <w:r>
        <w:t>conducting of a comprehensive review of the ITRs with a view to achieving consensus on the way forward in respect of the ITRs:</w:t>
      </w:r>
    </w:p>
    <w:p w14:paraId="61C518E8" w14:textId="46B842D0" w:rsidR="001E5721" w:rsidRPr="00A42085" w:rsidRDefault="00263A47" w:rsidP="00263A47">
      <w:pPr>
        <w:pStyle w:val="enumlev1"/>
      </w:pPr>
      <w:r>
        <w:t>1)</w:t>
      </w:r>
      <w:r w:rsidR="001E5721" w:rsidRPr="00A42085">
        <w:tab/>
      </w:r>
      <w:r w:rsidR="00EC69DA" w:rsidRPr="00A42085">
        <w:t>EG-</w:t>
      </w:r>
      <w:r w:rsidR="009437AA" w:rsidRPr="00A42085">
        <w:t>ITRs shall work on the basis of contributions submitted b</w:t>
      </w:r>
      <w:r w:rsidR="00BB74B9">
        <w:t>y Member States, Sector Members</w:t>
      </w:r>
      <w:r w:rsidR="009437AA" w:rsidRPr="00A42085">
        <w:t xml:space="preserve"> and the Directors of the Bureaux, if necessary, with comments from the </w:t>
      </w:r>
      <w:r w:rsidR="00224631">
        <w:t>relevant advisory groups</w:t>
      </w:r>
      <w:r w:rsidR="00BB74B9">
        <w:t xml:space="preserve"> and</w:t>
      </w:r>
      <w:r w:rsidR="009437AA" w:rsidRPr="00A42085">
        <w:t xml:space="preserve"> relevant study groups of ITU’s three Sectors, and taking account of comments received from the Council;</w:t>
      </w:r>
    </w:p>
    <w:p w14:paraId="61595CDD" w14:textId="50352EE9" w:rsidR="009437AA" w:rsidRPr="00A42085" w:rsidRDefault="00263A47" w:rsidP="00263A47">
      <w:pPr>
        <w:pStyle w:val="enumlev1"/>
      </w:pPr>
      <w:r>
        <w:t>2)</w:t>
      </w:r>
      <w:r w:rsidR="009437AA" w:rsidRPr="00A42085">
        <w:tab/>
      </w:r>
      <w:r w:rsidR="00EC69DA" w:rsidRPr="00A42085">
        <w:t>EG</w:t>
      </w:r>
      <w:r w:rsidR="009437AA" w:rsidRPr="00A42085">
        <w:t xml:space="preserve">-ITRs shall examine all contributions received relating to </w:t>
      </w:r>
      <w:r w:rsidR="00024E9D">
        <w:t xml:space="preserve">all </w:t>
      </w:r>
      <w:r w:rsidR="009437AA" w:rsidRPr="00A42085">
        <w:t>current and future</w:t>
      </w:r>
      <w:r w:rsidR="00024E9D">
        <w:t xml:space="preserve"> issues concerning</w:t>
      </w:r>
      <w:r w:rsidR="009437AA" w:rsidRPr="00A42085">
        <w:t xml:space="preserve"> application of the ITRs</w:t>
      </w:r>
      <w:r w:rsidR="00224631">
        <w:t>,</w:t>
      </w:r>
      <w:r w:rsidR="009437AA" w:rsidRPr="00A42085">
        <w:t xml:space="preserve"> including but not restricted to issues pertaining to:</w:t>
      </w:r>
    </w:p>
    <w:p w14:paraId="3C4C804C" w14:textId="77777777" w:rsidR="009437AA" w:rsidRPr="00A42085" w:rsidRDefault="009437AA" w:rsidP="00263A47">
      <w:pPr>
        <w:pStyle w:val="enumlev2"/>
      </w:pPr>
      <w:r w:rsidRPr="00A42085">
        <w:rPr>
          <w:iCs/>
        </w:rPr>
        <w:t>a)</w:t>
      </w:r>
      <w:r w:rsidRPr="00A42085">
        <w:tab/>
        <w:t>the applicability of the ITRs in a rapidly evolving international telecommunication environment, taking account of contemporary technologies, services and existing international legal obligations of Member States, as well as changes in the scope of domestic regulatory regimes;</w:t>
      </w:r>
    </w:p>
    <w:p w14:paraId="5DE2C0AB" w14:textId="77777777" w:rsidR="009437AA" w:rsidRPr="00A42085" w:rsidRDefault="009437AA" w:rsidP="00263A47">
      <w:pPr>
        <w:pStyle w:val="enumlev2"/>
      </w:pPr>
      <w:r w:rsidRPr="00A42085">
        <w:t>b)</w:t>
      </w:r>
      <w:r w:rsidRPr="00A42085">
        <w:tab/>
        <w:t>the relevance of the ITRs in relation to the other basic texts of the Union (Constitution, Convention and Radio Regulations);</w:t>
      </w:r>
    </w:p>
    <w:p w14:paraId="5F0650E3" w14:textId="77777777" w:rsidR="009437AA" w:rsidRPr="00A42085" w:rsidRDefault="009437AA" w:rsidP="00263A47">
      <w:pPr>
        <w:pStyle w:val="enumlev2"/>
      </w:pPr>
      <w:r w:rsidRPr="00A42085">
        <w:t>c)</w:t>
      </w:r>
      <w:r w:rsidRPr="00A42085">
        <w:tab/>
        <w:t>conflicts arising between the obligations of signatories to the 2012 ITRs and signatories to the 1988 ITRs with respect to implementation of the provisions of the 1988 and the 2012 ITRs;</w:t>
      </w:r>
    </w:p>
    <w:p w14:paraId="1059FC78" w14:textId="77777777" w:rsidR="009437AA" w:rsidRPr="00A42085" w:rsidRDefault="009437AA" w:rsidP="00263A47">
      <w:pPr>
        <w:pStyle w:val="enumlev2"/>
      </w:pPr>
      <w:r w:rsidRPr="00A42085">
        <w:t>d)</w:t>
      </w:r>
      <w:r w:rsidRPr="00A42085">
        <w:tab/>
        <w:t>obstacles that prevent certain Member States from acceding to the ITRs, and the nature of those obstacles;</w:t>
      </w:r>
    </w:p>
    <w:p w14:paraId="67373F90" w14:textId="77777777" w:rsidR="009437AA" w:rsidRPr="00A42085" w:rsidRDefault="009437AA" w:rsidP="00263A47">
      <w:pPr>
        <w:pStyle w:val="enumlev2"/>
      </w:pPr>
      <w:r w:rsidRPr="00A42085">
        <w:t>e)</w:t>
      </w:r>
      <w:r w:rsidRPr="00A42085">
        <w:tab/>
        <w:t>conflicting obligations of Member States party to the ITRs and to other international legal obligations, with regard to the implementation of the ITRs;</w:t>
      </w:r>
    </w:p>
    <w:p w14:paraId="4D8E6B73" w14:textId="77777777" w:rsidR="009437AA" w:rsidRPr="00A42085" w:rsidRDefault="009437AA" w:rsidP="00263A47">
      <w:pPr>
        <w:pStyle w:val="enumlev2"/>
      </w:pPr>
      <w:r w:rsidRPr="00A42085">
        <w:t>f)</w:t>
      </w:r>
      <w:r w:rsidRPr="00A42085">
        <w:tab/>
        <w:t>conflicts between international telecommunication operators or operating agencies authorized by Member States, where those Member States are parties to differing versions of the ITRs and/or other international legal obligations.</w:t>
      </w:r>
    </w:p>
    <w:p w14:paraId="6BBD0972" w14:textId="2CFE030D" w:rsidR="009437AA" w:rsidRPr="00A42085" w:rsidRDefault="00263A47" w:rsidP="00263A47">
      <w:pPr>
        <w:pStyle w:val="enumlev1"/>
      </w:pPr>
      <w:r>
        <w:t>3)</w:t>
      </w:r>
      <w:r w:rsidR="009437AA" w:rsidRPr="00A42085">
        <w:tab/>
      </w:r>
      <w:r w:rsidR="00EC69DA" w:rsidRPr="00A42085">
        <w:t>EG</w:t>
      </w:r>
      <w:r w:rsidR="009437AA" w:rsidRPr="00A42085">
        <w:t>-ITRs shall prepare a final report to the 2022 session of the Council, which shall reflect:</w:t>
      </w:r>
    </w:p>
    <w:p w14:paraId="4E203F1E" w14:textId="77777777" w:rsidR="009437AA" w:rsidRPr="00A42085" w:rsidRDefault="009437AA" w:rsidP="00263A47">
      <w:pPr>
        <w:pStyle w:val="enumlev2"/>
      </w:pPr>
      <w:r w:rsidRPr="00A42085">
        <w:t>a)</w:t>
      </w:r>
      <w:r w:rsidRPr="00A42085">
        <w:tab/>
        <w:t>recommendations regarding the revision</w:t>
      </w:r>
      <w:r w:rsidRPr="00263A47">
        <w:footnoteReference w:id="1"/>
      </w:r>
      <w:r w:rsidRPr="00A42085">
        <w:t xml:space="preserve"> of the ITRs;</w:t>
      </w:r>
    </w:p>
    <w:p w14:paraId="46224088" w14:textId="6D3DE2B0" w:rsidR="009437AA" w:rsidRPr="00A42085" w:rsidRDefault="009437AA" w:rsidP="00263A47">
      <w:pPr>
        <w:pStyle w:val="enumlev2"/>
      </w:pPr>
      <w:r w:rsidRPr="00A42085">
        <w:t>b)</w:t>
      </w:r>
      <w:r w:rsidRPr="00A42085">
        <w:tab/>
      </w:r>
      <w:proofErr w:type="gramStart"/>
      <w:r w:rsidRPr="00A42085">
        <w:t>recommendations</w:t>
      </w:r>
      <w:proofErr w:type="gramEnd"/>
      <w:r w:rsidRPr="00A42085">
        <w:t xml:space="preserve"> regarding a future WCIT</w:t>
      </w:r>
      <w:r w:rsidR="00224631">
        <w:t>,</w:t>
      </w:r>
      <w:r w:rsidRPr="00A42085">
        <w:t xml:space="preserve"> including recommendations relating to a) above;</w:t>
      </w:r>
    </w:p>
    <w:p w14:paraId="2B128B0F" w14:textId="77777777" w:rsidR="009437AA" w:rsidRPr="00A42085" w:rsidRDefault="009437AA" w:rsidP="00263A47">
      <w:pPr>
        <w:pStyle w:val="enumlev2"/>
      </w:pPr>
      <w:r w:rsidRPr="00A42085">
        <w:t>c)</w:t>
      </w:r>
      <w:r w:rsidRPr="00A42085">
        <w:tab/>
        <w:t>recommendations regarding the revision of Resolutions and Recommendations of WCIT-12.</w:t>
      </w:r>
    </w:p>
    <w:p w14:paraId="016D7646" w14:textId="57475DF1" w:rsidR="009437AA" w:rsidRPr="00A42085" w:rsidRDefault="00263A47" w:rsidP="00263A47">
      <w:pPr>
        <w:pStyle w:val="enumlev1"/>
      </w:pPr>
      <w:r>
        <w:t>4)</w:t>
      </w:r>
      <w:r w:rsidR="009437AA" w:rsidRPr="00A42085">
        <w:tab/>
      </w:r>
      <w:r w:rsidR="00EC69DA" w:rsidRPr="00A42085">
        <w:t>EG</w:t>
      </w:r>
      <w:r w:rsidR="009437AA" w:rsidRPr="00A42085">
        <w:t>-ITRs shall take into account in its work and in preparing reports:</w:t>
      </w:r>
    </w:p>
    <w:p w14:paraId="5F5F1B44" w14:textId="77777777" w:rsidR="00272386" w:rsidRPr="00A42085" w:rsidRDefault="009437AA" w:rsidP="00263A47">
      <w:pPr>
        <w:pStyle w:val="enumlev2"/>
      </w:pPr>
      <w:r w:rsidRPr="00A42085">
        <w:t>a)</w:t>
      </w:r>
      <w:r w:rsidRPr="00A42085">
        <w:tab/>
      </w:r>
      <w:r w:rsidR="00272386" w:rsidRPr="00A42085">
        <w:t>contributions of all Member States and Sector Members;</w:t>
      </w:r>
    </w:p>
    <w:p w14:paraId="5EA5F69D" w14:textId="77777777" w:rsidR="009437AA" w:rsidRPr="00A42085" w:rsidRDefault="00272386" w:rsidP="00263A47">
      <w:pPr>
        <w:pStyle w:val="enumlev2"/>
      </w:pPr>
      <w:r w:rsidRPr="00A42085">
        <w:t>b)</w:t>
      </w:r>
      <w:r w:rsidRPr="00A42085">
        <w:tab/>
      </w:r>
      <w:r w:rsidR="009437AA" w:rsidRPr="00A42085">
        <w:t>relevant work concerning the ITRs undertaken before WCIT-12;</w:t>
      </w:r>
    </w:p>
    <w:p w14:paraId="1FF2D475" w14:textId="77777777" w:rsidR="009437AA" w:rsidRPr="00A42085" w:rsidRDefault="00272386" w:rsidP="00263A47">
      <w:pPr>
        <w:pStyle w:val="enumlev2"/>
      </w:pPr>
      <w:r w:rsidRPr="00A42085">
        <w:lastRenderedPageBreak/>
        <w:t>c</w:t>
      </w:r>
      <w:r w:rsidR="009437AA" w:rsidRPr="00A42085">
        <w:t>)</w:t>
      </w:r>
      <w:r w:rsidR="009437AA" w:rsidRPr="00A42085">
        <w:tab/>
        <w:t>discussions that took place at WCIT-12;</w:t>
      </w:r>
    </w:p>
    <w:p w14:paraId="41CD43CD" w14:textId="77777777" w:rsidR="009437AA" w:rsidRPr="00A42085" w:rsidRDefault="00272386" w:rsidP="00263A47">
      <w:pPr>
        <w:pStyle w:val="enumlev2"/>
      </w:pPr>
      <w:r w:rsidRPr="00A42085">
        <w:t>d</w:t>
      </w:r>
      <w:r w:rsidR="009437AA" w:rsidRPr="00A42085">
        <w:t>)</w:t>
      </w:r>
      <w:r w:rsidR="009437AA" w:rsidRPr="00A42085">
        <w:tab/>
        <w:t>discussions that took place in EG-ITRs between 2017 and 2018;</w:t>
      </w:r>
    </w:p>
    <w:p w14:paraId="7AAEEB42" w14:textId="77777777" w:rsidR="009437AA" w:rsidRPr="00A42085" w:rsidRDefault="00272386" w:rsidP="00263A47">
      <w:pPr>
        <w:pStyle w:val="enumlev2"/>
      </w:pPr>
      <w:r w:rsidRPr="00A42085">
        <w:t>e</w:t>
      </w:r>
      <w:r w:rsidR="009437AA" w:rsidRPr="00A42085">
        <w:t>)</w:t>
      </w:r>
      <w:r w:rsidR="009437AA" w:rsidRPr="00A42085">
        <w:tab/>
      </w:r>
      <w:proofErr w:type="gramStart"/>
      <w:r w:rsidR="009437AA" w:rsidRPr="00A42085">
        <w:t>comments</w:t>
      </w:r>
      <w:proofErr w:type="gramEnd"/>
      <w:r w:rsidR="009437AA" w:rsidRPr="00A42085">
        <w:t xml:space="preserve"> of the ITU Council;</w:t>
      </w:r>
    </w:p>
    <w:p w14:paraId="23843060" w14:textId="72F60931" w:rsidR="009437AA" w:rsidRPr="00A42085" w:rsidRDefault="00272386" w:rsidP="00263A47">
      <w:pPr>
        <w:pStyle w:val="enumlev2"/>
      </w:pPr>
      <w:r w:rsidRPr="00A42085">
        <w:t>f</w:t>
      </w:r>
      <w:r w:rsidR="009437AA" w:rsidRPr="00A42085">
        <w:t>)</w:t>
      </w:r>
      <w:r w:rsidR="009437AA" w:rsidRPr="00A42085">
        <w:tab/>
      </w:r>
      <w:proofErr w:type="gramStart"/>
      <w:r w:rsidR="009437AA" w:rsidRPr="00A42085">
        <w:t>contributions</w:t>
      </w:r>
      <w:proofErr w:type="gramEnd"/>
      <w:r w:rsidR="009437AA" w:rsidRPr="00A42085">
        <w:t xml:space="preserve"> from the Directors of the three Bureaux and the relevant ITU-T, ITU-R and ITU</w:t>
      </w:r>
      <w:r w:rsidRPr="00A42085">
        <w:noBreakHyphen/>
      </w:r>
      <w:r w:rsidR="009437AA" w:rsidRPr="00A42085">
        <w:t>D study groups</w:t>
      </w:r>
      <w:r w:rsidR="00CB2F71">
        <w:t xml:space="preserve"> and advisory groups.</w:t>
      </w:r>
    </w:p>
    <w:p w14:paraId="21408DD9" w14:textId="77777777" w:rsidR="001E5721" w:rsidRPr="00A42085" w:rsidRDefault="001E5721" w:rsidP="00457EA2"/>
    <w:p w14:paraId="448E6F6F" w14:textId="77777777" w:rsidR="00272386" w:rsidRPr="00A42085" w:rsidRDefault="00272386" w:rsidP="00457EA2">
      <w:pPr>
        <w:pStyle w:val="Reasons"/>
      </w:pPr>
    </w:p>
    <w:p w14:paraId="2755D89B" w14:textId="77777777" w:rsidR="00272386" w:rsidRPr="00A42085" w:rsidRDefault="00272386" w:rsidP="00457EA2">
      <w:pPr>
        <w:jc w:val="center"/>
      </w:pPr>
      <w:r w:rsidRPr="00A42085">
        <w:t>______________</w:t>
      </w:r>
    </w:p>
    <w:p w14:paraId="23637FA3" w14:textId="77777777" w:rsidR="00272386" w:rsidRPr="001E5721" w:rsidRDefault="00272386" w:rsidP="00457EA2">
      <w:pPr>
        <w:rPr>
          <w:lang w:val="fr-FR"/>
        </w:rPr>
      </w:pPr>
    </w:p>
    <w:sectPr w:rsidR="00272386" w:rsidRPr="001E5721"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E4A1A" w14:textId="77777777" w:rsidR="001E5721" w:rsidRDefault="001E5721">
      <w:r>
        <w:separator/>
      </w:r>
    </w:p>
  </w:endnote>
  <w:endnote w:type="continuationSeparator" w:id="0">
    <w:p w14:paraId="2749221C" w14:textId="77777777" w:rsidR="001E5721" w:rsidRDefault="001E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D6EAB" w14:textId="5E2B4207" w:rsidR="00CB18FF" w:rsidRPr="00621536" w:rsidRDefault="008601F5">
    <w:pPr>
      <w:pStyle w:val="Footer"/>
      <w:rPr>
        <w:lang w:val="fr-CH"/>
      </w:rPr>
    </w:pPr>
    <w:r>
      <w:fldChar w:fldCharType="begin"/>
    </w:r>
    <w:r w:rsidRPr="00621536">
      <w:rPr>
        <w:lang w:val="fr-CH"/>
      </w:rPr>
      <w:instrText xml:space="preserve"> FILENAME \p  \* MERGEFORMAT </w:instrText>
    </w:r>
    <w:r>
      <w:fldChar w:fldCharType="separate"/>
    </w:r>
    <w:r w:rsidR="00457EA2">
      <w:rPr>
        <w:lang w:val="fr-CH"/>
      </w:rPr>
      <w:t>P:\ENG\SG\CONSEIL\C19\000\074E.docx</w:t>
    </w:r>
    <w:r>
      <w:fldChar w:fldCharType="end"/>
    </w:r>
    <w:r w:rsidR="00457EA2">
      <w:t xml:space="preserve"> (456030)</w:t>
    </w:r>
    <w:r w:rsidR="00CB18FF" w:rsidRPr="00621536">
      <w:rPr>
        <w:lang w:val="fr-CH"/>
      </w:rPr>
      <w:tab/>
    </w:r>
    <w:r w:rsidR="00864AFF">
      <w:fldChar w:fldCharType="begin"/>
    </w:r>
    <w:r w:rsidR="00CB18FF">
      <w:instrText xml:space="preserve"> SAVEDATE \@ DD.MM.YY </w:instrText>
    </w:r>
    <w:r w:rsidR="00864AFF">
      <w:fldChar w:fldCharType="separate"/>
    </w:r>
    <w:r w:rsidR="00E70C65">
      <w:t>04.06.19</w:t>
    </w:r>
    <w:r w:rsidR="00864AFF">
      <w:fldChar w:fldCharType="end"/>
    </w:r>
    <w:r w:rsidR="00CB18FF" w:rsidRPr="00621536">
      <w:rPr>
        <w:lang w:val="fr-CH"/>
      </w:rPr>
      <w:tab/>
    </w:r>
    <w:r w:rsidR="00864AFF">
      <w:fldChar w:fldCharType="begin"/>
    </w:r>
    <w:r w:rsidR="00CB18FF">
      <w:instrText xml:space="preserve"> PRINTDATE \@ DD.MM.YY </w:instrText>
    </w:r>
    <w:r w:rsidR="00864AFF">
      <w:fldChar w:fldCharType="separate"/>
    </w:r>
    <w:r w:rsidR="00A42085">
      <w:t>28.05.19</w:t>
    </w:r>
    <w:r w:rsidR="00864AF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C4DDE" w14:textId="77777777" w:rsidR="00322D0D" w:rsidRDefault="00322D0D">
    <w:pPr>
      <w:spacing w:after="120"/>
      <w:jc w:val="center"/>
    </w:pPr>
    <w:r>
      <w:t xml:space="preserve">• </w:t>
    </w:r>
    <w:hyperlink r:id="rId1" w:history="1">
      <w:r>
        <w:rPr>
          <w:rStyle w:val="Hyperlink"/>
        </w:rPr>
        <w:t>http://www.itu.int/council</w:t>
      </w:r>
    </w:hyperlink>
    <w:r>
      <w:t xml:space="preserve"> •</w:t>
    </w:r>
  </w:p>
  <w:p w14:paraId="4F440EB8" w14:textId="3C90E3E7" w:rsidR="00322D0D" w:rsidRPr="00621536" w:rsidRDefault="008601F5">
    <w:pPr>
      <w:pStyle w:val="Footer"/>
      <w:rPr>
        <w:lang w:val="fr-CH"/>
      </w:rPr>
    </w:pPr>
    <w:r>
      <w:fldChar w:fldCharType="begin"/>
    </w:r>
    <w:r w:rsidRPr="00621536">
      <w:rPr>
        <w:lang w:val="fr-CH"/>
      </w:rPr>
      <w:instrText xml:space="preserve"> FILENAME \p  \* MERGEFORMAT </w:instrText>
    </w:r>
    <w:r>
      <w:fldChar w:fldCharType="separate"/>
    </w:r>
    <w:r w:rsidR="00457EA2">
      <w:rPr>
        <w:lang w:val="fr-CH"/>
      </w:rPr>
      <w:t>P:\ENG\SG\CONSEIL\C19\000\074E.docx</w:t>
    </w:r>
    <w:r>
      <w:fldChar w:fldCharType="end"/>
    </w:r>
    <w:r w:rsidR="00457EA2">
      <w:t xml:space="preserve"> (456030)</w:t>
    </w:r>
    <w:r w:rsidR="00322D0D" w:rsidRPr="00621536">
      <w:rPr>
        <w:lang w:val="fr-CH"/>
      </w:rPr>
      <w:tab/>
    </w:r>
    <w:r w:rsidR="00864AFF">
      <w:fldChar w:fldCharType="begin"/>
    </w:r>
    <w:r w:rsidR="00322D0D">
      <w:instrText xml:space="preserve"> SAVEDATE \@ DD.MM.YY </w:instrText>
    </w:r>
    <w:r w:rsidR="00864AFF">
      <w:fldChar w:fldCharType="separate"/>
    </w:r>
    <w:r w:rsidR="00E70C65">
      <w:t>04.06.19</w:t>
    </w:r>
    <w:r w:rsidR="00864AFF">
      <w:fldChar w:fldCharType="end"/>
    </w:r>
    <w:r w:rsidR="00322D0D" w:rsidRPr="00621536">
      <w:rPr>
        <w:lang w:val="fr-CH"/>
      </w:rPr>
      <w:tab/>
    </w:r>
    <w:r w:rsidR="00864AFF">
      <w:fldChar w:fldCharType="begin"/>
    </w:r>
    <w:r w:rsidR="00322D0D">
      <w:instrText xml:space="preserve"> PRINTDATE \@ DD.MM.YY </w:instrText>
    </w:r>
    <w:r w:rsidR="00864AFF">
      <w:fldChar w:fldCharType="separate"/>
    </w:r>
    <w:r w:rsidR="00A42085">
      <w:t>28.05.19</w:t>
    </w:r>
    <w:r w:rsidR="00864AF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4A4535" w14:textId="77777777" w:rsidR="001E5721" w:rsidRDefault="001E5721">
      <w:r>
        <w:t>____________________</w:t>
      </w:r>
    </w:p>
  </w:footnote>
  <w:footnote w:type="continuationSeparator" w:id="0">
    <w:p w14:paraId="4D73CED6" w14:textId="77777777" w:rsidR="001E5721" w:rsidRDefault="001E5721">
      <w:r>
        <w:continuationSeparator/>
      </w:r>
    </w:p>
  </w:footnote>
  <w:footnote w:id="1">
    <w:p w14:paraId="4B01B152" w14:textId="77777777" w:rsidR="009437AA" w:rsidRPr="00263A47" w:rsidRDefault="009437AA" w:rsidP="009437AA">
      <w:pPr>
        <w:pStyle w:val="FootnoteText"/>
        <w:rPr>
          <w:sz w:val="20"/>
          <w:lang w:val="ru-RU"/>
        </w:rPr>
      </w:pPr>
      <w:r>
        <w:rPr>
          <w:rStyle w:val="FootnoteReference"/>
        </w:rPr>
        <w:footnoteRef/>
      </w:r>
      <w:r>
        <w:tab/>
      </w:r>
      <w:r w:rsidRPr="00263A47">
        <w:rPr>
          <w:sz w:val="20"/>
          <w:lang w:val="ru-RU"/>
        </w:rPr>
        <w:t>Revision of the ITRs is understood to mean the work of ITU Member States and Sector Members at the WCIT to remove and/or modify relevant provisions of the ITRs, or to include new provisions in the ITRs. This work may concern the entire text of the ITRs (full revision) or only individual provisions of the ITRs agreed in advance during the preparatory process.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0D348" w14:textId="71208022" w:rsidR="00322D0D" w:rsidRDefault="006535F1" w:rsidP="00CE433C">
    <w:pPr>
      <w:pStyle w:val="Header"/>
    </w:pPr>
    <w:r>
      <w:fldChar w:fldCharType="begin"/>
    </w:r>
    <w:r>
      <w:instrText>PAGE</w:instrText>
    </w:r>
    <w:r>
      <w:fldChar w:fldCharType="separate"/>
    </w:r>
    <w:r w:rsidR="00263A47">
      <w:rPr>
        <w:noProof/>
      </w:rPr>
      <w:t>5</w:t>
    </w:r>
    <w:r>
      <w:rPr>
        <w:noProof/>
      </w:rPr>
      <w:fldChar w:fldCharType="end"/>
    </w:r>
  </w:p>
  <w:p w14:paraId="653634AA" w14:textId="7F0B9FD5" w:rsidR="00322D0D" w:rsidRPr="00623AE3" w:rsidRDefault="00623AE3" w:rsidP="00FB1279">
    <w:pPr>
      <w:pStyle w:val="Header"/>
      <w:rPr>
        <w:bCs/>
      </w:rPr>
    </w:pPr>
    <w:r w:rsidRPr="00623AE3">
      <w:rPr>
        <w:bCs/>
      </w:rPr>
      <w:t>C1</w:t>
    </w:r>
    <w:r w:rsidR="00FB1279">
      <w:rPr>
        <w:bCs/>
      </w:rPr>
      <w:t>9</w:t>
    </w:r>
    <w:r w:rsidR="00457EA2">
      <w:rPr>
        <w:bCs/>
      </w:rPr>
      <w:t>/74</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1"/>
    <w:rsid w:val="000210D4"/>
    <w:rsid w:val="00024E9D"/>
    <w:rsid w:val="00063016"/>
    <w:rsid w:val="00066795"/>
    <w:rsid w:val="00076AF6"/>
    <w:rsid w:val="00085CF2"/>
    <w:rsid w:val="000B1705"/>
    <w:rsid w:val="000D75B2"/>
    <w:rsid w:val="001121F5"/>
    <w:rsid w:val="001267BA"/>
    <w:rsid w:val="001400DC"/>
    <w:rsid w:val="00140CE1"/>
    <w:rsid w:val="0017539C"/>
    <w:rsid w:val="00175AC2"/>
    <w:rsid w:val="0017609F"/>
    <w:rsid w:val="001C628E"/>
    <w:rsid w:val="001E0F7B"/>
    <w:rsid w:val="001E5721"/>
    <w:rsid w:val="002119FD"/>
    <w:rsid w:val="002130E0"/>
    <w:rsid w:val="00217C40"/>
    <w:rsid w:val="00224631"/>
    <w:rsid w:val="00263A47"/>
    <w:rsid w:val="00264425"/>
    <w:rsid w:val="00265875"/>
    <w:rsid w:val="00272386"/>
    <w:rsid w:val="0027303B"/>
    <w:rsid w:val="0028109B"/>
    <w:rsid w:val="002A2188"/>
    <w:rsid w:val="002B1F58"/>
    <w:rsid w:val="002C1C7A"/>
    <w:rsid w:val="0030160F"/>
    <w:rsid w:val="00322D0D"/>
    <w:rsid w:val="003302FE"/>
    <w:rsid w:val="003942D4"/>
    <w:rsid w:val="003958A8"/>
    <w:rsid w:val="003C2533"/>
    <w:rsid w:val="0040435A"/>
    <w:rsid w:val="00416A24"/>
    <w:rsid w:val="00431D9E"/>
    <w:rsid w:val="00433CE8"/>
    <w:rsid w:val="00434A5C"/>
    <w:rsid w:val="004544D9"/>
    <w:rsid w:val="00457EA2"/>
    <w:rsid w:val="00490E72"/>
    <w:rsid w:val="00491157"/>
    <w:rsid w:val="004921C8"/>
    <w:rsid w:val="004D1851"/>
    <w:rsid w:val="004D599D"/>
    <w:rsid w:val="004E2EA5"/>
    <w:rsid w:val="004E3AEB"/>
    <w:rsid w:val="0050223C"/>
    <w:rsid w:val="005243FF"/>
    <w:rsid w:val="00564FBC"/>
    <w:rsid w:val="00582442"/>
    <w:rsid w:val="005F3269"/>
    <w:rsid w:val="00621536"/>
    <w:rsid w:val="00623AE3"/>
    <w:rsid w:val="006261A1"/>
    <w:rsid w:val="0064737F"/>
    <w:rsid w:val="006535F1"/>
    <w:rsid w:val="0065557D"/>
    <w:rsid w:val="00662984"/>
    <w:rsid w:val="006716BB"/>
    <w:rsid w:val="00695277"/>
    <w:rsid w:val="006B6680"/>
    <w:rsid w:val="006B6DCC"/>
    <w:rsid w:val="006C7BAA"/>
    <w:rsid w:val="00702DEF"/>
    <w:rsid w:val="00706861"/>
    <w:rsid w:val="0075051B"/>
    <w:rsid w:val="00793188"/>
    <w:rsid w:val="00794D34"/>
    <w:rsid w:val="00813E5E"/>
    <w:rsid w:val="00815050"/>
    <w:rsid w:val="0083581B"/>
    <w:rsid w:val="00846EE1"/>
    <w:rsid w:val="008601F5"/>
    <w:rsid w:val="00864AFF"/>
    <w:rsid w:val="008B4A6A"/>
    <w:rsid w:val="008C7E27"/>
    <w:rsid w:val="009173EF"/>
    <w:rsid w:val="00932906"/>
    <w:rsid w:val="009437AA"/>
    <w:rsid w:val="00961B0B"/>
    <w:rsid w:val="009B38C3"/>
    <w:rsid w:val="009E17BD"/>
    <w:rsid w:val="009E485A"/>
    <w:rsid w:val="00A04CEC"/>
    <w:rsid w:val="00A27F92"/>
    <w:rsid w:val="00A32257"/>
    <w:rsid w:val="00A36D20"/>
    <w:rsid w:val="00A42085"/>
    <w:rsid w:val="00A55622"/>
    <w:rsid w:val="00A83502"/>
    <w:rsid w:val="00AD15B3"/>
    <w:rsid w:val="00AF6E49"/>
    <w:rsid w:val="00B019F8"/>
    <w:rsid w:val="00B04A67"/>
    <w:rsid w:val="00B0583C"/>
    <w:rsid w:val="00B40A81"/>
    <w:rsid w:val="00B44910"/>
    <w:rsid w:val="00B5433A"/>
    <w:rsid w:val="00B72267"/>
    <w:rsid w:val="00B76EB6"/>
    <w:rsid w:val="00B7737B"/>
    <w:rsid w:val="00B824C8"/>
    <w:rsid w:val="00BB74B9"/>
    <w:rsid w:val="00BC251A"/>
    <w:rsid w:val="00BD032B"/>
    <w:rsid w:val="00BE2640"/>
    <w:rsid w:val="00C01189"/>
    <w:rsid w:val="00C374DE"/>
    <w:rsid w:val="00C47AD4"/>
    <w:rsid w:val="00C52D81"/>
    <w:rsid w:val="00C55198"/>
    <w:rsid w:val="00CA6393"/>
    <w:rsid w:val="00CB18FF"/>
    <w:rsid w:val="00CB2F71"/>
    <w:rsid w:val="00CD0C08"/>
    <w:rsid w:val="00CE03FB"/>
    <w:rsid w:val="00CE433C"/>
    <w:rsid w:val="00CF33F3"/>
    <w:rsid w:val="00D06183"/>
    <w:rsid w:val="00D22C42"/>
    <w:rsid w:val="00D22C44"/>
    <w:rsid w:val="00D65041"/>
    <w:rsid w:val="00DB384B"/>
    <w:rsid w:val="00E10E80"/>
    <w:rsid w:val="00E124F0"/>
    <w:rsid w:val="00E436E9"/>
    <w:rsid w:val="00E60F04"/>
    <w:rsid w:val="00E70C65"/>
    <w:rsid w:val="00E8307D"/>
    <w:rsid w:val="00E854E4"/>
    <w:rsid w:val="00EB0D6F"/>
    <w:rsid w:val="00EB2232"/>
    <w:rsid w:val="00EC5337"/>
    <w:rsid w:val="00EC69DA"/>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BB794AE"/>
  <w15:docId w15:val="{4DE97B58-E537-436A-B87F-F23365212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813E5E"/>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qFormat/>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aliases w:val="CEO_Hyperlink"/>
    <w:basedOn w:val="DefaultParagraphFont"/>
    <w:uiPriority w:val="99"/>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link w:val="ResNoChar"/>
    <w:uiPriority w:val="99"/>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enumlev1Char">
    <w:name w:val="enumlev1 Char"/>
    <w:basedOn w:val="DefaultParagraphFont"/>
    <w:link w:val="enumlev1"/>
    <w:rsid w:val="001E5721"/>
    <w:rPr>
      <w:rFonts w:ascii="Calibri" w:hAnsi="Calibri"/>
      <w:sz w:val="24"/>
      <w:lang w:val="en-GB" w:eastAsia="en-US"/>
    </w:rPr>
  </w:style>
  <w:style w:type="character" w:customStyle="1" w:styleId="NormalaftertitleChar">
    <w:name w:val="Normal after title Char"/>
    <w:basedOn w:val="DefaultParagraphFont"/>
    <w:link w:val="Normalaftertitle"/>
    <w:rsid w:val="001E5721"/>
    <w:rPr>
      <w:rFonts w:ascii="Calibri" w:hAnsi="Calibri"/>
      <w:sz w:val="24"/>
      <w:lang w:val="en-GB" w:eastAsia="en-US"/>
    </w:rPr>
  </w:style>
  <w:style w:type="character" w:customStyle="1" w:styleId="RestitleChar">
    <w:name w:val="Res_title Char"/>
    <w:basedOn w:val="DefaultParagraphFont"/>
    <w:link w:val="Restitle"/>
    <w:rsid w:val="001E5721"/>
    <w:rPr>
      <w:rFonts w:ascii="Calibri" w:hAnsi="Calibri"/>
      <w:b/>
      <w:sz w:val="28"/>
      <w:lang w:val="en-GB" w:eastAsia="en-US"/>
    </w:rPr>
  </w:style>
  <w:style w:type="character" w:customStyle="1" w:styleId="CallChar">
    <w:name w:val="Call Char"/>
    <w:basedOn w:val="DefaultParagraphFont"/>
    <w:link w:val="Call"/>
    <w:rsid w:val="001E5721"/>
    <w:rPr>
      <w:rFonts w:ascii="Calibri" w:hAnsi="Calibri"/>
      <w:i/>
      <w:sz w:val="24"/>
      <w:lang w:val="en-GB" w:eastAsia="en-US"/>
    </w:rPr>
  </w:style>
  <w:style w:type="character" w:customStyle="1" w:styleId="ResNoChar">
    <w:name w:val="Res_No Char"/>
    <w:basedOn w:val="DefaultParagraphFont"/>
    <w:link w:val="ResNo"/>
    <w:uiPriority w:val="99"/>
    <w:locked/>
    <w:rsid w:val="001E5721"/>
    <w:rPr>
      <w:rFonts w:ascii="Calibri" w:hAnsi="Calibri"/>
      <w:caps/>
      <w:sz w:val="28"/>
      <w:lang w:val="en-GB" w:eastAsia="en-US"/>
    </w:rPr>
  </w:style>
  <w:style w:type="character" w:customStyle="1" w:styleId="AnnexNoChar">
    <w:name w:val="Annex_No Char"/>
    <w:basedOn w:val="DefaultParagraphFont"/>
    <w:link w:val="AnnexNo"/>
    <w:rsid w:val="001E5721"/>
    <w:rPr>
      <w:rFonts w:ascii="Calibri" w:hAnsi="Calibri"/>
      <w:caps/>
      <w:sz w:val="28"/>
      <w:lang w:val="en-GB" w:eastAsia="en-US"/>
    </w:rPr>
  </w:style>
  <w:style w:type="paragraph" w:customStyle="1" w:styleId="Endtext">
    <w:name w:val="End_text"/>
    <w:basedOn w:val="Normal"/>
    <w:rsid w:val="001E5721"/>
    <w:pPr>
      <w:tabs>
        <w:tab w:val="clear" w:pos="567"/>
        <w:tab w:val="clear" w:pos="1134"/>
        <w:tab w:val="clear" w:pos="1701"/>
        <w:tab w:val="clear" w:pos="2268"/>
        <w:tab w:val="clear" w:pos="2835"/>
        <w:tab w:val="left" w:pos="794"/>
        <w:tab w:val="left" w:pos="1191"/>
        <w:tab w:val="left" w:pos="1588"/>
        <w:tab w:val="left" w:pos="1985"/>
      </w:tabs>
      <w:spacing w:before="136"/>
      <w:ind w:left="794" w:hanging="794"/>
      <w:jc w:val="both"/>
    </w:pPr>
    <w:rPr>
      <w:i/>
      <w:iCs/>
      <w:sz w:val="22"/>
      <w:lang w:val="fr-CH"/>
    </w:rPr>
  </w:style>
  <w:style w:type="character" w:customStyle="1" w:styleId="AnnextitleChar">
    <w:name w:val="Annex_title Char"/>
    <w:basedOn w:val="DefaultParagraphFont"/>
    <w:link w:val="Annextitle"/>
    <w:rsid w:val="001E5721"/>
    <w:rPr>
      <w:rFonts w:ascii="Calibri" w:hAnsi="Calibri"/>
      <w:b/>
      <w:sz w:val="28"/>
      <w:lang w:val="en-GB" w:eastAsia="en-US"/>
    </w:rPr>
  </w:style>
  <w:style w:type="character" w:customStyle="1" w:styleId="href">
    <w:name w:val="href"/>
    <w:basedOn w:val="DefaultParagraphFont"/>
    <w:rsid w:val="001E5721"/>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9437AA"/>
    <w:rPr>
      <w:rFonts w:ascii="Calibri" w:hAnsi="Calibri"/>
      <w:sz w:val="24"/>
      <w:lang w:val="en-GB" w:eastAsia="en-US"/>
    </w:rPr>
  </w:style>
  <w:style w:type="paragraph" w:styleId="BalloonText">
    <w:name w:val="Balloon Text"/>
    <w:basedOn w:val="Normal"/>
    <w:link w:val="BalloonTextChar"/>
    <w:semiHidden/>
    <w:unhideWhenUsed/>
    <w:rsid w:val="00B5433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5433A"/>
    <w:rPr>
      <w:rFonts w:ascii="Segoe UI" w:hAnsi="Segoe UI" w:cs="Segoe UI"/>
      <w:sz w:val="18"/>
      <w:szCs w:val="18"/>
      <w:lang w:val="en-GB" w:eastAsia="en-US"/>
    </w:rPr>
  </w:style>
  <w:style w:type="character" w:styleId="CommentReference">
    <w:name w:val="annotation reference"/>
    <w:basedOn w:val="DefaultParagraphFont"/>
    <w:semiHidden/>
    <w:unhideWhenUsed/>
    <w:rsid w:val="00E8307D"/>
    <w:rPr>
      <w:sz w:val="16"/>
      <w:szCs w:val="16"/>
    </w:rPr>
  </w:style>
  <w:style w:type="paragraph" w:styleId="CommentText">
    <w:name w:val="annotation text"/>
    <w:basedOn w:val="Normal"/>
    <w:link w:val="CommentTextChar"/>
    <w:semiHidden/>
    <w:unhideWhenUsed/>
    <w:rsid w:val="00E8307D"/>
    <w:rPr>
      <w:sz w:val="20"/>
    </w:rPr>
  </w:style>
  <w:style w:type="character" w:customStyle="1" w:styleId="CommentTextChar">
    <w:name w:val="Comment Text Char"/>
    <w:basedOn w:val="DefaultParagraphFont"/>
    <w:link w:val="CommentText"/>
    <w:semiHidden/>
    <w:rsid w:val="00E8307D"/>
    <w:rPr>
      <w:rFonts w:ascii="Calibri" w:hAnsi="Calibri"/>
      <w:lang w:val="en-GB" w:eastAsia="en-US"/>
    </w:rPr>
  </w:style>
  <w:style w:type="paragraph" w:styleId="CommentSubject">
    <w:name w:val="annotation subject"/>
    <w:basedOn w:val="CommentText"/>
    <w:next w:val="CommentText"/>
    <w:link w:val="CommentSubjectChar"/>
    <w:semiHidden/>
    <w:unhideWhenUsed/>
    <w:rsid w:val="00E8307D"/>
    <w:rPr>
      <w:b/>
      <w:bCs/>
    </w:rPr>
  </w:style>
  <w:style w:type="character" w:customStyle="1" w:styleId="CommentSubjectChar">
    <w:name w:val="Comment Subject Char"/>
    <w:basedOn w:val="CommentTextChar"/>
    <w:link w:val="CommentSubject"/>
    <w:semiHidden/>
    <w:rsid w:val="00E8307D"/>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EDF89-0C8D-4E13-BC47-33C17145F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PE_C19.dotx</Template>
  <TotalTime>8</TotalTime>
  <Pages>5</Pages>
  <Words>1133</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7534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Ruepp, Rowena</dc:creator>
  <cp:keywords/>
  <dc:description/>
  <cp:lastModifiedBy>Scott, Sarah</cp:lastModifiedBy>
  <cp:revision>3</cp:revision>
  <cp:lastPrinted>2019-05-28T12:12:00Z</cp:lastPrinted>
  <dcterms:created xsi:type="dcterms:W3CDTF">2019-06-04T09:18:00Z</dcterms:created>
  <dcterms:modified xsi:type="dcterms:W3CDTF">2019-06-04T09:35:00Z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