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F224D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F224D7">
              <w:rPr>
                <w:b/>
              </w:rPr>
              <w:t>2</w:t>
            </w:r>
            <w:r w:rsidR="00B40A53">
              <w:rPr>
                <w:b/>
              </w:rPr>
              <w:t>.</w:t>
            </w:r>
            <w:r w:rsidR="00F224D7">
              <w:rPr>
                <w:b/>
              </w:rPr>
              <w:t>11</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F224D7">
              <w:rPr>
                <w:b/>
                <w:bCs/>
                <w:szCs w:val="24"/>
                <w:lang w:eastAsia="zh-CN"/>
              </w:rPr>
              <w:t>68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F224D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F224D7">
              <w:rPr>
                <w:rFonts w:asciiTheme="minorHAnsi" w:hAnsiTheme="minorHAnsi" w:cstheme="minorHAnsi"/>
                <w:b/>
                <w:bCs/>
                <w:szCs w:val="24"/>
                <w:lang w:eastAsia="zh-CN"/>
              </w:rPr>
              <w:t>5</w:t>
            </w:r>
            <w:r w:rsidRPr="00FC5386">
              <w:rPr>
                <w:rFonts w:hint="eastAsia"/>
                <w:b/>
                <w:bCs/>
                <w:szCs w:val="24"/>
                <w:lang w:eastAsia="zh-CN"/>
              </w:rPr>
              <w:t>月</w:t>
            </w:r>
            <w:r w:rsidR="00F224D7">
              <w:rPr>
                <w:rFonts w:asciiTheme="minorHAnsi" w:hAnsiTheme="minorHAnsi" w:cstheme="minorHAnsi"/>
                <w:b/>
                <w:bCs/>
                <w:szCs w:val="24"/>
                <w:lang w:eastAsia="zh-CN"/>
              </w:rPr>
              <w:t>25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224D7"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说明</w:t>
            </w:r>
          </w:p>
        </w:tc>
      </w:tr>
      <w:tr w:rsidR="0093362E">
        <w:trPr>
          <w:cantSplit/>
        </w:trPr>
        <w:tc>
          <w:tcPr>
            <w:tcW w:w="10031" w:type="dxa"/>
          </w:tcPr>
          <w:p w:rsidR="0093362E" w:rsidRDefault="00F224D7" w:rsidP="00001B77">
            <w:pPr>
              <w:pStyle w:val="Title1"/>
              <w:rPr>
                <w:bCs/>
                <w:lang w:eastAsia="zh-CN"/>
              </w:rPr>
            </w:pPr>
            <w:r w:rsidRPr="00432159">
              <w:rPr>
                <w:rFonts w:hint="eastAsia"/>
                <w:lang w:eastAsia="zh-CN"/>
              </w:rPr>
              <w:t>巴西联邦共和国</w:t>
            </w:r>
            <w:r>
              <w:rPr>
                <w:rFonts w:hint="eastAsia"/>
                <w:lang w:eastAsia="zh-CN"/>
              </w:rPr>
              <w:t>和加拿大</w:t>
            </w:r>
            <w:r w:rsidRPr="00432159">
              <w:rPr>
                <w:rFonts w:hint="eastAsia"/>
                <w:lang w:eastAsia="zh-CN"/>
              </w:rPr>
              <w:t>的文稿</w:t>
            </w:r>
          </w:p>
        </w:tc>
      </w:tr>
      <w:tr w:rsidR="00F224D7">
        <w:trPr>
          <w:cantSplit/>
        </w:trPr>
        <w:tc>
          <w:tcPr>
            <w:tcW w:w="10031" w:type="dxa"/>
          </w:tcPr>
          <w:p w:rsidR="00F224D7" w:rsidRDefault="00F224D7" w:rsidP="00001B77">
            <w:pPr>
              <w:pStyle w:val="Title1"/>
              <w:rPr>
                <w:rFonts w:hint="eastAsia"/>
                <w:bCs/>
                <w:lang w:eastAsia="zh-CN"/>
              </w:rPr>
            </w:pPr>
            <w:r>
              <w:rPr>
                <w:rFonts w:hint="eastAsia"/>
                <w:lang w:eastAsia="zh-CN"/>
              </w:rPr>
              <w:t>关于</w:t>
            </w:r>
            <w:r>
              <w:rPr>
                <w:rFonts w:hint="eastAsia"/>
                <w:lang w:eastAsia="zh-CN"/>
              </w:rPr>
              <w:t>T</w:t>
            </w:r>
            <w:r>
              <w:rPr>
                <w:lang w:eastAsia="zh-CN"/>
              </w:rPr>
              <w:t>SAG</w:t>
            </w:r>
            <w:r>
              <w:rPr>
                <w:rFonts w:hint="eastAsia"/>
                <w:lang w:eastAsia="zh-CN"/>
              </w:rPr>
              <w:t>在创建</w:t>
            </w:r>
            <w:r>
              <w:rPr>
                <w:rFonts w:hint="eastAsia"/>
                <w:lang w:eastAsia="zh-CN"/>
              </w:rPr>
              <w:t>I</w:t>
            </w:r>
            <w:r w:rsidRPr="00E13580">
              <w:rPr>
                <w:rFonts w:hint="eastAsia"/>
                <w:lang w:eastAsia="zh-CN"/>
              </w:rPr>
              <w:t>TU-T</w:t>
            </w:r>
            <w:r w:rsidRPr="00E13580">
              <w:rPr>
                <w:rFonts w:hint="eastAsia"/>
                <w:lang w:eastAsia="zh-CN"/>
              </w:rPr>
              <w:t>研究组</w:t>
            </w:r>
            <w:r>
              <w:rPr>
                <w:rFonts w:hint="eastAsia"/>
                <w:lang w:eastAsia="zh-CN"/>
              </w:rPr>
              <w:t>区域组方面的作用和</w:t>
            </w:r>
            <w:r w:rsidR="00DA4080">
              <w:rPr>
                <w:lang w:eastAsia="zh-CN"/>
              </w:rPr>
              <w:br/>
            </w:r>
            <w:r>
              <w:rPr>
                <w:rFonts w:hint="eastAsia"/>
                <w:lang w:eastAsia="zh-CN"/>
              </w:rPr>
              <w:t>部门成员、部门准成员及</w:t>
            </w:r>
            <w:r w:rsidRPr="00E13580">
              <w:rPr>
                <w:rFonts w:hint="eastAsia"/>
                <w:lang w:eastAsia="zh-CN"/>
              </w:rPr>
              <w:t>学术成员</w:t>
            </w:r>
            <w:r>
              <w:rPr>
                <w:rFonts w:hint="eastAsia"/>
                <w:lang w:eastAsia="zh-CN"/>
              </w:rPr>
              <w:t>参与权的法律澄清</w:t>
            </w:r>
          </w:p>
        </w:tc>
      </w:tr>
    </w:tbl>
    <w:p w:rsidR="00F224D7" w:rsidRDefault="00F224D7" w:rsidP="00DA4080">
      <w:pPr>
        <w:spacing w:before="480"/>
        <w:ind w:firstLineChars="200" w:firstLine="480"/>
        <w:rPr>
          <w:lang w:val="en-US" w:eastAsia="zh-CN"/>
        </w:rPr>
      </w:pPr>
      <w:r w:rsidRPr="00293D5C">
        <w:rPr>
          <w:rFonts w:hint="eastAsia"/>
          <w:lang w:val="en-US" w:eastAsia="zh-CN"/>
        </w:rPr>
        <w:t>我荣幸地向各理事国转呈</w:t>
      </w:r>
      <w:r w:rsidRPr="00D636FE">
        <w:rPr>
          <w:rFonts w:hint="eastAsia"/>
          <w:lang w:val="en-US" w:eastAsia="zh-CN"/>
        </w:rPr>
        <w:t>巴西联邦共和国和加拿大</w:t>
      </w:r>
      <w:r>
        <w:rPr>
          <w:rFonts w:hint="eastAsia"/>
          <w:lang w:val="en-US" w:eastAsia="zh-CN"/>
        </w:rPr>
        <w:t>提交的</w:t>
      </w:r>
      <w:r w:rsidRPr="00293D5C">
        <w:rPr>
          <w:rFonts w:hint="eastAsia"/>
          <w:lang w:val="en-US" w:eastAsia="zh-CN"/>
        </w:rPr>
        <w:t>文稿。</w:t>
      </w:r>
    </w:p>
    <w:p w:rsidR="00DA4080" w:rsidRPr="000A6C87" w:rsidRDefault="00DA4080" w:rsidP="00DA4080">
      <w:pPr>
        <w:tabs>
          <w:tab w:val="clear" w:pos="794"/>
          <w:tab w:val="clear" w:pos="1191"/>
          <w:tab w:val="clear" w:pos="1588"/>
          <w:tab w:val="clear" w:pos="1985"/>
          <w:tab w:val="center" w:pos="7088"/>
        </w:tabs>
        <w:spacing w:before="1440"/>
        <w:rPr>
          <w:rFonts w:eastAsia="Times New Roman"/>
          <w:lang w:eastAsia="zh-CN"/>
        </w:rPr>
      </w:pPr>
      <w:r w:rsidRPr="000A6C87">
        <w:rPr>
          <w:rFonts w:eastAsia="Times New Roman"/>
          <w:lang w:eastAsia="zh-CN"/>
        </w:rPr>
        <w:tab/>
      </w:r>
      <w:r>
        <w:rPr>
          <w:rFonts w:hint="eastAsia"/>
          <w:lang w:val="en-US" w:eastAsia="zh-CN"/>
        </w:rPr>
        <w:t>秘书</w:t>
      </w:r>
      <w:r>
        <w:rPr>
          <w:lang w:val="en-US" w:eastAsia="zh-CN"/>
        </w:rPr>
        <w:t>长</w:t>
      </w:r>
      <w:r w:rsidRPr="000A6C87">
        <w:rPr>
          <w:rFonts w:eastAsia="Times New Roman"/>
          <w:lang w:eastAsia="zh-CN"/>
        </w:rPr>
        <w:br/>
      </w:r>
      <w:r w:rsidRPr="000A6C87">
        <w:rPr>
          <w:rFonts w:eastAsia="Times New Roman"/>
          <w:lang w:eastAsia="zh-CN"/>
        </w:rPr>
        <w:tab/>
      </w:r>
      <w:r>
        <w:rPr>
          <w:rFonts w:hint="eastAsia"/>
          <w:lang w:val="en-US" w:eastAsia="zh-CN"/>
        </w:rPr>
        <w:t>赵</w:t>
      </w:r>
      <w:r>
        <w:rPr>
          <w:lang w:val="en-US" w:eastAsia="zh-CN"/>
        </w:rPr>
        <w:t>厚麟</w:t>
      </w:r>
    </w:p>
    <w:p w:rsidR="00DA4080" w:rsidRDefault="00DA4080" w:rsidP="00DA4080">
      <w:pPr>
        <w:tabs>
          <w:tab w:val="left" w:pos="720"/>
        </w:tabs>
        <w:overflowPunct/>
        <w:autoSpaceDE/>
        <w:adjustRightInd/>
        <w:spacing w:before="0"/>
        <w:rPr>
          <w:lang w:val="fr-FR" w:eastAsia="zh-CN"/>
        </w:rPr>
      </w:pPr>
      <w:r>
        <w:rPr>
          <w:lang w:val="fr-FR" w:eastAsia="zh-CN"/>
        </w:rPr>
        <w:br w:type="page"/>
      </w:r>
    </w:p>
    <w:p w:rsidR="00F224D7" w:rsidRDefault="00F224D7" w:rsidP="00F224D7">
      <w:pPr>
        <w:pStyle w:val="Title1"/>
        <w:rPr>
          <w:lang w:eastAsia="zh-CN"/>
        </w:rPr>
      </w:pPr>
      <w:r w:rsidRPr="00D636FE">
        <w:rPr>
          <w:rFonts w:hint="eastAsia"/>
          <w:lang w:eastAsia="zh-CN"/>
        </w:rPr>
        <w:lastRenderedPageBreak/>
        <w:t>巴西联邦共和国和加拿大的文稿</w:t>
      </w:r>
    </w:p>
    <w:p w:rsidR="00F224D7" w:rsidRDefault="00F224D7" w:rsidP="00F224D7">
      <w:pPr>
        <w:jc w:val="center"/>
        <w:rPr>
          <w:caps/>
          <w:sz w:val="28"/>
          <w:lang w:eastAsia="zh-CN"/>
        </w:rPr>
      </w:pPr>
      <w:r w:rsidRPr="00D02943">
        <w:rPr>
          <w:rFonts w:hint="eastAsia"/>
          <w:caps/>
          <w:sz w:val="28"/>
          <w:lang w:eastAsia="zh-CN"/>
        </w:rPr>
        <w:t>关于</w:t>
      </w:r>
      <w:r w:rsidRPr="00D02943">
        <w:rPr>
          <w:rFonts w:hint="eastAsia"/>
          <w:caps/>
          <w:sz w:val="28"/>
          <w:lang w:eastAsia="zh-CN"/>
        </w:rPr>
        <w:t>TSAG</w:t>
      </w:r>
      <w:r w:rsidRPr="00D02943">
        <w:rPr>
          <w:rFonts w:hint="eastAsia"/>
          <w:caps/>
          <w:sz w:val="28"/>
          <w:lang w:eastAsia="zh-CN"/>
        </w:rPr>
        <w:t>在创建</w:t>
      </w:r>
      <w:r w:rsidRPr="00D02943">
        <w:rPr>
          <w:rFonts w:hint="eastAsia"/>
          <w:caps/>
          <w:sz w:val="28"/>
          <w:lang w:eastAsia="zh-CN"/>
        </w:rPr>
        <w:t>ITU-T</w:t>
      </w:r>
      <w:r w:rsidRPr="00D02943">
        <w:rPr>
          <w:rFonts w:hint="eastAsia"/>
          <w:caps/>
          <w:sz w:val="28"/>
          <w:lang w:eastAsia="zh-CN"/>
        </w:rPr>
        <w:t>研究组区域组方面的作用和</w:t>
      </w:r>
      <w:r w:rsidR="00DA4080">
        <w:rPr>
          <w:caps/>
          <w:sz w:val="28"/>
          <w:lang w:eastAsia="zh-CN"/>
        </w:rPr>
        <w:br/>
      </w:r>
      <w:r w:rsidRPr="00D02943">
        <w:rPr>
          <w:rFonts w:hint="eastAsia"/>
          <w:caps/>
          <w:sz w:val="28"/>
          <w:lang w:eastAsia="zh-CN"/>
        </w:rPr>
        <w:t>部门成员、部门准成员及学术成员参与权的法律澄清</w:t>
      </w:r>
    </w:p>
    <w:p w:rsidR="00F224D7" w:rsidRPr="00813E5E" w:rsidRDefault="00F224D7" w:rsidP="00F224D7">
      <w:pPr>
        <w:jc w:val="cente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224D7" w:rsidRPr="00813E5E" w:rsidTr="000D5A98">
        <w:trPr>
          <w:trHeight w:val="3372"/>
        </w:trPr>
        <w:tc>
          <w:tcPr>
            <w:tcW w:w="8080" w:type="dxa"/>
            <w:tcBorders>
              <w:top w:val="single" w:sz="12" w:space="0" w:color="auto"/>
              <w:left w:val="single" w:sz="12" w:space="0" w:color="auto"/>
              <w:bottom w:val="single" w:sz="12" w:space="0" w:color="auto"/>
              <w:right w:val="single" w:sz="12" w:space="0" w:color="auto"/>
            </w:tcBorders>
          </w:tcPr>
          <w:p w:rsidR="00F224D7" w:rsidRPr="00DA4080" w:rsidRDefault="00F224D7" w:rsidP="000D5A98">
            <w:pPr>
              <w:pStyle w:val="Headingb"/>
              <w:rPr>
                <w:szCs w:val="24"/>
                <w:lang w:eastAsia="zh-CN"/>
              </w:rPr>
            </w:pPr>
            <w:r w:rsidRPr="00DA4080">
              <w:rPr>
                <w:rFonts w:hint="eastAsia"/>
                <w:szCs w:val="24"/>
                <w:lang w:eastAsia="zh-CN"/>
              </w:rPr>
              <w:t>概要</w:t>
            </w:r>
          </w:p>
          <w:p w:rsidR="00F224D7" w:rsidRPr="00DA4080" w:rsidRDefault="00F224D7" w:rsidP="000D5A98">
            <w:pPr>
              <w:rPr>
                <w:szCs w:val="24"/>
                <w:lang w:val="en-US" w:eastAsia="zh-CN"/>
              </w:rPr>
            </w:pPr>
            <w:r w:rsidRPr="00DA4080">
              <w:rPr>
                <w:rFonts w:hint="eastAsia"/>
                <w:szCs w:val="24"/>
                <w:lang w:val="en-US" w:eastAsia="zh-CN"/>
              </w:rPr>
              <w:t>巴西和加拿大就</w:t>
            </w:r>
            <w:r w:rsidRPr="00DA4080">
              <w:rPr>
                <w:rFonts w:hint="eastAsia"/>
                <w:szCs w:val="24"/>
                <w:lang w:val="en-US" w:eastAsia="zh-CN"/>
              </w:rPr>
              <w:t>TSAG</w:t>
            </w:r>
            <w:r w:rsidRPr="00DA4080">
              <w:rPr>
                <w:rFonts w:hint="eastAsia"/>
                <w:szCs w:val="24"/>
                <w:lang w:val="en-US" w:eastAsia="zh-CN"/>
              </w:rPr>
              <w:t>在创建</w:t>
            </w:r>
            <w:r w:rsidRPr="00DA4080">
              <w:rPr>
                <w:rFonts w:hint="eastAsia"/>
                <w:szCs w:val="24"/>
                <w:lang w:val="en-US" w:eastAsia="zh-CN"/>
              </w:rPr>
              <w:t>I</w:t>
            </w:r>
            <w:r w:rsidRPr="00DA4080">
              <w:rPr>
                <w:szCs w:val="24"/>
                <w:lang w:val="en-US" w:eastAsia="zh-CN"/>
              </w:rPr>
              <w:t>TU-T</w:t>
            </w:r>
            <w:r w:rsidRPr="00DA4080">
              <w:rPr>
                <w:rFonts w:hint="eastAsia"/>
                <w:szCs w:val="24"/>
                <w:lang w:val="en-US" w:eastAsia="zh-CN"/>
              </w:rPr>
              <w:t>研究组区域组方面的作用和部门成员参与其所在部门活动的权利提出了法律问题。根据</w:t>
            </w:r>
            <w:r w:rsidRPr="00DA4080">
              <w:rPr>
                <w:rFonts w:hint="eastAsia"/>
                <w:szCs w:val="24"/>
                <w:lang w:val="en-US" w:eastAsia="zh-CN"/>
              </w:rPr>
              <w:t>P</w:t>
            </w:r>
            <w:r w:rsidRPr="00DA4080">
              <w:rPr>
                <w:szCs w:val="24"/>
                <w:lang w:val="en-US" w:eastAsia="zh-CN"/>
              </w:rPr>
              <w:t>P-</w:t>
            </w:r>
            <w:r w:rsidRPr="00DA4080">
              <w:rPr>
                <w:rFonts w:hint="eastAsia"/>
                <w:szCs w:val="24"/>
                <w:lang w:val="en-US" w:eastAsia="zh-CN"/>
              </w:rPr>
              <w:t>18</w:t>
            </w:r>
            <w:r w:rsidRPr="00DA4080">
              <w:rPr>
                <w:rFonts w:hint="eastAsia"/>
                <w:szCs w:val="24"/>
                <w:lang w:val="en-US" w:eastAsia="zh-CN"/>
              </w:rPr>
              <w:t>第</w:t>
            </w:r>
            <w:r w:rsidRPr="00DA4080">
              <w:rPr>
                <w:rFonts w:hint="eastAsia"/>
                <w:szCs w:val="24"/>
                <w:lang w:val="en-US" w:eastAsia="zh-CN"/>
              </w:rPr>
              <w:t>5</w:t>
            </w:r>
            <w:r w:rsidRPr="00DA4080">
              <w:rPr>
                <w:rFonts w:hint="eastAsia"/>
                <w:szCs w:val="24"/>
                <w:lang w:val="en-US" w:eastAsia="zh-CN"/>
              </w:rPr>
              <w:t>委员会的建议</w:t>
            </w:r>
            <w:r w:rsidRPr="00DA4080">
              <w:rPr>
                <w:rFonts w:hint="eastAsia"/>
                <w:szCs w:val="24"/>
                <w:lang w:val="en-US" w:eastAsia="zh-CN"/>
              </w:rPr>
              <w:t>8</w:t>
            </w:r>
            <w:r w:rsidRPr="00DA4080">
              <w:rPr>
                <w:rFonts w:hint="eastAsia"/>
                <w:szCs w:val="24"/>
                <w:lang w:val="en-US" w:eastAsia="zh-CN"/>
              </w:rPr>
              <w:t>，围绕本提案的讨论应支持</w:t>
            </w:r>
            <w:r w:rsidRPr="00DA4080">
              <w:rPr>
                <w:rFonts w:hint="eastAsia"/>
                <w:szCs w:val="24"/>
                <w:lang w:val="en-US" w:eastAsia="zh-CN"/>
              </w:rPr>
              <w:t>2020</w:t>
            </w:r>
            <w:r w:rsidRPr="00DA4080">
              <w:rPr>
                <w:rFonts w:hint="eastAsia"/>
                <w:szCs w:val="24"/>
                <w:lang w:val="en-US" w:eastAsia="zh-CN"/>
              </w:rPr>
              <w:t>年世界电信标准化全会（</w:t>
            </w:r>
            <w:r w:rsidRPr="00DA4080">
              <w:rPr>
                <w:rFonts w:hint="eastAsia"/>
                <w:szCs w:val="24"/>
                <w:lang w:val="en-US" w:eastAsia="zh-CN"/>
              </w:rPr>
              <w:t>WTSA-20</w:t>
            </w:r>
            <w:r w:rsidRPr="00DA4080">
              <w:rPr>
                <w:rFonts w:hint="eastAsia"/>
                <w:szCs w:val="24"/>
                <w:lang w:val="en-US" w:eastAsia="zh-CN"/>
              </w:rPr>
              <w:t>）就这些问题做出决定。</w:t>
            </w:r>
          </w:p>
          <w:p w:rsidR="00F224D7" w:rsidRPr="00DA4080" w:rsidRDefault="00F224D7" w:rsidP="000D5A98">
            <w:pPr>
              <w:pStyle w:val="Headingb"/>
              <w:rPr>
                <w:szCs w:val="24"/>
                <w:lang w:eastAsia="zh-CN"/>
              </w:rPr>
            </w:pPr>
            <w:r w:rsidRPr="00DA4080">
              <w:rPr>
                <w:rFonts w:hint="eastAsia"/>
                <w:szCs w:val="24"/>
                <w:lang w:eastAsia="zh-CN"/>
              </w:rPr>
              <w:t>需采取的行动</w:t>
            </w:r>
          </w:p>
          <w:p w:rsidR="00F224D7" w:rsidRPr="00DA4080" w:rsidRDefault="00F224D7" w:rsidP="000D5A98">
            <w:pPr>
              <w:spacing w:after="120"/>
              <w:rPr>
                <w:szCs w:val="24"/>
                <w:lang w:eastAsia="zh-CN"/>
              </w:rPr>
            </w:pPr>
            <w:r w:rsidRPr="00DA4080">
              <w:rPr>
                <w:rFonts w:hint="eastAsia"/>
                <w:szCs w:val="24"/>
                <w:lang w:eastAsia="zh-CN"/>
              </w:rPr>
              <w:t>秘书处应澄清上述法律问题，并且理事会应对这些问题进行讨论，促使</w:t>
            </w:r>
            <w:r w:rsidRPr="00DA4080">
              <w:rPr>
                <w:rFonts w:hint="eastAsia"/>
                <w:szCs w:val="24"/>
                <w:lang w:eastAsia="zh-CN"/>
              </w:rPr>
              <w:t>W</w:t>
            </w:r>
            <w:r w:rsidRPr="00DA4080">
              <w:rPr>
                <w:szCs w:val="24"/>
                <w:lang w:eastAsia="zh-CN"/>
              </w:rPr>
              <w:t>TSA-20</w:t>
            </w:r>
            <w:r w:rsidRPr="00DA4080">
              <w:rPr>
                <w:rFonts w:hint="eastAsia"/>
                <w:szCs w:val="24"/>
                <w:lang w:eastAsia="zh-CN"/>
              </w:rPr>
              <w:t>做出决定。</w:t>
            </w:r>
          </w:p>
          <w:p w:rsidR="00F224D7" w:rsidRPr="00DA4080" w:rsidRDefault="00F224D7" w:rsidP="000D5A98">
            <w:pPr>
              <w:pStyle w:val="Table"/>
              <w:keepNext w:val="0"/>
              <w:spacing w:before="120"/>
              <w:rPr>
                <w:rFonts w:ascii="Calibri" w:hAnsi="Calibri"/>
                <w:caps w:val="0"/>
                <w:szCs w:val="24"/>
                <w:lang w:eastAsia="zh-CN"/>
              </w:rPr>
            </w:pPr>
            <w:r w:rsidRPr="00DA4080">
              <w:rPr>
                <w:rFonts w:ascii="Calibri" w:hAnsi="Calibri"/>
                <w:caps w:val="0"/>
                <w:szCs w:val="24"/>
                <w:lang w:eastAsia="zh-CN"/>
              </w:rPr>
              <w:t>____________</w:t>
            </w:r>
          </w:p>
          <w:p w:rsidR="00F224D7" w:rsidRPr="00DA4080" w:rsidRDefault="00F224D7" w:rsidP="000D5A98">
            <w:pPr>
              <w:pStyle w:val="Headingb"/>
              <w:rPr>
                <w:szCs w:val="24"/>
                <w:lang w:eastAsia="zh-CN"/>
              </w:rPr>
            </w:pPr>
            <w:r w:rsidRPr="00DA4080">
              <w:rPr>
                <w:rFonts w:hint="eastAsia"/>
                <w:szCs w:val="24"/>
                <w:lang w:eastAsia="zh-CN"/>
              </w:rPr>
              <w:t>参考文件</w:t>
            </w:r>
          </w:p>
          <w:p w:rsidR="00F224D7" w:rsidRPr="00DA4080" w:rsidRDefault="00F224D7" w:rsidP="000D5A98">
            <w:pPr>
              <w:spacing w:before="0"/>
              <w:rPr>
                <w:i/>
                <w:iCs/>
                <w:szCs w:val="24"/>
                <w:lang w:eastAsia="zh-CN"/>
              </w:rPr>
            </w:pPr>
            <w:r w:rsidRPr="00DA4080">
              <w:rPr>
                <w:rStyle w:val="Hyperlink"/>
                <w:rFonts w:ascii="STKaiti" w:eastAsia="STKaiti" w:hAnsi="STKaiti"/>
                <w:szCs w:val="24"/>
                <w:lang w:eastAsia="zh-CN"/>
              </w:rPr>
              <w:t>PP-18</w:t>
            </w:r>
            <w:r w:rsidRPr="00DA4080">
              <w:rPr>
                <w:rStyle w:val="Hyperlink"/>
                <w:rFonts w:ascii="STKaiti" w:eastAsia="STKaiti" w:hAnsi="STKaiti" w:hint="eastAsia"/>
                <w:szCs w:val="24"/>
                <w:lang w:eastAsia="zh-CN"/>
              </w:rPr>
              <w:t>文件155-</w:t>
            </w:r>
            <w:r w:rsidRPr="00DA4080">
              <w:rPr>
                <w:rStyle w:val="Hyperlink"/>
                <w:rFonts w:ascii="STKaiti" w:eastAsia="STKaiti" w:hAnsi="STKaiti"/>
                <w:szCs w:val="24"/>
                <w:lang w:eastAsia="zh-CN"/>
              </w:rPr>
              <w:t>C</w:t>
            </w:r>
            <w:r w:rsidRPr="00DA4080">
              <w:rPr>
                <w:rFonts w:ascii="STKaiti" w:eastAsia="STKaiti" w:hAnsi="STKaiti"/>
                <w:szCs w:val="24"/>
                <w:lang w:eastAsia="zh-CN"/>
              </w:rPr>
              <w:t>（“</w:t>
            </w:r>
            <w:r w:rsidRPr="00DA4080">
              <w:rPr>
                <w:rFonts w:ascii="STKaiti" w:eastAsia="STKaiti" w:hAnsi="STKaiti" w:hint="eastAsia"/>
                <w:bCs/>
                <w:szCs w:val="24"/>
                <w:lang w:eastAsia="zh-CN"/>
              </w:rPr>
              <w:t>第</w:t>
            </w:r>
            <w:r w:rsidRPr="00DA4080">
              <w:rPr>
                <w:rFonts w:ascii="STKaiti" w:eastAsia="STKaiti" w:hAnsi="STKaiti"/>
                <w:bCs/>
                <w:szCs w:val="24"/>
                <w:lang w:eastAsia="zh-CN"/>
              </w:rPr>
              <w:t>5</w:t>
            </w:r>
            <w:r w:rsidRPr="00DA4080">
              <w:rPr>
                <w:rFonts w:ascii="STKaiti" w:eastAsia="STKaiti" w:hAnsi="STKaiti" w:hint="eastAsia"/>
                <w:bCs/>
                <w:szCs w:val="24"/>
                <w:lang w:eastAsia="zh-CN"/>
              </w:rPr>
              <w:t>委员会主席的报告”</w:t>
            </w:r>
            <w:r w:rsidRPr="00DA4080">
              <w:rPr>
                <w:rFonts w:ascii="STKaiti" w:eastAsia="STKaiti" w:hAnsi="STKaiti"/>
                <w:szCs w:val="24"/>
                <w:lang w:eastAsia="zh-CN"/>
              </w:rPr>
              <w:t>）</w:t>
            </w:r>
            <w:r w:rsidRPr="00DA4080">
              <w:rPr>
                <w:szCs w:val="24"/>
                <w:lang w:eastAsia="zh-CN"/>
              </w:rPr>
              <w:t>；</w:t>
            </w:r>
          </w:p>
          <w:p w:rsidR="00F224D7" w:rsidRPr="00654ECB" w:rsidRDefault="00F224D7" w:rsidP="000D5A98">
            <w:pPr>
              <w:spacing w:before="0"/>
              <w:rPr>
                <w:rFonts w:ascii="STKaiti" w:eastAsia="STKaiti" w:hAnsi="STKaiti"/>
                <w:lang w:eastAsia="zh-CN"/>
              </w:rPr>
            </w:pPr>
            <w:r w:rsidRPr="00DA4080">
              <w:rPr>
                <w:rStyle w:val="Hyperlink"/>
                <w:rFonts w:ascii="STKaiti" w:eastAsia="STKaiti" w:hAnsi="STKaiti"/>
                <w:szCs w:val="24"/>
                <w:lang w:eastAsia="zh-CN"/>
              </w:rPr>
              <w:t>PP-18</w:t>
            </w:r>
            <w:r w:rsidRPr="00DA4080">
              <w:rPr>
                <w:rStyle w:val="Hyperlink"/>
                <w:rFonts w:ascii="STKaiti" w:eastAsia="STKaiti" w:hAnsi="STKaiti" w:hint="eastAsia"/>
                <w:szCs w:val="24"/>
                <w:lang w:eastAsia="zh-CN"/>
              </w:rPr>
              <w:t>文件173-</w:t>
            </w:r>
            <w:r w:rsidRPr="00DA4080">
              <w:rPr>
                <w:rStyle w:val="Hyperlink"/>
                <w:rFonts w:ascii="STKaiti" w:eastAsia="STKaiti" w:hAnsi="STKaiti"/>
                <w:szCs w:val="24"/>
                <w:lang w:eastAsia="zh-CN"/>
              </w:rPr>
              <w:t>C</w:t>
            </w:r>
            <w:r w:rsidRPr="00DA4080">
              <w:rPr>
                <w:rFonts w:ascii="STKaiti" w:eastAsia="STKaiti" w:hAnsi="STKaiti"/>
                <w:szCs w:val="24"/>
                <w:lang w:eastAsia="zh-CN"/>
              </w:rPr>
              <w:t>（“</w:t>
            </w:r>
            <w:r w:rsidRPr="00DA4080">
              <w:rPr>
                <w:rFonts w:ascii="STKaiti" w:eastAsia="STKaiti" w:hAnsi="STKaiti" w:hint="eastAsia"/>
                <w:szCs w:val="24"/>
                <w:lang w:eastAsia="zh-CN"/>
              </w:rPr>
              <w:t>第十六次全体会议会议纪录”</w:t>
            </w:r>
            <w:r w:rsidRPr="00DA4080">
              <w:rPr>
                <w:rFonts w:ascii="STKaiti" w:eastAsia="STKaiti" w:hAnsi="STKaiti"/>
                <w:szCs w:val="24"/>
                <w:lang w:eastAsia="zh-CN"/>
              </w:rPr>
              <w:t>）</w:t>
            </w:r>
          </w:p>
        </w:tc>
      </w:tr>
    </w:tbl>
    <w:p w:rsidR="00F224D7" w:rsidRDefault="00F224D7" w:rsidP="00F224D7">
      <w:pPr>
        <w:rPr>
          <w:b/>
          <w:lang w:eastAsia="zh-CN"/>
        </w:rPr>
      </w:pPr>
      <w:bookmarkStart w:id="2" w:name="dstart"/>
      <w:bookmarkStart w:id="3" w:name="dbreak"/>
      <w:bookmarkEnd w:id="2"/>
      <w:bookmarkEnd w:id="3"/>
    </w:p>
    <w:p w:rsidR="00F224D7" w:rsidRPr="00DA4080" w:rsidRDefault="00F224D7" w:rsidP="00DA4080">
      <w:pPr>
        <w:pStyle w:val="Headingb"/>
        <w:rPr>
          <w:lang w:eastAsia="zh-CN"/>
        </w:rPr>
      </w:pPr>
      <w:r w:rsidRPr="00DA4080">
        <w:rPr>
          <w:rFonts w:hint="eastAsia"/>
          <w:lang w:eastAsia="zh-CN"/>
        </w:rPr>
        <w:t>背景和讨论</w:t>
      </w:r>
    </w:p>
    <w:p w:rsidR="00F224D7" w:rsidRPr="00DA4080" w:rsidRDefault="00F224D7" w:rsidP="00DA4080">
      <w:pPr>
        <w:overflowPunct/>
        <w:autoSpaceDE/>
        <w:autoSpaceDN/>
        <w:adjustRightInd/>
        <w:ind w:firstLineChars="200" w:firstLine="480"/>
        <w:textAlignment w:val="auto"/>
        <w:rPr>
          <w:szCs w:val="24"/>
          <w:lang w:eastAsia="zh-CN"/>
        </w:rPr>
      </w:pPr>
      <w:r w:rsidRPr="00DA4080">
        <w:rPr>
          <w:rFonts w:hint="eastAsia"/>
          <w:iCs/>
          <w:szCs w:val="24"/>
          <w:lang w:eastAsia="zh-CN"/>
        </w:rPr>
        <w:t>通过批准第</w:t>
      </w:r>
      <w:r w:rsidRPr="00DA4080">
        <w:rPr>
          <w:rFonts w:hint="eastAsia"/>
          <w:iCs/>
          <w:szCs w:val="24"/>
          <w:lang w:eastAsia="zh-CN"/>
        </w:rPr>
        <w:t>5</w:t>
      </w:r>
      <w:r w:rsidRPr="00DA4080">
        <w:rPr>
          <w:rFonts w:hint="eastAsia"/>
          <w:iCs/>
          <w:szCs w:val="24"/>
          <w:lang w:eastAsia="zh-CN"/>
        </w:rPr>
        <w:t>委员会（</w:t>
      </w:r>
      <w:r w:rsidRPr="00DA4080">
        <w:rPr>
          <w:iCs/>
          <w:szCs w:val="24"/>
          <w:lang w:val="en-US" w:eastAsia="zh-CN"/>
        </w:rPr>
        <w:t>COM 5</w:t>
      </w:r>
      <w:r w:rsidRPr="00DA4080">
        <w:rPr>
          <w:rFonts w:hint="eastAsia"/>
          <w:iCs/>
          <w:szCs w:val="24"/>
          <w:lang w:eastAsia="zh-CN"/>
        </w:rPr>
        <w:t>）的建议</w:t>
      </w:r>
      <w:r w:rsidRPr="00DA4080">
        <w:rPr>
          <w:rFonts w:hint="eastAsia"/>
          <w:iCs/>
          <w:szCs w:val="24"/>
          <w:lang w:eastAsia="zh-CN"/>
        </w:rPr>
        <w:t>8</w:t>
      </w:r>
      <w:r w:rsidRPr="00DA4080">
        <w:rPr>
          <w:rFonts w:hint="eastAsia"/>
          <w:iCs/>
          <w:szCs w:val="24"/>
          <w:lang w:eastAsia="zh-CN"/>
        </w:rPr>
        <w:t>，</w:t>
      </w:r>
      <w:r w:rsidRPr="00DA4080">
        <w:rPr>
          <w:rFonts w:hint="eastAsia"/>
          <w:iCs/>
          <w:szCs w:val="24"/>
          <w:lang w:eastAsia="zh-CN"/>
        </w:rPr>
        <w:t>P</w:t>
      </w:r>
      <w:r w:rsidRPr="00DA4080">
        <w:rPr>
          <w:iCs/>
          <w:szCs w:val="24"/>
          <w:lang w:eastAsia="zh-CN"/>
        </w:rPr>
        <w:t>P-18</w:t>
      </w:r>
      <w:r w:rsidRPr="00DA4080">
        <w:rPr>
          <w:rFonts w:hint="eastAsia"/>
          <w:iCs/>
          <w:szCs w:val="24"/>
          <w:lang w:eastAsia="zh-CN"/>
        </w:rPr>
        <w:t>请</w:t>
      </w:r>
      <w:r w:rsidR="00DA4080" w:rsidRPr="00DA4080">
        <w:rPr>
          <w:rFonts w:ascii="SimSun" w:hAnsi="SimSun"/>
          <w:iCs/>
          <w:szCs w:val="24"/>
          <w:lang w:eastAsia="zh-CN"/>
        </w:rPr>
        <w:t>“</w:t>
      </w:r>
      <w:r w:rsidRPr="00DA4080">
        <w:rPr>
          <w:rFonts w:ascii="STKaiti" w:eastAsia="STKaiti" w:hAnsi="STKaiti"/>
          <w:iCs/>
          <w:szCs w:val="24"/>
          <w:lang w:eastAsia="zh-CN"/>
        </w:rPr>
        <w:t>……世界电信标准化全会</w:t>
      </w:r>
      <w:r w:rsidRPr="00DA4080">
        <w:rPr>
          <w:rFonts w:ascii="STKaiti" w:eastAsia="STKaiti" w:hAnsi="STKaiti" w:hint="eastAsia"/>
          <w:iCs/>
          <w:szCs w:val="24"/>
          <w:lang w:eastAsia="zh-CN"/>
        </w:rPr>
        <w:t>根据国际电联《组织法》第3条审查并酌情修订世界电信标准化全会第1、第2、第22和第54号决议，以澄清创建、参与和终止研究组区域小组的标准以及电信标准化顾问组在此方面的作用</w:t>
      </w:r>
      <w:r w:rsidR="00DA4080" w:rsidRPr="00DA4080">
        <w:rPr>
          <w:rFonts w:ascii="SimSun" w:hAnsi="SimSun"/>
          <w:iCs/>
          <w:szCs w:val="24"/>
          <w:lang w:eastAsia="zh-CN"/>
        </w:rPr>
        <w:t>”</w:t>
      </w:r>
      <w:r w:rsidRPr="00DA4080">
        <w:rPr>
          <w:rFonts w:hint="eastAsia"/>
          <w:iCs/>
          <w:szCs w:val="24"/>
          <w:lang w:eastAsia="zh-CN"/>
        </w:rPr>
        <w:t>。</w:t>
      </w:r>
    </w:p>
    <w:p w:rsidR="00F224D7" w:rsidRPr="00DA4080" w:rsidRDefault="00F224D7" w:rsidP="00DA4080">
      <w:pPr>
        <w:ind w:firstLineChars="200" w:firstLine="480"/>
        <w:rPr>
          <w:lang w:eastAsia="zh-CN"/>
        </w:rPr>
      </w:pPr>
      <w:r w:rsidRPr="00DA4080">
        <w:rPr>
          <w:rFonts w:hint="eastAsia"/>
          <w:lang w:eastAsia="zh-CN"/>
        </w:rPr>
        <w:t>巴西和加拿大要求就创建</w:t>
      </w:r>
      <w:r w:rsidRPr="00DA4080">
        <w:rPr>
          <w:lang w:eastAsia="zh-CN"/>
        </w:rPr>
        <w:t>ITU-T</w:t>
      </w:r>
      <w:r w:rsidRPr="00DA4080">
        <w:rPr>
          <w:rFonts w:hint="eastAsia"/>
          <w:lang w:eastAsia="zh-CN"/>
        </w:rPr>
        <w:t>研究组区域组（以下简称</w:t>
      </w:r>
      <w:r w:rsidR="00DA4080" w:rsidRPr="00DA4080">
        <w:rPr>
          <w:rFonts w:hint="eastAsia"/>
          <w:lang w:eastAsia="zh-CN"/>
        </w:rPr>
        <w:t>“</w:t>
      </w:r>
      <w:r w:rsidRPr="00DA4080">
        <w:rPr>
          <w:rFonts w:hint="eastAsia"/>
          <w:lang w:eastAsia="zh-CN"/>
        </w:rPr>
        <w:t>RSG</w:t>
      </w:r>
      <w:r w:rsidRPr="00DA4080">
        <w:rPr>
          <w:rFonts w:hint="eastAsia"/>
          <w:lang w:eastAsia="zh-CN"/>
        </w:rPr>
        <w:t>”）的条款和程序；部门成员、部门准成员及学术成员参与这些区域组的形式和权利；和电信标准化顾问组（</w:t>
      </w:r>
      <w:r w:rsidRPr="00DA4080">
        <w:rPr>
          <w:rFonts w:hint="eastAsia"/>
          <w:lang w:eastAsia="zh-CN"/>
        </w:rPr>
        <w:t>TSAG</w:t>
      </w:r>
      <w:r w:rsidRPr="00DA4080">
        <w:rPr>
          <w:rFonts w:hint="eastAsia"/>
          <w:lang w:eastAsia="zh-CN"/>
        </w:rPr>
        <w:t>）在这些问题上的作用做出法律澄清。</w:t>
      </w:r>
    </w:p>
    <w:p w:rsidR="00F224D7" w:rsidRPr="00DA4080" w:rsidRDefault="00F224D7" w:rsidP="00DA4080">
      <w:pPr>
        <w:ind w:firstLineChars="200" w:firstLine="480"/>
        <w:rPr>
          <w:lang w:eastAsia="zh-CN"/>
        </w:rPr>
      </w:pPr>
      <w:r w:rsidRPr="00DA4080">
        <w:rPr>
          <w:rFonts w:hint="eastAsia"/>
          <w:lang w:eastAsia="zh-CN"/>
        </w:rPr>
        <w:t>巴西和加拿大基本上提出了两个问题</w:t>
      </w:r>
      <w:r w:rsidRPr="00DA4080">
        <w:rPr>
          <w:rFonts w:hint="eastAsia"/>
          <w:lang w:eastAsia="zh-CN"/>
        </w:rPr>
        <w:t>，并且要求秘书处提供法律和程序方面</w:t>
      </w:r>
      <w:r w:rsidRPr="00DA4080">
        <w:rPr>
          <w:rFonts w:hint="eastAsia"/>
          <w:lang w:val="en-US" w:eastAsia="zh-CN"/>
        </w:rPr>
        <w:t>的</w:t>
      </w:r>
      <w:r w:rsidRPr="00DA4080">
        <w:rPr>
          <w:rFonts w:hint="eastAsia"/>
          <w:lang w:eastAsia="zh-CN"/>
        </w:rPr>
        <w:t>澄清：</w:t>
      </w:r>
    </w:p>
    <w:p w:rsidR="00F224D7" w:rsidRPr="00DA4080" w:rsidRDefault="00F224D7" w:rsidP="00DA4080">
      <w:pPr>
        <w:pStyle w:val="Headingb"/>
        <w:rPr>
          <w:lang w:eastAsia="zh-CN"/>
        </w:rPr>
      </w:pPr>
      <w:r w:rsidRPr="00DA4080">
        <w:rPr>
          <w:rFonts w:hint="eastAsia"/>
          <w:lang w:eastAsia="zh-CN"/>
        </w:rPr>
        <w:t>问题</w:t>
      </w:r>
      <w:r w:rsidRPr="00DA4080">
        <w:rPr>
          <w:rFonts w:hint="eastAsia"/>
          <w:lang w:eastAsia="zh-CN"/>
        </w:rPr>
        <w:t>1</w:t>
      </w:r>
      <w:r w:rsidRPr="00DA4080">
        <w:rPr>
          <w:rFonts w:hint="eastAsia"/>
          <w:lang w:eastAsia="zh-CN"/>
        </w:rPr>
        <w:t>：</w:t>
      </w:r>
      <w:r w:rsidRPr="00DA4080">
        <w:rPr>
          <w:rFonts w:hint="eastAsia"/>
          <w:lang w:eastAsia="zh-CN"/>
        </w:rPr>
        <w:t>TSAG</w:t>
      </w:r>
      <w:r w:rsidRPr="00DA4080">
        <w:rPr>
          <w:rFonts w:hint="eastAsia"/>
          <w:lang w:eastAsia="zh-CN"/>
        </w:rPr>
        <w:t>是否应审查并核可</w:t>
      </w:r>
      <w:r w:rsidRPr="00DA4080">
        <w:rPr>
          <w:rFonts w:hint="eastAsia"/>
          <w:lang w:eastAsia="zh-CN"/>
        </w:rPr>
        <w:t>I</w:t>
      </w:r>
      <w:r w:rsidRPr="00DA4080">
        <w:rPr>
          <w:lang w:eastAsia="zh-CN"/>
        </w:rPr>
        <w:t>TU-T</w:t>
      </w:r>
      <w:r w:rsidRPr="00DA4080">
        <w:rPr>
          <w:rFonts w:hint="eastAsia"/>
          <w:lang w:eastAsia="zh-CN"/>
        </w:rPr>
        <w:t>研究组对创建</w:t>
      </w:r>
      <w:r w:rsidRPr="00DA4080">
        <w:rPr>
          <w:rFonts w:hint="eastAsia"/>
          <w:lang w:eastAsia="zh-CN"/>
        </w:rPr>
        <w:t>RSG</w:t>
      </w:r>
      <w:r w:rsidRPr="00DA4080">
        <w:rPr>
          <w:rFonts w:hint="eastAsia"/>
          <w:lang w:eastAsia="zh-CN"/>
        </w:rPr>
        <w:t>的批准？这项程序的法律基础是什么？</w:t>
      </w:r>
    </w:p>
    <w:p w:rsidR="00F224D7" w:rsidRPr="00DA4080" w:rsidRDefault="00F224D7" w:rsidP="00DA4080">
      <w:pPr>
        <w:ind w:firstLineChars="200" w:firstLine="480"/>
        <w:rPr>
          <w:lang w:eastAsia="zh-CN"/>
        </w:rPr>
      </w:pPr>
      <w:r w:rsidRPr="00DA4080">
        <w:rPr>
          <w:rFonts w:hint="eastAsia"/>
          <w:lang w:eastAsia="zh-CN"/>
        </w:rPr>
        <w:t>巴西和加拿大找到了促成和推动创建</w:t>
      </w:r>
      <w:r w:rsidRPr="00DA4080">
        <w:rPr>
          <w:rFonts w:hint="eastAsia"/>
          <w:lang w:eastAsia="zh-CN"/>
        </w:rPr>
        <w:t>RSG</w:t>
      </w:r>
      <w:r w:rsidRPr="00DA4080">
        <w:rPr>
          <w:rFonts w:hint="eastAsia"/>
          <w:lang w:eastAsia="zh-CN"/>
        </w:rPr>
        <w:t>的两份主要法律文书：</w:t>
      </w:r>
    </w:p>
    <w:p w:rsidR="00F224D7" w:rsidRPr="00DA4080" w:rsidRDefault="00DA4080" w:rsidP="00DA4080">
      <w:pPr>
        <w:pStyle w:val="enumlev1"/>
        <w:rPr>
          <w:lang w:eastAsia="zh-CN"/>
        </w:rPr>
      </w:pPr>
      <w:r>
        <w:rPr>
          <w:lang w:eastAsia="zh-CN"/>
        </w:rPr>
        <w:t>•</w:t>
      </w:r>
      <w:r>
        <w:rPr>
          <w:lang w:eastAsia="zh-CN"/>
        </w:rPr>
        <w:tab/>
      </w:r>
      <w:r w:rsidR="00F224D7" w:rsidRPr="00DA4080">
        <w:rPr>
          <w:rFonts w:hint="eastAsia"/>
          <w:lang w:eastAsia="zh-CN"/>
        </w:rPr>
        <w:t>第</w:t>
      </w:r>
      <w:r w:rsidR="00F224D7" w:rsidRPr="00DA4080">
        <w:rPr>
          <w:rFonts w:hint="eastAsia"/>
          <w:lang w:eastAsia="zh-CN"/>
        </w:rPr>
        <w:t>123</w:t>
      </w:r>
      <w:r w:rsidR="00F224D7" w:rsidRPr="00DA4080">
        <w:rPr>
          <w:rFonts w:hint="eastAsia"/>
          <w:lang w:eastAsia="zh-CN"/>
        </w:rPr>
        <w:t>号决议（</w:t>
      </w:r>
      <w:r w:rsidR="00F224D7" w:rsidRPr="00DA4080">
        <w:rPr>
          <w:rFonts w:hint="eastAsia"/>
          <w:lang w:eastAsia="zh-CN"/>
        </w:rPr>
        <w:t>2018</w:t>
      </w:r>
      <w:r w:rsidR="00F224D7" w:rsidRPr="00DA4080">
        <w:rPr>
          <w:rFonts w:hint="eastAsia"/>
          <w:lang w:eastAsia="zh-CN"/>
        </w:rPr>
        <w:t>年，迪拜，修订版）：请成员国创建</w:t>
      </w:r>
      <w:r w:rsidR="00F224D7" w:rsidRPr="00DA4080">
        <w:rPr>
          <w:rFonts w:hint="eastAsia"/>
          <w:lang w:eastAsia="zh-CN"/>
        </w:rPr>
        <w:t>R</w:t>
      </w:r>
      <w:r w:rsidR="00F224D7" w:rsidRPr="00DA4080">
        <w:rPr>
          <w:lang w:eastAsia="zh-CN"/>
        </w:rPr>
        <w:t>SG</w:t>
      </w:r>
      <w:r w:rsidR="00F224D7" w:rsidRPr="00DA4080">
        <w:rPr>
          <w:lang w:eastAsia="zh-CN"/>
        </w:rPr>
        <w:t>；</w:t>
      </w:r>
    </w:p>
    <w:p w:rsidR="00F224D7" w:rsidRPr="00DA4080" w:rsidRDefault="00DA4080" w:rsidP="00DA4080">
      <w:pPr>
        <w:pStyle w:val="enumlev1"/>
        <w:rPr>
          <w:lang w:val="en-US" w:eastAsia="zh-CN"/>
        </w:rPr>
      </w:pPr>
      <w:r>
        <w:rPr>
          <w:lang w:eastAsia="zh-CN"/>
        </w:rPr>
        <w:t>•</w:t>
      </w:r>
      <w:r>
        <w:rPr>
          <w:lang w:eastAsia="zh-CN"/>
        </w:rPr>
        <w:tab/>
      </w:r>
      <w:r w:rsidR="00F224D7" w:rsidRPr="00DA4080">
        <w:rPr>
          <w:lang w:eastAsia="zh-CN"/>
        </w:rPr>
        <w:t>WTSA</w:t>
      </w:r>
      <w:r w:rsidR="00F224D7" w:rsidRPr="00DA4080">
        <w:rPr>
          <w:rFonts w:hint="eastAsia"/>
          <w:lang w:val="en-US" w:eastAsia="zh-CN"/>
        </w:rPr>
        <w:t>第</w:t>
      </w:r>
      <w:r w:rsidR="00F224D7" w:rsidRPr="00DA4080">
        <w:rPr>
          <w:rFonts w:hint="eastAsia"/>
          <w:lang w:val="en-US" w:eastAsia="zh-CN"/>
        </w:rPr>
        <w:t>54</w:t>
      </w:r>
      <w:r w:rsidR="00F224D7" w:rsidRPr="00DA4080">
        <w:rPr>
          <w:rFonts w:hint="eastAsia"/>
          <w:lang w:val="en-US" w:eastAsia="zh-CN"/>
        </w:rPr>
        <w:t>号决议（</w:t>
      </w:r>
      <w:r w:rsidR="00F224D7" w:rsidRPr="00DA4080">
        <w:rPr>
          <w:rFonts w:ascii="Segoe UI" w:hAnsi="Segoe UI" w:cs="Segoe UI"/>
          <w:color w:val="000000"/>
          <w:lang w:eastAsia="zh-CN"/>
        </w:rPr>
        <w:t>2016</w:t>
      </w:r>
      <w:r w:rsidR="00F224D7" w:rsidRPr="00DA4080">
        <w:rPr>
          <w:rFonts w:ascii="Segoe UI" w:hAnsi="Segoe UI" w:cs="Segoe UI"/>
          <w:color w:val="000000"/>
          <w:lang w:eastAsia="zh-CN"/>
        </w:rPr>
        <w:t>年，哈马马特，修订</w:t>
      </w:r>
      <w:r w:rsidR="00F224D7" w:rsidRPr="00DA4080">
        <w:rPr>
          <w:rFonts w:ascii="Microsoft YaHei" w:eastAsia="Microsoft YaHei" w:hAnsi="Microsoft YaHei" w:cs="Microsoft YaHei" w:hint="eastAsia"/>
          <w:color w:val="000000"/>
          <w:lang w:eastAsia="zh-CN"/>
        </w:rPr>
        <w:t>版</w:t>
      </w:r>
      <w:r w:rsidR="00F224D7" w:rsidRPr="00DA4080">
        <w:rPr>
          <w:rFonts w:hint="eastAsia"/>
          <w:lang w:val="en-US" w:eastAsia="zh-CN"/>
        </w:rPr>
        <w:t>）：</w:t>
      </w:r>
      <w:proofErr w:type="spellStart"/>
      <w:r w:rsidR="00F224D7" w:rsidRPr="00DA4080">
        <w:rPr>
          <w:rFonts w:hint="eastAsia"/>
          <w:lang w:val="en-US" w:eastAsia="zh-CN"/>
        </w:rPr>
        <w:t>确立</w:t>
      </w:r>
      <w:r w:rsidR="00F224D7" w:rsidRPr="00DA4080">
        <w:rPr>
          <w:rFonts w:hint="eastAsia"/>
          <w:lang w:val="en-US" w:eastAsia="zh-CN"/>
        </w:rPr>
        <w:t>R</w:t>
      </w:r>
      <w:r w:rsidR="00F224D7" w:rsidRPr="00DA4080">
        <w:rPr>
          <w:lang w:val="en-US" w:eastAsia="zh-CN"/>
        </w:rPr>
        <w:t>SG</w:t>
      </w:r>
      <w:r w:rsidR="00F224D7" w:rsidRPr="00DA4080">
        <w:rPr>
          <w:rFonts w:hint="eastAsia"/>
          <w:lang w:val="en-US" w:eastAsia="zh-CN"/>
        </w:rPr>
        <w:t>的机制和部分程序</w:t>
      </w:r>
      <w:proofErr w:type="spellEnd"/>
      <w:r w:rsidR="00F224D7" w:rsidRPr="00DA4080">
        <w:rPr>
          <w:rFonts w:hint="eastAsia"/>
          <w:lang w:val="en-US" w:eastAsia="zh-CN"/>
        </w:rPr>
        <w:t>。</w:t>
      </w:r>
    </w:p>
    <w:p w:rsidR="00F224D7" w:rsidRPr="00DA4080" w:rsidRDefault="00F224D7" w:rsidP="00DA4080">
      <w:pPr>
        <w:overflowPunct/>
        <w:autoSpaceDE/>
        <w:autoSpaceDN/>
        <w:adjustRightInd/>
        <w:ind w:firstLineChars="200" w:firstLine="480"/>
        <w:textAlignment w:val="auto"/>
        <w:rPr>
          <w:szCs w:val="24"/>
          <w:lang w:val="en-US" w:eastAsia="zh-CN"/>
        </w:rPr>
      </w:pPr>
      <w:r w:rsidRPr="00DA4080">
        <w:rPr>
          <w:rFonts w:hint="eastAsia"/>
          <w:szCs w:val="24"/>
          <w:lang w:val="en-US" w:eastAsia="zh-CN"/>
        </w:rPr>
        <w:t>第</w:t>
      </w:r>
      <w:r w:rsidRPr="00DA4080">
        <w:rPr>
          <w:rFonts w:hint="eastAsia"/>
          <w:szCs w:val="24"/>
          <w:lang w:val="en-US" w:eastAsia="zh-CN"/>
        </w:rPr>
        <w:t>54</w:t>
      </w:r>
      <w:r w:rsidRPr="00DA4080">
        <w:rPr>
          <w:rFonts w:hint="eastAsia"/>
          <w:szCs w:val="24"/>
          <w:lang w:val="en-US" w:eastAsia="zh-CN"/>
        </w:rPr>
        <w:t>号决议请各区域及其成员国</w:t>
      </w:r>
      <w:r w:rsidR="00DA4080" w:rsidRPr="00DA4080">
        <w:rPr>
          <w:rFonts w:ascii="SimSun" w:hAnsi="SimSun" w:hint="eastAsia"/>
          <w:szCs w:val="24"/>
          <w:lang w:val="en-US" w:eastAsia="zh-CN"/>
        </w:rPr>
        <w:t>“</w:t>
      </w:r>
      <w:r w:rsidRPr="00DA4080">
        <w:rPr>
          <w:rFonts w:ascii="STKaiti" w:eastAsia="STKaiti" w:hAnsi="STKaiti" w:hint="eastAsia"/>
          <w:szCs w:val="24"/>
          <w:lang w:val="en-US" w:eastAsia="zh-CN"/>
        </w:rPr>
        <w:t>为这些区域组拟定职责范围和工作方法草案，有待与其研究领域相关的主管研究组批准</w:t>
      </w:r>
      <w:r w:rsidRPr="00DA4080">
        <w:rPr>
          <w:rFonts w:hint="eastAsia"/>
          <w:szCs w:val="24"/>
          <w:lang w:val="en-US" w:eastAsia="zh-CN"/>
        </w:rPr>
        <w:t>”。但是，并未明确哪个机构有能力有效地创建</w:t>
      </w:r>
      <w:r w:rsidRPr="00DA4080">
        <w:rPr>
          <w:rFonts w:hint="eastAsia"/>
          <w:szCs w:val="24"/>
          <w:lang w:val="en-US" w:eastAsia="zh-CN"/>
        </w:rPr>
        <w:t>RSG</w:t>
      </w:r>
      <w:r w:rsidRPr="00DA4080">
        <w:rPr>
          <w:rFonts w:hint="eastAsia"/>
          <w:szCs w:val="24"/>
          <w:lang w:val="en-US" w:eastAsia="zh-CN"/>
        </w:rPr>
        <w:t>。</w:t>
      </w:r>
    </w:p>
    <w:p w:rsidR="00F224D7" w:rsidRPr="00DA4080" w:rsidRDefault="00F224D7" w:rsidP="00F224D7">
      <w:pPr>
        <w:overflowPunct/>
        <w:autoSpaceDE/>
        <w:autoSpaceDN/>
        <w:adjustRightInd/>
        <w:spacing w:before="0"/>
        <w:textAlignment w:val="auto"/>
        <w:rPr>
          <w:szCs w:val="24"/>
          <w:lang w:val="en-US" w:eastAsia="zh-CN"/>
        </w:rPr>
      </w:pPr>
    </w:p>
    <w:p w:rsidR="00F224D7" w:rsidRPr="00DA4080" w:rsidRDefault="00F224D7" w:rsidP="00DA4080">
      <w:pPr>
        <w:overflowPunct/>
        <w:autoSpaceDE/>
        <w:autoSpaceDN/>
        <w:adjustRightInd/>
        <w:spacing w:before="0"/>
        <w:ind w:firstLineChars="200" w:firstLine="480"/>
        <w:textAlignment w:val="auto"/>
        <w:rPr>
          <w:szCs w:val="24"/>
          <w:lang w:eastAsia="zh-CN"/>
        </w:rPr>
      </w:pPr>
      <w:r w:rsidRPr="00DA4080">
        <w:rPr>
          <w:rFonts w:hint="eastAsia"/>
          <w:szCs w:val="24"/>
          <w:lang w:eastAsia="zh-CN"/>
        </w:rPr>
        <w:lastRenderedPageBreak/>
        <w:t>巴西和加拿大理解，确实没有必要在第</w:t>
      </w:r>
      <w:r w:rsidRPr="00DA4080">
        <w:rPr>
          <w:rFonts w:hint="eastAsia"/>
          <w:szCs w:val="24"/>
          <w:lang w:eastAsia="zh-CN"/>
        </w:rPr>
        <w:t>54</w:t>
      </w:r>
      <w:r w:rsidRPr="00DA4080">
        <w:rPr>
          <w:rFonts w:hint="eastAsia"/>
          <w:szCs w:val="24"/>
          <w:lang w:eastAsia="zh-CN"/>
        </w:rPr>
        <w:t>号决议中确定有能力有效创建</w:t>
      </w:r>
      <w:r w:rsidRPr="00DA4080">
        <w:rPr>
          <w:rFonts w:hint="eastAsia"/>
          <w:szCs w:val="24"/>
          <w:lang w:eastAsia="zh-CN"/>
        </w:rPr>
        <w:t>RSG</w:t>
      </w:r>
      <w:r w:rsidRPr="00DA4080">
        <w:rPr>
          <w:rFonts w:hint="eastAsia"/>
          <w:szCs w:val="24"/>
          <w:lang w:eastAsia="zh-CN"/>
        </w:rPr>
        <w:t>的机构，因为</w:t>
      </w:r>
      <w:r w:rsidRPr="00DA4080">
        <w:rPr>
          <w:rFonts w:hint="eastAsia"/>
          <w:szCs w:val="24"/>
          <w:lang w:val="en-US" w:eastAsia="zh-CN"/>
        </w:rPr>
        <w:t>以下</w:t>
      </w:r>
      <w:r w:rsidRPr="00DA4080">
        <w:rPr>
          <w:rFonts w:hint="eastAsia"/>
          <w:szCs w:val="24"/>
          <w:lang w:eastAsia="zh-CN"/>
        </w:rPr>
        <w:t>四份现行法律文书已将这一能力指派给</w:t>
      </w:r>
      <w:r w:rsidRPr="00DA4080">
        <w:rPr>
          <w:rFonts w:hint="eastAsia"/>
          <w:szCs w:val="24"/>
          <w:lang w:eastAsia="zh-CN"/>
        </w:rPr>
        <w:t>TSA</w:t>
      </w:r>
      <w:r w:rsidRPr="00DA4080">
        <w:rPr>
          <w:szCs w:val="24"/>
          <w:lang w:eastAsia="zh-CN"/>
        </w:rPr>
        <w:t>G</w:t>
      </w:r>
      <w:r w:rsidRPr="00DA4080">
        <w:rPr>
          <w:szCs w:val="24"/>
          <w:lang w:eastAsia="zh-CN"/>
        </w:rPr>
        <w:t>：</w:t>
      </w:r>
    </w:p>
    <w:p w:rsidR="00F224D7" w:rsidRPr="00DA4080" w:rsidRDefault="00DA4080" w:rsidP="00DA4080">
      <w:pPr>
        <w:pStyle w:val="enumlev1"/>
        <w:rPr>
          <w:lang w:val="en-US" w:eastAsia="zh-CN"/>
        </w:rPr>
      </w:pPr>
      <w:r w:rsidRPr="00DA4080">
        <w:rPr>
          <w:lang w:val="en-US" w:eastAsia="zh-CN"/>
        </w:rPr>
        <w:t>•</w:t>
      </w:r>
      <w:r>
        <w:rPr>
          <w:lang w:val="en-US" w:eastAsia="zh-CN"/>
        </w:rPr>
        <w:tab/>
      </w:r>
      <w:r w:rsidR="00F224D7" w:rsidRPr="00DA4080">
        <w:rPr>
          <w:rFonts w:hint="eastAsia"/>
          <w:lang w:val="en-US" w:eastAsia="zh-CN"/>
        </w:rPr>
        <w:t>国际电联《公约》第</w:t>
      </w:r>
      <w:r w:rsidR="00F224D7" w:rsidRPr="00DA4080">
        <w:rPr>
          <w:rFonts w:hint="eastAsia"/>
          <w:lang w:val="en-US" w:eastAsia="zh-CN"/>
        </w:rPr>
        <w:t>14A</w:t>
      </w:r>
      <w:r w:rsidR="00F224D7" w:rsidRPr="00DA4080">
        <w:rPr>
          <w:rFonts w:hint="eastAsia"/>
          <w:lang w:val="en-US" w:eastAsia="zh-CN"/>
        </w:rPr>
        <w:t>条第</w:t>
      </w:r>
      <w:r w:rsidR="00F224D7" w:rsidRPr="00DA4080">
        <w:rPr>
          <w:rFonts w:hint="eastAsia"/>
          <w:lang w:val="en-US" w:eastAsia="zh-CN"/>
        </w:rPr>
        <w:t>197</w:t>
      </w:r>
      <w:r w:rsidR="00F224D7" w:rsidRPr="00DA4080">
        <w:rPr>
          <w:lang w:val="en-US" w:eastAsia="zh-CN"/>
        </w:rPr>
        <w:t>C</w:t>
      </w:r>
      <w:r w:rsidR="00F224D7" w:rsidRPr="00DA4080">
        <w:rPr>
          <w:rFonts w:hint="eastAsia"/>
          <w:lang w:val="en-US" w:eastAsia="zh-CN"/>
        </w:rPr>
        <w:t>款：确定</w:t>
      </w:r>
      <w:r w:rsidR="00F224D7" w:rsidRPr="00DA4080">
        <w:rPr>
          <w:rFonts w:hint="eastAsia"/>
          <w:lang w:val="en-US" w:eastAsia="zh-CN"/>
        </w:rPr>
        <w:t>T</w:t>
      </w:r>
      <w:r w:rsidR="00F224D7" w:rsidRPr="00DA4080">
        <w:rPr>
          <w:lang w:val="en-US" w:eastAsia="zh-CN"/>
        </w:rPr>
        <w:t>SAG</w:t>
      </w:r>
      <w:r w:rsidR="00F224D7" w:rsidRPr="00DA4080">
        <w:rPr>
          <w:rFonts w:hint="eastAsia"/>
          <w:lang w:val="en-US" w:eastAsia="zh-CN"/>
        </w:rPr>
        <w:t>的作用；</w:t>
      </w:r>
    </w:p>
    <w:p w:rsidR="00F224D7" w:rsidRPr="00DA4080" w:rsidRDefault="00DA4080" w:rsidP="00DA4080">
      <w:pPr>
        <w:pStyle w:val="enumlev1"/>
        <w:rPr>
          <w:lang w:eastAsia="zh-CN"/>
        </w:rPr>
      </w:pPr>
      <w:r w:rsidRPr="00DA4080">
        <w:rPr>
          <w:lang w:val="en-US" w:eastAsia="zh-CN"/>
        </w:rPr>
        <w:t>•</w:t>
      </w:r>
      <w:r>
        <w:rPr>
          <w:lang w:val="en-US" w:eastAsia="zh-CN"/>
        </w:rPr>
        <w:tab/>
      </w:r>
      <w:r w:rsidR="00F224D7" w:rsidRPr="00DA4080">
        <w:rPr>
          <w:rFonts w:hint="eastAsia"/>
          <w:lang w:val="en-US" w:eastAsia="zh-CN"/>
        </w:rPr>
        <w:t>WTSA</w:t>
      </w:r>
      <w:r w:rsidR="00F224D7" w:rsidRPr="00DA4080">
        <w:rPr>
          <w:rFonts w:hint="eastAsia"/>
          <w:lang w:val="en-US" w:eastAsia="zh-CN"/>
        </w:rPr>
        <w:t>第</w:t>
      </w:r>
      <w:r w:rsidR="00F224D7" w:rsidRPr="00DA4080">
        <w:rPr>
          <w:rFonts w:hint="eastAsia"/>
          <w:lang w:val="en-US" w:eastAsia="zh-CN"/>
        </w:rPr>
        <w:t>1</w:t>
      </w:r>
      <w:r w:rsidR="00F224D7" w:rsidRPr="00DA4080">
        <w:rPr>
          <w:rFonts w:hint="eastAsia"/>
          <w:lang w:val="en-US" w:eastAsia="zh-CN"/>
        </w:rPr>
        <w:t>号决议（</w:t>
      </w:r>
      <w:r w:rsidR="00F224D7" w:rsidRPr="00DA4080">
        <w:rPr>
          <w:rFonts w:hint="eastAsia"/>
          <w:lang w:val="en-US" w:eastAsia="zh-CN"/>
        </w:rPr>
        <w:t>2016</w:t>
      </w:r>
      <w:r w:rsidR="00F224D7" w:rsidRPr="00DA4080">
        <w:rPr>
          <w:rFonts w:hint="eastAsia"/>
          <w:lang w:val="en-US" w:eastAsia="zh-CN"/>
        </w:rPr>
        <w:t>年，哈马马特，修订版）：</w:t>
      </w:r>
      <w:proofErr w:type="spellStart"/>
      <w:r w:rsidR="00F224D7" w:rsidRPr="00DA4080">
        <w:rPr>
          <w:rFonts w:hint="eastAsia"/>
          <w:lang w:val="en-US" w:eastAsia="zh-CN"/>
        </w:rPr>
        <w:t>详细定义</w:t>
      </w:r>
      <w:r w:rsidR="00F224D7" w:rsidRPr="00DA4080">
        <w:rPr>
          <w:rFonts w:hint="eastAsia"/>
          <w:lang w:val="en-US" w:eastAsia="zh-CN"/>
        </w:rPr>
        <w:t>R</w:t>
      </w:r>
      <w:r w:rsidR="00F224D7" w:rsidRPr="00DA4080">
        <w:rPr>
          <w:lang w:val="en-US" w:eastAsia="zh-CN"/>
        </w:rPr>
        <w:t>SG</w:t>
      </w:r>
      <w:r w:rsidR="00F224D7" w:rsidRPr="00DA4080">
        <w:rPr>
          <w:rFonts w:hint="eastAsia"/>
          <w:lang w:val="en-US" w:eastAsia="zh-CN"/>
        </w:rPr>
        <w:t>的创建和</w:t>
      </w:r>
      <w:r w:rsidR="00F224D7" w:rsidRPr="00DA4080">
        <w:rPr>
          <w:rFonts w:hint="eastAsia"/>
          <w:lang w:val="en-US" w:eastAsia="zh-CN"/>
        </w:rPr>
        <w:t>T</w:t>
      </w:r>
      <w:r w:rsidR="00F224D7" w:rsidRPr="00DA4080">
        <w:rPr>
          <w:lang w:val="en-US" w:eastAsia="zh-CN"/>
        </w:rPr>
        <w:t>SAG</w:t>
      </w:r>
      <w:r w:rsidR="00F224D7" w:rsidRPr="00DA4080">
        <w:rPr>
          <w:rFonts w:hint="eastAsia"/>
          <w:lang w:val="en-US" w:eastAsia="zh-CN"/>
        </w:rPr>
        <w:t>的作用</w:t>
      </w:r>
      <w:proofErr w:type="spellEnd"/>
      <w:r w:rsidR="00F224D7" w:rsidRPr="00DA4080">
        <w:rPr>
          <w:rFonts w:hint="eastAsia"/>
          <w:lang w:val="en-US" w:eastAsia="zh-CN"/>
        </w:rPr>
        <w:t>；</w:t>
      </w:r>
    </w:p>
    <w:p w:rsidR="00F224D7" w:rsidRPr="00DA4080" w:rsidRDefault="00DA4080" w:rsidP="00DA4080">
      <w:pPr>
        <w:pStyle w:val="enumlev1"/>
        <w:rPr>
          <w:lang w:eastAsia="zh-CN"/>
        </w:rPr>
      </w:pPr>
      <w:r w:rsidRPr="00DA4080">
        <w:rPr>
          <w:lang w:val="en-US" w:eastAsia="zh-CN"/>
        </w:rPr>
        <w:t>•</w:t>
      </w:r>
      <w:r>
        <w:rPr>
          <w:lang w:val="en-US" w:eastAsia="zh-CN"/>
        </w:rPr>
        <w:tab/>
      </w:r>
      <w:r w:rsidR="00F224D7" w:rsidRPr="00DA4080">
        <w:rPr>
          <w:rFonts w:hint="eastAsia"/>
          <w:lang w:val="en-US" w:eastAsia="zh-CN"/>
        </w:rPr>
        <w:t>WTSA</w:t>
      </w:r>
      <w:r w:rsidR="00F224D7" w:rsidRPr="00DA4080">
        <w:rPr>
          <w:rFonts w:hint="eastAsia"/>
          <w:lang w:val="en-US" w:eastAsia="zh-CN"/>
        </w:rPr>
        <w:t>第</w:t>
      </w:r>
      <w:r w:rsidR="00F224D7" w:rsidRPr="00DA4080">
        <w:rPr>
          <w:rFonts w:hint="eastAsia"/>
          <w:lang w:val="en-US" w:eastAsia="zh-CN"/>
        </w:rPr>
        <w:t>22</w:t>
      </w:r>
      <w:r w:rsidR="00F224D7" w:rsidRPr="00DA4080">
        <w:rPr>
          <w:rFonts w:hint="eastAsia"/>
          <w:lang w:val="en-US" w:eastAsia="zh-CN"/>
        </w:rPr>
        <w:t>号决议（</w:t>
      </w:r>
      <w:r w:rsidR="00F224D7" w:rsidRPr="00DA4080">
        <w:rPr>
          <w:rFonts w:hint="eastAsia"/>
          <w:lang w:val="en-US" w:eastAsia="zh-CN"/>
        </w:rPr>
        <w:t>2016</w:t>
      </w:r>
      <w:r w:rsidR="00F224D7" w:rsidRPr="00DA4080">
        <w:rPr>
          <w:rFonts w:hint="eastAsia"/>
          <w:lang w:val="en-US" w:eastAsia="zh-CN"/>
        </w:rPr>
        <w:t>年，哈马马特，修订版）：</w:t>
      </w:r>
      <w:proofErr w:type="spellStart"/>
      <w:r w:rsidR="00F224D7" w:rsidRPr="00DA4080">
        <w:rPr>
          <w:rFonts w:hint="eastAsia"/>
          <w:lang w:val="en-US" w:eastAsia="zh-CN"/>
        </w:rPr>
        <w:t>定义</w:t>
      </w:r>
      <w:r w:rsidR="00F224D7" w:rsidRPr="00DA4080">
        <w:rPr>
          <w:rFonts w:hint="eastAsia"/>
          <w:lang w:val="en-US" w:eastAsia="zh-CN"/>
        </w:rPr>
        <w:t>TSAG</w:t>
      </w:r>
      <w:r w:rsidR="00F224D7" w:rsidRPr="00DA4080">
        <w:rPr>
          <w:rFonts w:hint="eastAsia"/>
          <w:lang w:val="en-US" w:eastAsia="zh-CN"/>
        </w:rPr>
        <w:t>在两届</w:t>
      </w:r>
      <w:r w:rsidR="00F224D7" w:rsidRPr="00DA4080">
        <w:rPr>
          <w:rFonts w:hint="eastAsia"/>
          <w:lang w:val="en-US" w:eastAsia="zh-CN"/>
        </w:rPr>
        <w:t>WTSA</w:t>
      </w:r>
      <w:r w:rsidR="00F224D7" w:rsidRPr="00DA4080">
        <w:rPr>
          <w:rFonts w:hint="eastAsia"/>
          <w:lang w:val="en-US" w:eastAsia="zh-CN"/>
        </w:rPr>
        <w:t>之间的作用</w:t>
      </w:r>
      <w:proofErr w:type="spellEnd"/>
      <w:r w:rsidR="00F224D7" w:rsidRPr="00DA4080">
        <w:rPr>
          <w:rFonts w:hint="eastAsia"/>
          <w:lang w:val="en-US" w:eastAsia="zh-CN"/>
        </w:rPr>
        <w:t>；</w:t>
      </w:r>
    </w:p>
    <w:p w:rsidR="00F224D7" w:rsidRPr="00DA4080" w:rsidRDefault="00DA4080" w:rsidP="00DA4080">
      <w:pPr>
        <w:pStyle w:val="enumlev1"/>
        <w:rPr>
          <w:lang w:val="en-US" w:eastAsia="zh-CN"/>
        </w:rPr>
      </w:pPr>
      <w:r w:rsidRPr="00DA4080">
        <w:rPr>
          <w:lang w:val="en-US" w:eastAsia="zh-CN"/>
        </w:rPr>
        <w:t>•</w:t>
      </w:r>
      <w:r>
        <w:rPr>
          <w:lang w:val="en-US" w:eastAsia="zh-CN"/>
        </w:rPr>
        <w:tab/>
      </w:r>
      <w:r w:rsidR="00F224D7" w:rsidRPr="00DA4080">
        <w:rPr>
          <w:rFonts w:hint="eastAsia"/>
          <w:lang w:val="en-US" w:eastAsia="zh-CN"/>
        </w:rPr>
        <w:t>ITU-T A.1</w:t>
      </w:r>
      <w:r w:rsidR="00F224D7" w:rsidRPr="00DA4080">
        <w:rPr>
          <w:rFonts w:hint="eastAsia"/>
          <w:lang w:val="en-US" w:eastAsia="zh-CN"/>
        </w:rPr>
        <w:t>建议书（</w:t>
      </w:r>
      <w:r w:rsidR="00F224D7" w:rsidRPr="00DA4080">
        <w:rPr>
          <w:rFonts w:hint="eastAsia"/>
          <w:lang w:val="en-US" w:eastAsia="zh-CN"/>
        </w:rPr>
        <w:t>10/2016</w:t>
      </w:r>
      <w:r w:rsidR="00F224D7" w:rsidRPr="00DA4080">
        <w:rPr>
          <w:rFonts w:hint="eastAsia"/>
          <w:lang w:val="en-US" w:eastAsia="zh-CN"/>
        </w:rPr>
        <w:t>）：</w:t>
      </w:r>
      <w:proofErr w:type="spellStart"/>
      <w:r w:rsidR="00F224D7" w:rsidRPr="00DA4080">
        <w:rPr>
          <w:rFonts w:hint="eastAsia"/>
          <w:lang w:val="en-US" w:eastAsia="zh-CN"/>
        </w:rPr>
        <w:t>定义研究组的工作方法和</w:t>
      </w:r>
      <w:r w:rsidR="00F224D7" w:rsidRPr="00DA4080">
        <w:rPr>
          <w:rFonts w:hint="eastAsia"/>
          <w:lang w:val="en-US" w:eastAsia="zh-CN"/>
        </w:rPr>
        <w:t>T</w:t>
      </w:r>
      <w:r w:rsidR="00F224D7" w:rsidRPr="00DA4080">
        <w:rPr>
          <w:lang w:val="en-US" w:eastAsia="zh-CN"/>
        </w:rPr>
        <w:t>SAG</w:t>
      </w:r>
      <w:r w:rsidR="00F224D7" w:rsidRPr="00DA4080">
        <w:rPr>
          <w:rFonts w:hint="eastAsia"/>
          <w:lang w:val="en-US" w:eastAsia="zh-CN"/>
        </w:rPr>
        <w:t>的作用</w:t>
      </w:r>
      <w:proofErr w:type="spellEnd"/>
      <w:r w:rsidR="00F224D7" w:rsidRPr="00DA4080">
        <w:rPr>
          <w:rFonts w:hint="eastAsia"/>
          <w:lang w:val="en-US" w:eastAsia="zh-CN"/>
        </w:rPr>
        <w:t>。</w:t>
      </w:r>
    </w:p>
    <w:p w:rsidR="00F224D7" w:rsidRPr="009C03AB" w:rsidRDefault="00F224D7" w:rsidP="009C03AB">
      <w:pPr>
        <w:overflowPunct/>
        <w:autoSpaceDE/>
        <w:autoSpaceDN/>
        <w:adjustRightInd/>
        <w:spacing w:after="120"/>
        <w:ind w:firstLineChars="200" w:firstLine="480"/>
        <w:textAlignment w:val="auto"/>
        <w:rPr>
          <w:rFonts w:asciiTheme="minorHAnsi" w:hAnsiTheme="minorHAnsi" w:cstheme="minorHAnsi"/>
          <w:szCs w:val="24"/>
          <w:lang w:val="en-US" w:eastAsia="zh-CN"/>
        </w:rPr>
      </w:pPr>
      <w:r w:rsidRPr="009C03AB">
        <w:rPr>
          <w:rFonts w:asciiTheme="minorHAnsi" w:hAnsiTheme="minorHAnsi" w:cstheme="minorHAnsi"/>
          <w:szCs w:val="24"/>
          <w:lang w:val="en-US" w:eastAsia="zh-CN"/>
        </w:rPr>
        <w:t>国际电联《公约》和</w:t>
      </w:r>
      <w:r w:rsidRPr="009C03AB">
        <w:rPr>
          <w:rFonts w:asciiTheme="minorHAnsi" w:hAnsiTheme="minorHAnsi" w:cstheme="minorHAnsi"/>
          <w:szCs w:val="24"/>
          <w:lang w:val="en-US" w:eastAsia="zh-CN"/>
        </w:rPr>
        <w:t>WTSA</w:t>
      </w:r>
      <w:r w:rsidRPr="009C03AB">
        <w:rPr>
          <w:rFonts w:asciiTheme="minorHAnsi" w:hAnsiTheme="minorHAnsi" w:cstheme="minorHAnsi"/>
          <w:szCs w:val="24"/>
          <w:lang w:val="en-US" w:eastAsia="zh-CN"/>
        </w:rPr>
        <w:t>第</w:t>
      </w:r>
      <w:r w:rsidRPr="009C03AB">
        <w:rPr>
          <w:rFonts w:asciiTheme="minorHAnsi" w:hAnsiTheme="minorHAnsi" w:cstheme="minorHAnsi"/>
          <w:szCs w:val="24"/>
          <w:lang w:val="en-US" w:eastAsia="zh-CN"/>
        </w:rPr>
        <w:t>1</w:t>
      </w:r>
      <w:r w:rsidRPr="009C03AB">
        <w:rPr>
          <w:rFonts w:asciiTheme="minorHAnsi" w:hAnsiTheme="minorHAnsi" w:cstheme="minorHAnsi"/>
          <w:szCs w:val="24"/>
          <w:lang w:val="en-US" w:eastAsia="zh-CN"/>
        </w:rPr>
        <w:t>号决议规定</w:t>
      </w:r>
      <w:r w:rsidRPr="009C03AB">
        <w:rPr>
          <w:rFonts w:asciiTheme="minorHAnsi" w:hAnsiTheme="minorHAnsi" w:cstheme="minorHAnsi"/>
          <w:szCs w:val="24"/>
          <w:lang w:val="en-US" w:eastAsia="zh-CN"/>
        </w:rPr>
        <w:t>TSAG</w:t>
      </w:r>
      <w:r w:rsidRPr="009C03AB">
        <w:rPr>
          <w:rFonts w:asciiTheme="minorHAnsi" w:hAnsiTheme="minorHAnsi" w:cstheme="minorHAnsi"/>
          <w:szCs w:val="24"/>
          <w:lang w:val="en-US" w:eastAsia="zh-CN"/>
        </w:rPr>
        <w:t>应</w:t>
      </w:r>
      <w:r w:rsidR="009C03AB" w:rsidRPr="009C03AB">
        <w:rPr>
          <w:rFonts w:ascii="SimSun" w:hAnsi="SimSun" w:cstheme="minorHAnsi"/>
          <w:szCs w:val="24"/>
          <w:lang w:val="en-US" w:eastAsia="zh-CN"/>
        </w:rPr>
        <w:t>“</w:t>
      </w:r>
      <w:r w:rsidRPr="009C03AB">
        <w:rPr>
          <w:rFonts w:asciiTheme="minorHAnsi" w:eastAsia="STKaiti" w:hAnsiTheme="minorHAnsi" w:cstheme="minorHAnsi"/>
          <w:b/>
          <w:szCs w:val="24"/>
          <w:lang w:val="en-US" w:eastAsia="zh-CN"/>
        </w:rPr>
        <w:t>审议</w:t>
      </w:r>
      <w:r w:rsidRPr="009C03AB">
        <w:rPr>
          <w:rFonts w:asciiTheme="minorHAnsi" w:eastAsia="STKaiti" w:hAnsiTheme="minorHAnsi" w:cstheme="minorHAnsi"/>
          <w:szCs w:val="24"/>
          <w:lang w:val="en-US" w:eastAsia="zh-CN"/>
        </w:rPr>
        <w:t>ITU-T</w:t>
      </w:r>
      <w:r w:rsidRPr="009C03AB">
        <w:rPr>
          <w:rFonts w:asciiTheme="minorHAnsi" w:eastAsia="STKaiti" w:hAnsiTheme="minorHAnsi" w:cstheme="minorHAnsi"/>
          <w:szCs w:val="24"/>
          <w:lang w:val="en-US" w:eastAsia="zh-CN"/>
        </w:rPr>
        <w:t>活动的优先等级、计划、</w:t>
      </w:r>
      <w:r w:rsidRPr="009C03AB">
        <w:rPr>
          <w:rFonts w:asciiTheme="minorHAnsi" w:eastAsia="STKaiti" w:hAnsiTheme="minorHAnsi" w:cstheme="minorHAnsi"/>
          <w:b/>
          <w:szCs w:val="24"/>
          <w:lang w:val="en-US" w:eastAsia="zh-CN"/>
        </w:rPr>
        <w:t>运作、财务问题与战略</w:t>
      </w:r>
      <w:r w:rsidR="009C03AB" w:rsidRPr="009C03AB">
        <w:rPr>
          <w:rFonts w:ascii="SimSun" w:hAnsi="SimSun" w:cstheme="minorHAnsi"/>
          <w:szCs w:val="24"/>
          <w:lang w:val="en-US" w:eastAsia="zh-CN"/>
        </w:rPr>
        <w:t>”</w:t>
      </w:r>
      <w:r w:rsidRPr="009C03AB">
        <w:rPr>
          <w:rFonts w:asciiTheme="minorHAnsi" w:eastAsiaTheme="minorEastAsia" w:hAnsiTheme="minorHAnsi" w:cstheme="minorHAnsi"/>
          <w:szCs w:val="24"/>
          <w:lang w:val="en-US" w:eastAsia="zh-CN"/>
        </w:rPr>
        <w:t>；和</w:t>
      </w:r>
      <w:r w:rsidR="009C03AB" w:rsidRPr="009C03AB">
        <w:rPr>
          <w:rFonts w:ascii="SimSun" w:hAnsi="SimSun" w:cstheme="minorHAnsi"/>
          <w:szCs w:val="24"/>
          <w:lang w:val="en-US" w:eastAsia="zh-CN"/>
        </w:rPr>
        <w:t>“</w:t>
      </w:r>
      <w:r w:rsidRPr="009C03AB">
        <w:rPr>
          <w:rFonts w:asciiTheme="minorHAnsi" w:eastAsia="STKaiti" w:hAnsiTheme="minorHAnsi" w:cstheme="minorHAnsi"/>
          <w:szCs w:val="24"/>
          <w:lang w:val="en-US" w:eastAsia="zh-CN"/>
        </w:rPr>
        <w:t>为各研究组的工作提供</w:t>
      </w:r>
      <w:r w:rsidRPr="009C03AB">
        <w:rPr>
          <w:rFonts w:asciiTheme="minorHAnsi" w:eastAsia="STKaiti" w:hAnsiTheme="minorHAnsi" w:cstheme="minorHAnsi"/>
          <w:b/>
          <w:szCs w:val="24"/>
          <w:lang w:val="en-US" w:eastAsia="zh-CN"/>
        </w:rPr>
        <w:t>指导原则</w:t>
      </w:r>
      <w:r w:rsidR="009C03AB" w:rsidRPr="009C03AB">
        <w:rPr>
          <w:rFonts w:ascii="SimSun" w:hAnsi="SimSun" w:cstheme="minorHAnsi"/>
          <w:szCs w:val="24"/>
          <w:lang w:val="en-US" w:eastAsia="zh-CN"/>
        </w:rPr>
        <w:t>”</w:t>
      </w:r>
      <w:r w:rsidRPr="009C03AB">
        <w:rPr>
          <w:rFonts w:asciiTheme="minorHAnsi" w:hAnsiTheme="minorHAnsi" w:cstheme="minorHAnsi"/>
          <w:szCs w:val="24"/>
          <w:lang w:val="en-US" w:eastAsia="zh-CN"/>
        </w:rPr>
        <w:t>。此外，第</w:t>
      </w:r>
      <w:r w:rsidRPr="009C03AB">
        <w:rPr>
          <w:rFonts w:asciiTheme="minorHAnsi" w:hAnsiTheme="minorHAnsi" w:cstheme="minorHAnsi"/>
          <w:szCs w:val="24"/>
          <w:lang w:val="en-US" w:eastAsia="zh-CN"/>
        </w:rPr>
        <w:t>1</w:t>
      </w:r>
      <w:r w:rsidRPr="009C03AB">
        <w:rPr>
          <w:rFonts w:asciiTheme="minorHAnsi" w:hAnsiTheme="minorHAnsi" w:cstheme="minorHAnsi"/>
          <w:szCs w:val="24"/>
          <w:lang w:val="en-US" w:eastAsia="zh-CN"/>
        </w:rPr>
        <w:t>号决议确定</w:t>
      </w:r>
      <w:r w:rsidR="009C03AB" w:rsidRPr="009C03AB">
        <w:rPr>
          <w:rFonts w:ascii="SimSun" w:hAnsi="SimSun" w:cstheme="minorHAnsi"/>
          <w:szCs w:val="24"/>
          <w:lang w:val="en-US" w:eastAsia="zh-CN"/>
        </w:rPr>
        <w:t>“</w:t>
      </w:r>
      <w:r w:rsidRPr="009C03AB">
        <w:rPr>
          <w:rFonts w:asciiTheme="minorHAnsi" w:eastAsia="STKaiti" w:hAnsiTheme="minorHAnsi" w:cstheme="minorHAnsi"/>
          <w:szCs w:val="24"/>
          <w:lang w:val="en-US" w:eastAsia="zh-CN"/>
        </w:rPr>
        <w:t>可在研究组内成立区域组，以处理对国际电联某个区域内一组成员国和部门成员有特殊意义的课题或开展研究（第</w:t>
      </w:r>
      <w:r w:rsidRPr="009C03AB">
        <w:rPr>
          <w:rFonts w:asciiTheme="minorHAnsi" w:eastAsia="STKaiti" w:hAnsiTheme="minorHAnsi" w:cstheme="minorHAnsi"/>
          <w:szCs w:val="24"/>
          <w:lang w:val="en-US" w:eastAsia="zh-CN"/>
        </w:rPr>
        <w:t>2.1.4</w:t>
      </w:r>
      <w:r w:rsidRPr="009C03AB">
        <w:rPr>
          <w:rFonts w:asciiTheme="minorHAnsi" w:eastAsia="STKaiti" w:hAnsiTheme="minorHAnsi" w:cstheme="minorHAnsi"/>
          <w:szCs w:val="24"/>
          <w:lang w:val="en-US" w:eastAsia="zh-CN"/>
        </w:rPr>
        <w:t>款）</w:t>
      </w:r>
      <w:r w:rsidR="009C03AB" w:rsidRPr="009C03AB">
        <w:rPr>
          <w:rFonts w:ascii="SimSun" w:hAnsi="SimSun" w:cstheme="minorHAnsi"/>
          <w:szCs w:val="24"/>
          <w:lang w:val="en-US" w:eastAsia="zh-CN"/>
        </w:rPr>
        <w:t>”</w:t>
      </w:r>
      <w:r w:rsidRPr="009C03AB">
        <w:rPr>
          <w:rFonts w:asciiTheme="minorHAnsi" w:hAnsiTheme="minorHAnsi" w:cstheme="minorHAnsi"/>
          <w:szCs w:val="24"/>
          <w:lang w:val="en-US" w:eastAsia="zh-CN"/>
        </w:rPr>
        <w:t>。</w:t>
      </w:r>
    </w:p>
    <w:p w:rsidR="00F224D7" w:rsidRPr="009C03AB" w:rsidRDefault="00F224D7" w:rsidP="009C03AB">
      <w:pPr>
        <w:overflowPunct/>
        <w:autoSpaceDE/>
        <w:autoSpaceDN/>
        <w:adjustRightInd/>
        <w:spacing w:after="120"/>
        <w:ind w:firstLineChars="200" w:firstLine="480"/>
        <w:textAlignment w:val="auto"/>
        <w:rPr>
          <w:rFonts w:asciiTheme="minorHAnsi" w:hAnsiTheme="minorHAnsi" w:cstheme="minorHAnsi"/>
          <w:szCs w:val="24"/>
          <w:lang w:val="en-US" w:eastAsia="zh-CN"/>
        </w:rPr>
      </w:pPr>
      <w:r w:rsidRPr="009C03AB">
        <w:rPr>
          <w:rFonts w:asciiTheme="minorHAnsi" w:hAnsiTheme="minorHAnsi" w:cstheme="minorHAnsi"/>
          <w:szCs w:val="24"/>
          <w:lang w:eastAsia="zh-CN"/>
        </w:rPr>
        <w:t>鉴于</w:t>
      </w:r>
      <w:r w:rsidRPr="009C03AB">
        <w:rPr>
          <w:rFonts w:asciiTheme="minorHAnsi" w:hAnsiTheme="minorHAnsi" w:cstheme="minorHAnsi"/>
          <w:szCs w:val="24"/>
          <w:lang w:val="en-US" w:eastAsia="zh-CN"/>
        </w:rPr>
        <w:t>创建</w:t>
      </w:r>
      <w:r w:rsidRPr="009C03AB">
        <w:rPr>
          <w:rFonts w:asciiTheme="minorHAnsi" w:hAnsiTheme="minorHAnsi" w:cstheme="minorHAnsi"/>
          <w:szCs w:val="24"/>
          <w:lang w:val="en-US" w:eastAsia="zh-CN"/>
        </w:rPr>
        <w:t>RSG</w:t>
      </w:r>
      <w:r w:rsidRPr="009C03AB">
        <w:rPr>
          <w:rFonts w:asciiTheme="minorHAnsi" w:hAnsiTheme="minorHAnsi" w:cstheme="minorHAnsi"/>
          <w:szCs w:val="24"/>
          <w:lang w:val="en-US" w:eastAsia="zh-CN"/>
        </w:rPr>
        <w:t>显然会对国际电联及其成员带来运作、财务和战略方面的影响，巴西和加拿大理解，作为</w:t>
      </w:r>
      <w:r w:rsidRPr="009C03AB">
        <w:rPr>
          <w:rFonts w:asciiTheme="minorHAnsi" w:hAnsiTheme="minorHAnsi" w:cstheme="minorHAnsi"/>
          <w:szCs w:val="24"/>
          <w:lang w:val="en-US" w:eastAsia="zh-CN"/>
        </w:rPr>
        <w:t>ITU-T</w:t>
      </w:r>
      <w:r w:rsidRPr="009C03AB">
        <w:rPr>
          <w:rFonts w:asciiTheme="minorHAnsi" w:hAnsiTheme="minorHAnsi" w:cstheme="minorHAnsi"/>
          <w:szCs w:val="24"/>
          <w:lang w:val="en-US" w:eastAsia="zh-CN"/>
        </w:rPr>
        <w:t>顾问机构的</w:t>
      </w:r>
      <w:r w:rsidRPr="009C03AB">
        <w:rPr>
          <w:rFonts w:asciiTheme="minorHAnsi" w:hAnsiTheme="minorHAnsi" w:cstheme="minorHAnsi"/>
          <w:szCs w:val="24"/>
          <w:lang w:val="en-US" w:eastAsia="zh-CN"/>
        </w:rPr>
        <w:t>TSAG</w:t>
      </w:r>
      <w:r w:rsidRPr="009C03AB">
        <w:rPr>
          <w:rFonts w:asciiTheme="minorHAnsi" w:hAnsiTheme="minorHAnsi" w:cstheme="minorHAnsi"/>
          <w:szCs w:val="24"/>
          <w:lang w:val="en-US" w:eastAsia="zh-CN"/>
        </w:rPr>
        <w:t>应审查研究组对新</w:t>
      </w:r>
      <w:r w:rsidRPr="009C03AB">
        <w:rPr>
          <w:rFonts w:asciiTheme="minorHAnsi" w:hAnsiTheme="minorHAnsi" w:cstheme="minorHAnsi"/>
          <w:szCs w:val="24"/>
          <w:lang w:val="en-US" w:eastAsia="zh-CN"/>
        </w:rPr>
        <w:t>RSG</w:t>
      </w:r>
      <w:r w:rsidRPr="009C03AB">
        <w:rPr>
          <w:rFonts w:asciiTheme="minorHAnsi" w:hAnsiTheme="minorHAnsi" w:cstheme="minorHAnsi"/>
          <w:szCs w:val="24"/>
          <w:lang w:val="en-US" w:eastAsia="zh-CN"/>
        </w:rPr>
        <w:t>职责范围和工作方法的批准情况，并且对</w:t>
      </w:r>
      <w:r w:rsidRPr="009C03AB">
        <w:rPr>
          <w:rFonts w:asciiTheme="minorHAnsi" w:hAnsiTheme="minorHAnsi" w:cstheme="minorHAnsi"/>
          <w:szCs w:val="24"/>
          <w:lang w:val="en-US" w:eastAsia="zh-CN"/>
        </w:rPr>
        <w:t>RSG</w:t>
      </w:r>
      <w:r w:rsidRPr="009C03AB">
        <w:rPr>
          <w:rFonts w:asciiTheme="minorHAnsi" w:hAnsiTheme="minorHAnsi" w:cstheme="minorHAnsi"/>
          <w:szCs w:val="24"/>
          <w:lang w:val="en-US" w:eastAsia="zh-CN"/>
        </w:rPr>
        <w:t>的有效创建拥有最终决定权。</w:t>
      </w:r>
    </w:p>
    <w:p w:rsidR="00F224D7" w:rsidRPr="009C03AB" w:rsidRDefault="00F224D7" w:rsidP="009C03AB">
      <w:pPr>
        <w:overflowPunct/>
        <w:autoSpaceDE/>
        <w:autoSpaceDN/>
        <w:adjustRightInd/>
        <w:spacing w:after="120"/>
        <w:ind w:firstLineChars="200" w:firstLine="480"/>
        <w:textAlignment w:val="auto"/>
        <w:rPr>
          <w:rFonts w:asciiTheme="minorHAnsi" w:hAnsiTheme="minorHAnsi" w:cstheme="minorHAnsi"/>
          <w:szCs w:val="24"/>
          <w:lang w:val="en-US" w:eastAsia="zh-CN"/>
        </w:rPr>
      </w:pPr>
      <w:r w:rsidRPr="009C03AB">
        <w:rPr>
          <w:rFonts w:asciiTheme="minorHAnsi" w:hAnsiTheme="minorHAnsi" w:cstheme="minorHAnsi"/>
          <w:szCs w:val="24"/>
          <w:lang w:val="en-US" w:eastAsia="zh-CN"/>
        </w:rPr>
        <w:t>此外，第</w:t>
      </w:r>
      <w:r w:rsidRPr="009C03AB">
        <w:rPr>
          <w:rFonts w:asciiTheme="minorHAnsi" w:hAnsiTheme="minorHAnsi" w:cstheme="minorHAnsi"/>
          <w:szCs w:val="24"/>
          <w:lang w:val="en-US" w:eastAsia="zh-CN"/>
        </w:rPr>
        <w:t>54</w:t>
      </w:r>
      <w:r w:rsidRPr="009C03AB">
        <w:rPr>
          <w:rFonts w:asciiTheme="minorHAnsi" w:hAnsiTheme="minorHAnsi" w:cstheme="minorHAnsi"/>
          <w:szCs w:val="24"/>
          <w:lang w:val="en-US" w:eastAsia="zh-CN"/>
        </w:rPr>
        <w:t>号决议做出决议</w:t>
      </w:r>
      <w:r w:rsidR="009C03AB" w:rsidRPr="009C03AB">
        <w:rPr>
          <w:rFonts w:ascii="SimSun" w:hAnsi="SimSun" w:cstheme="minorHAnsi"/>
          <w:szCs w:val="24"/>
          <w:lang w:val="en-US" w:eastAsia="zh-CN"/>
        </w:rPr>
        <w:t>“</w:t>
      </w:r>
      <w:r w:rsidRPr="009C03AB">
        <w:rPr>
          <w:rFonts w:asciiTheme="minorHAnsi" w:eastAsia="STKaiti" w:hAnsiTheme="minorHAnsi" w:cstheme="minorHAnsi"/>
          <w:szCs w:val="24"/>
          <w:lang w:val="en-US" w:eastAsia="zh-CN"/>
        </w:rPr>
        <w:t>在逐案研究的基础上，支持</w:t>
      </w:r>
      <w:r w:rsidRPr="009C03AB">
        <w:rPr>
          <w:rFonts w:asciiTheme="minorHAnsi" w:eastAsia="STKaiti" w:hAnsiTheme="minorHAnsi" w:cstheme="minorHAnsi"/>
          <w:b/>
          <w:szCs w:val="24"/>
          <w:lang w:val="en-US" w:eastAsia="zh-CN"/>
        </w:rPr>
        <w:t>协调</w:t>
      </w:r>
      <w:r w:rsidRPr="009C03AB">
        <w:rPr>
          <w:rFonts w:asciiTheme="minorHAnsi" w:eastAsia="STKaiti" w:hAnsiTheme="minorHAnsi" w:cstheme="minorHAnsi"/>
          <w:szCs w:val="24"/>
          <w:lang w:val="en-US" w:eastAsia="zh-CN"/>
        </w:rPr>
        <w:t>创建</w:t>
      </w:r>
      <w:r w:rsidRPr="009C03AB">
        <w:rPr>
          <w:rFonts w:asciiTheme="minorHAnsi" w:eastAsia="STKaiti" w:hAnsiTheme="minorHAnsi" w:cstheme="minorHAnsi"/>
          <w:szCs w:val="24"/>
          <w:lang w:val="en-US" w:eastAsia="zh-CN"/>
        </w:rPr>
        <w:t>ITU-T</w:t>
      </w:r>
      <w:r w:rsidRPr="009C03AB">
        <w:rPr>
          <w:rFonts w:asciiTheme="minorHAnsi" w:eastAsia="STKaiti" w:hAnsiTheme="minorHAnsi" w:cstheme="minorHAnsi"/>
          <w:szCs w:val="24"/>
          <w:lang w:val="en-US" w:eastAsia="zh-CN"/>
        </w:rPr>
        <w:t>研究组的区域组</w:t>
      </w:r>
      <w:r w:rsidR="009C03AB" w:rsidRPr="009C03AB">
        <w:rPr>
          <w:rFonts w:ascii="SimSun" w:hAnsi="SimSun" w:cstheme="minorHAnsi"/>
          <w:szCs w:val="24"/>
          <w:lang w:val="en-US" w:eastAsia="zh-CN"/>
        </w:rPr>
        <w:t>”</w:t>
      </w:r>
      <w:r w:rsidRPr="009C03AB">
        <w:rPr>
          <w:rFonts w:asciiTheme="minorHAnsi" w:hAnsiTheme="minorHAnsi" w:cstheme="minorHAnsi"/>
          <w:szCs w:val="24"/>
          <w:lang w:val="en-US" w:eastAsia="zh-CN"/>
        </w:rPr>
        <w:t>。至关重要的是对这句话中</w:t>
      </w:r>
      <w:r w:rsidR="009C03AB" w:rsidRPr="009C03AB">
        <w:rPr>
          <w:rFonts w:ascii="SimSun" w:hAnsi="SimSun" w:cstheme="minorHAnsi"/>
          <w:szCs w:val="24"/>
          <w:lang w:val="en-US" w:eastAsia="zh-CN"/>
        </w:rPr>
        <w:t>“</w:t>
      </w:r>
      <w:r w:rsidRPr="009C03AB">
        <w:rPr>
          <w:rFonts w:asciiTheme="minorHAnsi" w:eastAsia="STKaiti" w:hAnsiTheme="minorHAnsi" w:cstheme="minorHAnsi"/>
          <w:b/>
          <w:szCs w:val="24"/>
          <w:lang w:val="en-US" w:eastAsia="zh-CN"/>
        </w:rPr>
        <w:t>协调</w:t>
      </w:r>
      <w:r w:rsidR="009C03AB" w:rsidRPr="009C03AB">
        <w:rPr>
          <w:rFonts w:ascii="SimSun" w:hAnsi="SimSun" w:cstheme="minorHAnsi"/>
          <w:szCs w:val="24"/>
          <w:lang w:val="en-US" w:eastAsia="zh-CN"/>
        </w:rPr>
        <w:t>”</w:t>
      </w:r>
      <w:r w:rsidRPr="009C03AB">
        <w:rPr>
          <w:rFonts w:asciiTheme="minorHAnsi" w:hAnsiTheme="minorHAnsi" w:cstheme="minorHAnsi"/>
          <w:szCs w:val="24"/>
          <w:lang w:val="en-US" w:eastAsia="zh-CN"/>
        </w:rPr>
        <w:t>的含义建立共识。在巴西和加拿大看来，这意味着创建</w:t>
      </w:r>
      <w:r w:rsidRPr="009C03AB">
        <w:rPr>
          <w:rFonts w:asciiTheme="minorHAnsi" w:hAnsiTheme="minorHAnsi" w:cstheme="minorHAnsi"/>
          <w:szCs w:val="24"/>
          <w:lang w:val="en-US" w:eastAsia="zh-CN"/>
        </w:rPr>
        <w:t>RSG</w:t>
      </w:r>
      <w:r w:rsidRPr="009C03AB">
        <w:rPr>
          <w:rFonts w:asciiTheme="minorHAnsi" w:hAnsiTheme="minorHAnsi" w:cstheme="minorHAnsi"/>
          <w:szCs w:val="24"/>
          <w:lang w:val="en-US" w:eastAsia="zh-CN"/>
        </w:rPr>
        <w:t>应为</w:t>
      </w:r>
      <w:r w:rsidRPr="009C03AB">
        <w:rPr>
          <w:rFonts w:asciiTheme="minorHAnsi" w:hAnsiTheme="minorHAnsi" w:cstheme="minorHAnsi"/>
          <w:szCs w:val="24"/>
          <w:lang w:val="en-US" w:eastAsia="zh-CN"/>
        </w:rPr>
        <w:t>ITU-T</w:t>
      </w:r>
      <w:r w:rsidRPr="009C03AB">
        <w:rPr>
          <w:rFonts w:asciiTheme="minorHAnsi" w:hAnsiTheme="minorHAnsi" w:cstheme="minorHAnsi"/>
          <w:szCs w:val="24"/>
          <w:lang w:val="en-US" w:eastAsia="zh-CN"/>
        </w:rPr>
        <w:t>研究组、</w:t>
      </w:r>
      <w:r w:rsidRPr="009C03AB">
        <w:rPr>
          <w:rFonts w:asciiTheme="minorHAnsi" w:hAnsiTheme="minorHAnsi" w:cstheme="minorHAnsi"/>
          <w:szCs w:val="24"/>
          <w:lang w:val="en-US" w:eastAsia="zh-CN"/>
        </w:rPr>
        <w:t>TSAG</w:t>
      </w:r>
      <w:r w:rsidRPr="009C03AB">
        <w:rPr>
          <w:rFonts w:asciiTheme="minorHAnsi" w:hAnsiTheme="minorHAnsi" w:cstheme="minorHAnsi"/>
          <w:szCs w:val="24"/>
          <w:lang w:val="en-US" w:eastAsia="zh-CN"/>
        </w:rPr>
        <w:t>、相关区域组织及相关成员国和部门成员的密切协调努力。</w:t>
      </w:r>
    </w:p>
    <w:p w:rsidR="00F224D7" w:rsidRPr="00DA4080" w:rsidRDefault="00F224D7" w:rsidP="009C03AB">
      <w:pPr>
        <w:overflowPunct/>
        <w:autoSpaceDE/>
        <w:autoSpaceDN/>
        <w:adjustRightInd/>
        <w:spacing w:after="120"/>
        <w:ind w:firstLineChars="200" w:firstLine="480"/>
        <w:textAlignment w:val="auto"/>
        <w:rPr>
          <w:szCs w:val="24"/>
          <w:lang w:val="en-US" w:eastAsia="zh-CN"/>
        </w:rPr>
      </w:pPr>
      <w:r w:rsidRPr="009C03AB">
        <w:rPr>
          <w:rFonts w:asciiTheme="minorHAnsi" w:hAnsiTheme="minorHAnsi" w:cstheme="minorHAnsi"/>
          <w:szCs w:val="24"/>
          <w:lang w:val="en-US" w:eastAsia="zh-CN"/>
        </w:rPr>
        <w:t>最后，</w:t>
      </w:r>
      <w:r w:rsidRPr="009C03AB">
        <w:rPr>
          <w:rFonts w:asciiTheme="minorHAnsi" w:hAnsiTheme="minorHAnsi" w:cstheme="minorHAnsi"/>
          <w:szCs w:val="24"/>
          <w:lang w:val="en-US" w:eastAsia="zh-CN"/>
        </w:rPr>
        <w:t>ITU-T A.1</w:t>
      </w:r>
      <w:r w:rsidRPr="009C03AB">
        <w:rPr>
          <w:rFonts w:asciiTheme="minorHAnsi" w:hAnsiTheme="minorHAnsi" w:cstheme="minorHAnsi"/>
          <w:szCs w:val="24"/>
          <w:lang w:val="en-US" w:eastAsia="zh-CN"/>
        </w:rPr>
        <w:t>建议书中载有批准和创建联合协调活动的详细程序，其中</w:t>
      </w:r>
      <w:r w:rsidRPr="009C03AB">
        <w:rPr>
          <w:rFonts w:asciiTheme="minorHAnsi" w:hAnsiTheme="minorHAnsi" w:cstheme="minorHAnsi"/>
          <w:szCs w:val="24"/>
          <w:lang w:val="en-US" w:eastAsia="zh-CN"/>
        </w:rPr>
        <w:t>TSAG</w:t>
      </w:r>
      <w:r w:rsidRPr="009C03AB">
        <w:rPr>
          <w:rFonts w:asciiTheme="minorHAnsi" w:hAnsiTheme="minorHAnsi" w:cstheme="minorHAnsi"/>
          <w:szCs w:val="24"/>
          <w:lang w:val="en-US" w:eastAsia="zh-CN"/>
        </w:rPr>
        <w:t>发挥核心作用。巴西和加拿大认为，应为</w:t>
      </w:r>
      <w:r w:rsidRPr="009C03AB">
        <w:rPr>
          <w:rFonts w:asciiTheme="minorHAnsi" w:hAnsiTheme="minorHAnsi" w:cstheme="minorHAnsi"/>
          <w:szCs w:val="24"/>
          <w:lang w:val="en-US" w:eastAsia="zh-CN"/>
        </w:rPr>
        <w:t>RSG</w:t>
      </w:r>
      <w:r w:rsidRPr="009C03AB">
        <w:rPr>
          <w:rFonts w:asciiTheme="minorHAnsi" w:hAnsiTheme="minorHAnsi" w:cstheme="minorHAnsi"/>
          <w:szCs w:val="24"/>
          <w:lang w:val="en-US" w:eastAsia="zh-CN"/>
        </w:rPr>
        <w:t>的创建制定类似的详细程序，并且</w:t>
      </w:r>
      <w:r w:rsidRPr="009C03AB">
        <w:rPr>
          <w:rFonts w:asciiTheme="minorHAnsi" w:hAnsiTheme="minorHAnsi" w:cstheme="minorHAnsi"/>
          <w:szCs w:val="24"/>
          <w:lang w:val="en-US" w:eastAsia="zh-CN"/>
        </w:rPr>
        <w:t>TSAG</w:t>
      </w:r>
      <w:r w:rsidRPr="009C03AB">
        <w:rPr>
          <w:rFonts w:asciiTheme="minorHAnsi" w:hAnsiTheme="minorHAnsi" w:cstheme="minorHAnsi"/>
          <w:szCs w:val="24"/>
          <w:lang w:val="en-US" w:eastAsia="zh-CN"/>
        </w:rPr>
        <w:t>对</w:t>
      </w:r>
      <w:r w:rsidRPr="009C03AB">
        <w:rPr>
          <w:rFonts w:asciiTheme="minorHAnsi" w:hAnsiTheme="minorHAnsi" w:cstheme="minorHAnsi"/>
          <w:szCs w:val="24"/>
          <w:lang w:val="en-US" w:eastAsia="zh-CN"/>
        </w:rPr>
        <w:t>RSG</w:t>
      </w:r>
      <w:r w:rsidRPr="009C03AB">
        <w:rPr>
          <w:rFonts w:asciiTheme="minorHAnsi" w:hAnsiTheme="minorHAnsi" w:cstheme="minorHAnsi"/>
          <w:szCs w:val="24"/>
          <w:lang w:val="en-US" w:eastAsia="zh-CN"/>
        </w:rPr>
        <w:t>的有效创建拥有最终决定权。</w:t>
      </w:r>
    </w:p>
    <w:p w:rsidR="00F224D7" w:rsidRPr="00DA4080" w:rsidRDefault="00F224D7" w:rsidP="009C03AB">
      <w:pPr>
        <w:pStyle w:val="Headingb"/>
        <w:rPr>
          <w:lang w:eastAsia="zh-CN"/>
        </w:rPr>
      </w:pPr>
      <w:r w:rsidRPr="00DA4080">
        <w:rPr>
          <w:rFonts w:hint="eastAsia"/>
          <w:lang w:eastAsia="zh-CN"/>
        </w:rPr>
        <w:t>问题</w:t>
      </w:r>
      <w:r w:rsidRPr="00DA4080">
        <w:rPr>
          <w:rFonts w:hint="eastAsia"/>
          <w:lang w:eastAsia="zh-CN"/>
        </w:rPr>
        <w:t>2</w:t>
      </w:r>
      <w:r w:rsidRPr="00DA4080">
        <w:rPr>
          <w:rFonts w:hint="eastAsia"/>
          <w:lang w:eastAsia="zh-CN"/>
        </w:rPr>
        <w:t>：国际电联《组织法》第</w:t>
      </w:r>
      <w:r w:rsidRPr="00DA4080">
        <w:rPr>
          <w:rFonts w:hint="eastAsia"/>
          <w:lang w:eastAsia="zh-CN"/>
        </w:rPr>
        <w:t>3</w:t>
      </w:r>
      <w:r w:rsidRPr="00DA4080">
        <w:rPr>
          <w:rFonts w:hint="eastAsia"/>
          <w:lang w:eastAsia="zh-CN"/>
        </w:rPr>
        <w:t>条（第</w:t>
      </w:r>
      <w:r w:rsidRPr="00DA4080">
        <w:rPr>
          <w:rFonts w:hint="eastAsia"/>
          <w:lang w:eastAsia="zh-CN"/>
        </w:rPr>
        <w:t>28A</w:t>
      </w:r>
      <w:r w:rsidRPr="00DA4080">
        <w:rPr>
          <w:rFonts w:hint="eastAsia"/>
          <w:lang w:eastAsia="zh-CN"/>
        </w:rPr>
        <w:t>款）与关于部门成员、部门准成员和学术成员参与其部门活动，尤其是参与</w:t>
      </w:r>
      <w:r w:rsidRPr="00DA4080">
        <w:rPr>
          <w:rFonts w:hint="eastAsia"/>
          <w:lang w:eastAsia="zh-CN"/>
        </w:rPr>
        <w:t>RSG</w:t>
      </w:r>
      <w:r w:rsidRPr="00DA4080">
        <w:rPr>
          <w:rFonts w:hint="eastAsia"/>
          <w:lang w:eastAsia="zh-CN"/>
        </w:rPr>
        <w:t>的权利的若干法律条款之间是否存在与基本法规的冲突？</w:t>
      </w:r>
    </w:p>
    <w:p w:rsidR="00F224D7" w:rsidRPr="00DA4080" w:rsidRDefault="00F224D7" w:rsidP="009C03AB">
      <w:pPr>
        <w:overflowPunct/>
        <w:autoSpaceDE/>
        <w:autoSpaceDN/>
        <w:adjustRightInd/>
        <w:spacing w:after="120"/>
        <w:ind w:firstLineChars="200" w:firstLine="480"/>
        <w:textAlignment w:val="auto"/>
        <w:rPr>
          <w:szCs w:val="24"/>
          <w:lang w:eastAsia="zh-CN"/>
        </w:rPr>
      </w:pPr>
      <w:r w:rsidRPr="00DA4080">
        <w:rPr>
          <w:rFonts w:hint="eastAsia"/>
          <w:szCs w:val="24"/>
          <w:lang w:eastAsia="zh-CN"/>
        </w:rPr>
        <w:t>关于这个问题，巴西和加拿大找到了以下相关的法律条款：</w:t>
      </w:r>
    </w:p>
    <w:p w:rsidR="00F224D7" w:rsidRPr="00DA4080" w:rsidRDefault="009C03AB" w:rsidP="009C03AB">
      <w:pPr>
        <w:pStyle w:val="enumlev1"/>
        <w:rPr>
          <w:lang w:val="en-US" w:eastAsia="zh-CN"/>
        </w:rPr>
      </w:pPr>
      <w:r w:rsidRPr="009C03AB">
        <w:rPr>
          <w:lang w:val="en-US" w:eastAsia="zh-CN"/>
        </w:rPr>
        <w:t>•</w:t>
      </w:r>
      <w:r>
        <w:rPr>
          <w:lang w:val="en-US" w:eastAsia="zh-CN"/>
        </w:rPr>
        <w:tab/>
      </w:r>
      <w:r w:rsidR="00F224D7" w:rsidRPr="00DA4080">
        <w:rPr>
          <w:rFonts w:hint="eastAsia"/>
          <w:lang w:val="en-US" w:eastAsia="zh-CN"/>
        </w:rPr>
        <w:t>国际电联《组织法》第</w:t>
      </w:r>
      <w:r w:rsidR="00F224D7" w:rsidRPr="00DA4080">
        <w:rPr>
          <w:rFonts w:hint="eastAsia"/>
          <w:lang w:val="en-US" w:eastAsia="zh-CN"/>
        </w:rPr>
        <w:t>3</w:t>
      </w:r>
      <w:r w:rsidR="00F224D7" w:rsidRPr="00DA4080">
        <w:rPr>
          <w:rFonts w:hint="eastAsia"/>
          <w:lang w:val="en-US" w:eastAsia="zh-CN"/>
        </w:rPr>
        <w:t>条第</w:t>
      </w:r>
      <w:r w:rsidR="00F224D7" w:rsidRPr="00DA4080">
        <w:rPr>
          <w:rFonts w:hint="eastAsia"/>
          <w:lang w:val="en-US" w:eastAsia="zh-CN"/>
        </w:rPr>
        <w:t>28</w:t>
      </w:r>
      <w:r w:rsidR="00F224D7" w:rsidRPr="00DA4080">
        <w:rPr>
          <w:lang w:val="en-US" w:eastAsia="zh-CN"/>
        </w:rPr>
        <w:t>A</w:t>
      </w:r>
      <w:r w:rsidR="00F224D7" w:rsidRPr="00DA4080">
        <w:rPr>
          <w:rFonts w:hint="eastAsia"/>
          <w:lang w:val="en-US" w:eastAsia="zh-CN"/>
        </w:rPr>
        <w:t>款：确定部门成员参与其部门工作的权利；</w:t>
      </w:r>
    </w:p>
    <w:p w:rsidR="00F224D7" w:rsidRPr="00DA4080" w:rsidRDefault="009C03AB" w:rsidP="009C03AB">
      <w:pPr>
        <w:pStyle w:val="enumlev1"/>
        <w:rPr>
          <w:lang w:val="en-US" w:eastAsia="zh-CN"/>
        </w:rPr>
      </w:pPr>
      <w:r w:rsidRPr="009C03AB">
        <w:rPr>
          <w:lang w:val="en-US" w:eastAsia="zh-CN"/>
        </w:rPr>
        <w:t>•</w:t>
      </w:r>
      <w:r>
        <w:rPr>
          <w:lang w:val="en-US" w:eastAsia="zh-CN"/>
        </w:rPr>
        <w:tab/>
      </w:r>
      <w:r w:rsidR="00F224D7" w:rsidRPr="00DA4080">
        <w:rPr>
          <w:rFonts w:hint="eastAsia"/>
          <w:lang w:val="en-US" w:eastAsia="zh-CN"/>
        </w:rPr>
        <w:t>国际电联《公约》第</w:t>
      </w:r>
      <w:r w:rsidR="00F224D7" w:rsidRPr="00DA4080">
        <w:rPr>
          <w:rFonts w:hint="eastAsia"/>
          <w:lang w:val="en-US" w:eastAsia="zh-CN"/>
        </w:rPr>
        <w:t>19</w:t>
      </w:r>
      <w:r w:rsidR="00F224D7" w:rsidRPr="00DA4080">
        <w:rPr>
          <w:rFonts w:hint="eastAsia"/>
          <w:lang w:val="en-US" w:eastAsia="zh-CN"/>
        </w:rPr>
        <w:t>条第</w:t>
      </w:r>
      <w:r w:rsidR="00F224D7" w:rsidRPr="00DA4080">
        <w:rPr>
          <w:rFonts w:hint="eastAsia"/>
          <w:lang w:val="en-US" w:eastAsia="zh-CN"/>
        </w:rPr>
        <w:t>241</w:t>
      </w:r>
      <w:r w:rsidR="00F224D7" w:rsidRPr="00DA4080">
        <w:rPr>
          <w:lang w:val="en-US" w:eastAsia="zh-CN"/>
        </w:rPr>
        <w:t>A</w:t>
      </w:r>
      <w:r w:rsidR="00F224D7" w:rsidRPr="00DA4080">
        <w:rPr>
          <w:rFonts w:hint="eastAsia"/>
          <w:lang w:val="en-US" w:eastAsia="zh-CN"/>
        </w:rPr>
        <w:t>款至</w:t>
      </w:r>
      <w:r w:rsidR="00F224D7" w:rsidRPr="00DA4080">
        <w:rPr>
          <w:rFonts w:hint="eastAsia"/>
          <w:lang w:val="en-US" w:eastAsia="zh-CN"/>
        </w:rPr>
        <w:t>241</w:t>
      </w:r>
      <w:r w:rsidR="00F224D7" w:rsidRPr="00DA4080">
        <w:rPr>
          <w:lang w:val="en-US" w:eastAsia="zh-CN"/>
        </w:rPr>
        <w:t>E</w:t>
      </w:r>
      <w:r w:rsidR="00F224D7" w:rsidRPr="00DA4080">
        <w:rPr>
          <w:rFonts w:hint="eastAsia"/>
          <w:lang w:val="en-US" w:eastAsia="zh-CN"/>
        </w:rPr>
        <w:t>款和第</w:t>
      </w:r>
      <w:r w:rsidR="00F224D7" w:rsidRPr="00DA4080">
        <w:rPr>
          <w:rFonts w:hint="eastAsia"/>
          <w:lang w:val="en-US" w:eastAsia="zh-CN"/>
        </w:rPr>
        <w:t>248</w:t>
      </w:r>
      <w:r w:rsidR="00F224D7" w:rsidRPr="00DA4080">
        <w:rPr>
          <w:lang w:val="en-US" w:eastAsia="zh-CN"/>
        </w:rPr>
        <w:t>B</w:t>
      </w:r>
      <w:r w:rsidR="00F224D7" w:rsidRPr="00DA4080">
        <w:rPr>
          <w:rFonts w:hint="eastAsia"/>
          <w:lang w:val="en-US" w:eastAsia="zh-CN"/>
        </w:rPr>
        <w:t>款：定义部门准成员参与其部门工作的权利；</w:t>
      </w:r>
    </w:p>
    <w:p w:rsidR="00F224D7" w:rsidRPr="00DA4080" w:rsidRDefault="009C03AB" w:rsidP="009C03AB">
      <w:pPr>
        <w:pStyle w:val="enumlev1"/>
        <w:rPr>
          <w:lang w:eastAsia="zh-CN"/>
        </w:rPr>
      </w:pPr>
      <w:r>
        <w:rPr>
          <w:lang w:eastAsia="zh-CN"/>
        </w:rPr>
        <w:t>•</w:t>
      </w:r>
      <w:r>
        <w:rPr>
          <w:lang w:eastAsia="zh-CN"/>
        </w:rPr>
        <w:tab/>
      </w:r>
      <w:r w:rsidR="00F224D7" w:rsidRPr="00DA4080">
        <w:rPr>
          <w:rFonts w:hint="eastAsia"/>
          <w:lang w:eastAsia="zh-CN"/>
        </w:rPr>
        <w:t>第</w:t>
      </w:r>
      <w:r w:rsidR="00F224D7" w:rsidRPr="00DA4080">
        <w:rPr>
          <w:rFonts w:hint="eastAsia"/>
          <w:lang w:eastAsia="zh-CN"/>
        </w:rPr>
        <w:t>169</w:t>
      </w:r>
      <w:r w:rsidR="00F224D7" w:rsidRPr="00DA4080">
        <w:rPr>
          <w:rFonts w:hint="eastAsia"/>
          <w:lang w:eastAsia="zh-CN"/>
        </w:rPr>
        <w:t>号决议（</w:t>
      </w:r>
      <w:r w:rsidR="00F224D7" w:rsidRPr="00DA4080">
        <w:rPr>
          <w:rFonts w:hint="eastAsia"/>
          <w:lang w:eastAsia="zh-CN"/>
        </w:rPr>
        <w:t>2018</w:t>
      </w:r>
      <w:r w:rsidR="00F224D7" w:rsidRPr="00DA4080">
        <w:rPr>
          <w:rFonts w:hint="eastAsia"/>
          <w:lang w:eastAsia="zh-CN"/>
        </w:rPr>
        <w:t>年，迪拜，修订版）：</w:t>
      </w:r>
      <w:proofErr w:type="spellStart"/>
      <w:r w:rsidR="00F224D7" w:rsidRPr="00DA4080">
        <w:rPr>
          <w:rFonts w:hint="eastAsia"/>
          <w:lang w:eastAsia="zh-CN"/>
        </w:rPr>
        <w:t>批准学术成员参与其部门的工作</w:t>
      </w:r>
      <w:proofErr w:type="spellEnd"/>
      <w:r w:rsidR="00F224D7" w:rsidRPr="00DA4080">
        <w:rPr>
          <w:rFonts w:hint="eastAsia"/>
          <w:lang w:eastAsia="zh-CN"/>
        </w:rPr>
        <w:t>；</w:t>
      </w:r>
    </w:p>
    <w:p w:rsidR="00F224D7" w:rsidRPr="00DA4080" w:rsidRDefault="009C03AB" w:rsidP="009C03AB">
      <w:pPr>
        <w:pStyle w:val="enumlev1"/>
        <w:rPr>
          <w:lang w:eastAsia="zh-CN"/>
        </w:rPr>
      </w:pPr>
      <w:r w:rsidRPr="009C03AB">
        <w:rPr>
          <w:lang w:val="en-US" w:eastAsia="zh-CN"/>
        </w:rPr>
        <w:t>•</w:t>
      </w:r>
      <w:r>
        <w:rPr>
          <w:lang w:val="en-US" w:eastAsia="zh-CN"/>
        </w:rPr>
        <w:tab/>
      </w:r>
      <w:r w:rsidR="00F224D7" w:rsidRPr="00DA4080">
        <w:rPr>
          <w:rFonts w:hint="eastAsia"/>
          <w:lang w:val="en-US" w:eastAsia="zh-CN"/>
        </w:rPr>
        <w:t>WTSA</w:t>
      </w:r>
      <w:r w:rsidR="00F224D7" w:rsidRPr="00DA4080">
        <w:rPr>
          <w:rFonts w:hint="eastAsia"/>
          <w:lang w:val="en-US" w:eastAsia="zh-CN"/>
        </w:rPr>
        <w:t>第</w:t>
      </w:r>
      <w:r w:rsidR="00F224D7" w:rsidRPr="00DA4080">
        <w:rPr>
          <w:rFonts w:hint="eastAsia"/>
          <w:lang w:val="en-US" w:eastAsia="zh-CN"/>
        </w:rPr>
        <w:t>1</w:t>
      </w:r>
      <w:r w:rsidR="00F224D7" w:rsidRPr="00DA4080">
        <w:rPr>
          <w:rFonts w:hint="eastAsia"/>
          <w:lang w:val="en-US" w:eastAsia="zh-CN"/>
        </w:rPr>
        <w:t>号决议（</w:t>
      </w:r>
      <w:r w:rsidR="00F224D7" w:rsidRPr="00DA4080">
        <w:rPr>
          <w:rFonts w:hint="eastAsia"/>
          <w:lang w:val="en-US" w:eastAsia="zh-CN"/>
        </w:rPr>
        <w:t>2016</w:t>
      </w:r>
      <w:r w:rsidR="00F224D7" w:rsidRPr="00DA4080">
        <w:rPr>
          <w:rFonts w:hint="eastAsia"/>
          <w:lang w:val="en-US" w:eastAsia="zh-CN"/>
        </w:rPr>
        <w:t>年，哈马马特，修订版）第</w:t>
      </w:r>
      <w:r w:rsidR="00F224D7" w:rsidRPr="00DA4080">
        <w:rPr>
          <w:rFonts w:hint="eastAsia"/>
          <w:lang w:val="en-US" w:eastAsia="zh-CN"/>
        </w:rPr>
        <w:t>2.3</w:t>
      </w:r>
      <w:r w:rsidR="00F224D7" w:rsidRPr="00DA4080">
        <w:rPr>
          <w:rFonts w:hint="eastAsia"/>
          <w:lang w:val="en-US" w:eastAsia="zh-CN"/>
        </w:rPr>
        <w:t>款：定义允许参加区域组的与会者。</w:t>
      </w:r>
    </w:p>
    <w:p w:rsidR="00F224D7" w:rsidRPr="00DA4080" w:rsidRDefault="00F224D7" w:rsidP="009C03AB">
      <w:pPr>
        <w:overflowPunct/>
        <w:autoSpaceDE/>
        <w:autoSpaceDN/>
        <w:adjustRightInd/>
        <w:spacing w:after="120"/>
        <w:ind w:firstLineChars="200" w:firstLine="480"/>
        <w:textAlignment w:val="auto"/>
        <w:rPr>
          <w:szCs w:val="24"/>
          <w:lang w:val="en-US" w:eastAsia="zh-CN"/>
        </w:rPr>
      </w:pPr>
      <w:r w:rsidRPr="00DA4080">
        <w:rPr>
          <w:rFonts w:hint="eastAsia"/>
          <w:szCs w:val="24"/>
          <w:lang w:val="en-US" w:eastAsia="zh-CN"/>
        </w:rPr>
        <w:t>国际电联《组织法》第</w:t>
      </w:r>
      <w:r w:rsidRPr="00DA4080">
        <w:rPr>
          <w:rFonts w:hint="eastAsia"/>
          <w:szCs w:val="24"/>
          <w:lang w:val="en-US" w:eastAsia="zh-CN"/>
        </w:rPr>
        <w:t>3</w:t>
      </w:r>
      <w:r w:rsidRPr="00DA4080">
        <w:rPr>
          <w:rFonts w:hint="eastAsia"/>
          <w:szCs w:val="24"/>
          <w:lang w:val="en-US" w:eastAsia="zh-CN"/>
        </w:rPr>
        <w:t>条第</w:t>
      </w:r>
      <w:r w:rsidRPr="00DA4080">
        <w:rPr>
          <w:rFonts w:hint="eastAsia"/>
          <w:szCs w:val="24"/>
          <w:lang w:val="en-US" w:eastAsia="zh-CN"/>
        </w:rPr>
        <w:t>28</w:t>
      </w:r>
      <w:r w:rsidRPr="00DA4080">
        <w:rPr>
          <w:szCs w:val="24"/>
          <w:lang w:val="en-US" w:eastAsia="zh-CN"/>
        </w:rPr>
        <w:t>A</w:t>
      </w:r>
      <w:r w:rsidRPr="00DA4080">
        <w:rPr>
          <w:rFonts w:hint="eastAsia"/>
          <w:szCs w:val="24"/>
          <w:lang w:val="en-US" w:eastAsia="zh-CN"/>
        </w:rPr>
        <w:t>款规定</w:t>
      </w:r>
      <w:r w:rsidR="00DA4080" w:rsidRPr="00DA4080">
        <w:rPr>
          <w:rFonts w:ascii="SimSun" w:hAnsi="SimSun" w:hint="eastAsia"/>
          <w:szCs w:val="24"/>
          <w:lang w:val="en-US" w:eastAsia="zh-CN"/>
        </w:rPr>
        <w:t>“</w:t>
      </w:r>
      <w:r w:rsidRPr="00DA4080">
        <w:rPr>
          <w:rFonts w:ascii="STKaiti" w:eastAsia="STKaiti" w:hAnsi="STKaiti" w:hint="eastAsia"/>
          <w:szCs w:val="24"/>
          <w:lang w:val="en-US" w:eastAsia="zh-CN"/>
        </w:rPr>
        <w:t>部门成员应有权</w:t>
      </w:r>
      <w:r w:rsidRPr="00DA4080">
        <w:rPr>
          <w:rFonts w:ascii="STKaiti" w:eastAsia="STKaiti" w:hAnsi="STKaiti" w:hint="eastAsia"/>
          <w:b/>
          <w:szCs w:val="24"/>
          <w:lang w:val="en-US" w:eastAsia="zh-CN"/>
        </w:rPr>
        <w:t>全面参加</w:t>
      </w:r>
      <w:r w:rsidRPr="00DA4080">
        <w:rPr>
          <w:rFonts w:ascii="STKaiti" w:eastAsia="STKaiti" w:hAnsi="STKaiti" w:hint="eastAsia"/>
          <w:szCs w:val="24"/>
          <w:lang w:val="en-US" w:eastAsia="zh-CN"/>
        </w:rPr>
        <w:t>其所在部门的活动</w:t>
      </w:r>
      <w:r w:rsidRPr="00DA4080">
        <w:rPr>
          <w:rFonts w:hint="eastAsia"/>
          <w:szCs w:val="24"/>
          <w:lang w:val="en-US" w:eastAsia="zh-CN"/>
        </w:rPr>
        <w:t>”。在此处，至关重要的是对</w:t>
      </w:r>
      <w:r w:rsidRPr="00DA4080">
        <w:rPr>
          <w:rFonts w:asciiTheme="minorEastAsia" w:eastAsiaTheme="minorEastAsia" w:hAnsiTheme="minorEastAsia" w:hint="eastAsia"/>
          <w:b/>
          <w:szCs w:val="24"/>
          <w:lang w:val="en-US" w:eastAsia="zh-CN"/>
        </w:rPr>
        <w:t>全面参加</w:t>
      </w:r>
      <w:r w:rsidRPr="00DA4080">
        <w:rPr>
          <w:rFonts w:hint="eastAsia"/>
          <w:szCs w:val="24"/>
          <w:lang w:val="en-US" w:eastAsia="zh-CN"/>
        </w:rPr>
        <w:t>的含义以及真正</w:t>
      </w:r>
      <w:r w:rsidRPr="00DA4080">
        <w:rPr>
          <w:rFonts w:hint="eastAsia"/>
          <w:b/>
          <w:szCs w:val="24"/>
          <w:lang w:val="en-US" w:eastAsia="zh-CN"/>
        </w:rPr>
        <w:t>全面参加</w:t>
      </w:r>
      <w:r w:rsidRPr="00DA4080">
        <w:rPr>
          <w:rFonts w:hint="eastAsia"/>
          <w:szCs w:val="24"/>
          <w:lang w:val="en-US" w:eastAsia="zh-CN"/>
        </w:rPr>
        <w:t>的法律和实际影响达成共识。</w:t>
      </w:r>
    </w:p>
    <w:p w:rsidR="00F224D7" w:rsidRPr="00DA4080" w:rsidRDefault="00F224D7" w:rsidP="009C03AB">
      <w:pPr>
        <w:overflowPunct/>
        <w:autoSpaceDE/>
        <w:autoSpaceDN/>
        <w:adjustRightInd/>
        <w:spacing w:after="120"/>
        <w:ind w:firstLineChars="200" w:firstLine="480"/>
        <w:textAlignment w:val="auto"/>
        <w:rPr>
          <w:szCs w:val="24"/>
          <w:lang w:eastAsia="zh-CN"/>
        </w:rPr>
      </w:pPr>
      <w:r w:rsidRPr="00DA4080">
        <w:rPr>
          <w:rFonts w:hint="eastAsia"/>
          <w:szCs w:val="24"/>
          <w:lang w:val="en-US" w:eastAsia="zh-CN"/>
        </w:rPr>
        <w:t>由于国际电联《组织法》和</w:t>
      </w:r>
      <w:r w:rsidRPr="00DA4080">
        <w:rPr>
          <w:rFonts w:hint="eastAsia"/>
          <w:szCs w:val="24"/>
          <w:lang w:val="en-US" w:eastAsia="zh-CN"/>
        </w:rPr>
        <w:t>WTSA</w:t>
      </w:r>
      <w:r w:rsidRPr="00DA4080">
        <w:rPr>
          <w:rFonts w:hint="eastAsia"/>
          <w:szCs w:val="24"/>
          <w:lang w:val="en-US" w:eastAsia="zh-CN"/>
        </w:rPr>
        <w:t>第</w:t>
      </w:r>
      <w:r w:rsidRPr="00DA4080">
        <w:rPr>
          <w:rFonts w:hint="eastAsia"/>
          <w:szCs w:val="24"/>
          <w:lang w:val="en-US" w:eastAsia="zh-CN"/>
        </w:rPr>
        <w:t>1</w:t>
      </w:r>
      <w:r w:rsidRPr="00DA4080">
        <w:rPr>
          <w:rFonts w:hint="eastAsia"/>
          <w:szCs w:val="24"/>
          <w:lang w:val="en-US" w:eastAsia="zh-CN"/>
        </w:rPr>
        <w:t>号决议可能存在冲突和法律上的不一致，进行澄清很关键。尽管《组织法》确定了</w:t>
      </w:r>
      <w:r w:rsidR="00DA4080" w:rsidRPr="00DA4080">
        <w:rPr>
          <w:rFonts w:ascii="SimSun" w:hAnsi="SimSun" w:hint="eastAsia"/>
          <w:szCs w:val="24"/>
          <w:lang w:val="en-US" w:eastAsia="zh-CN"/>
        </w:rPr>
        <w:t>“</w:t>
      </w:r>
      <w:r w:rsidRPr="00DA4080">
        <w:rPr>
          <w:rFonts w:ascii="STKaiti" w:eastAsia="STKaiti" w:hAnsi="STKaiti" w:hint="eastAsia"/>
          <w:bCs/>
          <w:szCs w:val="24"/>
          <w:lang w:val="en-US" w:eastAsia="zh-CN"/>
        </w:rPr>
        <w:t>全面参加</w:t>
      </w:r>
      <w:r w:rsidRPr="00DA4080">
        <w:rPr>
          <w:rFonts w:ascii="STKaiti" w:eastAsia="STKaiti" w:hAnsi="STKaiti" w:hint="eastAsia"/>
          <w:szCs w:val="24"/>
          <w:lang w:val="en-US" w:eastAsia="zh-CN"/>
        </w:rPr>
        <w:t>其所在部门的活动</w:t>
      </w:r>
      <w:r w:rsidRPr="00DA4080">
        <w:rPr>
          <w:rFonts w:hint="eastAsia"/>
          <w:szCs w:val="24"/>
          <w:lang w:val="en-US" w:eastAsia="zh-CN"/>
        </w:rPr>
        <w:t>”的权利，但</w:t>
      </w:r>
      <w:r w:rsidRPr="00DA4080">
        <w:rPr>
          <w:rFonts w:hint="eastAsia"/>
          <w:szCs w:val="24"/>
          <w:lang w:val="en-US" w:eastAsia="zh-CN"/>
        </w:rPr>
        <w:t>WTSA</w:t>
      </w:r>
      <w:r w:rsidRPr="00DA4080">
        <w:rPr>
          <w:rFonts w:hint="eastAsia"/>
          <w:szCs w:val="24"/>
          <w:lang w:val="en-US" w:eastAsia="zh-CN"/>
        </w:rPr>
        <w:t>第</w:t>
      </w:r>
      <w:r w:rsidRPr="00DA4080">
        <w:rPr>
          <w:rFonts w:hint="eastAsia"/>
          <w:szCs w:val="24"/>
          <w:lang w:val="en-US" w:eastAsia="zh-CN"/>
        </w:rPr>
        <w:t>1</w:t>
      </w:r>
      <w:r w:rsidRPr="00DA4080">
        <w:rPr>
          <w:rFonts w:hint="eastAsia"/>
          <w:szCs w:val="24"/>
          <w:lang w:val="en-US" w:eastAsia="zh-CN"/>
        </w:rPr>
        <w:t>号</w:t>
      </w:r>
      <w:r w:rsidRPr="00DA4080">
        <w:rPr>
          <w:rFonts w:hint="eastAsia"/>
          <w:szCs w:val="24"/>
          <w:lang w:val="en-US" w:eastAsia="zh-CN"/>
        </w:rPr>
        <w:lastRenderedPageBreak/>
        <w:t>决却确定，</w:t>
      </w:r>
      <w:r w:rsidRPr="00DA4080">
        <w:rPr>
          <w:rFonts w:hint="eastAsia"/>
          <w:szCs w:val="24"/>
          <w:lang w:val="en-US" w:eastAsia="zh-CN"/>
        </w:rPr>
        <w:t>RSG</w:t>
      </w:r>
      <w:r w:rsidRPr="00DA4080">
        <w:rPr>
          <w:rFonts w:hint="eastAsia"/>
          <w:szCs w:val="24"/>
          <w:lang w:val="en-US" w:eastAsia="zh-CN"/>
        </w:rPr>
        <w:t>实际上仅限于相关区域成员参加，并且可邀请其他与会者出席全部或部分会议。</w:t>
      </w:r>
    </w:p>
    <w:p w:rsidR="00F224D7" w:rsidRPr="00DA4080" w:rsidRDefault="00F224D7" w:rsidP="009C03AB">
      <w:pPr>
        <w:pStyle w:val="Headingb"/>
        <w:rPr>
          <w:lang w:val="en-US" w:eastAsia="zh-CN"/>
        </w:rPr>
      </w:pPr>
      <w:r w:rsidRPr="00DA4080">
        <w:rPr>
          <w:rFonts w:hint="eastAsia"/>
          <w:lang w:val="en-US" w:eastAsia="zh-CN"/>
        </w:rPr>
        <w:t>提案</w:t>
      </w:r>
    </w:p>
    <w:p w:rsidR="00F224D7" w:rsidRPr="00DA4080" w:rsidRDefault="00F224D7" w:rsidP="00DA4080">
      <w:pPr>
        <w:overflowPunct/>
        <w:autoSpaceDE/>
        <w:autoSpaceDN/>
        <w:adjustRightInd/>
        <w:ind w:firstLineChars="200" w:firstLine="480"/>
        <w:textAlignment w:val="auto"/>
        <w:rPr>
          <w:szCs w:val="24"/>
          <w:lang w:val="en-US" w:eastAsia="zh-CN"/>
        </w:rPr>
      </w:pPr>
      <w:bookmarkStart w:id="4" w:name="_GoBack"/>
      <w:bookmarkEnd w:id="4"/>
      <w:r w:rsidRPr="00DA4080">
        <w:rPr>
          <w:rFonts w:hint="eastAsia"/>
          <w:szCs w:val="24"/>
          <w:lang w:val="en-US" w:eastAsia="zh-CN"/>
        </w:rPr>
        <w:t>巴西和加拿大谨请秘书处就本文稿提出的两个问题提供分析、回答和指导。巴西和加拿大无意质疑</w:t>
      </w:r>
      <w:r w:rsidRPr="00DA4080">
        <w:rPr>
          <w:rFonts w:hint="eastAsia"/>
          <w:szCs w:val="24"/>
          <w:lang w:val="en-US" w:eastAsia="zh-CN"/>
        </w:rPr>
        <w:t>I</w:t>
      </w:r>
      <w:r w:rsidRPr="00DA4080">
        <w:rPr>
          <w:szCs w:val="24"/>
          <w:lang w:val="en-US" w:eastAsia="zh-CN"/>
        </w:rPr>
        <w:t>TU-T</w:t>
      </w:r>
      <w:r w:rsidRPr="00DA4080">
        <w:rPr>
          <w:rFonts w:hint="eastAsia"/>
          <w:szCs w:val="24"/>
          <w:lang w:val="en-US" w:eastAsia="zh-CN"/>
        </w:rPr>
        <w:t>研究组过去的决定，也无意基于秘书处提供的法律澄清发起任何追溯性行动。巴西和加拿大寻求澄清和推进</w:t>
      </w:r>
      <w:r w:rsidRPr="00DA4080">
        <w:rPr>
          <w:rFonts w:hint="eastAsia"/>
          <w:szCs w:val="24"/>
          <w:lang w:val="en-US" w:eastAsia="zh-CN"/>
        </w:rPr>
        <w:t>P</w:t>
      </w:r>
      <w:r w:rsidRPr="00DA4080">
        <w:rPr>
          <w:szCs w:val="24"/>
          <w:lang w:val="en-US" w:eastAsia="zh-CN"/>
        </w:rPr>
        <w:t>P-18</w:t>
      </w:r>
      <w:r w:rsidRPr="00DA4080">
        <w:rPr>
          <w:rFonts w:hint="eastAsia"/>
          <w:szCs w:val="24"/>
          <w:lang w:val="en-US" w:eastAsia="zh-CN"/>
        </w:rPr>
        <w:t>第</w:t>
      </w:r>
      <w:r w:rsidRPr="00DA4080">
        <w:rPr>
          <w:rFonts w:hint="eastAsia"/>
          <w:szCs w:val="24"/>
          <w:lang w:val="en-US" w:eastAsia="zh-CN"/>
        </w:rPr>
        <w:t>5</w:t>
      </w:r>
      <w:r w:rsidRPr="00DA4080">
        <w:rPr>
          <w:rFonts w:hint="eastAsia"/>
          <w:szCs w:val="24"/>
          <w:lang w:val="en-US" w:eastAsia="zh-CN"/>
        </w:rPr>
        <w:t>委员会在建议</w:t>
      </w:r>
      <w:r w:rsidRPr="00DA4080">
        <w:rPr>
          <w:rFonts w:hint="eastAsia"/>
          <w:szCs w:val="24"/>
          <w:lang w:val="en-US" w:eastAsia="zh-CN"/>
        </w:rPr>
        <w:t>8</w:t>
      </w:r>
      <w:r w:rsidRPr="00DA4080">
        <w:rPr>
          <w:rFonts w:hint="eastAsia"/>
          <w:szCs w:val="24"/>
          <w:lang w:val="en-US" w:eastAsia="zh-CN"/>
        </w:rPr>
        <w:t>中提出的问题，供</w:t>
      </w:r>
      <w:r w:rsidRPr="00DA4080">
        <w:rPr>
          <w:rFonts w:hint="eastAsia"/>
          <w:szCs w:val="24"/>
          <w:lang w:val="en-US" w:eastAsia="zh-CN"/>
        </w:rPr>
        <w:t>WTSA-20</w:t>
      </w:r>
      <w:r w:rsidRPr="00DA4080">
        <w:rPr>
          <w:rFonts w:hint="eastAsia"/>
          <w:szCs w:val="24"/>
          <w:lang w:val="en-US" w:eastAsia="zh-CN"/>
        </w:rPr>
        <w:t>做出决定。</w:t>
      </w:r>
    </w:p>
    <w:p w:rsidR="00F224D7" w:rsidRDefault="00F224D7" w:rsidP="00F224D7">
      <w:pPr>
        <w:overflowPunct/>
        <w:autoSpaceDE/>
        <w:autoSpaceDN/>
        <w:adjustRightInd/>
        <w:spacing w:before="0"/>
        <w:textAlignment w:val="auto"/>
        <w:rPr>
          <w:szCs w:val="24"/>
          <w:lang w:val="en-US" w:eastAsia="zh-CN"/>
        </w:rPr>
      </w:pPr>
    </w:p>
    <w:p w:rsidR="00DA4080" w:rsidRDefault="00DA4080" w:rsidP="00411C49">
      <w:pPr>
        <w:pStyle w:val="Reasons"/>
      </w:pPr>
    </w:p>
    <w:p w:rsidR="00DA4080" w:rsidRDefault="00DA4080">
      <w:pPr>
        <w:jc w:val="center"/>
      </w:pPr>
      <w:r>
        <w:t>______________</w:t>
      </w:r>
    </w:p>
    <w:p w:rsidR="00DA4080" w:rsidRPr="00DA4080" w:rsidRDefault="00DA4080" w:rsidP="00F224D7">
      <w:pPr>
        <w:overflowPunct/>
        <w:autoSpaceDE/>
        <w:autoSpaceDN/>
        <w:adjustRightInd/>
        <w:spacing w:before="0"/>
        <w:textAlignment w:val="auto"/>
        <w:rPr>
          <w:szCs w:val="24"/>
          <w:lang w:val="en-US" w:eastAsia="zh-CN"/>
        </w:rPr>
      </w:pPr>
    </w:p>
    <w:sectPr w:rsidR="00DA4080" w:rsidRPr="00DA4080"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21" w:rsidRDefault="00B64721">
      <w:r>
        <w:separator/>
      </w:r>
    </w:p>
  </w:endnote>
  <w:endnote w:type="continuationSeparator" w:id="0">
    <w:p w:rsidR="00B64721" w:rsidRDefault="00B6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DA4080" w:rsidRDefault="00DA4080" w:rsidP="00DA4080">
    <w:pPr>
      <w:pStyle w:val="Footer"/>
    </w:pPr>
    <w:r>
      <w:fldChar w:fldCharType="begin"/>
    </w:r>
    <w:r>
      <w:instrText xml:space="preserve"> FILENAME \p \* MERGEFORMAT </w:instrText>
    </w:r>
    <w:r>
      <w:fldChar w:fldCharType="separate"/>
    </w:r>
    <w:r>
      <w:t>P:\CHI\SG\CONSEIL\C19\000\068C.docx</w:t>
    </w:r>
    <w:r>
      <w:fldChar w:fldCharType="end"/>
    </w:r>
    <w:r>
      <w:t xml:space="preserve"> (455980)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21" w:rsidRDefault="00B64721">
      <w:r>
        <w:t>____________________</w:t>
      </w:r>
    </w:p>
  </w:footnote>
  <w:footnote w:type="continuationSeparator" w:id="0">
    <w:p w:rsidR="00B64721" w:rsidRDefault="00B64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9C03AB">
      <w:rPr>
        <w:noProof/>
      </w:rPr>
      <w:t>4</w:t>
    </w:r>
    <w:r>
      <w:rPr>
        <w:noProof/>
      </w:rPr>
      <w:fldChar w:fldCharType="end"/>
    </w:r>
  </w:p>
  <w:p w:rsidR="00AC516F" w:rsidRDefault="0098459B" w:rsidP="00DA4080">
    <w:pPr>
      <w:pStyle w:val="Header"/>
      <w:rPr>
        <w:lang w:eastAsia="zh-CN"/>
      </w:rPr>
    </w:pPr>
    <w:r>
      <w:t>C1</w:t>
    </w:r>
    <w:r w:rsidR="00D453EE">
      <w:rPr>
        <w:lang w:eastAsia="zh-CN"/>
      </w:rPr>
      <w:t>9</w:t>
    </w:r>
    <w:r w:rsidR="004672E6">
      <w:t>/</w:t>
    </w:r>
    <w:r w:rsidR="00DA4080">
      <w:rPr>
        <w:lang w:eastAsia="zh-CN"/>
      </w:rPr>
      <w:t>68</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221179"/>
    <w:multiLevelType w:val="hybridMultilevel"/>
    <w:tmpl w:val="EDBCC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21"/>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03AB"/>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64721"/>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4080"/>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224D7"/>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EC1BD8-8750-44AC-85EC-7EEE3D1C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F224D7"/>
    <w:pPr>
      <w:keepNext/>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B06F-922C-4F19-BD01-AEA90C5F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13</TotalTime>
  <Pages>4</Pages>
  <Words>1965</Words>
  <Characters>423</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3</cp:revision>
  <cp:lastPrinted>2015-02-24T13:23:00Z</cp:lastPrinted>
  <dcterms:created xsi:type="dcterms:W3CDTF">2019-06-06T12:48:00Z</dcterms:created>
  <dcterms:modified xsi:type="dcterms:W3CDTF">2019-06-06T13:02:00Z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