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55160706" w14:textId="77777777" w:rsidTr="00464B6C">
        <w:trPr>
          <w:cantSplit/>
        </w:trPr>
        <w:tc>
          <w:tcPr>
            <w:tcW w:w="6911" w:type="dxa"/>
          </w:tcPr>
          <w:p w14:paraId="28DA2A44" w14:textId="77777777"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14:paraId="54943730" w14:textId="77777777"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5C83B2AA" wp14:editId="4369F8BA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5602F50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18622C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7B0887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05C5D6BA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A7E695A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E9C85CC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BC2F3FC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11CB5B8A" w14:textId="77777777" w:rsidR="002A2188" w:rsidRPr="00E85629" w:rsidRDefault="00E8653A" w:rsidP="00D04E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ADM 2</w:t>
            </w:r>
          </w:p>
        </w:tc>
        <w:tc>
          <w:tcPr>
            <w:tcW w:w="3120" w:type="dxa"/>
          </w:tcPr>
          <w:p w14:paraId="418378ED" w14:textId="0D0CDF7C" w:rsidR="002A2188" w:rsidRPr="00E85629" w:rsidRDefault="002A2188" w:rsidP="00D672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D672AD">
              <w:rPr>
                <w:b/>
              </w:rPr>
              <w:t>64</w:t>
            </w:r>
            <w:r>
              <w:rPr>
                <w:b/>
              </w:rPr>
              <w:t>-E</w:t>
            </w:r>
          </w:p>
        </w:tc>
      </w:tr>
      <w:tr w:rsidR="002A2188" w:rsidRPr="00813E5E" w14:paraId="602F6404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1170D39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5C631527" w14:textId="38D57D68" w:rsidR="002A2188" w:rsidRPr="00E85629" w:rsidRDefault="00D672AD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24 May </w:t>
            </w:r>
            <w:r w:rsidR="002A2188">
              <w:rPr>
                <w:b/>
              </w:rPr>
              <w:t>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14:paraId="1F4488A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51CC80B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C3318A1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4A2A999E" w14:textId="77777777" w:rsidTr="00464B6C">
        <w:trPr>
          <w:cantSplit/>
        </w:trPr>
        <w:tc>
          <w:tcPr>
            <w:tcW w:w="10031" w:type="dxa"/>
            <w:gridSpan w:val="2"/>
          </w:tcPr>
          <w:p w14:paraId="233BDA18" w14:textId="1A334BF7" w:rsidR="002A2188" w:rsidRPr="00813E5E" w:rsidRDefault="00D672AD" w:rsidP="00464B6C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Pr="00D04E39">
              <w:t xml:space="preserve"> by the Secretary-General</w:t>
            </w:r>
          </w:p>
        </w:tc>
      </w:tr>
      <w:tr w:rsidR="002A2188" w:rsidRPr="00813E5E" w14:paraId="3A55F01D" w14:textId="77777777" w:rsidTr="00464B6C">
        <w:trPr>
          <w:cantSplit/>
        </w:trPr>
        <w:tc>
          <w:tcPr>
            <w:tcW w:w="10031" w:type="dxa"/>
            <w:gridSpan w:val="2"/>
          </w:tcPr>
          <w:p w14:paraId="7138D76B" w14:textId="2CC47F63" w:rsidR="00D672AD" w:rsidRDefault="00D672AD" w:rsidP="00D672AD">
            <w:pPr>
              <w:pStyle w:val="Title1"/>
            </w:pPr>
            <w:bookmarkStart w:id="7" w:name="dtitle1" w:colFirst="0" w:colLast="0"/>
            <w:bookmarkEnd w:id="6"/>
            <w:r w:rsidRPr="00CD52B7">
              <w:t>CONTRIBUTION FROM</w:t>
            </w:r>
            <w:r>
              <w:t xml:space="preserve"> australia</w:t>
            </w:r>
          </w:p>
          <w:p w14:paraId="5F542680" w14:textId="60B27E5F" w:rsidR="002A2188" w:rsidRPr="00813E5E" w:rsidRDefault="00A465D5" w:rsidP="00AC5B2D">
            <w:pPr>
              <w:pStyle w:val="Title1"/>
            </w:pPr>
            <w:r>
              <w:t xml:space="preserve">Cost Recovery for the processing of </w:t>
            </w:r>
            <w:r w:rsidR="00CE50BB">
              <w:t xml:space="preserve">Non-GSO </w:t>
            </w:r>
            <w:r>
              <w:t>Satellite Network Filings:</w:t>
            </w:r>
            <w:r>
              <w:br/>
              <w:t xml:space="preserve"> Views on Procedure B and Proposal to </w:t>
            </w:r>
            <w:r w:rsidR="006D2AD1">
              <w:t xml:space="preserve">Establish </w:t>
            </w:r>
            <w:r w:rsidR="009B34CB">
              <w:t xml:space="preserve">A </w:t>
            </w:r>
            <w:r w:rsidR="006D2AD1">
              <w:t xml:space="preserve">Working Group to Consider Modification of the </w:t>
            </w:r>
            <w:r>
              <w:t>Methodology for Calculation of Units for Non-GSO systems</w:t>
            </w:r>
          </w:p>
        </w:tc>
      </w:tr>
      <w:bookmarkEnd w:id="7"/>
    </w:tbl>
    <w:p w14:paraId="0DE96CCB" w14:textId="77777777" w:rsidR="002A2188" w:rsidRDefault="002A2188" w:rsidP="002A2188"/>
    <w:p w14:paraId="36E61EFB" w14:textId="77777777" w:rsidR="00D672AD" w:rsidRDefault="00D672AD" w:rsidP="00D672AD"/>
    <w:p w14:paraId="353F5B13" w14:textId="6700B8C4" w:rsidR="00D672AD" w:rsidRDefault="00D672AD" w:rsidP="004D0886">
      <w:r>
        <w:t xml:space="preserve">I have the honour to transmit to the Member States of the Council a contribution submitted by </w:t>
      </w:r>
      <w:r w:rsidR="004D0886">
        <w:t>Australia</w:t>
      </w:r>
      <w:r>
        <w:t>.</w:t>
      </w:r>
    </w:p>
    <w:p w14:paraId="5A95C436" w14:textId="77777777" w:rsidR="00D672AD" w:rsidRDefault="00D672AD" w:rsidP="00D672A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>
        <w:tab/>
        <w:t>Houlin ZHAO</w:t>
      </w:r>
    </w:p>
    <w:p w14:paraId="3E95436E" w14:textId="77777777" w:rsidR="00D672AD" w:rsidRPr="00813E5E" w:rsidRDefault="00D672AD" w:rsidP="00D672A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>
        <w:tab/>
        <w:t>Secretary-General</w:t>
      </w:r>
    </w:p>
    <w:p w14:paraId="7F489771" w14:textId="77777777" w:rsidR="00D672AD" w:rsidRDefault="00D672AD" w:rsidP="00D672AD"/>
    <w:p w14:paraId="0EDC5CF0" w14:textId="77777777" w:rsidR="00D672AD" w:rsidRDefault="00D672AD" w:rsidP="002A2188"/>
    <w:p w14:paraId="3CF6148D" w14:textId="477F4C8C" w:rsidR="00D672AD" w:rsidRDefault="00D672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9A88334" w14:textId="617CB73F" w:rsidR="00D672AD" w:rsidRDefault="00D672AD" w:rsidP="00D672AD">
      <w:pPr>
        <w:pStyle w:val="Source"/>
      </w:pPr>
      <w:r>
        <w:lastRenderedPageBreak/>
        <w:t>Contribution from Australia</w:t>
      </w:r>
    </w:p>
    <w:p w14:paraId="44B0890D" w14:textId="3AA6E545" w:rsidR="00D672AD" w:rsidRPr="00813E5E" w:rsidRDefault="00D672AD" w:rsidP="00D672AD">
      <w:pPr>
        <w:pStyle w:val="Title1"/>
        <w:spacing w:after="360"/>
      </w:pPr>
      <w:r>
        <w:t>Cost Recovery for the processing of Non-GSO Satellite Network Filings:</w:t>
      </w:r>
      <w:r>
        <w:br/>
        <w:t xml:space="preserve"> Views on Procedure B and Proposal to Establish </w:t>
      </w:r>
      <w:r w:rsidR="009B34CB">
        <w:t xml:space="preserve">A </w:t>
      </w:r>
      <w:r>
        <w:t>Working Group to Consider Modification of the Methodology for Calculation of Units for Non-GSO systems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6940B3D5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5C92" w14:textId="77777777"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14:paraId="358F290D" w14:textId="77777777" w:rsidR="00F81DB3" w:rsidRDefault="00145166" w:rsidP="00464B6C">
            <w:r>
              <w:t xml:space="preserve">Australia supports </w:t>
            </w:r>
            <w:r w:rsidR="008B6931">
              <w:t>adoption</w:t>
            </w:r>
            <w:r w:rsidR="00F81DB3">
              <w:t xml:space="preserve"> </w:t>
            </w:r>
            <w:r w:rsidR="008B6931">
              <w:t xml:space="preserve">of Procedure B as described in Document </w:t>
            </w:r>
            <w:r w:rsidR="007A3990" w:rsidRPr="00CE50BB">
              <w:t>EGD482</w:t>
            </w:r>
            <w:r w:rsidR="0093549C">
              <w:noBreakHyphen/>
            </w:r>
            <w:r w:rsidR="007A3990" w:rsidRPr="00CE50BB">
              <w:t>2/3</w:t>
            </w:r>
            <w:r w:rsidR="009B580D">
              <w:t xml:space="preserve"> with collection of additional statistical information by the</w:t>
            </w:r>
            <w:r w:rsidR="0093549C">
              <w:t xml:space="preserve"> Radiocommunication Bureau (BR) and review at Council 2021.</w:t>
            </w:r>
          </w:p>
          <w:p w14:paraId="40853DD3" w14:textId="77777777" w:rsidR="00DF2F49" w:rsidRDefault="00F81DB3" w:rsidP="00464B6C">
            <w:pPr>
              <w:rPr>
                <w:lang w:val="en-AU"/>
              </w:rPr>
            </w:pPr>
            <w:r>
              <w:t xml:space="preserve">Australia </w:t>
            </w:r>
            <w:r w:rsidR="00145166">
              <w:rPr>
                <w:lang w:val="en-AU"/>
              </w:rPr>
              <w:t xml:space="preserve">is of the view that </w:t>
            </w:r>
            <w:r w:rsidR="009B580D">
              <w:rPr>
                <w:lang w:val="en-AU"/>
              </w:rPr>
              <w:t xml:space="preserve">changes to </w:t>
            </w:r>
            <w:r w:rsidR="00145166">
              <w:rPr>
                <w:lang w:val="en-AU"/>
              </w:rPr>
              <w:t xml:space="preserve">the methodology for calculation of units for non-GSO systems in Council Decision 482 </w:t>
            </w:r>
            <w:r w:rsidR="001A6845">
              <w:rPr>
                <w:lang w:val="en-AU"/>
              </w:rPr>
              <w:t xml:space="preserve">also </w:t>
            </w:r>
            <w:r w:rsidR="009B580D">
              <w:rPr>
                <w:lang w:val="en-AU"/>
              </w:rPr>
              <w:t>requires further examination</w:t>
            </w:r>
            <w:r w:rsidR="0093549C">
              <w:rPr>
                <w:lang w:val="en-AU"/>
              </w:rPr>
              <w:t>.</w:t>
            </w:r>
            <w:r w:rsidR="009B580D">
              <w:rPr>
                <w:lang w:val="en-AU"/>
              </w:rPr>
              <w:t xml:space="preserve"> </w:t>
            </w:r>
          </w:p>
          <w:p w14:paraId="5026B3A9" w14:textId="61C14103" w:rsidR="00DC2E2A" w:rsidRPr="00145166" w:rsidRDefault="0093549C" w:rsidP="00464B6C">
            <w:pPr>
              <w:rPr>
                <w:lang w:val="en-AU"/>
              </w:rPr>
            </w:pPr>
            <w:r>
              <w:rPr>
                <w:lang w:val="en-AU"/>
              </w:rPr>
              <w:t xml:space="preserve">Australia therefore </w:t>
            </w:r>
            <w:r w:rsidR="00145166">
              <w:rPr>
                <w:lang w:val="en-AU"/>
              </w:rPr>
              <w:t xml:space="preserve">proposes </w:t>
            </w:r>
            <w:r w:rsidR="00FF5538">
              <w:rPr>
                <w:lang w:val="en-AU"/>
              </w:rPr>
              <w:t xml:space="preserve">the </w:t>
            </w:r>
            <w:r w:rsidR="00145166">
              <w:rPr>
                <w:lang w:val="en-AU"/>
              </w:rPr>
              <w:t xml:space="preserve">establishment of a Council Working Group to </w:t>
            </w:r>
            <w:r w:rsidR="00DF2F49">
              <w:rPr>
                <w:lang w:val="en-AU"/>
              </w:rPr>
              <w:t>review Procedure B’s effectiveness and examine options to modify the methodology</w:t>
            </w:r>
            <w:r>
              <w:rPr>
                <w:lang w:val="en-AU"/>
              </w:rPr>
              <w:t>.</w:t>
            </w:r>
            <w:r w:rsidR="00DF2F49">
              <w:rPr>
                <w:lang w:val="en-AU"/>
              </w:rPr>
              <w:t xml:space="preserve"> The Council Working Group should report to Council 2021.</w:t>
            </w:r>
          </w:p>
          <w:p w14:paraId="77C72F5C" w14:textId="77777777"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14:paraId="2F70DBE0" w14:textId="73BBEAC5" w:rsidR="002A2188" w:rsidRPr="00813E5E" w:rsidRDefault="00DC2E2A" w:rsidP="00D04E39">
            <w:pPr>
              <w:spacing w:after="120"/>
            </w:pPr>
            <w:r>
              <w:t xml:space="preserve">The Council is invited to </w:t>
            </w:r>
            <w:r w:rsidRPr="00DC2E2A">
              <w:rPr>
                <w:b/>
              </w:rPr>
              <w:t>consider</w:t>
            </w:r>
            <w:r>
              <w:t xml:space="preserve"> the views of Australia </w:t>
            </w:r>
            <w:r w:rsidR="009B580D">
              <w:t xml:space="preserve">presented </w:t>
            </w:r>
            <w:r>
              <w:t xml:space="preserve">in this document, </w:t>
            </w:r>
            <w:r w:rsidRPr="00DC2E2A">
              <w:rPr>
                <w:b/>
              </w:rPr>
              <w:t>adopt</w:t>
            </w:r>
            <w:r>
              <w:t xml:space="preserve"> </w:t>
            </w:r>
            <w:r w:rsidR="009B580D">
              <w:t>Procedure B</w:t>
            </w:r>
            <w:r>
              <w:t xml:space="preserve"> </w:t>
            </w:r>
            <w:r w:rsidR="0093549C">
              <w:t xml:space="preserve">in Document EGD482-2/3 </w:t>
            </w:r>
            <w:r w:rsidR="009B580D">
              <w:t>with collection of additional statistics</w:t>
            </w:r>
            <w:r w:rsidR="0093549C">
              <w:t xml:space="preserve"> to enable review of Procedure B by Council 2021</w:t>
            </w:r>
            <w:r w:rsidR="009B580D">
              <w:t>,</w:t>
            </w:r>
            <w:r>
              <w:t xml:space="preserve"> and </w:t>
            </w:r>
            <w:r w:rsidRPr="00DC2E2A">
              <w:rPr>
                <w:b/>
              </w:rPr>
              <w:t>adopt</w:t>
            </w:r>
            <w:r>
              <w:t xml:space="preserve"> a decision to </w:t>
            </w:r>
            <w:r w:rsidRPr="00FF5538">
              <w:t>establish</w:t>
            </w:r>
            <w:r>
              <w:t xml:space="preserve"> a Council Working Group to </w:t>
            </w:r>
            <w:r w:rsidR="00DF2F49">
              <w:t xml:space="preserve">review Procedure B’s effectiveness and examine options to modify </w:t>
            </w:r>
            <w:r>
              <w:t>the methodology for calculation of units for non-GSO systems.</w:t>
            </w:r>
          </w:p>
          <w:p w14:paraId="17AFF92B" w14:textId="77777777" w:rsidR="002A2188" w:rsidRPr="00813E5E" w:rsidRDefault="002A2188" w:rsidP="00D04E39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54F6A376" w14:textId="77777777"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14:paraId="14E9D297" w14:textId="7848DB13" w:rsidR="002A2188" w:rsidRPr="00DF2F49" w:rsidRDefault="009B34CB" w:rsidP="00D672AD">
            <w:pPr>
              <w:spacing w:after="120"/>
              <w:rPr>
                <w:i/>
                <w:iCs/>
              </w:rPr>
            </w:pPr>
            <w:hyperlink r:id="rId12" w:history="1">
              <w:r w:rsidR="00EA351D" w:rsidRPr="00D672AD">
                <w:rPr>
                  <w:rStyle w:val="Hyperlink"/>
                  <w:i/>
                </w:rPr>
                <w:t>Resolution 91 (Rev. Guadalajara, 2010)</w:t>
              </w:r>
            </w:hyperlink>
            <w:r w:rsidR="00EA351D" w:rsidRPr="00DF2F49">
              <w:rPr>
                <w:i/>
              </w:rPr>
              <w:t xml:space="preserve"> of the Plenipotentiary Conference</w:t>
            </w:r>
            <w:r w:rsidR="00D672AD">
              <w:rPr>
                <w:i/>
              </w:rPr>
              <w:t xml:space="preserve">, </w:t>
            </w:r>
            <w:r w:rsidR="00D672AD" w:rsidRPr="00DF2F49">
              <w:rPr>
                <w:i/>
                <w:iCs/>
              </w:rPr>
              <w:t xml:space="preserve">Documents </w:t>
            </w:r>
            <w:hyperlink r:id="rId13" w:history="1">
              <w:r w:rsidR="007A3990" w:rsidRPr="00DF2F49">
                <w:rPr>
                  <w:rStyle w:val="Hyperlink"/>
                  <w:i/>
                  <w:iCs/>
                </w:rPr>
                <w:t>EGD482-2/3</w:t>
              </w:r>
            </w:hyperlink>
            <w:r w:rsidR="00DC2E2A" w:rsidRPr="00DF2F49">
              <w:rPr>
                <w:i/>
                <w:iCs/>
              </w:rPr>
              <w:t xml:space="preserve">, </w:t>
            </w:r>
            <w:hyperlink r:id="rId14" w:history="1">
              <w:r w:rsidR="00DC2E2A" w:rsidRPr="00DF2F49">
                <w:rPr>
                  <w:rStyle w:val="Hyperlink"/>
                  <w:i/>
                  <w:iCs/>
                </w:rPr>
                <w:t>Council Decision 482 (modified 2018)</w:t>
              </w:r>
            </w:hyperlink>
            <w:r w:rsidR="00145166" w:rsidRPr="00DF2F49">
              <w:rPr>
                <w:i/>
                <w:iCs/>
              </w:rPr>
              <w:t xml:space="preserve">, </w:t>
            </w:r>
            <w:hyperlink r:id="rId15" w:history="1">
              <w:r w:rsidR="00F81DB3" w:rsidRPr="00DF2F49">
                <w:rPr>
                  <w:rStyle w:val="Hyperlink"/>
                  <w:i/>
                  <w:iCs/>
                </w:rPr>
                <w:t>R</w:t>
              </w:r>
              <w:r w:rsidR="007A3990" w:rsidRPr="00DF2F49">
                <w:rPr>
                  <w:rStyle w:val="Hyperlink"/>
                  <w:i/>
                  <w:iCs/>
                </w:rPr>
                <w:t>RB17</w:t>
              </w:r>
              <w:r w:rsidR="007A3990" w:rsidRPr="00DF2F49">
                <w:rPr>
                  <w:rStyle w:val="Hyperlink"/>
                  <w:i/>
                  <w:iCs/>
                </w:rPr>
                <w:noBreakHyphen/>
              </w:r>
              <w:r w:rsidR="00F81DB3" w:rsidRPr="00DF2F49">
                <w:rPr>
                  <w:rStyle w:val="Hyperlink"/>
                  <w:i/>
                  <w:iCs/>
                </w:rPr>
                <w:t>3/2(Add.8)</w:t>
              </w:r>
            </w:hyperlink>
          </w:p>
        </w:tc>
      </w:tr>
    </w:tbl>
    <w:p w14:paraId="723FEF6E" w14:textId="77777777" w:rsidR="002A2188" w:rsidRDefault="002A2188" w:rsidP="002A2188">
      <w:pPr>
        <w:pStyle w:val="Normalaftertitle"/>
      </w:pPr>
      <w:bookmarkStart w:id="8" w:name="dstart"/>
      <w:bookmarkStart w:id="9" w:name="dbreak"/>
      <w:bookmarkEnd w:id="8"/>
      <w:bookmarkEnd w:id="9"/>
    </w:p>
    <w:p w14:paraId="19D1553C" w14:textId="77777777" w:rsidR="002A2188" w:rsidRDefault="002A2188" w:rsidP="002A21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10" w:name="_GoBack"/>
      <w:bookmarkEnd w:id="10"/>
    </w:p>
    <w:p w14:paraId="0EBFA575" w14:textId="77777777" w:rsidR="00264425" w:rsidRDefault="001A6845" w:rsidP="00DD6361">
      <w:pPr>
        <w:pStyle w:val="Headingb"/>
        <w:rPr>
          <w:lang w:val="en-US"/>
        </w:rPr>
      </w:pPr>
      <w:r>
        <w:rPr>
          <w:lang w:val="en-US"/>
        </w:rPr>
        <w:lastRenderedPageBreak/>
        <w:t xml:space="preserve">1. </w:t>
      </w:r>
      <w:r w:rsidR="00EA351D">
        <w:rPr>
          <w:lang w:val="en-US"/>
        </w:rPr>
        <w:tab/>
      </w:r>
      <w:r w:rsidR="00DD6361">
        <w:rPr>
          <w:lang w:val="en-US"/>
        </w:rPr>
        <w:t>Introduction</w:t>
      </w:r>
    </w:p>
    <w:p w14:paraId="693B37FE" w14:textId="229BDF47" w:rsidR="00DD6361" w:rsidRDefault="00DD6361" w:rsidP="00DD6361">
      <w:pPr>
        <w:rPr>
          <w:lang w:val="en-US"/>
        </w:rPr>
      </w:pPr>
      <w:r>
        <w:rPr>
          <w:lang w:val="en-US"/>
        </w:rPr>
        <w:t xml:space="preserve">This contribution sets out the views of Australia on </w:t>
      </w:r>
      <w:r w:rsidR="00FF5538">
        <w:rPr>
          <w:lang w:val="en-US"/>
        </w:rPr>
        <w:t xml:space="preserve">the </w:t>
      </w:r>
      <w:r w:rsidR="00F81DB3">
        <w:rPr>
          <w:lang w:val="en-US"/>
        </w:rPr>
        <w:t xml:space="preserve">introduction of </w:t>
      </w:r>
      <w:r w:rsidR="00B463A7">
        <w:rPr>
          <w:lang w:val="en-US"/>
        </w:rPr>
        <w:t>specific</w:t>
      </w:r>
      <w:r w:rsidR="00F81DB3">
        <w:rPr>
          <w:lang w:val="en-US"/>
        </w:rPr>
        <w:t xml:space="preserve"> provisions for </w:t>
      </w:r>
      <w:r>
        <w:rPr>
          <w:lang w:val="en-US"/>
        </w:rPr>
        <w:t>cost recovery for the processing of non-GSO satellite system filings.</w:t>
      </w:r>
    </w:p>
    <w:p w14:paraId="1FDFF7D9" w14:textId="40F1841D" w:rsidR="00EC073F" w:rsidRDefault="00EC073F" w:rsidP="00EC073F">
      <w:r>
        <w:t xml:space="preserve">In assessing possible changes to </w:t>
      </w:r>
      <w:r w:rsidR="005A3284">
        <w:t xml:space="preserve">these </w:t>
      </w:r>
      <w:r>
        <w:t xml:space="preserve">cost recovery arrangements, Australia </w:t>
      </w:r>
      <w:r w:rsidR="00EA351D">
        <w:t xml:space="preserve">is guided by </w:t>
      </w:r>
      <w:r>
        <w:t>the following principles:</w:t>
      </w:r>
    </w:p>
    <w:p w14:paraId="6E33FADF" w14:textId="12C3B02E" w:rsidR="0093549C" w:rsidRDefault="0059456D" w:rsidP="0059456D">
      <w:pPr>
        <w:pStyle w:val="ListParagraph"/>
        <w:numPr>
          <w:ilvl w:val="0"/>
          <w:numId w:val="3"/>
        </w:numPr>
      </w:pPr>
      <w:r>
        <w:t xml:space="preserve">The cost recovery fee for each satellite network or system filing should align as closely as possible with the actual costs incurred in </w:t>
      </w:r>
      <w:r w:rsidR="00DF2F49">
        <w:t>processing</w:t>
      </w:r>
      <w:r>
        <w:t xml:space="preserve"> that filing</w:t>
      </w:r>
      <w:r w:rsidR="0093549C">
        <w:t>.</w:t>
      </w:r>
    </w:p>
    <w:p w14:paraId="5B2C424F" w14:textId="503FE741" w:rsidR="0059456D" w:rsidRDefault="0093549C" w:rsidP="0059456D">
      <w:pPr>
        <w:pStyle w:val="ListParagraph"/>
        <w:numPr>
          <w:ilvl w:val="0"/>
          <w:numId w:val="3"/>
        </w:numPr>
      </w:pPr>
      <w:r>
        <w:t>S</w:t>
      </w:r>
      <w:r w:rsidR="00E07D7D">
        <w:t xml:space="preserve">ubsidisation of filing </w:t>
      </w:r>
      <w:r w:rsidR="00DF2F49">
        <w:t>processing</w:t>
      </w:r>
      <w:r w:rsidR="00E07D7D">
        <w:t xml:space="preserve"> costs by other ITU members </w:t>
      </w:r>
      <w:r w:rsidR="003A4B92">
        <w:t xml:space="preserve">or </w:t>
      </w:r>
      <w:r w:rsidR="00E07D7D">
        <w:t xml:space="preserve">from cost recovery fees </w:t>
      </w:r>
      <w:r w:rsidR="003A4B92">
        <w:t xml:space="preserve">for </w:t>
      </w:r>
      <w:r w:rsidR="00E07D7D">
        <w:t>other filings</w:t>
      </w:r>
      <w:r>
        <w:t xml:space="preserve"> should be avoided to the extent possible</w:t>
      </w:r>
      <w:r w:rsidR="00E07D7D">
        <w:t>.</w:t>
      </w:r>
    </w:p>
    <w:p w14:paraId="4BF8AFEF" w14:textId="77777777" w:rsidR="00EC073F" w:rsidRDefault="00EC073F" w:rsidP="00EC073F">
      <w:pPr>
        <w:pStyle w:val="ListParagraph"/>
        <w:numPr>
          <w:ilvl w:val="0"/>
          <w:numId w:val="3"/>
        </w:numPr>
      </w:pPr>
      <w:r>
        <w:t>The BR should have sufficient resourcing to perform its work to a high standard within regulatory timeframes.</w:t>
      </w:r>
    </w:p>
    <w:p w14:paraId="1E82387F" w14:textId="77777777" w:rsidR="005C0754" w:rsidRDefault="005C0754" w:rsidP="005C0754">
      <w:r>
        <w:t xml:space="preserve">Australia considers these principles consistent with </w:t>
      </w:r>
      <w:r w:rsidR="00EA351D">
        <w:t xml:space="preserve">those defined in </w:t>
      </w:r>
      <w:r>
        <w:t xml:space="preserve">Resolution 91 (Rev. Guadalajara, 2010) </w:t>
      </w:r>
      <w:r w:rsidR="00EA351D">
        <w:t>of the Plenipotentiary Conference</w:t>
      </w:r>
      <w:r w:rsidR="005A3284">
        <w:t xml:space="preserve"> to guide Council’s implementation of cost recovery</w:t>
      </w:r>
      <w:r w:rsidR="00EA351D">
        <w:t xml:space="preserve">. </w:t>
      </w:r>
    </w:p>
    <w:p w14:paraId="04BE1D5B" w14:textId="77777777" w:rsidR="00DD6361" w:rsidRDefault="001A6845" w:rsidP="00DD6361">
      <w:pPr>
        <w:pStyle w:val="Headingb"/>
        <w:rPr>
          <w:lang w:val="en-US"/>
        </w:rPr>
      </w:pPr>
      <w:r>
        <w:rPr>
          <w:lang w:val="en-US"/>
        </w:rPr>
        <w:t xml:space="preserve">2. </w:t>
      </w:r>
      <w:r w:rsidR="00EA351D">
        <w:rPr>
          <w:lang w:val="en-US"/>
        </w:rPr>
        <w:tab/>
      </w:r>
      <w:r w:rsidR="0093549C">
        <w:rPr>
          <w:lang w:val="en-US"/>
        </w:rPr>
        <w:t xml:space="preserve">Adoption </w:t>
      </w:r>
      <w:r w:rsidR="009B580D">
        <w:rPr>
          <w:lang w:val="en-US"/>
        </w:rPr>
        <w:t xml:space="preserve">of </w:t>
      </w:r>
      <w:r w:rsidR="00DD6361">
        <w:rPr>
          <w:lang w:val="en-US"/>
        </w:rPr>
        <w:t>Procedure B</w:t>
      </w:r>
      <w:r w:rsidR="0093549C">
        <w:rPr>
          <w:lang w:val="en-US"/>
        </w:rPr>
        <w:t xml:space="preserve"> with review by Council 2021</w:t>
      </w:r>
    </w:p>
    <w:p w14:paraId="0C78EEE6" w14:textId="3E9784C7" w:rsidR="001E457D" w:rsidRDefault="00E02E35" w:rsidP="00DD6361">
      <w:pPr>
        <w:rPr>
          <w:lang w:val="en-US"/>
        </w:rPr>
      </w:pPr>
      <w:r>
        <w:rPr>
          <w:lang w:val="en-US"/>
        </w:rPr>
        <w:t xml:space="preserve">Australia supports </w:t>
      </w:r>
      <w:r w:rsidR="00B703BC">
        <w:rPr>
          <w:lang w:val="en-US"/>
        </w:rPr>
        <w:t>modification</w:t>
      </w:r>
      <w:r w:rsidR="007A3990">
        <w:rPr>
          <w:lang w:val="en-US"/>
        </w:rPr>
        <w:t xml:space="preserve"> of </w:t>
      </w:r>
      <w:r w:rsidR="00B703BC">
        <w:rPr>
          <w:lang w:val="en-US"/>
        </w:rPr>
        <w:t xml:space="preserve">Council Decision 482 to add new cost recovery arrangements for non-GSO system filings as proposed by the BR </w:t>
      </w:r>
      <w:r w:rsidR="00B463A7">
        <w:rPr>
          <w:lang w:val="en-US"/>
        </w:rPr>
        <w:t>in the conclusion of Document EGD482-2/3</w:t>
      </w:r>
      <w:r w:rsidR="00DF2F49">
        <w:rPr>
          <w:lang w:val="en-US"/>
        </w:rPr>
        <w:t>,</w:t>
      </w:r>
      <w:r w:rsidR="001E457D">
        <w:rPr>
          <w:lang w:val="en-US"/>
        </w:rPr>
        <w:t xml:space="preserve"> with review by Council 2021</w:t>
      </w:r>
      <w:r w:rsidR="00B463A7">
        <w:rPr>
          <w:lang w:val="en-US"/>
        </w:rPr>
        <w:t xml:space="preserve">. </w:t>
      </w:r>
    </w:p>
    <w:p w14:paraId="205E0007" w14:textId="692384E1" w:rsidR="001E457D" w:rsidRDefault="001E457D" w:rsidP="001E457D">
      <w:pPr>
        <w:rPr>
          <w:lang w:val="en-US"/>
        </w:rPr>
      </w:pPr>
      <w:r>
        <w:rPr>
          <w:lang w:val="en-US"/>
        </w:rPr>
        <w:t xml:space="preserve">We consider this review important as </w:t>
      </w:r>
      <w:r w:rsidR="005A3284">
        <w:rPr>
          <w:lang w:val="en-US"/>
        </w:rPr>
        <w:t>the s</w:t>
      </w:r>
      <w:r w:rsidR="00B703BC">
        <w:rPr>
          <w:lang w:val="en-US"/>
        </w:rPr>
        <w:t xml:space="preserve">tatistics currently available on time spent and costs incurred by the BR in </w:t>
      </w:r>
      <w:r w:rsidR="00DF2F49">
        <w:rPr>
          <w:lang w:val="en-US"/>
        </w:rPr>
        <w:t>processing</w:t>
      </w:r>
      <w:r w:rsidR="00B703BC">
        <w:rPr>
          <w:lang w:val="en-US"/>
        </w:rPr>
        <w:t xml:space="preserve"> filings are not sufficient to determine how closely </w:t>
      </w:r>
      <w:r w:rsidR="00DF2F49">
        <w:rPr>
          <w:lang w:val="en-US"/>
        </w:rPr>
        <w:t xml:space="preserve">the </w:t>
      </w:r>
      <w:r w:rsidR="00B463A7">
        <w:rPr>
          <w:lang w:val="en-US"/>
        </w:rPr>
        <w:t xml:space="preserve">cost recovery fees </w:t>
      </w:r>
      <w:r w:rsidR="005A3284">
        <w:rPr>
          <w:lang w:val="en-US"/>
        </w:rPr>
        <w:t xml:space="preserve">collected through Procedure B will </w:t>
      </w:r>
      <w:r w:rsidR="0093549C">
        <w:rPr>
          <w:lang w:val="en-US"/>
        </w:rPr>
        <w:t xml:space="preserve">align with actual costs incurred in </w:t>
      </w:r>
      <w:r w:rsidR="00DF2F49">
        <w:rPr>
          <w:lang w:val="en-US"/>
        </w:rPr>
        <w:t xml:space="preserve">processing </w:t>
      </w:r>
      <w:r w:rsidR="0093549C">
        <w:rPr>
          <w:lang w:val="en-US"/>
        </w:rPr>
        <w:t xml:space="preserve">filings. </w:t>
      </w:r>
    </w:p>
    <w:p w14:paraId="5133DAD8" w14:textId="2A35A36C" w:rsidR="00075B49" w:rsidRDefault="001E457D" w:rsidP="006728B0">
      <w:pPr>
        <w:rPr>
          <w:lang w:val="en-US"/>
        </w:rPr>
      </w:pPr>
      <w:r>
        <w:rPr>
          <w:lang w:val="en-US"/>
        </w:rPr>
        <w:t xml:space="preserve">To support this review, </w:t>
      </w:r>
      <w:r w:rsidR="00DF2F49">
        <w:rPr>
          <w:lang w:val="en-US"/>
        </w:rPr>
        <w:t xml:space="preserve">the </w:t>
      </w:r>
      <w:r w:rsidR="00B463A7">
        <w:rPr>
          <w:lang w:val="en-US"/>
        </w:rPr>
        <w:t xml:space="preserve">BR </w:t>
      </w:r>
      <w:r w:rsidR="00552B7A">
        <w:rPr>
          <w:lang w:val="en-US"/>
        </w:rPr>
        <w:t xml:space="preserve">should be instructed to </w:t>
      </w:r>
      <w:r w:rsidR="00B463A7">
        <w:rPr>
          <w:lang w:val="en-US"/>
        </w:rPr>
        <w:t xml:space="preserve">record </w:t>
      </w:r>
      <w:r w:rsidR="00552B7A">
        <w:rPr>
          <w:lang w:val="en-US"/>
        </w:rPr>
        <w:t xml:space="preserve">specific </w:t>
      </w:r>
      <w:r w:rsidR="00B463A7">
        <w:rPr>
          <w:lang w:val="en-US"/>
        </w:rPr>
        <w:t xml:space="preserve">additional information for </w:t>
      </w:r>
      <w:r w:rsidR="007A2CBC">
        <w:rPr>
          <w:lang w:val="en-US"/>
        </w:rPr>
        <w:t>all satellite</w:t>
      </w:r>
      <w:r w:rsidR="00B463A7">
        <w:rPr>
          <w:lang w:val="en-US"/>
        </w:rPr>
        <w:t xml:space="preserve"> filing</w:t>
      </w:r>
      <w:r w:rsidR="007A2CBC">
        <w:rPr>
          <w:lang w:val="en-US"/>
        </w:rPr>
        <w:t>s (both GSO and non-GSO)</w:t>
      </w:r>
      <w:r w:rsidR="00B463A7">
        <w:rPr>
          <w:lang w:val="en-US"/>
        </w:rPr>
        <w:t xml:space="preserve"> during the </w:t>
      </w:r>
      <w:r w:rsidR="0093549C">
        <w:rPr>
          <w:lang w:val="en-US"/>
        </w:rPr>
        <w:t xml:space="preserve">initial </w:t>
      </w:r>
      <w:r w:rsidR="00075B49">
        <w:rPr>
          <w:lang w:val="en-US"/>
        </w:rPr>
        <w:t>two-year period</w:t>
      </w:r>
      <w:r w:rsidR="00552B7A">
        <w:rPr>
          <w:lang w:val="en-US"/>
        </w:rPr>
        <w:t>,</w:t>
      </w:r>
      <w:r w:rsidR="00B463A7">
        <w:rPr>
          <w:lang w:val="en-US"/>
        </w:rPr>
        <w:t xml:space="preserve"> </w:t>
      </w:r>
      <w:r w:rsidR="0093549C">
        <w:rPr>
          <w:lang w:val="en-US"/>
        </w:rPr>
        <w:t>including</w:t>
      </w:r>
      <w:r w:rsidR="00075B49">
        <w:rPr>
          <w:lang w:val="en-US"/>
        </w:rPr>
        <w:t>:</w:t>
      </w:r>
    </w:p>
    <w:p w14:paraId="4D5F6330" w14:textId="11F49825" w:rsidR="00B463A7" w:rsidRDefault="00FF5538" w:rsidP="00075B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date of commencement of </w:t>
      </w:r>
      <w:proofErr w:type="spellStart"/>
      <w:r>
        <w:rPr>
          <w:lang w:val="en-US"/>
        </w:rPr>
        <w:t>recei</w:t>
      </w:r>
      <w:r w:rsidR="00B463A7">
        <w:rPr>
          <w:lang w:val="en-US"/>
        </w:rPr>
        <w:t>vability</w:t>
      </w:r>
      <w:proofErr w:type="spellEnd"/>
      <w:r w:rsidR="00B463A7">
        <w:rPr>
          <w:lang w:val="en-US"/>
        </w:rPr>
        <w:t xml:space="preserve"> </w:t>
      </w:r>
      <w:r w:rsidR="00552B7A">
        <w:rPr>
          <w:lang w:val="en-US"/>
        </w:rPr>
        <w:t>processing</w:t>
      </w:r>
    </w:p>
    <w:p w14:paraId="5F6D16A8" w14:textId="4F90DAA4" w:rsidR="00B463A7" w:rsidRDefault="00FF5538" w:rsidP="00075B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B463A7">
        <w:rPr>
          <w:lang w:val="en-US"/>
        </w:rPr>
        <w:t>ate of commencement of regulatory and technical examination</w:t>
      </w:r>
    </w:p>
    <w:p w14:paraId="770B0C49" w14:textId="27E5CD5F" w:rsidR="00B463A7" w:rsidRDefault="00FF5538" w:rsidP="00075B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B463A7">
        <w:rPr>
          <w:lang w:val="en-US"/>
        </w:rPr>
        <w:t xml:space="preserve">ate </w:t>
      </w:r>
      <w:r w:rsidR="00552B7A">
        <w:rPr>
          <w:lang w:val="en-US"/>
        </w:rPr>
        <w:t>satellite filing is ready for publication</w:t>
      </w:r>
    </w:p>
    <w:p w14:paraId="7DE343E0" w14:textId="3134C684" w:rsidR="00552B7A" w:rsidRDefault="00FF5538" w:rsidP="00075B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552B7A">
        <w:rPr>
          <w:lang w:val="en-US"/>
        </w:rPr>
        <w:t>mount of time spent establishing each submission as receivable, at each staff grade</w:t>
      </w:r>
    </w:p>
    <w:p w14:paraId="12AFF638" w14:textId="7A29448D" w:rsidR="00552B7A" w:rsidRDefault="00FF5538" w:rsidP="00075B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552B7A">
        <w:rPr>
          <w:lang w:val="en-US"/>
        </w:rPr>
        <w:t>mount of time spent performing the required regulatory and technical examinations for each submission, at each staff grade</w:t>
      </w:r>
    </w:p>
    <w:p w14:paraId="03856FFB" w14:textId="439C71B9" w:rsidR="00552B7A" w:rsidRDefault="00FF5538" w:rsidP="00075B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552B7A">
        <w:rPr>
          <w:lang w:val="en-US"/>
        </w:rPr>
        <w:t xml:space="preserve">mount of time spent preparing notices for publication for each </w:t>
      </w:r>
      <w:r>
        <w:rPr>
          <w:lang w:val="en-US"/>
        </w:rPr>
        <w:t>submission, at each staff grade</w:t>
      </w:r>
    </w:p>
    <w:p w14:paraId="3125950D" w14:textId="5BD21F11" w:rsidR="00075B49" w:rsidRDefault="00FF5538" w:rsidP="00075B49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a</w:t>
      </w:r>
      <w:r w:rsidR="00552B7A">
        <w:rPr>
          <w:lang w:val="en-US"/>
        </w:rPr>
        <w:t>ny</w:t>
      </w:r>
      <w:proofErr w:type="gramEnd"/>
      <w:r w:rsidR="00552B7A">
        <w:rPr>
          <w:lang w:val="en-US"/>
        </w:rPr>
        <w:t xml:space="preserve"> additional costs inc</w:t>
      </w:r>
      <w:r>
        <w:rPr>
          <w:lang w:val="en-US"/>
        </w:rPr>
        <w:t>urred in processing each filing.</w:t>
      </w:r>
    </w:p>
    <w:p w14:paraId="09D3D54A" w14:textId="77777777" w:rsidR="00E02E35" w:rsidRDefault="001A6845" w:rsidP="00E02E35">
      <w:pPr>
        <w:pStyle w:val="Headingb"/>
        <w:rPr>
          <w:lang w:val="en-US"/>
        </w:rPr>
      </w:pPr>
      <w:r>
        <w:rPr>
          <w:lang w:val="en-US"/>
        </w:rPr>
        <w:t xml:space="preserve">3. </w:t>
      </w:r>
      <w:r w:rsidR="00EA351D">
        <w:rPr>
          <w:lang w:val="en-US"/>
        </w:rPr>
        <w:tab/>
      </w:r>
      <w:r w:rsidR="009B580D">
        <w:rPr>
          <w:lang w:val="en-US"/>
        </w:rPr>
        <w:t>Possible changes to the m</w:t>
      </w:r>
      <w:r w:rsidR="00E02E35">
        <w:rPr>
          <w:lang w:val="en-US"/>
        </w:rPr>
        <w:t>ethodology for calculating units for non-GSO systems</w:t>
      </w:r>
    </w:p>
    <w:p w14:paraId="1EAA28E3" w14:textId="35F2702D" w:rsidR="00B703BC" w:rsidRDefault="00E02E35" w:rsidP="001E4DF3">
      <w:pPr>
        <w:rPr>
          <w:lang w:val="en-US"/>
        </w:rPr>
      </w:pPr>
      <w:r>
        <w:rPr>
          <w:lang w:val="en-US"/>
        </w:rPr>
        <w:t xml:space="preserve">Australia notes that the </w:t>
      </w:r>
      <w:r w:rsidR="00C27B23">
        <w:rPr>
          <w:lang w:val="en-US"/>
        </w:rPr>
        <w:t xml:space="preserve">BR proposed changes to the methodology </w:t>
      </w:r>
      <w:r w:rsidR="00B703BC">
        <w:rPr>
          <w:lang w:val="en-US"/>
        </w:rPr>
        <w:t xml:space="preserve">in Decision 482 </w:t>
      </w:r>
      <w:r w:rsidR="00C27B23">
        <w:rPr>
          <w:lang w:val="en-US"/>
        </w:rPr>
        <w:t xml:space="preserve">for calculating units for a satellite system </w:t>
      </w:r>
      <w:r w:rsidR="00524B94">
        <w:rPr>
          <w:lang w:val="en-US"/>
        </w:rPr>
        <w:t>(see e.g. Document RRB17</w:t>
      </w:r>
      <w:r w:rsidR="00524B94">
        <w:rPr>
          <w:lang w:val="en-US"/>
        </w:rPr>
        <w:noBreakHyphen/>
        <w:t xml:space="preserve">3/2(Add.8)). The changes proposed </w:t>
      </w:r>
      <w:r w:rsidR="00B703BC">
        <w:rPr>
          <w:lang w:val="en-US"/>
        </w:rPr>
        <w:t xml:space="preserve">would apply </w:t>
      </w:r>
      <w:r w:rsidR="00C27B23">
        <w:rPr>
          <w:lang w:val="en-US"/>
        </w:rPr>
        <w:t>to non-GSO systems</w:t>
      </w:r>
      <w:r w:rsidR="00324145">
        <w:rPr>
          <w:lang w:val="en-US"/>
        </w:rPr>
        <w:t xml:space="preserve"> only</w:t>
      </w:r>
      <w:r w:rsidR="00C27B23">
        <w:rPr>
          <w:lang w:val="en-US"/>
        </w:rPr>
        <w:t xml:space="preserve">. This </w:t>
      </w:r>
      <w:r w:rsidR="00B703BC">
        <w:rPr>
          <w:lang w:val="en-US"/>
        </w:rPr>
        <w:t xml:space="preserve">matter </w:t>
      </w:r>
      <w:r w:rsidR="00C27B23">
        <w:rPr>
          <w:lang w:val="en-US"/>
        </w:rPr>
        <w:t xml:space="preserve">was </w:t>
      </w:r>
      <w:r w:rsidR="00B703BC">
        <w:rPr>
          <w:lang w:val="en-US"/>
        </w:rPr>
        <w:t xml:space="preserve">raised at meetings of the </w:t>
      </w:r>
      <w:r w:rsidR="00C27B23">
        <w:rPr>
          <w:lang w:val="en-US"/>
        </w:rPr>
        <w:t xml:space="preserve">Council Expert Group on Decision 482 </w:t>
      </w:r>
      <w:r w:rsidR="00B703BC">
        <w:rPr>
          <w:lang w:val="en-US"/>
        </w:rPr>
        <w:t>but was considered out of scope of the Expert Group’s terms of reference</w:t>
      </w:r>
      <w:r w:rsidR="00C27B23">
        <w:rPr>
          <w:lang w:val="en-US"/>
        </w:rPr>
        <w:t xml:space="preserve">. </w:t>
      </w:r>
    </w:p>
    <w:p w14:paraId="00EF5E5E" w14:textId="77777777" w:rsidR="00EC073F" w:rsidRDefault="00B703BC" w:rsidP="001E4DF3">
      <w:pPr>
        <w:rPr>
          <w:rFonts w:cstheme="minorHAnsi"/>
          <w:szCs w:val="24"/>
        </w:rPr>
      </w:pPr>
      <w:r>
        <w:rPr>
          <w:lang w:val="en-US"/>
        </w:rPr>
        <w:t xml:space="preserve">In comparison to </w:t>
      </w:r>
      <w:r w:rsidR="001E4DF3">
        <w:rPr>
          <w:rFonts w:cstheme="minorHAnsi"/>
          <w:szCs w:val="24"/>
        </w:rPr>
        <w:t xml:space="preserve">GSO satellite networks, non-GSO satellite systems have additional data elements </w:t>
      </w:r>
      <w:r w:rsidR="00A42164">
        <w:rPr>
          <w:rFonts w:cstheme="minorHAnsi"/>
          <w:szCs w:val="24"/>
        </w:rPr>
        <w:t>(</w:t>
      </w:r>
      <w:r w:rsidR="001E4DF3">
        <w:rPr>
          <w:rFonts w:cstheme="minorHAnsi"/>
          <w:szCs w:val="24"/>
        </w:rPr>
        <w:t xml:space="preserve">specified in </w:t>
      </w:r>
      <w:r w:rsidR="001E4DF3" w:rsidRPr="00EA351D">
        <w:rPr>
          <w:rFonts w:cstheme="minorHAnsi"/>
          <w:szCs w:val="24"/>
        </w:rPr>
        <w:t xml:space="preserve">Appendix </w:t>
      </w:r>
      <w:r w:rsidR="001E4DF3" w:rsidRPr="00573C01">
        <w:rPr>
          <w:rFonts w:cstheme="minorHAnsi"/>
          <w:bCs/>
          <w:szCs w:val="24"/>
        </w:rPr>
        <w:t>4</w:t>
      </w:r>
      <w:r w:rsidR="001E4DF3">
        <w:rPr>
          <w:rFonts w:cstheme="minorHAnsi"/>
          <w:szCs w:val="24"/>
        </w:rPr>
        <w:t xml:space="preserve"> of the Radio Regulations</w:t>
      </w:r>
      <w:r w:rsidR="00A42164">
        <w:rPr>
          <w:rFonts w:cstheme="minorHAnsi"/>
          <w:szCs w:val="24"/>
        </w:rPr>
        <w:t>)</w:t>
      </w:r>
      <w:r w:rsidR="001E4DF3">
        <w:rPr>
          <w:rFonts w:cstheme="minorHAnsi"/>
          <w:szCs w:val="24"/>
        </w:rPr>
        <w:t xml:space="preserve"> that must be taken into consideration when processing satellite filings. These additional data elements add to the complexity of the </w:t>
      </w:r>
      <w:r w:rsidR="00A42164">
        <w:rPr>
          <w:rFonts w:cstheme="minorHAnsi"/>
          <w:szCs w:val="24"/>
        </w:rPr>
        <w:t xml:space="preserve">BR’s </w:t>
      </w:r>
      <w:r w:rsidR="001E4DF3">
        <w:rPr>
          <w:rFonts w:cstheme="minorHAnsi"/>
          <w:szCs w:val="24"/>
        </w:rPr>
        <w:t xml:space="preserve">examination. </w:t>
      </w:r>
      <w:r w:rsidR="00EC073F">
        <w:rPr>
          <w:rFonts w:cstheme="minorHAnsi"/>
          <w:szCs w:val="24"/>
        </w:rPr>
        <w:t xml:space="preserve">Two data elements highlighted by the BR as particularly affecting the treatment of </w:t>
      </w:r>
      <w:r w:rsidR="00EC073F">
        <w:rPr>
          <w:rFonts w:cstheme="minorHAnsi"/>
          <w:szCs w:val="24"/>
        </w:rPr>
        <w:lastRenderedPageBreak/>
        <w:t>notices are the number of orbital altitudes and the number of inclinations involved in the non-GSO satellite system.</w:t>
      </w:r>
      <w:r w:rsidR="0059456D">
        <w:rPr>
          <w:rFonts w:cstheme="minorHAnsi"/>
          <w:szCs w:val="24"/>
        </w:rPr>
        <w:t xml:space="preserve"> Other data elements may also have an effect.</w:t>
      </w:r>
    </w:p>
    <w:p w14:paraId="7A03DDB7" w14:textId="77777777" w:rsidR="001E4DF3" w:rsidRDefault="001E4DF3" w:rsidP="001E4DF3">
      <w:pPr>
        <w:rPr>
          <w:rFonts w:ascii="Times New Roman" w:hAnsi="Times New Roman" w:cstheme="minorHAnsi"/>
          <w:szCs w:val="24"/>
        </w:rPr>
      </w:pPr>
      <w:r>
        <w:rPr>
          <w:rFonts w:cstheme="minorHAnsi"/>
          <w:szCs w:val="24"/>
        </w:rPr>
        <w:t>The current cost recovery fee structure of Council Decision 482 is the same for both GSO</w:t>
      </w:r>
      <w:r w:rsidR="00A42164">
        <w:rPr>
          <w:rFonts w:cstheme="minorHAnsi"/>
          <w:szCs w:val="24"/>
        </w:rPr>
        <w:t xml:space="preserve"> and non-GSO satellite networks and systems</w:t>
      </w:r>
      <w:r w:rsidR="00B703BC">
        <w:rPr>
          <w:rFonts w:cstheme="minorHAnsi"/>
          <w:szCs w:val="24"/>
        </w:rPr>
        <w:t>. It does not take account of the increased work involved in examining non-GSO system filings generated from the additional data elements</w:t>
      </w:r>
      <w:r w:rsidR="00EC073F">
        <w:rPr>
          <w:rFonts w:cstheme="minorHAnsi"/>
          <w:szCs w:val="24"/>
        </w:rPr>
        <w:t>.</w:t>
      </w:r>
    </w:p>
    <w:p w14:paraId="015D9DB6" w14:textId="77777777" w:rsidR="001E4DF3" w:rsidRPr="00324145" w:rsidRDefault="001A6845" w:rsidP="00800CE1">
      <w:pPr>
        <w:pStyle w:val="Headingi"/>
        <w:rPr>
          <w:b/>
          <w:i w:val="0"/>
        </w:rPr>
      </w:pPr>
      <w:r>
        <w:rPr>
          <w:b/>
          <w:i w:val="0"/>
        </w:rPr>
        <w:t>4.</w:t>
      </w:r>
      <w:r w:rsidR="00EA351D">
        <w:rPr>
          <w:b/>
          <w:i w:val="0"/>
        </w:rPr>
        <w:tab/>
      </w:r>
      <w:r w:rsidR="00800CE1" w:rsidRPr="00324145">
        <w:rPr>
          <w:b/>
          <w:i w:val="0"/>
        </w:rPr>
        <w:t>Proposal to establish a Council Working Group</w:t>
      </w:r>
      <w:r w:rsidR="00324145">
        <w:rPr>
          <w:b/>
          <w:i w:val="0"/>
        </w:rPr>
        <w:t xml:space="preserve"> on Satellite Cost Recovery</w:t>
      </w:r>
    </w:p>
    <w:p w14:paraId="416586A2" w14:textId="18975821" w:rsidR="0059456D" w:rsidRDefault="00F64532" w:rsidP="001E4DF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Australia </w:t>
      </w:r>
      <w:r w:rsidR="00B1732B">
        <w:rPr>
          <w:rFonts w:cstheme="minorHAnsi"/>
          <w:szCs w:val="24"/>
        </w:rPr>
        <w:t xml:space="preserve">therefore </w:t>
      </w:r>
      <w:r>
        <w:rPr>
          <w:rFonts w:cstheme="minorHAnsi"/>
          <w:szCs w:val="24"/>
        </w:rPr>
        <w:t xml:space="preserve">proposes that Council 2019 establish a Council Working Group </w:t>
      </w:r>
      <w:r w:rsidR="00B1732B">
        <w:rPr>
          <w:rFonts w:cstheme="minorHAnsi"/>
          <w:szCs w:val="24"/>
        </w:rPr>
        <w:t xml:space="preserve">with terms of reference </w:t>
      </w:r>
      <w:r w:rsidR="00820A16">
        <w:rPr>
          <w:rFonts w:cstheme="minorHAnsi"/>
          <w:szCs w:val="24"/>
        </w:rPr>
        <w:t xml:space="preserve">including </w:t>
      </w:r>
      <w:r w:rsidR="00B1732B">
        <w:rPr>
          <w:rFonts w:cstheme="minorHAnsi"/>
          <w:szCs w:val="24"/>
        </w:rPr>
        <w:t xml:space="preserve">review </w:t>
      </w:r>
      <w:r w:rsidR="00524B94">
        <w:rPr>
          <w:rFonts w:cstheme="minorHAnsi"/>
          <w:szCs w:val="24"/>
        </w:rPr>
        <w:t xml:space="preserve">of </w:t>
      </w:r>
      <w:r w:rsidR="00B1732B">
        <w:rPr>
          <w:rFonts w:cstheme="minorHAnsi"/>
          <w:szCs w:val="24"/>
        </w:rPr>
        <w:t xml:space="preserve">Procedure B’s effectiveness and </w:t>
      </w:r>
      <w:r w:rsidR="00820A16">
        <w:rPr>
          <w:rFonts w:cstheme="minorHAnsi"/>
          <w:szCs w:val="24"/>
        </w:rPr>
        <w:t>examination of</w:t>
      </w:r>
      <w:r>
        <w:rPr>
          <w:rFonts w:cstheme="minorHAnsi"/>
          <w:szCs w:val="24"/>
        </w:rPr>
        <w:t xml:space="preserve"> options for modifying the methodology </w:t>
      </w:r>
      <w:r w:rsidR="0059456D">
        <w:rPr>
          <w:rFonts w:cstheme="minorHAnsi"/>
          <w:szCs w:val="24"/>
        </w:rPr>
        <w:t>for calculating units</w:t>
      </w:r>
      <w:r>
        <w:rPr>
          <w:rFonts w:cstheme="minorHAnsi"/>
          <w:szCs w:val="24"/>
        </w:rPr>
        <w:t xml:space="preserve">. </w:t>
      </w:r>
    </w:p>
    <w:p w14:paraId="6EEAD522" w14:textId="0FCD8363" w:rsidR="001E4DF3" w:rsidRDefault="00324145" w:rsidP="001E4DF3">
      <w:pPr>
        <w:rPr>
          <w:rFonts w:cstheme="minorHAnsi"/>
          <w:szCs w:val="24"/>
          <w:lang w:val="en-AU"/>
        </w:rPr>
      </w:pPr>
      <w:r>
        <w:rPr>
          <w:rFonts w:cstheme="minorHAnsi"/>
          <w:szCs w:val="24"/>
          <w:lang w:val="en-AU"/>
        </w:rPr>
        <w:t xml:space="preserve">The Working </w:t>
      </w:r>
      <w:r w:rsidR="00F64532">
        <w:rPr>
          <w:rFonts w:cstheme="minorHAnsi"/>
          <w:szCs w:val="24"/>
          <w:lang w:val="en-AU"/>
        </w:rPr>
        <w:t xml:space="preserve">Group </w:t>
      </w:r>
      <w:r>
        <w:rPr>
          <w:rFonts w:cstheme="minorHAnsi"/>
          <w:szCs w:val="24"/>
          <w:lang w:val="en-AU"/>
        </w:rPr>
        <w:t xml:space="preserve">should </w:t>
      </w:r>
      <w:r w:rsidR="00820A16">
        <w:rPr>
          <w:rFonts w:cstheme="minorHAnsi"/>
          <w:szCs w:val="24"/>
          <w:lang w:val="en-AU"/>
        </w:rPr>
        <w:t>report to Council 2021 with</w:t>
      </w:r>
      <w:r w:rsidR="00F64532">
        <w:rPr>
          <w:rFonts w:cstheme="minorHAnsi"/>
          <w:szCs w:val="24"/>
          <w:lang w:val="en-AU"/>
        </w:rPr>
        <w:t xml:space="preserve"> </w:t>
      </w:r>
      <w:r w:rsidR="009B580D">
        <w:rPr>
          <w:rFonts w:cstheme="minorHAnsi"/>
          <w:szCs w:val="24"/>
          <w:lang w:val="en-AU"/>
        </w:rPr>
        <w:t>recommen</w:t>
      </w:r>
      <w:r w:rsidR="00F64532">
        <w:rPr>
          <w:rFonts w:cstheme="minorHAnsi"/>
          <w:szCs w:val="24"/>
          <w:lang w:val="en-AU"/>
        </w:rPr>
        <w:t>d</w:t>
      </w:r>
      <w:r w:rsidR="00820A16">
        <w:rPr>
          <w:rFonts w:cstheme="minorHAnsi"/>
          <w:szCs w:val="24"/>
          <w:lang w:val="en-AU"/>
        </w:rPr>
        <w:t>ations</w:t>
      </w:r>
      <w:r w:rsidR="00F64532">
        <w:rPr>
          <w:rFonts w:cstheme="minorHAnsi"/>
          <w:szCs w:val="24"/>
          <w:lang w:val="en-AU"/>
        </w:rPr>
        <w:t xml:space="preserve"> </w:t>
      </w:r>
      <w:r w:rsidR="00B1732B">
        <w:rPr>
          <w:rFonts w:cstheme="minorHAnsi"/>
          <w:szCs w:val="24"/>
          <w:lang w:val="en-AU"/>
        </w:rPr>
        <w:t xml:space="preserve">for </w:t>
      </w:r>
      <w:r w:rsidR="00471636">
        <w:rPr>
          <w:rFonts w:cstheme="minorHAnsi"/>
          <w:szCs w:val="24"/>
          <w:lang w:val="en-AU"/>
        </w:rPr>
        <w:t xml:space="preserve">changes to Council Decision 482, including </w:t>
      </w:r>
      <w:r w:rsidR="00B1732B">
        <w:rPr>
          <w:rFonts w:cstheme="minorHAnsi"/>
          <w:szCs w:val="24"/>
          <w:lang w:val="en-AU"/>
        </w:rPr>
        <w:t xml:space="preserve">adjustments to Procedure B </w:t>
      </w:r>
      <w:r w:rsidR="00820A16">
        <w:rPr>
          <w:rFonts w:cstheme="minorHAnsi"/>
          <w:szCs w:val="24"/>
          <w:lang w:val="en-AU"/>
        </w:rPr>
        <w:t xml:space="preserve">(if </w:t>
      </w:r>
      <w:r w:rsidR="00B1732B">
        <w:rPr>
          <w:rFonts w:cstheme="minorHAnsi"/>
          <w:szCs w:val="24"/>
          <w:lang w:val="en-AU"/>
        </w:rPr>
        <w:t>required</w:t>
      </w:r>
      <w:r w:rsidR="00820A16">
        <w:rPr>
          <w:rFonts w:cstheme="minorHAnsi"/>
          <w:szCs w:val="24"/>
          <w:lang w:val="en-AU"/>
        </w:rPr>
        <w:t>) and</w:t>
      </w:r>
      <w:r w:rsidR="00B1732B">
        <w:rPr>
          <w:rFonts w:cstheme="minorHAnsi"/>
          <w:szCs w:val="24"/>
          <w:lang w:val="en-AU"/>
        </w:rPr>
        <w:t xml:space="preserve"> </w:t>
      </w:r>
      <w:r w:rsidR="00F64532">
        <w:rPr>
          <w:rFonts w:cstheme="minorHAnsi"/>
          <w:szCs w:val="24"/>
          <w:lang w:val="en-AU"/>
        </w:rPr>
        <w:t xml:space="preserve">modification of the methodology </w:t>
      </w:r>
      <w:r w:rsidR="00820A16">
        <w:rPr>
          <w:rFonts w:cstheme="minorHAnsi"/>
          <w:szCs w:val="24"/>
          <w:lang w:val="en-AU"/>
        </w:rPr>
        <w:t>for calculating units</w:t>
      </w:r>
      <w:r>
        <w:rPr>
          <w:rFonts w:cstheme="minorHAnsi"/>
          <w:szCs w:val="24"/>
          <w:lang w:val="en-AU"/>
        </w:rPr>
        <w:t>.</w:t>
      </w:r>
      <w:r w:rsidR="00D01CF9">
        <w:rPr>
          <w:rFonts w:cstheme="minorHAnsi"/>
          <w:szCs w:val="24"/>
          <w:lang w:val="en-AU"/>
        </w:rPr>
        <w:t xml:space="preserve"> </w:t>
      </w:r>
      <w:r w:rsidR="00B94E42">
        <w:rPr>
          <w:rFonts w:cstheme="minorHAnsi"/>
          <w:szCs w:val="24"/>
          <w:lang w:val="en-AU"/>
        </w:rPr>
        <w:t>The Group should formally seek the views of relevant ITU-R Working Parties.</w:t>
      </w:r>
    </w:p>
    <w:p w14:paraId="41FF62DA" w14:textId="77777777" w:rsidR="00E02E35" w:rsidRDefault="00F64532" w:rsidP="00E02E35">
      <w:pPr>
        <w:rPr>
          <w:rFonts w:cstheme="minorHAnsi"/>
          <w:szCs w:val="24"/>
          <w:lang w:val="en-AU"/>
        </w:rPr>
      </w:pPr>
      <w:r>
        <w:rPr>
          <w:rFonts w:cstheme="minorHAnsi"/>
          <w:szCs w:val="24"/>
          <w:lang w:val="en-AU"/>
        </w:rPr>
        <w:t xml:space="preserve">Australia considers that a Council Working Group is the </w:t>
      </w:r>
      <w:r w:rsidR="009B580D">
        <w:rPr>
          <w:rFonts w:cstheme="minorHAnsi"/>
          <w:szCs w:val="24"/>
          <w:lang w:val="en-AU"/>
        </w:rPr>
        <w:t xml:space="preserve">most </w:t>
      </w:r>
      <w:r>
        <w:rPr>
          <w:rFonts w:cstheme="minorHAnsi"/>
          <w:szCs w:val="24"/>
          <w:lang w:val="en-AU"/>
        </w:rPr>
        <w:t xml:space="preserve">appropriate structure for this work to </w:t>
      </w:r>
      <w:r w:rsidR="0059456D">
        <w:rPr>
          <w:rFonts w:cstheme="minorHAnsi"/>
          <w:szCs w:val="24"/>
          <w:lang w:val="en-AU"/>
        </w:rPr>
        <w:t xml:space="preserve">ensure consideration is given </w:t>
      </w:r>
      <w:r w:rsidR="009B580D">
        <w:rPr>
          <w:rFonts w:cstheme="minorHAnsi"/>
          <w:szCs w:val="24"/>
          <w:lang w:val="en-AU"/>
        </w:rPr>
        <w:t xml:space="preserve">not only to the impact of any changes on satellite services but also </w:t>
      </w:r>
      <w:r w:rsidR="0059456D">
        <w:rPr>
          <w:rFonts w:cstheme="minorHAnsi"/>
          <w:szCs w:val="24"/>
          <w:lang w:val="en-AU"/>
        </w:rPr>
        <w:t xml:space="preserve">to </w:t>
      </w:r>
      <w:r w:rsidR="009B580D">
        <w:rPr>
          <w:rFonts w:cstheme="minorHAnsi"/>
          <w:szCs w:val="24"/>
          <w:lang w:val="en-AU"/>
        </w:rPr>
        <w:t xml:space="preserve">impacts on the </w:t>
      </w:r>
      <w:r>
        <w:rPr>
          <w:rFonts w:cstheme="minorHAnsi"/>
          <w:szCs w:val="24"/>
          <w:lang w:val="en-AU"/>
        </w:rPr>
        <w:t>ITU</w:t>
      </w:r>
      <w:r w:rsidR="009B580D">
        <w:rPr>
          <w:rFonts w:cstheme="minorHAnsi"/>
          <w:szCs w:val="24"/>
          <w:lang w:val="en-AU"/>
        </w:rPr>
        <w:t>’s</w:t>
      </w:r>
      <w:r>
        <w:rPr>
          <w:rFonts w:cstheme="minorHAnsi"/>
          <w:szCs w:val="24"/>
          <w:lang w:val="en-AU"/>
        </w:rPr>
        <w:t xml:space="preserve"> budget and </w:t>
      </w:r>
      <w:r w:rsidR="009B580D">
        <w:rPr>
          <w:rFonts w:cstheme="minorHAnsi"/>
          <w:szCs w:val="24"/>
          <w:lang w:val="en-AU"/>
        </w:rPr>
        <w:t xml:space="preserve">allocation of </w:t>
      </w:r>
      <w:r>
        <w:rPr>
          <w:rFonts w:cstheme="minorHAnsi"/>
          <w:szCs w:val="24"/>
          <w:lang w:val="en-AU"/>
        </w:rPr>
        <w:t>resource</w:t>
      </w:r>
      <w:r w:rsidR="009B580D">
        <w:rPr>
          <w:rFonts w:cstheme="minorHAnsi"/>
          <w:szCs w:val="24"/>
          <w:lang w:val="en-AU"/>
        </w:rPr>
        <w:t>s.</w:t>
      </w:r>
    </w:p>
    <w:p w14:paraId="6CB4BDC8" w14:textId="77777777" w:rsidR="00E22569" w:rsidRDefault="00E22569" w:rsidP="00E02E35"/>
    <w:p w14:paraId="7C544EBB" w14:textId="495D437C" w:rsidR="009C0D86" w:rsidRPr="009C0D86" w:rsidRDefault="009C0D86" w:rsidP="009C0D86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</w:t>
      </w:r>
    </w:p>
    <w:sectPr w:rsidR="009C0D86" w:rsidRPr="009C0D86" w:rsidSect="004D1851">
      <w:head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D5AFE" w14:textId="77777777" w:rsidR="004F06BA" w:rsidRDefault="004F06BA">
      <w:r>
        <w:separator/>
      </w:r>
    </w:p>
  </w:endnote>
  <w:endnote w:type="continuationSeparator" w:id="0">
    <w:p w14:paraId="17E89991" w14:textId="77777777" w:rsidR="004F06BA" w:rsidRDefault="004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BFB17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6F110" w14:textId="77777777" w:rsidR="004F06BA" w:rsidRDefault="004F06BA">
      <w:r>
        <w:t>____________________</w:t>
      </w:r>
    </w:p>
  </w:footnote>
  <w:footnote w:type="continuationSeparator" w:id="0">
    <w:p w14:paraId="670ADB56" w14:textId="77777777" w:rsidR="004F06BA" w:rsidRDefault="004F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37E7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9B34CB">
      <w:rPr>
        <w:noProof/>
      </w:rPr>
      <w:t>3</w:t>
    </w:r>
    <w:r>
      <w:rPr>
        <w:noProof/>
      </w:rPr>
      <w:fldChar w:fldCharType="end"/>
    </w:r>
  </w:p>
  <w:p w14:paraId="27D89E16" w14:textId="7ECBF29E" w:rsidR="00322D0D" w:rsidRPr="00623AE3" w:rsidRDefault="00FA4575" w:rsidP="005243FF">
    <w:pPr>
      <w:pStyle w:val="Header"/>
      <w:rPr>
        <w:bCs/>
      </w:rPr>
    </w:pPr>
    <w:r>
      <w:rPr>
        <w:bCs/>
      </w:rPr>
      <w:t>C19</w:t>
    </w:r>
    <w:r w:rsidR="00D672AD">
      <w:rPr>
        <w:bCs/>
      </w:rPr>
      <w:t>/64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48B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D48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C0F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7E6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8F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80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D26D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D08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F2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843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31EC3"/>
    <w:multiLevelType w:val="hybridMultilevel"/>
    <w:tmpl w:val="A930F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56A0"/>
    <w:multiLevelType w:val="hybridMultilevel"/>
    <w:tmpl w:val="1D525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00DFD"/>
    <w:rsid w:val="000210D4"/>
    <w:rsid w:val="00063016"/>
    <w:rsid w:val="00066795"/>
    <w:rsid w:val="00075B49"/>
    <w:rsid w:val="00076AF6"/>
    <w:rsid w:val="00085CF2"/>
    <w:rsid w:val="000B1705"/>
    <w:rsid w:val="000D75B2"/>
    <w:rsid w:val="001121F5"/>
    <w:rsid w:val="001400DC"/>
    <w:rsid w:val="00140CE1"/>
    <w:rsid w:val="00145166"/>
    <w:rsid w:val="0017539C"/>
    <w:rsid w:val="00175AC2"/>
    <w:rsid w:val="0017609F"/>
    <w:rsid w:val="001859E0"/>
    <w:rsid w:val="001A6845"/>
    <w:rsid w:val="001C628E"/>
    <w:rsid w:val="001E0F7B"/>
    <w:rsid w:val="001E457D"/>
    <w:rsid w:val="001E4DF3"/>
    <w:rsid w:val="002119FD"/>
    <w:rsid w:val="002130E0"/>
    <w:rsid w:val="00264425"/>
    <w:rsid w:val="00265875"/>
    <w:rsid w:val="0027303B"/>
    <w:rsid w:val="0028109B"/>
    <w:rsid w:val="002A0EF0"/>
    <w:rsid w:val="002A2188"/>
    <w:rsid w:val="002B1F58"/>
    <w:rsid w:val="002C1C7A"/>
    <w:rsid w:val="002F761B"/>
    <w:rsid w:val="0030160F"/>
    <w:rsid w:val="00322D0D"/>
    <w:rsid w:val="00324145"/>
    <w:rsid w:val="003630EE"/>
    <w:rsid w:val="003942D4"/>
    <w:rsid w:val="003958A8"/>
    <w:rsid w:val="003A4B92"/>
    <w:rsid w:val="003C2533"/>
    <w:rsid w:val="0040435A"/>
    <w:rsid w:val="00416A24"/>
    <w:rsid w:val="00431D9E"/>
    <w:rsid w:val="00433CE8"/>
    <w:rsid w:val="00434A5C"/>
    <w:rsid w:val="004544D9"/>
    <w:rsid w:val="00471636"/>
    <w:rsid w:val="00490E72"/>
    <w:rsid w:val="00491157"/>
    <w:rsid w:val="004921C8"/>
    <w:rsid w:val="004D0886"/>
    <w:rsid w:val="004D1851"/>
    <w:rsid w:val="004D599D"/>
    <w:rsid w:val="004E2EA5"/>
    <w:rsid w:val="004E3AEB"/>
    <w:rsid w:val="004F06BA"/>
    <w:rsid w:val="0050223C"/>
    <w:rsid w:val="005243FF"/>
    <w:rsid w:val="00524B94"/>
    <w:rsid w:val="00552B7A"/>
    <w:rsid w:val="00564FBC"/>
    <w:rsid w:val="00573C01"/>
    <w:rsid w:val="00582442"/>
    <w:rsid w:val="0059456D"/>
    <w:rsid w:val="005A3284"/>
    <w:rsid w:val="005C0754"/>
    <w:rsid w:val="005F3269"/>
    <w:rsid w:val="00604B49"/>
    <w:rsid w:val="00623AE3"/>
    <w:rsid w:val="0064737F"/>
    <w:rsid w:val="006535F1"/>
    <w:rsid w:val="0065557D"/>
    <w:rsid w:val="00662984"/>
    <w:rsid w:val="006662A9"/>
    <w:rsid w:val="006716BB"/>
    <w:rsid w:val="006728B0"/>
    <w:rsid w:val="006B6680"/>
    <w:rsid w:val="006B6DCC"/>
    <w:rsid w:val="006D2AD1"/>
    <w:rsid w:val="00702DEF"/>
    <w:rsid w:val="00706861"/>
    <w:rsid w:val="0075051B"/>
    <w:rsid w:val="00793188"/>
    <w:rsid w:val="00794D34"/>
    <w:rsid w:val="007A2CBC"/>
    <w:rsid w:val="007A3990"/>
    <w:rsid w:val="007C4D1B"/>
    <w:rsid w:val="00800CE1"/>
    <w:rsid w:val="00813E5E"/>
    <w:rsid w:val="00820A16"/>
    <w:rsid w:val="0082235B"/>
    <w:rsid w:val="0083581B"/>
    <w:rsid w:val="00864AFF"/>
    <w:rsid w:val="008B4840"/>
    <w:rsid w:val="008B4A6A"/>
    <w:rsid w:val="008B6931"/>
    <w:rsid w:val="008C7E27"/>
    <w:rsid w:val="00907570"/>
    <w:rsid w:val="009173EF"/>
    <w:rsid w:val="00932906"/>
    <w:rsid w:val="0093549C"/>
    <w:rsid w:val="00961B0B"/>
    <w:rsid w:val="009A2DF0"/>
    <w:rsid w:val="009B34CB"/>
    <w:rsid w:val="009B38C3"/>
    <w:rsid w:val="009B580D"/>
    <w:rsid w:val="009C0D86"/>
    <w:rsid w:val="009E17BD"/>
    <w:rsid w:val="009E485A"/>
    <w:rsid w:val="00A04CEC"/>
    <w:rsid w:val="00A27F92"/>
    <w:rsid w:val="00A32257"/>
    <w:rsid w:val="00A36D20"/>
    <w:rsid w:val="00A42164"/>
    <w:rsid w:val="00A465D5"/>
    <w:rsid w:val="00A55622"/>
    <w:rsid w:val="00A83502"/>
    <w:rsid w:val="00AC5B2D"/>
    <w:rsid w:val="00AD15B3"/>
    <w:rsid w:val="00AF6E49"/>
    <w:rsid w:val="00B04A67"/>
    <w:rsid w:val="00B0583C"/>
    <w:rsid w:val="00B1732B"/>
    <w:rsid w:val="00B40A81"/>
    <w:rsid w:val="00B44910"/>
    <w:rsid w:val="00B463A7"/>
    <w:rsid w:val="00B703BC"/>
    <w:rsid w:val="00B72267"/>
    <w:rsid w:val="00B76EB6"/>
    <w:rsid w:val="00B7737B"/>
    <w:rsid w:val="00B824C8"/>
    <w:rsid w:val="00B93A0C"/>
    <w:rsid w:val="00B94E42"/>
    <w:rsid w:val="00BC251A"/>
    <w:rsid w:val="00BD032B"/>
    <w:rsid w:val="00BE2640"/>
    <w:rsid w:val="00C01189"/>
    <w:rsid w:val="00C27B23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E50BB"/>
    <w:rsid w:val="00CF33F3"/>
    <w:rsid w:val="00D01CF9"/>
    <w:rsid w:val="00D04E39"/>
    <w:rsid w:val="00D06183"/>
    <w:rsid w:val="00D22C42"/>
    <w:rsid w:val="00D45C2E"/>
    <w:rsid w:val="00D65041"/>
    <w:rsid w:val="00D672AD"/>
    <w:rsid w:val="00DB384B"/>
    <w:rsid w:val="00DC2E2A"/>
    <w:rsid w:val="00DD6361"/>
    <w:rsid w:val="00DF2F49"/>
    <w:rsid w:val="00E02E35"/>
    <w:rsid w:val="00E07D7D"/>
    <w:rsid w:val="00E10E80"/>
    <w:rsid w:val="00E124F0"/>
    <w:rsid w:val="00E22569"/>
    <w:rsid w:val="00E60F04"/>
    <w:rsid w:val="00E854E4"/>
    <w:rsid w:val="00E8653A"/>
    <w:rsid w:val="00EA351D"/>
    <w:rsid w:val="00EB0D6F"/>
    <w:rsid w:val="00EB2232"/>
    <w:rsid w:val="00EC073F"/>
    <w:rsid w:val="00EC5337"/>
    <w:rsid w:val="00F2150A"/>
    <w:rsid w:val="00F231D8"/>
    <w:rsid w:val="00F46C5F"/>
    <w:rsid w:val="00F64532"/>
    <w:rsid w:val="00F81DB3"/>
    <w:rsid w:val="00F94A63"/>
    <w:rsid w:val="00FA1C28"/>
    <w:rsid w:val="00FA4575"/>
    <w:rsid w:val="00FB7596"/>
    <w:rsid w:val="00FE4077"/>
    <w:rsid w:val="00FE77D2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B9FDC7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075B4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75B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5B4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B4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B49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75B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5B4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EGD482-C-0003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091-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R17-RRB17.3-C-0002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-C-011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691CBDC05D4BAE1BD8CF5148A796" ma:contentTypeVersion="0" ma:contentTypeDescription="Create a new document." ma:contentTypeScope="" ma:versionID="5f3a15a2d208244439c1325abf377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9823-4FC4-41D2-A01B-5E6F5D17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63869-8225-4C40-B6D7-A55B4C16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6251-995D-4B29-85F0-F2685E0E47D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B6B3FB-C928-465D-8185-EEC98C62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Australia_Contribution on non-GSO satellite filing cost recovery</vt:lpstr>
    </vt:vector>
  </TitlesOfParts>
  <Manager>General Secretariat - Pool</Manager>
  <Company>International Telecommunication Union (ITU)</Company>
  <LinksUpToDate>false</LinksUpToDate>
  <CharactersWithSpaces>6599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Australia_Contribution on non-GSO satellite filing cost recovery</dc:title>
  <dc:subject>Council 2019</dc:subject>
  <dc:creator>Brouard, Ricarda</dc:creator>
  <cp:keywords>C2019, C19</cp:keywords>
  <dc:description/>
  <cp:lastModifiedBy>Janin, Patricia</cp:lastModifiedBy>
  <cp:revision>3</cp:revision>
  <cp:lastPrinted>2019-05-24T06:13:00Z</cp:lastPrinted>
  <dcterms:created xsi:type="dcterms:W3CDTF">2019-05-24T08:44:00Z</dcterms:created>
  <dcterms:modified xsi:type="dcterms:W3CDTF">2019-05-27T08:20:00Z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0x010100F4EE691CBDC05D4BAE1BD8CF5148A796</vt:lpwstr>
  </property>
  <property fmtid="{D5CDD505-2E9C-101B-9397-08002B2CF9AE}" pid="9" name="TrimRevisionNumber">
    <vt:i4>2</vt:i4>
  </property>
</Properties>
</file>