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180180" w14:paraId="79E0BE00" w14:textId="77777777">
        <w:trPr>
          <w:cantSplit/>
        </w:trPr>
        <w:tc>
          <w:tcPr>
            <w:tcW w:w="6912" w:type="dxa"/>
          </w:tcPr>
          <w:p w14:paraId="164B1D88" w14:textId="77777777" w:rsidR="00093EEB" w:rsidRPr="00180180" w:rsidRDefault="00093EEB" w:rsidP="001D46C1">
            <w:pPr>
              <w:spacing w:before="360"/>
              <w:rPr>
                <w:szCs w:val="24"/>
              </w:rPr>
            </w:pPr>
            <w:bookmarkStart w:id="0" w:name="dc06"/>
            <w:bookmarkStart w:id="1" w:name="dbluepink" w:colFirst="0" w:colLast="0"/>
            <w:bookmarkEnd w:id="0"/>
            <w:r w:rsidRPr="00180180">
              <w:rPr>
                <w:b/>
                <w:bCs/>
                <w:sz w:val="30"/>
                <w:szCs w:val="30"/>
              </w:rPr>
              <w:t>Consejo 201</w:t>
            </w:r>
            <w:r w:rsidR="00C2727F" w:rsidRPr="00180180">
              <w:rPr>
                <w:b/>
                <w:bCs/>
                <w:sz w:val="30"/>
                <w:szCs w:val="30"/>
              </w:rPr>
              <w:t>9</w:t>
            </w:r>
            <w:r w:rsidRPr="00180180">
              <w:rPr>
                <w:b/>
                <w:bCs/>
                <w:sz w:val="26"/>
                <w:szCs w:val="26"/>
              </w:rPr>
              <w:br/>
            </w:r>
            <w:r w:rsidRPr="00180180">
              <w:rPr>
                <w:b/>
                <w:bCs/>
                <w:szCs w:val="24"/>
              </w:rPr>
              <w:t>Ginebra, 1</w:t>
            </w:r>
            <w:r w:rsidR="00C2727F" w:rsidRPr="00180180">
              <w:rPr>
                <w:b/>
                <w:bCs/>
                <w:szCs w:val="24"/>
              </w:rPr>
              <w:t>0</w:t>
            </w:r>
            <w:r w:rsidRPr="00180180">
              <w:rPr>
                <w:b/>
                <w:bCs/>
                <w:szCs w:val="24"/>
              </w:rPr>
              <w:t>-2</w:t>
            </w:r>
            <w:r w:rsidR="00C2727F" w:rsidRPr="00180180">
              <w:rPr>
                <w:b/>
                <w:bCs/>
                <w:szCs w:val="24"/>
              </w:rPr>
              <w:t>0</w:t>
            </w:r>
            <w:r w:rsidRPr="00180180">
              <w:rPr>
                <w:b/>
                <w:bCs/>
                <w:szCs w:val="24"/>
              </w:rPr>
              <w:t xml:space="preserve"> de </w:t>
            </w:r>
            <w:r w:rsidR="00C2727F" w:rsidRPr="00180180">
              <w:rPr>
                <w:b/>
                <w:bCs/>
                <w:szCs w:val="24"/>
              </w:rPr>
              <w:t>junio</w:t>
            </w:r>
            <w:r w:rsidRPr="00180180">
              <w:rPr>
                <w:b/>
                <w:bCs/>
                <w:szCs w:val="24"/>
              </w:rPr>
              <w:t xml:space="preserve"> de 201</w:t>
            </w:r>
            <w:r w:rsidR="00C2727F" w:rsidRPr="00180180">
              <w:rPr>
                <w:b/>
                <w:bCs/>
                <w:szCs w:val="24"/>
              </w:rPr>
              <w:t>9</w:t>
            </w:r>
          </w:p>
        </w:tc>
        <w:tc>
          <w:tcPr>
            <w:tcW w:w="3261" w:type="dxa"/>
          </w:tcPr>
          <w:p w14:paraId="5AB8AD64" w14:textId="77777777" w:rsidR="00093EEB" w:rsidRPr="00180180" w:rsidRDefault="00093EEB" w:rsidP="001D46C1">
            <w:pPr>
              <w:spacing w:before="0"/>
              <w:jc w:val="right"/>
              <w:rPr>
                <w:szCs w:val="24"/>
              </w:rPr>
            </w:pPr>
            <w:bookmarkStart w:id="2" w:name="ditulogo"/>
            <w:bookmarkEnd w:id="2"/>
            <w:r w:rsidRPr="00180180">
              <w:rPr>
                <w:rFonts w:cstheme="minorHAnsi"/>
                <w:b/>
                <w:bCs/>
                <w:noProof/>
                <w:szCs w:val="24"/>
                <w:lang w:val="en-GB" w:eastAsia="zh-CN"/>
              </w:rPr>
              <w:drawing>
                <wp:inline distT="0" distB="0" distL="0" distR="0" wp14:anchorId="6FAB2734" wp14:editId="140BE935">
                  <wp:extent cx="1771650" cy="695325"/>
                  <wp:effectExtent l="0" t="0" r="0" b="9525"/>
                  <wp:docPr id="2" name="Picture 2"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695325"/>
                          </a:xfrm>
                          <a:prstGeom prst="rect">
                            <a:avLst/>
                          </a:prstGeom>
                          <a:noFill/>
                          <a:ln>
                            <a:noFill/>
                          </a:ln>
                        </pic:spPr>
                      </pic:pic>
                    </a:graphicData>
                  </a:graphic>
                </wp:inline>
              </w:drawing>
            </w:r>
          </w:p>
        </w:tc>
      </w:tr>
      <w:tr w:rsidR="00093EEB" w:rsidRPr="00180180" w14:paraId="3B1BBAFD" w14:textId="77777777">
        <w:trPr>
          <w:cantSplit/>
          <w:trHeight w:val="20"/>
        </w:trPr>
        <w:tc>
          <w:tcPr>
            <w:tcW w:w="10173" w:type="dxa"/>
            <w:gridSpan w:val="2"/>
            <w:tcBorders>
              <w:bottom w:val="single" w:sz="12" w:space="0" w:color="auto"/>
            </w:tcBorders>
          </w:tcPr>
          <w:p w14:paraId="3DE5FCB0" w14:textId="77777777" w:rsidR="00093EEB" w:rsidRPr="00180180" w:rsidRDefault="00093EEB" w:rsidP="001D46C1">
            <w:pPr>
              <w:spacing w:before="0"/>
              <w:rPr>
                <w:b/>
                <w:bCs/>
                <w:szCs w:val="24"/>
              </w:rPr>
            </w:pPr>
          </w:p>
        </w:tc>
      </w:tr>
      <w:tr w:rsidR="00093EEB" w:rsidRPr="00180180" w14:paraId="2C53734A" w14:textId="77777777">
        <w:trPr>
          <w:cantSplit/>
          <w:trHeight w:val="20"/>
        </w:trPr>
        <w:tc>
          <w:tcPr>
            <w:tcW w:w="6912" w:type="dxa"/>
            <w:tcBorders>
              <w:top w:val="single" w:sz="12" w:space="0" w:color="auto"/>
            </w:tcBorders>
          </w:tcPr>
          <w:p w14:paraId="31E14797" w14:textId="77777777" w:rsidR="00093EEB" w:rsidRPr="00180180" w:rsidRDefault="00093EEB" w:rsidP="001D46C1">
            <w:pPr>
              <w:tabs>
                <w:tab w:val="clear" w:pos="2268"/>
                <w:tab w:val="left" w:pos="1560"/>
                <w:tab w:val="left" w:pos="2269"/>
                <w:tab w:val="left" w:pos="3544"/>
                <w:tab w:val="left" w:pos="3969"/>
              </w:tabs>
              <w:spacing w:before="0"/>
              <w:rPr>
                <w:b/>
                <w:smallCaps/>
                <w:szCs w:val="24"/>
              </w:rPr>
            </w:pPr>
          </w:p>
        </w:tc>
        <w:tc>
          <w:tcPr>
            <w:tcW w:w="3261" w:type="dxa"/>
            <w:tcBorders>
              <w:top w:val="single" w:sz="12" w:space="0" w:color="auto"/>
            </w:tcBorders>
          </w:tcPr>
          <w:p w14:paraId="2A8430DE" w14:textId="77777777" w:rsidR="00093EEB" w:rsidRPr="00180180" w:rsidRDefault="00093EEB" w:rsidP="001D46C1">
            <w:pPr>
              <w:spacing w:before="0"/>
              <w:rPr>
                <w:b/>
                <w:bCs/>
                <w:szCs w:val="24"/>
              </w:rPr>
            </w:pPr>
          </w:p>
        </w:tc>
      </w:tr>
      <w:tr w:rsidR="00093EEB" w:rsidRPr="00180180" w14:paraId="1AF1F271" w14:textId="77777777">
        <w:trPr>
          <w:cantSplit/>
          <w:trHeight w:val="20"/>
        </w:trPr>
        <w:tc>
          <w:tcPr>
            <w:tcW w:w="6912" w:type="dxa"/>
            <w:shd w:val="clear" w:color="auto" w:fill="auto"/>
          </w:tcPr>
          <w:p w14:paraId="187AB208" w14:textId="36D477D8" w:rsidR="00093EEB" w:rsidRPr="00180180" w:rsidRDefault="00C63EC9" w:rsidP="001D46C1">
            <w:pPr>
              <w:tabs>
                <w:tab w:val="left" w:pos="1560"/>
                <w:tab w:val="left" w:pos="3544"/>
                <w:tab w:val="left" w:pos="3969"/>
              </w:tabs>
              <w:spacing w:before="0"/>
              <w:rPr>
                <w:rFonts w:cs="Times"/>
                <w:b/>
                <w:szCs w:val="24"/>
              </w:rPr>
            </w:pPr>
            <w:bookmarkStart w:id="3" w:name="dnum" w:colFirst="1" w:colLast="1"/>
            <w:bookmarkStart w:id="4" w:name="dmeeting" w:colFirst="0" w:colLast="0"/>
            <w:r w:rsidRPr="00180180">
              <w:rPr>
                <w:b/>
              </w:rPr>
              <w:t xml:space="preserve">Punto del orden del día: </w:t>
            </w:r>
            <w:r w:rsidR="001D461D" w:rsidRPr="00180180">
              <w:rPr>
                <w:b/>
              </w:rPr>
              <w:t>ADM 7</w:t>
            </w:r>
          </w:p>
        </w:tc>
        <w:tc>
          <w:tcPr>
            <w:tcW w:w="3261" w:type="dxa"/>
          </w:tcPr>
          <w:p w14:paraId="360C8FB5" w14:textId="77777777" w:rsidR="00093EEB" w:rsidRPr="00180180" w:rsidRDefault="00093EEB" w:rsidP="001D46C1">
            <w:pPr>
              <w:spacing w:before="0"/>
              <w:rPr>
                <w:b/>
                <w:bCs/>
                <w:szCs w:val="24"/>
              </w:rPr>
            </w:pPr>
            <w:r w:rsidRPr="00180180">
              <w:rPr>
                <w:b/>
                <w:bCs/>
                <w:szCs w:val="24"/>
              </w:rPr>
              <w:t>Documento C1</w:t>
            </w:r>
            <w:r w:rsidR="00C2727F" w:rsidRPr="00180180">
              <w:rPr>
                <w:b/>
                <w:bCs/>
                <w:szCs w:val="24"/>
              </w:rPr>
              <w:t>9</w:t>
            </w:r>
            <w:r w:rsidRPr="00180180">
              <w:rPr>
                <w:b/>
                <w:bCs/>
                <w:szCs w:val="24"/>
              </w:rPr>
              <w:t>/</w:t>
            </w:r>
            <w:r w:rsidR="001D461D" w:rsidRPr="00180180">
              <w:rPr>
                <w:b/>
                <w:bCs/>
                <w:szCs w:val="24"/>
              </w:rPr>
              <w:t>60</w:t>
            </w:r>
            <w:r w:rsidRPr="00180180">
              <w:rPr>
                <w:b/>
                <w:bCs/>
                <w:szCs w:val="24"/>
              </w:rPr>
              <w:t>-S</w:t>
            </w:r>
          </w:p>
        </w:tc>
      </w:tr>
      <w:tr w:rsidR="00093EEB" w:rsidRPr="00180180" w14:paraId="00460A64" w14:textId="77777777">
        <w:trPr>
          <w:cantSplit/>
          <w:trHeight w:val="20"/>
        </w:trPr>
        <w:tc>
          <w:tcPr>
            <w:tcW w:w="6912" w:type="dxa"/>
            <w:shd w:val="clear" w:color="auto" w:fill="auto"/>
          </w:tcPr>
          <w:p w14:paraId="4EEE8ACD" w14:textId="77777777" w:rsidR="00093EEB" w:rsidRPr="00180180" w:rsidRDefault="00093EEB" w:rsidP="001D46C1">
            <w:pPr>
              <w:shd w:val="solid" w:color="FFFFFF" w:fill="FFFFFF"/>
              <w:spacing w:before="0"/>
              <w:rPr>
                <w:smallCaps/>
                <w:szCs w:val="24"/>
              </w:rPr>
            </w:pPr>
            <w:bookmarkStart w:id="5" w:name="ddate" w:colFirst="1" w:colLast="1"/>
            <w:bookmarkEnd w:id="3"/>
            <w:bookmarkEnd w:id="4"/>
          </w:p>
        </w:tc>
        <w:tc>
          <w:tcPr>
            <w:tcW w:w="3261" w:type="dxa"/>
          </w:tcPr>
          <w:p w14:paraId="304FCBB1" w14:textId="77777777" w:rsidR="00093EEB" w:rsidRPr="00180180" w:rsidRDefault="001D461D" w:rsidP="001D46C1">
            <w:pPr>
              <w:spacing w:before="0"/>
              <w:rPr>
                <w:b/>
                <w:bCs/>
                <w:szCs w:val="24"/>
              </w:rPr>
            </w:pPr>
            <w:r w:rsidRPr="00180180">
              <w:rPr>
                <w:b/>
                <w:bCs/>
                <w:szCs w:val="24"/>
              </w:rPr>
              <w:t>9 de mayo</w:t>
            </w:r>
            <w:r w:rsidR="00093EEB" w:rsidRPr="00180180">
              <w:rPr>
                <w:b/>
                <w:bCs/>
                <w:szCs w:val="24"/>
              </w:rPr>
              <w:t xml:space="preserve"> de 201</w:t>
            </w:r>
            <w:r w:rsidR="00C2727F" w:rsidRPr="00180180">
              <w:rPr>
                <w:b/>
                <w:bCs/>
                <w:szCs w:val="24"/>
              </w:rPr>
              <w:t>9</w:t>
            </w:r>
          </w:p>
        </w:tc>
      </w:tr>
      <w:tr w:rsidR="00093EEB" w:rsidRPr="00180180" w14:paraId="68F93D81" w14:textId="77777777">
        <w:trPr>
          <w:cantSplit/>
          <w:trHeight w:val="20"/>
        </w:trPr>
        <w:tc>
          <w:tcPr>
            <w:tcW w:w="6912" w:type="dxa"/>
            <w:shd w:val="clear" w:color="auto" w:fill="auto"/>
          </w:tcPr>
          <w:p w14:paraId="1A093D93" w14:textId="77777777" w:rsidR="00093EEB" w:rsidRPr="00180180" w:rsidRDefault="00093EEB" w:rsidP="001D46C1">
            <w:pPr>
              <w:shd w:val="solid" w:color="FFFFFF" w:fill="FFFFFF"/>
              <w:spacing w:before="0"/>
              <w:rPr>
                <w:smallCaps/>
                <w:szCs w:val="24"/>
              </w:rPr>
            </w:pPr>
            <w:bookmarkStart w:id="6" w:name="dorlang" w:colFirst="1" w:colLast="1"/>
            <w:bookmarkEnd w:id="5"/>
          </w:p>
        </w:tc>
        <w:tc>
          <w:tcPr>
            <w:tcW w:w="3261" w:type="dxa"/>
          </w:tcPr>
          <w:p w14:paraId="6F8C006D" w14:textId="77777777" w:rsidR="00093EEB" w:rsidRPr="00180180" w:rsidRDefault="00093EEB" w:rsidP="001D46C1">
            <w:pPr>
              <w:spacing w:before="0"/>
              <w:rPr>
                <w:b/>
                <w:bCs/>
                <w:szCs w:val="24"/>
              </w:rPr>
            </w:pPr>
            <w:r w:rsidRPr="00180180">
              <w:rPr>
                <w:b/>
                <w:bCs/>
                <w:szCs w:val="24"/>
              </w:rPr>
              <w:t>Original: inglés</w:t>
            </w:r>
          </w:p>
        </w:tc>
      </w:tr>
      <w:tr w:rsidR="00093EEB" w:rsidRPr="00180180" w14:paraId="2E355CC1" w14:textId="77777777">
        <w:trPr>
          <w:cantSplit/>
        </w:trPr>
        <w:tc>
          <w:tcPr>
            <w:tcW w:w="10173" w:type="dxa"/>
            <w:gridSpan w:val="2"/>
          </w:tcPr>
          <w:p w14:paraId="3CB95D19" w14:textId="3FF78CF3" w:rsidR="00093EEB" w:rsidRPr="00180180" w:rsidRDefault="00C63EC9" w:rsidP="001D46C1">
            <w:pPr>
              <w:pStyle w:val="Source"/>
            </w:pPr>
            <w:bookmarkStart w:id="7" w:name="dsource" w:colFirst="0" w:colLast="0"/>
            <w:bookmarkEnd w:id="1"/>
            <w:bookmarkEnd w:id="6"/>
            <w:r w:rsidRPr="00180180">
              <w:t>Informe del Secretario General</w:t>
            </w:r>
          </w:p>
        </w:tc>
      </w:tr>
      <w:tr w:rsidR="00093EEB" w:rsidRPr="00180180" w14:paraId="792320B6" w14:textId="77777777">
        <w:trPr>
          <w:cantSplit/>
        </w:trPr>
        <w:tc>
          <w:tcPr>
            <w:tcW w:w="10173" w:type="dxa"/>
            <w:gridSpan w:val="2"/>
          </w:tcPr>
          <w:p w14:paraId="50341554" w14:textId="23EF7357" w:rsidR="00093EEB" w:rsidRPr="00180180" w:rsidRDefault="001D461D" w:rsidP="001D46C1">
            <w:pPr>
              <w:pStyle w:val="Title1"/>
            </w:pPr>
            <w:bookmarkStart w:id="8" w:name="dtitle1" w:colFirst="0" w:colLast="0"/>
            <w:bookmarkEnd w:id="7"/>
            <w:r w:rsidRPr="00180180">
              <w:t>m</w:t>
            </w:r>
            <w:r w:rsidR="004A0E32" w:rsidRPr="00180180">
              <w:t xml:space="preserve">emorandos de entendimiento con repercusiones </w:t>
            </w:r>
            <w:r w:rsidR="004A0E32" w:rsidRPr="00180180">
              <w:br/>
              <w:t>financieras y/o ESTRATÉGICAS</w:t>
            </w:r>
          </w:p>
        </w:tc>
      </w:tr>
      <w:bookmarkEnd w:id="8"/>
    </w:tbl>
    <w:p w14:paraId="53AAE738" w14:textId="77777777" w:rsidR="00093EEB" w:rsidRPr="00180180" w:rsidRDefault="00093EEB" w:rsidP="001D46C1"/>
    <w:tbl>
      <w:tblPr>
        <w:tblW w:w="8080"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0"/>
      </w:tblGrid>
      <w:tr w:rsidR="00093EEB" w:rsidRPr="00180180" w14:paraId="1CDF612B" w14:textId="77777777">
        <w:trPr>
          <w:trHeight w:val="3372"/>
        </w:trPr>
        <w:tc>
          <w:tcPr>
            <w:tcW w:w="8080" w:type="dxa"/>
            <w:tcBorders>
              <w:top w:val="single" w:sz="12" w:space="0" w:color="auto"/>
              <w:left w:val="single" w:sz="12" w:space="0" w:color="auto"/>
              <w:bottom w:val="single" w:sz="12" w:space="0" w:color="auto"/>
              <w:right w:val="single" w:sz="12" w:space="0" w:color="auto"/>
            </w:tcBorders>
          </w:tcPr>
          <w:p w14:paraId="5E7527FB" w14:textId="77777777" w:rsidR="00093EEB" w:rsidRPr="00180180" w:rsidRDefault="00093EEB" w:rsidP="001D46C1">
            <w:pPr>
              <w:pStyle w:val="Headingb"/>
            </w:pPr>
            <w:r w:rsidRPr="00180180">
              <w:t>Resumen</w:t>
            </w:r>
          </w:p>
          <w:p w14:paraId="4F8BC3D1" w14:textId="61081FF6" w:rsidR="00093EEB" w:rsidRPr="00180180" w:rsidRDefault="00D044B1" w:rsidP="001D46C1">
            <w:r w:rsidRPr="00180180">
              <w:t xml:space="preserve">En el presente documento se enumeran varios memorandos de entendimiento (MdE)/acuerdos suscritos por la UIT desde la última reunión del Consejo, </w:t>
            </w:r>
            <w:r w:rsidR="00C20232" w:rsidRPr="00180180">
              <w:t>con</w:t>
            </w:r>
            <w:r w:rsidRPr="00180180">
              <w:t xml:space="preserve"> posibles repercusiones financieras y/o estrat</w:t>
            </w:r>
            <w:r w:rsidR="006F28C5">
              <w:t>égicas para la Unión. Todos los </w:t>
            </w:r>
            <w:r w:rsidRPr="00180180">
              <w:t>MdE/acuerdos enumerados figuran en el anexo al presente documento</w:t>
            </w:r>
            <w:r w:rsidR="001D461D" w:rsidRPr="00180180">
              <w:t>.</w:t>
            </w:r>
          </w:p>
          <w:p w14:paraId="3FE3F787" w14:textId="77777777" w:rsidR="00093EEB" w:rsidRPr="00180180" w:rsidRDefault="00093EEB" w:rsidP="001D46C1">
            <w:pPr>
              <w:pStyle w:val="Headingb"/>
            </w:pPr>
            <w:r w:rsidRPr="00180180">
              <w:t>Acción solicitada</w:t>
            </w:r>
          </w:p>
          <w:p w14:paraId="279BBE47" w14:textId="7ABC1137" w:rsidR="00093EEB" w:rsidRPr="00180180" w:rsidRDefault="00D044B1" w:rsidP="001D46C1">
            <w:pPr>
              <w:rPr>
                <w:i/>
                <w:iCs/>
              </w:rPr>
            </w:pPr>
            <w:r w:rsidRPr="00180180">
              <w:t xml:space="preserve">Se invita al Consejo </w:t>
            </w:r>
            <w:r w:rsidRPr="00E97F3C">
              <w:rPr>
                <w:b/>
                <w:bCs/>
              </w:rPr>
              <w:t xml:space="preserve">a tomar nota </w:t>
            </w:r>
            <w:r w:rsidRPr="00180180">
              <w:t>del Informe.</w:t>
            </w:r>
          </w:p>
        </w:tc>
      </w:tr>
    </w:tbl>
    <w:p w14:paraId="409F6B03" w14:textId="7D4A066C" w:rsidR="0081008D" w:rsidRPr="00180180" w:rsidRDefault="00EC6B86" w:rsidP="001D46C1">
      <w:pPr>
        <w:spacing w:before="1680"/>
        <w:ind w:left="6663"/>
      </w:pPr>
      <w:bookmarkStart w:id="9" w:name="_GoBack"/>
      <w:bookmarkEnd w:id="9"/>
      <w:r w:rsidRPr="00180180">
        <w:t>Houlin ZHAO</w:t>
      </w:r>
      <w:r w:rsidRPr="00180180">
        <w:br/>
      </w:r>
      <w:r w:rsidR="00D044B1" w:rsidRPr="00180180">
        <w:t>Secretario General</w:t>
      </w:r>
    </w:p>
    <w:p w14:paraId="3ED93B5D" w14:textId="77777777" w:rsidR="0081008D" w:rsidRPr="00180180" w:rsidRDefault="0081008D" w:rsidP="001D46C1">
      <w:pPr>
        <w:tabs>
          <w:tab w:val="clear" w:pos="567"/>
          <w:tab w:val="clear" w:pos="1134"/>
          <w:tab w:val="clear" w:pos="1701"/>
          <w:tab w:val="clear" w:pos="2268"/>
          <w:tab w:val="clear" w:pos="2835"/>
        </w:tabs>
        <w:overflowPunct/>
        <w:autoSpaceDE/>
        <w:autoSpaceDN/>
        <w:adjustRightInd/>
        <w:spacing w:before="0"/>
        <w:textAlignment w:val="auto"/>
      </w:pPr>
      <w:r w:rsidRPr="00180180">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8"/>
        <w:gridCol w:w="4248"/>
        <w:gridCol w:w="1443"/>
        <w:gridCol w:w="1440"/>
      </w:tblGrid>
      <w:tr w:rsidR="00701C9A" w:rsidRPr="00180180" w14:paraId="14BA3F12" w14:textId="77777777" w:rsidTr="000B5F63">
        <w:trPr>
          <w:jc w:val="center"/>
        </w:trPr>
        <w:tc>
          <w:tcPr>
            <w:tcW w:w="2547" w:type="dxa"/>
            <w:tcBorders>
              <w:top w:val="single" w:sz="4" w:space="0" w:color="auto"/>
              <w:left w:val="single" w:sz="4" w:space="0" w:color="auto"/>
              <w:bottom w:val="single" w:sz="4" w:space="0" w:color="auto"/>
              <w:right w:val="single" w:sz="4" w:space="0" w:color="auto"/>
            </w:tcBorders>
            <w:hideMark/>
          </w:tcPr>
          <w:p w14:paraId="2EC7407E" w14:textId="770CD5B8" w:rsidR="00701C9A" w:rsidRPr="00180180" w:rsidRDefault="00701C9A" w:rsidP="001D46C1">
            <w:pPr>
              <w:pStyle w:val="Header"/>
              <w:tabs>
                <w:tab w:val="left" w:pos="720"/>
              </w:tabs>
              <w:spacing w:before="120"/>
              <w:rPr>
                <w:rFonts w:asciiTheme="minorHAnsi" w:hAnsiTheme="minorHAnsi"/>
                <w:sz w:val="24"/>
                <w:szCs w:val="24"/>
              </w:rPr>
            </w:pPr>
            <w:r w:rsidRPr="00180180">
              <w:rPr>
                <w:sz w:val="24"/>
              </w:rPr>
              <w:lastRenderedPageBreak/>
              <w:br w:type="page"/>
            </w:r>
            <w:r w:rsidR="00D044B1" w:rsidRPr="00180180">
              <w:rPr>
                <w:rFonts w:asciiTheme="minorHAnsi" w:hAnsiTheme="minorHAnsi"/>
                <w:sz w:val="24"/>
                <w:szCs w:val="24"/>
              </w:rPr>
              <w:t>Homólogo</w:t>
            </w:r>
            <w:r w:rsidRPr="00180180">
              <w:rPr>
                <w:rFonts w:asciiTheme="minorHAnsi" w:hAnsiTheme="minorHAnsi"/>
                <w:sz w:val="24"/>
                <w:szCs w:val="24"/>
              </w:rPr>
              <w:t>(s)</w:t>
            </w:r>
          </w:p>
        </w:tc>
        <w:tc>
          <w:tcPr>
            <w:tcW w:w="4371" w:type="dxa"/>
            <w:tcBorders>
              <w:top w:val="single" w:sz="4" w:space="0" w:color="auto"/>
              <w:left w:val="single" w:sz="4" w:space="0" w:color="auto"/>
              <w:bottom w:val="single" w:sz="4" w:space="0" w:color="auto"/>
              <w:right w:val="single" w:sz="4" w:space="0" w:color="auto"/>
            </w:tcBorders>
            <w:hideMark/>
          </w:tcPr>
          <w:p w14:paraId="2D01F638" w14:textId="3C700D04" w:rsidR="00701C9A" w:rsidRPr="00180180" w:rsidRDefault="00D044B1"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Asunto</w:t>
            </w:r>
          </w:p>
        </w:tc>
        <w:tc>
          <w:tcPr>
            <w:tcW w:w="1461" w:type="dxa"/>
            <w:tcBorders>
              <w:top w:val="single" w:sz="4" w:space="0" w:color="auto"/>
              <w:left w:val="single" w:sz="4" w:space="0" w:color="auto"/>
              <w:bottom w:val="single" w:sz="4" w:space="0" w:color="auto"/>
              <w:right w:val="single" w:sz="4" w:space="0" w:color="auto"/>
            </w:tcBorders>
            <w:hideMark/>
          </w:tcPr>
          <w:p w14:paraId="3F4F9105" w14:textId="0018E7D5" w:rsidR="00701C9A" w:rsidRPr="00180180" w:rsidRDefault="00D044B1" w:rsidP="001D46C1">
            <w:pPr>
              <w:pStyle w:val="Header"/>
              <w:tabs>
                <w:tab w:val="left" w:pos="720"/>
              </w:tabs>
              <w:spacing w:before="120" w:after="60"/>
              <w:rPr>
                <w:rFonts w:asciiTheme="minorHAnsi" w:hAnsiTheme="minorHAnsi"/>
                <w:sz w:val="24"/>
                <w:szCs w:val="24"/>
              </w:rPr>
            </w:pPr>
            <w:r w:rsidRPr="00180180">
              <w:rPr>
                <w:rFonts w:asciiTheme="minorHAnsi" w:hAnsiTheme="minorHAnsi"/>
                <w:sz w:val="24"/>
                <w:szCs w:val="24"/>
              </w:rPr>
              <w:t>Fecha de la firma</w:t>
            </w:r>
          </w:p>
        </w:tc>
        <w:tc>
          <w:tcPr>
            <w:tcW w:w="1250" w:type="dxa"/>
            <w:tcBorders>
              <w:top w:val="single" w:sz="4" w:space="0" w:color="auto"/>
              <w:left w:val="single" w:sz="4" w:space="0" w:color="auto"/>
              <w:bottom w:val="single" w:sz="4" w:space="0" w:color="auto"/>
              <w:right w:val="single" w:sz="4" w:space="0" w:color="auto"/>
            </w:tcBorders>
          </w:tcPr>
          <w:p w14:paraId="6A7B3C03" w14:textId="4076228F" w:rsidR="00701C9A" w:rsidRPr="00180180" w:rsidRDefault="00D044B1"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Coordinador de la UIT</w:t>
            </w:r>
          </w:p>
        </w:tc>
      </w:tr>
      <w:tr w:rsidR="00701C9A" w:rsidRPr="00180180" w14:paraId="0B0AEFBA" w14:textId="77777777" w:rsidTr="000B5F63">
        <w:trPr>
          <w:jc w:val="center"/>
        </w:trPr>
        <w:tc>
          <w:tcPr>
            <w:tcW w:w="2547" w:type="dxa"/>
            <w:tcBorders>
              <w:top w:val="single" w:sz="4" w:space="0" w:color="auto"/>
              <w:left w:val="single" w:sz="4" w:space="0" w:color="auto"/>
              <w:bottom w:val="single" w:sz="4" w:space="0" w:color="auto"/>
              <w:right w:val="single" w:sz="4" w:space="0" w:color="auto"/>
            </w:tcBorders>
          </w:tcPr>
          <w:p w14:paraId="4812524E" w14:textId="77777777" w:rsidR="00701C9A" w:rsidRPr="00180180" w:rsidRDefault="00701C9A" w:rsidP="001D46C1">
            <w:pPr>
              <w:pStyle w:val="Header"/>
              <w:tabs>
                <w:tab w:val="left" w:pos="720"/>
              </w:tabs>
              <w:spacing w:before="120"/>
              <w:jc w:val="left"/>
              <w:rPr>
                <w:rFonts w:asciiTheme="minorHAnsi" w:hAnsiTheme="minorHAnsi"/>
                <w:sz w:val="24"/>
                <w:szCs w:val="24"/>
              </w:rPr>
            </w:pPr>
            <w:r w:rsidRPr="00180180">
              <w:rPr>
                <w:rFonts w:asciiTheme="minorHAnsi" w:hAnsiTheme="minorHAnsi"/>
                <w:sz w:val="24"/>
                <w:szCs w:val="24"/>
              </w:rPr>
              <w:t>Global Cyber Alliance</w:t>
            </w:r>
          </w:p>
        </w:tc>
        <w:tc>
          <w:tcPr>
            <w:tcW w:w="4371" w:type="dxa"/>
            <w:tcBorders>
              <w:top w:val="single" w:sz="4" w:space="0" w:color="auto"/>
              <w:left w:val="single" w:sz="4" w:space="0" w:color="auto"/>
              <w:bottom w:val="single" w:sz="4" w:space="0" w:color="auto"/>
              <w:right w:val="single" w:sz="4" w:space="0" w:color="auto"/>
            </w:tcBorders>
          </w:tcPr>
          <w:p w14:paraId="01EC6018" w14:textId="1B6D8BBE" w:rsidR="00701C9A" w:rsidRPr="00180180" w:rsidRDefault="00725B2B" w:rsidP="006F28C5">
            <w:pPr>
              <w:pStyle w:val="Header"/>
              <w:tabs>
                <w:tab w:val="left" w:pos="720"/>
              </w:tabs>
              <w:spacing w:before="120" w:after="120"/>
              <w:jc w:val="left"/>
              <w:rPr>
                <w:rFonts w:asciiTheme="minorHAnsi" w:hAnsiTheme="minorHAnsi"/>
                <w:sz w:val="24"/>
                <w:szCs w:val="24"/>
              </w:rPr>
            </w:pPr>
            <w:r w:rsidRPr="00180180">
              <w:rPr>
                <w:rFonts w:asciiTheme="minorHAnsi" w:hAnsiTheme="minorHAnsi"/>
                <w:sz w:val="24"/>
                <w:szCs w:val="24"/>
              </w:rPr>
              <w:t>Declaración conjunta</w:t>
            </w:r>
            <w:r w:rsidR="00701C9A" w:rsidRPr="00180180">
              <w:rPr>
                <w:rFonts w:asciiTheme="minorHAnsi" w:hAnsiTheme="minorHAnsi"/>
                <w:sz w:val="24"/>
                <w:szCs w:val="24"/>
              </w:rPr>
              <w:t xml:space="preserve"> </w:t>
            </w:r>
            <w:r w:rsidR="00963194" w:rsidRPr="00180180">
              <w:rPr>
                <w:rFonts w:asciiTheme="minorHAnsi" w:hAnsiTheme="minorHAnsi"/>
                <w:sz w:val="24"/>
                <w:szCs w:val="24"/>
              </w:rPr>
              <w:t>para proseguir la cooperación internacional en la esfera de la ciberseguridad</w:t>
            </w:r>
          </w:p>
        </w:tc>
        <w:tc>
          <w:tcPr>
            <w:tcW w:w="1461" w:type="dxa"/>
            <w:tcBorders>
              <w:top w:val="single" w:sz="4" w:space="0" w:color="auto"/>
              <w:left w:val="single" w:sz="4" w:space="0" w:color="auto"/>
              <w:bottom w:val="single" w:sz="4" w:space="0" w:color="auto"/>
              <w:right w:val="single" w:sz="4" w:space="0" w:color="auto"/>
            </w:tcBorders>
          </w:tcPr>
          <w:p w14:paraId="642F1F74" w14:textId="77777777" w:rsidR="00701C9A" w:rsidRPr="00180180" w:rsidRDefault="00701C9A"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09.07.18</w:t>
            </w:r>
          </w:p>
        </w:tc>
        <w:tc>
          <w:tcPr>
            <w:tcW w:w="1250" w:type="dxa"/>
            <w:tcBorders>
              <w:top w:val="single" w:sz="4" w:space="0" w:color="auto"/>
              <w:left w:val="single" w:sz="4" w:space="0" w:color="auto"/>
              <w:bottom w:val="single" w:sz="4" w:space="0" w:color="auto"/>
              <w:right w:val="single" w:sz="4" w:space="0" w:color="auto"/>
            </w:tcBorders>
          </w:tcPr>
          <w:p w14:paraId="7ED6A1D2" w14:textId="77777777" w:rsidR="00701C9A" w:rsidRPr="00180180" w:rsidRDefault="00701C9A"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BDT</w:t>
            </w:r>
          </w:p>
        </w:tc>
      </w:tr>
      <w:tr w:rsidR="00701C9A" w:rsidRPr="00180180" w14:paraId="42ED5198" w14:textId="77777777" w:rsidTr="000B5F63">
        <w:trPr>
          <w:jc w:val="center"/>
        </w:trPr>
        <w:tc>
          <w:tcPr>
            <w:tcW w:w="2547" w:type="dxa"/>
            <w:tcBorders>
              <w:top w:val="single" w:sz="4" w:space="0" w:color="auto"/>
              <w:left w:val="single" w:sz="4" w:space="0" w:color="auto"/>
              <w:bottom w:val="single" w:sz="4" w:space="0" w:color="auto"/>
              <w:right w:val="single" w:sz="4" w:space="0" w:color="auto"/>
            </w:tcBorders>
          </w:tcPr>
          <w:p w14:paraId="3D9B5E8E" w14:textId="7B855D1E" w:rsidR="00701C9A" w:rsidRPr="00180180" w:rsidRDefault="00725B2B" w:rsidP="001D46C1">
            <w:pPr>
              <w:pStyle w:val="Header"/>
              <w:tabs>
                <w:tab w:val="left" w:pos="720"/>
              </w:tabs>
              <w:spacing w:before="120"/>
              <w:jc w:val="left"/>
              <w:rPr>
                <w:rFonts w:asciiTheme="minorHAnsi" w:hAnsiTheme="minorHAnsi"/>
                <w:sz w:val="24"/>
                <w:szCs w:val="24"/>
              </w:rPr>
            </w:pPr>
            <w:r w:rsidRPr="00180180">
              <w:rPr>
                <w:rFonts w:asciiTheme="minorHAnsi" w:hAnsiTheme="minorHAnsi"/>
                <w:sz w:val="24"/>
                <w:szCs w:val="24"/>
              </w:rPr>
              <w:t>Foro Económico Mundial</w:t>
            </w:r>
          </w:p>
        </w:tc>
        <w:tc>
          <w:tcPr>
            <w:tcW w:w="4371" w:type="dxa"/>
            <w:tcBorders>
              <w:top w:val="single" w:sz="4" w:space="0" w:color="auto"/>
              <w:left w:val="single" w:sz="4" w:space="0" w:color="auto"/>
              <w:bottom w:val="single" w:sz="4" w:space="0" w:color="auto"/>
              <w:right w:val="single" w:sz="4" w:space="0" w:color="auto"/>
            </w:tcBorders>
          </w:tcPr>
          <w:p w14:paraId="0C8738F8" w14:textId="0E81A90A" w:rsidR="00701C9A" w:rsidRPr="00180180" w:rsidRDefault="00D602D9" w:rsidP="006F28C5">
            <w:pPr>
              <w:pStyle w:val="Header"/>
              <w:tabs>
                <w:tab w:val="left" w:pos="720"/>
              </w:tabs>
              <w:spacing w:before="120" w:after="120"/>
              <w:jc w:val="left"/>
              <w:rPr>
                <w:rFonts w:asciiTheme="minorHAnsi" w:hAnsiTheme="minorHAnsi"/>
                <w:sz w:val="24"/>
                <w:szCs w:val="24"/>
              </w:rPr>
            </w:pPr>
            <w:r w:rsidRPr="00180180">
              <w:rPr>
                <w:rFonts w:asciiTheme="minorHAnsi" w:hAnsiTheme="minorHAnsi"/>
                <w:sz w:val="24"/>
                <w:szCs w:val="24"/>
              </w:rPr>
              <w:t>Carta</w:t>
            </w:r>
            <w:r w:rsidR="00725B2B" w:rsidRPr="00180180">
              <w:rPr>
                <w:rFonts w:asciiTheme="minorHAnsi" w:hAnsiTheme="minorHAnsi"/>
                <w:sz w:val="24"/>
                <w:szCs w:val="24"/>
              </w:rPr>
              <w:t xml:space="preserve"> de </w:t>
            </w:r>
            <w:r w:rsidR="006A1FB0" w:rsidRPr="00180180">
              <w:rPr>
                <w:rFonts w:asciiTheme="minorHAnsi" w:hAnsiTheme="minorHAnsi"/>
                <w:sz w:val="24"/>
                <w:szCs w:val="24"/>
              </w:rPr>
              <w:t>intención</w:t>
            </w:r>
            <w:r w:rsidR="00701C9A" w:rsidRPr="00180180">
              <w:rPr>
                <w:rFonts w:asciiTheme="minorHAnsi" w:hAnsiTheme="minorHAnsi"/>
                <w:sz w:val="24"/>
                <w:szCs w:val="24"/>
              </w:rPr>
              <w:t xml:space="preserve"> – </w:t>
            </w:r>
            <w:r w:rsidR="00725B2B" w:rsidRPr="00180180">
              <w:rPr>
                <w:rFonts w:asciiTheme="minorHAnsi" w:hAnsiTheme="minorHAnsi"/>
                <w:sz w:val="24"/>
                <w:szCs w:val="24"/>
              </w:rPr>
              <w:t>Promoción de la ciberseguridad y mitigación de ciberamenazas</w:t>
            </w:r>
          </w:p>
        </w:tc>
        <w:tc>
          <w:tcPr>
            <w:tcW w:w="1461" w:type="dxa"/>
            <w:tcBorders>
              <w:top w:val="single" w:sz="4" w:space="0" w:color="auto"/>
              <w:left w:val="single" w:sz="4" w:space="0" w:color="auto"/>
              <w:bottom w:val="single" w:sz="4" w:space="0" w:color="auto"/>
              <w:right w:val="single" w:sz="4" w:space="0" w:color="auto"/>
            </w:tcBorders>
          </w:tcPr>
          <w:p w14:paraId="3AA12B3B" w14:textId="77777777" w:rsidR="00701C9A" w:rsidRPr="00180180" w:rsidRDefault="00701C9A"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11.01.19</w:t>
            </w:r>
          </w:p>
        </w:tc>
        <w:tc>
          <w:tcPr>
            <w:tcW w:w="1250" w:type="dxa"/>
            <w:tcBorders>
              <w:top w:val="single" w:sz="4" w:space="0" w:color="auto"/>
              <w:left w:val="single" w:sz="4" w:space="0" w:color="auto"/>
              <w:bottom w:val="single" w:sz="4" w:space="0" w:color="auto"/>
              <w:right w:val="single" w:sz="4" w:space="0" w:color="auto"/>
            </w:tcBorders>
          </w:tcPr>
          <w:p w14:paraId="5404458F" w14:textId="77777777" w:rsidR="00701C9A" w:rsidRPr="00180180" w:rsidRDefault="00701C9A"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SPMD</w:t>
            </w:r>
          </w:p>
        </w:tc>
      </w:tr>
      <w:tr w:rsidR="00701C9A" w:rsidRPr="00180180" w14:paraId="1D3E6912" w14:textId="77777777" w:rsidTr="000B5F63">
        <w:trPr>
          <w:jc w:val="center"/>
        </w:trPr>
        <w:tc>
          <w:tcPr>
            <w:tcW w:w="2547" w:type="dxa"/>
            <w:tcBorders>
              <w:top w:val="single" w:sz="4" w:space="0" w:color="auto"/>
              <w:left w:val="single" w:sz="4" w:space="0" w:color="auto"/>
              <w:bottom w:val="single" w:sz="4" w:space="0" w:color="auto"/>
              <w:right w:val="single" w:sz="4" w:space="0" w:color="auto"/>
            </w:tcBorders>
          </w:tcPr>
          <w:p w14:paraId="25601B79" w14:textId="40B10CD5" w:rsidR="00701C9A" w:rsidRPr="00180180" w:rsidRDefault="00725B2B" w:rsidP="001D46C1">
            <w:pPr>
              <w:pStyle w:val="Header"/>
              <w:tabs>
                <w:tab w:val="left" w:pos="720"/>
              </w:tabs>
              <w:spacing w:before="120"/>
              <w:jc w:val="left"/>
              <w:rPr>
                <w:rFonts w:asciiTheme="minorHAnsi" w:hAnsiTheme="minorHAnsi"/>
                <w:sz w:val="24"/>
                <w:szCs w:val="24"/>
              </w:rPr>
            </w:pPr>
            <w:r w:rsidRPr="00180180">
              <w:rPr>
                <w:rFonts w:asciiTheme="minorHAnsi" w:hAnsiTheme="minorHAnsi"/>
                <w:sz w:val="24"/>
                <w:szCs w:val="24"/>
              </w:rPr>
              <w:t>Banco Mundial</w:t>
            </w:r>
          </w:p>
        </w:tc>
        <w:tc>
          <w:tcPr>
            <w:tcW w:w="4371" w:type="dxa"/>
            <w:tcBorders>
              <w:top w:val="single" w:sz="4" w:space="0" w:color="auto"/>
              <w:left w:val="single" w:sz="4" w:space="0" w:color="auto"/>
              <w:bottom w:val="single" w:sz="4" w:space="0" w:color="auto"/>
              <w:right w:val="single" w:sz="4" w:space="0" w:color="auto"/>
            </w:tcBorders>
          </w:tcPr>
          <w:p w14:paraId="730AAFF8" w14:textId="0C91DAA3" w:rsidR="00701C9A" w:rsidRPr="00180180" w:rsidRDefault="00725B2B" w:rsidP="006F28C5">
            <w:pPr>
              <w:pStyle w:val="Header"/>
              <w:tabs>
                <w:tab w:val="left" w:pos="720"/>
              </w:tabs>
              <w:spacing w:before="120" w:after="120"/>
              <w:jc w:val="left"/>
              <w:rPr>
                <w:rFonts w:asciiTheme="minorHAnsi" w:hAnsiTheme="minorHAnsi"/>
                <w:sz w:val="24"/>
                <w:szCs w:val="24"/>
              </w:rPr>
            </w:pPr>
            <w:r w:rsidRPr="00180180">
              <w:rPr>
                <w:rFonts w:asciiTheme="minorHAnsi" w:hAnsiTheme="minorHAnsi"/>
                <w:sz w:val="24"/>
                <w:szCs w:val="24"/>
              </w:rPr>
              <w:t xml:space="preserve">Declaración conjunta </w:t>
            </w:r>
            <w:r w:rsidR="00701C9A" w:rsidRPr="00180180">
              <w:rPr>
                <w:rFonts w:asciiTheme="minorHAnsi" w:hAnsiTheme="minorHAnsi"/>
                <w:sz w:val="24"/>
                <w:szCs w:val="24"/>
              </w:rPr>
              <w:t xml:space="preserve">– </w:t>
            </w:r>
            <w:r w:rsidRPr="00180180">
              <w:rPr>
                <w:rFonts w:asciiTheme="minorHAnsi" w:hAnsiTheme="minorHAnsi"/>
                <w:sz w:val="24"/>
                <w:szCs w:val="24"/>
              </w:rPr>
              <w:t xml:space="preserve">Cooperación </w:t>
            </w:r>
            <w:r w:rsidR="00AA2168" w:rsidRPr="00180180">
              <w:rPr>
                <w:rFonts w:asciiTheme="minorHAnsi" w:hAnsiTheme="minorHAnsi"/>
                <w:sz w:val="24"/>
                <w:szCs w:val="24"/>
              </w:rPr>
              <w:t>sobre</w:t>
            </w:r>
            <w:r w:rsidRPr="00180180">
              <w:rPr>
                <w:rFonts w:asciiTheme="minorHAnsi" w:hAnsiTheme="minorHAnsi"/>
                <w:sz w:val="24"/>
                <w:szCs w:val="24"/>
              </w:rPr>
              <w:t xml:space="preserve"> avances </w:t>
            </w:r>
            <w:r w:rsidR="00AA2168" w:rsidRPr="00180180">
              <w:rPr>
                <w:rFonts w:asciiTheme="minorHAnsi" w:hAnsiTheme="minorHAnsi"/>
                <w:sz w:val="24"/>
                <w:szCs w:val="24"/>
              </w:rPr>
              <w:t>registrados en relación con la</w:t>
            </w:r>
            <w:r w:rsidRPr="00180180">
              <w:rPr>
                <w:rFonts w:asciiTheme="minorHAnsi" w:hAnsiTheme="minorHAnsi"/>
                <w:sz w:val="24"/>
                <w:szCs w:val="24"/>
              </w:rPr>
              <w:t xml:space="preserve"> Agenda 2030 para el Desarrollo Sostenible</w:t>
            </w:r>
          </w:p>
        </w:tc>
        <w:tc>
          <w:tcPr>
            <w:tcW w:w="1461" w:type="dxa"/>
            <w:tcBorders>
              <w:top w:val="single" w:sz="4" w:space="0" w:color="auto"/>
              <w:left w:val="single" w:sz="4" w:space="0" w:color="auto"/>
              <w:bottom w:val="single" w:sz="4" w:space="0" w:color="auto"/>
              <w:right w:val="single" w:sz="4" w:space="0" w:color="auto"/>
            </w:tcBorders>
          </w:tcPr>
          <w:p w14:paraId="7C0DB414" w14:textId="77777777" w:rsidR="00701C9A" w:rsidRPr="00180180" w:rsidRDefault="00701C9A"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12.04.19</w:t>
            </w:r>
          </w:p>
        </w:tc>
        <w:tc>
          <w:tcPr>
            <w:tcW w:w="1250" w:type="dxa"/>
            <w:tcBorders>
              <w:top w:val="single" w:sz="4" w:space="0" w:color="auto"/>
              <w:left w:val="single" w:sz="4" w:space="0" w:color="auto"/>
              <w:bottom w:val="single" w:sz="4" w:space="0" w:color="auto"/>
              <w:right w:val="single" w:sz="4" w:space="0" w:color="auto"/>
            </w:tcBorders>
          </w:tcPr>
          <w:p w14:paraId="34C24E30" w14:textId="77777777" w:rsidR="00701C9A" w:rsidRPr="00180180" w:rsidRDefault="00701C9A"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BDT</w:t>
            </w:r>
          </w:p>
        </w:tc>
      </w:tr>
      <w:tr w:rsidR="00701C9A" w:rsidRPr="00180180" w14:paraId="3C9FBFE5" w14:textId="77777777" w:rsidTr="000B5F63">
        <w:trPr>
          <w:jc w:val="center"/>
        </w:trPr>
        <w:tc>
          <w:tcPr>
            <w:tcW w:w="2547" w:type="dxa"/>
            <w:tcBorders>
              <w:top w:val="single" w:sz="4" w:space="0" w:color="auto"/>
              <w:left w:val="single" w:sz="4" w:space="0" w:color="auto"/>
              <w:bottom w:val="single" w:sz="4" w:space="0" w:color="auto"/>
              <w:right w:val="single" w:sz="4" w:space="0" w:color="auto"/>
            </w:tcBorders>
          </w:tcPr>
          <w:p w14:paraId="7E51A503" w14:textId="5E0C38BD" w:rsidR="00701C9A" w:rsidRPr="00180180" w:rsidRDefault="004F5C61" w:rsidP="006F28C5">
            <w:pPr>
              <w:pStyle w:val="Header"/>
              <w:tabs>
                <w:tab w:val="left" w:pos="720"/>
              </w:tabs>
              <w:spacing w:before="120"/>
              <w:jc w:val="left"/>
              <w:rPr>
                <w:rFonts w:asciiTheme="minorHAnsi" w:hAnsiTheme="minorHAnsi"/>
                <w:sz w:val="24"/>
                <w:szCs w:val="24"/>
              </w:rPr>
            </w:pPr>
            <w:r w:rsidRPr="00180180">
              <w:rPr>
                <w:rFonts w:asciiTheme="minorHAnsi" w:hAnsiTheme="minorHAnsi"/>
                <w:sz w:val="24"/>
                <w:szCs w:val="24"/>
              </w:rPr>
              <w:t xml:space="preserve">Banco de </w:t>
            </w:r>
            <w:r w:rsidR="004D795D" w:rsidRPr="00180180">
              <w:rPr>
                <w:rFonts w:asciiTheme="minorHAnsi" w:hAnsiTheme="minorHAnsi"/>
                <w:sz w:val="24"/>
                <w:szCs w:val="24"/>
              </w:rPr>
              <w:t xml:space="preserve">exportación e importación de </w:t>
            </w:r>
            <w:r w:rsidRPr="00180180">
              <w:rPr>
                <w:rFonts w:asciiTheme="minorHAnsi" w:hAnsiTheme="minorHAnsi"/>
                <w:sz w:val="24"/>
                <w:szCs w:val="24"/>
              </w:rPr>
              <w:t xml:space="preserve">China </w:t>
            </w:r>
          </w:p>
        </w:tc>
        <w:tc>
          <w:tcPr>
            <w:tcW w:w="4371" w:type="dxa"/>
            <w:tcBorders>
              <w:top w:val="single" w:sz="4" w:space="0" w:color="auto"/>
              <w:left w:val="single" w:sz="4" w:space="0" w:color="auto"/>
              <w:bottom w:val="single" w:sz="4" w:space="0" w:color="auto"/>
              <w:right w:val="single" w:sz="4" w:space="0" w:color="auto"/>
            </w:tcBorders>
          </w:tcPr>
          <w:p w14:paraId="1D345D40" w14:textId="0FBF0034" w:rsidR="00701C9A" w:rsidRPr="00180180" w:rsidRDefault="00AA2168" w:rsidP="006F28C5">
            <w:pPr>
              <w:pStyle w:val="Header"/>
              <w:tabs>
                <w:tab w:val="left" w:pos="720"/>
              </w:tabs>
              <w:spacing w:before="120" w:after="120"/>
              <w:jc w:val="left"/>
              <w:rPr>
                <w:rFonts w:asciiTheme="minorHAnsi" w:hAnsiTheme="minorHAnsi"/>
                <w:sz w:val="24"/>
                <w:szCs w:val="24"/>
              </w:rPr>
            </w:pPr>
            <w:r w:rsidRPr="00180180">
              <w:rPr>
                <w:rFonts w:asciiTheme="minorHAnsi" w:hAnsiTheme="minorHAnsi"/>
                <w:sz w:val="24"/>
                <w:szCs w:val="24"/>
              </w:rPr>
              <w:t>M</w:t>
            </w:r>
            <w:r w:rsidR="004F5C61" w:rsidRPr="00180180">
              <w:rPr>
                <w:rFonts w:asciiTheme="minorHAnsi" w:hAnsiTheme="minorHAnsi"/>
                <w:sz w:val="24"/>
                <w:szCs w:val="24"/>
              </w:rPr>
              <w:t>emorando de e</w:t>
            </w:r>
            <w:r w:rsidRPr="00180180">
              <w:rPr>
                <w:rFonts w:asciiTheme="minorHAnsi" w:hAnsiTheme="minorHAnsi"/>
                <w:sz w:val="24"/>
                <w:szCs w:val="24"/>
              </w:rPr>
              <w:t>ntendimiento</w:t>
            </w:r>
            <w:r w:rsidR="00701C9A" w:rsidRPr="00180180">
              <w:rPr>
                <w:rFonts w:asciiTheme="minorHAnsi" w:hAnsiTheme="minorHAnsi"/>
                <w:sz w:val="24"/>
                <w:szCs w:val="24"/>
              </w:rPr>
              <w:t xml:space="preserve"> – </w:t>
            </w:r>
            <w:r w:rsidRPr="00180180">
              <w:rPr>
                <w:rFonts w:asciiTheme="minorHAnsi" w:hAnsiTheme="minorHAnsi"/>
                <w:sz w:val="24"/>
                <w:szCs w:val="24"/>
              </w:rPr>
              <w:t xml:space="preserve">Promoción de la Agenda 2030 para el Desarrollo Sostenible mediante la Iniciativa </w:t>
            </w:r>
            <w:r w:rsidRPr="00180180">
              <w:rPr>
                <w:rFonts w:asciiTheme="minorHAnsi" w:hAnsiTheme="minorHAnsi"/>
                <w:i/>
                <w:iCs/>
                <w:sz w:val="24"/>
                <w:szCs w:val="24"/>
              </w:rPr>
              <w:t xml:space="preserve">la Franja y la Ruta </w:t>
            </w:r>
            <w:r w:rsidRPr="00180180">
              <w:rPr>
                <w:rFonts w:asciiTheme="minorHAnsi" w:hAnsiTheme="minorHAnsi"/>
                <w:sz w:val="24"/>
                <w:szCs w:val="24"/>
              </w:rPr>
              <w:t xml:space="preserve">para </w:t>
            </w:r>
            <w:r w:rsidR="002D4AEB" w:rsidRPr="00180180">
              <w:rPr>
                <w:rFonts w:asciiTheme="minorHAnsi" w:hAnsiTheme="minorHAnsi"/>
                <w:sz w:val="24"/>
                <w:szCs w:val="24"/>
              </w:rPr>
              <w:t>reducir</w:t>
            </w:r>
            <w:r w:rsidRPr="00180180">
              <w:rPr>
                <w:rFonts w:asciiTheme="minorHAnsi" w:hAnsiTheme="minorHAnsi"/>
                <w:sz w:val="24"/>
                <w:szCs w:val="24"/>
              </w:rPr>
              <w:t xml:space="preserve"> la brecha digital</w:t>
            </w:r>
          </w:p>
        </w:tc>
        <w:tc>
          <w:tcPr>
            <w:tcW w:w="1461" w:type="dxa"/>
            <w:tcBorders>
              <w:top w:val="single" w:sz="4" w:space="0" w:color="auto"/>
              <w:left w:val="single" w:sz="4" w:space="0" w:color="auto"/>
              <w:bottom w:val="single" w:sz="4" w:space="0" w:color="auto"/>
              <w:right w:val="single" w:sz="4" w:space="0" w:color="auto"/>
            </w:tcBorders>
          </w:tcPr>
          <w:p w14:paraId="7CEA2F25" w14:textId="77777777" w:rsidR="00701C9A" w:rsidRPr="00180180" w:rsidRDefault="00701C9A"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24.04.19</w:t>
            </w:r>
          </w:p>
        </w:tc>
        <w:tc>
          <w:tcPr>
            <w:tcW w:w="1250" w:type="dxa"/>
            <w:tcBorders>
              <w:top w:val="single" w:sz="4" w:space="0" w:color="auto"/>
              <w:left w:val="single" w:sz="4" w:space="0" w:color="auto"/>
              <w:bottom w:val="single" w:sz="4" w:space="0" w:color="auto"/>
              <w:right w:val="single" w:sz="4" w:space="0" w:color="auto"/>
            </w:tcBorders>
          </w:tcPr>
          <w:p w14:paraId="3F1FA8E9" w14:textId="32361C01" w:rsidR="00701C9A" w:rsidRPr="00180180" w:rsidRDefault="000E56FB" w:rsidP="001D46C1">
            <w:pPr>
              <w:pStyle w:val="Header"/>
              <w:tabs>
                <w:tab w:val="left" w:pos="720"/>
              </w:tabs>
              <w:spacing w:before="120"/>
              <w:rPr>
                <w:rFonts w:asciiTheme="minorHAnsi" w:hAnsiTheme="minorHAnsi"/>
                <w:sz w:val="24"/>
                <w:szCs w:val="24"/>
              </w:rPr>
            </w:pPr>
            <w:r w:rsidRPr="00180180">
              <w:rPr>
                <w:rFonts w:asciiTheme="minorHAnsi" w:hAnsiTheme="minorHAnsi"/>
                <w:sz w:val="24"/>
                <w:szCs w:val="24"/>
              </w:rPr>
              <w:t>SPMD</w:t>
            </w:r>
          </w:p>
        </w:tc>
      </w:tr>
    </w:tbl>
    <w:p w14:paraId="57919872" w14:textId="1F260CB3" w:rsidR="0081008D" w:rsidRPr="00180180" w:rsidRDefault="00701C9A" w:rsidP="001D46C1">
      <w:pPr>
        <w:spacing w:before="720"/>
        <w:ind w:left="6662" w:hanging="6662"/>
      </w:pPr>
      <w:r w:rsidRPr="00180180">
        <w:rPr>
          <w:b/>
          <w:bCs/>
        </w:rPr>
        <w:t>An</w:t>
      </w:r>
      <w:r w:rsidR="00725B2B" w:rsidRPr="00180180">
        <w:rPr>
          <w:b/>
          <w:bCs/>
        </w:rPr>
        <w:t>exos</w:t>
      </w:r>
      <w:r w:rsidRPr="00180180">
        <w:rPr>
          <w:b/>
          <w:bCs/>
        </w:rPr>
        <w:t>:</w:t>
      </w:r>
      <w:r w:rsidRPr="00180180">
        <w:t xml:space="preserve"> 4</w:t>
      </w:r>
    </w:p>
    <w:p w14:paraId="0792289B" w14:textId="77777777" w:rsidR="00701C9A" w:rsidRPr="00180180" w:rsidRDefault="00701C9A" w:rsidP="001D46C1">
      <w:pPr>
        <w:spacing w:before="720"/>
        <w:ind w:left="6662" w:hanging="6662"/>
      </w:pPr>
      <w:r w:rsidRPr="00180180">
        <w:br w:type="page"/>
      </w:r>
    </w:p>
    <w:p w14:paraId="0D2C77F6" w14:textId="77777777" w:rsidR="00390BF8" w:rsidRPr="00180180" w:rsidRDefault="00390BF8" w:rsidP="001D46C1">
      <w:pPr>
        <w:pStyle w:val="AnnexNo"/>
        <w:rPr>
          <w:snapToGrid w:val="0"/>
        </w:rPr>
      </w:pPr>
      <w:r w:rsidRPr="00180180">
        <w:rPr>
          <w:snapToGrid w:val="0"/>
        </w:rPr>
        <w:t>ANEXO 1</w:t>
      </w:r>
    </w:p>
    <w:p w14:paraId="7E02CDF0" w14:textId="77777777" w:rsidR="00390BF8" w:rsidRPr="00180180" w:rsidRDefault="00390BF8" w:rsidP="001D46C1">
      <w:pPr>
        <w:ind w:firstLine="142"/>
        <w:rPr>
          <w:snapToGrid w:val="0"/>
        </w:rPr>
      </w:pPr>
      <w:r w:rsidRPr="00180180">
        <w:rPr>
          <w:noProof/>
          <w:lang w:val="en-GB" w:eastAsia="zh-CN"/>
        </w:rPr>
        <w:drawing>
          <wp:inline distT="0" distB="0" distL="0" distR="0" wp14:anchorId="18DC1A0E" wp14:editId="4EE03D5D">
            <wp:extent cx="640080" cy="737870"/>
            <wp:effectExtent l="0" t="0" r="7620" b="5080"/>
            <wp:docPr id="45" name="Picture 45"/>
            <wp:cNvGraphicFramePr/>
            <a:graphic xmlns:a="http://schemas.openxmlformats.org/drawingml/2006/main">
              <a:graphicData uri="http://schemas.openxmlformats.org/drawingml/2006/picture">
                <pic:pic xmlns:pic="http://schemas.openxmlformats.org/drawingml/2006/picture">
                  <pic:nvPicPr>
                    <pic:cNvPr id="45" name="Picture 45"/>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 cy="737870"/>
                    </a:xfrm>
                    <a:prstGeom prst="rect">
                      <a:avLst/>
                    </a:prstGeom>
                    <a:noFill/>
                  </pic:spPr>
                </pic:pic>
              </a:graphicData>
            </a:graphic>
          </wp:inline>
        </w:drawing>
      </w:r>
      <w:r w:rsidRPr="00180180">
        <w:rPr>
          <w:snapToGrid w:val="0"/>
        </w:rPr>
        <w:tab/>
      </w:r>
      <w:r w:rsidRPr="00180180">
        <w:rPr>
          <w:snapToGrid w:val="0"/>
        </w:rPr>
        <w:tab/>
      </w:r>
      <w:r w:rsidRPr="00180180">
        <w:rPr>
          <w:snapToGrid w:val="0"/>
        </w:rPr>
        <w:tab/>
      </w:r>
      <w:r w:rsidRPr="00180180">
        <w:rPr>
          <w:snapToGrid w:val="0"/>
        </w:rPr>
        <w:tab/>
      </w:r>
      <w:r w:rsidRPr="00180180">
        <w:rPr>
          <w:snapToGrid w:val="0"/>
        </w:rPr>
        <w:tab/>
      </w:r>
      <w:r w:rsidRPr="00180180">
        <w:rPr>
          <w:snapToGrid w:val="0"/>
        </w:rPr>
        <w:tab/>
      </w:r>
      <w:r w:rsidRPr="00180180">
        <w:rPr>
          <w:snapToGrid w:val="0"/>
        </w:rPr>
        <w:tab/>
      </w:r>
      <w:r w:rsidRPr="00180180">
        <w:rPr>
          <w:snapToGrid w:val="0"/>
        </w:rPr>
        <w:tab/>
      </w:r>
      <w:r w:rsidRPr="00180180">
        <w:rPr>
          <w:snapToGrid w:val="0"/>
        </w:rPr>
        <w:tab/>
      </w:r>
      <w:r w:rsidRPr="00180180">
        <w:rPr>
          <w:noProof/>
          <w:lang w:val="en-GB" w:eastAsia="zh-CN"/>
        </w:rPr>
        <w:drawing>
          <wp:inline distT="0" distB="0" distL="0" distR="0" wp14:anchorId="0B9EEE0F" wp14:editId="6B1F5DAF">
            <wp:extent cx="1616075" cy="562610"/>
            <wp:effectExtent l="0" t="0" r="3175" b="8890"/>
            <wp:docPr id="46" name="Picture 46" descr="cid:ii_jiyp9sp32_16446ff62cbe3c36"/>
            <wp:cNvGraphicFramePr/>
            <a:graphic xmlns:a="http://schemas.openxmlformats.org/drawingml/2006/main">
              <a:graphicData uri="http://schemas.openxmlformats.org/drawingml/2006/picture">
                <pic:pic xmlns:pic="http://schemas.openxmlformats.org/drawingml/2006/picture">
                  <pic:nvPicPr>
                    <pic:cNvPr id="46" name="Picture 46" descr="cid:ii_jiyp9sp32_16446ff62cbe3c36"/>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1616075" cy="562610"/>
                    </a:xfrm>
                    <a:prstGeom prst="rect">
                      <a:avLst/>
                    </a:prstGeom>
                    <a:noFill/>
                    <a:ln>
                      <a:noFill/>
                    </a:ln>
                  </pic:spPr>
                </pic:pic>
              </a:graphicData>
            </a:graphic>
          </wp:inline>
        </w:drawing>
      </w:r>
    </w:p>
    <w:p w14:paraId="4CA36B85" w14:textId="463D5F59" w:rsidR="00390BF8" w:rsidRPr="00180180" w:rsidRDefault="00961454" w:rsidP="00487935">
      <w:pPr>
        <w:spacing w:before="2280"/>
        <w:jc w:val="center"/>
        <w:rPr>
          <w:bCs/>
          <w:snapToGrid w:val="0"/>
          <w:sz w:val="31"/>
          <w:szCs w:val="31"/>
        </w:rPr>
      </w:pPr>
      <w:r w:rsidRPr="00180180">
        <w:rPr>
          <w:b/>
          <w:bCs/>
          <w:snapToGrid w:val="0"/>
          <w:sz w:val="31"/>
          <w:szCs w:val="31"/>
        </w:rPr>
        <w:t>Declaración conjunta</w:t>
      </w:r>
      <w:r w:rsidR="00390BF8" w:rsidRPr="00180180">
        <w:rPr>
          <w:b/>
          <w:bCs/>
          <w:snapToGrid w:val="0"/>
          <w:sz w:val="31"/>
          <w:szCs w:val="31"/>
        </w:rPr>
        <w:t xml:space="preserve"> </w:t>
      </w:r>
    </w:p>
    <w:p w14:paraId="3460A68F" w14:textId="2B85621E" w:rsidR="00390BF8" w:rsidRPr="00180180" w:rsidRDefault="00961454" w:rsidP="001D46C1">
      <w:pPr>
        <w:spacing w:before="400"/>
        <w:jc w:val="center"/>
        <w:rPr>
          <w:bCs/>
          <w:snapToGrid w:val="0"/>
          <w:sz w:val="31"/>
          <w:szCs w:val="31"/>
        </w:rPr>
      </w:pPr>
      <w:r w:rsidRPr="00180180">
        <w:rPr>
          <w:bCs/>
          <w:snapToGrid w:val="0"/>
          <w:sz w:val="31"/>
          <w:szCs w:val="31"/>
        </w:rPr>
        <w:t>de</w:t>
      </w:r>
    </w:p>
    <w:p w14:paraId="7AE27C3C" w14:textId="3E1EEB6B" w:rsidR="00390BF8" w:rsidRPr="00180180" w:rsidRDefault="00963194" w:rsidP="001D46C1">
      <w:pPr>
        <w:spacing w:before="400"/>
        <w:jc w:val="center"/>
        <w:rPr>
          <w:bCs/>
          <w:snapToGrid w:val="0"/>
          <w:sz w:val="31"/>
          <w:szCs w:val="31"/>
        </w:rPr>
      </w:pPr>
      <w:r w:rsidRPr="00180180">
        <w:rPr>
          <w:bCs/>
          <w:snapToGrid w:val="0"/>
          <w:sz w:val="31"/>
          <w:szCs w:val="31"/>
        </w:rPr>
        <w:t xml:space="preserve">la </w:t>
      </w:r>
      <w:r w:rsidR="00961454" w:rsidRPr="00180180">
        <w:rPr>
          <w:bCs/>
          <w:snapToGrid w:val="0"/>
          <w:sz w:val="31"/>
          <w:szCs w:val="31"/>
        </w:rPr>
        <w:t>Unión Internacional de Telecomunicaciones</w:t>
      </w:r>
    </w:p>
    <w:p w14:paraId="5DC50427" w14:textId="43ABD016" w:rsidR="00390BF8" w:rsidRPr="00180180" w:rsidRDefault="00961454" w:rsidP="001D46C1">
      <w:pPr>
        <w:spacing w:before="400"/>
        <w:jc w:val="center"/>
        <w:rPr>
          <w:bCs/>
          <w:snapToGrid w:val="0"/>
          <w:sz w:val="31"/>
          <w:szCs w:val="31"/>
        </w:rPr>
      </w:pPr>
      <w:r w:rsidRPr="00180180">
        <w:rPr>
          <w:bCs/>
          <w:snapToGrid w:val="0"/>
          <w:sz w:val="31"/>
          <w:szCs w:val="31"/>
        </w:rPr>
        <w:t>y</w:t>
      </w:r>
    </w:p>
    <w:p w14:paraId="6A3D3DD5" w14:textId="77777777" w:rsidR="00390BF8" w:rsidRPr="00180180" w:rsidRDefault="00390BF8" w:rsidP="001D46C1">
      <w:pPr>
        <w:spacing w:before="400"/>
        <w:jc w:val="center"/>
        <w:rPr>
          <w:bCs/>
          <w:snapToGrid w:val="0"/>
          <w:sz w:val="31"/>
          <w:szCs w:val="31"/>
        </w:rPr>
      </w:pPr>
      <w:r w:rsidRPr="00180180">
        <w:rPr>
          <w:bCs/>
          <w:snapToGrid w:val="0"/>
          <w:sz w:val="31"/>
          <w:szCs w:val="31"/>
        </w:rPr>
        <w:t>Global Cyber Alliance</w:t>
      </w:r>
    </w:p>
    <w:p w14:paraId="4A7A0346" w14:textId="77777777" w:rsidR="00390BF8" w:rsidRPr="00180180" w:rsidRDefault="00390BF8" w:rsidP="001D46C1">
      <w:pPr>
        <w:spacing w:before="400"/>
        <w:jc w:val="center"/>
        <w:rPr>
          <w:bCs/>
          <w:snapToGrid w:val="0"/>
          <w:sz w:val="31"/>
          <w:szCs w:val="31"/>
        </w:rPr>
      </w:pPr>
    </w:p>
    <w:p w14:paraId="45DC67AD" w14:textId="1E0BDE5F" w:rsidR="00390BF8" w:rsidRPr="00180180" w:rsidRDefault="00963194" w:rsidP="001D46C1">
      <w:pPr>
        <w:spacing w:before="400"/>
        <w:jc w:val="center"/>
        <w:rPr>
          <w:snapToGrid w:val="0"/>
        </w:rPr>
      </w:pPr>
      <w:r w:rsidRPr="00180180">
        <w:rPr>
          <w:bCs/>
          <w:snapToGrid w:val="0"/>
          <w:sz w:val="31"/>
          <w:szCs w:val="31"/>
        </w:rPr>
        <w:t>para proseguir la cooperación internacional en la esfera de la ciberseguridad</w:t>
      </w:r>
    </w:p>
    <w:p w14:paraId="757E0F8E" w14:textId="3A69D6C3" w:rsidR="00487935" w:rsidRDefault="00487935">
      <w:pPr>
        <w:tabs>
          <w:tab w:val="clear" w:pos="567"/>
          <w:tab w:val="clear" w:pos="1134"/>
          <w:tab w:val="clear" w:pos="1701"/>
          <w:tab w:val="clear" w:pos="2268"/>
          <w:tab w:val="clear" w:pos="2835"/>
        </w:tabs>
        <w:overflowPunct/>
        <w:autoSpaceDE/>
        <w:autoSpaceDN/>
        <w:adjustRightInd/>
        <w:spacing w:before="0"/>
        <w:textAlignment w:val="auto"/>
        <w:rPr>
          <w:b/>
          <w:bCs/>
          <w:snapToGrid w:val="0"/>
          <w:sz w:val="23"/>
          <w:szCs w:val="23"/>
        </w:rPr>
      </w:pPr>
      <w:r>
        <w:rPr>
          <w:b/>
          <w:bCs/>
          <w:snapToGrid w:val="0"/>
          <w:sz w:val="23"/>
          <w:szCs w:val="23"/>
        </w:rPr>
        <w:br w:type="page"/>
      </w:r>
    </w:p>
    <w:p w14:paraId="0027B71F" w14:textId="32FC0226" w:rsidR="00390BF8" w:rsidRPr="00180180" w:rsidRDefault="00963194" w:rsidP="001D46C1">
      <w:pPr>
        <w:pStyle w:val="Headingb"/>
        <w:rPr>
          <w:snapToGrid w:val="0"/>
        </w:rPr>
      </w:pPr>
      <w:r w:rsidRPr="00180180">
        <w:rPr>
          <w:snapToGrid w:val="0"/>
        </w:rPr>
        <w:lastRenderedPageBreak/>
        <w:t>CONSIDERANDO</w:t>
      </w:r>
    </w:p>
    <w:p w14:paraId="0EA8CF8B" w14:textId="3509D637" w:rsidR="00390BF8" w:rsidRPr="00180180" w:rsidRDefault="00DA71C6" w:rsidP="001D46C1">
      <w:pPr>
        <w:rPr>
          <w:snapToGrid w:val="0"/>
        </w:rPr>
      </w:pPr>
      <w:r w:rsidRPr="00180180">
        <w:rPr>
          <w:snapToGrid w:val="0"/>
        </w:rPr>
        <w:t>a)</w:t>
      </w:r>
      <w:r w:rsidRPr="00180180">
        <w:rPr>
          <w:snapToGrid w:val="0"/>
        </w:rPr>
        <w:tab/>
      </w:r>
      <w:r w:rsidR="00E43D9F" w:rsidRPr="00180180">
        <w:rPr>
          <w:snapToGrid w:val="0"/>
        </w:rPr>
        <w:t>q</w:t>
      </w:r>
      <w:r w:rsidR="009C645B" w:rsidRPr="00180180">
        <w:rPr>
          <w:snapToGrid w:val="0"/>
        </w:rPr>
        <w:t>ue</w:t>
      </w:r>
      <w:r w:rsidR="00E43D9F" w:rsidRPr="00180180">
        <w:rPr>
          <w:snapToGrid w:val="0"/>
        </w:rPr>
        <w:t>, habida cuenta de la Cumbre Mundial sobre la Sociedad de la Información (CMSI) y la Conferencia de Plenipotenciarios de la UIT de 2010, una de las funciones fundamentales de la UIT</w:t>
      </w:r>
      <w:r w:rsidR="009C645B" w:rsidRPr="00180180">
        <w:rPr>
          <w:snapToGrid w:val="0"/>
        </w:rPr>
        <w:t xml:space="preserve"> es fomentar la confianza y la seguridad con respecto a la utilización de las tecnologías de la información y la comunicación (TIC)</w:t>
      </w:r>
      <w:r w:rsidR="00E43D9F" w:rsidRPr="00180180">
        <w:rPr>
          <w:snapToGrid w:val="0"/>
        </w:rPr>
        <w:t>,</w:t>
      </w:r>
      <w:r w:rsidR="009C645B" w:rsidRPr="00180180">
        <w:rPr>
          <w:snapToGrid w:val="0"/>
        </w:rPr>
        <w:t xml:space="preserve"> y que los dirigentes </w:t>
      </w:r>
      <w:r w:rsidR="00E43D9F" w:rsidRPr="00180180">
        <w:rPr>
          <w:snapToGrid w:val="0"/>
        </w:rPr>
        <w:t>internacionales</w:t>
      </w:r>
      <w:r w:rsidR="009C645B" w:rsidRPr="00180180">
        <w:rPr>
          <w:snapToGrid w:val="0"/>
        </w:rPr>
        <w:t xml:space="preserve"> </w:t>
      </w:r>
      <w:r w:rsidR="00E43D9F" w:rsidRPr="00180180">
        <w:rPr>
          <w:snapToGrid w:val="0"/>
        </w:rPr>
        <w:t>participantes</w:t>
      </w:r>
      <w:r w:rsidR="009C645B" w:rsidRPr="00180180">
        <w:rPr>
          <w:snapToGrid w:val="0"/>
        </w:rPr>
        <w:t xml:space="preserve"> en la CMSI encomendaron a la UIT que desempeñara un</w:t>
      </w:r>
      <w:r w:rsidR="00E43D9F" w:rsidRPr="00180180">
        <w:rPr>
          <w:snapToGrid w:val="0"/>
        </w:rPr>
        <w:t>a función</w:t>
      </w:r>
      <w:r w:rsidR="009C645B" w:rsidRPr="00180180">
        <w:rPr>
          <w:snapToGrid w:val="0"/>
        </w:rPr>
        <w:t xml:space="preserve"> </w:t>
      </w:r>
      <w:r w:rsidR="00E43D9F" w:rsidRPr="00180180">
        <w:rPr>
          <w:snapToGrid w:val="0"/>
        </w:rPr>
        <w:t>principal</w:t>
      </w:r>
      <w:r w:rsidR="009C645B" w:rsidRPr="00180180">
        <w:rPr>
          <w:snapToGrid w:val="0"/>
        </w:rPr>
        <w:t xml:space="preserve"> en la coordinación de los esfuerzos mundiales encaminados a </w:t>
      </w:r>
      <w:r w:rsidR="00E43D9F" w:rsidRPr="00180180">
        <w:rPr>
          <w:snapToGrid w:val="0"/>
        </w:rPr>
        <w:t>erradicar</w:t>
      </w:r>
      <w:r w:rsidR="009C645B" w:rsidRPr="00180180">
        <w:rPr>
          <w:snapToGrid w:val="0"/>
        </w:rPr>
        <w:t xml:space="preserve"> las amenazas e inseguridades </w:t>
      </w:r>
      <w:r w:rsidR="00E43D9F" w:rsidRPr="00180180">
        <w:rPr>
          <w:snapToGrid w:val="0"/>
        </w:rPr>
        <w:t>que afectan a</w:t>
      </w:r>
      <w:r w:rsidR="009C645B" w:rsidRPr="00180180">
        <w:rPr>
          <w:snapToGrid w:val="0"/>
        </w:rPr>
        <w:t xml:space="preserve"> la sociedad de la información</w:t>
      </w:r>
      <w:r w:rsidR="008C25DB">
        <w:rPr>
          <w:snapToGrid w:val="0"/>
        </w:rPr>
        <w:t>;</w:t>
      </w:r>
    </w:p>
    <w:p w14:paraId="7D2ED293" w14:textId="777F2998" w:rsidR="00390BF8" w:rsidRPr="00180180" w:rsidRDefault="00DA71C6" w:rsidP="001D46C1">
      <w:pPr>
        <w:rPr>
          <w:snapToGrid w:val="0"/>
        </w:rPr>
      </w:pPr>
      <w:r w:rsidRPr="00180180">
        <w:rPr>
          <w:snapToGrid w:val="0"/>
        </w:rPr>
        <w:t>b)</w:t>
      </w:r>
      <w:r w:rsidRPr="00180180">
        <w:rPr>
          <w:snapToGrid w:val="0"/>
        </w:rPr>
        <w:tab/>
      </w:r>
      <w:r w:rsidR="00392B50" w:rsidRPr="00180180">
        <w:t xml:space="preserve">que, </w:t>
      </w:r>
      <w:r w:rsidR="004C537E" w:rsidRPr="00180180">
        <w:t xml:space="preserve">en virtud de lo establecido en la Resolución 130 (Rev. Busán, 2014) de la Conferencia de Plenipotenciarios de la UIT, se encarga al Secretario General de la UIT y a los Directores de las Oficinas que faciliten </w:t>
      </w:r>
      <w:r w:rsidR="00392B50" w:rsidRPr="00180180">
        <w:t>el acceso a los inst</w:t>
      </w:r>
      <w:r w:rsidR="004C537E" w:rsidRPr="00180180">
        <w:t xml:space="preserve">rumentos necesarios </w:t>
      </w:r>
      <w:r w:rsidR="00392B50" w:rsidRPr="00180180">
        <w:t xml:space="preserve">para </w:t>
      </w:r>
      <w:r w:rsidR="00862949" w:rsidRPr="00180180">
        <w:t>fomentar</w:t>
      </w:r>
      <w:r w:rsidR="00392B50" w:rsidRPr="00180180">
        <w:t xml:space="preserve"> la confianza y la seguridad de todos los Estados Miembros en la utilización de las TIC</w:t>
      </w:r>
      <w:r w:rsidR="00862949" w:rsidRPr="00180180">
        <w:t>, en consonancia con las disposiciones de la CMSI sobre acceso universal no discriminatorio a las TIC en todos los países</w:t>
      </w:r>
      <w:r w:rsidR="00392B50" w:rsidRPr="00180180">
        <w:t>;</w:t>
      </w:r>
    </w:p>
    <w:p w14:paraId="085139C3" w14:textId="68231A2A" w:rsidR="00392B50" w:rsidRPr="00180180" w:rsidRDefault="00DA71C6" w:rsidP="001D46C1">
      <w:pPr>
        <w:rPr>
          <w:snapToGrid w:val="0"/>
        </w:rPr>
      </w:pPr>
      <w:r w:rsidRPr="00180180">
        <w:rPr>
          <w:snapToGrid w:val="0"/>
        </w:rPr>
        <w:t>c)</w:t>
      </w:r>
      <w:r w:rsidRPr="00180180">
        <w:rPr>
          <w:snapToGrid w:val="0"/>
        </w:rPr>
        <w:tab/>
      </w:r>
      <w:r w:rsidR="007218CF" w:rsidRPr="00180180">
        <w:rPr>
          <w:snapToGrid w:val="0"/>
        </w:rPr>
        <w:t>que, en virtud de lo establecido en la Reso</w:t>
      </w:r>
      <w:r w:rsidR="005D23D5">
        <w:rPr>
          <w:snapToGrid w:val="0"/>
        </w:rPr>
        <w:t>lución 45 (Rev. Dubái, 2014) de</w:t>
      </w:r>
      <w:r w:rsidR="007218CF" w:rsidRPr="00180180">
        <w:rPr>
          <w:snapToGrid w:val="0"/>
        </w:rPr>
        <w:t xml:space="preserve"> la Conferencia Mundial de Desarrollo de las Telecomunicaciones de la UIT, se</w:t>
      </w:r>
      <w:r w:rsidR="00392B50" w:rsidRPr="00180180">
        <w:rPr>
          <w:snapToGrid w:val="0"/>
        </w:rPr>
        <w:t xml:space="preserve"> </w:t>
      </w:r>
      <w:r w:rsidR="00392B50" w:rsidRPr="00180180">
        <w:t>encarga al Director de la Oficina de Desarrollo de las Telecomunicaciones</w:t>
      </w:r>
      <w:r w:rsidR="00CD7A2B" w:rsidRPr="00180180">
        <w:t xml:space="preserve"> </w:t>
      </w:r>
      <w:r w:rsidR="00392B50" w:rsidRPr="00180180">
        <w:t xml:space="preserve">que </w:t>
      </w:r>
      <w:r w:rsidR="00CD7A2B" w:rsidRPr="00180180">
        <w:t>refrende</w:t>
      </w:r>
      <w:r w:rsidR="00392B50" w:rsidRPr="00180180">
        <w:t xml:space="preserve"> las iniciativas de los Estados Miembros, </w:t>
      </w:r>
      <w:r w:rsidR="00CD7A2B" w:rsidRPr="00180180">
        <w:t>en particular de</w:t>
      </w:r>
      <w:r w:rsidR="00392B50" w:rsidRPr="00180180">
        <w:t xml:space="preserve"> los países en desarrollo, relacionadas con mecanismos </w:t>
      </w:r>
      <w:r w:rsidR="00CD7A2B" w:rsidRPr="00180180">
        <w:t>que permitan</w:t>
      </w:r>
      <w:r w:rsidR="00392B50" w:rsidRPr="00180180">
        <w:t xml:space="preserve"> mejorar la cooperación en materia de ciberseguridad; que preste asistencia a los países en desarrollo para que aumenten su grado de preparación a fin de garantizar un nivel de seguridad alto y eficiente en sus infraestructuras esenciales de telecomunicaciones/TIC;</w:t>
      </w:r>
    </w:p>
    <w:p w14:paraId="2F21AA29" w14:textId="28AB0B77" w:rsidR="00390BF8" w:rsidRPr="00180180" w:rsidRDefault="00DA71C6" w:rsidP="001D46C1">
      <w:pPr>
        <w:rPr>
          <w:snapToGrid w:val="0"/>
        </w:rPr>
      </w:pPr>
      <w:r w:rsidRPr="00180180">
        <w:rPr>
          <w:snapToGrid w:val="0"/>
        </w:rPr>
        <w:t>d)</w:t>
      </w:r>
      <w:r w:rsidRPr="00180180">
        <w:rPr>
          <w:snapToGrid w:val="0"/>
        </w:rPr>
        <w:tab/>
      </w:r>
      <w:r w:rsidR="007218CF" w:rsidRPr="00180180">
        <w:rPr>
          <w:snapToGrid w:val="0"/>
        </w:rPr>
        <w:t xml:space="preserve">que </w:t>
      </w:r>
      <w:r w:rsidR="007218CF" w:rsidRPr="00180180">
        <w:rPr>
          <w:i/>
          <w:iCs/>
          <w:snapToGrid w:val="0"/>
        </w:rPr>
        <w:t>Global Cyber Alliance</w:t>
      </w:r>
      <w:r w:rsidR="007218CF" w:rsidRPr="00180180">
        <w:rPr>
          <w:snapToGrid w:val="0"/>
        </w:rPr>
        <w:t xml:space="preserve"> es una organización de primer orden, de liderazgo reconocido a escala mundial en la lucha contra las causas sistémicas de las ciberamenazas, y que en calidad de organización sin </w:t>
      </w:r>
      <w:r w:rsidR="00D040A3" w:rsidRPr="00180180">
        <w:rPr>
          <w:snapToGrid w:val="0"/>
        </w:rPr>
        <w:t>fines</w:t>
      </w:r>
      <w:r w:rsidR="007218CF" w:rsidRPr="00180180">
        <w:rPr>
          <w:snapToGrid w:val="0"/>
        </w:rPr>
        <w:t xml:space="preserve"> de lucro/ONG fomenta soluciones </w:t>
      </w:r>
      <w:r w:rsidR="00D040A3" w:rsidRPr="00180180">
        <w:rPr>
          <w:snapToGrid w:val="0"/>
        </w:rPr>
        <w:t>destinadas</w:t>
      </w:r>
      <w:r w:rsidR="007218CF" w:rsidRPr="00180180">
        <w:rPr>
          <w:snapToGrid w:val="0"/>
        </w:rPr>
        <w:t xml:space="preserve"> a</w:t>
      </w:r>
      <w:r w:rsidR="008C25DB">
        <w:rPr>
          <w:snapToGrid w:val="0"/>
        </w:rPr>
        <w:t xml:space="preserve"> la comunidad de código abierto;</w:t>
      </w:r>
    </w:p>
    <w:p w14:paraId="3989A2D6" w14:textId="693B8C84" w:rsidR="00390BF8" w:rsidRPr="00180180" w:rsidRDefault="00DA71C6" w:rsidP="001D46C1">
      <w:pPr>
        <w:rPr>
          <w:snapToGrid w:val="0"/>
        </w:rPr>
      </w:pPr>
      <w:r w:rsidRPr="00180180">
        <w:rPr>
          <w:snapToGrid w:val="0"/>
        </w:rPr>
        <w:t>e)</w:t>
      </w:r>
      <w:r w:rsidRPr="00180180">
        <w:rPr>
          <w:snapToGrid w:val="0"/>
        </w:rPr>
        <w:tab/>
      </w:r>
      <w:r w:rsidR="00D040A3" w:rsidRPr="00180180">
        <w:rPr>
          <w:snapToGrid w:val="0"/>
        </w:rPr>
        <w:t>que el acceso a información sobre ciberamenazas a escala mundial es de gran utilidad para todas las partes interesadas, en particular los Estados Miembros de la UIT</w:t>
      </w:r>
      <w:r w:rsidR="008C25DB">
        <w:rPr>
          <w:snapToGrid w:val="0"/>
        </w:rPr>
        <w:t>.</w:t>
      </w:r>
    </w:p>
    <w:p w14:paraId="7038D191" w14:textId="3D3822DF" w:rsidR="00390BF8" w:rsidRPr="00180180" w:rsidRDefault="007A0AC1" w:rsidP="001D46C1">
      <w:pPr>
        <w:rPr>
          <w:snapToGrid w:val="0"/>
        </w:rPr>
      </w:pPr>
      <w:r w:rsidRPr="00180180">
        <w:rPr>
          <w:b/>
          <w:bCs/>
          <w:snapToGrid w:val="0"/>
        </w:rPr>
        <w:t xml:space="preserve">EN CONSECUENCIA, </w:t>
      </w:r>
      <w:r w:rsidRPr="00180180">
        <w:rPr>
          <w:snapToGrid w:val="0"/>
        </w:rPr>
        <w:t>la</w:t>
      </w:r>
      <w:r w:rsidRPr="00180180">
        <w:rPr>
          <w:b/>
          <w:bCs/>
          <w:snapToGrid w:val="0"/>
        </w:rPr>
        <w:t xml:space="preserve"> Unión Internacional de Telecomunicaciones (UIT) </w:t>
      </w:r>
      <w:r w:rsidRPr="00180180">
        <w:rPr>
          <w:snapToGrid w:val="0"/>
        </w:rPr>
        <w:t xml:space="preserve">y </w:t>
      </w:r>
      <w:r w:rsidRPr="00180180">
        <w:rPr>
          <w:b/>
          <w:bCs/>
          <w:i/>
          <w:iCs/>
          <w:snapToGrid w:val="0"/>
        </w:rPr>
        <w:t>Global Cyber Alliance</w:t>
      </w:r>
      <w:r w:rsidRPr="00180180">
        <w:rPr>
          <w:b/>
          <w:bCs/>
          <w:snapToGrid w:val="0"/>
        </w:rPr>
        <w:t xml:space="preserve"> </w:t>
      </w:r>
      <w:r w:rsidR="00A26338" w:rsidRPr="00180180">
        <w:rPr>
          <w:snapToGrid w:val="0"/>
        </w:rPr>
        <w:t>manifiestan</w:t>
      </w:r>
      <w:r w:rsidRPr="00180180">
        <w:rPr>
          <w:snapToGrid w:val="0"/>
        </w:rPr>
        <w:t xml:space="preserve"> su intención, con </w:t>
      </w:r>
      <w:r w:rsidR="00A26338" w:rsidRPr="00180180">
        <w:rPr>
          <w:snapToGrid w:val="0"/>
        </w:rPr>
        <w:t>arreglo</w:t>
      </w:r>
      <w:r w:rsidRPr="00180180">
        <w:rPr>
          <w:snapToGrid w:val="0"/>
        </w:rPr>
        <w:t xml:space="preserve"> a sus programas de trabajo y de conformidad con sus mandatos, normas, reglamentos y procedimientos respectivos, de</w:t>
      </w:r>
      <w:r w:rsidR="00390BF8" w:rsidRPr="00180180">
        <w:rPr>
          <w:snapToGrid w:val="0"/>
        </w:rPr>
        <w:t>:</w:t>
      </w:r>
    </w:p>
    <w:p w14:paraId="4ECCA21C" w14:textId="3957E1D5" w:rsidR="00390BF8" w:rsidRPr="00180180" w:rsidRDefault="000016AA" w:rsidP="001D46C1">
      <w:pPr>
        <w:pStyle w:val="enumlev1"/>
        <w:rPr>
          <w:snapToGrid w:val="0"/>
        </w:rPr>
      </w:pPr>
      <w:r w:rsidRPr="00180180">
        <w:rPr>
          <w:snapToGrid w:val="0"/>
        </w:rPr>
        <w:t>1</w:t>
      </w:r>
      <w:r w:rsidRPr="00180180">
        <w:rPr>
          <w:snapToGrid w:val="0"/>
        </w:rPr>
        <w:tab/>
      </w:r>
      <w:r w:rsidR="00F7447E" w:rsidRPr="00180180">
        <w:rPr>
          <w:snapToGrid w:val="0"/>
        </w:rPr>
        <w:t xml:space="preserve">cooperar en </w:t>
      </w:r>
      <w:r w:rsidR="00430A81" w:rsidRPr="00180180">
        <w:rPr>
          <w:snapToGrid w:val="0"/>
        </w:rPr>
        <w:t>aras</w:t>
      </w:r>
      <w:r w:rsidR="00F7447E" w:rsidRPr="00180180">
        <w:rPr>
          <w:snapToGrid w:val="0"/>
        </w:rPr>
        <w:t xml:space="preserve"> de una sociedad de la información más segura y protegida</w:t>
      </w:r>
      <w:r w:rsidR="00A26338" w:rsidRPr="00180180">
        <w:rPr>
          <w:snapToGrid w:val="0"/>
        </w:rPr>
        <w:t>,</w:t>
      </w:r>
      <w:r w:rsidR="00F7447E" w:rsidRPr="00180180">
        <w:rPr>
          <w:snapToGrid w:val="0"/>
        </w:rPr>
        <w:t xml:space="preserve"> </w:t>
      </w:r>
      <w:r w:rsidR="00430A81" w:rsidRPr="00180180">
        <w:rPr>
          <w:snapToGrid w:val="0"/>
        </w:rPr>
        <w:t>sobre la base del beneficio mutuo y del de los Miembros de la UIT</w:t>
      </w:r>
      <w:r w:rsidR="00390BF8" w:rsidRPr="00180180">
        <w:rPr>
          <w:snapToGrid w:val="0"/>
        </w:rPr>
        <w:t>.</w:t>
      </w:r>
    </w:p>
    <w:p w14:paraId="1B73DE85" w14:textId="0DED4E89" w:rsidR="00390BF8" w:rsidRPr="00180180" w:rsidRDefault="000016AA" w:rsidP="001D46C1">
      <w:pPr>
        <w:pStyle w:val="enumlev1"/>
        <w:rPr>
          <w:snapToGrid w:val="0"/>
        </w:rPr>
      </w:pPr>
      <w:r w:rsidRPr="00180180">
        <w:rPr>
          <w:snapToGrid w:val="0"/>
        </w:rPr>
        <w:lastRenderedPageBreak/>
        <w:t>2</w:t>
      </w:r>
      <w:r w:rsidRPr="00180180">
        <w:rPr>
          <w:snapToGrid w:val="0"/>
        </w:rPr>
        <w:tab/>
      </w:r>
      <w:r w:rsidR="00A26338" w:rsidRPr="00180180">
        <w:rPr>
          <w:snapToGrid w:val="0"/>
        </w:rPr>
        <w:t xml:space="preserve">emprender consultas mutuas para estudiar la posibilidad de promover mecanismos, instrumentos y servicios que puedan ayudar a los Miembros de la UIT a mejorar su grado de preparación y su capacidad para dar respuesta a las ciberamenazas, incluidos los riesgos conexos. Esas consultas pueden guardar relación, entre otras cosas, con el desarrollo de redes señuelo para Internet de las </w:t>
      </w:r>
      <w:r w:rsidR="001636D1" w:rsidRPr="00180180">
        <w:rPr>
          <w:snapToGrid w:val="0"/>
        </w:rPr>
        <w:t xml:space="preserve">cosas </w:t>
      </w:r>
      <w:r w:rsidR="00A26338" w:rsidRPr="00180180">
        <w:rPr>
          <w:snapToGrid w:val="0"/>
        </w:rPr>
        <w:t>(IoT), servicios de telemedida DNS IoT e instrumentos de notificación sobre ciberamenazas, con miras a ponerlos a disposición de los Miembros de la UIT a título gratuito.</w:t>
      </w:r>
      <w:r w:rsidR="00390BF8" w:rsidRPr="00180180">
        <w:rPr>
          <w:snapToGrid w:val="0"/>
        </w:rPr>
        <w:t xml:space="preserve"> </w:t>
      </w:r>
    </w:p>
    <w:p w14:paraId="472C5FB2" w14:textId="3DBA3AD7" w:rsidR="00390BF8" w:rsidRPr="00180180" w:rsidRDefault="000016AA" w:rsidP="001D46C1">
      <w:pPr>
        <w:pStyle w:val="enumlev1"/>
        <w:rPr>
          <w:snapToGrid w:val="0"/>
        </w:rPr>
      </w:pPr>
      <w:r w:rsidRPr="00180180">
        <w:rPr>
          <w:snapToGrid w:val="0"/>
        </w:rPr>
        <w:t>3</w:t>
      </w:r>
      <w:r w:rsidRPr="00180180">
        <w:rPr>
          <w:snapToGrid w:val="0"/>
        </w:rPr>
        <w:tab/>
      </w:r>
      <w:r w:rsidR="00917D89" w:rsidRPr="00180180">
        <w:rPr>
          <w:snapToGrid w:val="0"/>
        </w:rPr>
        <w:t xml:space="preserve">Examinar los avances </w:t>
      </w:r>
      <w:r w:rsidR="00677563" w:rsidRPr="00180180">
        <w:rPr>
          <w:snapToGrid w:val="0"/>
        </w:rPr>
        <w:t>registrados</w:t>
      </w:r>
      <w:r w:rsidR="00917D89" w:rsidRPr="00180180">
        <w:rPr>
          <w:snapToGrid w:val="0"/>
        </w:rPr>
        <w:t xml:space="preserve"> en la cooperación entre la UIT y </w:t>
      </w:r>
      <w:r w:rsidR="00917D89" w:rsidRPr="00180180">
        <w:rPr>
          <w:i/>
          <w:iCs/>
          <w:snapToGrid w:val="0"/>
        </w:rPr>
        <w:t>Global Cyber Alliance</w:t>
      </w:r>
      <w:r w:rsidR="00917D89" w:rsidRPr="00180180">
        <w:rPr>
          <w:snapToGrid w:val="0"/>
        </w:rPr>
        <w:t xml:space="preserve"> al cabo de un año de la firma de la presente Declaración conjunta y adoptar un</w:t>
      </w:r>
      <w:r w:rsidR="00CD7A2B" w:rsidRPr="00180180">
        <w:rPr>
          <w:snapToGrid w:val="0"/>
        </w:rPr>
        <w:t>a</w:t>
      </w:r>
      <w:r w:rsidR="00917D89" w:rsidRPr="00180180">
        <w:rPr>
          <w:snapToGrid w:val="0"/>
        </w:rPr>
        <w:t xml:space="preserve"> decisión sobre </w:t>
      </w:r>
      <w:r w:rsidR="00CD7A2B" w:rsidRPr="00180180">
        <w:rPr>
          <w:snapToGrid w:val="0"/>
        </w:rPr>
        <w:t>toda nueva</w:t>
      </w:r>
      <w:r w:rsidR="00917D89" w:rsidRPr="00180180">
        <w:rPr>
          <w:snapToGrid w:val="0"/>
        </w:rPr>
        <w:t xml:space="preserve"> medida </w:t>
      </w:r>
      <w:r w:rsidR="00CD7A2B" w:rsidRPr="00180180">
        <w:rPr>
          <w:snapToGrid w:val="0"/>
        </w:rPr>
        <w:t>que contribuya a</w:t>
      </w:r>
      <w:r w:rsidR="00917D89" w:rsidRPr="00180180">
        <w:rPr>
          <w:snapToGrid w:val="0"/>
        </w:rPr>
        <w:t xml:space="preserve"> </w:t>
      </w:r>
      <w:r w:rsidR="00677563" w:rsidRPr="00180180">
        <w:rPr>
          <w:snapToGrid w:val="0"/>
        </w:rPr>
        <w:t>fomentar</w:t>
      </w:r>
      <w:r w:rsidR="00917D89" w:rsidRPr="00180180">
        <w:rPr>
          <w:snapToGrid w:val="0"/>
        </w:rPr>
        <w:t xml:space="preserve"> la cooperación.</w:t>
      </w:r>
    </w:p>
    <w:p w14:paraId="0C5FFF2B" w14:textId="0F610ED7" w:rsidR="00390BF8" w:rsidRPr="00180180" w:rsidRDefault="00CD7A2B" w:rsidP="00BB0F3F">
      <w:pPr>
        <w:rPr>
          <w:snapToGrid w:val="0"/>
        </w:rPr>
      </w:pPr>
      <w:r w:rsidRPr="00180180">
        <w:rPr>
          <w:snapToGrid w:val="0"/>
        </w:rPr>
        <w:t xml:space="preserve">La UIT y </w:t>
      </w:r>
      <w:r w:rsidRPr="00180180">
        <w:rPr>
          <w:i/>
          <w:iCs/>
          <w:snapToGrid w:val="0"/>
        </w:rPr>
        <w:t>Global Cyber Alliance</w:t>
      </w:r>
      <w:r w:rsidRPr="00180180">
        <w:rPr>
          <w:snapToGrid w:val="0"/>
        </w:rPr>
        <w:t xml:space="preserve"> reconocen que la presente Dec</w:t>
      </w:r>
      <w:r w:rsidR="00136326" w:rsidRPr="00180180">
        <w:rPr>
          <w:snapToGrid w:val="0"/>
        </w:rPr>
        <w:t>laración c</w:t>
      </w:r>
      <w:r w:rsidRPr="00180180">
        <w:rPr>
          <w:snapToGrid w:val="0"/>
        </w:rPr>
        <w:t xml:space="preserve">onjunta no </w:t>
      </w:r>
      <w:r w:rsidR="00136326" w:rsidRPr="00180180">
        <w:rPr>
          <w:snapToGrid w:val="0"/>
        </w:rPr>
        <w:t>ha de</w:t>
      </w:r>
      <w:r w:rsidRPr="00180180">
        <w:rPr>
          <w:snapToGrid w:val="0"/>
        </w:rPr>
        <w:t xml:space="preserve"> interpretarse como un documento vinculante y </w:t>
      </w:r>
      <w:r w:rsidR="00136326" w:rsidRPr="00180180">
        <w:rPr>
          <w:snapToGrid w:val="0"/>
        </w:rPr>
        <w:t xml:space="preserve">que </w:t>
      </w:r>
      <w:r w:rsidRPr="00180180">
        <w:rPr>
          <w:snapToGrid w:val="0"/>
        </w:rPr>
        <w:t xml:space="preserve">no </w:t>
      </w:r>
      <w:r w:rsidR="00C973D1" w:rsidRPr="00180180">
        <w:rPr>
          <w:snapToGrid w:val="0"/>
        </w:rPr>
        <w:t>conlleva</w:t>
      </w:r>
      <w:r w:rsidRPr="00180180">
        <w:rPr>
          <w:snapToGrid w:val="0"/>
        </w:rPr>
        <w:t xml:space="preserve"> ningún tipo de obligación</w:t>
      </w:r>
      <w:r w:rsidR="00136326" w:rsidRPr="00180180">
        <w:rPr>
          <w:snapToGrid w:val="0"/>
        </w:rPr>
        <w:t xml:space="preserve"> de índole</w:t>
      </w:r>
      <w:r w:rsidRPr="00180180">
        <w:rPr>
          <w:snapToGrid w:val="0"/>
        </w:rPr>
        <w:t xml:space="preserve"> fiduciaria o </w:t>
      </w:r>
      <w:r w:rsidR="00136326" w:rsidRPr="00180180">
        <w:rPr>
          <w:snapToGrid w:val="0"/>
        </w:rPr>
        <w:t>jurídica</w:t>
      </w:r>
      <w:r w:rsidR="00390BF8" w:rsidRPr="00180180">
        <w:t xml:space="preserve">. </w:t>
      </w:r>
      <w:r w:rsidR="00136326" w:rsidRPr="00180180">
        <w:t>T</w:t>
      </w:r>
      <w:r w:rsidR="00F7447E" w:rsidRPr="00180180">
        <w:t>oda</w:t>
      </w:r>
      <w:r w:rsidR="00C973D1" w:rsidRPr="00180180">
        <w:t xml:space="preserve"> actividad</w:t>
      </w:r>
      <w:r w:rsidR="00F7447E" w:rsidRPr="00180180">
        <w:t xml:space="preserve"> que se lleve a cabo en </w:t>
      </w:r>
      <w:r w:rsidR="00C973D1" w:rsidRPr="00180180">
        <w:t>el marco</w:t>
      </w:r>
      <w:r w:rsidR="00F7447E" w:rsidRPr="00180180">
        <w:t xml:space="preserve"> </w:t>
      </w:r>
      <w:r w:rsidR="00136326" w:rsidRPr="00180180">
        <w:t>de la presente Declaración</w:t>
      </w:r>
      <w:r w:rsidR="00F7447E" w:rsidRPr="00180180">
        <w:t xml:space="preserve"> estará sujeta y supeditada </w:t>
      </w:r>
      <w:r w:rsidR="00C973D1" w:rsidRPr="00180180">
        <w:t>a la disponibilidad de personal y de fondos suficientes, entre otros recursos, y podrá conllevar la ejecución de un instrumento jurídicamente vinculante, o de varios, susceptibles de negociarse independientemente y de ser acordados por las partes Signatarias</w:t>
      </w:r>
      <w:r w:rsidR="00390BF8" w:rsidRPr="00180180">
        <w:rPr>
          <w:snapToGrid w:val="0"/>
        </w:rPr>
        <w:t>.</w:t>
      </w:r>
    </w:p>
    <w:p w14:paraId="59CCBD61" w14:textId="77777777" w:rsidR="00390BF8" w:rsidRPr="00180180" w:rsidRDefault="00390BF8" w:rsidP="001D46C1">
      <w:pPr>
        <w:rPr>
          <w:b/>
          <w:bCs/>
          <w:snapToGrid w:val="0"/>
          <w:sz w:val="23"/>
          <w:szCs w:val="23"/>
        </w:rPr>
      </w:pPr>
    </w:p>
    <w:p w14:paraId="1E8A2B40" w14:textId="77777777" w:rsidR="00390BF8" w:rsidRPr="00180180" w:rsidRDefault="00390BF8" w:rsidP="001D46C1">
      <w:pPr>
        <w:spacing w:before="180"/>
        <w:ind w:right="74"/>
        <w:jc w:val="both"/>
        <w:rPr>
          <w:snapToGrid w:val="0"/>
          <w:sz w:val="23"/>
          <w:szCs w:val="23"/>
        </w:rPr>
      </w:pPr>
    </w:p>
    <w:p w14:paraId="35A9F724" w14:textId="59DE2B33" w:rsidR="00390BF8" w:rsidRPr="00180180" w:rsidRDefault="00136326" w:rsidP="001D46C1">
      <w:pPr>
        <w:spacing w:before="180"/>
        <w:ind w:right="74"/>
        <w:jc w:val="both"/>
        <w:rPr>
          <w:snapToGrid w:val="0"/>
          <w:sz w:val="23"/>
          <w:szCs w:val="23"/>
        </w:rPr>
      </w:pPr>
      <w:r w:rsidRPr="00180180">
        <w:rPr>
          <w:snapToGrid w:val="0"/>
          <w:sz w:val="23"/>
          <w:szCs w:val="23"/>
        </w:rPr>
        <w:t>Suscrito el 9 de julio de</w:t>
      </w:r>
      <w:r w:rsidR="00390BF8" w:rsidRPr="00180180">
        <w:rPr>
          <w:snapToGrid w:val="0"/>
          <w:sz w:val="23"/>
          <w:szCs w:val="23"/>
        </w:rPr>
        <w:t xml:space="preserve"> 2018 </w:t>
      </w:r>
    </w:p>
    <w:p w14:paraId="547ADF18" w14:textId="77777777" w:rsidR="00390BF8" w:rsidRPr="00180180" w:rsidRDefault="00390BF8" w:rsidP="001D46C1">
      <w:pPr>
        <w:spacing w:before="180"/>
        <w:ind w:left="289" w:right="74"/>
        <w:jc w:val="both"/>
        <w:rPr>
          <w:snapToGrid w:val="0"/>
          <w:sz w:val="23"/>
          <w:szCs w:val="23"/>
        </w:rPr>
      </w:pPr>
    </w:p>
    <w:tbl>
      <w:tblPr>
        <w:tblW w:w="0" w:type="auto"/>
        <w:tblInd w:w="534" w:type="dxa"/>
        <w:tblLook w:val="00A0" w:firstRow="1" w:lastRow="0" w:firstColumn="1" w:lastColumn="0" w:noHBand="0" w:noVBand="0"/>
      </w:tblPr>
      <w:tblGrid>
        <w:gridCol w:w="3900"/>
        <w:gridCol w:w="546"/>
        <w:gridCol w:w="3891"/>
      </w:tblGrid>
      <w:tr w:rsidR="00390BF8" w:rsidRPr="00180180" w14:paraId="096BE098" w14:textId="77777777" w:rsidTr="000B5F63">
        <w:trPr>
          <w:trHeight w:val="3662"/>
        </w:trPr>
        <w:tc>
          <w:tcPr>
            <w:tcW w:w="3900" w:type="dxa"/>
          </w:tcPr>
          <w:p w14:paraId="08CD6C58" w14:textId="12938657" w:rsidR="00390BF8" w:rsidRPr="006F28C5" w:rsidRDefault="00D602D9" w:rsidP="001D46C1">
            <w:pPr>
              <w:ind w:left="74"/>
              <w:jc w:val="center"/>
              <w:rPr>
                <w:snapToGrid w:val="0"/>
                <w:sz w:val="23"/>
                <w:szCs w:val="23"/>
                <w:lang w:val="en-GB"/>
              </w:rPr>
            </w:pPr>
            <w:r w:rsidRPr="006F28C5">
              <w:rPr>
                <w:snapToGrid w:val="0"/>
                <w:sz w:val="23"/>
                <w:szCs w:val="23"/>
                <w:lang w:val="en-GB"/>
              </w:rPr>
              <w:t xml:space="preserve">Por </w:t>
            </w:r>
            <w:r w:rsidR="00390BF8" w:rsidRPr="006F28C5">
              <w:rPr>
                <w:snapToGrid w:val="0"/>
                <w:sz w:val="23"/>
                <w:szCs w:val="23"/>
                <w:lang w:val="en-GB"/>
              </w:rPr>
              <w:t xml:space="preserve">Global Cyber Alliance </w:t>
            </w:r>
          </w:p>
          <w:p w14:paraId="4BC23087" w14:textId="77777777" w:rsidR="00390BF8" w:rsidRPr="006F28C5" w:rsidRDefault="00390BF8" w:rsidP="001D46C1">
            <w:pPr>
              <w:ind w:left="74"/>
              <w:jc w:val="center"/>
              <w:rPr>
                <w:snapToGrid w:val="0"/>
                <w:sz w:val="23"/>
                <w:szCs w:val="23"/>
                <w:lang w:val="en-GB"/>
              </w:rPr>
            </w:pPr>
          </w:p>
          <w:p w14:paraId="73CC8C99" w14:textId="77777777" w:rsidR="00390BF8" w:rsidRPr="006F28C5" w:rsidRDefault="00390BF8" w:rsidP="001D46C1">
            <w:pPr>
              <w:ind w:left="74"/>
              <w:jc w:val="center"/>
              <w:rPr>
                <w:snapToGrid w:val="0"/>
                <w:sz w:val="23"/>
                <w:szCs w:val="23"/>
                <w:lang w:val="en-GB"/>
              </w:rPr>
            </w:pPr>
          </w:p>
          <w:p w14:paraId="093AB675" w14:textId="77777777" w:rsidR="00390BF8" w:rsidRPr="006F28C5" w:rsidRDefault="00390BF8" w:rsidP="001D46C1">
            <w:pPr>
              <w:ind w:left="74"/>
              <w:jc w:val="center"/>
              <w:rPr>
                <w:snapToGrid w:val="0"/>
                <w:sz w:val="23"/>
                <w:szCs w:val="23"/>
                <w:lang w:val="en-GB"/>
              </w:rPr>
            </w:pPr>
          </w:p>
          <w:p w14:paraId="2C765722" w14:textId="77777777" w:rsidR="00390BF8" w:rsidRPr="006F28C5" w:rsidRDefault="00390BF8" w:rsidP="001D46C1">
            <w:pPr>
              <w:ind w:left="74"/>
              <w:jc w:val="center"/>
              <w:rPr>
                <w:snapToGrid w:val="0"/>
                <w:sz w:val="23"/>
                <w:szCs w:val="23"/>
                <w:lang w:val="en-GB"/>
              </w:rPr>
            </w:pPr>
          </w:p>
          <w:p w14:paraId="52F988C5" w14:textId="77777777" w:rsidR="00390BF8" w:rsidRPr="006F28C5" w:rsidRDefault="00390BF8" w:rsidP="001D46C1">
            <w:pPr>
              <w:ind w:left="74"/>
              <w:jc w:val="center"/>
              <w:rPr>
                <w:snapToGrid w:val="0"/>
                <w:sz w:val="23"/>
                <w:szCs w:val="23"/>
                <w:lang w:val="en-GB"/>
              </w:rPr>
            </w:pPr>
          </w:p>
          <w:p w14:paraId="4A00CA1A" w14:textId="77777777" w:rsidR="00390BF8" w:rsidRPr="006F28C5" w:rsidRDefault="00390BF8" w:rsidP="001D46C1">
            <w:pPr>
              <w:ind w:left="74"/>
              <w:jc w:val="center"/>
              <w:rPr>
                <w:snapToGrid w:val="0"/>
                <w:sz w:val="23"/>
                <w:szCs w:val="23"/>
                <w:lang w:val="en-GB"/>
              </w:rPr>
            </w:pPr>
          </w:p>
          <w:p w14:paraId="1B562DCD" w14:textId="77777777" w:rsidR="00390BF8" w:rsidRPr="006F28C5" w:rsidRDefault="00390BF8" w:rsidP="001D46C1">
            <w:pPr>
              <w:ind w:left="74"/>
              <w:jc w:val="center"/>
              <w:rPr>
                <w:snapToGrid w:val="0"/>
                <w:sz w:val="23"/>
                <w:szCs w:val="23"/>
                <w:lang w:val="en-GB"/>
              </w:rPr>
            </w:pPr>
          </w:p>
          <w:p w14:paraId="5427C998" w14:textId="77777777" w:rsidR="00390BF8" w:rsidRPr="006F28C5" w:rsidRDefault="00390BF8" w:rsidP="001D46C1">
            <w:pPr>
              <w:ind w:left="74"/>
              <w:jc w:val="center"/>
              <w:rPr>
                <w:snapToGrid w:val="0"/>
                <w:sz w:val="23"/>
                <w:szCs w:val="23"/>
                <w:lang w:val="en-GB"/>
              </w:rPr>
            </w:pPr>
          </w:p>
          <w:p w14:paraId="156DA7EF" w14:textId="77777777" w:rsidR="00390BF8" w:rsidRPr="006F28C5" w:rsidRDefault="00390BF8" w:rsidP="001D46C1">
            <w:pPr>
              <w:ind w:left="74"/>
              <w:jc w:val="center"/>
              <w:rPr>
                <w:snapToGrid w:val="0"/>
                <w:sz w:val="23"/>
                <w:szCs w:val="23"/>
                <w:lang w:val="en-GB"/>
              </w:rPr>
            </w:pPr>
            <w:r w:rsidRPr="006F28C5">
              <w:rPr>
                <w:snapToGrid w:val="0"/>
                <w:sz w:val="23"/>
                <w:szCs w:val="23"/>
                <w:lang w:val="en-GB"/>
              </w:rPr>
              <w:t>_______________________________</w:t>
            </w:r>
          </w:p>
          <w:p w14:paraId="2AD03BE4" w14:textId="77777777" w:rsidR="00390BF8" w:rsidRPr="006F28C5" w:rsidRDefault="00390BF8" w:rsidP="001D46C1">
            <w:pPr>
              <w:spacing w:before="60"/>
              <w:ind w:left="74"/>
              <w:jc w:val="center"/>
              <w:rPr>
                <w:snapToGrid w:val="0"/>
                <w:sz w:val="23"/>
                <w:szCs w:val="23"/>
                <w:lang w:val="en-GB"/>
              </w:rPr>
            </w:pPr>
            <w:r w:rsidRPr="006F28C5">
              <w:rPr>
                <w:snapToGrid w:val="0"/>
                <w:sz w:val="23"/>
                <w:szCs w:val="23"/>
                <w:lang w:val="en-GB"/>
              </w:rPr>
              <w:t>Philip Reitinger</w:t>
            </w:r>
          </w:p>
          <w:p w14:paraId="119658EC" w14:textId="61A5E876" w:rsidR="00390BF8" w:rsidRPr="00180180" w:rsidRDefault="00390BF8" w:rsidP="001D46C1">
            <w:pPr>
              <w:spacing w:before="60"/>
              <w:ind w:left="74"/>
              <w:jc w:val="center"/>
              <w:rPr>
                <w:snapToGrid w:val="0"/>
                <w:sz w:val="23"/>
                <w:szCs w:val="23"/>
              </w:rPr>
            </w:pPr>
            <w:r w:rsidRPr="00180180">
              <w:rPr>
                <w:snapToGrid w:val="0"/>
                <w:sz w:val="23"/>
                <w:szCs w:val="23"/>
              </w:rPr>
              <w:t>President</w:t>
            </w:r>
            <w:r w:rsidR="008E77AD">
              <w:rPr>
                <w:snapToGrid w:val="0"/>
                <w:sz w:val="23"/>
                <w:szCs w:val="23"/>
              </w:rPr>
              <w:t>e</w:t>
            </w:r>
            <w:r w:rsidRPr="00180180">
              <w:rPr>
                <w:snapToGrid w:val="0"/>
                <w:sz w:val="23"/>
                <w:szCs w:val="23"/>
              </w:rPr>
              <w:t xml:space="preserve"> </w:t>
            </w:r>
            <w:r w:rsidR="00D602D9" w:rsidRPr="00180180">
              <w:rPr>
                <w:snapToGrid w:val="0"/>
                <w:sz w:val="23"/>
                <w:szCs w:val="23"/>
              </w:rPr>
              <w:t>y Director Ejecutivo</w:t>
            </w:r>
          </w:p>
          <w:p w14:paraId="4FDE06F6" w14:textId="77777777" w:rsidR="00390BF8" w:rsidRPr="00180180" w:rsidRDefault="00390BF8" w:rsidP="001D46C1">
            <w:pPr>
              <w:spacing w:before="60"/>
              <w:ind w:left="74"/>
              <w:jc w:val="center"/>
              <w:rPr>
                <w:snapToGrid w:val="0"/>
                <w:sz w:val="23"/>
                <w:szCs w:val="23"/>
              </w:rPr>
            </w:pPr>
            <w:r w:rsidRPr="00180180">
              <w:rPr>
                <w:snapToGrid w:val="0"/>
                <w:sz w:val="23"/>
                <w:szCs w:val="23"/>
              </w:rPr>
              <w:t>Global Cyber Alliance (GCA)</w:t>
            </w:r>
          </w:p>
          <w:p w14:paraId="79003D8D" w14:textId="77777777" w:rsidR="00390BF8" w:rsidRPr="00180180" w:rsidRDefault="00390BF8" w:rsidP="001D46C1">
            <w:pPr>
              <w:ind w:left="74"/>
              <w:jc w:val="center"/>
              <w:rPr>
                <w:snapToGrid w:val="0"/>
                <w:sz w:val="23"/>
                <w:szCs w:val="23"/>
              </w:rPr>
            </w:pPr>
          </w:p>
        </w:tc>
        <w:tc>
          <w:tcPr>
            <w:tcW w:w="546" w:type="dxa"/>
          </w:tcPr>
          <w:p w14:paraId="19463393" w14:textId="77777777" w:rsidR="00390BF8" w:rsidRPr="00180180" w:rsidRDefault="00390BF8" w:rsidP="001D46C1">
            <w:pPr>
              <w:ind w:left="74"/>
              <w:jc w:val="center"/>
              <w:rPr>
                <w:snapToGrid w:val="0"/>
                <w:sz w:val="23"/>
                <w:szCs w:val="23"/>
              </w:rPr>
            </w:pPr>
          </w:p>
        </w:tc>
        <w:tc>
          <w:tcPr>
            <w:tcW w:w="3891" w:type="dxa"/>
          </w:tcPr>
          <w:p w14:paraId="353550DD" w14:textId="3CB54E8F" w:rsidR="00390BF8" w:rsidRPr="00180180" w:rsidRDefault="00D602D9" w:rsidP="001D46C1">
            <w:pPr>
              <w:ind w:left="74"/>
              <w:jc w:val="center"/>
              <w:rPr>
                <w:snapToGrid w:val="0"/>
                <w:sz w:val="23"/>
                <w:szCs w:val="23"/>
              </w:rPr>
            </w:pPr>
            <w:r w:rsidRPr="00180180">
              <w:rPr>
                <w:snapToGrid w:val="0"/>
                <w:sz w:val="23"/>
                <w:szCs w:val="23"/>
              </w:rPr>
              <w:t xml:space="preserve">Por la </w:t>
            </w:r>
            <w:r w:rsidR="00720A86" w:rsidRPr="00180180">
              <w:rPr>
                <w:snapToGrid w:val="0"/>
                <w:sz w:val="23"/>
                <w:szCs w:val="23"/>
              </w:rPr>
              <w:t>Unión Internacional de Telecomunicaciones</w:t>
            </w:r>
          </w:p>
          <w:p w14:paraId="596C0C8B" w14:textId="77777777" w:rsidR="00390BF8" w:rsidRPr="00180180" w:rsidRDefault="00390BF8" w:rsidP="001D46C1">
            <w:pPr>
              <w:ind w:left="74"/>
              <w:jc w:val="center"/>
              <w:rPr>
                <w:snapToGrid w:val="0"/>
                <w:sz w:val="23"/>
                <w:szCs w:val="23"/>
              </w:rPr>
            </w:pPr>
          </w:p>
          <w:p w14:paraId="212A1DAB" w14:textId="77777777" w:rsidR="00390BF8" w:rsidRPr="00180180" w:rsidRDefault="00390BF8" w:rsidP="001D46C1">
            <w:pPr>
              <w:ind w:left="74"/>
              <w:jc w:val="center"/>
              <w:rPr>
                <w:snapToGrid w:val="0"/>
                <w:sz w:val="23"/>
                <w:szCs w:val="23"/>
              </w:rPr>
            </w:pPr>
          </w:p>
          <w:p w14:paraId="67C0F58C" w14:textId="77777777" w:rsidR="00390BF8" w:rsidRPr="00180180" w:rsidRDefault="00390BF8" w:rsidP="001D46C1">
            <w:pPr>
              <w:ind w:left="74"/>
              <w:jc w:val="center"/>
              <w:rPr>
                <w:snapToGrid w:val="0"/>
                <w:sz w:val="23"/>
                <w:szCs w:val="23"/>
              </w:rPr>
            </w:pPr>
          </w:p>
          <w:p w14:paraId="7098E030" w14:textId="77777777" w:rsidR="00390BF8" w:rsidRPr="00180180" w:rsidRDefault="00390BF8" w:rsidP="001D46C1">
            <w:pPr>
              <w:ind w:left="74"/>
              <w:jc w:val="center"/>
              <w:rPr>
                <w:snapToGrid w:val="0"/>
                <w:sz w:val="23"/>
                <w:szCs w:val="23"/>
              </w:rPr>
            </w:pPr>
          </w:p>
          <w:p w14:paraId="33DD7398" w14:textId="77777777" w:rsidR="00390BF8" w:rsidRPr="00180180" w:rsidRDefault="00390BF8" w:rsidP="001D46C1">
            <w:pPr>
              <w:ind w:left="74"/>
              <w:jc w:val="center"/>
              <w:rPr>
                <w:snapToGrid w:val="0"/>
                <w:sz w:val="23"/>
                <w:szCs w:val="23"/>
              </w:rPr>
            </w:pPr>
          </w:p>
          <w:p w14:paraId="51A86642" w14:textId="77777777" w:rsidR="00390BF8" w:rsidRPr="00180180" w:rsidRDefault="00390BF8" w:rsidP="001D46C1">
            <w:pPr>
              <w:ind w:left="74"/>
              <w:jc w:val="center"/>
              <w:rPr>
                <w:snapToGrid w:val="0"/>
                <w:sz w:val="23"/>
                <w:szCs w:val="23"/>
              </w:rPr>
            </w:pPr>
          </w:p>
          <w:p w14:paraId="4467DC3A" w14:textId="77777777" w:rsidR="00390BF8" w:rsidRPr="00180180" w:rsidRDefault="00390BF8" w:rsidP="001D46C1">
            <w:pPr>
              <w:ind w:left="74"/>
              <w:jc w:val="center"/>
              <w:rPr>
                <w:snapToGrid w:val="0"/>
                <w:sz w:val="23"/>
                <w:szCs w:val="23"/>
              </w:rPr>
            </w:pPr>
          </w:p>
          <w:p w14:paraId="5F786646" w14:textId="77777777" w:rsidR="00390BF8" w:rsidRPr="00180180" w:rsidRDefault="00390BF8" w:rsidP="001D46C1">
            <w:pPr>
              <w:ind w:left="74"/>
              <w:jc w:val="center"/>
              <w:rPr>
                <w:snapToGrid w:val="0"/>
                <w:sz w:val="23"/>
                <w:szCs w:val="23"/>
              </w:rPr>
            </w:pPr>
            <w:r w:rsidRPr="00180180">
              <w:rPr>
                <w:snapToGrid w:val="0"/>
                <w:sz w:val="23"/>
                <w:szCs w:val="23"/>
              </w:rPr>
              <w:t>______________________________</w:t>
            </w:r>
          </w:p>
          <w:p w14:paraId="28F87707" w14:textId="77777777" w:rsidR="00390BF8" w:rsidRPr="00180180" w:rsidRDefault="00390BF8" w:rsidP="001D46C1">
            <w:pPr>
              <w:spacing w:before="60"/>
              <w:ind w:left="74"/>
              <w:jc w:val="center"/>
              <w:rPr>
                <w:snapToGrid w:val="0"/>
                <w:sz w:val="23"/>
                <w:szCs w:val="23"/>
              </w:rPr>
            </w:pPr>
            <w:r w:rsidRPr="00180180">
              <w:rPr>
                <w:snapToGrid w:val="0"/>
                <w:sz w:val="23"/>
                <w:szCs w:val="23"/>
              </w:rPr>
              <w:t>Brahima Sanou</w:t>
            </w:r>
          </w:p>
          <w:p w14:paraId="5EFB1B16" w14:textId="77777777" w:rsidR="00390BF8" w:rsidRPr="00180180" w:rsidRDefault="00390BF8" w:rsidP="001D46C1">
            <w:pPr>
              <w:spacing w:before="60"/>
              <w:ind w:left="74"/>
              <w:jc w:val="center"/>
              <w:rPr>
                <w:snapToGrid w:val="0"/>
                <w:sz w:val="23"/>
                <w:szCs w:val="23"/>
              </w:rPr>
            </w:pPr>
            <w:r w:rsidRPr="00180180">
              <w:rPr>
                <w:snapToGrid w:val="0"/>
                <w:sz w:val="23"/>
                <w:szCs w:val="23"/>
              </w:rPr>
              <w:t>Director</w:t>
            </w:r>
          </w:p>
          <w:p w14:paraId="624B0923" w14:textId="5B468DA8" w:rsidR="00390BF8" w:rsidRPr="00180180" w:rsidRDefault="00D602D9" w:rsidP="001D46C1">
            <w:pPr>
              <w:spacing w:before="60"/>
              <w:ind w:left="74"/>
              <w:jc w:val="center"/>
              <w:rPr>
                <w:snapToGrid w:val="0"/>
                <w:sz w:val="23"/>
                <w:szCs w:val="23"/>
              </w:rPr>
            </w:pPr>
            <w:r w:rsidRPr="00180180">
              <w:rPr>
                <w:snapToGrid w:val="0"/>
                <w:sz w:val="23"/>
                <w:szCs w:val="23"/>
              </w:rPr>
              <w:t xml:space="preserve">Oficina de Desarrollo de las Telecomunicaciones de la UIT </w:t>
            </w:r>
            <w:r w:rsidR="00390BF8" w:rsidRPr="00180180">
              <w:rPr>
                <w:snapToGrid w:val="0"/>
                <w:sz w:val="23"/>
                <w:szCs w:val="23"/>
              </w:rPr>
              <w:t>(BDT)</w:t>
            </w:r>
          </w:p>
          <w:p w14:paraId="164252B6" w14:textId="77777777" w:rsidR="00390BF8" w:rsidRPr="00180180" w:rsidRDefault="00390BF8" w:rsidP="001D46C1">
            <w:pPr>
              <w:ind w:left="74"/>
              <w:jc w:val="center"/>
              <w:rPr>
                <w:snapToGrid w:val="0"/>
                <w:sz w:val="23"/>
                <w:szCs w:val="23"/>
              </w:rPr>
            </w:pPr>
          </w:p>
        </w:tc>
      </w:tr>
    </w:tbl>
    <w:p w14:paraId="65B26AE7" w14:textId="77777777" w:rsidR="00713B22" w:rsidRPr="00180180" w:rsidRDefault="00713B22" w:rsidP="001D46C1">
      <w:pPr>
        <w:tabs>
          <w:tab w:val="clear" w:pos="567"/>
          <w:tab w:val="clear" w:pos="1134"/>
          <w:tab w:val="clear" w:pos="1701"/>
          <w:tab w:val="clear" w:pos="2268"/>
          <w:tab w:val="clear" w:pos="2835"/>
        </w:tabs>
        <w:overflowPunct/>
        <w:autoSpaceDE/>
        <w:autoSpaceDN/>
        <w:adjustRightInd/>
        <w:spacing w:before="0"/>
        <w:textAlignment w:val="auto"/>
      </w:pPr>
      <w:r w:rsidRPr="00180180">
        <w:lastRenderedPageBreak/>
        <w:br w:type="page"/>
      </w:r>
    </w:p>
    <w:p w14:paraId="08BC0C0B" w14:textId="77777777" w:rsidR="00713B22" w:rsidRPr="00180180" w:rsidRDefault="00713B22" w:rsidP="001D46C1">
      <w:pPr>
        <w:pStyle w:val="AnnexNo"/>
      </w:pPr>
      <w:r w:rsidRPr="00180180">
        <w:lastRenderedPageBreak/>
        <w:t>ANEXO 2</w:t>
      </w:r>
    </w:p>
    <w:p w14:paraId="3126B998" w14:textId="77777777" w:rsidR="00713B22" w:rsidRPr="00180180" w:rsidRDefault="00713B22" w:rsidP="001D46C1">
      <w:pPr>
        <w:jc w:val="right"/>
        <w:rPr>
          <w:rFonts w:cs="Arial"/>
          <w:b/>
          <w:szCs w:val="22"/>
        </w:rPr>
      </w:pPr>
      <w:r w:rsidRPr="00180180">
        <w:rPr>
          <w:b/>
          <w:bCs/>
          <w:noProof/>
          <w:lang w:val="en-GB" w:eastAsia="zh-CN"/>
        </w:rPr>
        <w:drawing>
          <wp:anchor distT="0" distB="0" distL="114300" distR="114300" simplePos="0" relativeHeight="251659264" behindDoc="0" locked="0" layoutInCell="1" allowOverlap="1" wp14:anchorId="2D59F12B" wp14:editId="6E85DC5B">
            <wp:simplePos x="0" y="0"/>
            <wp:positionH relativeFrom="column">
              <wp:posOffset>259080</wp:posOffset>
            </wp:positionH>
            <wp:positionV relativeFrom="paragraph">
              <wp:posOffset>9525</wp:posOffset>
            </wp:positionV>
            <wp:extent cx="885825" cy="1004570"/>
            <wp:effectExtent l="0" t="0" r="9525" b="5080"/>
            <wp:wrapThrough wrapText="bothSides">
              <wp:wrapPolygon edited="0">
                <wp:start x="0" y="0"/>
                <wp:lineTo x="0" y="21300"/>
                <wp:lineTo x="21368" y="21300"/>
                <wp:lineTo x="2136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5825" cy="1004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180180">
        <w:t xml:space="preserve"> </w:t>
      </w:r>
      <w:r w:rsidRPr="00180180">
        <w:object w:dxaOrig="1771" w:dyaOrig="1726" w14:anchorId="20637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8.5pt;height:85.5pt;mso-width-percent:0;mso-height-percent:0;mso-width-percent:0;mso-height-percent:0" o:ole="" fillcolor="window">
            <v:imagedata r:id="rId13" o:title=""/>
          </v:shape>
          <o:OLEObject Type="Embed" ProgID="Word.Picture.8" ShapeID="_x0000_i1025" DrawAspect="Content" ObjectID="_1620052241" r:id="rId14"/>
        </w:object>
      </w:r>
    </w:p>
    <w:p w14:paraId="35AACD84" w14:textId="77777777" w:rsidR="00713B22" w:rsidRPr="00180180" w:rsidRDefault="00713B22" w:rsidP="001D46C1">
      <w:pPr>
        <w:pStyle w:val="Header"/>
        <w:ind w:left="7230"/>
        <w:rPr>
          <w:sz w:val="16"/>
        </w:rPr>
      </w:pPr>
    </w:p>
    <w:p w14:paraId="749B1DDC" w14:textId="4FB0191C" w:rsidR="00713B22" w:rsidRPr="00180180" w:rsidRDefault="00D602D9" w:rsidP="001D46C1">
      <w:pPr>
        <w:pStyle w:val="Header"/>
        <w:pBdr>
          <w:top w:val="single" w:sz="4" w:space="1" w:color="auto"/>
        </w:pBdr>
        <w:jc w:val="both"/>
        <w:rPr>
          <w:b/>
          <w:sz w:val="24"/>
          <w:szCs w:val="24"/>
        </w:rPr>
      </w:pPr>
      <w:r w:rsidRPr="00180180">
        <w:rPr>
          <w:b/>
          <w:sz w:val="24"/>
          <w:szCs w:val="24"/>
        </w:rPr>
        <w:t>CARTA DE INTENCIÓN</w:t>
      </w:r>
    </w:p>
    <w:p w14:paraId="7DD58A1D" w14:textId="77777777" w:rsidR="00713B22" w:rsidRPr="00180180" w:rsidRDefault="00713B22" w:rsidP="001D46C1">
      <w:pPr>
        <w:pStyle w:val="Header"/>
        <w:spacing w:before="120"/>
        <w:rPr>
          <w:sz w:val="21"/>
          <w:szCs w:val="21"/>
        </w:rPr>
      </w:pPr>
    </w:p>
    <w:p w14:paraId="04206ADB" w14:textId="0199B05C" w:rsidR="00713B22" w:rsidRPr="00180180" w:rsidRDefault="00D602D9" w:rsidP="00BB0F3F">
      <w:pPr>
        <w:rPr>
          <w:rFonts w:cs="Arial"/>
          <w:sz w:val="21"/>
          <w:szCs w:val="21"/>
        </w:rPr>
      </w:pPr>
      <w:r w:rsidRPr="006F28C5">
        <w:t>La presente carta de intención la suscriben</w:t>
      </w:r>
      <w:r w:rsidR="00713B22" w:rsidRPr="006F28C5">
        <w:t>:</w:t>
      </w:r>
    </w:p>
    <w:p w14:paraId="7FA8A351" w14:textId="655258E3" w:rsidR="00713B22" w:rsidRPr="00180180" w:rsidRDefault="00570F94" w:rsidP="00BB0F3F">
      <w:pPr>
        <w:rPr>
          <w:rFonts w:cs="Arial"/>
          <w:sz w:val="21"/>
          <w:szCs w:val="21"/>
        </w:rPr>
      </w:pPr>
      <w:r w:rsidRPr="00E35B53">
        <w:rPr>
          <w:spacing w:val="-2"/>
        </w:rPr>
        <w:t xml:space="preserve">El </w:t>
      </w:r>
      <w:r w:rsidRPr="00E35B53">
        <w:rPr>
          <w:b/>
          <w:bCs/>
          <w:spacing w:val="-2"/>
        </w:rPr>
        <w:t>FORO ECONÓMICO MUNDIAL</w:t>
      </w:r>
      <w:r w:rsidR="00713B22" w:rsidRPr="00E35B53">
        <w:rPr>
          <w:spacing w:val="-2"/>
        </w:rPr>
        <w:t xml:space="preserve">, </w:t>
      </w:r>
      <w:r w:rsidRPr="00E35B53">
        <w:rPr>
          <w:spacing w:val="-2"/>
        </w:rPr>
        <w:t>fundación sin fines de lucro con sede en 91-93 Route de la Capite,</w:t>
      </w:r>
      <w:r w:rsidRPr="006F28C5">
        <w:t xml:space="preserve"> CH-1223 Cologny/Ginebra (Suiza), a través de su representante legal (en lo sucesivo "el Foro")</w:t>
      </w:r>
      <w:r w:rsidR="00713B22" w:rsidRPr="006F28C5">
        <w:t>;</w:t>
      </w:r>
    </w:p>
    <w:p w14:paraId="0474840E" w14:textId="6EABE0E7" w:rsidR="00713B22" w:rsidRPr="006F28C5" w:rsidRDefault="00570F94" w:rsidP="001D46C1">
      <w:pPr>
        <w:pStyle w:val="BodyText"/>
        <w:spacing w:line="240" w:lineRule="auto"/>
        <w:rPr>
          <w:rFonts w:ascii="Calibri" w:hAnsi="Calibri"/>
          <w:sz w:val="24"/>
          <w:lang w:val="es-ES_tradnl"/>
        </w:rPr>
      </w:pPr>
      <w:r w:rsidRPr="006F28C5">
        <w:rPr>
          <w:rFonts w:ascii="Calibri" w:hAnsi="Calibri"/>
          <w:sz w:val="24"/>
          <w:lang w:val="es-ES_tradnl"/>
        </w:rPr>
        <w:t>y</w:t>
      </w:r>
    </w:p>
    <w:p w14:paraId="2F606E92" w14:textId="543B6C31" w:rsidR="00713B22" w:rsidRPr="00180180" w:rsidRDefault="00570F94" w:rsidP="001D46C1">
      <w:r w:rsidRPr="00180180">
        <w:rPr>
          <w:bCs/>
        </w:rPr>
        <w:t>La</w:t>
      </w:r>
      <w:r w:rsidRPr="00180180">
        <w:rPr>
          <w:b/>
          <w:caps/>
        </w:rPr>
        <w:t xml:space="preserve"> uNIÓN INTERNACIONAL DE TELECOMUNICACIONES (UIT)</w:t>
      </w:r>
      <w:r w:rsidRPr="00180180">
        <w:rPr>
          <w:b/>
        </w:rPr>
        <w:t xml:space="preserve">, </w:t>
      </w:r>
      <w:r w:rsidRPr="00180180">
        <w:t>con sede en Place des Nations, 1202 Ginebra, a través de su representante legal (en lo sucesivo "la UIT")</w:t>
      </w:r>
      <w:r w:rsidR="00713B22" w:rsidRPr="00180180">
        <w:t>;</w:t>
      </w:r>
    </w:p>
    <w:p w14:paraId="0619E0B0" w14:textId="1F20C523" w:rsidR="00713B22" w:rsidRPr="00180180" w:rsidRDefault="00713B22" w:rsidP="006F28C5">
      <w:r w:rsidRPr="00180180">
        <w:t>(</w:t>
      </w:r>
      <w:r w:rsidR="00B85166" w:rsidRPr="00180180">
        <w:t xml:space="preserve">cada una de ellas </w:t>
      </w:r>
      <w:r w:rsidR="00570F94" w:rsidRPr="00180180">
        <w:t xml:space="preserve">denominada </w:t>
      </w:r>
      <w:r w:rsidR="006F28C5">
        <w:t>"</w:t>
      </w:r>
      <w:r w:rsidRPr="00180180">
        <w:t>Part</w:t>
      </w:r>
      <w:r w:rsidR="00570F94" w:rsidRPr="00180180">
        <w:t>e</w:t>
      </w:r>
      <w:r w:rsidR="006F28C5">
        <w:t>"</w:t>
      </w:r>
      <w:r w:rsidRPr="00180180">
        <w:t xml:space="preserve"> </w:t>
      </w:r>
      <w:r w:rsidR="00B85166" w:rsidRPr="00180180">
        <w:t xml:space="preserve">en adelante, </w:t>
      </w:r>
      <w:r w:rsidR="00570F94" w:rsidRPr="00180180">
        <w:t>y en conjunto las</w:t>
      </w:r>
      <w:r w:rsidR="006F28C5">
        <w:t xml:space="preserve"> "</w:t>
      </w:r>
      <w:r w:rsidRPr="00180180">
        <w:t>Part</w:t>
      </w:r>
      <w:r w:rsidR="00570F94" w:rsidRPr="00180180">
        <w:t>es</w:t>
      </w:r>
      <w:r w:rsidR="006F28C5">
        <w:t>"</w:t>
      </w:r>
      <w:r w:rsidRPr="00180180">
        <w:t>)</w:t>
      </w:r>
    </w:p>
    <w:p w14:paraId="51298ED6" w14:textId="439C8F6D" w:rsidR="00713B22" w:rsidRPr="00180180" w:rsidRDefault="00B85166" w:rsidP="00BB0F3F">
      <w:r w:rsidRPr="00180180">
        <w:t>Teniendo en cuenta</w:t>
      </w:r>
      <w:r w:rsidR="00570F94" w:rsidRPr="00180180">
        <w:t xml:space="preserve"> que el Foro es una institución internacional independiente </w:t>
      </w:r>
      <w:r w:rsidRPr="00180180">
        <w:t xml:space="preserve">cuyo objetivo es </w:t>
      </w:r>
      <w:r w:rsidR="008D53A1" w:rsidRPr="00180180">
        <w:t>mejorar</w:t>
      </w:r>
      <w:r w:rsidRPr="00180180">
        <w:t xml:space="preserve"> la situación mundial por medio de</w:t>
      </w:r>
      <w:r w:rsidR="00570F94" w:rsidRPr="00180180">
        <w:t xml:space="preserve"> la </w:t>
      </w:r>
      <w:r w:rsidRPr="00180180">
        <w:t>colaboración de</w:t>
      </w:r>
      <w:r w:rsidR="00570F94" w:rsidRPr="00180180">
        <w:t xml:space="preserve"> l</w:t>
      </w:r>
      <w:r w:rsidRPr="00180180">
        <w:t>íderes empresariales, políticos y</w:t>
      </w:r>
      <w:r w:rsidR="00570F94" w:rsidRPr="00180180">
        <w:t xml:space="preserve"> académicos</w:t>
      </w:r>
      <w:r w:rsidRPr="00180180">
        <w:t>, entre otros líderes</w:t>
      </w:r>
      <w:r w:rsidR="00570F94" w:rsidRPr="00180180">
        <w:t xml:space="preserve"> </w:t>
      </w:r>
      <w:r w:rsidRPr="00180180">
        <w:t>sociales, para la elaboración de</w:t>
      </w:r>
      <w:r w:rsidR="00570F94" w:rsidRPr="00180180">
        <w:t xml:space="preserve"> programas </w:t>
      </w:r>
      <w:r w:rsidRPr="00180180">
        <w:t xml:space="preserve">del sector industrial a escalas </w:t>
      </w:r>
      <w:r w:rsidR="00570F94" w:rsidRPr="00180180">
        <w:t>mundial</w:t>
      </w:r>
      <w:r w:rsidRPr="00180180">
        <w:t xml:space="preserve"> y</w:t>
      </w:r>
      <w:r w:rsidR="00570F94" w:rsidRPr="00180180">
        <w:t xml:space="preserve"> regional</w:t>
      </w:r>
      <w:r w:rsidR="00713B22" w:rsidRPr="00180180">
        <w:t>;</w:t>
      </w:r>
    </w:p>
    <w:p w14:paraId="42598494" w14:textId="059B4935" w:rsidR="00713B22" w:rsidRPr="00BB0F3F" w:rsidRDefault="008D53A1" w:rsidP="001D46C1">
      <w:pPr>
        <w:rPr>
          <w:color w:val="000000" w:themeColor="text1"/>
          <w:szCs w:val="24"/>
        </w:rPr>
      </w:pPr>
      <w:r w:rsidRPr="00180180">
        <w:t xml:space="preserve">Teniendo en cuenta que el Foro, constituido como fundación en 1971, con sede en Ginebra (Suiza), es imparcial, sin fines de lucro, y no está vinculado a ningún interés político, partidista o </w:t>
      </w:r>
      <w:r w:rsidRPr="00BB0F3F">
        <w:rPr>
          <w:szCs w:val="24"/>
        </w:rPr>
        <w:t xml:space="preserve">nacional </w:t>
      </w:r>
      <w:r w:rsidR="00713B22" w:rsidRPr="00BB0F3F">
        <w:rPr>
          <w:color w:val="000000" w:themeColor="text1"/>
          <w:szCs w:val="24"/>
        </w:rPr>
        <w:t>(</w:t>
      </w:r>
      <w:hyperlink r:id="rId15" w:history="1">
        <w:r w:rsidR="00713B22" w:rsidRPr="00BB0F3F">
          <w:rPr>
            <w:rStyle w:val="Hyperlink"/>
          </w:rPr>
          <w:t>www.weforum.org</w:t>
        </w:r>
      </w:hyperlink>
      <w:r w:rsidR="00713B22" w:rsidRPr="00BB0F3F">
        <w:rPr>
          <w:color w:val="000000" w:themeColor="text1"/>
          <w:szCs w:val="24"/>
        </w:rPr>
        <w:t>);</w:t>
      </w:r>
    </w:p>
    <w:p w14:paraId="54F1D77D" w14:textId="22275AF2" w:rsidR="00713B22" w:rsidRPr="00180180" w:rsidRDefault="008D53A1" w:rsidP="001D46C1">
      <w:r w:rsidRPr="00180180">
        <w:t xml:space="preserve">Teniendo en cuenta que la UIT es el organismo especializado de las Naciones Unidas para las telecomunicaciones/tecnologías de la información y la comunicación ("TIC"), </w:t>
      </w:r>
      <w:r w:rsidR="003F0FA1" w:rsidRPr="00180180">
        <w:t>cuyo objetivo es facilitar la conexión de todos los habitantes del mundo,</w:t>
      </w:r>
      <w:r w:rsidRPr="00180180">
        <w:t xml:space="preserve"> </w:t>
      </w:r>
      <w:r w:rsidR="003F0FA1" w:rsidRPr="00180180">
        <w:t xml:space="preserve">así como </w:t>
      </w:r>
      <w:r w:rsidRPr="00180180">
        <w:t>fa</w:t>
      </w:r>
      <w:r w:rsidR="006F28C5">
        <w:t>cilitador de la Línea de Acción </w:t>
      </w:r>
      <w:r w:rsidRPr="00180180">
        <w:t xml:space="preserve">C5 de la Cumbre Mundial sobre la Sociedad de la Información (CMSI) </w:t>
      </w:r>
      <w:r w:rsidR="003F0FA1" w:rsidRPr="00180180">
        <w:t>en relación con</w:t>
      </w:r>
      <w:r w:rsidRPr="00180180">
        <w:t xml:space="preserve"> el fomento de la confianza y la seguridad en la utilización de las TIC</w:t>
      </w:r>
      <w:r w:rsidR="00713B22" w:rsidRPr="00180180">
        <w:t>;</w:t>
      </w:r>
    </w:p>
    <w:p w14:paraId="4CCE92F9" w14:textId="1C4D3D64" w:rsidR="00713B22" w:rsidRPr="00180180" w:rsidRDefault="003F0FA1" w:rsidP="001D46C1">
      <w:r w:rsidRPr="00180180">
        <w:rPr>
          <w:color w:val="000000" w:themeColor="text1"/>
          <w:lang w:eastAsia="en-GB"/>
        </w:rPr>
        <w:t>Teniendo en cuenta que las Partes desean estudiar las posibilidades de establecer una colaboración no exclusiva entre las mismas con objeto de cooperar en la promoción de la ciberseguridad y acordar el estudio de una cooperación en proyectos e iniciativas para mitigar las ciberamenazas</w:t>
      </w:r>
      <w:r w:rsidR="00713B22" w:rsidRPr="00180180">
        <w:t xml:space="preserve">. </w:t>
      </w:r>
    </w:p>
    <w:p w14:paraId="52D8A5EC" w14:textId="16B8FBCB" w:rsidR="00713B22" w:rsidRPr="00180180" w:rsidRDefault="003F0FA1" w:rsidP="001D46C1">
      <w:r w:rsidRPr="00180180">
        <w:t>las partes acuerdan lo siguiente:</w:t>
      </w:r>
    </w:p>
    <w:p w14:paraId="0EA827FB" w14:textId="0D41D9C1" w:rsidR="002D23DE" w:rsidRPr="00180180" w:rsidRDefault="002D23DE" w:rsidP="001D46C1">
      <w:pPr>
        <w:pStyle w:val="Heading1"/>
      </w:pPr>
      <w:r w:rsidRPr="00180180">
        <w:lastRenderedPageBreak/>
        <w:t>1</w:t>
      </w:r>
      <w:r w:rsidRPr="00180180">
        <w:tab/>
      </w:r>
      <w:r w:rsidR="003F0FA1" w:rsidRPr="00180180">
        <w:t>OBJETIVO</w:t>
      </w:r>
    </w:p>
    <w:p w14:paraId="23A16998" w14:textId="3B7AF0BA" w:rsidR="003F0FA1" w:rsidRPr="00180180" w:rsidRDefault="002D23DE" w:rsidP="001D46C1">
      <w:pPr>
        <w:pStyle w:val="enumlev1"/>
        <w:rPr>
          <w:lang w:eastAsia="en-GB"/>
        </w:rPr>
      </w:pPr>
      <w:r w:rsidRPr="00180180">
        <w:rPr>
          <w:lang w:eastAsia="en-GB"/>
        </w:rPr>
        <w:t>1.1</w:t>
      </w:r>
      <w:r w:rsidRPr="00180180">
        <w:rPr>
          <w:lang w:eastAsia="en-GB"/>
        </w:rPr>
        <w:tab/>
      </w:r>
      <w:r w:rsidR="003F0FA1" w:rsidRPr="00180180">
        <w:rPr>
          <w:lang w:eastAsia="en-GB"/>
        </w:rPr>
        <w:t>La presente Carta de intención constituye un acuerdo no vinculante (excepto la Sección 2, "Confidencialidad", que tendrá efecto vinculante) entre las Partes.</w:t>
      </w:r>
    </w:p>
    <w:p w14:paraId="3584E760" w14:textId="2E082704" w:rsidR="00713B22" w:rsidRPr="00180180" w:rsidRDefault="003F0FA1" w:rsidP="001D46C1">
      <w:pPr>
        <w:pStyle w:val="enumlev1"/>
        <w:rPr>
          <w:rFonts w:ascii="Times New Roman" w:hAnsi="Times New Roman"/>
          <w:szCs w:val="24"/>
        </w:rPr>
      </w:pPr>
      <w:r w:rsidRPr="00180180">
        <w:rPr>
          <w:lang w:eastAsia="en-GB"/>
        </w:rPr>
        <w:t xml:space="preserve">1.2 </w:t>
      </w:r>
      <w:r w:rsidRPr="00180180">
        <w:rPr>
          <w:lang w:eastAsia="en-GB"/>
        </w:rPr>
        <w:tab/>
        <w:t xml:space="preserve">Las Partes desean, en particular, estudiar posibilidades de cooperación para </w:t>
      </w:r>
      <w:r w:rsidR="00A62E3C" w:rsidRPr="00180180">
        <w:rPr>
          <w:lang w:eastAsia="en-GB"/>
        </w:rPr>
        <w:t>lograr</w:t>
      </w:r>
      <w:r w:rsidRPr="00180180">
        <w:rPr>
          <w:lang w:eastAsia="en-GB"/>
        </w:rPr>
        <w:t xml:space="preserve"> una comprensión más cabal del conjunto de amenazas en el ciberespacio, así como para contribuir a reducir y mitigar las ciberamenazas y disuadir de las mismas, y fomentar las capacidades cibernéticas.</w:t>
      </w:r>
    </w:p>
    <w:p w14:paraId="56E92932" w14:textId="52280BB1" w:rsidR="00713B22" w:rsidRPr="00180180" w:rsidRDefault="002D23DE" w:rsidP="001D46C1">
      <w:pPr>
        <w:pStyle w:val="Heading1"/>
      </w:pPr>
      <w:r w:rsidRPr="00180180">
        <w:t>2</w:t>
      </w:r>
      <w:r w:rsidRPr="00180180">
        <w:tab/>
      </w:r>
      <w:r w:rsidR="00A62E3C" w:rsidRPr="00180180">
        <w:t>CONFIDENCIALIDAD Y OBLIGACIONES EN MATERIA DE NO DIVULGACIÓN</w:t>
      </w:r>
    </w:p>
    <w:p w14:paraId="6D6FA5B0" w14:textId="2687307B" w:rsidR="00713B22" w:rsidRPr="00180180" w:rsidRDefault="002D23DE" w:rsidP="001D46C1">
      <w:pPr>
        <w:pStyle w:val="enumlev1"/>
        <w:rPr>
          <w:lang w:eastAsia="en-GB"/>
        </w:rPr>
      </w:pPr>
      <w:r w:rsidRPr="00180180">
        <w:rPr>
          <w:lang w:eastAsia="en-GB"/>
        </w:rPr>
        <w:t>2.1</w:t>
      </w:r>
      <w:r w:rsidRPr="00180180">
        <w:rPr>
          <w:lang w:eastAsia="en-GB"/>
        </w:rPr>
        <w:tab/>
      </w:r>
      <w:r w:rsidR="00A62E3C" w:rsidRPr="00180180">
        <w:rPr>
          <w:u w:val="single"/>
          <w:lang w:eastAsia="en-GB"/>
        </w:rPr>
        <w:t xml:space="preserve">Definición de información confidencial. </w:t>
      </w:r>
      <w:r w:rsidR="00A62E3C" w:rsidRPr="00180180">
        <w:rPr>
          <w:lang w:eastAsia="en-GB"/>
        </w:rPr>
        <w:t xml:space="preserve">Las Partes respetarán la confidencialidad de la información de las demás Partes (en el caso del Foro, dicha información incluirá asimismo la Información del Foro Económico Mundial EE.UU y/o que les hayan confiado sus miembros, asociados y/o constituyentes), que no sea de dominio público o a la que no pueda accederse de forma general, y que cada Parte haya recibido de las demás, o que haya sido obtenida a través de la presente Carta de intención ("Información confidencial"). En caso de duda, la información se considerará confidencial. </w:t>
      </w:r>
      <w:r w:rsidR="007D12E0" w:rsidRPr="00180180">
        <w:rPr>
          <w:lang w:eastAsia="en-GB"/>
        </w:rPr>
        <w:t>En el presente documento, la</w:t>
      </w:r>
      <w:r w:rsidR="00A62E3C" w:rsidRPr="00180180">
        <w:rPr>
          <w:lang w:eastAsia="en-GB"/>
        </w:rPr>
        <w:t xml:space="preserve"> Parte que divul</w:t>
      </w:r>
      <w:r w:rsidR="007D12E0" w:rsidRPr="00180180">
        <w:rPr>
          <w:lang w:eastAsia="en-GB"/>
        </w:rPr>
        <w:t>ga</w:t>
      </w:r>
      <w:r w:rsidR="00A62E3C" w:rsidRPr="00180180">
        <w:rPr>
          <w:lang w:eastAsia="en-GB"/>
        </w:rPr>
        <w:t xml:space="preserve"> información confidencial se denomina "Parte divulgadora"</w:t>
      </w:r>
      <w:r w:rsidR="007D12E0" w:rsidRPr="00180180">
        <w:rPr>
          <w:lang w:eastAsia="en-GB"/>
        </w:rPr>
        <w:t>, y la Parte que recibe información c</w:t>
      </w:r>
      <w:r w:rsidR="00A62E3C" w:rsidRPr="00180180">
        <w:rPr>
          <w:lang w:eastAsia="en-GB"/>
        </w:rPr>
        <w:t xml:space="preserve">onfidencial se denomina "Parte receptora", según corresponda en </w:t>
      </w:r>
      <w:r w:rsidR="007D12E0" w:rsidRPr="00180180">
        <w:rPr>
          <w:lang w:eastAsia="en-GB"/>
        </w:rPr>
        <w:t>cada circunstancia</w:t>
      </w:r>
      <w:r w:rsidR="00BB0F3F">
        <w:rPr>
          <w:lang w:eastAsia="en-GB"/>
        </w:rPr>
        <w:t xml:space="preserve">. </w:t>
      </w:r>
      <w:r w:rsidR="00A62E3C" w:rsidRPr="00180180">
        <w:rPr>
          <w:lang w:eastAsia="en-GB"/>
        </w:rPr>
        <w:t xml:space="preserve">Toda </w:t>
      </w:r>
      <w:r w:rsidR="007D12E0" w:rsidRPr="00180180">
        <w:rPr>
          <w:lang w:eastAsia="en-GB"/>
        </w:rPr>
        <w:t>información c</w:t>
      </w:r>
      <w:r w:rsidR="00A62E3C" w:rsidRPr="00180180">
        <w:rPr>
          <w:lang w:eastAsia="en-GB"/>
        </w:rPr>
        <w:t xml:space="preserve">onfidencial se </w:t>
      </w:r>
      <w:r w:rsidR="007D12E0" w:rsidRPr="00180180">
        <w:rPr>
          <w:lang w:eastAsia="en-GB"/>
        </w:rPr>
        <w:t>destinará</w:t>
      </w:r>
      <w:r w:rsidR="00A62E3C" w:rsidRPr="00180180">
        <w:rPr>
          <w:lang w:eastAsia="en-GB"/>
        </w:rPr>
        <w:t xml:space="preserve"> </w:t>
      </w:r>
      <w:r w:rsidR="007D12E0" w:rsidRPr="00180180">
        <w:rPr>
          <w:lang w:eastAsia="en-GB"/>
        </w:rPr>
        <w:t>exclusivamente</w:t>
      </w:r>
      <w:r w:rsidR="00A62E3C" w:rsidRPr="00180180">
        <w:rPr>
          <w:lang w:eastAsia="en-GB"/>
        </w:rPr>
        <w:t xml:space="preserve"> </w:t>
      </w:r>
      <w:r w:rsidR="007D12E0" w:rsidRPr="00180180">
        <w:rPr>
          <w:lang w:eastAsia="en-GB"/>
        </w:rPr>
        <w:t>a</w:t>
      </w:r>
      <w:r w:rsidR="00A62E3C" w:rsidRPr="00180180">
        <w:rPr>
          <w:lang w:eastAsia="en-GB"/>
        </w:rPr>
        <w:t xml:space="preserve"> fines </w:t>
      </w:r>
      <w:r w:rsidR="007D12E0" w:rsidRPr="00180180">
        <w:rPr>
          <w:lang w:eastAsia="en-GB"/>
        </w:rPr>
        <w:t>que guarden relación con la c</w:t>
      </w:r>
      <w:r w:rsidR="00A62E3C" w:rsidRPr="00180180">
        <w:rPr>
          <w:lang w:eastAsia="en-GB"/>
        </w:rPr>
        <w:t>olaboración</w:t>
      </w:r>
      <w:r w:rsidR="007D12E0" w:rsidRPr="00180180">
        <w:rPr>
          <w:lang w:eastAsia="en-GB"/>
        </w:rPr>
        <w:t xml:space="preserve"> establecida. La Parte r</w:t>
      </w:r>
      <w:r w:rsidR="00A62E3C" w:rsidRPr="00180180">
        <w:rPr>
          <w:lang w:eastAsia="en-GB"/>
        </w:rPr>
        <w:t xml:space="preserve">eceptora </w:t>
      </w:r>
      <w:r w:rsidR="007D12E0" w:rsidRPr="00180180">
        <w:rPr>
          <w:lang w:eastAsia="en-GB"/>
        </w:rPr>
        <w:t>conviene</w:t>
      </w:r>
      <w:r w:rsidR="00A62E3C" w:rsidRPr="00180180">
        <w:rPr>
          <w:lang w:eastAsia="en-GB"/>
        </w:rPr>
        <w:t xml:space="preserve">, salvo que la Parte </w:t>
      </w:r>
      <w:r w:rsidR="007D12E0" w:rsidRPr="00180180">
        <w:rPr>
          <w:lang w:eastAsia="en-GB"/>
        </w:rPr>
        <w:t>d</w:t>
      </w:r>
      <w:r w:rsidR="00A62E3C" w:rsidRPr="00180180">
        <w:rPr>
          <w:lang w:eastAsia="en-GB"/>
        </w:rPr>
        <w:t xml:space="preserve">ivulgadora lo </w:t>
      </w:r>
      <w:r w:rsidR="007D12E0" w:rsidRPr="00180180">
        <w:rPr>
          <w:lang w:eastAsia="en-GB"/>
        </w:rPr>
        <w:t>pida</w:t>
      </w:r>
      <w:r w:rsidR="00A62E3C" w:rsidRPr="00180180">
        <w:rPr>
          <w:lang w:eastAsia="en-GB"/>
        </w:rPr>
        <w:t xml:space="preserve"> o autorice </w:t>
      </w:r>
      <w:r w:rsidR="007D12E0" w:rsidRPr="00180180">
        <w:rPr>
          <w:lang w:eastAsia="en-GB"/>
        </w:rPr>
        <w:t xml:space="preserve">tácitamente </w:t>
      </w:r>
      <w:r w:rsidR="00A62E3C" w:rsidRPr="00180180">
        <w:rPr>
          <w:lang w:eastAsia="en-GB"/>
        </w:rPr>
        <w:t>por escrito</w:t>
      </w:r>
      <w:r w:rsidR="007D12E0" w:rsidRPr="00180180">
        <w:rPr>
          <w:lang w:eastAsia="en-GB"/>
        </w:rPr>
        <w:t>, o lo exija la ley, en no divulgar</w:t>
      </w:r>
      <w:r w:rsidR="00A62E3C" w:rsidRPr="00180180">
        <w:rPr>
          <w:lang w:eastAsia="en-GB"/>
        </w:rPr>
        <w:t xml:space="preserve"> </w:t>
      </w:r>
      <w:r w:rsidR="007D12E0" w:rsidRPr="00180180">
        <w:rPr>
          <w:lang w:eastAsia="en-GB"/>
        </w:rPr>
        <w:t>bajo ningún concepto</w:t>
      </w:r>
      <w:r w:rsidR="00A62E3C" w:rsidRPr="00180180">
        <w:rPr>
          <w:lang w:eastAsia="en-GB"/>
        </w:rPr>
        <w:t xml:space="preserve">, </w:t>
      </w:r>
      <w:r w:rsidR="007D12E0" w:rsidRPr="00180180">
        <w:rPr>
          <w:lang w:eastAsia="en-GB"/>
        </w:rPr>
        <w:t xml:space="preserve">de forma </w:t>
      </w:r>
      <w:r w:rsidR="00A62E3C" w:rsidRPr="00180180">
        <w:rPr>
          <w:lang w:eastAsia="en-GB"/>
        </w:rPr>
        <w:t>directa o indirecta</w:t>
      </w:r>
      <w:r w:rsidR="007D12E0" w:rsidRPr="00180180">
        <w:rPr>
          <w:lang w:eastAsia="en-GB"/>
        </w:rPr>
        <w:t>, la Información c</w:t>
      </w:r>
      <w:r w:rsidR="00A62E3C" w:rsidRPr="00180180">
        <w:rPr>
          <w:lang w:eastAsia="en-GB"/>
        </w:rPr>
        <w:t xml:space="preserve">onfidencial de la Parte </w:t>
      </w:r>
      <w:r w:rsidR="007D12E0" w:rsidRPr="00180180">
        <w:rPr>
          <w:lang w:eastAsia="en-GB"/>
        </w:rPr>
        <w:t>d</w:t>
      </w:r>
      <w:r w:rsidR="00A62E3C" w:rsidRPr="00180180">
        <w:rPr>
          <w:lang w:eastAsia="en-GB"/>
        </w:rPr>
        <w:t>ivulgadora a ninguna persona o entidad</w:t>
      </w:r>
      <w:r w:rsidR="007D12E0" w:rsidRPr="00180180">
        <w:rPr>
          <w:lang w:eastAsia="en-GB"/>
        </w:rPr>
        <w:t>, ni en ponerla a disposición de las mismas.</w:t>
      </w:r>
      <w:r w:rsidR="00A62E3C" w:rsidRPr="00180180">
        <w:rPr>
          <w:lang w:eastAsia="en-GB"/>
        </w:rPr>
        <w:t xml:space="preserve"> </w:t>
      </w:r>
    </w:p>
    <w:p w14:paraId="23541A2E" w14:textId="75377C71" w:rsidR="00713B22" w:rsidRPr="00180180" w:rsidRDefault="002D23DE" w:rsidP="001D46C1">
      <w:pPr>
        <w:pStyle w:val="enumlev1"/>
        <w:rPr>
          <w:lang w:eastAsia="en-GB"/>
        </w:rPr>
      </w:pPr>
      <w:r w:rsidRPr="00180180">
        <w:rPr>
          <w:lang w:eastAsia="en-GB"/>
        </w:rPr>
        <w:t>2.2</w:t>
      </w:r>
      <w:r w:rsidRPr="00180180">
        <w:rPr>
          <w:lang w:eastAsia="en-GB"/>
        </w:rPr>
        <w:tab/>
      </w:r>
      <w:r w:rsidR="007D12E0" w:rsidRPr="00180180">
        <w:rPr>
          <w:u w:val="single"/>
          <w:lang w:eastAsia="en-GB"/>
        </w:rPr>
        <w:t xml:space="preserve">Condiciones de utilización de </w:t>
      </w:r>
      <w:r w:rsidR="008D107D" w:rsidRPr="00180180">
        <w:rPr>
          <w:u w:val="single"/>
          <w:lang w:eastAsia="en-GB"/>
        </w:rPr>
        <w:t>la i</w:t>
      </w:r>
      <w:r w:rsidR="007D12E0" w:rsidRPr="00180180">
        <w:rPr>
          <w:u w:val="single"/>
          <w:lang w:eastAsia="en-GB"/>
        </w:rPr>
        <w:t>nformación confidencial</w:t>
      </w:r>
      <w:r w:rsidR="007D12E0" w:rsidRPr="00180180">
        <w:rPr>
          <w:lang w:eastAsia="en-GB"/>
        </w:rPr>
        <w:t>. Las Partes se comprometen, a menos que convengan en otra cosa</w:t>
      </w:r>
      <w:r w:rsidR="00D71218" w:rsidRPr="00180180">
        <w:rPr>
          <w:lang w:eastAsia="en-GB"/>
        </w:rPr>
        <w:t>, a</w:t>
      </w:r>
      <w:r w:rsidR="00713B22" w:rsidRPr="00180180">
        <w:rPr>
          <w:lang w:eastAsia="en-GB"/>
        </w:rPr>
        <w:t>:</w:t>
      </w:r>
    </w:p>
    <w:p w14:paraId="41FAA255" w14:textId="37FC4A51" w:rsidR="008B39D7" w:rsidRPr="00180180" w:rsidRDefault="002D23DE" w:rsidP="001D46C1">
      <w:pPr>
        <w:pStyle w:val="enumlev2"/>
        <w:rPr>
          <w:lang w:eastAsia="en-GB"/>
        </w:rPr>
      </w:pPr>
      <w:r w:rsidRPr="00180180">
        <w:rPr>
          <w:lang w:eastAsia="en-GB"/>
        </w:rPr>
        <w:t>(i)</w:t>
      </w:r>
      <w:r w:rsidRPr="00180180">
        <w:rPr>
          <w:lang w:eastAsia="en-GB"/>
        </w:rPr>
        <w:tab/>
      </w:r>
      <w:r w:rsidR="008B39D7" w:rsidRPr="00180180">
        <w:rPr>
          <w:lang w:eastAsia="en-GB"/>
        </w:rPr>
        <w:t xml:space="preserve">tratar </w:t>
      </w:r>
      <w:r w:rsidR="008D107D" w:rsidRPr="00180180">
        <w:rPr>
          <w:lang w:eastAsia="en-GB"/>
        </w:rPr>
        <w:t>la</w:t>
      </w:r>
      <w:r w:rsidR="008B39D7" w:rsidRPr="00180180">
        <w:rPr>
          <w:lang w:eastAsia="en-GB"/>
        </w:rPr>
        <w:t xml:space="preserve"> información confidencial con </w:t>
      </w:r>
      <w:r w:rsidR="00D71218" w:rsidRPr="00180180">
        <w:rPr>
          <w:lang w:eastAsia="en-GB"/>
        </w:rPr>
        <w:t>arreglo al</w:t>
      </w:r>
      <w:r w:rsidR="008B39D7" w:rsidRPr="00180180">
        <w:rPr>
          <w:lang w:eastAsia="en-GB"/>
        </w:rPr>
        <w:t xml:space="preserve"> mismo nivel de seguridad, </w:t>
      </w:r>
      <w:r w:rsidR="008D107D" w:rsidRPr="00180180">
        <w:rPr>
          <w:lang w:eastAsia="en-GB"/>
        </w:rPr>
        <w:t>por lo menos</w:t>
      </w:r>
      <w:r w:rsidR="008B39D7" w:rsidRPr="00180180">
        <w:rPr>
          <w:lang w:eastAsia="en-GB"/>
        </w:rPr>
        <w:t xml:space="preserve">, que </w:t>
      </w:r>
      <w:r w:rsidR="00D71218" w:rsidRPr="00180180">
        <w:rPr>
          <w:lang w:eastAsia="en-GB"/>
        </w:rPr>
        <w:t xml:space="preserve">en el caso de </w:t>
      </w:r>
      <w:r w:rsidR="008B39D7" w:rsidRPr="00180180">
        <w:rPr>
          <w:lang w:eastAsia="en-GB"/>
        </w:rPr>
        <w:t xml:space="preserve">su propia información confidencial, y </w:t>
      </w:r>
      <w:r w:rsidR="00D71218" w:rsidRPr="00180180">
        <w:rPr>
          <w:lang w:eastAsia="en-GB"/>
        </w:rPr>
        <w:t xml:space="preserve">bajo ningún concepto, </w:t>
      </w:r>
      <w:r w:rsidR="008D107D" w:rsidRPr="00180180">
        <w:rPr>
          <w:lang w:eastAsia="en-GB"/>
        </w:rPr>
        <w:t>a no hacerlo de</w:t>
      </w:r>
      <w:r w:rsidR="008B39D7" w:rsidRPr="00180180">
        <w:rPr>
          <w:lang w:eastAsia="en-GB"/>
        </w:rPr>
        <w:t xml:space="preserve"> forma no razonable;</w:t>
      </w:r>
    </w:p>
    <w:p w14:paraId="233753E8" w14:textId="347F587A" w:rsidR="00713B22" w:rsidRPr="00180180" w:rsidRDefault="008B39D7" w:rsidP="001D46C1">
      <w:pPr>
        <w:pStyle w:val="enumlev2"/>
        <w:rPr>
          <w:lang w:eastAsia="en-GB"/>
        </w:rPr>
      </w:pPr>
      <w:r w:rsidRPr="00180180">
        <w:rPr>
          <w:lang w:eastAsia="en-GB"/>
        </w:rPr>
        <w:t xml:space="preserve">(ii) </w:t>
      </w:r>
      <w:r w:rsidR="00D71218" w:rsidRPr="00180180">
        <w:rPr>
          <w:lang w:eastAsia="en-GB"/>
        </w:rPr>
        <w:tab/>
      </w:r>
      <w:r w:rsidRPr="00180180">
        <w:rPr>
          <w:lang w:eastAsia="en-GB"/>
        </w:rPr>
        <w:t xml:space="preserve">no transferir, revelar </w:t>
      </w:r>
      <w:r w:rsidR="008D107D" w:rsidRPr="00180180">
        <w:rPr>
          <w:lang w:eastAsia="en-GB"/>
        </w:rPr>
        <w:t>ni</w:t>
      </w:r>
      <w:r w:rsidRPr="00180180">
        <w:rPr>
          <w:lang w:eastAsia="en-GB"/>
        </w:rPr>
        <w:t xml:space="preserve"> </w:t>
      </w:r>
      <w:r w:rsidR="008D107D" w:rsidRPr="00180180">
        <w:rPr>
          <w:lang w:eastAsia="en-GB"/>
        </w:rPr>
        <w:t>facilitar a terceros</w:t>
      </w:r>
      <w:r w:rsidRPr="00180180">
        <w:rPr>
          <w:lang w:eastAsia="en-GB"/>
        </w:rPr>
        <w:t xml:space="preserve">, </w:t>
      </w:r>
      <w:r w:rsidR="00D71218" w:rsidRPr="00180180">
        <w:rPr>
          <w:lang w:eastAsia="en-GB"/>
        </w:rPr>
        <w:t>en modo alguno</w:t>
      </w:r>
      <w:r w:rsidRPr="00180180">
        <w:rPr>
          <w:lang w:eastAsia="en-GB"/>
        </w:rPr>
        <w:t xml:space="preserve">, </w:t>
      </w:r>
      <w:r w:rsidR="008D107D" w:rsidRPr="00180180">
        <w:rPr>
          <w:lang w:eastAsia="en-GB"/>
        </w:rPr>
        <w:t>parcial o íntegramente</w:t>
      </w:r>
      <w:r w:rsidRPr="00180180">
        <w:rPr>
          <w:lang w:eastAsia="en-GB"/>
        </w:rPr>
        <w:t>, ya sea</w:t>
      </w:r>
      <w:r w:rsidR="008D107D" w:rsidRPr="00180180">
        <w:rPr>
          <w:lang w:eastAsia="en-GB"/>
        </w:rPr>
        <w:t xml:space="preserve"> de forma</w:t>
      </w:r>
      <w:r w:rsidRPr="00180180">
        <w:rPr>
          <w:lang w:eastAsia="en-GB"/>
        </w:rPr>
        <w:t xml:space="preserve"> directa o indirecta, </w:t>
      </w:r>
      <w:r w:rsidR="008D107D" w:rsidRPr="00180180">
        <w:rPr>
          <w:lang w:eastAsia="en-GB"/>
        </w:rPr>
        <w:t>todo tipo de información c</w:t>
      </w:r>
      <w:r w:rsidRPr="00180180">
        <w:rPr>
          <w:lang w:eastAsia="en-GB"/>
        </w:rPr>
        <w:t>onfidencial sin el consentimiento previo por escrito de las Partes</w:t>
      </w:r>
      <w:r w:rsidR="00713B22" w:rsidRPr="00180180">
        <w:rPr>
          <w:lang w:eastAsia="en-GB"/>
        </w:rPr>
        <w:t>.</w:t>
      </w:r>
    </w:p>
    <w:p w14:paraId="1C9AA37B" w14:textId="7A608B8A" w:rsidR="00713B22" w:rsidRPr="00180180" w:rsidRDefault="00713B22" w:rsidP="001D46C1">
      <w:pPr>
        <w:pStyle w:val="enumlev1"/>
        <w:rPr>
          <w:lang w:eastAsia="en-GB"/>
        </w:rPr>
      </w:pPr>
      <w:r w:rsidRPr="00180180">
        <w:rPr>
          <w:lang w:eastAsia="en-GB"/>
        </w:rPr>
        <w:lastRenderedPageBreak/>
        <w:t>2.3</w:t>
      </w:r>
      <w:r w:rsidRPr="00180180">
        <w:rPr>
          <w:lang w:eastAsia="en-GB"/>
        </w:rPr>
        <w:tab/>
      </w:r>
      <w:r w:rsidR="008D107D" w:rsidRPr="00180180">
        <w:rPr>
          <w:u w:val="single"/>
          <w:lang w:eastAsia="en-GB"/>
        </w:rPr>
        <w:t>Exclusió</w:t>
      </w:r>
      <w:r w:rsidRPr="00180180">
        <w:rPr>
          <w:u w:val="single"/>
          <w:lang w:eastAsia="en-GB"/>
        </w:rPr>
        <w:t>n</w:t>
      </w:r>
      <w:r w:rsidRPr="00180180">
        <w:rPr>
          <w:lang w:eastAsia="en-GB"/>
        </w:rPr>
        <w:t xml:space="preserve">. </w:t>
      </w:r>
      <w:r w:rsidR="008D107D" w:rsidRPr="00180180">
        <w:rPr>
          <w:lang w:eastAsia="en-GB"/>
        </w:rPr>
        <w:t>La información confidencial no abarcará información que</w:t>
      </w:r>
      <w:r w:rsidRPr="00180180">
        <w:rPr>
          <w:lang w:eastAsia="en-GB"/>
        </w:rPr>
        <w:t xml:space="preserve">: </w:t>
      </w:r>
    </w:p>
    <w:p w14:paraId="4EA6CDD0" w14:textId="4752424D" w:rsidR="00091B54" w:rsidRPr="00180180" w:rsidRDefault="002D23DE" w:rsidP="001D46C1">
      <w:pPr>
        <w:pStyle w:val="enumlev2"/>
        <w:rPr>
          <w:lang w:eastAsia="en-GB"/>
        </w:rPr>
      </w:pPr>
      <w:r w:rsidRPr="00180180">
        <w:rPr>
          <w:lang w:eastAsia="en-GB"/>
        </w:rPr>
        <w:t>(i)</w:t>
      </w:r>
      <w:r w:rsidRPr="00180180">
        <w:rPr>
          <w:lang w:eastAsia="en-GB"/>
        </w:rPr>
        <w:tab/>
      </w:r>
      <w:r w:rsidR="00091B54" w:rsidRPr="00180180">
        <w:rPr>
          <w:lang w:eastAsia="en-GB"/>
        </w:rPr>
        <w:t xml:space="preserve">sea de dominio público, o pase a serlo posteriormente, sin que se haya producido ningún incumplimiento de lo estipulado en la presente Carta de intención; </w:t>
      </w:r>
    </w:p>
    <w:p w14:paraId="70327CD3" w14:textId="339AD058" w:rsidR="00091B54" w:rsidRPr="00180180" w:rsidRDefault="00091B54" w:rsidP="001D46C1">
      <w:pPr>
        <w:pStyle w:val="enumlev2"/>
        <w:rPr>
          <w:lang w:eastAsia="en-GB"/>
        </w:rPr>
      </w:pPr>
      <w:r w:rsidRPr="00180180">
        <w:rPr>
          <w:lang w:eastAsia="en-GB"/>
        </w:rPr>
        <w:t xml:space="preserve">(ii) </w:t>
      </w:r>
      <w:r w:rsidRPr="00180180">
        <w:rPr>
          <w:lang w:eastAsia="en-GB"/>
        </w:rPr>
        <w:tab/>
        <w:t>reciba legítimamente la Parte Receptora de un tercero no sujeto, según conste a la Parte receptora tras un</w:t>
      </w:r>
      <w:r w:rsidR="006F7B0D" w:rsidRPr="00180180">
        <w:rPr>
          <w:lang w:eastAsia="en-GB"/>
        </w:rPr>
        <w:t xml:space="preserve"> análisis</w:t>
      </w:r>
      <w:r w:rsidRPr="00180180">
        <w:rPr>
          <w:lang w:eastAsia="en-GB"/>
        </w:rPr>
        <w:t xml:space="preserve"> razonable, </w:t>
      </w:r>
      <w:r w:rsidR="006F7B0D" w:rsidRPr="00180180">
        <w:rPr>
          <w:lang w:eastAsia="en-GB"/>
        </w:rPr>
        <w:t>a</w:t>
      </w:r>
      <w:r w:rsidRPr="00180180">
        <w:rPr>
          <w:lang w:eastAsia="en-GB"/>
        </w:rPr>
        <w:t xml:space="preserve"> la obligación </w:t>
      </w:r>
      <w:r w:rsidR="006F7B0D" w:rsidRPr="00180180">
        <w:rPr>
          <w:lang w:eastAsia="en-GB"/>
        </w:rPr>
        <w:t>que tiene la Parte r</w:t>
      </w:r>
      <w:r w:rsidRPr="00180180">
        <w:rPr>
          <w:lang w:eastAsia="en-GB"/>
        </w:rPr>
        <w:t xml:space="preserve">eveladora de mantener </w:t>
      </w:r>
      <w:r w:rsidR="006F7B0D" w:rsidRPr="00180180">
        <w:rPr>
          <w:lang w:eastAsia="en-GB"/>
        </w:rPr>
        <w:t>esa</w:t>
      </w:r>
      <w:r w:rsidRPr="00180180">
        <w:rPr>
          <w:lang w:eastAsia="en-GB"/>
        </w:rPr>
        <w:t xml:space="preserve"> información confidencial;</w:t>
      </w:r>
    </w:p>
    <w:p w14:paraId="5BEBA9CE" w14:textId="5C609CF3" w:rsidR="00091B54" w:rsidRPr="00180180" w:rsidRDefault="00091B54" w:rsidP="001D46C1">
      <w:pPr>
        <w:pStyle w:val="enumlev2"/>
        <w:rPr>
          <w:lang w:eastAsia="en-GB"/>
        </w:rPr>
      </w:pPr>
      <w:r w:rsidRPr="00180180">
        <w:rPr>
          <w:lang w:eastAsia="en-GB"/>
        </w:rPr>
        <w:t>(iii)</w:t>
      </w:r>
      <w:r w:rsidR="006F7B0D" w:rsidRPr="00180180">
        <w:rPr>
          <w:lang w:eastAsia="en-GB"/>
        </w:rPr>
        <w:tab/>
        <w:t>haya obrado en poder de la Parte r</w:t>
      </w:r>
      <w:r w:rsidRPr="00180180">
        <w:rPr>
          <w:lang w:eastAsia="en-GB"/>
        </w:rPr>
        <w:t xml:space="preserve">eceptora sin </w:t>
      </w:r>
      <w:r w:rsidR="00180180" w:rsidRPr="00180180">
        <w:rPr>
          <w:lang w:eastAsia="en-GB"/>
        </w:rPr>
        <w:t>restricción</w:t>
      </w:r>
      <w:r w:rsidRPr="00180180">
        <w:rPr>
          <w:lang w:eastAsia="en-GB"/>
        </w:rPr>
        <w:t xml:space="preserve"> de confidencialidad</w:t>
      </w:r>
      <w:r w:rsidR="002C3FCF" w:rsidRPr="00180180">
        <w:rPr>
          <w:lang w:eastAsia="en-GB"/>
        </w:rPr>
        <w:t xml:space="preserve"> alguna</w:t>
      </w:r>
      <w:r w:rsidRPr="00180180">
        <w:rPr>
          <w:lang w:eastAsia="en-GB"/>
        </w:rPr>
        <w:t>, antes de ser revelada por la Parte</w:t>
      </w:r>
      <w:r w:rsidR="006F7B0D" w:rsidRPr="00180180">
        <w:rPr>
          <w:lang w:eastAsia="en-GB"/>
        </w:rPr>
        <w:t xml:space="preserve"> reveladora </w:t>
      </w:r>
      <w:r w:rsidRPr="00180180">
        <w:rPr>
          <w:lang w:eastAsia="en-GB"/>
        </w:rPr>
        <w:t xml:space="preserve">sin que se haya producido ningún incumplimiento </w:t>
      </w:r>
      <w:r w:rsidR="006F7B0D" w:rsidRPr="00180180">
        <w:rPr>
          <w:lang w:eastAsia="en-GB"/>
        </w:rPr>
        <w:t>de lo estipulado en la presente Carta de i</w:t>
      </w:r>
      <w:r w:rsidRPr="00180180">
        <w:rPr>
          <w:lang w:eastAsia="en-GB"/>
        </w:rPr>
        <w:t>ntención;</w:t>
      </w:r>
    </w:p>
    <w:p w14:paraId="7ADE271D" w14:textId="5B3A3545" w:rsidR="00091B54" w:rsidRPr="00180180" w:rsidRDefault="00091B54" w:rsidP="001D46C1">
      <w:pPr>
        <w:pStyle w:val="enumlev2"/>
        <w:rPr>
          <w:lang w:eastAsia="en-GB"/>
        </w:rPr>
      </w:pPr>
      <w:r w:rsidRPr="00180180">
        <w:rPr>
          <w:lang w:eastAsia="en-GB"/>
        </w:rPr>
        <w:t xml:space="preserve">(iv) </w:t>
      </w:r>
      <w:r w:rsidR="00DB7057" w:rsidRPr="00180180">
        <w:rPr>
          <w:lang w:eastAsia="en-GB"/>
        </w:rPr>
        <w:tab/>
        <w:t>haya elaborado</w:t>
      </w:r>
      <w:r w:rsidRPr="00180180">
        <w:rPr>
          <w:lang w:eastAsia="en-GB"/>
        </w:rPr>
        <w:t xml:space="preserve"> la Parte Receptora</w:t>
      </w:r>
      <w:r w:rsidR="00DB7057" w:rsidRPr="00180180">
        <w:rPr>
          <w:lang w:eastAsia="en-GB"/>
        </w:rPr>
        <w:t xml:space="preserve"> de forma independiente</w:t>
      </w:r>
      <w:r w:rsidRPr="00180180">
        <w:rPr>
          <w:lang w:eastAsia="en-GB"/>
        </w:rPr>
        <w:t xml:space="preserve">, sin </w:t>
      </w:r>
      <w:r w:rsidR="00DB7057" w:rsidRPr="00180180">
        <w:rPr>
          <w:lang w:eastAsia="en-GB"/>
        </w:rPr>
        <w:t>utilizar información c</w:t>
      </w:r>
      <w:r w:rsidRPr="00180180">
        <w:rPr>
          <w:lang w:eastAsia="en-GB"/>
        </w:rPr>
        <w:t>onfidencial</w:t>
      </w:r>
      <w:r w:rsidR="00DB7057" w:rsidRPr="00180180">
        <w:rPr>
          <w:lang w:eastAsia="en-GB"/>
        </w:rPr>
        <w:t>, ni aludir o acceder a la misma</w:t>
      </w:r>
      <w:r w:rsidRPr="00180180">
        <w:rPr>
          <w:lang w:eastAsia="en-GB"/>
        </w:rPr>
        <w:t>;</w:t>
      </w:r>
    </w:p>
    <w:p w14:paraId="74D532A9" w14:textId="140BDA49" w:rsidR="00713B22" w:rsidRPr="00180180" w:rsidRDefault="00091B54" w:rsidP="001D46C1">
      <w:pPr>
        <w:pStyle w:val="enumlev2"/>
        <w:rPr>
          <w:lang w:eastAsia="en-GB"/>
        </w:rPr>
      </w:pPr>
      <w:r w:rsidRPr="00180180">
        <w:rPr>
          <w:lang w:eastAsia="en-GB"/>
        </w:rPr>
        <w:t xml:space="preserve">(v) </w:t>
      </w:r>
      <w:r w:rsidR="00DB7057" w:rsidRPr="00180180">
        <w:rPr>
          <w:lang w:eastAsia="en-GB"/>
        </w:rPr>
        <w:tab/>
        <w:t>haya divulgado la Parte r</w:t>
      </w:r>
      <w:r w:rsidRPr="00180180">
        <w:rPr>
          <w:lang w:eastAsia="en-GB"/>
        </w:rPr>
        <w:t xml:space="preserve">eceptora con la aprobación </w:t>
      </w:r>
      <w:r w:rsidR="00DB7057" w:rsidRPr="00180180">
        <w:rPr>
          <w:lang w:eastAsia="en-GB"/>
        </w:rPr>
        <w:t>previa por escrito de la Parte r</w:t>
      </w:r>
      <w:r w:rsidRPr="00180180">
        <w:rPr>
          <w:lang w:eastAsia="en-GB"/>
        </w:rPr>
        <w:t>eveladora</w:t>
      </w:r>
      <w:r w:rsidR="00713B22" w:rsidRPr="00180180">
        <w:rPr>
          <w:lang w:eastAsia="en-GB"/>
        </w:rPr>
        <w:t xml:space="preserve">. </w:t>
      </w:r>
    </w:p>
    <w:p w14:paraId="32057342" w14:textId="2BEB4EA0" w:rsidR="00713B22" w:rsidRPr="00180180" w:rsidRDefault="005C110E" w:rsidP="001D46C1">
      <w:pPr>
        <w:pStyle w:val="Heading1"/>
      </w:pPr>
      <w:r w:rsidRPr="00180180">
        <w:t>3</w:t>
      </w:r>
      <w:r w:rsidRPr="00180180">
        <w:tab/>
      </w:r>
      <w:r w:rsidR="00367A97" w:rsidRPr="00180180">
        <w:t>DISPOSICIONES VARIAS</w:t>
      </w:r>
      <w:r w:rsidR="00713B22" w:rsidRPr="00180180">
        <w:t xml:space="preserve"> </w:t>
      </w:r>
    </w:p>
    <w:p w14:paraId="16237A2E" w14:textId="1F168FDF" w:rsidR="00713B22" w:rsidRPr="00180180" w:rsidRDefault="005C110E" w:rsidP="001D46C1">
      <w:pPr>
        <w:pStyle w:val="enumlev1"/>
      </w:pPr>
      <w:bookmarkStart w:id="10" w:name="_Ref349115396"/>
      <w:r w:rsidRPr="00180180">
        <w:t>3.1</w:t>
      </w:r>
      <w:r w:rsidRPr="00180180">
        <w:tab/>
      </w:r>
      <w:r w:rsidR="00842330" w:rsidRPr="00180180">
        <w:t xml:space="preserve">Nada de lo contenido en </w:t>
      </w:r>
      <w:r w:rsidR="00367A97" w:rsidRPr="00180180">
        <w:t xml:space="preserve">la presente Carta de intención </w:t>
      </w:r>
      <w:r w:rsidR="00842330" w:rsidRPr="00180180">
        <w:t>constituirá</w:t>
      </w:r>
      <w:r w:rsidR="00C066E5" w:rsidRPr="00180180">
        <w:t xml:space="preserve"> </w:t>
      </w:r>
      <w:r w:rsidR="00842330" w:rsidRPr="00180180">
        <w:t>un</w:t>
      </w:r>
      <w:r w:rsidR="00367A97" w:rsidRPr="00180180">
        <w:t>a renuncia</w:t>
      </w:r>
      <w:r w:rsidR="00842330" w:rsidRPr="00180180">
        <w:t xml:space="preserve">, </w:t>
      </w:r>
      <w:r w:rsidR="00886EE7" w:rsidRPr="00180180">
        <w:t>tácita</w:t>
      </w:r>
      <w:r w:rsidR="00842330" w:rsidRPr="00180180">
        <w:t xml:space="preserve"> o implícita, </w:t>
      </w:r>
      <w:r w:rsidR="00C066E5" w:rsidRPr="00180180">
        <w:t xml:space="preserve">o será interpretado como tal, </w:t>
      </w:r>
      <w:r w:rsidR="00842330" w:rsidRPr="00180180">
        <w:t>a ninguno de los privilegios, inmunidades o facilidades</w:t>
      </w:r>
      <w:r w:rsidR="00367A97" w:rsidRPr="00180180">
        <w:t>,</w:t>
      </w:r>
      <w:r w:rsidR="00842330" w:rsidRPr="00180180">
        <w:t xml:space="preserve"> </w:t>
      </w:r>
      <w:r w:rsidR="00367A97" w:rsidRPr="00180180">
        <w:t xml:space="preserve">ni una modificación de los mismos, </w:t>
      </w:r>
      <w:r w:rsidR="00842330" w:rsidRPr="00180180">
        <w:t xml:space="preserve">de que gozan </w:t>
      </w:r>
      <w:r w:rsidR="00367A97" w:rsidRPr="00180180">
        <w:t>el Foro y la UIT</w:t>
      </w:r>
      <w:r w:rsidR="00842330" w:rsidRPr="00180180">
        <w:t xml:space="preserve"> en virtud de los acuerdos internacionales y leyes nacionales que les son aplicables.</w:t>
      </w:r>
    </w:p>
    <w:p w14:paraId="036BEEB6" w14:textId="7769CDDE" w:rsidR="00367A97" w:rsidRPr="00180180" w:rsidRDefault="005C110E" w:rsidP="001D46C1">
      <w:pPr>
        <w:pStyle w:val="enumlev1"/>
      </w:pPr>
      <w:r w:rsidRPr="00180180">
        <w:t>3.2</w:t>
      </w:r>
      <w:r w:rsidRPr="00180180">
        <w:tab/>
      </w:r>
      <w:bookmarkEnd w:id="10"/>
      <w:r w:rsidR="00367A97" w:rsidRPr="00180180">
        <w:t xml:space="preserve">La presente Carta de intención no </w:t>
      </w:r>
      <w:r w:rsidR="007C4A63" w:rsidRPr="00180180">
        <w:t>conlleva</w:t>
      </w:r>
      <w:r w:rsidR="00367A97" w:rsidRPr="00180180">
        <w:t xml:space="preserve"> ninguna transferencia de der</w:t>
      </w:r>
      <w:r w:rsidR="00BB0F3F">
        <w:t>echos de propiedad intelectual.</w:t>
      </w:r>
    </w:p>
    <w:p w14:paraId="548690A3" w14:textId="53DB6BDD" w:rsidR="00713B22" w:rsidRPr="00180180" w:rsidRDefault="00BB0F3F" w:rsidP="001D46C1">
      <w:pPr>
        <w:pStyle w:val="enumlev1"/>
        <w:rPr>
          <w:color w:val="000000" w:themeColor="text1"/>
        </w:rPr>
      </w:pPr>
      <w:r>
        <w:t>3.3</w:t>
      </w:r>
      <w:r w:rsidR="00367A97" w:rsidRPr="00180180">
        <w:tab/>
        <w:t>Las Partes acuerdan la necesidad de obtener una aprobación previa</w:t>
      </w:r>
      <w:r w:rsidR="007C4A63" w:rsidRPr="00180180">
        <w:t xml:space="preserve"> por escrito</w:t>
      </w:r>
      <w:r w:rsidR="00367A97" w:rsidRPr="00180180">
        <w:t xml:space="preserve"> para la utilización de cualquier nombre o logotipo de la otra parte</w:t>
      </w:r>
      <w:r w:rsidR="00713B22" w:rsidRPr="00180180">
        <w:rPr>
          <w:color w:val="000000" w:themeColor="text1"/>
        </w:rPr>
        <w:t xml:space="preserve">. </w:t>
      </w:r>
    </w:p>
    <w:p w14:paraId="0DA58157" w14:textId="19F35232" w:rsidR="007C4A63" w:rsidRPr="00180180" w:rsidRDefault="005C110E" w:rsidP="001D46C1">
      <w:pPr>
        <w:pStyle w:val="enumlev1"/>
        <w:rPr>
          <w:lang w:eastAsia="en-GB"/>
        </w:rPr>
      </w:pPr>
      <w:r w:rsidRPr="00180180">
        <w:rPr>
          <w:lang w:eastAsia="en-GB"/>
        </w:rPr>
        <w:t>3.4</w:t>
      </w:r>
      <w:r w:rsidRPr="00180180">
        <w:rPr>
          <w:lang w:eastAsia="en-GB"/>
        </w:rPr>
        <w:tab/>
      </w:r>
      <w:r w:rsidR="007C4A63" w:rsidRPr="00180180">
        <w:rPr>
          <w:lang w:eastAsia="en-GB"/>
        </w:rPr>
        <w:t>La presente Carta d</w:t>
      </w:r>
      <w:r w:rsidR="00B3405D">
        <w:rPr>
          <w:lang w:eastAsia="en-GB"/>
        </w:rPr>
        <w:t>e intención entró en vigor el 11 de enero de 2019</w:t>
      </w:r>
      <w:r w:rsidR="007C4A63" w:rsidRPr="00180180">
        <w:rPr>
          <w:lang w:eastAsia="en-GB"/>
        </w:rPr>
        <w:t xml:space="preserve"> y dejará de tener validez 24 meses después de esa fecha, a menos que sea ampliada mediante un instrumento ejecutado por escrito por ambas Partes. </w:t>
      </w:r>
    </w:p>
    <w:p w14:paraId="215FAD44" w14:textId="64E52AFF" w:rsidR="007C4A63" w:rsidRPr="00180180" w:rsidRDefault="00BB0F3F" w:rsidP="001D46C1">
      <w:pPr>
        <w:pStyle w:val="enumlev1"/>
        <w:rPr>
          <w:lang w:eastAsia="en-GB"/>
        </w:rPr>
      </w:pPr>
      <w:r>
        <w:rPr>
          <w:lang w:eastAsia="en-GB"/>
        </w:rPr>
        <w:t>3.5</w:t>
      </w:r>
      <w:r w:rsidR="007C4A63" w:rsidRPr="00180180">
        <w:rPr>
          <w:lang w:eastAsia="en-GB"/>
        </w:rPr>
        <w:tab/>
        <w:t xml:space="preserve">Ninguna de las Partes asumirá obligaciones en nombre de la otra, ni emprenderá ninguna otra acción que sea vinculante para ambas Partes. </w:t>
      </w:r>
    </w:p>
    <w:p w14:paraId="2F4CA7A7" w14:textId="35D1C9B0" w:rsidR="00713B22" w:rsidRPr="00BB0F3F" w:rsidRDefault="00BB0F3F" w:rsidP="00BB0F3F">
      <w:pPr>
        <w:pStyle w:val="enumlev1"/>
        <w:rPr>
          <w:lang w:eastAsia="en-GB"/>
        </w:rPr>
      </w:pPr>
      <w:r>
        <w:rPr>
          <w:lang w:eastAsia="en-GB"/>
        </w:rPr>
        <w:t>3.6</w:t>
      </w:r>
      <w:r w:rsidR="007C4A63" w:rsidRPr="00180180">
        <w:rPr>
          <w:lang w:eastAsia="en-GB"/>
        </w:rPr>
        <w:tab/>
        <w:t>Las Partes acuerdan hacer todo lo posible, de buena fe, para resolver mediante métodos de negociación y acuerdo mutuo toda controversia que pu</w:t>
      </w:r>
      <w:r w:rsidR="007C4A63" w:rsidRPr="00180180">
        <w:rPr>
          <w:lang w:eastAsia="en-GB"/>
        </w:rPr>
        <w:lastRenderedPageBreak/>
        <w:t>diera surgir entre ellas en relación con el alcance de la presente Carta de intención. Esta se regirá e interpretará de conformidad con el derecho sustantivo suizo</w:t>
      </w:r>
      <w:r w:rsidR="00713B22" w:rsidRPr="00180180">
        <w:rPr>
          <w:lang w:eastAsia="en-GB"/>
        </w:rPr>
        <w:t>.</w:t>
      </w:r>
    </w:p>
    <w:p w14:paraId="2AC8836B" w14:textId="754F5B89" w:rsidR="00713B22" w:rsidRPr="006F28C5" w:rsidRDefault="007C4A63" w:rsidP="001D46C1">
      <w:pPr>
        <w:jc w:val="both"/>
        <w:rPr>
          <w:lang w:eastAsia="en-GB"/>
        </w:rPr>
      </w:pPr>
      <w:r w:rsidRPr="006F28C5">
        <w:rPr>
          <w:lang w:eastAsia="en-GB"/>
        </w:rPr>
        <w:t>EN PRUEBA DE CONFORMIDAD, las Partes, a través de su</w:t>
      </w:r>
      <w:r w:rsidR="006A1FB0" w:rsidRPr="006F28C5">
        <w:rPr>
          <w:lang w:eastAsia="en-GB"/>
        </w:rPr>
        <w:t>s</w:t>
      </w:r>
      <w:r w:rsidRPr="006F28C5">
        <w:rPr>
          <w:lang w:eastAsia="en-GB"/>
        </w:rPr>
        <w:t xml:space="preserve"> representante</w:t>
      </w:r>
      <w:r w:rsidR="006A1FB0" w:rsidRPr="006F28C5">
        <w:rPr>
          <w:lang w:eastAsia="en-GB"/>
        </w:rPr>
        <w:t>s</w:t>
      </w:r>
      <w:r w:rsidRPr="006F28C5">
        <w:rPr>
          <w:lang w:eastAsia="en-GB"/>
        </w:rPr>
        <w:t xml:space="preserve"> </w:t>
      </w:r>
      <w:r w:rsidR="006A1FB0" w:rsidRPr="006F28C5">
        <w:rPr>
          <w:lang w:eastAsia="en-GB"/>
        </w:rPr>
        <w:t>debidamente</w:t>
      </w:r>
      <w:r w:rsidRPr="006F28C5">
        <w:rPr>
          <w:lang w:eastAsia="en-GB"/>
        </w:rPr>
        <w:t xml:space="preserve"> autorizado</w:t>
      </w:r>
      <w:r w:rsidR="006A1FB0" w:rsidRPr="006F28C5">
        <w:rPr>
          <w:lang w:eastAsia="en-GB"/>
        </w:rPr>
        <w:t>s</w:t>
      </w:r>
      <w:r w:rsidRPr="006F28C5">
        <w:rPr>
          <w:lang w:eastAsia="en-GB"/>
        </w:rPr>
        <w:t xml:space="preserve">, </w:t>
      </w:r>
      <w:r w:rsidR="006A1FB0" w:rsidRPr="006F28C5">
        <w:rPr>
          <w:lang w:eastAsia="en-GB"/>
        </w:rPr>
        <w:t>firman dos (2) originales de la presente</w:t>
      </w:r>
      <w:r w:rsidRPr="006F28C5">
        <w:rPr>
          <w:lang w:eastAsia="en-GB"/>
        </w:rPr>
        <w:t xml:space="preserve"> </w:t>
      </w:r>
      <w:r w:rsidR="006A1FB0" w:rsidRPr="006F28C5">
        <w:rPr>
          <w:lang w:eastAsia="en-GB"/>
        </w:rPr>
        <w:t>Carta de i</w:t>
      </w:r>
      <w:r w:rsidRPr="006F28C5">
        <w:rPr>
          <w:lang w:eastAsia="en-GB"/>
        </w:rPr>
        <w:t>ntención en idioma inglé</w:t>
      </w:r>
      <w:r w:rsidR="006A1FB0" w:rsidRPr="006F28C5">
        <w:rPr>
          <w:lang w:eastAsia="en-GB"/>
        </w:rPr>
        <w:t>s</w:t>
      </w:r>
      <w:r w:rsidR="00713B22" w:rsidRPr="006F28C5">
        <w:rPr>
          <w:lang w:eastAsia="en-GB"/>
        </w:rPr>
        <w:t>.</w:t>
      </w:r>
    </w:p>
    <w:p w14:paraId="696659DD" w14:textId="77777777" w:rsidR="00713B22" w:rsidRPr="00180180" w:rsidRDefault="00713B22" w:rsidP="001D46C1">
      <w:pPr>
        <w:jc w:val="both"/>
        <w:rPr>
          <w:rFonts w:eastAsia="MS Mincho"/>
          <w:b/>
          <w:bCs/>
          <w:sz w:val="21"/>
          <w:szCs w:val="21"/>
        </w:rPr>
      </w:pPr>
    </w:p>
    <w:tbl>
      <w:tblPr>
        <w:tblW w:w="8584" w:type="dxa"/>
        <w:tblCellMar>
          <w:top w:w="60" w:type="dxa"/>
          <w:bottom w:w="60" w:type="dxa"/>
        </w:tblCellMar>
        <w:tblLook w:val="01E0" w:firstRow="1" w:lastRow="1" w:firstColumn="1" w:lastColumn="1" w:noHBand="0" w:noVBand="0"/>
      </w:tblPr>
      <w:tblGrid>
        <w:gridCol w:w="4326"/>
        <w:gridCol w:w="4258"/>
      </w:tblGrid>
      <w:tr w:rsidR="00713B22" w:rsidRPr="00180180" w14:paraId="5394A5FA" w14:textId="77777777" w:rsidTr="000B5F63">
        <w:trPr>
          <w:trHeight w:val="393"/>
        </w:trPr>
        <w:tc>
          <w:tcPr>
            <w:tcW w:w="4326" w:type="dxa"/>
            <w:shd w:val="clear" w:color="auto" w:fill="auto"/>
          </w:tcPr>
          <w:p w14:paraId="169263C1" w14:textId="17FB709E" w:rsidR="00713B22" w:rsidRPr="00180180" w:rsidRDefault="006A1FB0" w:rsidP="001D46C1">
            <w:pPr>
              <w:widowControl w:val="0"/>
              <w:suppressLineNumbers/>
              <w:tabs>
                <w:tab w:val="left" w:pos="1100"/>
                <w:tab w:val="left" w:pos="4620"/>
              </w:tabs>
              <w:spacing w:after="120"/>
              <w:jc w:val="both"/>
              <w:rPr>
                <w:rFonts w:cs="Arial"/>
              </w:rPr>
            </w:pPr>
            <w:r w:rsidRPr="00180180">
              <w:rPr>
                <w:rFonts w:cs="Arial"/>
                <w:b/>
              </w:rPr>
              <w:t>FORO ECONÓMICO MUNDIAL</w:t>
            </w:r>
          </w:p>
        </w:tc>
        <w:tc>
          <w:tcPr>
            <w:tcW w:w="4258" w:type="dxa"/>
            <w:shd w:val="clear" w:color="auto" w:fill="auto"/>
          </w:tcPr>
          <w:p w14:paraId="0909AF3E" w14:textId="72DD071A" w:rsidR="00713B22" w:rsidRPr="00180180" w:rsidRDefault="006A1FB0" w:rsidP="001D46C1">
            <w:pPr>
              <w:widowControl w:val="0"/>
              <w:suppressLineNumbers/>
              <w:tabs>
                <w:tab w:val="left" w:pos="1103"/>
                <w:tab w:val="left" w:pos="4620"/>
              </w:tabs>
              <w:spacing w:after="120"/>
              <w:jc w:val="center"/>
              <w:rPr>
                <w:rFonts w:cs="Arial"/>
              </w:rPr>
            </w:pPr>
            <w:r w:rsidRPr="00180180">
              <w:rPr>
                <w:rFonts w:cs="Arial"/>
                <w:b/>
              </w:rPr>
              <w:t>UNIÓN INTERNACIONAL DE TELECOMUNICACIONES</w:t>
            </w:r>
          </w:p>
        </w:tc>
      </w:tr>
      <w:tr w:rsidR="00713B22" w:rsidRPr="00180180" w14:paraId="163B5FD0" w14:textId="77777777" w:rsidTr="000B5F63">
        <w:trPr>
          <w:trHeight w:val="374"/>
        </w:trPr>
        <w:tc>
          <w:tcPr>
            <w:tcW w:w="4326" w:type="dxa"/>
            <w:shd w:val="clear" w:color="auto" w:fill="auto"/>
          </w:tcPr>
          <w:p w14:paraId="08B05A77" w14:textId="77777777" w:rsidR="00713B22" w:rsidRPr="00180180" w:rsidRDefault="00713B22" w:rsidP="001D46C1">
            <w:pPr>
              <w:widowControl w:val="0"/>
              <w:suppressLineNumbers/>
              <w:tabs>
                <w:tab w:val="left" w:pos="1100"/>
                <w:tab w:val="left" w:pos="4620"/>
              </w:tabs>
              <w:spacing w:after="120"/>
              <w:jc w:val="both"/>
              <w:rPr>
                <w:rFonts w:cs="Arial"/>
              </w:rPr>
            </w:pPr>
          </w:p>
          <w:p w14:paraId="708B3742" w14:textId="0600F85C" w:rsidR="00713B22" w:rsidRPr="00180180" w:rsidRDefault="006A1FB0" w:rsidP="001D46C1">
            <w:pPr>
              <w:widowControl w:val="0"/>
              <w:suppressLineNumbers/>
              <w:tabs>
                <w:tab w:val="left" w:pos="1100"/>
                <w:tab w:val="left" w:pos="4620"/>
              </w:tabs>
              <w:spacing w:after="120"/>
              <w:jc w:val="both"/>
              <w:rPr>
                <w:rFonts w:cs="Arial"/>
              </w:rPr>
            </w:pPr>
            <w:r w:rsidRPr="00180180">
              <w:rPr>
                <w:rFonts w:cs="Arial"/>
              </w:rPr>
              <w:t>Fecha</w:t>
            </w:r>
            <w:r w:rsidR="00713B22" w:rsidRPr="00180180">
              <w:rPr>
                <w:rFonts w:cs="Arial"/>
              </w:rPr>
              <w:t>:</w:t>
            </w:r>
            <w:r w:rsidR="00713B22" w:rsidRPr="00180180">
              <w:rPr>
                <w:rFonts w:cs="Arial"/>
              </w:rPr>
              <w:tab/>
              <w:t>_______________________</w:t>
            </w:r>
          </w:p>
        </w:tc>
        <w:tc>
          <w:tcPr>
            <w:tcW w:w="4258" w:type="dxa"/>
            <w:shd w:val="clear" w:color="auto" w:fill="auto"/>
          </w:tcPr>
          <w:p w14:paraId="27D3C960" w14:textId="77777777" w:rsidR="00713B22" w:rsidRPr="00180180" w:rsidRDefault="00713B22" w:rsidP="001D46C1">
            <w:pPr>
              <w:widowControl w:val="0"/>
              <w:suppressLineNumbers/>
              <w:tabs>
                <w:tab w:val="left" w:pos="1103"/>
                <w:tab w:val="left" w:pos="4620"/>
              </w:tabs>
              <w:spacing w:after="120"/>
              <w:jc w:val="both"/>
              <w:rPr>
                <w:rFonts w:cs="Arial"/>
              </w:rPr>
            </w:pPr>
          </w:p>
          <w:p w14:paraId="02E13F05" w14:textId="6FA19808" w:rsidR="00713B22" w:rsidRPr="00180180" w:rsidRDefault="006A1FB0" w:rsidP="00BB0F3F">
            <w:pPr>
              <w:widowControl w:val="0"/>
              <w:suppressLineNumbers/>
              <w:tabs>
                <w:tab w:val="left" w:pos="1103"/>
                <w:tab w:val="left" w:pos="4620"/>
              </w:tabs>
              <w:spacing w:after="120"/>
              <w:jc w:val="both"/>
              <w:rPr>
                <w:rFonts w:cs="Arial"/>
              </w:rPr>
            </w:pPr>
            <w:r w:rsidRPr="00180180">
              <w:rPr>
                <w:rFonts w:cs="Arial"/>
              </w:rPr>
              <w:t>Fecha</w:t>
            </w:r>
            <w:r w:rsidR="00713B22" w:rsidRPr="00180180">
              <w:rPr>
                <w:rFonts w:cs="Arial"/>
              </w:rPr>
              <w:t>:</w:t>
            </w:r>
            <w:r w:rsidR="00BB0F3F">
              <w:rPr>
                <w:rFonts w:cs="Arial"/>
              </w:rPr>
              <w:tab/>
            </w:r>
            <w:r w:rsidR="00713B22" w:rsidRPr="00180180">
              <w:rPr>
                <w:rFonts w:cs="Arial"/>
              </w:rPr>
              <w:t>______________________</w:t>
            </w:r>
          </w:p>
        </w:tc>
      </w:tr>
      <w:tr w:rsidR="00713B22" w:rsidRPr="00180180" w14:paraId="6ADFC530" w14:textId="77777777" w:rsidTr="000B5F63">
        <w:trPr>
          <w:trHeight w:val="393"/>
        </w:trPr>
        <w:tc>
          <w:tcPr>
            <w:tcW w:w="4326" w:type="dxa"/>
            <w:shd w:val="clear" w:color="auto" w:fill="auto"/>
          </w:tcPr>
          <w:p w14:paraId="7ED75C7E" w14:textId="1B0D4929" w:rsidR="00713B22" w:rsidRPr="00180180" w:rsidRDefault="006A1FB0" w:rsidP="001D46C1">
            <w:pPr>
              <w:widowControl w:val="0"/>
              <w:suppressLineNumbers/>
              <w:tabs>
                <w:tab w:val="left" w:pos="1100"/>
                <w:tab w:val="left" w:pos="4620"/>
              </w:tabs>
              <w:spacing w:after="120"/>
              <w:jc w:val="both"/>
              <w:rPr>
                <w:rFonts w:cs="Arial"/>
              </w:rPr>
            </w:pPr>
            <w:r w:rsidRPr="00180180">
              <w:rPr>
                <w:rFonts w:cs="Arial"/>
              </w:rPr>
              <w:t>Firma</w:t>
            </w:r>
            <w:r w:rsidR="00713B22" w:rsidRPr="00180180">
              <w:rPr>
                <w:rFonts w:cs="Arial"/>
              </w:rPr>
              <w:t>:</w:t>
            </w:r>
            <w:r w:rsidR="00713B22" w:rsidRPr="00180180">
              <w:rPr>
                <w:rFonts w:cs="Arial"/>
              </w:rPr>
              <w:tab/>
              <w:t>_______________________</w:t>
            </w:r>
          </w:p>
        </w:tc>
        <w:tc>
          <w:tcPr>
            <w:tcW w:w="4258" w:type="dxa"/>
            <w:shd w:val="clear" w:color="auto" w:fill="auto"/>
          </w:tcPr>
          <w:p w14:paraId="27044BE1" w14:textId="4D7EEC85" w:rsidR="00713B22" w:rsidRPr="00180180" w:rsidRDefault="006A1FB0" w:rsidP="001D46C1">
            <w:pPr>
              <w:widowControl w:val="0"/>
              <w:suppressLineNumbers/>
              <w:tabs>
                <w:tab w:val="left" w:pos="1073"/>
                <w:tab w:val="left" w:pos="1103"/>
                <w:tab w:val="left" w:pos="4620"/>
              </w:tabs>
              <w:spacing w:after="120"/>
              <w:jc w:val="both"/>
              <w:rPr>
                <w:rFonts w:cs="Arial"/>
              </w:rPr>
            </w:pPr>
            <w:r w:rsidRPr="00180180">
              <w:rPr>
                <w:rFonts w:cs="Arial"/>
              </w:rPr>
              <w:t>Firma</w:t>
            </w:r>
            <w:r w:rsidR="00713B22" w:rsidRPr="00180180">
              <w:rPr>
                <w:rFonts w:cs="Arial"/>
              </w:rPr>
              <w:t>:</w:t>
            </w:r>
            <w:r w:rsidR="00713B22" w:rsidRPr="00180180">
              <w:rPr>
                <w:rFonts w:cs="Arial"/>
              </w:rPr>
              <w:tab/>
              <w:t>______________________</w:t>
            </w:r>
          </w:p>
        </w:tc>
      </w:tr>
      <w:tr w:rsidR="00713B22" w:rsidRPr="00180180" w14:paraId="2C320F6A" w14:textId="77777777" w:rsidTr="000B5F63">
        <w:trPr>
          <w:trHeight w:val="393"/>
        </w:trPr>
        <w:tc>
          <w:tcPr>
            <w:tcW w:w="4326" w:type="dxa"/>
            <w:shd w:val="clear" w:color="auto" w:fill="auto"/>
          </w:tcPr>
          <w:p w14:paraId="259CA319" w14:textId="05B40DF8" w:rsidR="00713B22" w:rsidRPr="00180180" w:rsidRDefault="006A1FB0" w:rsidP="001D46C1">
            <w:pPr>
              <w:widowControl w:val="0"/>
              <w:suppressLineNumbers/>
              <w:tabs>
                <w:tab w:val="left" w:pos="1100"/>
                <w:tab w:val="left" w:pos="4620"/>
              </w:tabs>
              <w:spacing w:after="120"/>
              <w:jc w:val="both"/>
              <w:rPr>
                <w:rFonts w:cs="Arial"/>
              </w:rPr>
            </w:pPr>
            <w:r w:rsidRPr="00180180">
              <w:rPr>
                <w:rFonts w:cs="Arial"/>
              </w:rPr>
              <w:t>Nombre</w:t>
            </w:r>
            <w:r w:rsidR="00713B22" w:rsidRPr="00180180">
              <w:rPr>
                <w:rFonts w:cs="Arial"/>
              </w:rPr>
              <w:t>:</w:t>
            </w:r>
            <w:r w:rsidR="00713B22" w:rsidRPr="00180180">
              <w:rPr>
                <w:rFonts w:cs="Arial"/>
              </w:rPr>
              <w:tab/>
              <w:t>KLAUS SCHWAB</w:t>
            </w:r>
          </w:p>
        </w:tc>
        <w:tc>
          <w:tcPr>
            <w:tcW w:w="4258" w:type="dxa"/>
            <w:shd w:val="clear" w:color="auto" w:fill="auto"/>
          </w:tcPr>
          <w:p w14:paraId="0529B5DA" w14:textId="00CB3C45" w:rsidR="00713B22" w:rsidRPr="00180180" w:rsidRDefault="006A1FB0" w:rsidP="001D46C1">
            <w:pPr>
              <w:pStyle w:val="Footer"/>
              <w:widowControl w:val="0"/>
              <w:suppressLineNumbers/>
              <w:tabs>
                <w:tab w:val="left" w:pos="1103"/>
                <w:tab w:val="left" w:leader="underscore" w:pos="4180"/>
                <w:tab w:val="left" w:pos="4620"/>
                <w:tab w:val="left" w:pos="5800"/>
                <w:tab w:val="left" w:leader="underscore" w:pos="9350"/>
              </w:tabs>
              <w:spacing w:before="120"/>
              <w:rPr>
                <w:rFonts w:cs="Arial"/>
                <w:noProof w:val="0"/>
              </w:rPr>
            </w:pPr>
            <w:r w:rsidRPr="006F28C5">
              <w:rPr>
                <w:rFonts w:cs="Arial"/>
                <w:caps w:val="0"/>
                <w:noProof w:val="0"/>
                <w:sz w:val="24"/>
              </w:rPr>
              <w:t>NOMBRE</w:t>
            </w:r>
            <w:r w:rsidR="00713B22" w:rsidRPr="006F28C5">
              <w:rPr>
                <w:rFonts w:cs="Arial"/>
                <w:caps w:val="0"/>
                <w:noProof w:val="0"/>
                <w:sz w:val="24"/>
              </w:rPr>
              <w:t xml:space="preserve">: </w:t>
            </w:r>
            <w:r w:rsidR="00713B22" w:rsidRPr="006F28C5">
              <w:rPr>
                <w:rFonts w:cs="Arial"/>
                <w:caps w:val="0"/>
                <w:noProof w:val="0"/>
                <w:sz w:val="24"/>
              </w:rPr>
              <w:tab/>
              <w:t>HOULIN ZHAO</w:t>
            </w:r>
          </w:p>
        </w:tc>
      </w:tr>
      <w:tr w:rsidR="00713B22" w:rsidRPr="00180180" w14:paraId="3AFA3DF6" w14:textId="77777777" w:rsidTr="000B5F63">
        <w:trPr>
          <w:trHeight w:val="656"/>
        </w:trPr>
        <w:tc>
          <w:tcPr>
            <w:tcW w:w="4326" w:type="dxa"/>
            <w:shd w:val="clear" w:color="auto" w:fill="auto"/>
          </w:tcPr>
          <w:p w14:paraId="17861739" w14:textId="2C0B6CD3" w:rsidR="00713B22" w:rsidRPr="00180180" w:rsidRDefault="006A1FB0" w:rsidP="001D46C1">
            <w:pPr>
              <w:widowControl w:val="0"/>
              <w:suppressLineNumbers/>
              <w:tabs>
                <w:tab w:val="left" w:pos="1100"/>
                <w:tab w:val="left" w:pos="4620"/>
              </w:tabs>
              <w:spacing w:after="120"/>
              <w:jc w:val="both"/>
              <w:rPr>
                <w:rFonts w:cs="Arial"/>
              </w:rPr>
            </w:pPr>
            <w:r w:rsidRPr="00180180">
              <w:rPr>
                <w:rFonts w:cs="Arial"/>
              </w:rPr>
              <w:t>Cargo</w:t>
            </w:r>
            <w:r w:rsidR="00713B22" w:rsidRPr="00180180">
              <w:rPr>
                <w:rFonts w:cs="Arial"/>
              </w:rPr>
              <w:t>:</w:t>
            </w:r>
            <w:r w:rsidR="00713B22" w:rsidRPr="00180180">
              <w:rPr>
                <w:rFonts w:cs="Arial"/>
              </w:rPr>
              <w:tab/>
            </w:r>
            <w:r w:rsidRPr="00180180">
              <w:rPr>
                <w:rFonts w:cs="Arial"/>
              </w:rPr>
              <w:t>PRESIDENTE EJECUTIVO</w:t>
            </w:r>
          </w:p>
        </w:tc>
        <w:tc>
          <w:tcPr>
            <w:tcW w:w="4258" w:type="dxa"/>
            <w:shd w:val="clear" w:color="auto" w:fill="auto"/>
          </w:tcPr>
          <w:p w14:paraId="0E35A4A6" w14:textId="34B86D70" w:rsidR="00713B22" w:rsidRPr="00180180" w:rsidRDefault="006A1FB0" w:rsidP="00BB0F3F">
            <w:pPr>
              <w:widowControl w:val="0"/>
              <w:suppressLineNumbers/>
              <w:tabs>
                <w:tab w:val="left" w:pos="1103"/>
                <w:tab w:val="left" w:pos="4620"/>
              </w:tabs>
              <w:spacing w:after="120"/>
              <w:rPr>
                <w:rFonts w:cs="Arial"/>
                <w:sz w:val="2"/>
                <w:szCs w:val="2"/>
              </w:rPr>
            </w:pPr>
            <w:r w:rsidRPr="00180180">
              <w:rPr>
                <w:rFonts w:cs="Arial"/>
              </w:rPr>
              <w:t>Cargo</w:t>
            </w:r>
            <w:r w:rsidR="00713B22" w:rsidRPr="00180180">
              <w:rPr>
                <w:rFonts w:cs="Arial"/>
              </w:rPr>
              <w:t>:</w:t>
            </w:r>
            <w:r w:rsidR="00BB0F3F">
              <w:rPr>
                <w:rFonts w:cs="Arial"/>
              </w:rPr>
              <w:tab/>
            </w:r>
            <w:r w:rsidRPr="00180180">
              <w:rPr>
                <w:rFonts w:cs="Arial"/>
              </w:rPr>
              <w:t>SECRETARIO GENERAL</w:t>
            </w:r>
          </w:p>
        </w:tc>
      </w:tr>
    </w:tbl>
    <w:p w14:paraId="5E64206D" w14:textId="28418C20" w:rsidR="00E86B4E" w:rsidRPr="00180180" w:rsidRDefault="00E86B4E" w:rsidP="001D46C1">
      <w:pPr>
        <w:tabs>
          <w:tab w:val="clear" w:pos="567"/>
          <w:tab w:val="clear" w:pos="1134"/>
          <w:tab w:val="clear" w:pos="1701"/>
          <w:tab w:val="clear" w:pos="2268"/>
          <w:tab w:val="clear" w:pos="2835"/>
        </w:tabs>
        <w:overflowPunct/>
        <w:autoSpaceDE/>
        <w:autoSpaceDN/>
        <w:adjustRightInd/>
        <w:spacing w:before="0"/>
        <w:textAlignment w:val="auto"/>
        <w:rPr>
          <w:rFonts w:cs="Arial"/>
          <w:szCs w:val="22"/>
        </w:rPr>
      </w:pPr>
      <w:r w:rsidRPr="00180180">
        <w:rPr>
          <w:rFonts w:cs="Arial"/>
          <w:szCs w:val="22"/>
        </w:rPr>
        <w:br w:type="page"/>
      </w:r>
    </w:p>
    <w:p w14:paraId="33894634" w14:textId="52D4F68D" w:rsidR="00701C9A" w:rsidRPr="00180180" w:rsidRDefault="00E86B4E" w:rsidP="001D46C1">
      <w:pPr>
        <w:pStyle w:val="AnnexNo"/>
      </w:pPr>
      <w:r w:rsidRPr="00180180">
        <w:lastRenderedPageBreak/>
        <w:t>ANEXO 3</w:t>
      </w:r>
    </w:p>
    <w:p w14:paraId="041A75FE" w14:textId="4F035B89" w:rsidR="00E86B4E" w:rsidRPr="00180180" w:rsidRDefault="000E56FB" w:rsidP="001D46C1">
      <w:pPr>
        <w:suppressAutoHyphens/>
        <w:jc w:val="center"/>
        <w:rPr>
          <w:rFonts w:ascii="Times New Roman" w:hAnsi="Times New Roman"/>
          <w:b/>
          <w:smallCaps/>
          <w:sz w:val="32"/>
          <w:szCs w:val="32"/>
        </w:rPr>
      </w:pPr>
      <w:r>
        <w:rPr>
          <w:noProof/>
          <w:lang w:val="en-GB" w:eastAsia="zh-CN"/>
        </w:rPr>
        <w:drawing>
          <wp:anchor distT="0" distB="0" distL="114300" distR="114300" simplePos="0" relativeHeight="251662336" behindDoc="1" locked="0" layoutInCell="1" allowOverlap="1" wp14:anchorId="25D92556" wp14:editId="65D0064E">
            <wp:simplePos x="0" y="0"/>
            <wp:positionH relativeFrom="column">
              <wp:posOffset>3547110</wp:posOffset>
            </wp:positionH>
            <wp:positionV relativeFrom="page">
              <wp:posOffset>1209675</wp:posOffset>
            </wp:positionV>
            <wp:extent cx="2772000" cy="1350000"/>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47002"/>
                    <a:stretch/>
                  </pic:blipFill>
                  <pic:spPr bwMode="auto">
                    <a:xfrm>
                      <a:off x="0" y="0"/>
                      <a:ext cx="2772000" cy="1350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86B4E" w:rsidRPr="00180180">
        <w:rPr>
          <w:rFonts w:asciiTheme="majorBidi" w:hAnsiTheme="majorBidi" w:cstheme="majorBidi"/>
          <w:b/>
          <w:noProof/>
          <w:color w:val="414141"/>
          <w:w w:val="105"/>
          <w:szCs w:val="24"/>
          <w:lang w:val="en-GB" w:eastAsia="zh-CN"/>
        </w:rPr>
        <w:drawing>
          <wp:anchor distT="0" distB="0" distL="114300" distR="114300" simplePos="0" relativeHeight="251661312" behindDoc="0" locked="0" layoutInCell="1" allowOverlap="1" wp14:anchorId="3A155B63" wp14:editId="23E165B0">
            <wp:simplePos x="0" y="0"/>
            <wp:positionH relativeFrom="column">
              <wp:posOffset>261620</wp:posOffset>
            </wp:positionH>
            <wp:positionV relativeFrom="paragraph">
              <wp:posOffset>452755</wp:posOffset>
            </wp:positionV>
            <wp:extent cx="683895" cy="750570"/>
            <wp:effectExtent l="0" t="0" r="190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TU blue UN.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83895" cy="750570"/>
                    </a:xfrm>
                    <a:prstGeom prst="rect">
                      <a:avLst/>
                    </a:prstGeom>
                  </pic:spPr>
                </pic:pic>
              </a:graphicData>
            </a:graphic>
            <wp14:sizeRelH relativeFrom="margin">
              <wp14:pctWidth>0</wp14:pctWidth>
            </wp14:sizeRelH>
            <wp14:sizeRelV relativeFrom="margin">
              <wp14:pctHeight>0</wp14:pctHeight>
            </wp14:sizeRelV>
          </wp:anchor>
        </w:drawing>
      </w:r>
    </w:p>
    <w:p w14:paraId="062D3C70" w14:textId="2B65405D" w:rsidR="00E86B4E" w:rsidRPr="002502A2" w:rsidRDefault="006A1FB0" w:rsidP="000E56FB">
      <w:pPr>
        <w:suppressAutoHyphens/>
        <w:spacing w:before="600"/>
        <w:jc w:val="center"/>
        <w:rPr>
          <w:rFonts w:asciiTheme="minorHAnsi" w:hAnsiTheme="minorHAnsi" w:cstheme="minorHAnsi"/>
          <w:b/>
          <w:smallCaps/>
          <w:sz w:val="28"/>
          <w:szCs w:val="28"/>
        </w:rPr>
      </w:pPr>
      <w:r w:rsidRPr="002502A2">
        <w:rPr>
          <w:rFonts w:asciiTheme="minorHAnsi" w:hAnsiTheme="minorHAnsi" w:cstheme="minorHAnsi"/>
          <w:b/>
          <w:smallCaps/>
          <w:sz w:val="28"/>
          <w:szCs w:val="28"/>
        </w:rPr>
        <w:t>Declaración conjunta</w:t>
      </w:r>
    </w:p>
    <w:p w14:paraId="107439C8" w14:textId="77777777" w:rsidR="00E86B4E" w:rsidRPr="002502A2" w:rsidRDefault="00E86B4E" w:rsidP="000E56FB">
      <w:pPr>
        <w:suppressAutoHyphens/>
        <w:spacing w:before="60"/>
        <w:jc w:val="center"/>
        <w:rPr>
          <w:rFonts w:asciiTheme="minorHAnsi" w:hAnsiTheme="minorHAnsi" w:cstheme="minorHAnsi"/>
          <w:b/>
          <w:smallCaps/>
          <w:sz w:val="28"/>
          <w:szCs w:val="28"/>
        </w:rPr>
      </w:pPr>
    </w:p>
    <w:p w14:paraId="55D95DC2" w14:textId="77777777" w:rsidR="00E86B4E" w:rsidRPr="002502A2" w:rsidRDefault="00E86B4E" w:rsidP="000E56FB">
      <w:pPr>
        <w:suppressAutoHyphens/>
        <w:spacing w:before="60"/>
        <w:jc w:val="center"/>
        <w:rPr>
          <w:rFonts w:asciiTheme="minorHAnsi" w:hAnsiTheme="minorHAnsi" w:cstheme="minorHAnsi"/>
          <w:b/>
          <w:smallCaps/>
          <w:sz w:val="28"/>
          <w:szCs w:val="28"/>
        </w:rPr>
      </w:pPr>
    </w:p>
    <w:p w14:paraId="0EEECCD9" w14:textId="77777777" w:rsidR="00E86B4E" w:rsidRPr="002502A2" w:rsidRDefault="00E86B4E" w:rsidP="000E56FB">
      <w:pPr>
        <w:suppressAutoHyphens/>
        <w:spacing w:before="60"/>
        <w:jc w:val="center"/>
        <w:rPr>
          <w:rFonts w:asciiTheme="minorHAnsi" w:hAnsiTheme="minorHAnsi" w:cstheme="minorHAnsi"/>
          <w:b/>
          <w:smallCaps/>
          <w:sz w:val="28"/>
          <w:szCs w:val="28"/>
        </w:rPr>
      </w:pPr>
    </w:p>
    <w:p w14:paraId="7A354D7C" w14:textId="5E211912" w:rsidR="00E86B4E" w:rsidRPr="002502A2" w:rsidRDefault="006A1FB0" w:rsidP="001D46C1">
      <w:pPr>
        <w:suppressAutoHyphens/>
        <w:jc w:val="center"/>
        <w:rPr>
          <w:rFonts w:asciiTheme="minorHAnsi" w:hAnsiTheme="minorHAnsi" w:cstheme="minorHAnsi"/>
          <w:b/>
          <w:smallCaps/>
          <w:sz w:val="28"/>
          <w:szCs w:val="28"/>
        </w:rPr>
      </w:pPr>
      <w:r w:rsidRPr="002502A2">
        <w:rPr>
          <w:rFonts w:asciiTheme="minorHAnsi" w:hAnsiTheme="minorHAnsi" w:cstheme="minorHAnsi"/>
          <w:b/>
          <w:smallCaps/>
          <w:sz w:val="28"/>
          <w:szCs w:val="28"/>
        </w:rPr>
        <w:t>entre</w:t>
      </w:r>
    </w:p>
    <w:p w14:paraId="69EA9823" w14:textId="77777777" w:rsidR="00E86B4E" w:rsidRPr="002502A2" w:rsidRDefault="00E86B4E" w:rsidP="001D46C1">
      <w:pPr>
        <w:suppressAutoHyphens/>
        <w:jc w:val="center"/>
        <w:rPr>
          <w:rFonts w:asciiTheme="minorHAnsi" w:hAnsiTheme="minorHAnsi" w:cstheme="minorHAnsi"/>
          <w:b/>
          <w:smallCaps/>
          <w:sz w:val="28"/>
          <w:szCs w:val="28"/>
        </w:rPr>
      </w:pPr>
    </w:p>
    <w:p w14:paraId="67DB6DEC" w14:textId="77777777" w:rsidR="00E86B4E" w:rsidRPr="002502A2" w:rsidRDefault="00E86B4E" w:rsidP="001D46C1">
      <w:pPr>
        <w:suppressAutoHyphens/>
        <w:jc w:val="center"/>
        <w:rPr>
          <w:rFonts w:asciiTheme="minorHAnsi" w:hAnsiTheme="minorHAnsi" w:cstheme="minorHAnsi"/>
          <w:b/>
          <w:smallCaps/>
          <w:sz w:val="28"/>
          <w:szCs w:val="28"/>
        </w:rPr>
      </w:pPr>
    </w:p>
    <w:p w14:paraId="6814F68F" w14:textId="77777777" w:rsidR="00E86B4E" w:rsidRPr="002502A2" w:rsidRDefault="00E86B4E" w:rsidP="001D46C1">
      <w:pPr>
        <w:suppressAutoHyphens/>
        <w:jc w:val="center"/>
        <w:rPr>
          <w:rFonts w:asciiTheme="minorHAnsi" w:hAnsiTheme="minorHAnsi" w:cstheme="minorHAnsi"/>
          <w:b/>
          <w:smallCaps/>
          <w:sz w:val="28"/>
          <w:szCs w:val="28"/>
        </w:rPr>
      </w:pPr>
    </w:p>
    <w:p w14:paraId="4E498DDC" w14:textId="18C3EF86" w:rsidR="00E86B4E" w:rsidRPr="002502A2" w:rsidRDefault="006A1FB0" w:rsidP="001D46C1">
      <w:pPr>
        <w:suppressAutoHyphens/>
        <w:jc w:val="center"/>
        <w:rPr>
          <w:rFonts w:asciiTheme="minorHAnsi" w:hAnsiTheme="minorHAnsi" w:cstheme="minorHAnsi"/>
          <w:b/>
          <w:smallCaps/>
          <w:sz w:val="28"/>
          <w:szCs w:val="28"/>
        </w:rPr>
      </w:pPr>
      <w:r w:rsidRPr="002502A2">
        <w:rPr>
          <w:rFonts w:asciiTheme="minorHAnsi" w:hAnsiTheme="minorHAnsi" w:cstheme="minorHAnsi"/>
          <w:b/>
          <w:smallCaps/>
          <w:sz w:val="28"/>
          <w:szCs w:val="28"/>
        </w:rPr>
        <w:t>El Banco Internacional de reconstrucción y fomento y la Asociación Internacional de Fomento</w:t>
      </w:r>
    </w:p>
    <w:p w14:paraId="76D3FD45" w14:textId="77777777" w:rsidR="00E86B4E" w:rsidRPr="002502A2" w:rsidRDefault="00E86B4E" w:rsidP="001D46C1">
      <w:pPr>
        <w:suppressAutoHyphens/>
        <w:jc w:val="center"/>
        <w:rPr>
          <w:rFonts w:asciiTheme="minorHAnsi" w:hAnsiTheme="minorHAnsi" w:cstheme="minorHAnsi"/>
          <w:b/>
          <w:smallCaps/>
          <w:sz w:val="28"/>
          <w:szCs w:val="28"/>
        </w:rPr>
      </w:pPr>
    </w:p>
    <w:p w14:paraId="3DA843CA" w14:textId="0578B2D3" w:rsidR="00E86B4E" w:rsidRPr="002502A2" w:rsidRDefault="006A1FB0" w:rsidP="001D46C1">
      <w:pPr>
        <w:suppressAutoHyphens/>
        <w:jc w:val="center"/>
        <w:rPr>
          <w:rFonts w:asciiTheme="minorHAnsi" w:hAnsiTheme="minorHAnsi" w:cstheme="minorHAnsi"/>
          <w:b/>
          <w:smallCaps/>
          <w:sz w:val="28"/>
          <w:szCs w:val="28"/>
        </w:rPr>
      </w:pPr>
      <w:r w:rsidRPr="002502A2">
        <w:rPr>
          <w:rFonts w:asciiTheme="minorHAnsi" w:hAnsiTheme="minorHAnsi" w:cstheme="minorHAnsi"/>
          <w:b/>
          <w:smallCaps/>
          <w:sz w:val="28"/>
          <w:szCs w:val="28"/>
        </w:rPr>
        <w:t>y</w:t>
      </w:r>
    </w:p>
    <w:p w14:paraId="7B3D82CE" w14:textId="77777777" w:rsidR="00E86B4E" w:rsidRPr="002502A2" w:rsidRDefault="00E86B4E" w:rsidP="001D46C1">
      <w:pPr>
        <w:suppressAutoHyphens/>
        <w:jc w:val="center"/>
        <w:rPr>
          <w:rFonts w:asciiTheme="minorHAnsi" w:hAnsiTheme="minorHAnsi" w:cstheme="minorHAnsi"/>
          <w:b/>
          <w:smallCaps/>
          <w:sz w:val="28"/>
          <w:szCs w:val="28"/>
        </w:rPr>
      </w:pPr>
    </w:p>
    <w:p w14:paraId="01D024A8" w14:textId="641759D8" w:rsidR="00E86B4E" w:rsidRPr="002502A2" w:rsidRDefault="006A1FB0" w:rsidP="001D46C1">
      <w:pPr>
        <w:suppressAutoHyphens/>
        <w:jc w:val="center"/>
        <w:rPr>
          <w:rFonts w:asciiTheme="minorHAnsi" w:hAnsiTheme="minorHAnsi" w:cstheme="minorHAnsi"/>
          <w:b/>
          <w:smallCaps/>
          <w:sz w:val="28"/>
          <w:szCs w:val="28"/>
        </w:rPr>
      </w:pPr>
      <w:r w:rsidRPr="002502A2">
        <w:rPr>
          <w:rFonts w:asciiTheme="minorHAnsi" w:hAnsiTheme="minorHAnsi" w:cstheme="minorHAnsi"/>
          <w:b/>
          <w:smallCaps/>
          <w:sz w:val="28"/>
          <w:szCs w:val="28"/>
        </w:rPr>
        <w:t>LA UNIÓN INTERNACIONAL DE TELECOMUNICACIONES</w:t>
      </w:r>
    </w:p>
    <w:p w14:paraId="291AF269" w14:textId="77777777" w:rsidR="00E86B4E" w:rsidRPr="002502A2" w:rsidRDefault="00E86B4E" w:rsidP="001D46C1">
      <w:pPr>
        <w:suppressAutoHyphens/>
        <w:jc w:val="center"/>
        <w:rPr>
          <w:rFonts w:asciiTheme="minorHAnsi" w:hAnsiTheme="minorHAnsi" w:cstheme="minorHAnsi"/>
          <w:b/>
          <w:smallCaps/>
          <w:sz w:val="28"/>
          <w:szCs w:val="28"/>
        </w:rPr>
      </w:pPr>
    </w:p>
    <w:p w14:paraId="09D27487" w14:textId="77777777" w:rsidR="00E86B4E" w:rsidRPr="002502A2" w:rsidRDefault="00E86B4E" w:rsidP="001D46C1">
      <w:pPr>
        <w:suppressAutoHyphens/>
        <w:jc w:val="center"/>
        <w:rPr>
          <w:rFonts w:asciiTheme="minorHAnsi" w:hAnsiTheme="minorHAnsi" w:cstheme="minorHAnsi"/>
          <w:b/>
          <w:sz w:val="28"/>
          <w:szCs w:val="28"/>
        </w:rPr>
      </w:pPr>
    </w:p>
    <w:p w14:paraId="78F944C1" w14:textId="6B9C9542" w:rsidR="00E86B4E" w:rsidRPr="002502A2" w:rsidRDefault="00C840B7" w:rsidP="001D46C1">
      <w:pPr>
        <w:suppressAutoHyphens/>
        <w:jc w:val="center"/>
        <w:rPr>
          <w:rFonts w:asciiTheme="minorHAnsi" w:hAnsiTheme="minorHAnsi" w:cstheme="minorHAnsi"/>
          <w:b/>
          <w:smallCaps/>
          <w:sz w:val="28"/>
          <w:szCs w:val="28"/>
        </w:rPr>
      </w:pPr>
      <w:r w:rsidRPr="002502A2">
        <w:rPr>
          <w:rFonts w:asciiTheme="minorHAnsi" w:hAnsiTheme="minorHAnsi" w:cstheme="minorHAnsi"/>
          <w:b/>
          <w:smallCaps/>
          <w:sz w:val="28"/>
          <w:szCs w:val="28"/>
        </w:rPr>
        <w:t>sobre</w:t>
      </w:r>
    </w:p>
    <w:p w14:paraId="0DCFA8F0" w14:textId="77777777" w:rsidR="00E86B4E" w:rsidRPr="002502A2" w:rsidRDefault="00E86B4E" w:rsidP="001D46C1">
      <w:pPr>
        <w:suppressAutoHyphens/>
        <w:jc w:val="center"/>
        <w:rPr>
          <w:rFonts w:asciiTheme="minorHAnsi" w:hAnsiTheme="minorHAnsi" w:cstheme="minorHAnsi"/>
          <w:b/>
          <w:smallCaps/>
          <w:sz w:val="28"/>
          <w:szCs w:val="28"/>
        </w:rPr>
      </w:pPr>
    </w:p>
    <w:p w14:paraId="7290A65F" w14:textId="77777777" w:rsidR="00E86B4E" w:rsidRPr="002502A2" w:rsidRDefault="00E86B4E" w:rsidP="001D46C1">
      <w:pPr>
        <w:suppressAutoHyphens/>
        <w:jc w:val="center"/>
        <w:rPr>
          <w:rFonts w:asciiTheme="minorHAnsi" w:hAnsiTheme="minorHAnsi" w:cstheme="minorHAnsi"/>
          <w:b/>
          <w:smallCaps/>
          <w:sz w:val="28"/>
          <w:szCs w:val="28"/>
        </w:rPr>
      </w:pPr>
    </w:p>
    <w:p w14:paraId="1947495F" w14:textId="6A0F5C0D" w:rsidR="00C840B7" w:rsidRPr="002502A2" w:rsidRDefault="00C840B7" w:rsidP="001D46C1">
      <w:pPr>
        <w:suppressAutoHyphens/>
        <w:jc w:val="center"/>
        <w:rPr>
          <w:rFonts w:asciiTheme="minorHAnsi" w:hAnsiTheme="minorHAnsi" w:cstheme="minorHAnsi"/>
          <w:b/>
          <w:smallCaps/>
          <w:sz w:val="28"/>
          <w:szCs w:val="28"/>
        </w:rPr>
      </w:pPr>
      <w:r w:rsidRPr="002502A2">
        <w:rPr>
          <w:rFonts w:asciiTheme="minorHAnsi" w:hAnsiTheme="minorHAnsi" w:cstheme="minorHAnsi"/>
          <w:b/>
          <w:smallCaps/>
          <w:sz w:val="28"/>
          <w:szCs w:val="28"/>
        </w:rPr>
        <w:t>COOPERACIÓN DESTINADA A PROMOVER LA</w:t>
      </w:r>
    </w:p>
    <w:p w14:paraId="1712806F" w14:textId="7023096C" w:rsidR="00E86B4E" w:rsidRPr="002502A2" w:rsidRDefault="00C840B7" w:rsidP="001D46C1">
      <w:pPr>
        <w:suppressAutoHyphens/>
        <w:jc w:val="center"/>
        <w:rPr>
          <w:rFonts w:asciiTheme="minorHAnsi" w:hAnsiTheme="minorHAnsi" w:cstheme="minorHAnsi"/>
          <w:b/>
          <w:smallCaps/>
          <w:sz w:val="28"/>
          <w:szCs w:val="28"/>
        </w:rPr>
      </w:pPr>
      <w:r w:rsidRPr="002502A2">
        <w:rPr>
          <w:rFonts w:asciiTheme="minorHAnsi" w:hAnsiTheme="minorHAnsi" w:cstheme="minorHAnsi"/>
          <w:b/>
          <w:smallCaps/>
          <w:sz w:val="28"/>
          <w:szCs w:val="28"/>
        </w:rPr>
        <w:t>AGENDA 2030 PARA EL DESARROLLO SOSTENIBLE</w:t>
      </w:r>
    </w:p>
    <w:p w14:paraId="3BD5E769" w14:textId="77777777" w:rsidR="00E86B4E" w:rsidRPr="002502A2" w:rsidRDefault="00E86B4E" w:rsidP="001D46C1">
      <w:pPr>
        <w:suppressAutoHyphens/>
        <w:jc w:val="center"/>
        <w:rPr>
          <w:rFonts w:asciiTheme="minorHAnsi" w:hAnsiTheme="minorHAnsi" w:cstheme="minorHAnsi"/>
          <w:b/>
          <w:sz w:val="28"/>
          <w:szCs w:val="28"/>
        </w:rPr>
      </w:pPr>
    </w:p>
    <w:p w14:paraId="181B6CC1" w14:textId="77777777" w:rsidR="00E86B4E" w:rsidRPr="002502A2" w:rsidRDefault="00E86B4E" w:rsidP="001D46C1">
      <w:pPr>
        <w:suppressAutoHyphens/>
        <w:jc w:val="center"/>
        <w:rPr>
          <w:rFonts w:asciiTheme="minorHAnsi" w:hAnsiTheme="minorHAnsi" w:cstheme="minorHAnsi"/>
          <w:b/>
          <w:sz w:val="28"/>
          <w:szCs w:val="28"/>
        </w:rPr>
      </w:pPr>
    </w:p>
    <w:p w14:paraId="1F8DBAC0" w14:textId="648EC96B" w:rsidR="00E86B4E" w:rsidRPr="00180180" w:rsidRDefault="00E86B4E" w:rsidP="001D46C1">
      <w:pPr>
        <w:suppressAutoHyphens/>
        <w:jc w:val="center"/>
        <w:rPr>
          <w:rFonts w:asciiTheme="minorHAnsi" w:hAnsiTheme="minorHAnsi" w:cstheme="minorHAnsi"/>
          <w:b/>
          <w:sz w:val="28"/>
          <w:szCs w:val="28"/>
        </w:rPr>
      </w:pPr>
      <w:r w:rsidRPr="002502A2">
        <w:rPr>
          <w:rFonts w:asciiTheme="minorHAnsi" w:hAnsiTheme="minorHAnsi" w:cstheme="minorHAnsi"/>
          <w:b/>
          <w:smallCaps/>
          <w:sz w:val="28"/>
          <w:szCs w:val="28"/>
        </w:rPr>
        <w:t xml:space="preserve">12 </w:t>
      </w:r>
      <w:r w:rsidR="00C840B7" w:rsidRPr="002502A2">
        <w:rPr>
          <w:rFonts w:asciiTheme="minorHAnsi" w:hAnsiTheme="minorHAnsi" w:cstheme="minorHAnsi"/>
          <w:b/>
          <w:smallCaps/>
          <w:sz w:val="28"/>
          <w:szCs w:val="28"/>
        </w:rPr>
        <w:t>DE ABRIL DE</w:t>
      </w:r>
      <w:r w:rsidRPr="002502A2">
        <w:rPr>
          <w:rFonts w:asciiTheme="minorHAnsi" w:hAnsiTheme="minorHAnsi" w:cstheme="minorHAnsi"/>
          <w:b/>
          <w:smallCaps/>
          <w:sz w:val="28"/>
          <w:szCs w:val="28"/>
        </w:rPr>
        <w:t xml:space="preserve"> 2019</w:t>
      </w:r>
    </w:p>
    <w:p w14:paraId="53EE511D" w14:textId="000BA558" w:rsidR="00E86B4E" w:rsidRPr="00BB0F3F" w:rsidRDefault="00E86B4E" w:rsidP="00BB0F3F">
      <w:r w:rsidRPr="00180180">
        <w:rPr>
          <w:rFonts w:asciiTheme="majorBidi" w:hAnsiTheme="majorBidi" w:cstheme="majorBidi"/>
          <w:b/>
          <w:color w:val="414141"/>
          <w:w w:val="105"/>
        </w:rPr>
        <w:br w:type="page"/>
      </w:r>
      <w:r w:rsidR="00EB3FD3" w:rsidRPr="002502A2">
        <w:rPr>
          <w:b/>
          <w:bCs/>
        </w:rPr>
        <w:lastRenderedPageBreak/>
        <w:t>La presente</w:t>
      </w:r>
      <w:r w:rsidR="00EB3FD3" w:rsidRPr="00BB0F3F">
        <w:rPr>
          <w:b/>
          <w:bCs/>
        </w:rPr>
        <w:t xml:space="preserve"> Declaración conjunta</w:t>
      </w:r>
      <w:r w:rsidR="00EB3FD3" w:rsidRPr="00BB0F3F">
        <w:t xml:space="preserve"> </w:t>
      </w:r>
      <w:r w:rsidR="00274FCD" w:rsidRPr="00BB0F3F">
        <w:t>("Declaración") la realizan en</w:t>
      </w:r>
      <w:r w:rsidR="00EB3FD3" w:rsidRPr="00BB0F3F">
        <w:t xml:space="preserve"> la fecha </w:t>
      </w:r>
      <w:r w:rsidR="00274FCD" w:rsidRPr="00BB0F3F">
        <w:t>anteriormente</w:t>
      </w:r>
      <w:r w:rsidR="00EB3FD3" w:rsidRPr="00BB0F3F">
        <w:t xml:space="preserve"> </w:t>
      </w:r>
      <w:r w:rsidR="00274FCD" w:rsidRPr="00BB0F3F">
        <w:t>señalada (</w:t>
      </w:r>
      <w:r w:rsidR="00EB3FD3" w:rsidRPr="00BB0F3F">
        <w:t xml:space="preserve">"fecha </w:t>
      </w:r>
      <w:r w:rsidR="00274FCD" w:rsidRPr="00BB0F3F">
        <w:t>de entrada en vigor</w:t>
      </w:r>
      <w:r w:rsidR="00EB3FD3" w:rsidRPr="00BB0F3F">
        <w:t>") el Banco Internacional de Reconstrucción y Fomento y la Asociación Internacional de Fomento (</w:t>
      </w:r>
      <w:r w:rsidR="00274FCD" w:rsidRPr="00BB0F3F">
        <w:t xml:space="preserve">conjuntamente </w:t>
      </w:r>
      <w:r w:rsidR="00EB3FD3" w:rsidRPr="00BB0F3F">
        <w:t xml:space="preserve">el "Banco Mundial" o "BM") y la Unión Internacional de Telecomunicaciones ("UIT") (el Banco Mundial y la UIT también pueden denominarse </w:t>
      </w:r>
      <w:r w:rsidR="00274FCD" w:rsidRPr="00BB0F3F">
        <w:t>conjuntamente</w:t>
      </w:r>
      <w:r w:rsidR="00EB3FD3" w:rsidRPr="00BB0F3F">
        <w:t xml:space="preserve"> como "Signatarios", y cada uno de ellos</w:t>
      </w:r>
      <w:r w:rsidR="00274FCD" w:rsidRPr="00BB0F3F">
        <w:t>,</w:t>
      </w:r>
      <w:r w:rsidR="00EB3FD3" w:rsidRPr="00BB0F3F">
        <w:t xml:space="preserve"> "Signatario"), </w:t>
      </w:r>
      <w:r w:rsidR="00274FCD" w:rsidRPr="00BB0F3F">
        <w:t>en relación con</w:t>
      </w:r>
      <w:r w:rsidR="00EB3FD3" w:rsidRPr="00BB0F3F">
        <w:t xml:space="preserve"> </w:t>
      </w:r>
      <w:r w:rsidR="00274FCD" w:rsidRPr="00BB0F3F">
        <w:t>los</w:t>
      </w:r>
      <w:r w:rsidR="00EB3FD3" w:rsidRPr="00BB0F3F">
        <w:t xml:space="preserve"> objetivos </w:t>
      </w:r>
      <w:r w:rsidR="00274FCD" w:rsidRPr="00BB0F3F">
        <w:t>comunes</w:t>
      </w:r>
      <w:r w:rsidR="00EB3FD3" w:rsidRPr="00BB0F3F">
        <w:t xml:space="preserve"> de los Signatarios </w:t>
      </w:r>
      <w:r w:rsidR="00274FCD" w:rsidRPr="00BB0F3F">
        <w:t xml:space="preserve">destinados a promover la Agenda 2030 para el </w:t>
      </w:r>
      <w:r w:rsidR="00EB3FD3" w:rsidRPr="00BB0F3F">
        <w:t>Desarrollo Sostenible</w:t>
      </w:r>
      <w:r w:rsidRPr="00BB0F3F">
        <w:t>.</w:t>
      </w:r>
    </w:p>
    <w:p w14:paraId="48208FF9" w14:textId="75BE1196" w:rsidR="00E86B4E" w:rsidRPr="00180180" w:rsidRDefault="00274FCD" w:rsidP="001D46C1">
      <w:r w:rsidRPr="00180180">
        <w:t>CONSIDERANDO</w:t>
      </w:r>
      <w:r w:rsidR="00E86B4E" w:rsidRPr="00180180">
        <w:t xml:space="preserve"> </w:t>
      </w:r>
      <w:r w:rsidRPr="00180180">
        <w:t>la adopción de la Agenda 2030 para el Desarrollo Sostenible, incluidos los Objetivos de Desarrollo So</w:t>
      </w:r>
      <w:r w:rsidR="00445125">
        <w:t>stenible (ODS</w:t>
      </w:r>
      <w:r w:rsidR="005D23D5">
        <w:t>), las metas y los</w:t>
      </w:r>
      <w:r w:rsidRPr="00180180">
        <w:t xml:space="preserve"> medios de aplicación conexos</w:t>
      </w:r>
      <w:r w:rsidR="00E86B4E" w:rsidRPr="00180180">
        <w:t>;</w:t>
      </w:r>
    </w:p>
    <w:p w14:paraId="4B5D3685" w14:textId="56D874CB" w:rsidR="00E86B4E" w:rsidRPr="00180180" w:rsidRDefault="00274FCD" w:rsidP="001D46C1">
      <w:r w:rsidRPr="00180180">
        <w:t>TENIENDO EN CUENTA que</w:t>
      </w:r>
      <w:r w:rsidR="00E86B4E" w:rsidRPr="00180180">
        <w:t xml:space="preserve"> </w:t>
      </w:r>
      <w:r w:rsidRPr="00180180">
        <w:t xml:space="preserve">el Banco Mundial es una institución de desarrollo </w:t>
      </w:r>
      <w:r w:rsidR="00324A59" w:rsidRPr="00180180">
        <w:t xml:space="preserve">internacional </w:t>
      </w:r>
      <w:r w:rsidRPr="00180180">
        <w:t>cuya misión es poner fin a la pobreza extrema y promover la prosperidad c</w:t>
      </w:r>
      <w:r w:rsidR="00324A59" w:rsidRPr="00180180">
        <w:t>ompartida de manera sostenible; que los</w:t>
      </w:r>
      <w:r w:rsidRPr="00180180">
        <w:t xml:space="preserve"> miembros del Banco Mundial </w:t>
      </w:r>
      <w:r w:rsidR="00324A59" w:rsidRPr="00180180">
        <w:t>abarcan</w:t>
      </w:r>
      <w:r w:rsidRPr="00180180">
        <w:t xml:space="preserve"> más de 180 países</w:t>
      </w:r>
      <w:r w:rsidR="00324A59" w:rsidRPr="00180180">
        <w:t>; y que logra es</w:t>
      </w:r>
      <w:r w:rsidRPr="00180180">
        <w:t>os objetivos proporcionando financiación, asistencia técnica y servicios de intercambio de conocimientos a sus países miembros en desarrollo y mediante asociaciones con otras organizaciones</w:t>
      </w:r>
      <w:r w:rsidR="00E86B4E" w:rsidRPr="00180180">
        <w:t>;</w:t>
      </w:r>
    </w:p>
    <w:p w14:paraId="1DD7FA41" w14:textId="0178C1BF" w:rsidR="00E86B4E" w:rsidRPr="00180180" w:rsidRDefault="00324A59" w:rsidP="001D46C1">
      <w:r w:rsidRPr="00180180">
        <w:t>TENIENDO EN CUENTA</w:t>
      </w:r>
      <w:r w:rsidR="00E86B4E" w:rsidRPr="00180180">
        <w:t xml:space="preserve"> </w:t>
      </w:r>
      <w:r w:rsidRPr="00180180">
        <w:t>que la UIT es el organismo especializado de las Naciones Unidas para las telecomunicaciones y las tecnologías de la información y la comunicación (TIC), comprometido a conectar a toda la población mundial, mediar en la concertación de acuerdos sobre tecnologías, servicios y asignación de recursos mundiales para establecer un sistema mundial de comunicaciones ininterrumpido que sea eficaz, fiable y adecuado para los fines previstos</w:t>
      </w:r>
      <w:r w:rsidR="00E86B4E" w:rsidRPr="00180180">
        <w:t>;</w:t>
      </w:r>
    </w:p>
    <w:p w14:paraId="2FDA92C0" w14:textId="3FCE92E0" w:rsidR="00E86B4E" w:rsidRPr="00180180" w:rsidRDefault="00324A59" w:rsidP="001D46C1">
      <w:r w:rsidRPr="00180180">
        <w:t>RECONOCIENDO</w:t>
      </w:r>
      <w:r w:rsidR="00E86B4E" w:rsidRPr="00180180">
        <w:t xml:space="preserve"> </w:t>
      </w:r>
      <w:r w:rsidRPr="00180180">
        <w:t>la importancia de las telecomunicaciones/TIC, en particular el acceso de banda ancha, como motor de</w:t>
      </w:r>
      <w:r w:rsidR="00A51240" w:rsidRPr="00180180">
        <w:t xml:space="preserve"> desarrollo</w:t>
      </w:r>
      <w:r w:rsidRPr="00180180">
        <w:t xml:space="preserve"> social y económico y su </w:t>
      </w:r>
      <w:r w:rsidR="00A51240" w:rsidRPr="00180180">
        <w:t>incidencia</w:t>
      </w:r>
      <w:r w:rsidRPr="00180180">
        <w:t xml:space="preserve"> en el desarrollo sostenible, así como </w:t>
      </w:r>
      <w:r w:rsidR="00A51240" w:rsidRPr="00180180">
        <w:t>la función</w:t>
      </w:r>
      <w:r w:rsidRPr="00180180">
        <w:t xml:space="preserve"> fundamental de las TIC para </w:t>
      </w:r>
      <w:r w:rsidR="00A51240" w:rsidRPr="00180180">
        <w:t>promover y alcanzar</w:t>
      </w:r>
      <w:r w:rsidRPr="00180180">
        <w:t xml:space="preserve"> los Objetivos de Desarrollo Sostenible (</w:t>
      </w:r>
      <w:r w:rsidR="00A51240" w:rsidRPr="00180180">
        <w:t>ODS</w:t>
      </w:r>
      <w:r w:rsidRPr="00180180">
        <w:t>) y la plena par</w:t>
      </w:r>
      <w:r w:rsidR="00A51240" w:rsidRPr="00180180">
        <w:t>ticipación de los países en la economía digital</w:t>
      </w:r>
      <w:r w:rsidR="00E86B4E" w:rsidRPr="00180180">
        <w:t>;</w:t>
      </w:r>
    </w:p>
    <w:p w14:paraId="05E99B88" w14:textId="1F07EF3F" w:rsidR="00E86B4E" w:rsidRPr="00180180" w:rsidRDefault="00A51240" w:rsidP="001D46C1">
      <w:r w:rsidRPr="00180180">
        <w:t>RECONOCIENDO el imperativo de que nadie se quede atrás, en consonancia con lo establecido en la Agenda 2030 para el Desarrollo Sostenible, en particular en relación con las cuestiones asociadas a la brecha digital;</w:t>
      </w:r>
    </w:p>
    <w:p w14:paraId="20D39D77" w14:textId="734A23BF" w:rsidR="00E86B4E" w:rsidRPr="00180180" w:rsidRDefault="00A51240" w:rsidP="001D46C1">
      <w:r w:rsidRPr="00180180">
        <w:t>RECONOCIENDO además</w:t>
      </w:r>
      <w:r w:rsidR="00E86B4E" w:rsidRPr="00180180">
        <w:t xml:space="preserve"> </w:t>
      </w:r>
      <w:r w:rsidR="001512DA" w:rsidRPr="00180180">
        <w:t xml:space="preserve">la importancia de promover y revisar </w:t>
      </w:r>
      <w:r w:rsidR="006F28C5">
        <w:t>conjuntamente los logros de los </w:t>
      </w:r>
      <w:r w:rsidR="001512DA" w:rsidRPr="00180180">
        <w:t xml:space="preserve">ODS, en particular en materia de desarrollo de infraestructuras inclusivas, sostenibles y resistentes, incluidas </w:t>
      </w:r>
      <w:r w:rsidR="008D318F" w:rsidRPr="00180180">
        <w:t xml:space="preserve">las correspondientes </w:t>
      </w:r>
      <w:r w:rsidR="001512DA" w:rsidRPr="00180180">
        <w:t xml:space="preserve">actividades </w:t>
      </w:r>
      <w:r w:rsidR="008D318F" w:rsidRPr="00180180">
        <w:t>de</w:t>
      </w:r>
      <w:r w:rsidR="001512DA" w:rsidRPr="00180180">
        <w:t xml:space="preserve"> innovación y asociación</w:t>
      </w:r>
      <w:r w:rsidR="00E86B4E" w:rsidRPr="00180180">
        <w:t>;</w:t>
      </w:r>
    </w:p>
    <w:p w14:paraId="22FA0D5B" w14:textId="0C402636" w:rsidR="00E86B4E" w:rsidRPr="00180180" w:rsidRDefault="00A51240" w:rsidP="001D46C1">
      <w:r w:rsidRPr="00180180">
        <w:t xml:space="preserve">RECONOCIENDO </w:t>
      </w:r>
      <w:r w:rsidR="006A08BB" w:rsidRPr="00180180">
        <w:t>las esferas de cooperación y colaboración actuales y anteriores entre el Banco Mundial y la UIT, según figura en el Anexo 1</w:t>
      </w:r>
      <w:r w:rsidR="00E86B4E" w:rsidRPr="00180180">
        <w:t>;</w:t>
      </w:r>
    </w:p>
    <w:p w14:paraId="6DDF2EB4" w14:textId="507523F7" w:rsidR="00E86B4E" w:rsidRPr="00180180" w:rsidRDefault="006A08BB" w:rsidP="001D46C1">
      <w:r w:rsidRPr="00180180">
        <w:lastRenderedPageBreak/>
        <w:t>EN CONSECUENCIA el Banco Mundial y la UIT declaran, a través de sus respectivos signatarios, mencionados a continuación</w:t>
      </w:r>
      <w:r w:rsidR="00E86B4E" w:rsidRPr="00180180">
        <w:t>:</w:t>
      </w:r>
    </w:p>
    <w:p w14:paraId="3F12F71B" w14:textId="55743694" w:rsidR="00E86B4E" w:rsidRPr="00180180" w:rsidRDefault="00BB33A7" w:rsidP="001D46C1">
      <w:r w:rsidRPr="00180180">
        <w:t>1</w:t>
      </w:r>
      <w:r w:rsidRPr="00180180">
        <w:tab/>
      </w:r>
      <w:r w:rsidR="006A08BB" w:rsidRPr="00180180">
        <w:t>su intención de fortalecer la cooperación entre el Banco Mundial y la UIT, y de colaborar, en el marco de sus mandatos, normas y procedimientos respectivos,</w:t>
      </w:r>
      <w:r w:rsidR="00BB0F3F">
        <w:t xml:space="preserve"> para alcanzar las metas de los </w:t>
      </w:r>
      <w:r w:rsidR="006A08BB" w:rsidRPr="00180180">
        <w:t>ODS siguientes, en particular</w:t>
      </w:r>
      <w:r w:rsidR="00E86B4E" w:rsidRPr="00180180">
        <w:t>:</w:t>
      </w:r>
    </w:p>
    <w:p w14:paraId="7061CB9D" w14:textId="707AB1C5" w:rsidR="00E86B4E" w:rsidRPr="00180180" w:rsidRDefault="003F5E4E" w:rsidP="000E56FB">
      <w:pPr>
        <w:pStyle w:val="Headingb"/>
        <w:rPr>
          <w:rFonts w:eastAsia="仿宋"/>
        </w:rPr>
      </w:pPr>
      <w:r w:rsidRPr="00180180">
        <w:t>Objetivo 1. Poner fin a la pobreza en todas sus formas y en todo el mundo</w:t>
      </w:r>
    </w:p>
    <w:p w14:paraId="72CD4077" w14:textId="5C3141A7" w:rsidR="00E86B4E" w:rsidRPr="00180180" w:rsidRDefault="00E86B4E" w:rsidP="000E56FB">
      <w:pPr>
        <w:pStyle w:val="enumlev1"/>
        <w:keepNext/>
        <w:keepLines/>
        <w:rPr>
          <w:rFonts w:eastAsia="仿宋"/>
        </w:rPr>
      </w:pPr>
      <w:r w:rsidRPr="00180180">
        <w:rPr>
          <w:rFonts w:eastAsia="仿宋"/>
        </w:rPr>
        <w:t>1.a</w:t>
      </w:r>
      <w:r w:rsidR="00BB33A7" w:rsidRPr="00180180">
        <w:rPr>
          <w:rFonts w:eastAsia="仿宋"/>
        </w:rPr>
        <w:tab/>
      </w:r>
      <w:r w:rsidR="003F5E4E" w:rsidRPr="00180180">
        <w:rPr>
          <w:rFonts w:eastAsia="仿宋"/>
        </w:rPr>
        <w:t>Garantizar una movilización significativa de recursos procedentes de diversas fuentes, incluso mediante la mejora de la cooperación para el desarrollo, a fin de proporcionar medios suficientes y previsibles a los países en desarrollo, en particular los países menos adelantados, para que implementen programas y políticas encaminados a poner fin a la pobreza en todas sus dimensiones.</w:t>
      </w:r>
    </w:p>
    <w:p w14:paraId="7336A200" w14:textId="4AF3C8BD" w:rsidR="00E86B4E" w:rsidRPr="00180180" w:rsidRDefault="003F5E4E" w:rsidP="000E56FB">
      <w:pPr>
        <w:pStyle w:val="Headingb"/>
        <w:tabs>
          <w:tab w:val="clear" w:pos="567"/>
        </w:tabs>
        <w:ind w:left="0" w:firstLine="0"/>
      </w:pPr>
      <w:r w:rsidRPr="00180180">
        <w:t>Objetivo 4. Garantizar una educación inclusiva y equitativa de calidad y promover oportunidades de aprendizaje permanente para todos</w:t>
      </w:r>
    </w:p>
    <w:p w14:paraId="048186A6" w14:textId="7DDC1EB7" w:rsidR="00304246" w:rsidRPr="00BB0F3F" w:rsidRDefault="00304246" w:rsidP="000E56FB">
      <w:pPr>
        <w:pStyle w:val="enumlev1"/>
        <w:keepNext/>
        <w:keepLines/>
        <w:rPr>
          <w:rFonts w:eastAsia="仿宋"/>
        </w:rPr>
      </w:pPr>
      <w:r w:rsidRPr="00BB0F3F">
        <w:rPr>
          <w:rFonts w:eastAsia="仿宋"/>
        </w:rPr>
        <w:t>4.3</w:t>
      </w:r>
      <w:r w:rsidRPr="00BB0F3F">
        <w:rPr>
          <w:rFonts w:eastAsia="仿宋"/>
        </w:rPr>
        <w:tab/>
      </w:r>
      <w:r w:rsidR="003F5E4E" w:rsidRPr="00BB0F3F">
        <w:rPr>
          <w:rFonts w:eastAsia="仿宋"/>
        </w:rPr>
        <w:t>Asegurar el acceso igualitario de todos los hombres y las mujeres a una formación técnica, profesional y superior de calidad</w:t>
      </w:r>
      <w:r w:rsidR="00924E77" w:rsidRPr="00BB0F3F">
        <w:rPr>
          <w:rFonts w:eastAsia="仿宋"/>
        </w:rPr>
        <w:t xml:space="preserve"> asequible</w:t>
      </w:r>
      <w:r w:rsidR="003F5E4E" w:rsidRPr="00BB0F3F">
        <w:rPr>
          <w:rFonts w:eastAsia="仿宋"/>
        </w:rPr>
        <w:t>, incluida la enseñanza universitaria;</w:t>
      </w:r>
    </w:p>
    <w:p w14:paraId="7C71F00E" w14:textId="129643FB" w:rsidR="00304246" w:rsidRPr="00BB0F3F" w:rsidRDefault="00304246" w:rsidP="00BB0F3F">
      <w:pPr>
        <w:pStyle w:val="enumlev1"/>
        <w:rPr>
          <w:rFonts w:eastAsia="仿宋"/>
        </w:rPr>
      </w:pPr>
      <w:r w:rsidRPr="00BB0F3F">
        <w:rPr>
          <w:rFonts w:eastAsia="仿宋"/>
        </w:rPr>
        <w:t>4.4</w:t>
      </w:r>
      <w:r w:rsidRPr="00BB0F3F">
        <w:rPr>
          <w:rFonts w:eastAsia="仿宋"/>
        </w:rPr>
        <w:tab/>
      </w:r>
      <w:r w:rsidR="003F5E4E" w:rsidRPr="00BB0F3F">
        <w:rPr>
          <w:rFonts w:eastAsia="仿宋"/>
        </w:rPr>
        <w:t xml:space="preserve">Aumentar considerablemente el número de jóvenes y adultos que tienen las competencias necesarias, en particular técnicas y profesionales, para acceder al empleo, </w:t>
      </w:r>
      <w:r w:rsidR="00924E77" w:rsidRPr="00BB0F3F">
        <w:rPr>
          <w:rFonts w:eastAsia="仿宋"/>
        </w:rPr>
        <w:t>a</w:t>
      </w:r>
      <w:r w:rsidR="003F5E4E" w:rsidRPr="00BB0F3F">
        <w:rPr>
          <w:rFonts w:eastAsia="仿宋"/>
        </w:rPr>
        <w:t xml:space="preserve">l trabajo decente y </w:t>
      </w:r>
      <w:r w:rsidR="00924E77" w:rsidRPr="00BB0F3F">
        <w:rPr>
          <w:rFonts w:eastAsia="仿宋"/>
        </w:rPr>
        <w:t>a</w:t>
      </w:r>
      <w:r w:rsidR="003F5E4E" w:rsidRPr="00BB0F3F">
        <w:rPr>
          <w:rFonts w:eastAsia="仿宋"/>
        </w:rPr>
        <w:t>l emprendimiento</w:t>
      </w:r>
      <w:r w:rsidR="00E86B4E" w:rsidRPr="00BB0F3F">
        <w:rPr>
          <w:rFonts w:eastAsia="仿宋"/>
        </w:rPr>
        <w:t>;</w:t>
      </w:r>
    </w:p>
    <w:p w14:paraId="11F1D6D5" w14:textId="2C9C7067" w:rsidR="00E86B4E" w:rsidRPr="00180180" w:rsidRDefault="00304246" w:rsidP="00BB0F3F">
      <w:pPr>
        <w:pStyle w:val="enumlev1"/>
        <w:rPr>
          <w:rFonts w:eastAsia="仿宋"/>
        </w:rPr>
      </w:pPr>
      <w:r w:rsidRPr="00BB0F3F">
        <w:rPr>
          <w:rFonts w:eastAsia="仿宋"/>
        </w:rPr>
        <w:t>4.5</w:t>
      </w:r>
      <w:r w:rsidRPr="00BB0F3F">
        <w:rPr>
          <w:rFonts w:eastAsia="仿宋"/>
        </w:rPr>
        <w:tab/>
      </w:r>
      <w:r w:rsidR="003F5E4E" w:rsidRPr="00BB0F3F">
        <w:rPr>
          <w:rFonts w:eastAsia="仿宋"/>
        </w:rPr>
        <w:t>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r w:rsidR="003877D9">
        <w:rPr>
          <w:rFonts w:eastAsia="仿宋"/>
        </w:rPr>
        <w:t>.</w:t>
      </w:r>
    </w:p>
    <w:p w14:paraId="6942665C" w14:textId="26E82416" w:rsidR="00E86B4E" w:rsidRPr="00180180" w:rsidRDefault="00F17182" w:rsidP="001D46C1">
      <w:pPr>
        <w:pStyle w:val="Headingb"/>
        <w:rPr>
          <w:rFonts w:eastAsiaTheme="minorEastAsia"/>
          <w:lang w:eastAsia="zh-CN"/>
        </w:rPr>
      </w:pPr>
      <w:r w:rsidRPr="00180180">
        <w:t>Objetivo 5. Lograr la igualdad de género y empoderar a todas las mujeres y las niñas</w:t>
      </w:r>
    </w:p>
    <w:p w14:paraId="335DD946" w14:textId="224694E6" w:rsidR="00E86B4E" w:rsidRPr="00180180" w:rsidRDefault="00AD12D5" w:rsidP="001D46C1">
      <w:pPr>
        <w:pStyle w:val="enumlev1"/>
        <w:rPr>
          <w:rFonts w:eastAsiaTheme="minorEastAsia"/>
          <w:lang w:eastAsia="zh-CN"/>
        </w:rPr>
      </w:pPr>
      <w:r w:rsidRPr="00180180">
        <w:t>5.b</w:t>
      </w:r>
      <w:r w:rsidRPr="00180180">
        <w:tab/>
      </w:r>
      <w:r w:rsidR="00B100CB" w:rsidRPr="00180180">
        <w:t xml:space="preserve">Mejorar el uso de la tecnología instrumental, en particular la tecnología de la información y la </w:t>
      </w:r>
      <w:r w:rsidR="00924E77" w:rsidRPr="00180180">
        <w:t>comunicación</w:t>
      </w:r>
      <w:r w:rsidR="00B100CB" w:rsidRPr="00180180">
        <w:t>, para promover el empoderamiento de las mujeres.</w:t>
      </w:r>
    </w:p>
    <w:p w14:paraId="6D211317" w14:textId="4A4FD322" w:rsidR="00E86B4E" w:rsidRPr="00180180" w:rsidRDefault="00B100CB" w:rsidP="001D46C1">
      <w:pPr>
        <w:pStyle w:val="Headingb"/>
        <w:tabs>
          <w:tab w:val="clear" w:pos="567"/>
          <w:tab w:val="clear" w:pos="1134"/>
          <w:tab w:val="left" w:pos="0"/>
        </w:tabs>
        <w:ind w:left="0" w:firstLine="0"/>
        <w:rPr>
          <w:rFonts w:eastAsia="仿宋"/>
        </w:rPr>
      </w:pPr>
      <w:r w:rsidRPr="00180180">
        <w:t>Objetivo 8. Promover el crecimiento económico sostenido, inclusivo y sostenible, el empleo pleno y productivo y el trabajo decente para todos</w:t>
      </w:r>
    </w:p>
    <w:p w14:paraId="28E65630" w14:textId="3A71277E" w:rsidR="00E86B4E" w:rsidRPr="00180180" w:rsidRDefault="00DF53CD" w:rsidP="001D46C1">
      <w:pPr>
        <w:pStyle w:val="enumlev1"/>
        <w:rPr>
          <w:rFonts w:eastAsia="仿宋"/>
        </w:rPr>
      </w:pPr>
      <w:r w:rsidRPr="00180180">
        <w:rPr>
          <w:shd w:val="clear" w:color="auto" w:fill="FFFFFF"/>
        </w:rPr>
        <w:t>8.3</w:t>
      </w:r>
      <w:r w:rsidRPr="00180180">
        <w:rPr>
          <w:shd w:val="clear" w:color="auto" w:fill="FFFFFF"/>
        </w:rPr>
        <w:tab/>
      </w:r>
      <w:r w:rsidR="00B100CB" w:rsidRPr="00180180">
        <w:rPr>
          <w:shd w:val="clear" w:color="auto" w:fill="FFFFFF"/>
        </w:rPr>
        <w:t>Promover políticas orientadas al desarrollo que apoyen las actividades productivas, la creación de puestos de trabajo decentes, el emprendimiento, la creatividad y la innovación, y fomenten la formalización y el crecimiento de las microempresas y las pequeñas y medianas empresas, incluso mediante el acceso a servicios financieros;</w:t>
      </w:r>
    </w:p>
    <w:p w14:paraId="537B5B88" w14:textId="4AED2DC7" w:rsidR="007759CC" w:rsidRPr="00180180" w:rsidRDefault="00DF53CD" w:rsidP="001D46C1">
      <w:pPr>
        <w:pStyle w:val="enumlev1"/>
      </w:pPr>
      <w:r w:rsidRPr="00180180">
        <w:lastRenderedPageBreak/>
        <w:t>8.5</w:t>
      </w:r>
      <w:r w:rsidRPr="00180180">
        <w:tab/>
      </w:r>
      <w:r w:rsidR="00B100CB" w:rsidRPr="00180180">
        <w:t>Lograr el empleo pleno y productivo y el trabajo decente para todas las mujeres y los hombres, incluidos los jóvenes y las personas con discapacidad, así como la igualdad de remuneración por trabajo de igual valor</w:t>
      </w:r>
      <w:r w:rsidR="00E86B4E" w:rsidRPr="00180180">
        <w:t>;</w:t>
      </w:r>
    </w:p>
    <w:p w14:paraId="3D2593D0" w14:textId="28118218" w:rsidR="00E86B4E" w:rsidRPr="00180180" w:rsidRDefault="007759CC" w:rsidP="001D46C1">
      <w:pPr>
        <w:pStyle w:val="enumlev1"/>
      </w:pPr>
      <w:r w:rsidRPr="00180180">
        <w:t>8.6</w:t>
      </w:r>
      <w:r w:rsidRPr="00180180">
        <w:tab/>
      </w:r>
      <w:r w:rsidR="00B100CB" w:rsidRPr="00180180">
        <w:t>Reducir considerablemente la proporción de jóvenes que no están empleados y no cursan estudios ni reciben capacitación</w:t>
      </w:r>
      <w:r w:rsidRPr="00180180">
        <w:t>.</w:t>
      </w:r>
    </w:p>
    <w:p w14:paraId="65A46E0C" w14:textId="42F0804F" w:rsidR="00E86B4E" w:rsidRPr="00180180" w:rsidRDefault="00E53910" w:rsidP="001D46C1">
      <w:pPr>
        <w:pStyle w:val="Headingb"/>
        <w:tabs>
          <w:tab w:val="clear" w:pos="567"/>
          <w:tab w:val="left" w:pos="142"/>
        </w:tabs>
        <w:ind w:left="0" w:firstLine="0"/>
        <w:rPr>
          <w:rFonts w:eastAsia="仿宋"/>
        </w:rPr>
      </w:pPr>
      <w:r w:rsidRPr="00180180">
        <w:rPr>
          <w:rFonts w:eastAsia="仿宋"/>
        </w:rPr>
        <w:t>Objetivo 9. Construir infraestructuras resilientes, promover la industrialización inclusiva y sostenible y fomentar la innovación</w:t>
      </w:r>
    </w:p>
    <w:p w14:paraId="701EBA3E" w14:textId="5E9D873A" w:rsidR="00E86B4E" w:rsidRPr="00180180" w:rsidRDefault="00E86B4E" w:rsidP="001D46C1">
      <w:pPr>
        <w:pStyle w:val="enumlev1"/>
        <w:rPr>
          <w:rFonts w:eastAsia="仿宋"/>
        </w:rPr>
      </w:pPr>
      <w:r w:rsidRPr="00180180">
        <w:t>9.c</w:t>
      </w:r>
      <w:r w:rsidR="00DF53CD" w:rsidRPr="00180180">
        <w:tab/>
      </w:r>
      <w:r w:rsidR="00E53910" w:rsidRPr="00180180">
        <w:t>Aumentar significativamente el acceso a la tecnología de la información y las comunicaciones y esforzarse por proporcionar acceso universal y asequible a Internet en los países menos adelantados de aquí a 2020</w:t>
      </w:r>
      <w:r w:rsidRPr="00180180">
        <w:t>;</w:t>
      </w:r>
    </w:p>
    <w:p w14:paraId="65DBCE56" w14:textId="78B9F8CF" w:rsidR="00E86B4E" w:rsidRPr="00180180" w:rsidRDefault="00DF53CD" w:rsidP="001D46C1">
      <w:pPr>
        <w:pStyle w:val="enumlev1"/>
        <w:rPr>
          <w:rFonts w:eastAsia="仿宋"/>
        </w:rPr>
      </w:pPr>
      <w:r w:rsidRPr="00180180">
        <w:rPr>
          <w:rFonts w:eastAsia="仿宋"/>
        </w:rPr>
        <w:t>9.5</w:t>
      </w:r>
      <w:r w:rsidRPr="00180180">
        <w:rPr>
          <w:rFonts w:eastAsia="仿宋"/>
        </w:rPr>
        <w:tab/>
      </w:r>
      <w:r w:rsidR="00B50197" w:rsidRPr="00180180">
        <w:rPr>
          <w:rFonts w:eastAsia="仿宋"/>
        </w:rPr>
        <w:t>Fomentar la investigación científica y mejorar la capacidad tecnológica de los sectores industriales de todos los países, en particular los países en desarrollo, entre otras cosas fomentando la innovación y aumentando considerablemente, de aquí a 2030, el número de personas que trabajan en investigación y desarrollo por millón de habitantes y los gastos de los sectores público y privado en investigación y desarrollo</w:t>
      </w:r>
      <w:r w:rsidR="00E86B4E" w:rsidRPr="00180180">
        <w:rPr>
          <w:rFonts w:eastAsia="仿宋"/>
        </w:rPr>
        <w:t>;</w:t>
      </w:r>
    </w:p>
    <w:p w14:paraId="3C90FBDE" w14:textId="7FCC165D" w:rsidR="00DF53CD" w:rsidRPr="00180180" w:rsidRDefault="00DF53CD" w:rsidP="001D46C1">
      <w:pPr>
        <w:pStyle w:val="enumlev1"/>
        <w:rPr>
          <w:shd w:val="clear" w:color="auto" w:fill="FFFFFF"/>
        </w:rPr>
      </w:pPr>
      <w:r w:rsidRPr="00180180">
        <w:rPr>
          <w:shd w:val="clear" w:color="auto" w:fill="FFFFFF"/>
        </w:rPr>
        <w:t>9.a</w:t>
      </w:r>
      <w:r w:rsidRPr="00180180">
        <w:rPr>
          <w:shd w:val="clear" w:color="auto" w:fill="FFFFFF"/>
        </w:rPr>
        <w:tab/>
      </w:r>
      <w:r w:rsidR="00476A46" w:rsidRPr="00180180">
        <w:rPr>
          <w:shd w:val="clear" w:color="auto" w:fill="FFFFFF"/>
        </w:rPr>
        <w:t>Facilitar el desarrollo de infraestructuras sostenibles y resilientes en los países en desarrollo mediante un mayor apoyo financiero, tecnológico y técnico a los países africanos, los países menos adelantados, los países en desarrollo sin litoral y los pequeños Estados insulares en desarrollo.</w:t>
      </w:r>
    </w:p>
    <w:p w14:paraId="32421E32" w14:textId="1BC5F646" w:rsidR="00E86B4E" w:rsidRPr="00180180" w:rsidRDefault="00A74895" w:rsidP="001D46C1">
      <w:pPr>
        <w:pStyle w:val="Headingb"/>
        <w:tabs>
          <w:tab w:val="clear" w:pos="567"/>
          <w:tab w:val="left" w:pos="0"/>
        </w:tabs>
        <w:ind w:left="0" w:firstLine="0"/>
      </w:pPr>
      <w:r w:rsidRPr="00180180">
        <w:t>Objetivo 16. Promover sociedades pacíficas e inclusivas para el Desarrollo Sostenible, facilitar el acceso a la justicia para todos y construir a todos los niveles instituciones eficaces e inclusivas que rindan cuentas</w:t>
      </w:r>
    </w:p>
    <w:p w14:paraId="2D8D21E8" w14:textId="1354C305" w:rsidR="00E86B4E" w:rsidRPr="00180180" w:rsidRDefault="00DF53CD" w:rsidP="001D46C1">
      <w:pPr>
        <w:pStyle w:val="enumlev1"/>
        <w:rPr>
          <w:rFonts w:eastAsia="仿宋"/>
        </w:rPr>
      </w:pPr>
      <w:r w:rsidRPr="00180180">
        <w:rPr>
          <w:rFonts w:eastAsia="仿宋"/>
        </w:rPr>
        <w:t>16.9</w:t>
      </w:r>
      <w:r w:rsidRPr="00180180">
        <w:rPr>
          <w:rFonts w:eastAsia="仿宋"/>
        </w:rPr>
        <w:tab/>
      </w:r>
      <w:r w:rsidR="00C60A67" w:rsidRPr="00180180">
        <w:rPr>
          <w:rFonts w:eastAsia="仿宋"/>
        </w:rPr>
        <w:t>De aquí a 2030, proporcionar acceso a una identidad jurídica para todos, en particular mediante el registro de nacimientos</w:t>
      </w:r>
      <w:r w:rsidR="003877D9">
        <w:rPr>
          <w:rFonts w:eastAsia="仿宋"/>
        </w:rPr>
        <w:t>.</w:t>
      </w:r>
    </w:p>
    <w:p w14:paraId="1F1ADBAA" w14:textId="4B679C40" w:rsidR="00E86B4E" w:rsidRPr="00180180" w:rsidRDefault="00A74895" w:rsidP="001D46C1">
      <w:pPr>
        <w:pStyle w:val="Headingb"/>
        <w:tabs>
          <w:tab w:val="clear" w:pos="567"/>
          <w:tab w:val="left" w:pos="0"/>
        </w:tabs>
        <w:ind w:left="0" w:firstLine="0"/>
      </w:pPr>
      <w:r w:rsidRPr="00180180">
        <w:t>Objetivo 17. Fortalecer los medios de implementación y revitalizar la Alianza Mundial para el Desarrollo Sostenible</w:t>
      </w:r>
    </w:p>
    <w:p w14:paraId="6469BD95" w14:textId="60410DD3" w:rsidR="00E86B4E" w:rsidRPr="00180180" w:rsidRDefault="00DF53CD" w:rsidP="001D46C1">
      <w:pPr>
        <w:pStyle w:val="enumlev1"/>
        <w:rPr>
          <w:rFonts w:eastAsia="仿宋"/>
        </w:rPr>
      </w:pPr>
      <w:r w:rsidRPr="00180180">
        <w:rPr>
          <w:rFonts w:eastAsia="仿宋"/>
        </w:rPr>
        <w:t>17.6</w:t>
      </w:r>
      <w:r w:rsidRPr="00180180">
        <w:rPr>
          <w:rFonts w:eastAsia="仿宋"/>
        </w:rPr>
        <w:tab/>
      </w:r>
      <w:r w:rsidR="00A74895" w:rsidRPr="00180180">
        <w:rPr>
          <w:rFonts w:eastAsia="仿宋"/>
        </w:rPr>
        <w:t>Mejorar la cooperación regional e internacional Norte-Sur, Sur-Sur y triangular en materia de ciencia, tecnología e innovación y el acceso a estas, y aumentar el intercambio de conocimientos en condiciones mutuamente convenidas, incluso mejorando la coordinación entre los mecanismos existentes, en particular a nivel de las Naciones Unidas, y mediante un mecanismo mundial de facilitación de la tecnología</w:t>
      </w:r>
      <w:r w:rsidR="00E86B4E" w:rsidRPr="00180180">
        <w:rPr>
          <w:rFonts w:eastAsia="仿宋"/>
        </w:rPr>
        <w:t>;</w:t>
      </w:r>
    </w:p>
    <w:p w14:paraId="479AD924" w14:textId="588EBF52" w:rsidR="00E86B4E" w:rsidRPr="00180180" w:rsidRDefault="00DF53CD" w:rsidP="001D46C1">
      <w:pPr>
        <w:pStyle w:val="enumlev1"/>
        <w:rPr>
          <w:rFonts w:eastAsia="仿宋"/>
        </w:rPr>
      </w:pPr>
      <w:r w:rsidRPr="00180180">
        <w:t>17.8</w:t>
      </w:r>
      <w:r w:rsidRPr="00180180">
        <w:tab/>
      </w:r>
      <w:r w:rsidR="00A74895" w:rsidRPr="00180180">
        <w:t xml:space="preserve">Poner en pleno funcionamiento, a más tardar en 2017, el banco de tecnología y el mecanismo de apoyo a la creación de capacidad en materia de </w:t>
      </w:r>
      <w:r w:rsidR="00A74895" w:rsidRPr="00180180">
        <w:lastRenderedPageBreak/>
        <w:t xml:space="preserve">ciencia, tecnología e innovación para los países menos adelantados y aumentar la utilización de tecnologías instrumentales, en particular la tecnología de la información y la </w:t>
      </w:r>
      <w:r w:rsidR="00C60A67" w:rsidRPr="00180180">
        <w:t>comunicación</w:t>
      </w:r>
      <w:r w:rsidR="00A74895" w:rsidRPr="00180180">
        <w:t>.</w:t>
      </w:r>
    </w:p>
    <w:p w14:paraId="62324453" w14:textId="5BA727BA" w:rsidR="00E86B4E" w:rsidRPr="00BB0F3F" w:rsidRDefault="00970979" w:rsidP="00BB0F3F">
      <w:r w:rsidRPr="00BB0F3F">
        <w:t>2</w:t>
      </w:r>
      <w:r w:rsidRPr="00BB0F3F">
        <w:tab/>
      </w:r>
      <w:r w:rsidR="00C60A67" w:rsidRPr="00BB0F3F">
        <w:t>Su intención, con sujeción a los respectivos programas de tr</w:t>
      </w:r>
      <w:r w:rsidR="00BB0F3F">
        <w:t>abajo del Banco Mundial y de la </w:t>
      </w:r>
      <w:r w:rsidR="00C60A67" w:rsidRPr="00BB0F3F">
        <w:t>UIT, y de conformidad con sus mandatos, normas, reglamentos, políticas y procedimientos correspondientes, de cooperar y colaborar en las esferas de interés común mencionadas en el Anexo 1, que se adjuntan e incorporan por referencia al presente documento, en particular</w:t>
      </w:r>
      <w:r w:rsidR="00E86B4E" w:rsidRPr="00BB0F3F">
        <w:t>:</w:t>
      </w:r>
    </w:p>
    <w:p w14:paraId="3D73FCDE" w14:textId="73964A5E" w:rsidR="00E86B4E" w:rsidRPr="00BB0F3F" w:rsidRDefault="001B565A" w:rsidP="00BB0F3F">
      <w:pPr>
        <w:pStyle w:val="enumlev1"/>
      </w:pPr>
      <w:r w:rsidRPr="00BB0F3F">
        <w:t>–</w:t>
      </w:r>
      <w:r w:rsidRPr="00BB0F3F">
        <w:tab/>
      </w:r>
      <w:r w:rsidR="00C60A67" w:rsidRPr="00BB0F3F">
        <w:rPr>
          <w:b/>
          <w:bCs/>
        </w:rPr>
        <w:t>Mejora de la conectividad de banda ancha</w:t>
      </w:r>
      <w:r w:rsidR="00C60A67" w:rsidRPr="00BB0F3F">
        <w:t>. Esta actividad abarca varios flujos de trabajo, entre ellos:</w:t>
      </w:r>
    </w:p>
    <w:p w14:paraId="344BD677" w14:textId="2CBAC6EE" w:rsidR="0005604A" w:rsidRPr="008E77AD" w:rsidRDefault="001B565A" w:rsidP="008E77AD">
      <w:pPr>
        <w:pStyle w:val="enumlev2"/>
      </w:pPr>
      <w:r w:rsidRPr="008E77AD">
        <w:t>•</w:t>
      </w:r>
      <w:r w:rsidRPr="008E77AD">
        <w:tab/>
      </w:r>
      <w:r w:rsidR="00FB47DF" w:rsidRPr="008E77AD">
        <w:t xml:space="preserve">la </w:t>
      </w:r>
      <w:r w:rsidR="0005604A" w:rsidRPr="008E77AD">
        <w:t xml:space="preserve">universalización del acceso a la banda ancha, incluidos mecanismos para </w:t>
      </w:r>
      <w:r w:rsidR="00FB47DF" w:rsidRPr="008E77AD">
        <w:t>aumentar</w:t>
      </w:r>
      <w:r w:rsidR="004C08F6" w:rsidRPr="008E77AD">
        <w:t xml:space="preserve"> todo lo posible</w:t>
      </w:r>
      <w:r w:rsidR="0005604A" w:rsidRPr="008E77AD">
        <w:t xml:space="preserve"> la financiación </w:t>
      </w:r>
      <w:r w:rsidR="00FB47DF" w:rsidRPr="008E77AD">
        <w:t>destinada al</w:t>
      </w:r>
      <w:r w:rsidR="0005604A" w:rsidRPr="008E77AD">
        <w:t xml:space="preserve"> desarrollo y </w:t>
      </w:r>
      <w:r w:rsidR="004C08F6" w:rsidRPr="008E77AD">
        <w:t>promover</w:t>
      </w:r>
      <w:r w:rsidR="0005604A" w:rsidRPr="008E77AD">
        <w:t xml:space="preserve"> el despliegue de infraestructura</w:t>
      </w:r>
      <w:r w:rsidR="004C08F6" w:rsidRPr="008E77AD">
        <w:t>s</w:t>
      </w:r>
      <w:r w:rsidR="0005604A" w:rsidRPr="008E77AD">
        <w:t>.</w:t>
      </w:r>
    </w:p>
    <w:p w14:paraId="5C6F6580" w14:textId="64747BBC" w:rsidR="0005604A" w:rsidRPr="008E77AD" w:rsidRDefault="008E77AD" w:rsidP="008E77AD">
      <w:pPr>
        <w:pStyle w:val="enumlev2"/>
      </w:pPr>
      <w:r w:rsidRPr="008E77AD">
        <w:t>•</w:t>
      </w:r>
      <w:r w:rsidRPr="008E77AD">
        <w:tab/>
      </w:r>
      <w:r w:rsidR="00FB47DF" w:rsidRPr="008E77AD">
        <w:t xml:space="preserve">la </w:t>
      </w:r>
      <w:r w:rsidR="00760B9E" w:rsidRPr="008E77AD">
        <w:t xml:space="preserve">promoción de sistemas de comunicación para </w:t>
      </w:r>
      <w:r w:rsidR="00FB47DF" w:rsidRPr="008E77AD">
        <w:t>personas</w:t>
      </w:r>
      <w:r w:rsidR="00760B9E" w:rsidRPr="008E77AD">
        <w:t xml:space="preserve"> sin conexión por medio de </w:t>
      </w:r>
      <w:r w:rsidR="0005604A" w:rsidRPr="008E77AD">
        <w:t>tecnologías, servicios y aplicaciones digitales personalizadas.</w:t>
      </w:r>
    </w:p>
    <w:p w14:paraId="36C0EE85" w14:textId="221A4276" w:rsidR="00E86B4E" w:rsidRPr="008E77AD" w:rsidRDefault="008E77AD" w:rsidP="008E77AD">
      <w:pPr>
        <w:pStyle w:val="enumlev2"/>
      </w:pPr>
      <w:r w:rsidRPr="008E77AD">
        <w:t>•</w:t>
      </w:r>
      <w:r w:rsidRPr="008E77AD">
        <w:tab/>
      </w:r>
      <w:r w:rsidR="00FB47DF" w:rsidRPr="008E77AD">
        <w:t xml:space="preserve">el </w:t>
      </w:r>
      <w:r w:rsidR="00760B9E" w:rsidRPr="008E77AD">
        <w:t>fomento de la</w:t>
      </w:r>
      <w:r w:rsidR="0005604A" w:rsidRPr="008E77AD">
        <w:t xml:space="preserve"> confianza </w:t>
      </w:r>
      <w:r w:rsidR="00760B9E" w:rsidRPr="008E77AD">
        <w:t>en la utilización de las TIC</w:t>
      </w:r>
      <w:r w:rsidR="00E86B4E" w:rsidRPr="008E77AD">
        <w:t>.</w:t>
      </w:r>
    </w:p>
    <w:p w14:paraId="52EAB58E" w14:textId="2A0CF64B" w:rsidR="00E86B4E" w:rsidRPr="00180180" w:rsidRDefault="001B565A" w:rsidP="001D46C1">
      <w:pPr>
        <w:pStyle w:val="enumlev1"/>
        <w:rPr>
          <w:w w:val="105"/>
        </w:rPr>
      </w:pPr>
      <w:r w:rsidRPr="00180180">
        <w:rPr>
          <w:w w:val="105"/>
        </w:rPr>
        <w:t>–</w:t>
      </w:r>
      <w:r w:rsidRPr="00180180">
        <w:rPr>
          <w:w w:val="105"/>
        </w:rPr>
        <w:tab/>
      </w:r>
      <w:r w:rsidR="00760B9E" w:rsidRPr="00180180">
        <w:rPr>
          <w:b/>
          <w:bCs/>
          <w:w w:val="105"/>
        </w:rPr>
        <w:t>Promoción de un entorno propicio para el desarrollo sostenible</w:t>
      </w:r>
      <w:r w:rsidR="00E86B4E" w:rsidRPr="00180180">
        <w:rPr>
          <w:w w:val="105"/>
        </w:rPr>
        <w:t xml:space="preserve">: </w:t>
      </w:r>
    </w:p>
    <w:p w14:paraId="61D96220" w14:textId="374F0991" w:rsidR="00760B9E" w:rsidRPr="008E77AD" w:rsidRDefault="001B565A" w:rsidP="008E77AD">
      <w:pPr>
        <w:pStyle w:val="enumlev2"/>
      </w:pPr>
      <w:r w:rsidRPr="008E77AD">
        <w:t>•</w:t>
      </w:r>
      <w:r w:rsidRPr="008E77AD">
        <w:tab/>
      </w:r>
      <w:r w:rsidR="00FB47DF" w:rsidRPr="008E77AD">
        <w:t>el e</w:t>
      </w:r>
      <w:r w:rsidR="00760B9E" w:rsidRPr="008E77AD">
        <w:t xml:space="preserve">stablecimiento de referencias </w:t>
      </w:r>
      <w:r w:rsidR="00FB47DF" w:rsidRPr="008E77AD">
        <w:t>sobre</w:t>
      </w:r>
      <w:r w:rsidR="00760B9E" w:rsidRPr="008E77AD">
        <w:t xml:space="preserve"> eficiencia reglamentaria en materia de excelencia y provisión de herramientas </w:t>
      </w:r>
      <w:r w:rsidR="00FB47DF" w:rsidRPr="008E77AD">
        <w:t>de reglamentación</w:t>
      </w:r>
      <w:r w:rsidR="00760B9E" w:rsidRPr="008E77AD">
        <w:t xml:space="preserve"> y desarrollo de capacidades.</w:t>
      </w:r>
    </w:p>
    <w:p w14:paraId="6B965438" w14:textId="0539DDFF" w:rsidR="00760B9E" w:rsidRPr="008E77AD" w:rsidRDefault="008E77AD" w:rsidP="008E77AD">
      <w:pPr>
        <w:pStyle w:val="enumlev2"/>
      </w:pPr>
      <w:r w:rsidRPr="008E77AD">
        <w:t>•</w:t>
      </w:r>
      <w:r w:rsidRPr="008E77AD">
        <w:tab/>
      </w:r>
      <w:r w:rsidR="00FB47DF" w:rsidRPr="008E77AD">
        <w:t>la m</w:t>
      </w:r>
      <w:r w:rsidR="00760B9E" w:rsidRPr="008E77AD">
        <w:t>edición de la Sociedad de la Información mediante sistema</w:t>
      </w:r>
      <w:r w:rsidR="00FB47DF" w:rsidRPr="008E77AD">
        <w:t>s</w:t>
      </w:r>
      <w:r w:rsidR="00760B9E" w:rsidRPr="008E77AD">
        <w:t xml:space="preserve"> de macrodatos e Internet de las </w:t>
      </w:r>
      <w:r w:rsidR="00C163C4">
        <w:t>c</w:t>
      </w:r>
      <w:r w:rsidR="00760B9E" w:rsidRPr="008E77AD">
        <w:t>osas, entre otras nuevas tecnologías.</w:t>
      </w:r>
    </w:p>
    <w:p w14:paraId="14285A34" w14:textId="38455628" w:rsidR="00E86B4E" w:rsidRPr="008E77AD" w:rsidRDefault="008E77AD" w:rsidP="008E77AD">
      <w:pPr>
        <w:pStyle w:val="enumlev2"/>
      </w:pPr>
      <w:r w:rsidRPr="008E77AD">
        <w:t>•</w:t>
      </w:r>
      <w:r w:rsidRPr="008E77AD">
        <w:tab/>
      </w:r>
      <w:r w:rsidR="00FB47DF" w:rsidRPr="008E77AD">
        <w:t>la definición, aplicación y promoción de</w:t>
      </w:r>
      <w:r w:rsidR="00760B9E" w:rsidRPr="008E77AD">
        <w:t xml:space="preserve"> normas y reglamentos técnicos internacionales, </w:t>
      </w:r>
      <w:r w:rsidR="00FB47DF" w:rsidRPr="008E77AD">
        <w:t>en particular en la esfera</w:t>
      </w:r>
      <w:r w:rsidR="00760B9E" w:rsidRPr="008E77AD">
        <w:t xml:space="preserve"> de las radiocomunicaciones</w:t>
      </w:r>
      <w:r w:rsidR="00E86B4E" w:rsidRPr="008E77AD">
        <w:t>.</w:t>
      </w:r>
    </w:p>
    <w:p w14:paraId="401C5AED" w14:textId="08B5D3B0" w:rsidR="00E86B4E" w:rsidRPr="008E77AD" w:rsidRDefault="001B565A" w:rsidP="008E77AD">
      <w:pPr>
        <w:pStyle w:val="enumlev1"/>
      </w:pPr>
      <w:r w:rsidRPr="008E77AD">
        <w:t>–</w:t>
      </w:r>
      <w:r w:rsidRPr="008E77AD">
        <w:tab/>
      </w:r>
      <w:r w:rsidR="00FB47DF" w:rsidRPr="008E77AD">
        <w:rPr>
          <w:b/>
          <w:bCs/>
        </w:rPr>
        <w:t>Promover</w:t>
      </w:r>
      <w:r w:rsidR="00E86B4E" w:rsidRPr="008E77AD">
        <w:rPr>
          <w:b/>
          <w:bCs/>
        </w:rPr>
        <w:t xml:space="preserve"> </w:t>
      </w:r>
      <w:r w:rsidR="00FB47DF" w:rsidRPr="008E77AD">
        <w:rPr>
          <w:b/>
          <w:bCs/>
        </w:rPr>
        <w:t>la transformación digital de la sociedad en los países participantes</w:t>
      </w:r>
      <w:r w:rsidR="00E86B4E" w:rsidRPr="008E77AD">
        <w:t xml:space="preserve">. </w:t>
      </w:r>
      <w:r w:rsidR="00FB47DF" w:rsidRPr="008E77AD">
        <w:t>Ello conlleva varios flujos de trabajo, entre ellos</w:t>
      </w:r>
      <w:r w:rsidR="00E86B4E" w:rsidRPr="008E77AD">
        <w:t xml:space="preserve">: </w:t>
      </w:r>
    </w:p>
    <w:p w14:paraId="4D8789A8" w14:textId="54B8075C" w:rsidR="00FB47DF" w:rsidRPr="008E77AD" w:rsidRDefault="001B565A" w:rsidP="008E77AD">
      <w:pPr>
        <w:pStyle w:val="enumlev2"/>
      </w:pPr>
      <w:r w:rsidRPr="00180180">
        <w:rPr>
          <w:w w:val="105"/>
        </w:rPr>
        <w:t>•</w:t>
      </w:r>
      <w:r w:rsidRPr="00180180">
        <w:rPr>
          <w:w w:val="105"/>
        </w:rPr>
        <w:tab/>
      </w:r>
      <w:r w:rsidR="00FB47DF" w:rsidRPr="00180180">
        <w:t xml:space="preserve">la mejora de la identificación, la </w:t>
      </w:r>
      <w:r w:rsidR="00F71F88" w:rsidRPr="00180180">
        <w:t>concienciación</w:t>
      </w:r>
      <w:r w:rsidR="00FB47DF" w:rsidRPr="00180180">
        <w:t xml:space="preserve"> y el análisis, </w:t>
      </w:r>
      <w:r w:rsidR="00F71F88" w:rsidRPr="00180180">
        <w:t>así como</w:t>
      </w:r>
      <w:r w:rsidR="003D23CD" w:rsidRPr="00180180">
        <w:t xml:space="preserve"> </w:t>
      </w:r>
      <w:r w:rsidR="00FB47DF" w:rsidRPr="00180180">
        <w:t xml:space="preserve">el desarrollo de </w:t>
      </w:r>
      <w:r w:rsidR="00FB47DF" w:rsidRPr="008E77AD">
        <w:t>competencias y capacidad</w:t>
      </w:r>
      <w:r w:rsidR="00F71F88" w:rsidRPr="008E77AD">
        <w:t>,</w:t>
      </w:r>
      <w:r w:rsidR="00FB47DF" w:rsidRPr="008E77AD">
        <w:t xml:space="preserve"> en relación con </w:t>
      </w:r>
      <w:r w:rsidR="003D23CD" w:rsidRPr="008E77AD">
        <w:t xml:space="preserve">nuevas </w:t>
      </w:r>
      <w:r w:rsidR="00FB47DF" w:rsidRPr="008E77AD">
        <w:t xml:space="preserve">tendencias </w:t>
      </w:r>
      <w:r w:rsidR="003D23CD" w:rsidRPr="008E77AD">
        <w:t>relativas a</w:t>
      </w:r>
      <w:r w:rsidR="00FB47DF" w:rsidRPr="008E77AD">
        <w:t xml:space="preserve"> la tecnología digital</w:t>
      </w:r>
      <w:r w:rsidR="00F71F88" w:rsidRPr="008E77AD">
        <w:t xml:space="preserve"> y</w:t>
      </w:r>
      <w:r w:rsidR="00FB47DF" w:rsidRPr="008E77AD">
        <w:t xml:space="preserve"> </w:t>
      </w:r>
      <w:r w:rsidR="00F71F88" w:rsidRPr="008E77AD">
        <w:t>las normas y actividades empresariales técnicas</w:t>
      </w:r>
      <w:r w:rsidR="00FB47DF" w:rsidRPr="008E77AD">
        <w:t xml:space="preserve">, </w:t>
      </w:r>
      <w:r w:rsidR="003D23CD" w:rsidRPr="008E77AD">
        <w:t xml:space="preserve">en particular </w:t>
      </w:r>
      <w:r w:rsidR="00FB47DF" w:rsidRPr="008E77AD">
        <w:t xml:space="preserve">la inteligencia artificial, los </w:t>
      </w:r>
      <w:r w:rsidR="003D23CD" w:rsidRPr="008E77AD">
        <w:t>macro</w:t>
      </w:r>
      <w:r w:rsidR="00FB47DF" w:rsidRPr="008E77AD">
        <w:t xml:space="preserve">datos, las </w:t>
      </w:r>
      <w:r w:rsidR="003D23CD" w:rsidRPr="008E77AD">
        <w:t xml:space="preserve">tecnologías de contabilidad distribuida </w:t>
      </w:r>
      <w:r w:rsidR="00FB47DF" w:rsidRPr="008E77AD">
        <w:t xml:space="preserve">y la Internet de </w:t>
      </w:r>
      <w:r w:rsidR="00C163C4">
        <w:t>las c</w:t>
      </w:r>
      <w:r w:rsidR="003D23CD" w:rsidRPr="008E77AD">
        <w:t>osas</w:t>
      </w:r>
      <w:r w:rsidR="00FB47DF" w:rsidRPr="008E77AD">
        <w:t xml:space="preserve">, </w:t>
      </w:r>
      <w:r w:rsidR="003D23CD" w:rsidRPr="008E77AD">
        <w:t>así como</w:t>
      </w:r>
      <w:r w:rsidR="00FB47DF" w:rsidRPr="008E77AD">
        <w:t xml:space="preserve"> otras</w:t>
      </w:r>
      <w:r w:rsidR="003D23CD" w:rsidRPr="008E77AD">
        <w:t xml:space="preserve"> aplicaciones</w:t>
      </w:r>
      <w:r w:rsidR="00FB47DF" w:rsidRPr="008E77AD">
        <w:t xml:space="preserve"> relacionadas con ciudades y aldeas inteligentes.</w:t>
      </w:r>
    </w:p>
    <w:p w14:paraId="63B8D96E" w14:textId="1211823D" w:rsidR="00FB47DF" w:rsidRPr="008E77AD" w:rsidRDefault="006F28C5" w:rsidP="008E77AD">
      <w:pPr>
        <w:pStyle w:val="enumlev2"/>
      </w:pPr>
      <w:r w:rsidRPr="008E77AD">
        <w:t>•</w:t>
      </w:r>
      <w:r w:rsidRPr="008E77AD">
        <w:tab/>
      </w:r>
      <w:r w:rsidR="003D23CD" w:rsidRPr="008E77AD">
        <w:t>el fomento de</w:t>
      </w:r>
      <w:r w:rsidR="00FB47DF" w:rsidRPr="008E77AD">
        <w:t xml:space="preserve"> la sensibilización y </w:t>
      </w:r>
      <w:r w:rsidR="003D23CD" w:rsidRPr="008E77AD">
        <w:t>de la capacidad de</w:t>
      </w:r>
      <w:r w:rsidR="00FB47DF" w:rsidRPr="008E77AD">
        <w:t xml:space="preserve"> análisis de los </w:t>
      </w:r>
      <w:r w:rsidR="003D23CD" w:rsidRPr="008E77AD">
        <w:t>encargados de formular las políticas, entre</w:t>
      </w:r>
      <w:r w:rsidR="00FB47DF" w:rsidRPr="008E77AD">
        <w:t xml:space="preserve"> otras partes interesadas</w:t>
      </w:r>
      <w:r w:rsidR="003D23CD" w:rsidRPr="008E77AD">
        <w:t xml:space="preserve">, y el </w:t>
      </w:r>
      <w:r w:rsidR="003D23CD" w:rsidRPr="008E77AD">
        <w:lastRenderedPageBreak/>
        <w:t>desarrollo de</w:t>
      </w:r>
      <w:r w:rsidR="00FB47DF" w:rsidRPr="008E77AD">
        <w:t xml:space="preserve"> su capacidad y sus competencias en materia de inclusión digital</w:t>
      </w:r>
      <w:r w:rsidR="00141D6C" w:rsidRPr="008E77AD">
        <w:t>,</w:t>
      </w:r>
      <w:r w:rsidR="00FB47DF" w:rsidRPr="008E77AD">
        <w:t xml:space="preserve"> </w:t>
      </w:r>
      <w:r w:rsidR="00141D6C" w:rsidRPr="008E77AD">
        <w:t>con objeto de</w:t>
      </w:r>
      <w:r w:rsidR="00FB47DF" w:rsidRPr="008E77AD">
        <w:t xml:space="preserve"> reducir la brecha de competencias digitales mediante iniciativas de creación de capacidad, </w:t>
      </w:r>
      <w:r w:rsidR="003D23CD" w:rsidRPr="008E77AD">
        <w:t xml:space="preserve">aumentar su concienciación sobre </w:t>
      </w:r>
      <w:r w:rsidR="00FB47DF" w:rsidRPr="008E77AD">
        <w:t>prácticas</w:t>
      </w:r>
      <w:r w:rsidR="003D23CD" w:rsidRPr="008E77AD">
        <w:t xml:space="preserve"> idóneas</w:t>
      </w:r>
      <w:r w:rsidR="00FB47DF" w:rsidRPr="008E77AD">
        <w:t xml:space="preserve"> conexas que deben aplicarse en relación con la accesibilidad a las TIC, la inclusión digital de las cuestiones de género, las competencias y los conocimientos de los jóvenes en materia de empleo digital, la inclusión de los pueblos indígenas y de las personas que viven en zonas </w:t>
      </w:r>
      <w:r w:rsidR="003D23CD" w:rsidRPr="008E77AD">
        <w:t>aisladas</w:t>
      </w:r>
      <w:r w:rsidR="00FB47DF" w:rsidRPr="008E77AD">
        <w:t xml:space="preserve">, </w:t>
      </w:r>
      <w:r w:rsidR="00141D6C" w:rsidRPr="008E77AD">
        <w:t>y</w:t>
      </w:r>
      <w:r w:rsidR="00FB47DF" w:rsidRPr="008E77AD">
        <w:t xml:space="preserve"> garantizar la inclusión </w:t>
      </w:r>
      <w:r w:rsidR="002A0983" w:rsidRPr="008E77AD">
        <w:t xml:space="preserve">y el empoderamiento </w:t>
      </w:r>
      <w:r w:rsidR="00FB47DF" w:rsidRPr="008E77AD">
        <w:t>digital</w:t>
      </w:r>
      <w:r w:rsidR="002A0983" w:rsidRPr="008E77AD">
        <w:t>es</w:t>
      </w:r>
      <w:r w:rsidR="00FB47DF" w:rsidRPr="008E77AD">
        <w:t xml:space="preserve"> </w:t>
      </w:r>
      <w:r w:rsidR="002A0983" w:rsidRPr="008E77AD">
        <w:t>en</w:t>
      </w:r>
      <w:r w:rsidR="00FB47DF" w:rsidRPr="008E77AD">
        <w:t xml:space="preserve"> </w:t>
      </w:r>
      <w:r w:rsidR="002A0983" w:rsidRPr="008E77AD">
        <w:t>materia de género</w:t>
      </w:r>
      <w:r w:rsidR="00FB47DF" w:rsidRPr="008E77AD">
        <w:t>.</w:t>
      </w:r>
    </w:p>
    <w:p w14:paraId="457A4447" w14:textId="4A80CE58" w:rsidR="00FB47DF" w:rsidRPr="008E77AD" w:rsidRDefault="006F28C5" w:rsidP="008E77AD">
      <w:pPr>
        <w:pStyle w:val="enumlev2"/>
      </w:pPr>
      <w:r w:rsidRPr="008E77AD">
        <w:t>•</w:t>
      </w:r>
      <w:r w:rsidRPr="008E77AD">
        <w:tab/>
      </w:r>
      <w:r w:rsidR="003D23CD" w:rsidRPr="008E77AD">
        <w:t>la reducción de</w:t>
      </w:r>
      <w:r w:rsidR="00FB47DF" w:rsidRPr="008E77AD">
        <w:t xml:space="preserve"> la brecha </w:t>
      </w:r>
      <w:r w:rsidR="00631B18" w:rsidRPr="008E77AD">
        <w:t>en materia de</w:t>
      </w:r>
      <w:r w:rsidR="00FB47DF" w:rsidRPr="008E77AD">
        <w:t xml:space="preserve"> innovación para </w:t>
      </w:r>
      <w:r w:rsidR="00631B18" w:rsidRPr="008E77AD">
        <w:t>promover</w:t>
      </w:r>
      <w:r w:rsidR="00FB47DF" w:rsidRPr="008E77AD">
        <w:t xml:space="preserve"> la economía digital mediante la transformación digital de la sociedad, </w:t>
      </w:r>
      <w:r w:rsidR="00631B18" w:rsidRPr="008E77AD">
        <w:t xml:space="preserve">en particular en esferas </w:t>
      </w:r>
      <w:r w:rsidR="00FB47DF" w:rsidRPr="008E77AD">
        <w:t>como los servicios financieros digitales, la</w:t>
      </w:r>
      <w:r w:rsidR="00631B18" w:rsidRPr="008E77AD">
        <w:t xml:space="preserve"> identificación digital, los servicios de sanidad móvil</w:t>
      </w:r>
      <w:r w:rsidR="00FB47DF" w:rsidRPr="008E77AD">
        <w:t xml:space="preserve">, </w:t>
      </w:r>
      <w:r w:rsidR="00631B18" w:rsidRPr="008E77AD">
        <w:t>la iniciativa</w:t>
      </w:r>
      <w:r w:rsidR="00FB47DF" w:rsidRPr="008E77AD">
        <w:t xml:space="preserve"> empresarial digital y el apoyo a las pequ</w:t>
      </w:r>
      <w:r w:rsidR="00631B18" w:rsidRPr="008E77AD">
        <w:t>eñas y medianas empresas (PYME)</w:t>
      </w:r>
      <w:r w:rsidR="00FB47DF" w:rsidRPr="008E77AD">
        <w:t>.</w:t>
      </w:r>
    </w:p>
    <w:p w14:paraId="7E9A202C" w14:textId="1A59F7EF" w:rsidR="00FB47DF" w:rsidRPr="008E77AD" w:rsidRDefault="006F28C5" w:rsidP="008E77AD">
      <w:pPr>
        <w:pStyle w:val="enumlev2"/>
      </w:pPr>
      <w:r w:rsidRPr="008E77AD">
        <w:t>•</w:t>
      </w:r>
      <w:r w:rsidRPr="008E77AD">
        <w:tab/>
      </w:r>
      <w:r w:rsidR="00631B18" w:rsidRPr="008E77AD">
        <w:t>el fomento de</w:t>
      </w:r>
      <w:r w:rsidR="00FB47DF" w:rsidRPr="008E77AD">
        <w:t xml:space="preserve"> la </w:t>
      </w:r>
      <w:r w:rsidR="00631B18" w:rsidRPr="008E77AD">
        <w:t xml:space="preserve">concienciación, </w:t>
      </w:r>
      <w:r w:rsidR="00FB47DF" w:rsidRPr="008E77AD">
        <w:t>el análisis</w:t>
      </w:r>
      <w:r w:rsidR="00631B18" w:rsidRPr="008E77AD">
        <w:t>,</w:t>
      </w:r>
      <w:r w:rsidR="00FB47DF" w:rsidRPr="008E77AD">
        <w:t xml:space="preserve"> </w:t>
      </w:r>
      <w:r w:rsidR="00631B18" w:rsidRPr="008E77AD">
        <w:t>las competencias</w:t>
      </w:r>
      <w:r w:rsidR="00FB47DF" w:rsidRPr="008E77AD">
        <w:t xml:space="preserve"> y la capacidad </w:t>
      </w:r>
      <w:r w:rsidR="00631B18" w:rsidRPr="008E77AD">
        <w:t>necesarias en relación con</w:t>
      </w:r>
      <w:r w:rsidR="00FB47DF" w:rsidRPr="008E77AD">
        <w:t xml:space="preserve"> la adaptación al cambio climático y la mitigación de sus efectos, </w:t>
      </w:r>
      <w:r w:rsidR="00631B18" w:rsidRPr="008E77AD">
        <w:t>así como</w:t>
      </w:r>
      <w:r w:rsidR="00FB47DF" w:rsidRPr="008E77AD">
        <w:t xml:space="preserve"> la gestión de los </w:t>
      </w:r>
      <w:r w:rsidR="00631B18" w:rsidRPr="008E77AD">
        <w:t>residuos</w:t>
      </w:r>
      <w:r w:rsidR="00FB47DF" w:rsidRPr="008E77AD">
        <w:t xml:space="preserve"> electrónicos.</w:t>
      </w:r>
    </w:p>
    <w:p w14:paraId="24BACC75" w14:textId="167905B0" w:rsidR="00E86B4E" w:rsidRPr="008E77AD" w:rsidRDefault="006F28C5" w:rsidP="008E77AD">
      <w:pPr>
        <w:pStyle w:val="enumlev2"/>
      </w:pPr>
      <w:r w:rsidRPr="008E77AD">
        <w:t>•</w:t>
      </w:r>
      <w:r w:rsidRPr="008E77AD">
        <w:tab/>
      </w:r>
      <w:r w:rsidR="00631B18" w:rsidRPr="008E77AD">
        <w:t>el fomento de la</w:t>
      </w:r>
      <w:r w:rsidR="00FB47DF" w:rsidRPr="008E77AD">
        <w:t xml:space="preserve"> confianza </w:t>
      </w:r>
      <w:r w:rsidR="00631B18" w:rsidRPr="008E77AD">
        <w:t>y la seguridad en la utilización</w:t>
      </w:r>
      <w:r w:rsidR="00FB47DF" w:rsidRPr="008E77AD">
        <w:t xml:space="preserve"> de las TIC, </w:t>
      </w:r>
      <w:r w:rsidR="00631B18" w:rsidRPr="008E77AD">
        <w:t>en particular</w:t>
      </w:r>
      <w:r w:rsidR="00FB47DF" w:rsidRPr="008E77AD">
        <w:t xml:space="preserve"> la ciberseguridad y la protección de datos</w:t>
      </w:r>
      <w:r w:rsidR="00E86B4E" w:rsidRPr="008E77AD">
        <w:t xml:space="preserve">. </w:t>
      </w:r>
    </w:p>
    <w:p w14:paraId="69D65492" w14:textId="34C7D955" w:rsidR="00E86B4E" w:rsidRPr="008E77AD" w:rsidRDefault="001612B8" w:rsidP="008E77AD">
      <w:r w:rsidRPr="008E77AD">
        <w:t>3</w:t>
      </w:r>
      <w:r w:rsidRPr="008E77AD">
        <w:tab/>
      </w:r>
      <w:r w:rsidR="00A43D8A" w:rsidRPr="008E77AD">
        <w:t>Su intención de cooperar y colaborar en las esferas descritas en la sección 2, de conformidad con las modalidades siguientes</w:t>
      </w:r>
      <w:r w:rsidR="00E86B4E" w:rsidRPr="008E77AD">
        <w:t xml:space="preserve">: </w:t>
      </w:r>
    </w:p>
    <w:p w14:paraId="1FCF9EDF" w14:textId="2B61259E" w:rsidR="00110668" w:rsidRPr="008E77AD" w:rsidRDefault="001612B8" w:rsidP="008E77AD">
      <w:pPr>
        <w:pStyle w:val="enumlev1"/>
      </w:pPr>
      <w:bookmarkStart w:id="11" w:name="_Hlk524209570"/>
      <w:r w:rsidRPr="008E77AD">
        <w:t>–</w:t>
      </w:r>
      <w:r w:rsidRPr="008E77AD">
        <w:tab/>
      </w:r>
      <w:r w:rsidR="00110668" w:rsidRPr="008E77AD">
        <w:rPr>
          <w:b/>
          <w:bCs/>
        </w:rPr>
        <w:t>Promoción</w:t>
      </w:r>
      <w:r w:rsidR="00E86B4E" w:rsidRPr="008E77AD">
        <w:t xml:space="preserve">: </w:t>
      </w:r>
      <w:bookmarkEnd w:id="11"/>
      <w:r w:rsidR="00110668" w:rsidRPr="008E77AD">
        <w:t>plataformas en común para asociaciones de varias partes interesadas entre gobiernos, el sector privado, instituciones académicas y la sociedad civil en el marco de eventos/simposios mundiales o sesiones conjuntas, de ser posible; por ejemplo, la UIT (en particular, la Cumbre AI4G, FIGI, GSR, CMSI, Telecom, etc.) y el BM (en particular, eventos en reuniones anuales y en primavera, semanas sectoriales, etc.);</w:t>
      </w:r>
    </w:p>
    <w:p w14:paraId="7B0E889B" w14:textId="37568C3C" w:rsidR="00110668" w:rsidRPr="008E77AD" w:rsidRDefault="006F28C5" w:rsidP="008E77AD">
      <w:pPr>
        <w:pStyle w:val="enumlev1"/>
      </w:pPr>
      <w:r w:rsidRPr="008E77AD">
        <w:t>–</w:t>
      </w:r>
      <w:r w:rsidRPr="008E77AD">
        <w:tab/>
      </w:r>
      <w:r w:rsidR="00110668" w:rsidRPr="008E77AD">
        <w:rPr>
          <w:b/>
          <w:bCs/>
        </w:rPr>
        <w:t>Acción</w:t>
      </w:r>
      <w:r w:rsidR="00110668" w:rsidRPr="008E77AD">
        <w:t xml:space="preserve">: iniciativas o proyectos específicos nacionales o regionales para el desarrollo de la economía digital; </w:t>
      </w:r>
    </w:p>
    <w:p w14:paraId="089169D5" w14:textId="367C1D07" w:rsidR="00E86B4E" w:rsidRPr="008E77AD" w:rsidRDefault="006F28C5" w:rsidP="008E77AD">
      <w:pPr>
        <w:pStyle w:val="enumlev1"/>
      </w:pPr>
      <w:r w:rsidRPr="008E77AD">
        <w:t>–</w:t>
      </w:r>
      <w:r w:rsidRPr="008E77AD">
        <w:tab/>
      </w:r>
      <w:r w:rsidR="00110668" w:rsidRPr="008E77AD">
        <w:rPr>
          <w:b/>
          <w:bCs/>
        </w:rPr>
        <w:t>Análisis, datos e investigación</w:t>
      </w:r>
      <w:r w:rsidR="00110668" w:rsidRPr="008E77AD">
        <w:t xml:space="preserve">: soluciones innovadoras y mecanismos estructurados para prestar apoyo a los países en desarrollo </w:t>
      </w:r>
      <w:r w:rsidR="00A21F32" w:rsidRPr="008E77AD">
        <w:t>con objeto de</w:t>
      </w:r>
      <w:r w:rsidR="00110668" w:rsidRPr="008E77AD">
        <w:t xml:space="preserve"> que</w:t>
      </w:r>
      <w:r w:rsidR="00A21F32" w:rsidRPr="008E77AD">
        <w:t xml:space="preserve"> participen </w:t>
      </w:r>
      <w:r w:rsidR="00110668" w:rsidRPr="008E77AD">
        <w:t xml:space="preserve">en investigaciones y publicaciones conjuntas a fin de </w:t>
      </w:r>
      <w:r w:rsidR="00A21F32" w:rsidRPr="008E77AD">
        <w:t xml:space="preserve">promover la Agenda 2030 para el </w:t>
      </w:r>
      <w:r w:rsidR="00110668" w:rsidRPr="008E77AD">
        <w:t>Desarrollo Sostenible.</w:t>
      </w:r>
    </w:p>
    <w:p w14:paraId="1B614F51" w14:textId="434C4CFC" w:rsidR="00A21F32" w:rsidRPr="008E77AD" w:rsidRDefault="00277638" w:rsidP="008E77AD">
      <w:r w:rsidRPr="008E77AD">
        <w:lastRenderedPageBreak/>
        <w:t>4</w:t>
      </w:r>
      <w:r w:rsidRPr="008E77AD">
        <w:tab/>
      </w:r>
      <w:bookmarkStart w:id="12" w:name="_Hlk523834857"/>
      <w:r w:rsidR="00A21F32" w:rsidRPr="008E77AD">
        <w:t xml:space="preserve">Su intención de </w:t>
      </w:r>
      <w:r w:rsidR="00677563" w:rsidRPr="008E77AD">
        <w:t>examinar</w:t>
      </w:r>
      <w:r w:rsidR="00A21F32" w:rsidRPr="008E77AD">
        <w:t xml:space="preserve"> los avances </w:t>
      </w:r>
      <w:r w:rsidR="00677563" w:rsidRPr="008E77AD">
        <w:t>registrados</w:t>
      </w:r>
      <w:r w:rsidR="00A21F32" w:rsidRPr="008E77AD">
        <w:t xml:space="preserve"> en la cooperación entre </w:t>
      </w:r>
      <w:r w:rsidR="00677563" w:rsidRPr="008E77AD">
        <w:t>los s</w:t>
      </w:r>
      <w:r w:rsidR="00A21F32" w:rsidRPr="008E77AD">
        <w:t xml:space="preserve">ignatarios </w:t>
      </w:r>
      <w:r w:rsidR="00677563" w:rsidRPr="008E77AD">
        <w:t xml:space="preserve">en el plazo de </w:t>
      </w:r>
      <w:r w:rsidR="00A21F32" w:rsidRPr="008E77AD">
        <w:t xml:space="preserve">tres años después de la firma de </w:t>
      </w:r>
      <w:r w:rsidR="00677563" w:rsidRPr="008E77AD">
        <w:t>la presente</w:t>
      </w:r>
      <w:r w:rsidR="00A21F32" w:rsidRPr="008E77AD">
        <w:t xml:space="preserve"> Declaración</w:t>
      </w:r>
      <w:r w:rsidR="00677563" w:rsidRPr="008E77AD">
        <w:t>,</w:t>
      </w:r>
      <w:r w:rsidR="00A21F32" w:rsidRPr="008E77AD">
        <w:t xml:space="preserve"> y </w:t>
      </w:r>
      <w:r w:rsidR="00677563" w:rsidRPr="008E77AD">
        <w:t>de adoptar una decisión</w:t>
      </w:r>
      <w:r w:rsidR="00A21F32" w:rsidRPr="008E77AD">
        <w:t xml:space="preserve"> </w:t>
      </w:r>
      <w:r w:rsidR="00677563" w:rsidRPr="008E77AD">
        <w:t>ulterior</w:t>
      </w:r>
      <w:r w:rsidR="00A21F32" w:rsidRPr="008E77AD">
        <w:t xml:space="preserve"> </w:t>
      </w:r>
      <w:r w:rsidR="00677563" w:rsidRPr="008E77AD">
        <w:t>sobre la adopción de toda</w:t>
      </w:r>
      <w:r w:rsidR="00A21F32" w:rsidRPr="008E77AD">
        <w:t xml:space="preserve"> medida </w:t>
      </w:r>
      <w:r w:rsidR="00677563" w:rsidRPr="008E77AD">
        <w:t>que contribuya a</w:t>
      </w:r>
      <w:r w:rsidR="00A21F32" w:rsidRPr="008E77AD">
        <w:t xml:space="preserve"> </w:t>
      </w:r>
      <w:r w:rsidR="00677563" w:rsidRPr="008E77AD">
        <w:t>fomentar</w:t>
      </w:r>
      <w:r w:rsidR="00A21F32" w:rsidRPr="008E77AD">
        <w:t xml:space="preserve"> la cooperación.</w:t>
      </w:r>
    </w:p>
    <w:p w14:paraId="7F2CA972" w14:textId="715ACAE3" w:rsidR="00A21F32" w:rsidRPr="008E77AD" w:rsidRDefault="00BB0F3F" w:rsidP="008E77AD">
      <w:r>
        <w:t>5</w:t>
      </w:r>
      <w:r w:rsidR="00677563" w:rsidRPr="008E77AD">
        <w:tab/>
      </w:r>
      <w:r w:rsidR="00A21F32" w:rsidRPr="008E77AD">
        <w:t xml:space="preserve">Su intención de emprender consultas mutuas con miras a </w:t>
      </w:r>
      <w:r w:rsidR="00677563" w:rsidRPr="008E77AD">
        <w:t>convenir en una</w:t>
      </w:r>
      <w:r w:rsidR="00A21F32" w:rsidRPr="008E77AD">
        <w:t xml:space="preserve"> relación apropiad</w:t>
      </w:r>
      <w:r w:rsidR="00677563" w:rsidRPr="008E77AD">
        <w:t>a</w:t>
      </w:r>
      <w:r w:rsidR="00A21F32" w:rsidRPr="008E77AD">
        <w:t xml:space="preserve"> para institucionalizar </w:t>
      </w:r>
      <w:r w:rsidR="00677563" w:rsidRPr="008E77AD">
        <w:t>su</w:t>
      </w:r>
      <w:r w:rsidR="00A21F32" w:rsidRPr="008E77AD">
        <w:t xml:space="preserve"> asociación, </w:t>
      </w:r>
      <w:r w:rsidR="00677563" w:rsidRPr="008E77AD">
        <w:t>que se aprobaría con sujeción a</w:t>
      </w:r>
      <w:r w:rsidR="00A21F32" w:rsidRPr="008E77AD">
        <w:t xml:space="preserve"> sus políticas y procedimientos</w:t>
      </w:r>
      <w:r w:rsidR="00677563" w:rsidRPr="008E77AD">
        <w:t xml:space="preserve"> respectivos</w:t>
      </w:r>
      <w:r w:rsidR="00A21F32" w:rsidRPr="008E77AD">
        <w:t>.</w:t>
      </w:r>
    </w:p>
    <w:p w14:paraId="0B9F68CC" w14:textId="06B4F9E4" w:rsidR="002A1152" w:rsidRDefault="00BB0F3F" w:rsidP="002A1152">
      <w:pPr>
        <w:spacing w:before="240"/>
      </w:pPr>
      <w:r>
        <w:t>6</w:t>
      </w:r>
      <w:r w:rsidR="00677563" w:rsidRPr="008E77AD">
        <w:tab/>
        <w:t>Habida cuenta de</w:t>
      </w:r>
      <w:r w:rsidR="00A21F32" w:rsidRPr="008E77AD">
        <w:t xml:space="preserve"> lo anterior</w:t>
      </w:r>
      <w:r w:rsidR="00677563" w:rsidRPr="008E77AD">
        <w:t>mente citado</w:t>
      </w:r>
      <w:r w:rsidR="00A21F32" w:rsidRPr="008E77AD">
        <w:t xml:space="preserve">, los Signatarios han designado a los siguientes representantes como </w:t>
      </w:r>
      <w:r w:rsidR="00677563" w:rsidRPr="008E77AD">
        <w:t xml:space="preserve">personas </w:t>
      </w:r>
      <w:r w:rsidR="00A21F32" w:rsidRPr="008E77AD">
        <w:t xml:space="preserve">de contacto en </w:t>
      </w:r>
      <w:r w:rsidR="00677563" w:rsidRPr="008E77AD">
        <w:t>el marco</w:t>
      </w:r>
      <w:r w:rsidR="00A21F32" w:rsidRPr="008E77AD">
        <w:t xml:space="preserve"> de la presente Declaración</w:t>
      </w:r>
      <w:r w:rsidR="00E86B4E" w:rsidRPr="008E77AD">
        <w:t>.</w:t>
      </w:r>
    </w:p>
    <w:tbl>
      <w:tblPr>
        <w:tblStyle w:val="TableGrid"/>
        <w:tblW w:w="0" w:type="auto"/>
        <w:tblLook w:val="04A0" w:firstRow="1" w:lastRow="0" w:firstColumn="1" w:lastColumn="0" w:noHBand="0" w:noVBand="1"/>
      </w:tblPr>
      <w:tblGrid>
        <w:gridCol w:w="3686"/>
        <w:gridCol w:w="5943"/>
      </w:tblGrid>
      <w:tr w:rsidR="002A1152" w:rsidRPr="002A1152" w14:paraId="28E22136" w14:textId="77777777" w:rsidTr="00490536">
        <w:tc>
          <w:tcPr>
            <w:tcW w:w="3686" w:type="dxa"/>
            <w:tcBorders>
              <w:top w:val="nil"/>
              <w:left w:val="nil"/>
              <w:bottom w:val="nil"/>
              <w:right w:val="nil"/>
            </w:tcBorders>
            <w:tcMar>
              <w:left w:w="0" w:type="dxa"/>
            </w:tcMar>
          </w:tcPr>
          <w:p w14:paraId="08990736" w14:textId="32031B4F" w:rsidR="002A1152" w:rsidRPr="00B976C6" w:rsidRDefault="002A1152" w:rsidP="00490536">
            <w:pPr>
              <w:spacing w:before="0"/>
              <w:rPr>
                <w:snapToGrid w:val="0"/>
              </w:rPr>
            </w:pPr>
            <w:r w:rsidRPr="00180180">
              <w:t>Por el Banco Mundial:</w:t>
            </w:r>
          </w:p>
        </w:tc>
        <w:tc>
          <w:tcPr>
            <w:tcW w:w="5943" w:type="dxa"/>
            <w:tcBorders>
              <w:top w:val="nil"/>
              <w:left w:val="nil"/>
              <w:bottom w:val="nil"/>
              <w:right w:val="nil"/>
            </w:tcBorders>
          </w:tcPr>
          <w:p w14:paraId="71B662D4" w14:textId="77777777" w:rsidR="002A1152" w:rsidRPr="000E56FB" w:rsidRDefault="002A1152" w:rsidP="00490536">
            <w:pPr>
              <w:spacing w:before="0"/>
              <w:rPr>
                <w:snapToGrid w:val="0"/>
                <w:lang w:val="es-ES"/>
              </w:rPr>
            </w:pPr>
            <w:r w:rsidRPr="000E56FB">
              <w:rPr>
                <w:snapToGrid w:val="0"/>
                <w:lang w:val="es-ES"/>
              </w:rPr>
              <w:t>Boutheina Guermazi</w:t>
            </w:r>
          </w:p>
          <w:p w14:paraId="7CFA5267" w14:textId="77777777" w:rsidR="002A1152" w:rsidRPr="000E56FB" w:rsidRDefault="002A1152" w:rsidP="00490536">
            <w:pPr>
              <w:spacing w:before="0"/>
              <w:rPr>
                <w:snapToGrid w:val="0"/>
                <w:lang w:val="es-ES"/>
              </w:rPr>
            </w:pPr>
            <w:r w:rsidRPr="000E56FB">
              <w:rPr>
                <w:snapToGrid w:val="0"/>
                <w:lang w:val="es-ES"/>
              </w:rPr>
              <w:t>1818 H Street NW</w:t>
            </w:r>
          </w:p>
          <w:p w14:paraId="2A382F22" w14:textId="584F0542" w:rsidR="002A1152" w:rsidRPr="002A1152" w:rsidRDefault="002A1152" w:rsidP="00490536">
            <w:pPr>
              <w:spacing w:before="0"/>
              <w:rPr>
                <w:snapToGrid w:val="0"/>
                <w:lang w:val="es-ES"/>
              </w:rPr>
            </w:pPr>
            <w:r w:rsidRPr="002A1152">
              <w:rPr>
                <w:snapToGrid w:val="0"/>
                <w:lang w:val="es-ES"/>
              </w:rPr>
              <w:t xml:space="preserve">Washington D.C 20433, </w:t>
            </w:r>
            <w:r w:rsidRPr="00180180">
              <w:t>Estados Unidos</w:t>
            </w:r>
          </w:p>
          <w:p w14:paraId="4874EC9D" w14:textId="52CA1430" w:rsidR="002A1152" w:rsidRPr="002A1152" w:rsidRDefault="002A1152" w:rsidP="00490536">
            <w:pPr>
              <w:spacing w:before="0"/>
              <w:rPr>
                <w:snapToGrid w:val="0"/>
                <w:lang w:val="es-ES"/>
              </w:rPr>
            </w:pPr>
            <w:r w:rsidRPr="00180180">
              <w:t xml:space="preserve">Teléfono: </w:t>
            </w:r>
            <w:r w:rsidRPr="002A1152">
              <w:rPr>
                <w:snapToGrid w:val="0"/>
                <w:lang w:val="es-ES"/>
              </w:rPr>
              <w:t>+1 202 473-7075</w:t>
            </w:r>
          </w:p>
          <w:p w14:paraId="48A624E4" w14:textId="7AE3AE37" w:rsidR="002A1152" w:rsidRPr="002A1152" w:rsidRDefault="002A1152" w:rsidP="00490536">
            <w:pPr>
              <w:spacing w:before="0"/>
              <w:rPr>
                <w:snapToGrid w:val="0"/>
                <w:lang w:val="es-ES"/>
              </w:rPr>
            </w:pPr>
            <w:r w:rsidRPr="00180180">
              <w:t>Correo-e</w:t>
            </w:r>
            <w:r w:rsidRPr="002A1152">
              <w:rPr>
                <w:snapToGrid w:val="0"/>
                <w:lang w:val="es-ES"/>
              </w:rPr>
              <w:t xml:space="preserve">: </w:t>
            </w:r>
            <w:hyperlink r:id="rId18" w:history="1">
              <w:r w:rsidRPr="002A1152">
                <w:rPr>
                  <w:rStyle w:val="Hyperlink"/>
                  <w:snapToGrid w:val="0"/>
                  <w:lang w:val="es-ES"/>
                </w:rPr>
                <w:t>bguermazi@worldbank.org</w:t>
              </w:r>
            </w:hyperlink>
          </w:p>
        </w:tc>
      </w:tr>
      <w:tr w:rsidR="002A1152" w:rsidRPr="002A1152" w14:paraId="1F93F9AB" w14:textId="77777777" w:rsidTr="00490536">
        <w:tc>
          <w:tcPr>
            <w:tcW w:w="3686" w:type="dxa"/>
            <w:tcBorders>
              <w:top w:val="nil"/>
              <w:left w:val="nil"/>
              <w:bottom w:val="nil"/>
              <w:right w:val="nil"/>
            </w:tcBorders>
            <w:tcMar>
              <w:left w:w="0" w:type="dxa"/>
            </w:tcMar>
          </w:tcPr>
          <w:p w14:paraId="0620DB0E" w14:textId="5FC62D35" w:rsidR="002A1152" w:rsidRPr="00B976C6" w:rsidRDefault="002A1152" w:rsidP="00490536">
            <w:pPr>
              <w:spacing w:before="0"/>
              <w:rPr>
                <w:snapToGrid w:val="0"/>
              </w:rPr>
            </w:pPr>
            <w:r w:rsidRPr="00180180">
              <w:t>Por la UIT:</w:t>
            </w:r>
          </w:p>
        </w:tc>
        <w:tc>
          <w:tcPr>
            <w:tcW w:w="5943" w:type="dxa"/>
            <w:tcBorders>
              <w:top w:val="nil"/>
              <w:left w:val="nil"/>
              <w:bottom w:val="nil"/>
              <w:right w:val="nil"/>
            </w:tcBorders>
          </w:tcPr>
          <w:p w14:paraId="358051AC" w14:textId="77777777" w:rsidR="002A1152" w:rsidRPr="002A1152" w:rsidRDefault="002A1152" w:rsidP="00490536">
            <w:pPr>
              <w:spacing w:before="0"/>
              <w:rPr>
                <w:snapToGrid w:val="0"/>
                <w:lang w:val="fr-CH"/>
              </w:rPr>
            </w:pPr>
            <w:r w:rsidRPr="002A1152">
              <w:rPr>
                <w:snapToGrid w:val="0"/>
                <w:lang w:val="fr-CH"/>
              </w:rPr>
              <w:t>Eun-Ju Kim</w:t>
            </w:r>
          </w:p>
          <w:p w14:paraId="16CA060F" w14:textId="77777777" w:rsidR="002A1152" w:rsidRPr="002A1152" w:rsidRDefault="002A1152" w:rsidP="00490536">
            <w:pPr>
              <w:spacing w:before="0"/>
              <w:rPr>
                <w:snapToGrid w:val="0"/>
                <w:lang w:val="fr-CH"/>
              </w:rPr>
            </w:pPr>
            <w:r w:rsidRPr="002A1152">
              <w:rPr>
                <w:snapToGrid w:val="0"/>
                <w:lang w:val="fr-CH"/>
              </w:rPr>
              <w:t>Place des Nations</w:t>
            </w:r>
          </w:p>
          <w:p w14:paraId="5F57275E" w14:textId="4A256577" w:rsidR="002A1152" w:rsidRPr="002A1152" w:rsidRDefault="002A1152" w:rsidP="002A1152">
            <w:pPr>
              <w:spacing w:before="0"/>
              <w:rPr>
                <w:snapToGrid w:val="0"/>
                <w:lang w:val="es-ES"/>
              </w:rPr>
            </w:pPr>
            <w:r w:rsidRPr="002A1152">
              <w:rPr>
                <w:snapToGrid w:val="0"/>
                <w:lang w:val="es-ES"/>
              </w:rPr>
              <w:t>1211 Ginebra 20, Suiza</w:t>
            </w:r>
          </w:p>
          <w:p w14:paraId="2D8E2AA6" w14:textId="7FC09134" w:rsidR="002A1152" w:rsidRPr="002A1152" w:rsidRDefault="002A1152" w:rsidP="00490536">
            <w:pPr>
              <w:spacing w:before="0"/>
              <w:rPr>
                <w:snapToGrid w:val="0"/>
                <w:lang w:val="es-ES"/>
              </w:rPr>
            </w:pPr>
            <w:r w:rsidRPr="00CF514B">
              <w:rPr>
                <w:lang w:val="es-ES"/>
              </w:rPr>
              <w:t>Teléfono</w:t>
            </w:r>
            <w:r w:rsidRPr="002A1152">
              <w:rPr>
                <w:snapToGrid w:val="0"/>
                <w:lang w:val="es-ES"/>
              </w:rPr>
              <w:t>: +41 22 730 5900</w:t>
            </w:r>
          </w:p>
          <w:p w14:paraId="4206F28E" w14:textId="38315699" w:rsidR="002A1152" w:rsidRPr="002A1152" w:rsidRDefault="002A1152" w:rsidP="00490536">
            <w:pPr>
              <w:spacing w:before="0"/>
              <w:rPr>
                <w:snapToGrid w:val="0"/>
                <w:lang w:val="es-ES"/>
              </w:rPr>
            </w:pPr>
            <w:r w:rsidRPr="00180180">
              <w:t>Correo-e</w:t>
            </w:r>
            <w:r w:rsidRPr="002A1152">
              <w:rPr>
                <w:snapToGrid w:val="0"/>
                <w:lang w:val="es-ES"/>
              </w:rPr>
              <w:t xml:space="preserve">: </w:t>
            </w:r>
            <w:hyperlink r:id="rId19" w:history="1">
              <w:r w:rsidRPr="002A1152">
                <w:rPr>
                  <w:rStyle w:val="Hyperlink"/>
                  <w:snapToGrid w:val="0"/>
                  <w:lang w:val="es-ES"/>
                </w:rPr>
                <w:t>eun-ju.kim@itu.int</w:t>
              </w:r>
            </w:hyperlink>
          </w:p>
        </w:tc>
      </w:tr>
    </w:tbl>
    <w:bookmarkEnd w:id="12"/>
    <w:p w14:paraId="6028CC98" w14:textId="0875D3D8" w:rsidR="00681C0F" w:rsidRPr="00BB0F3F" w:rsidRDefault="00465FC2" w:rsidP="00BB0F3F">
      <w:r w:rsidRPr="00BB0F3F">
        <w:t>7</w:t>
      </w:r>
      <w:r w:rsidRPr="00BB0F3F">
        <w:tab/>
      </w:r>
      <w:r w:rsidR="00681C0F" w:rsidRPr="00BB0F3F">
        <w:t xml:space="preserve">Los Signatarios reconocen que la presente Declaración no </w:t>
      </w:r>
      <w:r w:rsidR="00C973D1" w:rsidRPr="00BB0F3F">
        <w:t>ha</w:t>
      </w:r>
      <w:r w:rsidR="00884E2C">
        <w:t xml:space="preserve"> </w:t>
      </w:r>
      <w:r w:rsidR="00C973D1" w:rsidRPr="00BB0F3F">
        <w:t>de</w:t>
      </w:r>
      <w:r w:rsidR="00681C0F" w:rsidRPr="00BB0F3F">
        <w:t xml:space="preserve"> interpretarse como un acuerdo vinculante y </w:t>
      </w:r>
      <w:r w:rsidR="00CC7344" w:rsidRPr="00BB0F3F">
        <w:t xml:space="preserve">que </w:t>
      </w:r>
      <w:r w:rsidR="00681C0F" w:rsidRPr="00BB0F3F">
        <w:t xml:space="preserve">no </w:t>
      </w:r>
      <w:r w:rsidR="00CC7344" w:rsidRPr="00BB0F3F">
        <w:t>conlleva</w:t>
      </w:r>
      <w:r w:rsidR="00C973D1" w:rsidRPr="00BB0F3F">
        <w:t xml:space="preserve"> ningún</w:t>
      </w:r>
      <w:r w:rsidR="00681C0F" w:rsidRPr="00BB0F3F">
        <w:t xml:space="preserve"> </w:t>
      </w:r>
      <w:r w:rsidR="00C973D1" w:rsidRPr="00BB0F3F">
        <w:t xml:space="preserve">tipo de obligación de índole fiduciaria o jurídica </w:t>
      </w:r>
      <w:r w:rsidR="00681C0F" w:rsidRPr="00BB0F3F">
        <w:t xml:space="preserve">de ninguno de los Signatarios. </w:t>
      </w:r>
      <w:r w:rsidR="00C973D1" w:rsidRPr="00BB0F3F">
        <w:t xml:space="preserve">Toda actividad que se lleve a cabo </w:t>
      </w:r>
      <w:r w:rsidR="00681C0F" w:rsidRPr="00BB0F3F">
        <w:t xml:space="preserve">entre los Signatarios </w:t>
      </w:r>
      <w:r w:rsidR="00C973D1" w:rsidRPr="00BB0F3F">
        <w:t>en el marco d</w:t>
      </w:r>
      <w:r w:rsidR="00884E2C">
        <w:t>e</w:t>
      </w:r>
      <w:r w:rsidR="00681C0F" w:rsidRPr="00BB0F3F">
        <w:t xml:space="preserve"> esta Declaración estará sujeta y </w:t>
      </w:r>
      <w:r w:rsidR="00C973D1" w:rsidRPr="00BB0F3F">
        <w:t>supeditada</w:t>
      </w:r>
      <w:r w:rsidR="00681C0F" w:rsidRPr="00BB0F3F">
        <w:t xml:space="preserve"> a la disponibilidad de personal</w:t>
      </w:r>
      <w:r w:rsidR="00CC7344" w:rsidRPr="00BB0F3F">
        <w:t xml:space="preserve"> y</w:t>
      </w:r>
      <w:r w:rsidR="00681C0F" w:rsidRPr="00BB0F3F">
        <w:t xml:space="preserve"> </w:t>
      </w:r>
      <w:r w:rsidR="00C973D1" w:rsidRPr="00BB0F3F">
        <w:t xml:space="preserve">de </w:t>
      </w:r>
      <w:r w:rsidR="00681C0F" w:rsidRPr="00BB0F3F">
        <w:t xml:space="preserve">fondos </w:t>
      </w:r>
      <w:r w:rsidR="00CC7344" w:rsidRPr="00BB0F3F">
        <w:t>suficientes, entre</w:t>
      </w:r>
      <w:r w:rsidR="00681C0F" w:rsidRPr="00BB0F3F">
        <w:t xml:space="preserve"> otros recursos</w:t>
      </w:r>
      <w:r w:rsidR="00CC7344" w:rsidRPr="00BB0F3F">
        <w:t>,</w:t>
      </w:r>
      <w:r w:rsidR="00681C0F" w:rsidRPr="00BB0F3F">
        <w:t xml:space="preserve"> y </w:t>
      </w:r>
      <w:r w:rsidR="00CC7344" w:rsidRPr="00BB0F3F">
        <w:t>podrá</w:t>
      </w:r>
      <w:r w:rsidR="00681C0F" w:rsidRPr="00BB0F3F">
        <w:t xml:space="preserve"> </w:t>
      </w:r>
      <w:r w:rsidR="00C973D1" w:rsidRPr="00BB0F3F">
        <w:t>conllevar</w:t>
      </w:r>
      <w:r w:rsidR="00681C0F" w:rsidRPr="00BB0F3F">
        <w:t xml:space="preserve"> la ejecución de </w:t>
      </w:r>
      <w:r w:rsidR="00CC7344" w:rsidRPr="00BB0F3F">
        <w:t>un</w:t>
      </w:r>
      <w:r w:rsidR="00681C0F" w:rsidRPr="00BB0F3F">
        <w:t xml:space="preserve"> instrumento</w:t>
      </w:r>
      <w:r w:rsidR="00CC7344" w:rsidRPr="00BB0F3F">
        <w:t xml:space="preserve"> jurídicamente vinculante, o </w:t>
      </w:r>
      <w:r w:rsidR="00C973D1" w:rsidRPr="00BB0F3F">
        <w:t xml:space="preserve">de </w:t>
      </w:r>
      <w:r w:rsidR="00CC7344" w:rsidRPr="00BB0F3F">
        <w:t xml:space="preserve">varios, susceptibles de negociarse independientemente </w:t>
      </w:r>
      <w:r w:rsidR="00681C0F" w:rsidRPr="00BB0F3F">
        <w:t xml:space="preserve">y </w:t>
      </w:r>
      <w:r w:rsidR="00CC7344" w:rsidRPr="00BB0F3F">
        <w:t xml:space="preserve">de ser </w:t>
      </w:r>
      <w:r w:rsidR="00681C0F" w:rsidRPr="00BB0F3F">
        <w:t>acordados por los Signatarios.</w:t>
      </w:r>
      <w:r w:rsidR="006F28C5" w:rsidRPr="00BB0F3F">
        <w:t xml:space="preserve"> </w:t>
      </w:r>
    </w:p>
    <w:p w14:paraId="327FB013" w14:textId="64D5D892" w:rsidR="00681C0F" w:rsidRPr="00BB0F3F" w:rsidRDefault="006F28C5" w:rsidP="00BB0F3F">
      <w:r w:rsidRPr="00BB0F3F">
        <w:t>8</w:t>
      </w:r>
      <w:r w:rsidR="00681C0F" w:rsidRPr="00BB0F3F">
        <w:tab/>
      </w:r>
      <w:r w:rsidR="00C973D1" w:rsidRPr="00BB0F3F">
        <w:t>Con objeto de</w:t>
      </w:r>
      <w:r w:rsidR="00681C0F" w:rsidRPr="00BB0F3F">
        <w:t xml:space="preserve"> evitar </w:t>
      </w:r>
      <w:r w:rsidR="00C973D1" w:rsidRPr="00BB0F3F">
        <w:t>toda confusión</w:t>
      </w:r>
      <w:r w:rsidR="00681C0F" w:rsidRPr="00BB0F3F">
        <w:t xml:space="preserve">, nada de lo contenido en esta Declaración </w:t>
      </w:r>
      <w:r w:rsidR="00C066E5" w:rsidRPr="00BB0F3F">
        <w:t xml:space="preserve">constituirá una renuncia, o será interpretado como tal, a ninguno de los privilegios o </w:t>
      </w:r>
      <w:r w:rsidR="00BE1096" w:rsidRPr="00BB0F3F">
        <w:t xml:space="preserve">las </w:t>
      </w:r>
      <w:r w:rsidR="00C066E5" w:rsidRPr="00BB0F3F">
        <w:t xml:space="preserve">inmunidades, </w:t>
      </w:r>
      <w:r w:rsidR="00681C0F" w:rsidRPr="00BB0F3F">
        <w:t xml:space="preserve">según corresponda, de cualquiera de </w:t>
      </w:r>
      <w:r w:rsidR="00C066E5" w:rsidRPr="00BB0F3F">
        <w:t>las partes signatarias,</w:t>
      </w:r>
      <w:r w:rsidR="00681C0F" w:rsidRPr="00BB0F3F">
        <w:t xml:space="preserve"> </w:t>
      </w:r>
      <w:r w:rsidR="00C066E5" w:rsidRPr="00BB0F3F">
        <w:t>incluidos</w:t>
      </w:r>
      <w:r w:rsidR="00681C0F" w:rsidRPr="00BB0F3F">
        <w:t xml:space="preserve"> sus funcionarios y empleados, </w:t>
      </w:r>
      <w:r w:rsidR="00C066E5" w:rsidRPr="00BB0F3F">
        <w:t xml:space="preserve">cuyos </w:t>
      </w:r>
      <w:r w:rsidR="00681C0F" w:rsidRPr="00BB0F3F">
        <w:t>privilegios e inmunidades se reservan específicamente</w:t>
      </w:r>
      <w:r w:rsidR="00C066E5" w:rsidRPr="00BB0F3F">
        <w:t xml:space="preserve"> en la presente Declaración</w:t>
      </w:r>
      <w:r w:rsidR="00681C0F" w:rsidRPr="00BB0F3F">
        <w:t>.</w:t>
      </w:r>
    </w:p>
    <w:p w14:paraId="7D01C125" w14:textId="6C549A23" w:rsidR="00681C0F" w:rsidRPr="00BB0F3F" w:rsidRDefault="006F28C5" w:rsidP="00BB0F3F">
      <w:r w:rsidRPr="00BB0F3F">
        <w:t>9</w:t>
      </w:r>
      <w:r w:rsidR="00681C0F" w:rsidRPr="00BB0F3F">
        <w:tab/>
      </w:r>
      <w:r w:rsidR="00BE1096" w:rsidRPr="00BB0F3F">
        <w:t>Las partes signatarias</w:t>
      </w:r>
      <w:r w:rsidR="00681C0F" w:rsidRPr="00BB0F3F">
        <w:t xml:space="preserve"> suscriben esta Declaración como entidades independientes y, salvo que se disponga explícitamen</w:t>
      </w:r>
      <w:r w:rsidR="00BE1096" w:rsidRPr="00BB0F3F">
        <w:t>te lo contrario, ninguna de ella</w:t>
      </w:r>
      <w:r w:rsidR="00681C0F" w:rsidRPr="00BB0F3F">
        <w:t xml:space="preserve">s </w:t>
      </w:r>
      <w:r w:rsidR="00BE1096" w:rsidRPr="00BB0F3F">
        <w:t>obrará,</w:t>
      </w:r>
      <w:r w:rsidR="00681C0F" w:rsidRPr="00BB0F3F">
        <w:t xml:space="preserve"> ni tendrá </w:t>
      </w:r>
      <w:r w:rsidR="00BE1096" w:rsidRPr="00BB0F3F">
        <w:t>facultad</w:t>
      </w:r>
      <w:r w:rsidR="00681C0F" w:rsidRPr="00BB0F3F">
        <w:t xml:space="preserve"> para </w:t>
      </w:r>
      <w:r w:rsidR="00BE1096" w:rsidRPr="00BB0F3F">
        <w:t>hacerlo,</w:t>
      </w:r>
      <w:r w:rsidR="00681C0F" w:rsidRPr="00BB0F3F">
        <w:t xml:space="preserve"> en nombre </w:t>
      </w:r>
      <w:r w:rsidR="00BE1096" w:rsidRPr="00BB0F3F">
        <w:t>de la otra parte signataria</w:t>
      </w:r>
      <w:r w:rsidR="00681C0F" w:rsidRPr="00BB0F3F">
        <w:t xml:space="preserve"> </w:t>
      </w:r>
      <w:r w:rsidR="00BE1096" w:rsidRPr="00BB0F3F">
        <w:t>en calidad de</w:t>
      </w:r>
      <w:r w:rsidR="00681C0F" w:rsidRPr="00BB0F3F">
        <w:t xml:space="preserve"> agente</w:t>
      </w:r>
      <w:r w:rsidR="00BE1096" w:rsidRPr="00BB0F3F">
        <w:t xml:space="preserve"> o</w:t>
      </w:r>
      <w:r w:rsidR="00681C0F" w:rsidRPr="00BB0F3F">
        <w:t xml:space="preserve"> representante</w:t>
      </w:r>
      <w:r w:rsidR="00BE1096" w:rsidRPr="00BB0F3F">
        <w:t>, u otro tipo de función</w:t>
      </w:r>
      <w:r w:rsidR="00681C0F" w:rsidRPr="00BB0F3F">
        <w:t>.</w:t>
      </w:r>
    </w:p>
    <w:p w14:paraId="2033ECC8" w14:textId="1322B30A" w:rsidR="00681C0F" w:rsidRPr="00BB0F3F" w:rsidRDefault="006F28C5" w:rsidP="00BB0F3F">
      <w:r w:rsidRPr="00BB0F3F">
        <w:t>10</w:t>
      </w:r>
      <w:r w:rsidR="00681C0F" w:rsidRPr="00BB0F3F">
        <w:tab/>
      </w:r>
      <w:r w:rsidR="00F41EC6" w:rsidRPr="00BB0F3F">
        <w:t>Las partes signatarias</w:t>
      </w:r>
      <w:r w:rsidR="00681C0F" w:rsidRPr="00BB0F3F">
        <w:t xml:space="preserve"> reconocen que los nombres y </w:t>
      </w:r>
      <w:r w:rsidR="00F41EC6" w:rsidRPr="00BB0F3F">
        <w:t xml:space="preserve">las </w:t>
      </w:r>
      <w:r w:rsidR="00681C0F" w:rsidRPr="00BB0F3F">
        <w:t xml:space="preserve">marcas (a) "Banco Internacional de Reconstrucción y Fomento" ("BIRF"), "Banco Mundial" y todas sus </w:t>
      </w:r>
      <w:r w:rsidR="00E61456" w:rsidRPr="00BB0F3F">
        <w:lastRenderedPageBreak/>
        <w:t>variantes</w:t>
      </w:r>
      <w:r w:rsidR="00681C0F" w:rsidRPr="00BB0F3F">
        <w:t xml:space="preserve">, incluidos sus </w:t>
      </w:r>
      <w:r w:rsidR="00E61456" w:rsidRPr="00BB0F3F">
        <w:t xml:space="preserve">correspondientes </w:t>
      </w:r>
      <w:r w:rsidR="00681C0F" w:rsidRPr="00BB0F3F">
        <w:t>logotipos</w:t>
      </w:r>
      <w:r w:rsidR="00E61456" w:rsidRPr="00BB0F3F">
        <w:t>,</w:t>
      </w:r>
      <w:r w:rsidR="00681C0F" w:rsidRPr="00BB0F3F">
        <w:t xml:space="preserve"> y (b) "UIT", "Unión Internacional de Telecomunicaciones" y todas sus varia</w:t>
      </w:r>
      <w:r w:rsidR="00E61456" w:rsidRPr="00BB0F3F">
        <w:t>ntes</w:t>
      </w:r>
      <w:r w:rsidR="00681C0F" w:rsidRPr="00BB0F3F">
        <w:t xml:space="preserve">, incluidos sus </w:t>
      </w:r>
      <w:r w:rsidR="00E61456" w:rsidRPr="00BB0F3F">
        <w:t xml:space="preserve">correspondientes </w:t>
      </w:r>
      <w:r w:rsidR="00681C0F" w:rsidRPr="00BB0F3F">
        <w:t>logotipos (</w:t>
      </w:r>
      <w:r w:rsidR="00E61456" w:rsidRPr="00BB0F3F">
        <w:t>conjuntamente</w:t>
      </w:r>
      <w:r w:rsidR="00681C0F" w:rsidRPr="00BB0F3F">
        <w:t>, los "Nombres"</w:t>
      </w:r>
      <w:r w:rsidR="00E61456" w:rsidRPr="00BB0F3F">
        <w:t>)</w:t>
      </w:r>
      <w:r w:rsidR="00681C0F" w:rsidRPr="00BB0F3F">
        <w:t>), son propiedad única y exclusiva del Banco Mundial y de la UIT, respectivamente. Ning</w:t>
      </w:r>
      <w:r w:rsidR="00E61456" w:rsidRPr="00BB0F3F">
        <w:t>una de las partes signatarias</w:t>
      </w:r>
      <w:r w:rsidR="00681C0F" w:rsidRPr="00BB0F3F">
        <w:t xml:space="preserve"> podrá adquirir derecho, título o interés </w:t>
      </w:r>
      <w:r w:rsidR="00E61456" w:rsidRPr="00BB0F3F">
        <w:t xml:space="preserve">alguno </w:t>
      </w:r>
      <w:r w:rsidR="00681C0F" w:rsidRPr="00BB0F3F">
        <w:t xml:space="preserve">en </w:t>
      </w:r>
      <w:r w:rsidR="00E61456" w:rsidRPr="00BB0F3F">
        <w:t>nombre</w:t>
      </w:r>
      <w:r w:rsidR="00681C0F" w:rsidRPr="00BB0F3F">
        <w:t xml:space="preserve"> de cualquier</w:t>
      </w:r>
      <w:r w:rsidR="00E61456" w:rsidRPr="00BB0F3F">
        <w:t>a otro s</w:t>
      </w:r>
      <w:r w:rsidR="00681C0F" w:rsidRPr="00BB0F3F">
        <w:t xml:space="preserve">ignatario en </w:t>
      </w:r>
      <w:r w:rsidR="00E61456" w:rsidRPr="00BB0F3F">
        <w:t>el marco de</w:t>
      </w:r>
      <w:r w:rsidR="00681C0F" w:rsidRPr="00BB0F3F">
        <w:t xml:space="preserve"> la presente Declaración, y </w:t>
      </w:r>
      <w:r w:rsidR="00E61456" w:rsidRPr="00BB0F3F">
        <w:t>ninguna parte signataria</w:t>
      </w:r>
      <w:r w:rsidR="00681C0F" w:rsidRPr="00BB0F3F">
        <w:t xml:space="preserve"> podrá utilizar </w:t>
      </w:r>
      <w:r w:rsidR="00E61456" w:rsidRPr="00BB0F3F">
        <w:t>el nombre de otra parte signataria</w:t>
      </w:r>
      <w:r w:rsidR="00681C0F" w:rsidRPr="00BB0F3F">
        <w:t xml:space="preserve"> sin el consentimiento </w:t>
      </w:r>
      <w:r w:rsidR="00E61456" w:rsidRPr="00BB0F3F">
        <w:t>tácito</w:t>
      </w:r>
      <w:r w:rsidR="00681C0F" w:rsidRPr="00BB0F3F">
        <w:t xml:space="preserve"> escrito de est</w:t>
      </w:r>
      <w:r w:rsidR="00E61456" w:rsidRPr="00BB0F3F">
        <w:t>a última</w:t>
      </w:r>
      <w:r w:rsidR="00681C0F" w:rsidRPr="00BB0F3F">
        <w:t>.</w:t>
      </w:r>
    </w:p>
    <w:p w14:paraId="01291162" w14:textId="2C9A67C5" w:rsidR="008C06CF" w:rsidRDefault="006F28C5" w:rsidP="00BB0F3F">
      <w:r w:rsidRPr="00BB0F3F">
        <w:t>11</w:t>
      </w:r>
      <w:r w:rsidR="00681C0F" w:rsidRPr="00BB0F3F">
        <w:tab/>
      </w:r>
      <w:r w:rsidR="00E61456" w:rsidRPr="00BB0F3F">
        <w:t>La presente</w:t>
      </w:r>
      <w:r w:rsidR="00681C0F" w:rsidRPr="00BB0F3F">
        <w:t xml:space="preserve"> Declaración y la información relativa a las actividades de colaboración, </w:t>
      </w:r>
      <w:r w:rsidR="004E3A5B" w:rsidRPr="00BB0F3F">
        <w:t>realizadas</w:t>
      </w:r>
      <w:r w:rsidR="00681C0F" w:rsidRPr="00BB0F3F">
        <w:t xml:space="preserve"> o propuestas, </w:t>
      </w:r>
      <w:r w:rsidR="004E3A5B" w:rsidRPr="00BB0F3F">
        <w:t>podrán divulgarse</w:t>
      </w:r>
      <w:r w:rsidR="005D23D5">
        <w:t xml:space="preserve"> públicamente. </w:t>
      </w:r>
      <w:r w:rsidR="004E3A5B" w:rsidRPr="00BB0F3F">
        <w:t>Las</w:t>
      </w:r>
      <w:r w:rsidR="00681C0F" w:rsidRPr="00BB0F3F">
        <w:t xml:space="preserve"> </w:t>
      </w:r>
      <w:r w:rsidR="004E3A5B" w:rsidRPr="00BB0F3F">
        <w:t>partes signatarias</w:t>
      </w:r>
      <w:r w:rsidR="00681C0F" w:rsidRPr="00BB0F3F">
        <w:t xml:space="preserve"> podrá</w:t>
      </w:r>
      <w:r w:rsidR="004E3A5B" w:rsidRPr="00BB0F3F">
        <w:t>n</w:t>
      </w:r>
      <w:r w:rsidR="00681C0F" w:rsidRPr="00BB0F3F">
        <w:t xml:space="preserve"> divulgar </w:t>
      </w:r>
      <w:r w:rsidR="004E3A5B" w:rsidRPr="00BB0F3F">
        <w:t>esa</w:t>
      </w:r>
      <w:r w:rsidR="00681C0F" w:rsidRPr="00BB0F3F">
        <w:t xml:space="preserve"> información de conformidad con sus propias políticas de divulgación o acceso a la información. </w:t>
      </w:r>
      <w:r w:rsidR="004E3A5B" w:rsidRPr="00BB0F3F">
        <w:t>También</w:t>
      </w:r>
      <w:r w:rsidR="00681C0F" w:rsidRPr="00BB0F3F">
        <w:t xml:space="preserve"> </w:t>
      </w:r>
      <w:r w:rsidR="004E3A5B" w:rsidRPr="00BB0F3F">
        <w:t xml:space="preserve">acordarán mutuamente el modo y la </w:t>
      </w:r>
      <w:r w:rsidR="00681C0F" w:rsidRPr="00BB0F3F">
        <w:t xml:space="preserve">forma de </w:t>
      </w:r>
      <w:r w:rsidR="004E3A5B" w:rsidRPr="00BB0F3F">
        <w:t xml:space="preserve">todo </w:t>
      </w:r>
      <w:r w:rsidR="00681C0F" w:rsidRPr="00BB0F3F">
        <w:t xml:space="preserve">reconocimiento, </w:t>
      </w:r>
      <w:r w:rsidR="004E3A5B" w:rsidRPr="00BB0F3F">
        <w:t>incluidos</w:t>
      </w:r>
      <w:r w:rsidR="00681C0F" w:rsidRPr="00BB0F3F">
        <w:t xml:space="preserve"> comunicado</w:t>
      </w:r>
      <w:r w:rsidR="004E3A5B" w:rsidRPr="00BB0F3F">
        <w:t>s</w:t>
      </w:r>
      <w:r w:rsidR="00681C0F" w:rsidRPr="00BB0F3F">
        <w:t xml:space="preserve"> de prensa </w:t>
      </w:r>
      <w:r w:rsidR="004E3A5B" w:rsidRPr="00BB0F3F">
        <w:t>o</w:t>
      </w:r>
      <w:r w:rsidR="00681C0F" w:rsidRPr="00BB0F3F">
        <w:t xml:space="preserve"> publicidad </w:t>
      </w:r>
      <w:r w:rsidR="004E3A5B" w:rsidRPr="00BB0F3F">
        <w:t>que guarden relación con la presente</w:t>
      </w:r>
      <w:r w:rsidR="00681C0F" w:rsidRPr="00BB0F3F">
        <w:t xml:space="preserve"> Declaración</w:t>
      </w:r>
      <w:r w:rsidR="004E3A5B" w:rsidRPr="00BB0F3F">
        <w:t>,</w:t>
      </w:r>
      <w:r w:rsidR="00681C0F" w:rsidRPr="00BB0F3F">
        <w:t xml:space="preserve"> o con cualquiera de las actividades de colaboración, </w:t>
      </w:r>
      <w:r w:rsidR="004E3A5B" w:rsidRPr="00BB0F3F">
        <w:t>realizadas</w:t>
      </w:r>
      <w:r w:rsidR="00681C0F" w:rsidRPr="00BB0F3F">
        <w:t xml:space="preserve"> o propuestas, </w:t>
      </w:r>
      <w:r w:rsidR="004E3A5B" w:rsidRPr="00BB0F3F">
        <w:t>que se describen</w:t>
      </w:r>
      <w:r w:rsidR="00681C0F" w:rsidRPr="00BB0F3F">
        <w:t xml:space="preserve"> en este documento.</w:t>
      </w:r>
    </w:p>
    <w:p w14:paraId="58FE3DEC" w14:textId="0A6B09F1" w:rsidR="008C06CF" w:rsidRDefault="008C06CF">
      <w:pPr>
        <w:tabs>
          <w:tab w:val="clear" w:pos="567"/>
          <w:tab w:val="clear" w:pos="1134"/>
          <w:tab w:val="clear" w:pos="1701"/>
          <w:tab w:val="clear" w:pos="2268"/>
          <w:tab w:val="clear" w:pos="2835"/>
        </w:tabs>
        <w:overflowPunct/>
        <w:autoSpaceDE/>
        <w:autoSpaceDN/>
        <w:adjustRightInd/>
        <w:spacing w:before="0"/>
        <w:textAlignment w:val="auto"/>
      </w:pPr>
      <w:r>
        <w:br w:type="page"/>
      </w:r>
    </w:p>
    <w:p w14:paraId="01A19CBB" w14:textId="0A348614" w:rsidR="00E86B4E" w:rsidRPr="00BB0F3F" w:rsidRDefault="006F28C5" w:rsidP="008C06CF">
      <w:pPr>
        <w:spacing w:after="360"/>
      </w:pPr>
      <w:r w:rsidRPr="00BB0F3F">
        <w:lastRenderedPageBreak/>
        <w:t>12</w:t>
      </w:r>
      <w:r w:rsidR="00681C0F" w:rsidRPr="00BB0F3F">
        <w:tab/>
        <w:t xml:space="preserve">La presente Declaración </w:t>
      </w:r>
      <w:r w:rsidR="004E3A5B" w:rsidRPr="00BB0F3F">
        <w:t>dejará de tener validez tres años después de la fecha de</w:t>
      </w:r>
      <w:r w:rsidR="00681C0F" w:rsidRPr="00BB0F3F">
        <w:t xml:space="preserve"> su entrada en vigor</w:t>
      </w:r>
      <w:r w:rsidR="00E86B4E" w:rsidRPr="00BB0F3F">
        <w:t xml:space="preserve">. </w:t>
      </w:r>
    </w:p>
    <w:tbl>
      <w:tblPr>
        <w:tblStyle w:val="TableGrid"/>
        <w:tblW w:w="1009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5"/>
        <w:gridCol w:w="5315"/>
      </w:tblGrid>
      <w:tr w:rsidR="00E86B4E" w:rsidRPr="008C06CF" w14:paraId="17CE3CD9" w14:textId="77777777" w:rsidTr="000B5F63">
        <w:tc>
          <w:tcPr>
            <w:tcW w:w="4775" w:type="dxa"/>
          </w:tcPr>
          <w:p w14:paraId="30065D2B" w14:textId="2CADFDD4" w:rsidR="00E86B4E" w:rsidRPr="008C06CF" w:rsidRDefault="004E3A5B" w:rsidP="001D46C1">
            <w:pPr>
              <w:tabs>
                <w:tab w:val="left" w:pos="-3690"/>
              </w:tabs>
              <w:rPr>
                <w:rFonts w:asciiTheme="minorHAnsi" w:hAnsiTheme="minorHAnsi" w:cstheme="minorHAnsi"/>
              </w:rPr>
            </w:pPr>
            <w:r w:rsidRPr="008C06CF">
              <w:rPr>
                <w:rFonts w:asciiTheme="minorHAnsi" w:hAnsiTheme="minorHAnsi" w:cstheme="minorHAnsi"/>
                <w:b/>
              </w:rPr>
              <w:t>BANCO INTERNACIONAL DE RECONSTRUCCIÓN Y FOMENTO</w:t>
            </w:r>
            <w:r w:rsidR="00E86B4E" w:rsidRPr="008C06CF">
              <w:rPr>
                <w:rFonts w:asciiTheme="minorHAnsi" w:hAnsiTheme="minorHAnsi" w:cstheme="minorHAnsi"/>
                <w:b/>
              </w:rPr>
              <w:t xml:space="preserve"> / </w:t>
            </w:r>
            <w:r w:rsidRPr="008C06CF">
              <w:rPr>
                <w:rFonts w:asciiTheme="minorHAnsi" w:hAnsiTheme="minorHAnsi" w:cstheme="minorHAnsi"/>
                <w:b/>
              </w:rPr>
              <w:t>ASOCIACIÓN INTERNACIONAL DE FOMENTO</w:t>
            </w:r>
          </w:p>
        </w:tc>
        <w:tc>
          <w:tcPr>
            <w:tcW w:w="5315" w:type="dxa"/>
          </w:tcPr>
          <w:p w14:paraId="7F310D0A" w14:textId="391788E5" w:rsidR="00E86B4E" w:rsidRPr="008C06CF" w:rsidRDefault="004E3A5B" w:rsidP="001D46C1">
            <w:pPr>
              <w:tabs>
                <w:tab w:val="left" w:pos="-3690"/>
              </w:tabs>
              <w:ind w:left="250" w:right="-100"/>
              <w:rPr>
                <w:rFonts w:asciiTheme="minorHAnsi" w:hAnsiTheme="minorHAnsi" w:cstheme="minorHAnsi"/>
                <w:b/>
              </w:rPr>
            </w:pPr>
            <w:r w:rsidRPr="008C06CF">
              <w:rPr>
                <w:rFonts w:asciiTheme="minorHAnsi" w:hAnsiTheme="minorHAnsi" w:cstheme="minorHAnsi"/>
                <w:b/>
              </w:rPr>
              <w:t>UNIÓN INTERNACIONAL DE TELECOMUNICACIONES</w:t>
            </w:r>
          </w:p>
        </w:tc>
      </w:tr>
      <w:tr w:rsidR="00E86B4E" w:rsidRPr="008C06CF" w14:paraId="7BC7F9AB" w14:textId="77777777" w:rsidTr="000B5F63">
        <w:tc>
          <w:tcPr>
            <w:tcW w:w="4775" w:type="dxa"/>
          </w:tcPr>
          <w:p w14:paraId="5E01049B" w14:textId="77777777" w:rsidR="00E86B4E" w:rsidRPr="008C06CF" w:rsidRDefault="00E86B4E" w:rsidP="001D46C1">
            <w:pPr>
              <w:tabs>
                <w:tab w:val="left" w:pos="-3690"/>
              </w:tabs>
              <w:rPr>
                <w:rFonts w:asciiTheme="minorHAnsi" w:hAnsiTheme="minorHAnsi" w:cstheme="minorHAnsi"/>
                <w:szCs w:val="24"/>
              </w:rPr>
            </w:pPr>
          </w:p>
          <w:p w14:paraId="681A9BDA" w14:textId="56ABA545" w:rsidR="00E86B4E" w:rsidRPr="008C06CF" w:rsidRDefault="004E3A5B" w:rsidP="001D46C1">
            <w:pPr>
              <w:tabs>
                <w:tab w:val="left" w:pos="-3690"/>
              </w:tabs>
              <w:rPr>
                <w:rFonts w:asciiTheme="minorHAnsi" w:hAnsiTheme="minorHAnsi" w:cstheme="minorHAnsi"/>
                <w:b/>
                <w:szCs w:val="24"/>
              </w:rPr>
            </w:pPr>
            <w:r w:rsidRPr="008C06CF">
              <w:rPr>
                <w:rFonts w:asciiTheme="minorHAnsi" w:hAnsiTheme="minorHAnsi" w:cstheme="minorHAnsi"/>
                <w:szCs w:val="24"/>
              </w:rPr>
              <w:t>Por</w:t>
            </w:r>
            <w:r w:rsidR="00E86B4E" w:rsidRPr="008C06CF">
              <w:rPr>
                <w:rFonts w:asciiTheme="minorHAnsi" w:hAnsiTheme="minorHAnsi" w:cstheme="minorHAnsi"/>
                <w:szCs w:val="24"/>
              </w:rPr>
              <w:t xml:space="preserve">: </w:t>
            </w:r>
            <w:r w:rsidR="00E86B4E" w:rsidRPr="008C06CF">
              <w:rPr>
                <w:rFonts w:asciiTheme="minorHAnsi" w:hAnsiTheme="minorHAnsi" w:cstheme="minorHAnsi"/>
                <w:szCs w:val="24"/>
                <w:u w:val="single"/>
              </w:rPr>
              <w:t xml:space="preserve">  _____________________________ ___</w:t>
            </w:r>
          </w:p>
        </w:tc>
        <w:tc>
          <w:tcPr>
            <w:tcW w:w="5315" w:type="dxa"/>
          </w:tcPr>
          <w:p w14:paraId="5FD9E976" w14:textId="77777777" w:rsidR="00E86B4E" w:rsidRPr="008C06CF" w:rsidRDefault="00E86B4E" w:rsidP="001D46C1">
            <w:pPr>
              <w:tabs>
                <w:tab w:val="left" w:pos="-3690"/>
              </w:tabs>
              <w:ind w:left="250"/>
              <w:rPr>
                <w:rFonts w:asciiTheme="minorHAnsi" w:hAnsiTheme="minorHAnsi" w:cstheme="minorHAnsi"/>
                <w:szCs w:val="24"/>
              </w:rPr>
            </w:pPr>
          </w:p>
          <w:p w14:paraId="45DE49F4" w14:textId="2237EDD4" w:rsidR="00E86B4E" w:rsidRPr="008C06CF" w:rsidRDefault="004E3A5B" w:rsidP="001D46C1">
            <w:pPr>
              <w:tabs>
                <w:tab w:val="left" w:pos="-3690"/>
              </w:tabs>
              <w:ind w:left="250"/>
              <w:rPr>
                <w:rFonts w:asciiTheme="minorHAnsi" w:hAnsiTheme="minorHAnsi" w:cstheme="minorHAnsi"/>
                <w:b/>
                <w:szCs w:val="24"/>
              </w:rPr>
            </w:pPr>
            <w:r w:rsidRPr="008C06CF">
              <w:rPr>
                <w:rFonts w:asciiTheme="minorHAnsi" w:hAnsiTheme="minorHAnsi" w:cstheme="minorHAnsi"/>
                <w:szCs w:val="24"/>
              </w:rPr>
              <w:t>Por</w:t>
            </w:r>
            <w:r w:rsidR="00E86B4E" w:rsidRPr="008C06CF">
              <w:rPr>
                <w:rFonts w:asciiTheme="minorHAnsi" w:hAnsiTheme="minorHAnsi" w:cstheme="minorHAnsi"/>
                <w:szCs w:val="24"/>
              </w:rPr>
              <w:t xml:space="preserve">:  </w:t>
            </w:r>
            <w:r w:rsidR="00E86B4E" w:rsidRPr="008C06CF">
              <w:rPr>
                <w:rFonts w:asciiTheme="minorHAnsi" w:hAnsiTheme="minorHAnsi" w:cstheme="minorHAnsi"/>
                <w:szCs w:val="24"/>
                <w:u w:val="single"/>
              </w:rPr>
              <w:t xml:space="preserve">  ______________________________ ____</w:t>
            </w:r>
            <w:r w:rsidR="00E86B4E" w:rsidRPr="008C06CF">
              <w:rPr>
                <w:rFonts w:asciiTheme="minorHAnsi" w:hAnsiTheme="minorHAnsi" w:cstheme="minorHAnsi"/>
                <w:szCs w:val="24"/>
              </w:rPr>
              <w:t xml:space="preserve">         </w:t>
            </w:r>
          </w:p>
        </w:tc>
      </w:tr>
      <w:tr w:rsidR="00E86B4E" w:rsidRPr="008C06CF" w14:paraId="5B1E5C52" w14:textId="77777777" w:rsidTr="000B5F63">
        <w:tc>
          <w:tcPr>
            <w:tcW w:w="4775" w:type="dxa"/>
          </w:tcPr>
          <w:p w14:paraId="41C201C4" w14:textId="427A568A" w:rsidR="00E86B4E" w:rsidRPr="008C06CF" w:rsidRDefault="00E86B4E" w:rsidP="001D46C1">
            <w:pPr>
              <w:tabs>
                <w:tab w:val="left" w:pos="-3690"/>
              </w:tabs>
              <w:rPr>
                <w:rFonts w:asciiTheme="minorHAnsi" w:hAnsiTheme="minorHAnsi" w:cstheme="minorHAnsi"/>
                <w:szCs w:val="24"/>
              </w:rPr>
            </w:pPr>
            <w:r w:rsidRPr="008C06CF">
              <w:rPr>
                <w:rFonts w:asciiTheme="minorHAnsi" w:hAnsiTheme="minorHAnsi" w:cstheme="minorHAnsi"/>
                <w:szCs w:val="24"/>
              </w:rPr>
              <w:t>Makhtar Diop, Vice</w:t>
            </w:r>
            <w:r w:rsidR="004E3A5B" w:rsidRPr="008C06CF">
              <w:rPr>
                <w:rFonts w:asciiTheme="minorHAnsi" w:hAnsiTheme="minorHAnsi" w:cstheme="minorHAnsi"/>
                <w:szCs w:val="24"/>
              </w:rPr>
              <w:t>presidnete</w:t>
            </w:r>
          </w:p>
        </w:tc>
        <w:tc>
          <w:tcPr>
            <w:tcW w:w="5315" w:type="dxa"/>
          </w:tcPr>
          <w:p w14:paraId="4ACAA4BA" w14:textId="1E88387A" w:rsidR="00E86B4E" w:rsidRPr="008C06CF" w:rsidRDefault="00E86B4E" w:rsidP="001D46C1">
            <w:pPr>
              <w:tabs>
                <w:tab w:val="left" w:pos="-3690"/>
              </w:tabs>
              <w:ind w:left="250"/>
              <w:rPr>
                <w:rFonts w:asciiTheme="minorHAnsi" w:hAnsiTheme="minorHAnsi" w:cstheme="minorHAnsi"/>
                <w:szCs w:val="24"/>
              </w:rPr>
            </w:pPr>
            <w:r w:rsidRPr="008C06CF">
              <w:rPr>
                <w:rFonts w:asciiTheme="minorHAnsi" w:hAnsiTheme="minorHAnsi" w:cstheme="minorHAnsi"/>
                <w:szCs w:val="24"/>
              </w:rPr>
              <w:t xml:space="preserve">Malcolm Johnson, </w:t>
            </w:r>
            <w:r w:rsidR="004E3A5B" w:rsidRPr="008C06CF">
              <w:rPr>
                <w:rFonts w:asciiTheme="minorHAnsi" w:hAnsiTheme="minorHAnsi" w:cstheme="minorHAnsi"/>
                <w:szCs w:val="24"/>
              </w:rPr>
              <w:t>Vicesecretario General</w:t>
            </w:r>
          </w:p>
        </w:tc>
      </w:tr>
      <w:tr w:rsidR="00E86B4E" w:rsidRPr="000E56FB" w14:paraId="5E21AD3A" w14:textId="77777777" w:rsidTr="000B5F63">
        <w:tc>
          <w:tcPr>
            <w:tcW w:w="4775" w:type="dxa"/>
          </w:tcPr>
          <w:p w14:paraId="141C1F01" w14:textId="6BB5DEF6" w:rsidR="00E86B4E" w:rsidRPr="008C06CF" w:rsidRDefault="00E86B4E" w:rsidP="008C06CF">
            <w:pPr>
              <w:ind w:right="-43"/>
              <w:rPr>
                <w:rFonts w:asciiTheme="minorHAnsi" w:hAnsiTheme="minorHAnsi" w:cstheme="minorHAnsi"/>
                <w:szCs w:val="24"/>
              </w:rPr>
            </w:pPr>
            <w:r w:rsidRPr="008C06CF">
              <w:rPr>
                <w:rFonts w:asciiTheme="minorHAnsi" w:hAnsiTheme="minorHAnsi" w:cstheme="minorHAnsi"/>
                <w:bCs/>
                <w:szCs w:val="24"/>
                <w:lang w:val="es-ES"/>
              </w:rPr>
              <w:t>1818 H Street NW</w:t>
            </w:r>
            <w:r w:rsidR="008C06CF" w:rsidRPr="008C06CF">
              <w:rPr>
                <w:rFonts w:asciiTheme="minorHAnsi" w:hAnsiTheme="minorHAnsi" w:cstheme="minorHAnsi"/>
                <w:bCs/>
                <w:szCs w:val="24"/>
                <w:lang w:val="es-ES"/>
              </w:rPr>
              <w:br/>
            </w:r>
            <w:r w:rsidRPr="008C06CF">
              <w:rPr>
                <w:rFonts w:asciiTheme="minorHAnsi" w:hAnsiTheme="minorHAnsi" w:cstheme="minorHAnsi"/>
                <w:bCs/>
                <w:szCs w:val="24"/>
                <w:lang w:val="es-ES"/>
              </w:rPr>
              <w:t>Washington D.</w:t>
            </w:r>
            <w:r w:rsidR="0008065D" w:rsidRPr="008C06CF">
              <w:rPr>
                <w:rFonts w:asciiTheme="minorHAnsi" w:hAnsiTheme="minorHAnsi" w:cstheme="minorHAnsi"/>
                <w:bCs/>
                <w:szCs w:val="24"/>
                <w:lang w:val="es-ES"/>
              </w:rPr>
              <w:t xml:space="preserve">C </w:t>
            </w:r>
            <w:r w:rsidRPr="008C06CF">
              <w:rPr>
                <w:rFonts w:asciiTheme="minorHAnsi" w:hAnsiTheme="minorHAnsi" w:cstheme="minorHAnsi"/>
                <w:bCs/>
                <w:szCs w:val="24"/>
                <w:lang w:val="es-ES"/>
              </w:rPr>
              <w:t>20433</w:t>
            </w:r>
            <w:r w:rsidR="008C06CF">
              <w:rPr>
                <w:rFonts w:asciiTheme="minorHAnsi" w:hAnsiTheme="minorHAnsi" w:cstheme="minorHAnsi"/>
                <w:bCs/>
                <w:szCs w:val="24"/>
                <w:lang w:val="es-ES"/>
              </w:rPr>
              <w:br/>
            </w:r>
            <w:r w:rsidR="004E3A5B" w:rsidRPr="008C06CF">
              <w:rPr>
                <w:rFonts w:asciiTheme="minorHAnsi" w:hAnsiTheme="minorHAnsi" w:cstheme="minorHAnsi"/>
                <w:bCs/>
                <w:szCs w:val="24"/>
              </w:rPr>
              <w:t>Estados Unidos</w:t>
            </w:r>
          </w:p>
        </w:tc>
        <w:tc>
          <w:tcPr>
            <w:tcW w:w="5315" w:type="dxa"/>
            <w:shd w:val="clear" w:color="auto" w:fill="FFFFFF" w:themeFill="background1"/>
          </w:tcPr>
          <w:p w14:paraId="0BFF59B8" w14:textId="26BF719A" w:rsidR="00E86B4E" w:rsidRPr="008C06CF" w:rsidRDefault="00E86B4E" w:rsidP="008C06CF">
            <w:pPr>
              <w:ind w:left="250" w:right="-43"/>
              <w:rPr>
                <w:rFonts w:asciiTheme="minorHAnsi" w:hAnsiTheme="minorHAnsi" w:cstheme="minorHAnsi"/>
                <w:szCs w:val="24"/>
                <w:lang w:val="fr-CH"/>
              </w:rPr>
            </w:pPr>
            <w:r w:rsidRPr="008C06CF">
              <w:rPr>
                <w:rFonts w:asciiTheme="minorHAnsi" w:hAnsiTheme="minorHAnsi" w:cstheme="minorHAnsi"/>
                <w:bCs/>
                <w:szCs w:val="24"/>
                <w:lang w:val="fr-CH"/>
              </w:rPr>
              <w:t>Place des Nations</w:t>
            </w:r>
            <w:r w:rsidR="008C06CF" w:rsidRPr="008C06CF">
              <w:rPr>
                <w:rFonts w:asciiTheme="minorHAnsi" w:hAnsiTheme="minorHAnsi" w:cstheme="minorHAnsi"/>
                <w:bCs/>
                <w:szCs w:val="24"/>
                <w:lang w:val="fr-CH"/>
              </w:rPr>
              <w:br/>
            </w:r>
            <w:r w:rsidRPr="008C06CF">
              <w:rPr>
                <w:rFonts w:asciiTheme="minorHAnsi" w:hAnsiTheme="minorHAnsi" w:cstheme="minorHAnsi"/>
                <w:bCs/>
                <w:szCs w:val="24"/>
                <w:lang w:val="fr-CH"/>
              </w:rPr>
              <w:t xml:space="preserve">1211 </w:t>
            </w:r>
            <w:r w:rsidR="004E3A5B" w:rsidRPr="008C06CF">
              <w:rPr>
                <w:rFonts w:asciiTheme="minorHAnsi" w:hAnsiTheme="minorHAnsi" w:cstheme="minorHAnsi"/>
                <w:bCs/>
                <w:szCs w:val="24"/>
                <w:lang w:val="fr-CH"/>
              </w:rPr>
              <w:t>Ginebra</w:t>
            </w:r>
            <w:r w:rsidRPr="008C06CF">
              <w:rPr>
                <w:rFonts w:asciiTheme="minorHAnsi" w:hAnsiTheme="minorHAnsi" w:cstheme="minorHAnsi"/>
                <w:bCs/>
                <w:szCs w:val="24"/>
                <w:lang w:val="fr-CH"/>
              </w:rPr>
              <w:t xml:space="preserve"> 20</w:t>
            </w:r>
            <w:r w:rsidR="008C06CF" w:rsidRPr="008C06CF">
              <w:rPr>
                <w:rFonts w:asciiTheme="minorHAnsi" w:hAnsiTheme="minorHAnsi" w:cstheme="minorHAnsi"/>
                <w:bCs/>
                <w:szCs w:val="24"/>
                <w:lang w:val="fr-CH"/>
              </w:rPr>
              <w:br/>
            </w:r>
            <w:r w:rsidR="004E3A5B" w:rsidRPr="008C06CF">
              <w:rPr>
                <w:rFonts w:asciiTheme="minorHAnsi" w:hAnsiTheme="minorHAnsi" w:cstheme="minorHAnsi"/>
                <w:bCs/>
                <w:szCs w:val="24"/>
                <w:lang w:val="fr-CH"/>
              </w:rPr>
              <w:t>Suiza</w:t>
            </w:r>
          </w:p>
        </w:tc>
      </w:tr>
    </w:tbl>
    <w:p w14:paraId="4CFF6B8D" w14:textId="77777777" w:rsidR="00E86B4E" w:rsidRPr="008C06CF" w:rsidRDefault="00E86B4E" w:rsidP="001D46C1">
      <w:pPr>
        <w:spacing w:before="112"/>
        <w:ind w:right="4"/>
        <w:jc w:val="center"/>
        <w:rPr>
          <w:rFonts w:ascii="Times New Roman" w:hAnsi="Times New Roman"/>
          <w:b/>
          <w:szCs w:val="24"/>
          <w:lang w:val="fr-CH"/>
        </w:rPr>
      </w:pPr>
    </w:p>
    <w:p w14:paraId="7DCDE61F" w14:textId="77777777" w:rsidR="00E86B4E" w:rsidRPr="008C06CF" w:rsidRDefault="00E86B4E" w:rsidP="001D46C1">
      <w:pPr>
        <w:autoSpaceDE/>
        <w:autoSpaceDN/>
        <w:spacing w:after="160"/>
        <w:rPr>
          <w:rFonts w:ascii="Times New Roman" w:hAnsi="Times New Roman"/>
          <w:b/>
          <w:szCs w:val="24"/>
          <w:lang w:val="fr-CH"/>
        </w:rPr>
      </w:pPr>
      <w:r w:rsidRPr="008C06CF">
        <w:rPr>
          <w:rFonts w:ascii="Times New Roman" w:hAnsi="Times New Roman"/>
          <w:b/>
          <w:szCs w:val="24"/>
          <w:lang w:val="fr-CH"/>
        </w:rPr>
        <w:br w:type="page"/>
      </w:r>
    </w:p>
    <w:p w14:paraId="5F0234A9" w14:textId="73DE83C1" w:rsidR="00E86B4E" w:rsidRPr="00180180" w:rsidRDefault="00E86B4E" w:rsidP="00116559">
      <w:pPr>
        <w:pStyle w:val="AnnexNo"/>
      </w:pPr>
      <w:r w:rsidRPr="00180180">
        <w:lastRenderedPageBreak/>
        <w:t>An</w:t>
      </w:r>
      <w:r w:rsidR="00A3003D" w:rsidRPr="00180180">
        <w:t xml:space="preserve">exo </w:t>
      </w:r>
      <w:r w:rsidRPr="00180180">
        <w:t>1</w:t>
      </w:r>
    </w:p>
    <w:p w14:paraId="2BC04E6E" w14:textId="693D4BC3" w:rsidR="00E86B4E" w:rsidRPr="00180180" w:rsidRDefault="00A3003D" w:rsidP="001D46C1">
      <w:pPr>
        <w:pStyle w:val="Annextitle"/>
      </w:pPr>
      <w:r w:rsidRPr="00180180">
        <w:t>Clasificación de las esferas de asociación</w:t>
      </w:r>
      <w:r w:rsidR="00E86B4E" w:rsidRPr="00180180">
        <w:t xml:space="preserve"> </w:t>
      </w:r>
    </w:p>
    <w:tbl>
      <w:tblPr>
        <w:tblStyle w:val="TableGrid"/>
        <w:tblW w:w="9442" w:type="dxa"/>
        <w:tblInd w:w="-5" w:type="dxa"/>
        <w:tblLook w:val="04A0" w:firstRow="1" w:lastRow="0" w:firstColumn="1" w:lastColumn="0" w:noHBand="0" w:noVBand="1"/>
      </w:tblPr>
      <w:tblGrid>
        <w:gridCol w:w="3002"/>
        <w:gridCol w:w="3824"/>
        <w:gridCol w:w="2616"/>
      </w:tblGrid>
      <w:tr w:rsidR="00031881" w:rsidRPr="00180180" w14:paraId="56D15CD4" w14:textId="77777777" w:rsidTr="000B5F63">
        <w:trPr>
          <w:trHeight w:val="401"/>
          <w:tblHeader/>
        </w:trPr>
        <w:tc>
          <w:tcPr>
            <w:tcW w:w="3133" w:type="dxa"/>
            <w:shd w:val="clear" w:color="auto" w:fill="B8CCE4" w:themeFill="accent1" w:themeFillTint="66"/>
          </w:tcPr>
          <w:p w14:paraId="0B8DA236" w14:textId="2EFE82AC" w:rsidR="00E86B4E" w:rsidRPr="00180180" w:rsidRDefault="00A3003D" w:rsidP="001D46C1">
            <w:pPr>
              <w:pStyle w:val="Tablehead"/>
            </w:pPr>
            <w:r w:rsidRPr="00180180">
              <w:t>Esferas de asociación</w:t>
            </w:r>
          </w:p>
        </w:tc>
        <w:tc>
          <w:tcPr>
            <w:tcW w:w="3955" w:type="dxa"/>
            <w:shd w:val="clear" w:color="auto" w:fill="B8CCE4" w:themeFill="accent1" w:themeFillTint="66"/>
          </w:tcPr>
          <w:p w14:paraId="5394B9B3" w14:textId="0A3A04E3" w:rsidR="00E86B4E" w:rsidRPr="00180180" w:rsidRDefault="00A3003D" w:rsidP="001D46C1">
            <w:pPr>
              <w:pStyle w:val="Tablehead"/>
            </w:pPr>
            <w:r w:rsidRPr="00180180">
              <w:t>Cooperación pasada/en curso</w:t>
            </w:r>
          </w:p>
          <w:p w14:paraId="0BA4D7D4" w14:textId="77777777" w:rsidR="00E86B4E" w:rsidRPr="00180180" w:rsidRDefault="00E86B4E" w:rsidP="001D46C1">
            <w:pPr>
              <w:pStyle w:val="Tablehead"/>
            </w:pPr>
          </w:p>
        </w:tc>
        <w:tc>
          <w:tcPr>
            <w:tcW w:w="2354" w:type="dxa"/>
            <w:shd w:val="clear" w:color="auto" w:fill="B8CCE4" w:themeFill="accent1" w:themeFillTint="66"/>
          </w:tcPr>
          <w:p w14:paraId="4DF8A4A6" w14:textId="50E3D4CC" w:rsidR="00E86B4E" w:rsidRPr="00180180" w:rsidRDefault="00A3003D" w:rsidP="001D46C1">
            <w:pPr>
              <w:pStyle w:val="Tablehead"/>
            </w:pPr>
            <w:r w:rsidRPr="00180180">
              <w:t>Propuesta de cooperación/colaboración futura</w:t>
            </w:r>
          </w:p>
        </w:tc>
      </w:tr>
      <w:tr w:rsidR="00031881" w:rsidRPr="00180180" w14:paraId="62F5B2EB" w14:textId="77777777" w:rsidTr="000B5F63">
        <w:tc>
          <w:tcPr>
            <w:tcW w:w="3133" w:type="dxa"/>
          </w:tcPr>
          <w:p w14:paraId="38E319C4" w14:textId="77777777" w:rsidR="00E86B4E" w:rsidRPr="00180180" w:rsidRDefault="00E86B4E" w:rsidP="001D46C1">
            <w:pPr>
              <w:pStyle w:val="Tabletext"/>
            </w:pPr>
          </w:p>
        </w:tc>
        <w:tc>
          <w:tcPr>
            <w:tcW w:w="3955" w:type="dxa"/>
          </w:tcPr>
          <w:p w14:paraId="6F82A565" w14:textId="63EA86D4" w:rsidR="00A3003D" w:rsidRPr="00180180" w:rsidRDefault="00465FC2" w:rsidP="004240D7">
            <w:pPr>
              <w:pStyle w:val="Tabletext"/>
              <w:ind w:left="440" w:hanging="440"/>
            </w:pPr>
            <w:r w:rsidRPr="00180180">
              <w:rPr>
                <w:w w:val="105"/>
              </w:rPr>
              <w:t>•</w:t>
            </w:r>
            <w:r w:rsidRPr="00180180">
              <w:rPr>
                <w:w w:val="105"/>
              </w:rPr>
              <w:tab/>
            </w:r>
            <w:r w:rsidR="00A3003D" w:rsidRPr="00180180">
              <w:t>Memorando de entendimiento (2003) entre la UIT y el BIRF (Banco Mundial)</w:t>
            </w:r>
            <w:r w:rsidR="0036049A" w:rsidRPr="00180180">
              <w:t>, sobre</w:t>
            </w:r>
            <w:r w:rsidR="00A3003D" w:rsidRPr="00180180">
              <w:t xml:space="preserve"> cooperación en </w:t>
            </w:r>
            <w:r w:rsidR="0036049A" w:rsidRPr="00180180">
              <w:t>la esfera de</w:t>
            </w:r>
            <w:r w:rsidR="00A3003D" w:rsidRPr="00180180">
              <w:t xml:space="preserve"> las TIC y las telecomunicaciones en los países en desarrollo</w:t>
            </w:r>
            <w:r w:rsidR="001636D1">
              <w:t>.</w:t>
            </w:r>
          </w:p>
          <w:p w14:paraId="383D1211" w14:textId="37436189" w:rsidR="00E86B4E" w:rsidRPr="00180180" w:rsidRDefault="006F28C5" w:rsidP="004240D7">
            <w:pPr>
              <w:pStyle w:val="Tabletext"/>
              <w:ind w:left="426" w:hanging="426"/>
            </w:pPr>
            <w:r w:rsidRPr="00180180">
              <w:rPr>
                <w:w w:val="105"/>
              </w:rPr>
              <w:t>•</w:t>
            </w:r>
            <w:r w:rsidRPr="00180180">
              <w:rPr>
                <w:w w:val="105"/>
              </w:rPr>
              <w:tab/>
            </w:r>
            <w:r w:rsidR="00A3003D" w:rsidRPr="00180180">
              <w:t xml:space="preserve">Acuerdo de cooperación (2009) entre el BIRF y la UIT </w:t>
            </w:r>
            <w:r w:rsidR="0036049A" w:rsidRPr="00180180">
              <w:t>relativo al</w:t>
            </w:r>
            <w:r w:rsidR="00A3003D" w:rsidRPr="00180180">
              <w:t xml:space="preserve"> </w:t>
            </w:r>
            <w:r w:rsidR="0036049A" w:rsidRPr="00180180">
              <w:t xml:space="preserve">conjunto de instrumentos sobre </w:t>
            </w:r>
            <w:r w:rsidR="00A3003D" w:rsidRPr="00180180">
              <w:t>reglamentación de las TIC</w:t>
            </w:r>
            <w:r w:rsidR="001636D1">
              <w:t>.</w:t>
            </w:r>
          </w:p>
        </w:tc>
        <w:tc>
          <w:tcPr>
            <w:tcW w:w="2354" w:type="dxa"/>
          </w:tcPr>
          <w:p w14:paraId="19EAE23B" w14:textId="1FAC77BE" w:rsidR="00E86B4E" w:rsidRPr="00180180" w:rsidRDefault="00A3003D" w:rsidP="001D46C1">
            <w:pPr>
              <w:pStyle w:val="Tabletext"/>
            </w:pPr>
            <w:r w:rsidRPr="00180180">
              <w:t>Declaración conjunta de Acuerdo de Cooperación</w:t>
            </w:r>
          </w:p>
        </w:tc>
      </w:tr>
      <w:tr w:rsidR="00031881" w:rsidRPr="00180180" w14:paraId="3C7ACB6C" w14:textId="77777777" w:rsidTr="000B5F63">
        <w:tc>
          <w:tcPr>
            <w:tcW w:w="3133" w:type="dxa"/>
          </w:tcPr>
          <w:p w14:paraId="06DDD823" w14:textId="2FCE8FED" w:rsidR="00E86B4E" w:rsidRPr="0008065D" w:rsidRDefault="0036049A" w:rsidP="0008065D">
            <w:pPr>
              <w:pStyle w:val="Tabletext"/>
            </w:pPr>
            <w:r w:rsidRPr="0008065D">
              <w:t>Implantación de sistemas</w:t>
            </w:r>
            <w:r w:rsidR="005D23D5">
              <w:t xml:space="preserve"> de comunicación para personas </w:t>
            </w:r>
            <w:r w:rsidRPr="0008065D">
              <w:t>sin conexión mediante tecnologías y aplicaciones digitales personalizadas, en particular en los países menos adelantados, los pequeños Estados insulares en desarrollo, los países FCV y las economías en transición.</w:t>
            </w:r>
          </w:p>
        </w:tc>
        <w:tc>
          <w:tcPr>
            <w:tcW w:w="3955" w:type="dxa"/>
          </w:tcPr>
          <w:p w14:paraId="0CF5EC45" w14:textId="29504BD8" w:rsidR="0036049A" w:rsidRPr="00180180" w:rsidRDefault="00465FC2" w:rsidP="004240D7">
            <w:pPr>
              <w:pStyle w:val="Tabletext"/>
              <w:ind w:left="426" w:hanging="426"/>
            </w:pPr>
            <w:r w:rsidRPr="00180180">
              <w:rPr>
                <w:w w:val="105"/>
              </w:rPr>
              <w:t>•</w:t>
            </w:r>
            <w:r w:rsidRPr="00180180">
              <w:rPr>
                <w:w w:val="105"/>
              </w:rPr>
              <w:tab/>
            </w:r>
            <w:r w:rsidR="0036049A" w:rsidRPr="00180180">
              <w:t>Mapas intera</w:t>
            </w:r>
            <w:r w:rsidR="001636D1">
              <w:t>ctivos de la UIT de transmisión.</w:t>
            </w:r>
          </w:p>
          <w:p w14:paraId="5175BB74" w14:textId="3CCBB0E4" w:rsidR="0036049A" w:rsidRPr="00180180" w:rsidRDefault="006F28C5" w:rsidP="004240D7">
            <w:pPr>
              <w:pStyle w:val="Tabletext"/>
              <w:ind w:left="426" w:hanging="426"/>
            </w:pPr>
            <w:r w:rsidRPr="00180180">
              <w:rPr>
                <w:w w:val="105"/>
              </w:rPr>
              <w:t>•</w:t>
            </w:r>
            <w:r w:rsidRPr="00180180">
              <w:rPr>
                <w:w w:val="105"/>
              </w:rPr>
              <w:tab/>
            </w:r>
            <w:r w:rsidR="0036049A" w:rsidRPr="00180180">
              <w:t xml:space="preserve">Conjunto de instrumentos </w:t>
            </w:r>
            <w:r w:rsidR="004240D7">
              <w:t>sobre reglamentación de las </w:t>
            </w:r>
            <w:r w:rsidR="001636D1">
              <w:t>TIC.</w:t>
            </w:r>
          </w:p>
          <w:p w14:paraId="2CA5274F" w14:textId="14937F26" w:rsidR="0036049A" w:rsidRPr="00180180" w:rsidRDefault="006F28C5" w:rsidP="004240D7">
            <w:pPr>
              <w:pStyle w:val="Tabletext"/>
              <w:ind w:left="426" w:hanging="426"/>
            </w:pPr>
            <w:r w:rsidRPr="00180180">
              <w:rPr>
                <w:w w:val="105"/>
              </w:rPr>
              <w:t>•</w:t>
            </w:r>
            <w:r w:rsidRPr="00180180">
              <w:rPr>
                <w:w w:val="105"/>
              </w:rPr>
              <w:tab/>
            </w:r>
            <w:r w:rsidR="0036049A" w:rsidRPr="00180180">
              <w:t>Conjunto de instrumentos sobre estrategias de banda ancha</w:t>
            </w:r>
            <w:r w:rsidR="001636D1">
              <w:t>.</w:t>
            </w:r>
          </w:p>
          <w:p w14:paraId="01F19C5F" w14:textId="7981A25A" w:rsidR="00E86B4E" w:rsidRPr="00180180" w:rsidRDefault="006F28C5" w:rsidP="004240D7">
            <w:pPr>
              <w:pStyle w:val="Tabletext"/>
              <w:ind w:left="426" w:hanging="426"/>
            </w:pPr>
            <w:r w:rsidRPr="00180180">
              <w:rPr>
                <w:w w:val="105"/>
              </w:rPr>
              <w:t>•</w:t>
            </w:r>
            <w:r w:rsidRPr="00180180">
              <w:rPr>
                <w:w w:val="105"/>
              </w:rPr>
              <w:tab/>
            </w:r>
            <w:r w:rsidR="0036049A" w:rsidRPr="00180180">
              <w:t>Conjunto de instrumentos sobre la economía digital</w:t>
            </w:r>
            <w:r w:rsidR="001636D1">
              <w:t>.</w:t>
            </w:r>
          </w:p>
        </w:tc>
        <w:tc>
          <w:tcPr>
            <w:tcW w:w="2354" w:type="dxa"/>
          </w:tcPr>
          <w:p w14:paraId="2D088FA0" w14:textId="74E13E11" w:rsidR="00E86B4E" w:rsidRPr="00180180" w:rsidRDefault="0036049A" w:rsidP="001D46C1">
            <w:pPr>
              <w:pStyle w:val="Tabletext"/>
            </w:pPr>
            <w:r w:rsidRPr="00180180">
              <w:t>Apoyo a los países escogidos para desarrollar su infraestructura (</w:t>
            </w:r>
            <w:r w:rsidR="0008065D">
              <w:t xml:space="preserve">"GT de la Comisión de la Banda </w:t>
            </w:r>
            <w:r w:rsidR="0008065D" w:rsidRPr="0008065D">
              <w:t>–</w:t>
            </w:r>
            <w:r w:rsidRPr="00180180">
              <w:t xml:space="preserve"> </w:t>
            </w:r>
            <w:r w:rsidR="00647DE7" w:rsidRPr="00180180">
              <w:t>L</w:t>
            </w:r>
            <w:r w:rsidRPr="00180180">
              <w:t>anzamiento de la infraestructura digital para África" en el marco de la iniciativa "</w:t>
            </w:r>
            <w:r w:rsidR="00647DE7" w:rsidRPr="00180180">
              <w:t>Fomento de la economía digital</w:t>
            </w:r>
            <w:r w:rsidRPr="00180180">
              <w:t>" con la Unión Africana).</w:t>
            </w:r>
          </w:p>
        </w:tc>
      </w:tr>
      <w:tr w:rsidR="00031881" w:rsidRPr="00180180" w14:paraId="468D2CD3" w14:textId="77777777" w:rsidTr="000B5F63">
        <w:tc>
          <w:tcPr>
            <w:tcW w:w="3133" w:type="dxa"/>
          </w:tcPr>
          <w:p w14:paraId="4DDAB4B4" w14:textId="25C3B009" w:rsidR="00E86B4E" w:rsidRPr="0008065D" w:rsidRDefault="00F71F88" w:rsidP="0008065D">
            <w:pPr>
              <w:pStyle w:val="Tabletext"/>
            </w:pPr>
            <w:r w:rsidRPr="0008065D">
              <w:t xml:space="preserve">Mejora de la identificación, la concienciación y el análisis </w:t>
            </w:r>
            <w:r w:rsidR="009E6CAC" w:rsidRPr="0008065D">
              <w:t xml:space="preserve">en relación con </w:t>
            </w:r>
            <w:r w:rsidR="00D44A5F" w:rsidRPr="0008065D">
              <w:t xml:space="preserve">nuevas </w:t>
            </w:r>
            <w:r w:rsidR="009E6CAC" w:rsidRPr="0008065D">
              <w:t>tendencias relativas a la tecnología digital</w:t>
            </w:r>
            <w:r w:rsidRPr="0008065D">
              <w:t xml:space="preserve"> y</w:t>
            </w:r>
            <w:r w:rsidR="009E6CAC" w:rsidRPr="0008065D">
              <w:t xml:space="preserve"> las normas </w:t>
            </w:r>
            <w:r w:rsidRPr="0008065D">
              <w:t xml:space="preserve">y actividades empresariales </w:t>
            </w:r>
            <w:r w:rsidR="009E6CAC" w:rsidRPr="0008065D">
              <w:t>técnicas, en particular la inteligencia artificial, los macrodatos, las tecnologías de contabilidad di</w:t>
            </w:r>
            <w:r w:rsidR="00C163C4">
              <w:t>stribuida y la Internet de las c</w:t>
            </w:r>
            <w:r w:rsidR="009E6CAC" w:rsidRPr="0008065D">
              <w:t>osas, así como otras aplicaciones relacionadas con ciudades y aldeas inteligentes.</w:t>
            </w:r>
            <w:r w:rsidR="00E86B4E" w:rsidRPr="0008065D">
              <w:t xml:space="preserve"> </w:t>
            </w:r>
          </w:p>
        </w:tc>
        <w:tc>
          <w:tcPr>
            <w:tcW w:w="3955" w:type="dxa"/>
          </w:tcPr>
          <w:p w14:paraId="11609805" w14:textId="76AD7EE1" w:rsidR="00E63CC5" w:rsidRPr="0008065D" w:rsidRDefault="00465FC2" w:rsidP="004240D7">
            <w:pPr>
              <w:pStyle w:val="Tabletext"/>
              <w:ind w:left="429" w:hanging="429"/>
            </w:pPr>
            <w:r w:rsidRPr="0008065D">
              <w:t>•</w:t>
            </w:r>
            <w:r w:rsidRPr="0008065D">
              <w:tab/>
            </w:r>
            <w:r w:rsidR="00E63CC5" w:rsidRPr="0008065D">
              <w:t xml:space="preserve">Mejora de la capacidad de direccionamiento IPv6 </w:t>
            </w:r>
            <w:r w:rsidR="00CE3F59" w:rsidRPr="0008065D">
              <w:t>y los sistemas</w:t>
            </w:r>
            <w:r w:rsidR="00E63CC5" w:rsidRPr="0008065D">
              <w:t xml:space="preserve"> IoT en los países en desarrollo. </w:t>
            </w:r>
          </w:p>
          <w:p w14:paraId="058E0147" w14:textId="59842C37" w:rsidR="00CE3F59" w:rsidRPr="0008065D" w:rsidRDefault="006F28C5" w:rsidP="004240D7">
            <w:pPr>
              <w:pStyle w:val="Tabletext"/>
              <w:ind w:left="426" w:hanging="426"/>
            </w:pPr>
            <w:r w:rsidRPr="0008065D">
              <w:t>•</w:t>
            </w:r>
            <w:r w:rsidRPr="0008065D">
              <w:tab/>
            </w:r>
            <w:r w:rsidR="00987BAC" w:rsidRPr="0008065D">
              <w:t>Serie de eventos sobre</w:t>
            </w:r>
            <w:r w:rsidR="003D5F30">
              <w:t xml:space="preserve"> IA para el desarrollo destinado</w:t>
            </w:r>
            <w:r w:rsidR="00987BAC" w:rsidRPr="0008065D">
              <w:t>s</w:t>
            </w:r>
            <w:r w:rsidR="00CE3F59" w:rsidRPr="0008065D">
              <w:t xml:space="preserve"> a los encargados de formular políticas y </w:t>
            </w:r>
            <w:r w:rsidR="00987BAC" w:rsidRPr="0008065D">
              <w:t xml:space="preserve">los </w:t>
            </w:r>
            <w:r w:rsidR="00CE3F59" w:rsidRPr="0008065D">
              <w:t>organismos de reglamentación</w:t>
            </w:r>
            <w:r w:rsidR="001636D1">
              <w:t>.</w:t>
            </w:r>
          </w:p>
          <w:p w14:paraId="33D3A61C" w14:textId="307D5B5E" w:rsidR="00CE3F59" w:rsidRPr="0008065D" w:rsidRDefault="006F28C5" w:rsidP="004240D7">
            <w:pPr>
              <w:pStyle w:val="Tabletext"/>
              <w:ind w:left="440" w:hanging="440"/>
            </w:pPr>
            <w:r w:rsidRPr="0008065D">
              <w:t>•</w:t>
            </w:r>
            <w:r w:rsidRPr="0008065D">
              <w:tab/>
            </w:r>
            <w:r w:rsidR="00CE3F59" w:rsidRPr="0008065D">
              <w:t>Colaboración de la UIT y el Banco Mundial en el marco de la Iniciativa Mundial para la Inclusión Financiera (FIGI) con objeto de identificar nuevas tendencias y tecnologías que permitan facilitar el cumplimiento de los objetivos de inclusión financiera.</w:t>
            </w:r>
          </w:p>
          <w:p w14:paraId="5998452E" w14:textId="773C1FA4" w:rsidR="00CE3F59" w:rsidRPr="0008065D" w:rsidRDefault="006F28C5" w:rsidP="004240D7">
            <w:pPr>
              <w:pStyle w:val="Tabletext"/>
              <w:ind w:left="440" w:hanging="440"/>
            </w:pPr>
            <w:r w:rsidRPr="0008065D">
              <w:t>•</w:t>
            </w:r>
            <w:r w:rsidRPr="0008065D">
              <w:tab/>
            </w:r>
            <w:r w:rsidR="00CE3F59" w:rsidRPr="0008065D">
              <w:t xml:space="preserve">Colaboración del Banco Mundial en la serie de eventos AI </w:t>
            </w:r>
            <w:r w:rsidR="001F5368" w:rsidRPr="0008065D">
              <w:t>for good en aras de un</w:t>
            </w:r>
            <w:r w:rsidR="00CE3F59" w:rsidRPr="0008065D">
              <w:t xml:space="preserve"> desarrollo sostenible, organizados anualmente por la UIT.</w:t>
            </w:r>
          </w:p>
          <w:p w14:paraId="41A2DAB7" w14:textId="2A259196" w:rsidR="00CE3F59" w:rsidRPr="0008065D" w:rsidRDefault="006F28C5" w:rsidP="004240D7">
            <w:pPr>
              <w:pStyle w:val="Tabletext"/>
              <w:ind w:left="426" w:hanging="426"/>
            </w:pPr>
            <w:r w:rsidRPr="0008065D">
              <w:t>•</w:t>
            </w:r>
            <w:r w:rsidRPr="0008065D">
              <w:tab/>
            </w:r>
            <w:r w:rsidR="00CE3F59" w:rsidRPr="0008065D">
              <w:t xml:space="preserve">Programa de </w:t>
            </w:r>
            <w:r w:rsidR="001F5368" w:rsidRPr="0008065D">
              <w:t>determinación de los factores de d</w:t>
            </w:r>
            <w:r w:rsidR="00CE3F59" w:rsidRPr="0008065D">
              <w:t>esarrollo (ID4D)</w:t>
            </w:r>
          </w:p>
          <w:p w14:paraId="7A5E1BA0" w14:textId="33ABBCD3" w:rsidR="00E86B4E" w:rsidRPr="0008065D" w:rsidRDefault="006F28C5" w:rsidP="004240D7">
            <w:pPr>
              <w:pStyle w:val="Tabletext"/>
              <w:ind w:left="426" w:hanging="426"/>
            </w:pPr>
            <w:r w:rsidRPr="0008065D">
              <w:t>•</w:t>
            </w:r>
            <w:r w:rsidRPr="0008065D">
              <w:tab/>
            </w:r>
            <w:r w:rsidR="00CE3F59" w:rsidRPr="0008065D">
              <w:t xml:space="preserve">Iniciativa </w:t>
            </w:r>
            <w:r w:rsidR="001F5368" w:rsidRPr="0008065D">
              <w:t>sobre ciudades inteligentes y s</w:t>
            </w:r>
            <w:r w:rsidR="00CE3F59" w:rsidRPr="0008065D">
              <w:t>ostenibles</w:t>
            </w:r>
            <w:r w:rsidR="00E86B4E" w:rsidRPr="0008065D">
              <w:t xml:space="preserve">. </w:t>
            </w:r>
          </w:p>
        </w:tc>
        <w:tc>
          <w:tcPr>
            <w:tcW w:w="2354" w:type="dxa"/>
          </w:tcPr>
          <w:p w14:paraId="0D2C11BA" w14:textId="00171B4C" w:rsidR="001F5368" w:rsidRPr="00180180" w:rsidRDefault="001F5368" w:rsidP="0008065D">
            <w:pPr>
              <w:pStyle w:val="Tabletext"/>
            </w:pPr>
            <w:r w:rsidRPr="00180180">
              <w:t>Incorporación del desarrollo digital al crecimiento económico, incluido un programa de facilitación relativo a Fintech.</w:t>
            </w:r>
          </w:p>
          <w:p w14:paraId="0E4E57D4" w14:textId="4EA390C4" w:rsidR="001F5368" w:rsidRPr="00180180" w:rsidRDefault="001F5368" w:rsidP="00394A79">
            <w:pPr>
              <w:pStyle w:val="Tabletext"/>
              <w:spacing w:before="120"/>
            </w:pPr>
            <w:r w:rsidRPr="00180180">
              <w:t>Serie de informes sobre la información y la comunicación para el desarrollo (desarrollo basado en datos)</w:t>
            </w:r>
            <w:r w:rsidR="0008065D">
              <w:t>.</w:t>
            </w:r>
          </w:p>
          <w:p w14:paraId="0DE32550" w14:textId="2D97F49E" w:rsidR="001F5368" w:rsidRPr="00180180" w:rsidRDefault="001F5368" w:rsidP="00394A79">
            <w:pPr>
              <w:pStyle w:val="Tabletext"/>
              <w:spacing w:before="120"/>
            </w:pPr>
            <w:r w:rsidRPr="00180180">
              <w:t>Informe sobre el análisis de las políticas sobre la IA</w:t>
            </w:r>
            <w:r w:rsidR="0008065D">
              <w:t>.</w:t>
            </w:r>
          </w:p>
          <w:p w14:paraId="07258C8A" w14:textId="5B95A781" w:rsidR="00E86B4E" w:rsidRPr="00180180" w:rsidRDefault="001F5368" w:rsidP="00394A79">
            <w:pPr>
              <w:pStyle w:val="Tabletext"/>
              <w:spacing w:before="120"/>
            </w:pPr>
            <w:r w:rsidRPr="00180180">
              <w:t>Colaboración en materia de tecnologías innovadoras (IA, IoT, cadenas de bloques, etc.)</w:t>
            </w:r>
            <w:r w:rsidR="001636D1">
              <w:t>.</w:t>
            </w:r>
          </w:p>
        </w:tc>
      </w:tr>
      <w:tr w:rsidR="00031881" w:rsidRPr="005E0C3E" w14:paraId="29BEC299" w14:textId="77777777" w:rsidTr="000B5F63">
        <w:tc>
          <w:tcPr>
            <w:tcW w:w="3133" w:type="dxa"/>
          </w:tcPr>
          <w:p w14:paraId="30FD7850" w14:textId="39902817" w:rsidR="00E86B4E" w:rsidRPr="0008065D" w:rsidRDefault="009863EE" w:rsidP="0008065D">
            <w:pPr>
              <w:pStyle w:val="Tabletext"/>
            </w:pPr>
            <w:r w:rsidRPr="0008065D">
              <w:lastRenderedPageBreak/>
              <w:t xml:space="preserve">Universalización del acceso de banda ancha, incluidos los mecanismos </w:t>
            </w:r>
            <w:r w:rsidR="000D4D0B" w:rsidRPr="0008065D">
              <w:t>destinados a</w:t>
            </w:r>
            <w:r w:rsidRPr="0008065D">
              <w:t xml:space="preserve"> maximizar la financiación para el desarrollo y facilitar el despliegue de infraestructuras.</w:t>
            </w:r>
          </w:p>
        </w:tc>
        <w:tc>
          <w:tcPr>
            <w:tcW w:w="3955" w:type="dxa"/>
          </w:tcPr>
          <w:p w14:paraId="18911222" w14:textId="565F0BF8" w:rsidR="000D4D0B" w:rsidRPr="0008065D" w:rsidRDefault="008827E3" w:rsidP="00394A79">
            <w:pPr>
              <w:pStyle w:val="Tabletext"/>
              <w:ind w:left="439" w:hanging="439"/>
            </w:pPr>
            <w:r w:rsidRPr="0008065D">
              <w:t>•</w:t>
            </w:r>
            <w:r w:rsidRPr="0008065D">
              <w:tab/>
            </w:r>
            <w:r w:rsidR="000D4D0B" w:rsidRPr="0008065D">
              <w:t>Redes de banda ancha para la co</w:t>
            </w:r>
            <w:r w:rsidR="001636D1">
              <w:t>nexión de escuelas y hospitales.</w:t>
            </w:r>
          </w:p>
          <w:p w14:paraId="10715335" w14:textId="175B01BD" w:rsidR="000D4D0B" w:rsidRPr="0008065D" w:rsidRDefault="006F28C5" w:rsidP="00394A79">
            <w:pPr>
              <w:pStyle w:val="Tabletext"/>
              <w:ind w:left="439" w:hanging="439"/>
            </w:pPr>
            <w:r w:rsidRPr="0008065D">
              <w:t>•</w:t>
            </w:r>
            <w:r w:rsidRPr="0008065D">
              <w:tab/>
            </w:r>
            <w:r w:rsidR="000D4D0B" w:rsidRPr="0008065D">
              <w:t>Financiación de la transformación digital: nuevos enfoques respecto de los SANT</w:t>
            </w:r>
            <w:r w:rsidR="001636D1">
              <w:t>.</w:t>
            </w:r>
          </w:p>
          <w:p w14:paraId="6230EC67" w14:textId="195E5E91" w:rsidR="00E86B4E" w:rsidRPr="0008065D" w:rsidRDefault="006F28C5" w:rsidP="00394A79">
            <w:pPr>
              <w:pStyle w:val="Tabletext"/>
              <w:ind w:left="439" w:hanging="439"/>
            </w:pPr>
            <w:r w:rsidRPr="0008065D">
              <w:t>•</w:t>
            </w:r>
            <w:r w:rsidRPr="0008065D">
              <w:tab/>
            </w:r>
            <w:r w:rsidR="000D4D0B" w:rsidRPr="0008065D">
              <w:t xml:space="preserve">Participación del BM a nivel ejecutivo en </w:t>
            </w:r>
            <w:r w:rsidR="00122C4B" w:rsidRPr="0008065D">
              <w:t>los trabajos</w:t>
            </w:r>
            <w:r w:rsidR="000D4D0B" w:rsidRPr="0008065D">
              <w:t xml:space="preserve"> de la Comisión de</w:t>
            </w:r>
            <w:r w:rsidR="00122C4B" w:rsidRPr="0008065D">
              <w:t xml:space="preserve"> la</w:t>
            </w:r>
            <w:r w:rsidR="000D4D0B" w:rsidRPr="0008065D">
              <w:t xml:space="preserve"> Banda Ancha</w:t>
            </w:r>
            <w:r w:rsidR="001636D1">
              <w:t>.</w:t>
            </w:r>
          </w:p>
        </w:tc>
        <w:tc>
          <w:tcPr>
            <w:tcW w:w="2354" w:type="dxa"/>
          </w:tcPr>
          <w:p w14:paraId="0E10B047" w14:textId="1EAF6EB9" w:rsidR="00CE776F" w:rsidRDefault="00CE776F" w:rsidP="006F28C5">
            <w:pPr>
              <w:pStyle w:val="Tabletext"/>
            </w:pPr>
            <w:r>
              <w:t xml:space="preserve">Apoyo a los países escogidos para mejorar su acceso a la banda ancha. </w:t>
            </w:r>
          </w:p>
          <w:p w14:paraId="171E4CE3" w14:textId="4B3781A1" w:rsidR="00CE776F" w:rsidRDefault="00CE776F" w:rsidP="00394A79">
            <w:pPr>
              <w:pStyle w:val="Tabletext"/>
              <w:spacing w:before="120"/>
            </w:pPr>
            <w:r>
              <w:t>Fomentar todo lo posible la financiación para el desarrollo (MFD)</w:t>
            </w:r>
            <w:r w:rsidR="006F28C5">
              <w:t>.</w:t>
            </w:r>
          </w:p>
          <w:p w14:paraId="340B1F5B" w14:textId="4F76FF06" w:rsidR="00E86B4E" w:rsidRPr="00CE776F" w:rsidRDefault="00CE776F" w:rsidP="00394A79">
            <w:pPr>
              <w:pStyle w:val="Tabletext"/>
              <w:spacing w:before="120"/>
            </w:pPr>
            <w:r>
              <w:t>Iniciativa de Economía Digital para África</w:t>
            </w:r>
            <w:r w:rsidR="001636D1">
              <w:rPr>
                <w:lang w:val="es-ES"/>
              </w:rPr>
              <w:t>.</w:t>
            </w:r>
          </w:p>
        </w:tc>
      </w:tr>
      <w:tr w:rsidR="00031881" w:rsidRPr="00180180" w14:paraId="55A3382C" w14:textId="77777777" w:rsidTr="000B5F63">
        <w:tc>
          <w:tcPr>
            <w:tcW w:w="3133" w:type="dxa"/>
          </w:tcPr>
          <w:p w14:paraId="163C2793" w14:textId="1747EB63" w:rsidR="00E86B4E" w:rsidRPr="0008065D" w:rsidRDefault="000D4D0B" w:rsidP="0008065D">
            <w:pPr>
              <w:pStyle w:val="Tabletext"/>
            </w:pPr>
            <w:r w:rsidRPr="0008065D">
              <w:t>Fomento de la</w:t>
            </w:r>
            <w:r w:rsidR="009863EE" w:rsidRPr="0008065D">
              <w:t xml:space="preserve"> confianza </w:t>
            </w:r>
            <w:r w:rsidRPr="0008065D">
              <w:t>y la seguridad para la utilización</w:t>
            </w:r>
            <w:r w:rsidR="009863EE" w:rsidRPr="0008065D">
              <w:t xml:space="preserve"> de las TIC, </w:t>
            </w:r>
            <w:r w:rsidRPr="0008065D">
              <w:t>en particular</w:t>
            </w:r>
            <w:r w:rsidR="009863EE" w:rsidRPr="0008065D">
              <w:t xml:space="preserve"> la ciberseguridad, la privacidad y la protección de datos</w:t>
            </w:r>
            <w:r w:rsidR="001636D1">
              <w:t>.</w:t>
            </w:r>
          </w:p>
        </w:tc>
        <w:tc>
          <w:tcPr>
            <w:tcW w:w="3955" w:type="dxa"/>
          </w:tcPr>
          <w:p w14:paraId="3F6AB224" w14:textId="232266EB" w:rsidR="00122C4B" w:rsidRPr="0008065D" w:rsidRDefault="008827E3" w:rsidP="00394A79">
            <w:pPr>
              <w:pStyle w:val="Tabletext"/>
              <w:ind w:left="432" w:hanging="432"/>
            </w:pPr>
            <w:r w:rsidRPr="0008065D">
              <w:t>•</w:t>
            </w:r>
            <w:r w:rsidRPr="0008065D">
              <w:tab/>
            </w:r>
            <w:r w:rsidR="00122C4B" w:rsidRPr="003D5F30">
              <w:rPr>
                <w:b/>
                <w:bCs/>
              </w:rPr>
              <w:t>Conjunto de herramientas</w:t>
            </w:r>
            <w:r w:rsidR="00122C4B" w:rsidRPr="0008065D">
              <w:t xml:space="preserve"> para hacer frente a la ciberdelincuencia</w:t>
            </w:r>
            <w:r w:rsidR="001636D1">
              <w:t>.</w:t>
            </w:r>
          </w:p>
          <w:p w14:paraId="7B40EA1D" w14:textId="71666B94" w:rsidR="00122C4B" w:rsidRPr="0008065D" w:rsidRDefault="006F28C5" w:rsidP="00394A79">
            <w:pPr>
              <w:pStyle w:val="Tabletext"/>
              <w:ind w:left="426" w:hanging="426"/>
            </w:pPr>
            <w:r w:rsidRPr="0008065D">
              <w:t>•</w:t>
            </w:r>
            <w:r w:rsidRPr="0008065D">
              <w:tab/>
            </w:r>
            <w:r w:rsidR="00122C4B" w:rsidRPr="003D5F30">
              <w:rPr>
                <w:b/>
                <w:bCs/>
              </w:rPr>
              <w:t>Guía</w:t>
            </w:r>
            <w:r w:rsidR="00122C4B" w:rsidRPr="0008065D">
              <w:t xml:space="preserve"> para la formulación de una estrategia nacional de ciberseguridad.</w:t>
            </w:r>
          </w:p>
          <w:p w14:paraId="04624EFA" w14:textId="2BD3CF0C" w:rsidR="00122C4B" w:rsidRPr="0008065D" w:rsidRDefault="006F28C5" w:rsidP="00394A79">
            <w:pPr>
              <w:pStyle w:val="Tabletext"/>
              <w:ind w:left="439" w:hanging="439"/>
            </w:pPr>
            <w:r w:rsidRPr="0008065D">
              <w:t>•</w:t>
            </w:r>
            <w:r w:rsidRPr="0008065D">
              <w:tab/>
            </w:r>
            <w:r w:rsidR="00122C4B" w:rsidRPr="0008065D">
              <w:t>Participación de FinSAC y el Banco Mundial en un evento conjunto y colaboración para llevar a cabo diversas simulaciones cibernéticas en el sector financiero.</w:t>
            </w:r>
          </w:p>
          <w:p w14:paraId="4A7C8AC9" w14:textId="3B56101F" w:rsidR="00122C4B" w:rsidRPr="0008065D" w:rsidRDefault="006F28C5" w:rsidP="00394A79">
            <w:pPr>
              <w:pStyle w:val="Tabletext"/>
              <w:ind w:left="440" w:hanging="440"/>
            </w:pPr>
            <w:r w:rsidRPr="0008065D">
              <w:t>•</w:t>
            </w:r>
            <w:r w:rsidRPr="0008065D">
              <w:tab/>
            </w:r>
            <w:r w:rsidR="00122C4B" w:rsidRPr="0008065D">
              <w:t>Colaboración en el marco del Grupo de Trabajo de la FIGI sobre Seguridad, Infraestructuras y Confianza en materia de ciberseguridad de infraestructuras financieras y comerciales.</w:t>
            </w:r>
          </w:p>
          <w:p w14:paraId="26E5232D" w14:textId="79D301C3" w:rsidR="00122C4B" w:rsidRPr="0008065D" w:rsidRDefault="006F28C5" w:rsidP="00394A79">
            <w:pPr>
              <w:pStyle w:val="Tabletext"/>
              <w:ind w:left="435" w:hanging="435"/>
            </w:pPr>
            <w:r w:rsidRPr="0008065D">
              <w:t>•</w:t>
            </w:r>
            <w:r w:rsidRPr="0008065D">
              <w:tab/>
            </w:r>
            <w:r w:rsidR="00122C4B" w:rsidRPr="0008065D">
              <w:t>Programa de conformidad e interoperabilidad</w:t>
            </w:r>
            <w:r w:rsidR="001636D1">
              <w:t>.</w:t>
            </w:r>
          </w:p>
          <w:p w14:paraId="3F834D3D" w14:textId="590CC7D6" w:rsidR="00122C4B" w:rsidRPr="0008065D" w:rsidRDefault="006F28C5" w:rsidP="00394A79">
            <w:pPr>
              <w:pStyle w:val="Tabletext"/>
              <w:ind w:left="435" w:hanging="435"/>
            </w:pPr>
            <w:r w:rsidRPr="0008065D">
              <w:t>•</w:t>
            </w:r>
            <w:r w:rsidRPr="0008065D">
              <w:tab/>
            </w:r>
            <w:r w:rsidR="00031881" w:rsidRPr="0008065D">
              <w:t>Preparación del conjunto de instrumento</w:t>
            </w:r>
            <w:r w:rsidR="00FE5EC8" w:rsidRPr="0008065D">
              <w:t>s</w:t>
            </w:r>
            <w:r w:rsidR="00031881" w:rsidRPr="0008065D">
              <w:t xml:space="preserve"> sobre</w:t>
            </w:r>
            <w:r w:rsidR="00122C4B" w:rsidRPr="0008065D">
              <w:t xml:space="preserve"> Estrategia Nacional de </w:t>
            </w:r>
            <w:r w:rsidR="00031881" w:rsidRPr="0008065D">
              <w:t>cibers</w:t>
            </w:r>
            <w:r w:rsidR="001636D1">
              <w:t>eguridad.</w:t>
            </w:r>
          </w:p>
          <w:p w14:paraId="1EF1D4CC" w14:textId="5A5B4DA8" w:rsidR="00E86B4E" w:rsidRPr="0008065D" w:rsidRDefault="006F28C5" w:rsidP="00394A79">
            <w:pPr>
              <w:pStyle w:val="Tabletext"/>
              <w:ind w:left="434" w:hanging="434"/>
            </w:pPr>
            <w:r w:rsidRPr="0008065D">
              <w:t>•</w:t>
            </w:r>
            <w:r w:rsidRPr="0008065D">
              <w:tab/>
            </w:r>
            <w:r w:rsidR="00122C4B" w:rsidRPr="0008065D">
              <w:t xml:space="preserve">Elaboración del Índice de </w:t>
            </w:r>
            <w:r w:rsidR="002D7F89" w:rsidRPr="0008065D">
              <w:t>Cibers</w:t>
            </w:r>
            <w:r w:rsidR="00122C4B" w:rsidRPr="0008065D">
              <w:t>eguridad</w:t>
            </w:r>
            <w:r w:rsidR="001636D1">
              <w:t>.</w:t>
            </w:r>
          </w:p>
        </w:tc>
        <w:tc>
          <w:tcPr>
            <w:tcW w:w="2354" w:type="dxa"/>
          </w:tcPr>
          <w:p w14:paraId="51C19602" w14:textId="77BAD407" w:rsidR="005B71D9" w:rsidRPr="00180180" w:rsidRDefault="00AC7DAD" w:rsidP="006F28C5">
            <w:pPr>
              <w:pStyle w:val="Tabletext"/>
            </w:pPr>
            <w:r w:rsidRPr="00180180">
              <w:t xml:space="preserve">Establecimiento de un grupo especial </w:t>
            </w:r>
            <w:r w:rsidR="005B71D9" w:rsidRPr="00180180">
              <w:t>conjunto sobre ciberseguridad (por ejemplo, en el contexto de la FIGI).</w:t>
            </w:r>
          </w:p>
          <w:p w14:paraId="6AFF0CB0" w14:textId="7B06C560" w:rsidR="005B71D9" w:rsidRPr="00180180" w:rsidRDefault="005B71D9" w:rsidP="00394A79">
            <w:pPr>
              <w:pStyle w:val="Tabletext"/>
              <w:spacing w:before="120"/>
            </w:pPr>
            <w:r w:rsidRPr="00180180">
              <w:t xml:space="preserve">Conjunto de </w:t>
            </w:r>
            <w:r w:rsidR="00AC7DAD" w:rsidRPr="00180180">
              <w:t>instrumentos</w:t>
            </w:r>
            <w:r w:rsidRPr="00180180">
              <w:t xml:space="preserve"> sobre lucha contra la ciberdelincuencia; promoción de la ciberseguridad para la protección de infraestructuras </w:t>
            </w:r>
            <w:r w:rsidR="00AC7DAD" w:rsidRPr="00180180">
              <w:t xml:space="preserve">esenciales, </w:t>
            </w:r>
            <w:r w:rsidR="003577F3" w:rsidRPr="00180180">
              <w:t>e</w:t>
            </w:r>
            <w:r w:rsidRPr="00180180">
              <w:t xml:space="preserve"> </w:t>
            </w:r>
            <w:r w:rsidR="00AC7DAD" w:rsidRPr="00180180">
              <w:t xml:space="preserve">infraestructuras </w:t>
            </w:r>
            <w:r w:rsidRPr="00180180">
              <w:t>financiera</w:t>
            </w:r>
            <w:r w:rsidR="00AC7DAD" w:rsidRPr="00180180">
              <w:t>s</w:t>
            </w:r>
            <w:r w:rsidRPr="00180180">
              <w:t xml:space="preserve"> y </w:t>
            </w:r>
            <w:r w:rsidR="00AC7DAD" w:rsidRPr="00180180">
              <w:t>comerciales</w:t>
            </w:r>
            <w:r w:rsidRPr="00180180">
              <w:t>.</w:t>
            </w:r>
          </w:p>
          <w:p w14:paraId="5596AF1A" w14:textId="77777777" w:rsidR="005B71D9" w:rsidRPr="00180180" w:rsidRDefault="005B71D9" w:rsidP="00394A79">
            <w:pPr>
              <w:pStyle w:val="Tabletext"/>
              <w:spacing w:before="120"/>
            </w:pPr>
            <w:r w:rsidRPr="00180180">
              <w:t>Información y comunicación para el desarrollo 2018: Desarrollo basado en datos.</w:t>
            </w:r>
          </w:p>
          <w:p w14:paraId="266D996A" w14:textId="57493526" w:rsidR="00E86B4E" w:rsidRPr="00180180" w:rsidRDefault="003577F3" w:rsidP="00394A79">
            <w:pPr>
              <w:pStyle w:val="Tabletext"/>
              <w:spacing w:before="120"/>
            </w:pPr>
            <w:r w:rsidRPr="00180180">
              <w:t>Implantación de la e</w:t>
            </w:r>
            <w:r w:rsidR="005B71D9" w:rsidRPr="00180180">
              <w:t xml:space="preserve">valuación </w:t>
            </w:r>
            <w:r w:rsidRPr="00180180">
              <w:t>sobre</w:t>
            </w:r>
            <w:r w:rsidR="005B71D9" w:rsidRPr="00180180">
              <w:t xml:space="preserve"> ciberseguridad para los países de la CEDEAO.</w:t>
            </w:r>
          </w:p>
        </w:tc>
      </w:tr>
      <w:tr w:rsidR="00031881" w:rsidRPr="00180180" w14:paraId="73CDAC3B" w14:textId="77777777" w:rsidTr="000B5F63">
        <w:tc>
          <w:tcPr>
            <w:tcW w:w="3133" w:type="dxa"/>
          </w:tcPr>
          <w:p w14:paraId="71AEC074" w14:textId="6DA0CF2F" w:rsidR="00E86B4E" w:rsidRPr="0008065D" w:rsidRDefault="002A0983" w:rsidP="0008065D">
            <w:pPr>
              <w:pStyle w:val="Tabletext"/>
            </w:pPr>
            <w:r w:rsidRPr="0008065D">
              <w:t>Garantía de inclusión y empoderamiento digitales en materia de género</w:t>
            </w:r>
            <w:r w:rsidR="001636D1">
              <w:t>.</w:t>
            </w:r>
          </w:p>
        </w:tc>
        <w:tc>
          <w:tcPr>
            <w:tcW w:w="3955" w:type="dxa"/>
          </w:tcPr>
          <w:p w14:paraId="57E43BD3" w14:textId="777AB1E3" w:rsidR="00661EEC" w:rsidRPr="00180180" w:rsidRDefault="008827E3" w:rsidP="00A55A61">
            <w:pPr>
              <w:pStyle w:val="Tabletext"/>
              <w:ind w:left="439" w:hanging="439"/>
            </w:pPr>
            <w:r w:rsidRPr="00180180">
              <w:rPr>
                <w:w w:val="105"/>
              </w:rPr>
              <w:t>•</w:t>
            </w:r>
            <w:r w:rsidRPr="00180180">
              <w:rPr>
                <w:w w:val="105"/>
              </w:rPr>
              <w:tab/>
            </w:r>
            <w:r w:rsidR="00661EEC" w:rsidRPr="00180180">
              <w:t>Participación del BM en EQUALS, asociación mundial para redu</w:t>
            </w:r>
            <w:r w:rsidR="001636D1">
              <w:t>cir la brecha digital de género.</w:t>
            </w:r>
          </w:p>
          <w:p w14:paraId="69D7EDB5" w14:textId="54CFB008" w:rsidR="00661EEC" w:rsidRPr="00180180" w:rsidRDefault="006F28C5" w:rsidP="00A55A61">
            <w:pPr>
              <w:pStyle w:val="Tabletext"/>
              <w:ind w:left="439" w:hanging="439"/>
            </w:pPr>
            <w:r w:rsidRPr="00180180">
              <w:rPr>
                <w:w w:val="105"/>
              </w:rPr>
              <w:t>•</w:t>
            </w:r>
            <w:r w:rsidRPr="00180180">
              <w:rPr>
                <w:w w:val="105"/>
              </w:rPr>
              <w:tab/>
            </w:r>
            <w:r w:rsidR="00661EEC" w:rsidRPr="00180180">
              <w:t>Organización de actividades en el ma</w:t>
            </w:r>
            <w:r w:rsidR="00A55A61">
              <w:t>rco del Día de las Niñas en las </w:t>
            </w:r>
            <w:r w:rsidR="00661EEC" w:rsidRPr="00180180">
              <w:t xml:space="preserve">TIC </w:t>
            </w:r>
          </w:p>
          <w:p w14:paraId="1BC733B7" w14:textId="5B114402" w:rsidR="00661EEC" w:rsidRPr="00180180" w:rsidRDefault="006F28C5" w:rsidP="00A55A61">
            <w:pPr>
              <w:pStyle w:val="Tabletext"/>
              <w:ind w:left="426" w:hanging="426"/>
            </w:pPr>
            <w:r w:rsidRPr="00180180">
              <w:rPr>
                <w:w w:val="105"/>
              </w:rPr>
              <w:t>•</w:t>
            </w:r>
            <w:r w:rsidRPr="00180180">
              <w:rPr>
                <w:w w:val="105"/>
              </w:rPr>
              <w:tab/>
            </w:r>
            <w:r w:rsidR="00661EEC" w:rsidRPr="00180180">
              <w:t>Día Internacional de</w:t>
            </w:r>
            <w:r w:rsidR="001636D1">
              <w:t xml:space="preserve"> la UIT de las Niñas en las TIC.</w:t>
            </w:r>
          </w:p>
          <w:p w14:paraId="4417A9BB" w14:textId="5A518C1A" w:rsidR="00661EEC" w:rsidRPr="00180180" w:rsidRDefault="006F28C5" w:rsidP="00A55A61">
            <w:pPr>
              <w:pStyle w:val="Tabletext"/>
              <w:ind w:left="455" w:hanging="455"/>
            </w:pPr>
            <w:r w:rsidRPr="00180180">
              <w:rPr>
                <w:w w:val="105"/>
              </w:rPr>
              <w:t>•</w:t>
            </w:r>
            <w:r w:rsidRPr="00180180">
              <w:rPr>
                <w:w w:val="105"/>
              </w:rPr>
              <w:tab/>
            </w:r>
            <w:r w:rsidR="00661EEC" w:rsidRPr="00180180">
              <w:t>Campaña para alentar a una mayor cantidad de mujeres y niñas a emprender profesiones</w:t>
            </w:r>
            <w:r w:rsidR="00A55A61">
              <w:t xml:space="preserve"> y estudios en el ámbito de las </w:t>
            </w:r>
            <w:r w:rsidR="00661EEC" w:rsidRPr="00180180">
              <w:t>TIC.</w:t>
            </w:r>
          </w:p>
          <w:p w14:paraId="622B663E" w14:textId="406AE2CF" w:rsidR="00E86B4E" w:rsidRPr="00180180" w:rsidRDefault="006F28C5" w:rsidP="00A55A61">
            <w:pPr>
              <w:pStyle w:val="Tabletext"/>
              <w:ind w:left="455" w:hanging="455"/>
            </w:pPr>
            <w:r w:rsidRPr="00180180">
              <w:rPr>
                <w:w w:val="105"/>
              </w:rPr>
              <w:t>•</w:t>
            </w:r>
            <w:r w:rsidRPr="00180180">
              <w:rPr>
                <w:w w:val="105"/>
              </w:rPr>
              <w:tab/>
            </w:r>
            <w:r w:rsidR="00661EEC" w:rsidRPr="00180180">
              <w:t>Establecimiento de un conjunto de instrumentos de TIC</w:t>
            </w:r>
            <w:r w:rsidR="001636D1">
              <w:t>.</w:t>
            </w:r>
          </w:p>
        </w:tc>
        <w:tc>
          <w:tcPr>
            <w:tcW w:w="2354" w:type="dxa"/>
          </w:tcPr>
          <w:p w14:paraId="3B138398" w14:textId="7F4C1A7D" w:rsidR="008E208F" w:rsidRPr="00180180" w:rsidRDefault="008E208F" w:rsidP="001D46C1">
            <w:pPr>
              <w:pStyle w:val="Tabletext"/>
            </w:pPr>
            <w:r w:rsidRPr="00180180">
              <w:t>Colaboración en países piloto para asegurar la inclusión digital de género (Proyecto de aldeas inteligentes en Níger</w:t>
            </w:r>
            <w:r w:rsidR="000E48ED" w:rsidRPr="00180180">
              <w:t xml:space="preserve"> e </w:t>
            </w:r>
            <w:r w:rsidRPr="00180180">
              <w:t xml:space="preserve">Iniciativa digital de género </w:t>
            </w:r>
            <w:r w:rsidR="000E48ED" w:rsidRPr="00180180">
              <w:t>sobre</w:t>
            </w:r>
            <w:r w:rsidRPr="00180180">
              <w:t xml:space="preserve"> Mashreq).</w:t>
            </w:r>
          </w:p>
          <w:p w14:paraId="35FE31EA" w14:textId="34797F0B" w:rsidR="00E86B4E" w:rsidRPr="00180180" w:rsidRDefault="00E86B4E" w:rsidP="001D46C1">
            <w:pPr>
              <w:pStyle w:val="Tabletext"/>
            </w:pPr>
          </w:p>
        </w:tc>
      </w:tr>
      <w:tr w:rsidR="00031881" w:rsidRPr="00180180" w14:paraId="3C824F49" w14:textId="77777777" w:rsidTr="000B5F63">
        <w:tc>
          <w:tcPr>
            <w:tcW w:w="3133" w:type="dxa"/>
          </w:tcPr>
          <w:p w14:paraId="3455458D" w14:textId="0DC4A3EE" w:rsidR="00E86B4E" w:rsidRPr="0008065D" w:rsidRDefault="002A0983" w:rsidP="0008065D">
            <w:pPr>
              <w:pStyle w:val="Tabletext"/>
            </w:pPr>
            <w:r w:rsidRPr="0008065D">
              <w:lastRenderedPageBreak/>
              <w:t>Reducción de la brecha en materia de innovación para fomentar la economía digital mediante la transformación digital de la sociedad, en particular en las esferas de los servicios financieros digitales, la identificación digital, la cibersanidad, la iniciativa empresarial digital y las PYME.</w:t>
            </w:r>
          </w:p>
        </w:tc>
        <w:tc>
          <w:tcPr>
            <w:tcW w:w="3955" w:type="dxa"/>
          </w:tcPr>
          <w:p w14:paraId="0D1EB058" w14:textId="56099F76" w:rsidR="00661EEC" w:rsidRPr="00180180" w:rsidRDefault="008827E3" w:rsidP="00ED57EF">
            <w:pPr>
              <w:pStyle w:val="Tabletext"/>
              <w:ind w:left="439" w:hanging="439"/>
            </w:pPr>
            <w:r w:rsidRPr="00180180">
              <w:rPr>
                <w:w w:val="105"/>
              </w:rPr>
              <w:t>•</w:t>
            </w:r>
            <w:r w:rsidRPr="00180180">
              <w:rPr>
                <w:w w:val="105"/>
              </w:rPr>
              <w:tab/>
            </w:r>
            <w:r w:rsidR="00661EEC" w:rsidRPr="00180180">
              <w:rPr>
                <w:w w:val="105"/>
              </w:rPr>
              <w:t>I</w:t>
            </w:r>
            <w:r w:rsidR="00661EEC" w:rsidRPr="00180180">
              <w:t>niciativa Mundial para la In</w:t>
            </w:r>
            <w:r w:rsidR="0008065D">
              <w:t xml:space="preserve">clusión Financiera (FIGI) </w:t>
            </w:r>
            <w:r w:rsidR="0008065D" w:rsidRPr="0008065D">
              <w:t>–</w:t>
            </w:r>
            <w:r w:rsidR="00ED57EF">
              <w:t xml:space="preserve"> (2017-</w:t>
            </w:r>
            <w:r w:rsidR="00661EEC" w:rsidRPr="00180180">
              <w:t>en curso)</w:t>
            </w:r>
            <w:r w:rsidR="001636D1">
              <w:t>.</w:t>
            </w:r>
          </w:p>
          <w:p w14:paraId="6D5FC7E7" w14:textId="1687B5B3" w:rsidR="00661EEC" w:rsidRPr="00180180" w:rsidRDefault="006F28C5" w:rsidP="00A55A61">
            <w:pPr>
              <w:pStyle w:val="Tabletext"/>
              <w:ind w:left="439" w:hanging="439"/>
            </w:pPr>
            <w:r w:rsidRPr="00180180">
              <w:rPr>
                <w:w w:val="105"/>
              </w:rPr>
              <w:t>•</w:t>
            </w:r>
            <w:r w:rsidRPr="00180180">
              <w:rPr>
                <w:w w:val="105"/>
              </w:rPr>
              <w:tab/>
            </w:r>
            <w:r w:rsidR="00661EEC" w:rsidRPr="00180180">
              <w:t>Organización del taller del GT-DFS (2017-04) por el BM</w:t>
            </w:r>
            <w:r w:rsidR="001636D1">
              <w:t>.</w:t>
            </w:r>
          </w:p>
          <w:p w14:paraId="1AC3B98F" w14:textId="0011B5BD" w:rsidR="00E86B4E" w:rsidRPr="00180180" w:rsidRDefault="006F28C5" w:rsidP="00A55A61">
            <w:pPr>
              <w:pStyle w:val="Tabletext"/>
              <w:ind w:left="439" w:hanging="439"/>
            </w:pPr>
            <w:r w:rsidRPr="00180180">
              <w:rPr>
                <w:w w:val="105"/>
              </w:rPr>
              <w:t>•</w:t>
            </w:r>
            <w:r w:rsidRPr="00180180">
              <w:rPr>
                <w:w w:val="105"/>
              </w:rPr>
              <w:tab/>
            </w:r>
            <w:r w:rsidR="00661EEC" w:rsidRPr="00180180">
              <w:t xml:space="preserve">Organización de actividades conjuntas en el marco de </w:t>
            </w:r>
            <w:r w:rsidR="00661EEC" w:rsidRPr="00180180">
              <w:rPr>
                <w:i/>
                <w:iCs/>
              </w:rPr>
              <w:t>ITU Telecom World</w:t>
            </w:r>
            <w:r w:rsidR="00661EEC" w:rsidRPr="00180180">
              <w:t xml:space="preserve">, </w:t>
            </w:r>
            <w:r w:rsidR="008C469A" w:rsidRPr="00180180">
              <w:t xml:space="preserve">dirigidas, </w:t>
            </w:r>
            <w:r w:rsidR="00661EEC" w:rsidRPr="00180180">
              <w:t>en particular</w:t>
            </w:r>
            <w:r w:rsidR="008C469A" w:rsidRPr="00180180">
              <w:t>,</w:t>
            </w:r>
            <w:r w:rsidR="00661EEC" w:rsidRPr="00180180">
              <w:t xml:space="preserve"> a PYME del sector tecnológico</w:t>
            </w:r>
            <w:r w:rsidR="004B0734" w:rsidRPr="00180180">
              <w:t>.</w:t>
            </w:r>
          </w:p>
        </w:tc>
        <w:tc>
          <w:tcPr>
            <w:tcW w:w="2354" w:type="dxa"/>
          </w:tcPr>
          <w:p w14:paraId="1117CBDE" w14:textId="135DD470" w:rsidR="00E86B4E" w:rsidRPr="00180180" w:rsidRDefault="000E48ED" w:rsidP="001D46C1">
            <w:pPr>
              <w:pStyle w:val="Tabletext"/>
            </w:pPr>
            <w:r w:rsidRPr="00180180">
              <w:t>Plataforma de innovación para promover la economía digital en los ecosistemas.</w:t>
            </w:r>
          </w:p>
          <w:p w14:paraId="030B0BDA" w14:textId="1AEEA8AB" w:rsidR="000E48ED" w:rsidRPr="00180180" w:rsidRDefault="000E48ED" w:rsidP="00A55A61">
            <w:pPr>
              <w:pStyle w:val="Tabletext"/>
              <w:spacing w:before="120"/>
            </w:pPr>
            <w:r w:rsidRPr="00180180">
              <w:rPr>
                <w:w w:val="105"/>
              </w:rPr>
              <w:t>I</w:t>
            </w:r>
            <w:r w:rsidRPr="00180180">
              <w:t>niciativa Mundial para la Inclu</w:t>
            </w:r>
            <w:r w:rsidR="0008065D">
              <w:t xml:space="preserve">sión Financiera (FIGI) </w:t>
            </w:r>
            <w:r w:rsidR="0008065D" w:rsidRPr="0008065D">
              <w:t>–</w:t>
            </w:r>
            <w:r w:rsidR="00ED57EF">
              <w:t xml:space="preserve"> (2017-</w:t>
            </w:r>
            <w:r w:rsidRPr="00180180">
              <w:t>2020)</w:t>
            </w:r>
            <w:r w:rsidR="001636D1">
              <w:t>.</w:t>
            </w:r>
          </w:p>
          <w:p w14:paraId="0C622D38" w14:textId="3C28D298" w:rsidR="000E48ED" w:rsidRPr="00180180" w:rsidRDefault="000E48ED" w:rsidP="00A55A61">
            <w:pPr>
              <w:pStyle w:val="Tabletext"/>
              <w:spacing w:before="120"/>
            </w:pPr>
            <w:r w:rsidRPr="00180180">
              <w:t xml:space="preserve">Establecimiento de un grupo especial conjunto sobre identidad digital. </w:t>
            </w:r>
          </w:p>
          <w:p w14:paraId="1D9D7445" w14:textId="3677B0FF" w:rsidR="00E86B4E" w:rsidRPr="00180180" w:rsidRDefault="000E48ED" w:rsidP="00A55A61">
            <w:pPr>
              <w:pStyle w:val="Tabletext"/>
              <w:spacing w:before="120"/>
            </w:pPr>
            <w:r w:rsidRPr="00180180">
              <w:t>Puesta en marcha de nuevos proyectos piloto sobre ciberagricultura, cibersanidad y cibergobierno.</w:t>
            </w:r>
          </w:p>
        </w:tc>
      </w:tr>
      <w:tr w:rsidR="00031881" w:rsidRPr="00180180" w14:paraId="0CEB027C" w14:textId="77777777" w:rsidTr="000B5F63">
        <w:tc>
          <w:tcPr>
            <w:tcW w:w="3133" w:type="dxa"/>
          </w:tcPr>
          <w:p w14:paraId="6E2883A6" w14:textId="413DA0AB" w:rsidR="00E86B4E" w:rsidRPr="0008065D" w:rsidRDefault="002A0983" w:rsidP="0008065D">
            <w:pPr>
              <w:pStyle w:val="Tabletext"/>
            </w:pPr>
            <w:r w:rsidRPr="0008065D">
              <w:t>Reducción de la brecha en materia de competencias digitales mediante iniciativas de desarrollo de capacidades</w:t>
            </w:r>
            <w:r w:rsidR="001636D1">
              <w:t>.</w:t>
            </w:r>
          </w:p>
        </w:tc>
        <w:tc>
          <w:tcPr>
            <w:tcW w:w="3955" w:type="dxa"/>
            <w:shd w:val="clear" w:color="auto" w:fill="FFFFFF" w:themeFill="background1"/>
          </w:tcPr>
          <w:p w14:paraId="5787C6C9" w14:textId="441AA144" w:rsidR="004B0734" w:rsidRPr="0008065D" w:rsidRDefault="008827E3" w:rsidP="00A55A61">
            <w:pPr>
              <w:pStyle w:val="Tabletext"/>
              <w:ind w:left="427" w:hanging="427"/>
            </w:pPr>
            <w:r w:rsidRPr="0008065D">
              <w:t>•</w:t>
            </w:r>
            <w:r w:rsidRPr="0008065D">
              <w:tab/>
            </w:r>
            <w:r w:rsidR="0008065D">
              <w:t>Conjunto de instrumentos de la </w:t>
            </w:r>
            <w:r w:rsidR="004B0734" w:rsidRPr="0008065D">
              <w:t xml:space="preserve">UIT sobre competencias digitales (2018): Asistencia a los Miembros de </w:t>
            </w:r>
            <w:r w:rsidR="0008065D">
              <w:t>la </w:t>
            </w:r>
            <w:r w:rsidR="004B0734" w:rsidRPr="0008065D">
              <w:t>UIT para la formulación de sus estrategias nacionales de desarrollo de co</w:t>
            </w:r>
            <w:r w:rsidR="001636D1">
              <w:t>mpetencias en el plano digital.</w:t>
            </w:r>
          </w:p>
          <w:p w14:paraId="3AEAA513" w14:textId="4CA991BB" w:rsidR="00E86B4E" w:rsidRPr="0008065D" w:rsidRDefault="006F28C5" w:rsidP="00A55A61">
            <w:pPr>
              <w:pStyle w:val="Tabletext"/>
              <w:ind w:left="427" w:hanging="427"/>
            </w:pPr>
            <w:r w:rsidRPr="0008065D">
              <w:t>•</w:t>
            </w:r>
            <w:r w:rsidRPr="0008065D">
              <w:tab/>
            </w:r>
            <w:r w:rsidR="004B0734" w:rsidRPr="0008065D">
              <w:t>Campaña de la UIT-OIT "Competencias digitales para el empleo decente juvenil" en el marco de la Iniciativa Mundial sobre el Empleo Decente para los Jóvenes</w:t>
            </w:r>
            <w:r w:rsidR="001636D1">
              <w:t>.</w:t>
            </w:r>
          </w:p>
        </w:tc>
        <w:tc>
          <w:tcPr>
            <w:tcW w:w="2354" w:type="dxa"/>
          </w:tcPr>
          <w:p w14:paraId="4A01ED62" w14:textId="2C437477" w:rsidR="000E48ED" w:rsidRPr="00180180" w:rsidRDefault="000E48ED" w:rsidP="006F28C5">
            <w:pPr>
              <w:pStyle w:val="Tabletext"/>
            </w:pPr>
            <w:r w:rsidRPr="00180180">
              <w:t xml:space="preserve">Cooperación en materia de competencias y formación digitales. </w:t>
            </w:r>
          </w:p>
          <w:p w14:paraId="7DE31D61" w14:textId="32D7CEF3" w:rsidR="00E86B4E" w:rsidRPr="00180180" w:rsidRDefault="000E48ED" w:rsidP="00A55A61">
            <w:pPr>
              <w:pStyle w:val="Tabletext"/>
              <w:spacing w:before="120"/>
            </w:pPr>
            <w:r w:rsidRPr="00180180">
              <w:t xml:space="preserve">Iniciativa sobre Economía Digital para África: cumplimiento del objetivo de contar con 100.000 nuevos ingenieros de TIC para 2030. </w:t>
            </w:r>
          </w:p>
        </w:tc>
      </w:tr>
      <w:tr w:rsidR="00031881" w:rsidRPr="005E0C3E" w14:paraId="0FD9EBF8" w14:textId="77777777" w:rsidTr="000B5F63">
        <w:tc>
          <w:tcPr>
            <w:tcW w:w="3133" w:type="dxa"/>
          </w:tcPr>
          <w:p w14:paraId="2ECB066C" w14:textId="20489F95" w:rsidR="00E86B4E" w:rsidRPr="0008065D" w:rsidRDefault="000E5A89" w:rsidP="0008065D">
            <w:pPr>
              <w:pStyle w:val="Tabletext"/>
            </w:pPr>
            <w:r w:rsidRPr="0008065D">
              <w:t>Promoción de un e</w:t>
            </w:r>
            <w:r w:rsidR="00336B7D" w:rsidRPr="0008065D">
              <w:t>ntorno propicio para el desarrollo sostenible</w:t>
            </w:r>
            <w:r w:rsidR="001636D1">
              <w:t>.</w:t>
            </w:r>
          </w:p>
        </w:tc>
        <w:tc>
          <w:tcPr>
            <w:tcW w:w="3955" w:type="dxa"/>
          </w:tcPr>
          <w:p w14:paraId="6DD25089" w14:textId="2772592D" w:rsidR="00312BC6" w:rsidRPr="0008065D" w:rsidRDefault="008827E3" w:rsidP="00A55A61">
            <w:pPr>
              <w:pStyle w:val="Tabletext"/>
              <w:ind w:left="465" w:hanging="465"/>
            </w:pPr>
            <w:r w:rsidRPr="0008065D">
              <w:t>•</w:t>
            </w:r>
            <w:r w:rsidRPr="0008065D">
              <w:tab/>
            </w:r>
            <w:r w:rsidR="00312BC6" w:rsidRPr="0008065D">
              <w:t>Conjunto de herramientas de infoDev-UIT-Banco Mundia</w:t>
            </w:r>
            <w:r w:rsidR="00A55A61">
              <w:t>l para la reglamentación de las </w:t>
            </w:r>
            <w:r w:rsidR="00312BC6" w:rsidRPr="0008065D">
              <w:t>TIC (desde 2004)</w:t>
            </w:r>
            <w:r w:rsidR="001636D1">
              <w:t>.</w:t>
            </w:r>
          </w:p>
          <w:p w14:paraId="38688324" w14:textId="5B0F5280" w:rsidR="00312BC6" w:rsidRPr="0008065D" w:rsidRDefault="006F28C5" w:rsidP="00A55A61">
            <w:pPr>
              <w:pStyle w:val="Tabletext"/>
              <w:ind w:left="465" w:hanging="465"/>
            </w:pPr>
            <w:r w:rsidRPr="0008065D">
              <w:t>•</w:t>
            </w:r>
            <w:r w:rsidRPr="0008065D">
              <w:tab/>
            </w:r>
            <w:r w:rsidR="00312BC6" w:rsidRPr="0008065D">
              <w:t>Anali</w:t>
            </w:r>
            <w:r w:rsidRPr="0008065D">
              <w:t xml:space="preserve">zador/Índice de reglamentación </w:t>
            </w:r>
            <w:r w:rsidR="00312BC6" w:rsidRPr="0008065D">
              <w:t>de las TIC</w:t>
            </w:r>
            <w:r w:rsidR="00A260CD" w:rsidRPr="0008065D">
              <w:t>.</w:t>
            </w:r>
          </w:p>
          <w:p w14:paraId="1C7BE129" w14:textId="437D14E4" w:rsidR="00312BC6" w:rsidRPr="0008065D" w:rsidRDefault="006F28C5" w:rsidP="00A55A61">
            <w:pPr>
              <w:pStyle w:val="Tabletext"/>
              <w:ind w:left="434" w:hanging="434"/>
            </w:pPr>
            <w:r w:rsidRPr="0008065D">
              <w:t>•</w:t>
            </w:r>
            <w:r w:rsidRPr="0008065D">
              <w:tab/>
            </w:r>
            <w:r w:rsidR="00312BC6" w:rsidRPr="0008065D">
              <w:t>Taller nacional UIT-MPTTT-Banco Mundial sobre planificación y políticas de numeración para las partes interesadas en las TIC de Somalia (Nai</w:t>
            </w:r>
            <w:r w:rsidRPr="0008065D">
              <w:t>robi-Kenya, 8-9 de noviembre de </w:t>
            </w:r>
            <w:r w:rsidR="00312BC6" w:rsidRPr="0008065D">
              <w:t>2017)</w:t>
            </w:r>
            <w:r w:rsidR="001636D1">
              <w:t>.</w:t>
            </w:r>
          </w:p>
          <w:p w14:paraId="7E810748" w14:textId="37A60FF7" w:rsidR="00E86B4E" w:rsidRPr="0008065D" w:rsidRDefault="006F28C5" w:rsidP="00A55A61">
            <w:pPr>
              <w:pStyle w:val="Tabletext"/>
              <w:ind w:left="434" w:hanging="434"/>
            </w:pPr>
            <w:r w:rsidRPr="0008065D">
              <w:t>•</w:t>
            </w:r>
            <w:r w:rsidRPr="0008065D">
              <w:tab/>
            </w:r>
            <w:r w:rsidR="00312BC6" w:rsidRPr="0008065D">
              <w:t xml:space="preserve">Iniciativa sobre </w:t>
            </w:r>
            <w:r w:rsidR="00A260CD" w:rsidRPr="0008065D">
              <w:t>supervisión</w:t>
            </w:r>
            <w:r w:rsidR="00312BC6" w:rsidRPr="0008065D">
              <w:t xml:space="preserve"> reglamentaria</w:t>
            </w:r>
            <w:r w:rsidR="00C93AFE" w:rsidRPr="0008065D">
              <w:t xml:space="preserve"> para África o</w:t>
            </w:r>
            <w:r w:rsidR="00312BC6" w:rsidRPr="0008065D">
              <w:t>ccidental</w:t>
            </w:r>
            <w:r w:rsidR="001636D1">
              <w:t>.</w:t>
            </w:r>
          </w:p>
        </w:tc>
        <w:tc>
          <w:tcPr>
            <w:tcW w:w="2354" w:type="dxa"/>
          </w:tcPr>
          <w:p w14:paraId="4A66D325" w14:textId="31360618" w:rsidR="005E0C3E" w:rsidRDefault="005E0C3E" w:rsidP="001D46C1">
            <w:pPr>
              <w:pStyle w:val="Tabletext"/>
            </w:pPr>
            <w:r>
              <w:t>Implantación de la iniciativa sobre supervisión re</w:t>
            </w:r>
            <w:r w:rsidR="00470BBA">
              <w:t>glamentaria en los países de la </w:t>
            </w:r>
            <w:r>
              <w:t>CEDEAO</w:t>
            </w:r>
            <w:r w:rsidR="006F28C5">
              <w:t>.</w:t>
            </w:r>
          </w:p>
          <w:p w14:paraId="4E939C24" w14:textId="3B6AD005" w:rsidR="00E86B4E" w:rsidRPr="005E0C3E" w:rsidRDefault="005E0C3E" w:rsidP="00A55A61">
            <w:pPr>
              <w:pStyle w:val="Tabletext"/>
              <w:spacing w:before="120"/>
            </w:pPr>
            <w:r>
              <w:t>Mantenimiento y actualización del conjunto de instrumentos de reglamentación de las TIC</w:t>
            </w:r>
            <w:r w:rsidR="006F28C5">
              <w:t>.</w:t>
            </w:r>
          </w:p>
        </w:tc>
      </w:tr>
      <w:tr w:rsidR="00031881" w:rsidRPr="00180180" w14:paraId="766D6CB7" w14:textId="77777777" w:rsidTr="000B5F63">
        <w:tc>
          <w:tcPr>
            <w:tcW w:w="3133" w:type="dxa"/>
          </w:tcPr>
          <w:p w14:paraId="363E493C" w14:textId="30974E5D" w:rsidR="00E86B4E" w:rsidRPr="0008065D" w:rsidRDefault="00312BC6" w:rsidP="0008065D">
            <w:pPr>
              <w:pStyle w:val="Tabletext"/>
            </w:pPr>
            <w:r w:rsidRPr="0008065D">
              <w:t xml:space="preserve">Medición de la sociedad de la información </w:t>
            </w:r>
            <w:r w:rsidR="002F5D6F" w:rsidRPr="0008065D">
              <w:t xml:space="preserve">mediante </w:t>
            </w:r>
            <w:r w:rsidRPr="0008065D">
              <w:t>macrodatos</w:t>
            </w:r>
            <w:r w:rsidR="001636D1">
              <w:t>.</w:t>
            </w:r>
          </w:p>
        </w:tc>
        <w:tc>
          <w:tcPr>
            <w:tcW w:w="3955" w:type="dxa"/>
          </w:tcPr>
          <w:p w14:paraId="0E8C48DC" w14:textId="0ED484B2" w:rsidR="00E86B4E" w:rsidRPr="0008065D" w:rsidRDefault="008827E3" w:rsidP="00A55A61">
            <w:pPr>
              <w:pStyle w:val="Tabletext"/>
              <w:ind w:left="434" w:hanging="434"/>
            </w:pPr>
            <w:r w:rsidRPr="0008065D">
              <w:t>•</w:t>
            </w:r>
            <w:r w:rsidRPr="0008065D">
              <w:tab/>
            </w:r>
            <w:r w:rsidR="00ED6FFA" w:rsidRPr="0008065D">
              <w:t xml:space="preserve">Banco Mundial-UIT, Publicación </w:t>
            </w:r>
            <w:r w:rsidR="00ED6FFA" w:rsidRPr="00470BBA">
              <w:rPr>
                <w:i/>
                <w:iCs/>
              </w:rPr>
              <w:t>Little Data Book</w:t>
            </w:r>
            <w:r w:rsidR="00ED6FFA" w:rsidRPr="0008065D">
              <w:t xml:space="preserve"> sobre tecnologías de la información y la comunicación.</w:t>
            </w:r>
          </w:p>
        </w:tc>
        <w:tc>
          <w:tcPr>
            <w:tcW w:w="2354" w:type="dxa"/>
          </w:tcPr>
          <w:p w14:paraId="36D3CD08" w14:textId="08CD5CBA" w:rsidR="00E86B4E" w:rsidRPr="0008065D" w:rsidRDefault="00ED6FFA" w:rsidP="0008065D">
            <w:pPr>
              <w:pStyle w:val="Tabletext"/>
            </w:pPr>
            <w:r w:rsidRPr="0008065D">
              <w:t>Colaboración en relación con el marco de datos para la economía digital</w:t>
            </w:r>
            <w:r w:rsidR="006F28C5" w:rsidRPr="0008065D">
              <w:t>.</w:t>
            </w:r>
          </w:p>
        </w:tc>
      </w:tr>
    </w:tbl>
    <w:p w14:paraId="56CFCE8B" w14:textId="03D445F7" w:rsidR="00DA5827" w:rsidRPr="00180180" w:rsidRDefault="00DA5827" w:rsidP="001D46C1">
      <w:pPr>
        <w:tabs>
          <w:tab w:val="clear" w:pos="567"/>
          <w:tab w:val="clear" w:pos="1134"/>
          <w:tab w:val="clear" w:pos="1701"/>
          <w:tab w:val="clear" w:pos="2268"/>
          <w:tab w:val="clear" w:pos="2835"/>
        </w:tabs>
        <w:overflowPunct/>
        <w:autoSpaceDE/>
        <w:autoSpaceDN/>
        <w:adjustRightInd/>
        <w:spacing w:before="0"/>
        <w:textAlignment w:val="auto"/>
        <w:rPr>
          <w:sz w:val="28"/>
        </w:rPr>
      </w:pPr>
      <w:r w:rsidRPr="00180180">
        <w:br w:type="page"/>
      </w:r>
    </w:p>
    <w:p w14:paraId="7219A19B" w14:textId="5C59A8C0" w:rsidR="00894A86" w:rsidRPr="00894A86" w:rsidRDefault="00DA5827" w:rsidP="00894A86">
      <w:pPr>
        <w:pStyle w:val="AnnexNo"/>
      </w:pPr>
      <w:r w:rsidRPr="00180180">
        <w:lastRenderedPageBreak/>
        <w:t>aNEXO 4</w:t>
      </w:r>
    </w:p>
    <w:p w14:paraId="4CE61F72" w14:textId="33512C8F" w:rsidR="00894A86" w:rsidRDefault="00894A86" w:rsidP="00894A86">
      <w:pPr>
        <w:pStyle w:val="Annextitle"/>
      </w:pPr>
      <w:r>
        <w:t>MEMORANDO DE ENTENDIMIENTO ENTRE</w:t>
      </w:r>
    </w:p>
    <w:p w14:paraId="6C2EDC69" w14:textId="23710D01" w:rsidR="00DA5827" w:rsidRPr="00180180" w:rsidRDefault="004F5C61" w:rsidP="00894A86">
      <w:pPr>
        <w:pStyle w:val="Annextitle"/>
        <w:rPr>
          <w:lang w:eastAsia="de-CH"/>
        </w:rPr>
      </w:pPr>
      <w:r w:rsidRPr="00180180">
        <w:t>LA UNIÓN INTERNACIONAL DE TELECOMUNICACIONES Y</w:t>
      </w:r>
    </w:p>
    <w:p w14:paraId="5CCA862E" w14:textId="36A79363" w:rsidR="00DA5827" w:rsidRPr="00180180" w:rsidRDefault="004D795D" w:rsidP="00894A86">
      <w:pPr>
        <w:pStyle w:val="Annextitle"/>
      </w:pPr>
      <w:r w:rsidRPr="00180180">
        <w:t>EL BANCO DE EXPORTACIÓN E IMPORTACIÓN DE CHINA</w:t>
      </w:r>
    </w:p>
    <w:p w14:paraId="3939B17B" w14:textId="76559947" w:rsidR="00DA5827" w:rsidRPr="00180180" w:rsidRDefault="0022139A" w:rsidP="00894A86">
      <w:pPr>
        <w:pStyle w:val="Annextitle"/>
      </w:pPr>
      <w:r w:rsidRPr="00180180">
        <w:t>A</w:t>
      </w:r>
      <w:r w:rsidR="002D4AEB" w:rsidRPr="00180180">
        <w:t xml:space="preserve"> LOS EFECTOS DE PROMOCIÓN DE LA AGENDA 2030 PARA EL DESARROLLO SOSTENIBLE</w:t>
      </w:r>
      <w:r w:rsidR="00894A86">
        <w:t xml:space="preserve"> </w:t>
      </w:r>
      <w:r w:rsidR="002D4AEB" w:rsidRPr="00894A86">
        <w:t>MEDIANTE</w:t>
      </w:r>
      <w:r w:rsidR="00DA5827" w:rsidRPr="00180180">
        <w:rPr>
          <w:rStyle w:val="Bodytext236pt"/>
          <w:sz w:val="22"/>
          <w:szCs w:val="22"/>
          <w:lang w:val="es-ES_tradnl"/>
        </w:rPr>
        <w:t xml:space="preserve"> </w:t>
      </w:r>
      <w:r w:rsidR="002D4AEB" w:rsidRPr="00180180">
        <w:t xml:space="preserve">LA INICIATIVA </w:t>
      </w:r>
      <w:r w:rsidR="002D4AEB" w:rsidRPr="00180180">
        <w:rPr>
          <w:i/>
          <w:iCs/>
        </w:rPr>
        <w:t xml:space="preserve">LA FRANJA </w:t>
      </w:r>
      <w:r w:rsidR="00894A86">
        <w:rPr>
          <w:i/>
          <w:iCs/>
        </w:rPr>
        <w:br/>
      </w:r>
      <w:r w:rsidR="002D4AEB" w:rsidRPr="00180180">
        <w:rPr>
          <w:i/>
          <w:iCs/>
        </w:rPr>
        <w:t>Y LA RUTA</w:t>
      </w:r>
      <w:r w:rsidR="002D4AEB" w:rsidRPr="00180180">
        <w:t xml:space="preserve"> PARA REDUCIR LA BRECHA DIGITAL</w:t>
      </w:r>
    </w:p>
    <w:p w14:paraId="755A9AC4" w14:textId="20CEE602" w:rsidR="00DA5827" w:rsidRPr="00180180" w:rsidRDefault="0022139A" w:rsidP="001D46C1">
      <w:r w:rsidRPr="00180180">
        <w:t>El presente Memorando de entendimiento</w:t>
      </w:r>
      <w:r w:rsidR="00DA5827" w:rsidRPr="00180180">
        <w:t xml:space="preserve"> (</w:t>
      </w:r>
      <w:r w:rsidRPr="00180180">
        <w:t>en adelante</w:t>
      </w:r>
      <w:r w:rsidR="00090886" w:rsidRPr="00180180">
        <w:t>,</w:t>
      </w:r>
      <w:r w:rsidRPr="00180180">
        <w:t xml:space="preserve"> "</w:t>
      </w:r>
      <w:r w:rsidR="00DA5827" w:rsidRPr="00180180">
        <w:t>M</w:t>
      </w:r>
      <w:r w:rsidR="00090886" w:rsidRPr="00180180">
        <w:t>dE</w:t>
      </w:r>
      <w:r w:rsidR="00DA5827" w:rsidRPr="00180180">
        <w:t xml:space="preserve">") </w:t>
      </w:r>
      <w:r w:rsidRPr="00180180">
        <w:t>lo suscriben las partes signatarias enumeradas a continuación, el 24 de abril de</w:t>
      </w:r>
      <w:r w:rsidR="00DA5827" w:rsidRPr="00180180">
        <w:t xml:space="preserve"> 2019:</w:t>
      </w:r>
    </w:p>
    <w:p w14:paraId="2FF03E4D" w14:textId="09C06860" w:rsidR="00DA5827" w:rsidRPr="00180180" w:rsidRDefault="0022139A" w:rsidP="001D46C1">
      <w:r w:rsidRPr="00180180">
        <w:t>La Unión Internacional de Telecomunicaciones (en lo sucesivo "la UIT")</w:t>
      </w:r>
    </w:p>
    <w:p w14:paraId="2E92D56F" w14:textId="4F72EC0E" w:rsidR="00DA5827" w:rsidRPr="00180180" w:rsidRDefault="00F039B6" w:rsidP="001D46C1">
      <w:r>
        <w:tab/>
      </w:r>
      <w:r w:rsidR="0022139A" w:rsidRPr="00180180">
        <w:t>Representante legal</w:t>
      </w:r>
      <w:r>
        <w:t>:</w:t>
      </w:r>
      <w:r>
        <w:tab/>
      </w:r>
      <w:r w:rsidR="00DA5827" w:rsidRPr="00180180">
        <w:t xml:space="preserve">Zhao </w:t>
      </w:r>
      <w:r w:rsidR="00F63158" w:rsidRPr="00180180">
        <w:t>Houlin</w:t>
      </w:r>
    </w:p>
    <w:p w14:paraId="5212C569" w14:textId="4B9B2FA3" w:rsidR="00DA5827" w:rsidRPr="000E56FB" w:rsidRDefault="00F039B6" w:rsidP="001D46C1">
      <w:pPr>
        <w:rPr>
          <w:lang w:val="es-ES"/>
        </w:rPr>
      </w:pPr>
      <w:r>
        <w:tab/>
      </w:r>
      <w:r w:rsidR="0022139A" w:rsidRPr="000E56FB">
        <w:rPr>
          <w:lang w:val="es-ES"/>
        </w:rPr>
        <w:t>Dirección</w:t>
      </w:r>
      <w:r w:rsidR="00DA5827" w:rsidRPr="000E56FB">
        <w:rPr>
          <w:lang w:val="es-ES"/>
        </w:rPr>
        <w:t>:</w:t>
      </w:r>
      <w:r w:rsidR="00DA5827" w:rsidRPr="000E56FB">
        <w:rPr>
          <w:lang w:val="es-ES"/>
        </w:rPr>
        <w:tab/>
      </w:r>
      <w:r w:rsidR="00F63158" w:rsidRPr="000E56FB">
        <w:rPr>
          <w:lang w:val="es-ES"/>
        </w:rPr>
        <w:tab/>
      </w:r>
      <w:r w:rsidRPr="000E56FB">
        <w:rPr>
          <w:lang w:val="es-ES"/>
        </w:rPr>
        <w:tab/>
        <w:t xml:space="preserve">Place des Nations, CH 1211 Geneva </w:t>
      </w:r>
      <w:r w:rsidR="00DA5827" w:rsidRPr="000E56FB">
        <w:rPr>
          <w:lang w:val="es-ES"/>
        </w:rPr>
        <w:t xml:space="preserve">20, </w:t>
      </w:r>
      <w:r w:rsidR="0022139A" w:rsidRPr="000E56FB">
        <w:rPr>
          <w:lang w:val="es-ES"/>
        </w:rPr>
        <w:t>Suiza</w:t>
      </w:r>
    </w:p>
    <w:p w14:paraId="352C2EED" w14:textId="1B7F5C74" w:rsidR="00DA5827" w:rsidRPr="00180180" w:rsidRDefault="00F039B6" w:rsidP="001D46C1">
      <w:r w:rsidRPr="000E56FB">
        <w:rPr>
          <w:lang w:val="es-ES"/>
        </w:rPr>
        <w:tab/>
      </w:r>
      <w:r w:rsidR="0022139A" w:rsidRPr="00180180">
        <w:t>Código postal</w:t>
      </w:r>
      <w:r w:rsidR="00DA5827" w:rsidRPr="00180180">
        <w:t>:</w:t>
      </w:r>
      <w:r w:rsidR="00DA5827" w:rsidRPr="00180180">
        <w:tab/>
      </w:r>
      <w:r>
        <w:tab/>
      </w:r>
      <w:r w:rsidR="00DA5827" w:rsidRPr="00180180">
        <w:t>1211</w:t>
      </w:r>
    </w:p>
    <w:p w14:paraId="7B111582" w14:textId="000A98A0" w:rsidR="00DA5827" w:rsidRPr="00180180" w:rsidRDefault="00F039B6" w:rsidP="001D46C1">
      <w:r>
        <w:tab/>
      </w:r>
      <w:r w:rsidR="00DA5827" w:rsidRPr="00180180">
        <w:t>Tel:</w:t>
      </w:r>
      <w:r w:rsidR="00DA5827" w:rsidRPr="00180180">
        <w:tab/>
      </w:r>
      <w:r w:rsidR="00F63158" w:rsidRPr="00180180">
        <w:tab/>
      </w:r>
      <w:r w:rsidR="00F63158" w:rsidRPr="00180180">
        <w:tab/>
      </w:r>
      <w:r>
        <w:tab/>
      </w:r>
      <w:r w:rsidR="00DA5827" w:rsidRPr="00180180">
        <w:t>+41</w:t>
      </w:r>
      <w:r w:rsidR="0022139A" w:rsidRPr="00180180">
        <w:t xml:space="preserve"> </w:t>
      </w:r>
      <w:r w:rsidR="00DA5827" w:rsidRPr="00180180">
        <w:t>22 730 5111</w:t>
      </w:r>
    </w:p>
    <w:p w14:paraId="59730D24" w14:textId="2C6D7C5F" w:rsidR="00DA5827" w:rsidRPr="00180180" w:rsidRDefault="0022139A" w:rsidP="001D46C1">
      <w:r w:rsidRPr="00180180">
        <w:t xml:space="preserve">El Banco de exportación e importación de China </w:t>
      </w:r>
      <w:r w:rsidR="00DA5827" w:rsidRPr="00180180">
        <w:t>(</w:t>
      </w:r>
      <w:r w:rsidRPr="00180180">
        <w:t>en lo sucesivo</w:t>
      </w:r>
      <w:r w:rsidR="00DA5827" w:rsidRPr="00180180">
        <w:t xml:space="preserve"> "Exim Bank")</w:t>
      </w:r>
    </w:p>
    <w:p w14:paraId="2DCC1417" w14:textId="2918F45D" w:rsidR="00DA5827" w:rsidRPr="00180180" w:rsidRDefault="00F039B6" w:rsidP="00F039B6">
      <w:r>
        <w:tab/>
      </w:r>
      <w:r w:rsidR="0022139A" w:rsidRPr="00180180">
        <w:t>Representante legal</w:t>
      </w:r>
      <w:r w:rsidR="00F63158" w:rsidRPr="00180180">
        <w:t>:</w:t>
      </w:r>
      <w:r>
        <w:tab/>
      </w:r>
      <w:r w:rsidR="00F63158" w:rsidRPr="00180180">
        <w:t>Hu Xiaolian</w:t>
      </w:r>
    </w:p>
    <w:p w14:paraId="092B936C" w14:textId="3D636F93" w:rsidR="00DA5827" w:rsidRPr="000E56FB" w:rsidRDefault="00F039B6" w:rsidP="001D46C1">
      <w:pPr>
        <w:rPr>
          <w:lang w:val="es-ES"/>
        </w:rPr>
      </w:pPr>
      <w:r>
        <w:tab/>
      </w:r>
      <w:r w:rsidR="00E75B60" w:rsidRPr="000E56FB">
        <w:rPr>
          <w:lang w:val="es-ES"/>
        </w:rPr>
        <w:t>Dirección</w:t>
      </w:r>
      <w:r w:rsidR="00DA5827" w:rsidRPr="000E56FB">
        <w:rPr>
          <w:lang w:val="es-ES"/>
        </w:rPr>
        <w:t>:</w:t>
      </w:r>
      <w:r w:rsidR="00DA5827" w:rsidRPr="000E56FB">
        <w:rPr>
          <w:lang w:val="es-ES"/>
        </w:rPr>
        <w:tab/>
      </w:r>
      <w:r w:rsidR="00F63158" w:rsidRPr="000E56FB">
        <w:rPr>
          <w:lang w:val="es-ES"/>
        </w:rPr>
        <w:tab/>
      </w:r>
      <w:r w:rsidRPr="000E56FB">
        <w:rPr>
          <w:lang w:val="es-ES"/>
        </w:rPr>
        <w:tab/>
      </w:r>
      <w:r w:rsidR="00DA5827" w:rsidRPr="000E56FB">
        <w:rPr>
          <w:lang w:val="es-ES"/>
        </w:rPr>
        <w:t>No.</w:t>
      </w:r>
      <w:r w:rsidR="00F63158" w:rsidRPr="000E56FB">
        <w:rPr>
          <w:lang w:val="es-ES"/>
        </w:rPr>
        <w:t>30 Fuxingmennei Street, Xicheng District, Beijing</w:t>
      </w:r>
    </w:p>
    <w:p w14:paraId="67C33A46" w14:textId="2ABC2170" w:rsidR="00DA5827" w:rsidRPr="00180180" w:rsidRDefault="00F039B6" w:rsidP="001D46C1">
      <w:r w:rsidRPr="000E56FB">
        <w:rPr>
          <w:lang w:val="es-ES"/>
        </w:rPr>
        <w:tab/>
      </w:r>
      <w:r w:rsidR="00E75B60" w:rsidRPr="00180180">
        <w:t>Código postal</w:t>
      </w:r>
      <w:r w:rsidR="00F63158" w:rsidRPr="00180180">
        <w:t>:</w:t>
      </w:r>
      <w:r w:rsidR="00F63158" w:rsidRPr="00180180">
        <w:tab/>
      </w:r>
      <w:r>
        <w:tab/>
      </w:r>
      <w:r w:rsidR="00DA5827" w:rsidRPr="00180180">
        <w:t>100031</w:t>
      </w:r>
    </w:p>
    <w:p w14:paraId="479F776E" w14:textId="0E5B80A9" w:rsidR="00DA5827" w:rsidRPr="00180180" w:rsidRDefault="00F039B6" w:rsidP="001D46C1">
      <w:r>
        <w:tab/>
      </w:r>
      <w:r w:rsidR="00DA5827" w:rsidRPr="00180180">
        <w:t>Tel:</w:t>
      </w:r>
      <w:r w:rsidR="00DA5827" w:rsidRPr="00180180">
        <w:tab/>
      </w:r>
      <w:r w:rsidR="00F63158" w:rsidRPr="00180180">
        <w:tab/>
      </w:r>
      <w:r w:rsidR="00F63158" w:rsidRPr="00180180">
        <w:tab/>
      </w:r>
      <w:r>
        <w:tab/>
      </w:r>
      <w:r w:rsidR="00DA5827" w:rsidRPr="00180180">
        <w:t>+86-10-8357 9988</w:t>
      </w:r>
    </w:p>
    <w:p w14:paraId="74F919AE" w14:textId="2914DD8B" w:rsidR="002713E5" w:rsidRPr="00180180" w:rsidRDefault="002713E5" w:rsidP="006F28C5">
      <w:r w:rsidRPr="00180180">
        <w:t>En adelante, la UIT y el Banco Exim se denominarán colectivamente "</w:t>
      </w:r>
      <w:r w:rsidR="0008233A" w:rsidRPr="00180180">
        <w:t>Partes signatarias</w:t>
      </w:r>
      <w:r w:rsidR="006F28C5">
        <w:t>"</w:t>
      </w:r>
      <w:r w:rsidR="00F360FA" w:rsidRPr="00180180">
        <w:t>, y cada uno de ellos</w:t>
      </w:r>
      <w:r w:rsidRPr="00180180">
        <w:t xml:space="preserve"> "</w:t>
      </w:r>
      <w:r w:rsidR="0008233A" w:rsidRPr="00180180">
        <w:t>Parte signataria</w:t>
      </w:r>
      <w:r w:rsidRPr="00180180">
        <w:t>".</w:t>
      </w:r>
    </w:p>
    <w:p w14:paraId="26D4AE2D" w14:textId="6B263F21" w:rsidR="002713E5" w:rsidRPr="00180180" w:rsidRDefault="00F360FA" w:rsidP="001D46C1">
      <w:r w:rsidRPr="00180180">
        <w:rPr>
          <w:b/>
          <w:bCs/>
        </w:rPr>
        <w:t>TENIENDO EN CUENTA</w:t>
      </w:r>
      <w:r w:rsidR="00962E5E" w:rsidRPr="00180180">
        <w:rPr>
          <w:b/>
          <w:bCs/>
        </w:rPr>
        <w:t xml:space="preserve"> </w:t>
      </w:r>
      <w:r w:rsidRPr="00180180">
        <w:t xml:space="preserve">que </w:t>
      </w:r>
      <w:r w:rsidR="002713E5" w:rsidRPr="00180180">
        <w:t xml:space="preserve">la UIT es el principal organismo de las Naciones Unidas </w:t>
      </w:r>
      <w:r w:rsidR="00C52B29" w:rsidRPr="00180180">
        <w:t xml:space="preserve">especializado </w:t>
      </w:r>
      <w:r w:rsidR="002713E5" w:rsidRPr="00180180">
        <w:t>en telecomunicaciones/tecnologías de la información y la</w:t>
      </w:r>
      <w:r w:rsidR="00C52B29" w:rsidRPr="00180180">
        <w:t xml:space="preserve"> comunicación (TIC), </w:t>
      </w:r>
      <w:r w:rsidR="002713E5" w:rsidRPr="00180180">
        <w:t>encargado de asignar y gestionar recursos de espectro radioeléctrico</w:t>
      </w:r>
      <w:r w:rsidR="00C52B29" w:rsidRPr="00180180">
        <w:t xml:space="preserve"> a escala mundial</w:t>
      </w:r>
      <w:r w:rsidR="002713E5" w:rsidRPr="00180180">
        <w:t xml:space="preserve">, elaborar normas </w:t>
      </w:r>
      <w:r w:rsidR="00C52B29" w:rsidRPr="00180180">
        <w:t xml:space="preserve">internacionales sobre </w:t>
      </w:r>
      <w:r w:rsidR="002713E5" w:rsidRPr="00180180">
        <w:t xml:space="preserve">telecomunicaciones y prestar asistencia a sus Miembros, </w:t>
      </w:r>
      <w:r w:rsidR="00C52B29" w:rsidRPr="00180180">
        <w:t>en particular</w:t>
      </w:r>
      <w:r w:rsidR="002713E5" w:rsidRPr="00180180">
        <w:t xml:space="preserve"> a los países en desarrollo, </w:t>
      </w:r>
      <w:r w:rsidR="00C52B29" w:rsidRPr="00180180">
        <w:t>para modernizar sus</w:t>
      </w:r>
      <w:r w:rsidR="002713E5" w:rsidRPr="00180180">
        <w:t xml:space="preserve"> </w:t>
      </w:r>
      <w:r w:rsidR="00C52B29" w:rsidRPr="00180180">
        <w:t xml:space="preserve">sistemas de </w:t>
      </w:r>
      <w:r w:rsidR="002713E5" w:rsidRPr="00180180">
        <w:t>telecomunicaciones/TIC;</w:t>
      </w:r>
    </w:p>
    <w:p w14:paraId="482AC02D" w14:textId="042986BC" w:rsidR="002713E5" w:rsidRPr="00180180" w:rsidRDefault="00962E5E" w:rsidP="001D46C1">
      <w:r w:rsidRPr="00180180">
        <w:rPr>
          <w:b/>
          <w:bCs/>
        </w:rPr>
        <w:t xml:space="preserve">TENIENDO EN CUENTA </w:t>
      </w:r>
      <w:r w:rsidRPr="00180180">
        <w:t>que</w:t>
      </w:r>
      <w:r w:rsidR="002713E5" w:rsidRPr="00180180">
        <w:t xml:space="preserve"> Exim Bank, banco de propiedad estatal, </w:t>
      </w:r>
      <w:r w:rsidRPr="00180180">
        <w:t>contribuye a fomentar</w:t>
      </w:r>
      <w:r w:rsidR="002713E5" w:rsidRPr="00180180">
        <w:t xml:space="preserve"> </w:t>
      </w:r>
      <w:r w:rsidRPr="00180180">
        <w:t xml:space="preserve">el </w:t>
      </w:r>
      <w:r w:rsidR="002713E5" w:rsidRPr="00180180">
        <w:t>comercio exterior, la inversión y la cooperación económica internacional de China;</w:t>
      </w:r>
    </w:p>
    <w:p w14:paraId="2B1B514B" w14:textId="6CEAEBDD" w:rsidR="002713E5" w:rsidRPr="00180180" w:rsidRDefault="00962E5E" w:rsidP="001D46C1">
      <w:r w:rsidRPr="00180180">
        <w:rPr>
          <w:b/>
          <w:bCs/>
        </w:rPr>
        <w:lastRenderedPageBreak/>
        <w:t xml:space="preserve">TENIENDO EN CUENTA </w:t>
      </w:r>
      <w:r w:rsidR="002713E5" w:rsidRPr="00180180">
        <w:t>que</w:t>
      </w:r>
      <w:r w:rsidRPr="00180180">
        <w:t>, de conformidad con lo establecido en</w:t>
      </w:r>
      <w:r w:rsidR="002713E5" w:rsidRPr="00180180">
        <w:t xml:space="preserve"> la Agenda </w:t>
      </w:r>
      <w:r w:rsidRPr="00180180">
        <w:t>2030 para el</w:t>
      </w:r>
      <w:r w:rsidR="002713E5" w:rsidRPr="00180180">
        <w:t xml:space="preserve"> Desarrollo Sostenible, </w:t>
      </w:r>
      <w:r w:rsidRPr="00180180">
        <w:t>aprobada</w:t>
      </w:r>
      <w:r w:rsidR="002713E5" w:rsidRPr="00180180">
        <w:t xml:space="preserve"> por unanimidad por 193 Estados Miembros de las Naciones Unidas, la inversión en infraestructura</w:t>
      </w:r>
      <w:r w:rsidRPr="00180180">
        <w:t>s</w:t>
      </w:r>
      <w:r w:rsidR="002713E5" w:rsidRPr="00180180">
        <w:t xml:space="preserve"> (</w:t>
      </w:r>
      <w:r w:rsidRPr="00180180">
        <w:t>en particular de</w:t>
      </w:r>
      <w:r w:rsidR="002713E5" w:rsidRPr="00180180">
        <w:t xml:space="preserve"> transporte, energía y TIC, etc.) es </w:t>
      </w:r>
      <w:r w:rsidRPr="00180180">
        <w:t>primordial</w:t>
      </w:r>
      <w:r w:rsidR="002713E5" w:rsidRPr="00180180">
        <w:t xml:space="preserve"> para </w:t>
      </w:r>
      <w:r w:rsidRPr="00180180">
        <w:t>promover</w:t>
      </w:r>
      <w:r w:rsidR="002713E5" w:rsidRPr="00180180">
        <w:t xml:space="preserve"> el desarrollo sostenible, y </w:t>
      </w:r>
      <w:r w:rsidRPr="00180180">
        <w:t>se prevé</w:t>
      </w:r>
      <w:r w:rsidR="002713E5" w:rsidRPr="00180180">
        <w:t xml:space="preserve"> proporcionar a los países en desarrollo </w:t>
      </w:r>
      <w:r w:rsidRPr="00180180">
        <w:t>un mayor</w:t>
      </w:r>
      <w:r w:rsidR="002713E5" w:rsidRPr="00180180">
        <w:t xml:space="preserve"> apoyo financiero, tecnológico y de creación de capacidad;</w:t>
      </w:r>
    </w:p>
    <w:p w14:paraId="520A8702" w14:textId="28DBBD34" w:rsidR="002713E5" w:rsidRPr="00180180" w:rsidRDefault="00962E5E" w:rsidP="001D46C1">
      <w:r w:rsidRPr="00180180">
        <w:rPr>
          <w:b/>
          <w:bCs/>
        </w:rPr>
        <w:t xml:space="preserve">TENIENDO EN CUENTA </w:t>
      </w:r>
      <w:r w:rsidR="002713E5" w:rsidRPr="00180180">
        <w:t xml:space="preserve">que </w:t>
      </w:r>
      <w:r w:rsidRPr="00180180">
        <w:t xml:space="preserve">el Foro sobre cooperación China-África – Plan de acción de Beijing (2019-2021) y la Iniciativa </w:t>
      </w:r>
      <w:r w:rsidRPr="00180180">
        <w:rPr>
          <w:i/>
          <w:iCs/>
        </w:rPr>
        <w:t>La Franja y la Ruta</w:t>
      </w:r>
      <w:r w:rsidRPr="00180180">
        <w:t xml:space="preserve">, </w:t>
      </w:r>
      <w:r w:rsidR="00063AB2" w:rsidRPr="00180180">
        <w:t xml:space="preserve">y </w:t>
      </w:r>
      <w:r w:rsidRPr="00180180">
        <w:t>la Cumbre de Beijing de 2018</w:t>
      </w:r>
      <w:r w:rsidR="00CD5B92" w:rsidRPr="00180180">
        <w:t xml:space="preserve"> del Foro sobre Cooperación China-África</w:t>
      </w:r>
      <w:r w:rsidR="00063AB2" w:rsidRPr="00180180">
        <w:t>,</w:t>
      </w:r>
      <w:r w:rsidR="00CD5B92" w:rsidRPr="00180180">
        <w:t xml:space="preserve"> </w:t>
      </w:r>
      <w:r w:rsidR="002713E5" w:rsidRPr="00180180">
        <w:t xml:space="preserve">han </w:t>
      </w:r>
      <w:r w:rsidRPr="00180180">
        <w:t>contribuido a fortalecer</w:t>
      </w:r>
      <w:r w:rsidR="002713E5" w:rsidRPr="00180180">
        <w:t xml:space="preserve"> la cooperación entre </w:t>
      </w:r>
      <w:r w:rsidRPr="00180180">
        <w:t>ambas</w:t>
      </w:r>
      <w:r w:rsidR="002713E5" w:rsidRPr="00180180">
        <w:t xml:space="preserve"> partes </w:t>
      </w:r>
      <w:r w:rsidRPr="00180180">
        <w:t>a escala</w:t>
      </w:r>
      <w:r w:rsidR="002713E5" w:rsidRPr="00180180">
        <w:t xml:space="preserve"> internacional, </w:t>
      </w:r>
      <w:r w:rsidRPr="00180180">
        <w:t xml:space="preserve">en particular </w:t>
      </w:r>
      <w:r w:rsidR="00063AB2" w:rsidRPr="00180180">
        <w:t xml:space="preserve">con respecto a </w:t>
      </w:r>
      <w:r w:rsidR="002713E5" w:rsidRPr="00180180">
        <w:t xml:space="preserve">organizaciones internacionales </w:t>
      </w:r>
      <w:r w:rsidRPr="00180180">
        <w:t xml:space="preserve">como la UIT; que el </w:t>
      </w:r>
      <w:r w:rsidR="002713E5" w:rsidRPr="00180180">
        <w:t>trabajo en los próximos tres años</w:t>
      </w:r>
      <w:r w:rsidRPr="00180180">
        <w:t>,</w:t>
      </w:r>
      <w:r w:rsidR="002713E5" w:rsidRPr="00180180">
        <w:t xml:space="preserve"> y </w:t>
      </w:r>
      <w:r w:rsidR="00063AB2" w:rsidRPr="00180180">
        <w:t>por</w:t>
      </w:r>
      <w:r w:rsidR="002713E5" w:rsidRPr="00180180">
        <w:t xml:space="preserve"> un </w:t>
      </w:r>
      <w:r w:rsidR="000C67D5">
        <w:t>peri</w:t>
      </w:r>
      <w:r w:rsidRPr="00180180">
        <w:t>odo ulterior,</w:t>
      </w:r>
      <w:r w:rsidR="002713E5" w:rsidRPr="00180180">
        <w:t xml:space="preserve"> </w:t>
      </w:r>
      <w:r w:rsidRPr="00180180">
        <w:t xml:space="preserve">hará hincapié </w:t>
      </w:r>
      <w:r w:rsidR="002713E5" w:rsidRPr="00180180">
        <w:t xml:space="preserve">en la aplicación de las "ocho iniciativas principales", incluida la iniciativa </w:t>
      </w:r>
      <w:r w:rsidRPr="00180180">
        <w:t>sobre</w:t>
      </w:r>
      <w:r w:rsidR="002713E5" w:rsidRPr="00180180">
        <w:t xml:space="preserve"> conectividad de infraestructuras,</w:t>
      </w:r>
      <w:r w:rsidRPr="00180180">
        <w:t xml:space="preserve"> así como</w:t>
      </w:r>
      <w:r w:rsidR="002713E5" w:rsidRPr="00180180">
        <w:t xml:space="preserve"> en </w:t>
      </w:r>
      <w:r w:rsidRPr="00180180">
        <w:t>el fortalecimiento</w:t>
      </w:r>
      <w:r w:rsidR="002713E5" w:rsidRPr="00180180">
        <w:t xml:space="preserve"> de la cooperación en </w:t>
      </w:r>
      <w:r w:rsidRPr="00180180">
        <w:t>esferas</w:t>
      </w:r>
      <w:r w:rsidR="002713E5" w:rsidRPr="00180180">
        <w:t xml:space="preserve"> como las telecomunicaciones/TIC;</w:t>
      </w:r>
    </w:p>
    <w:p w14:paraId="78EA2C9E" w14:textId="187DA86C" w:rsidR="002713E5" w:rsidRPr="00180180" w:rsidRDefault="00063AB2" w:rsidP="001D46C1">
      <w:r w:rsidRPr="00180180">
        <w:rPr>
          <w:b/>
          <w:bCs/>
        </w:rPr>
        <w:t xml:space="preserve">TENIENDO EN CUENTA </w:t>
      </w:r>
      <w:r w:rsidRPr="00180180">
        <w:t>que, de conformidad con</w:t>
      </w:r>
      <w:r w:rsidR="002713E5" w:rsidRPr="00180180">
        <w:t xml:space="preserve"> la "</w:t>
      </w:r>
      <w:r w:rsidRPr="00180180">
        <w:t xml:space="preserve">Agenda Conectar 2020 </w:t>
      </w:r>
      <w:r w:rsidR="002713E5" w:rsidRPr="00180180">
        <w:t>" de la UIT</w:t>
      </w:r>
      <w:r w:rsidRPr="00180180">
        <w:t>,</w:t>
      </w:r>
      <w:r w:rsidR="002713E5" w:rsidRPr="00180180">
        <w:t xml:space="preserve"> se han fijado objetivos inclusivos, </w:t>
      </w:r>
      <w:r w:rsidRPr="00180180">
        <w:t>en particular</w:t>
      </w:r>
      <w:r w:rsidR="002713E5" w:rsidRPr="00180180">
        <w:t xml:space="preserve"> la reducción de la brecha digital y el acceso </w:t>
      </w:r>
      <w:r w:rsidRPr="00180180">
        <w:t xml:space="preserve">de todo el mundo a </w:t>
      </w:r>
      <w:r w:rsidR="002713E5" w:rsidRPr="00180180">
        <w:t xml:space="preserve">la banda ancha, con </w:t>
      </w:r>
      <w:r w:rsidRPr="00180180">
        <w:t>miras a facilitar</w:t>
      </w:r>
      <w:r w:rsidR="002713E5" w:rsidRPr="00180180">
        <w:t xml:space="preserve"> que el 50 % de los hogares y </w:t>
      </w:r>
      <w:r w:rsidR="00C72F08" w:rsidRPr="00180180">
        <w:t xml:space="preserve">de los habitantes </w:t>
      </w:r>
      <w:r w:rsidR="002713E5" w:rsidRPr="00180180">
        <w:t>de los países en desarrollo tengan acceso</w:t>
      </w:r>
      <w:r w:rsidR="00C72F08" w:rsidRPr="00180180">
        <w:t xml:space="preserve"> a la banda ancha para entonces; que, según se desprende del Informe de e</w:t>
      </w:r>
      <w:r w:rsidR="002713E5" w:rsidRPr="00180180">
        <w:t>valuación de la UIT de 2017</w:t>
      </w:r>
      <w:r w:rsidR="00C72F08" w:rsidRPr="00180180">
        <w:t>,</w:t>
      </w:r>
      <w:r w:rsidR="002713E5" w:rsidRPr="00180180">
        <w:t xml:space="preserve"> África </w:t>
      </w:r>
      <w:r w:rsidR="00C72F08" w:rsidRPr="00180180">
        <w:t>constituye una</w:t>
      </w:r>
      <w:r w:rsidR="002713E5" w:rsidRPr="00180180">
        <w:t xml:space="preserve"> región con </w:t>
      </w:r>
      <w:r w:rsidR="00C72F08" w:rsidRPr="00180180">
        <w:t>gran</w:t>
      </w:r>
      <w:r w:rsidR="002713E5" w:rsidRPr="00180180">
        <w:t xml:space="preserve"> potencial de desarrollo </w:t>
      </w:r>
      <w:r w:rsidR="00C72F08" w:rsidRPr="00180180">
        <w:t>en la esfera de</w:t>
      </w:r>
      <w:r w:rsidR="002713E5" w:rsidRPr="00180180">
        <w:t xml:space="preserve"> las telecomunicaciones/TIC;</w:t>
      </w:r>
    </w:p>
    <w:p w14:paraId="6AB0D89B" w14:textId="5F4F4CB3" w:rsidR="00DA5827" w:rsidRPr="00180180" w:rsidRDefault="00063AB2" w:rsidP="001D46C1">
      <w:r w:rsidRPr="00180180">
        <w:rPr>
          <w:b/>
          <w:bCs/>
        </w:rPr>
        <w:t xml:space="preserve">TENIENDO EN CUENTA </w:t>
      </w:r>
      <w:r w:rsidR="002713E5" w:rsidRPr="00180180">
        <w:t xml:space="preserve">que </w:t>
      </w:r>
      <w:r w:rsidR="009E3737" w:rsidRPr="00180180">
        <w:t>ambas partes signatarias prevén</w:t>
      </w:r>
      <w:r w:rsidR="002713E5" w:rsidRPr="00180180">
        <w:t xml:space="preserve"> entablar un diálogo </w:t>
      </w:r>
      <w:r w:rsidR="00621901" w:rsidRPr="00180180">
        <w:t>en materia de</w:t>
      </w:r>
      <w:r w:rsidR="002713E5" w:rsidRPr="00180180">
        <w:t xml:space="preserve"> cooperación con el fin de promover la </w:t>
      </w:r>
      <w:r w:rsidR="009E3737" w:rsidRPr="00180180">
        <w:t>A</w:t>
      </w:r>
      <w:r w:rsidR="002713E5" w:rsidRPr="00180180">
        <w:t xml:space="preserve">genda 2030 para el </w:t>
      </w:r>
      <w:r w:rsidR="009E3737" w:rsidRPr="00180180">
        <w:t>D</w:t>
      </w:r>
      <w:r w:rsidR="002713E5" w:rsidRPr="00180180">
        <w:t xml:space="preserve">esarrollo </w:t>
      </w:r>
      <w:r w:rsidR="009E3737" w:rsidRPr="00180180">
        <w:t>S</w:t>
      </w:r>
      <w:r w:rsidR="002713E5" w:rsidRPr="00180180">
        <w:t xml:space="preserve">ostenible </w:t>
      </w:r>
      <w:r w:rsidR="009E3737" w:rsidRPr="00180180">
        <w:t xml:space="preserve">en el marco de </w:t>
      </w:r>
      <w:r w:rsidR="002713E5" w:rsidRPr="00180180">
        <w:t xml:space="preserve">la </w:t>
      </w:r>
      <w:r w:rsidR="009E3737" w:rsidRPr="00180180">
        <w:t xml:space="preserve">Iniciativa </w:t>
      </w:r>
      <w:r w:rsidR="009E3737" w:rsidRPr="00180180">
        <w:rPr>
          <w:i/>
          <w:iCs/>
        </w:rPr>
        <w:t>La Franja y la Ruta</w:t>
      </w:r>
      <w:r w:rsidR="009E3737" w:rsidRPr="00180180">
        <w:t xml:space="preserve"> </w:t>
      </w:r>
      <w:r w:rsidR="002713E5" w:rsidRPr="00180180">
        <w:t>para reducir la brecha digital</w:t>
      </w:r>
      <w:r w:rsidR="00DA5827" w:rsidRPr="00180180">
        <w:t>;</w:t>
      </w:r>
    </w:p>
    <w:p w14:paraId="1D72A939" w14:textId="143F12BA" w:rsidR="00DA5827" w:rsidRPr="00180180" w:rsidRDefault="00621901" w:rsidP="001D46C1">
      <w:r w:rsidRPr="00180180">
        <w:rPr>
          <w:rStyle w:val="BodytextBold"/>
          <w:sz w:val="24"/>
          <w:szCs w:val="24"/>
          <w:lang w:val="es-ES_tradnl"/>
        </w:rPr>
        <w:t>EN CONSECUENCIA</w:t>
      </w:r>
      <w:r w:rsidR="00DA5827" w:rsidRPr="00180180">
        <w:rPr>
          <w:rStyle w:val="BodytextBold"/>
          <w:sz w:val="24"/>
          <w:szCs w:val="24"/>
          <w:lang w:val="es-ES_tradnl"/>
        </w:rPr>
        <w:t xml:space="preserve">, </w:t>
      </w:r>
      <w:r w:rsidRPr="00180180">
        <w:t xml:space="preserve">las partes signatarias han </w:t>
      </w:r>
      <w:r w:rsidR="00FC061F" w:rsidRPr="00180180">
        <w:t>alcanzado e</w:t>
      </w:r>
      <w:r w:rsidRPr="00180180">
        <w:t xml:space="preserve">l </w:t>
      </w:r>
      <w:r w:rsidR="00FC061F" w:rsidRPr="00180180">
        <w:t xml:space="preserve">acuerdo </w:t>
      </w:r>
      <w:r w:rsidRPr="00180180">
        <w:t xml:space="preserve">siguiente </w:t>
      </w:r>
      <w:r w:rsidR="00FC061F" w:rsidRPr="00180180">
        <w:t>en el marco de</w:t>
      </w:r>
      <w:r w:rsidRPr="00180180">
        <w:t xml:space="preserve"> consultas amistosas</w:t>
      </w:r>
      <w:r w:rsidR="00DA5827" w:rsidRPr="00180180">
        <w:t>:</w:t>
      </w:r>
    </w:p>
    <w:p w14:paraId="52D2AD4C" w14:textId="13F54C14" w:rsidR="00DA5827" w:rsidRPr="00180180" w:rsidRDefault="00184AA0" w:rsidP="001D46C1">
      <w:pPr>
        <w:pStyle w:val="Heading1"/>
      </w:pPr>
      <w:r w:rsidRPr="00180180">
        <w:t>ARTÍCULO</w:t>
      </w:r>
      <w:r w:rsidR="00DA5827" w:rsidRPr="00180180">
        <w:t xml:space="preserve"> 1: </w:t>
      </w:r>
      <w:r w:rsidR="000A501D" w:rsidRPr="00180180">
        <w:t>Objetivo, alcance y características de la cooperación</w:t>
      </w:r>
    </w:p>
    <w:p w14:paraId="4BBD65CA" w14:textId="693FA038" w:rsidR="000A501D" w:rsidRPr="00180180" w:rsidRDefault="00C84EE3" w:rsidP="001D46C1">
      <w:r w:rsidRPr="00180180">
        <w:t>1.1</w:t>
      </w:r>
      <w:r w:rsidRPr="00180180">
        <w:tab/>
      </w:r>
      <w:r w:rsidR="000A501D" w:rsidRPr="00180180">
        <w:t xml:space="preserve">El presente MdE tiene por objetivo abundar en los esfuerzos de cooperación entre las partes signatarias, con miras a facilitar el cumplimiento de la Agenda 2030 para el Desarrollo Sostenible en el marco de la Iniciativa </w:t>
      </w:r>
      <w:r w:rsidR="00495340" w:rsidRPr="00495340">
        <w:rPr>
          <w:i/>
          <w:iCs/>
        </w:rPr>
        <w:t xml:space="preserve">La </w:t>
      </w:r>
      <w:r w:rsidR="00243E8D" w:rsidRPr="00495340">
        <w:rPr>
          <w:i/>
          <w:iCs/>
        </w:rPr>
        <w:t>Franja y la Ruta</w:t>
      </w:r>
      <w:r w:rsidR="000A501D" w:rsidRPr="00180180">
        <w:t xml:space="preserve">, </w:t>
      </w:r>
      <w:r w:rsidR="00243E8D" w:rsidRPr="00180180">
        <w:t xml:space="preserve">en particular en la esfera </w:t>
      </w:r>
      <w:r w:rsidR="000A501D" w:rsidRPr="00180180">
        <w:t>de las telecomunicaciones/TIC, y fomentar la reducción de la brecha digital en África.</w:t>
      </w:r>
    </w:p>
    <w:p w14:paraId="31E33704" w14:textId="7299BCAF" w:rsidR="00DA5827" w:rsidRPr="00180180" w:rsidRDefault="000A501D" w:rsidP="001D46C1">
      <w:r w:rsidRPr="00180180">
        <w:t xml:space="preserve">1.2 </w:t>
      </w:r>
      <w:r w:rsidR="00243E8D" w:rsidRPr="00180180">
        <w:tab/>
        <w:t>A tal efecto,</w:t>
      </w:r>
      <w:r w:rsidRPr="00180180">
        <w:t xml:space="preserve"> y de conformidad con sus mandatos, normas, reglamentos y procedimientos</w:t>
      </w:r>
      <w:r w:rsidR="00243E8D" w:rsidRPr="00180180">
        <w:t xml:space="preserve"> respectivos</w:t>
      </w:r>
      <w:r w:rsidRPr="00180180">
        <w:t xml:space="preserve">, </w:t>
      </w:r>
      <w:r w:rsidR="00243E8D" w:rsidRPr="00180180">
        <w:t>las partes signatarias manifiestan</w:t>
      </w:r>
      <w:r w:rsidRPr="00180180">
        <w:t xml:space="preserve"> su </w:t>
      </w:r>
      <w:r w:rsidR="00243E8D" w:rsidRPr="00180180">
        <w:t>deseo</w:t>
      </w:r>
      <w:r w:rsidRPr="00180180">
        <w:t xml:space="preserve"> de llevar </w:t>
      </w:r>
      <w:r w:rsidRPr="00180180">
        <w:lastRenderedPageBreak/>
        <w:t xml:space="preserve">a cabo esa cooperación teniendo en cuenta </w:t>
      </w:r>
      <w:r w:rsidR="00243E8D" w:rsidRPr="00180180">
        <w:t>la</w:t>
      </w:r>
      <w:r w:rsidRPr="00180180">
        <w:t xml:space="preserve"> "</w:t>
      </w:r>
      <w:r w:rsidR="00243E8D" w:rsidRPr="00180180">
        <w:t>Agenda</w:t>
      </w:r>
      <w:r w:rsidRPr="00180180">
        <w:t xml:space="preserve"> Conectar 2020" de la UIT, iniciativas y </w:t>
      </w:r>
      <w:r w:rsidR="00243E8D" w:rsidRPr="00180180">
        <w:t>avances</w:t>
      </w:r>
      <w:r w:rsidRPr="00180180">
        <w:t xml:space="preserve"> nacionales o regionales como el Foro de Cooperación China-África</w:t>
      </w:r>
      <w:r w:rsidR="00243E8D" w:rsidRPr="00180180">
        <w:t>-Plan de a</w:t>
      </w:r>
      <w:r w:rsidRPr="00180180">
        <w:t xml:space="preserve">cción de Beijing (2019-2021), así como los esfuerzos concertados para </w:t>
      </w:r>
      <w:r w:rsidR="00243E8D" w:rsidRPr="00180180">
        <w:t>fomentar</w:t>
      </w:r>
      <w:r w:rsidRPr="00180180">
        <w:t xml:space="preserve"> el desarrollo de las telecomunicaciones/TIC en los países y regiones que participan en la Iniciativa </w:t>
      </w:r>
      <w:r w:rsidR="00243E8D" w:rsidRPr="00180180">
        <w:rPr>
          <w:i/>
          <w:iCs/>
        </w:rPr>
        <w:t>La Franja y la Ruta</w:t>
      </w:r>
      <w:r w:rsidRPr="00180180">
        <w:t xml:space="preserve">. En consecuencia, </w:t>
      </w:r>
      <w:r w:rsidR="00243E8D" w:rsidRPr="00180180">
        <w:t>las partes signatarias</w:t>
      </w:r>
      <w:r w:rsidRPr="00180180">
        <w:t xml:space="preserve"> prevén que </w:t>
      </w:r>
      <w:r w:rsidR="00243E8D" w:rsidRPr="00180180">
        <w:t>su</w:t>
      </w:r>
      <w:r w:rsidRPr="00180180">
        <w:t xml:space="preserve"> cooperación </w:t>
      </w:r>
      <w:r w:rsidR="00243E8D" w:rsidRPr="00180180">
        <w:t>dé lugar a resultados útiles, en particular</w:t>
      </w:r>
      <w:r w:rsidRPr="00180180">
        <w:t xml:space="preserve"> en las </w:t>
      </w:r>
      <w:r w:rsidR="00243E8D" w:rsidRPr="00180180">
        <w:t xml:space="preserve">esferas </w:t>
      </w:r>
      <w:r w:rsidRPr="00180180">
        <w:t>siguientes</w:t>
      </w:r>
      <w:r w:rsidR="00DA5827" w:rsidRPr="00180180">
        <w:t>:</w:t>
      </w:r>
    </w:p>
    <w:p w14:paraId="238CB49C" w14:textId="7283FF60" w:rsidR="00243E8D" w:rsidRPr="00180180" w:rsidRDefault="00C84EE3" w:rsidP="001D46C1">
      <w:pPr>
        <w:pStyle w:val="enumlev1"/>
      </w:pPr>
      <w:r w:rsidRPr="00180180">
        <w:t>a</w:t>
      </w:r>
      <w:r w:rsidRPr="00180180">
        <w:tab/>
      </w:r>
      <w:r w:rsidR="00243E8D" w:rsidRPr="00180180">
        <w:t xml:space="preserve">Mejora de la infraestructura de telecomunicaciones/TIC en los países y </w:t>
      </w:r>
      <w:r w:rsidR="001150CD" w:rsidRPr="00180180">
        <w:t xml:space="preserve">las </w:t>
      </w:r>
      <w:r w:rsidR="00243E8D" w:rsidRPr="00180180">
        <w:t>regiones que participan en</w:t>
      </w:r>
      <w:r w:rsidR="001150CD" w:rsidRPr="00180180">
        <w:t xml:space="preserve"> la</w:t>
      </w:r>
      <w:r w:rsidR="00243E8D" w:rsidRPr="00180180">
        <w:t xml:space="preserve"> </w:t>
      </w:r>
      <w:r w:rsidR="001150CD" w:rsidRPr="00180180">
        <w:t xml:space="preserve">Iniciativa </w:t>
      </w:r>
      <w:r w:rsidR="001150CD" w:rsidRPr="00180180">
        <w:rPr>
          <w:i/>
          <w:iCs/>
        </w:rPr>
        <w:t>La Franja y la Ruta</w:t>
      </w:r>
      <w:r w:rsidR="00243E8D" w:rsidRPr="00180180">
        <w:t>;</w:t>
      </w:r>
    </w:p>
    <w:p w14:paraId="67F997EA" w14:textId="7C760C4E" w:rsidR="00243E8D" w:rsidRPr="00180180" w:rsidRDefault="006F28C5" w:rsidP="001D46C1">
      <w:pPr>
        <w:pStyle w:val="enumlev1"/>
      </w:pPr>
      <w:r>
        <w:t>b</w:t>
      </w:r>
      <w:r w:rsidR="00243E8D" w:rsidRPr="00180180">
        <w:tab/>
        <w:t>Ejecución de proyectos de desarrollo de infraestructuras de telecomunicaciones/TIC e</w:t>
      </w:r>
      <w:r w:rsidR="001150CD" w:rsidRPr="00180180">
        <w:t>n los países de la Comunidad de</w:t>
      </w:r>
      <w:r w:rsidR="00243E8D" w:rsidRPr="00180180">
        <w:t xml:space="preserve"> África </w:t>
      </w:r>
      <w:r w:rsidR="001150CD" w:rsidRPr="00180180">
        <w:t>o</w:t>
      </w:r>
      <w:r w:rsidR="00243E8D" w:rsidRPr="00180180">
        <w:t xml:space="preserve">riental y </w:t>
      </w:r>
      <w:r w:rsidR="005B48B5" w:rsidRPr="00180180">
        <w:t xml:space="preserve">en </w:t>
      </w:r>
      <w:r w:rsidR="00243E8D" w:rsidRPr="00180180">
        <w:t xml:space="preserve">otros países africanos </w:t>
      </w:r>
      <w:r w:rsidR="001150CD" w:rsidRPr="00180180">
        <w:t>susceptibles de</w:t>
      </w:r>
      <w:r w:rsidR="00243E8D" w:rsidRPr="00180180">
        <w:t xml:space="preserve"> ser </w:t>
      </w:r>
      <w:r w:rsidR="005B48B5" w:rsidRPr="00180180">
        <w:t>designados</w:t>
      </w:r>
      <w:r w:rsidR="00243E8D" w:rsidRPr="00180180">
        <w:t xml:space="preserve"> países beneficiarios de proyectos de la UIT (</w:t>
      </w:r>
      <w:r w:rsidR="001150CD" w:rsidRPr="00180180">
        <w:t xml:space="preserve">denominados </w:t>
      </w:r>
      <w:r w:rsidR="00243E8D" w:rsidRPr="00180180">
        <w:t>en adelante "países beneficiarios");</w:t>
      </w:r>
    </w:p>
    <w:p w14:paraId="6D45E4A4" w14:textId="191DE7AA" w:rsidR="00243E8D" w:rsidRPr="00180180" w:rsidRDefault="00243E8D" w:rsidP="006F28C5">
      <w:pPr>
        <w:pStyle w:val="enumlev1"/>
      </w:pPr>
      <w:r w:rsidRPr="00180180">
        <w:t>c</w:t>
      </w:r>
      <w:r w:rsidRPr="00180180">
        <w:tab/>
      </w:r>
      <w:r w:rsidR="005B48B5" w:rsidRPr="00180180">
        <w:t>M</w:t>
      </w:r>
      <w:r w:rsidRPr="00180180">
        <w:t xml:space="preserve">odernización de equipos de telecomunicaciones/TIC en los países en desarrollo, </w:t>
      </w:r>
      <w:r w:rsidR="005B48B5" w:rsidRPr="00180180">
        <w:t>en particular</w:t>
      </w:r>
      <w:r w:rsidRPr="00180180">
        <w:t xml:space="preserve"> en los países africanos, </w:t>
      </w:r>
      <w:r w:rsidR="005B48B5" w:rsidRPr="00180180">
        <w:t>fomento d</w:t>
      </w:r>
      <w:r w:rsidRPr="00180180">
        <w:t xml:space="preserve">el desarrollo económico sostenible, protección del medio ambiente y mitigación del cambio climático, y </w:t>
      </w:r>
      <w:r w:rsidR="005B48B5" w:rsidRPr="00180180">
        <w:t>contribución</w:t>
      </w:r>
      <w:r w:rsidRPr="00180180">
        <w:t xml:space="preserve"> al desarrollo de las pequeñas y medianas empresas;</w:t>
      </w:r>
    </w:p>
    <w:p w14:paraId="2D61525A" w14:textId="44BB9A27" w:rsidR="00243E8D" w:rsidRPr="00180180" w:rsidRDefault="006F28C5" w:rsidP="001D46C1">
      <w:pPr>
        <w:pStyle w:val="enumlev1"/>
      </w:pPr>
      <w:r>
        <w:t>d</w:t>
      </w:r>
      <w:r w:rsidR="00243E8D" w:rsidRPr="00180180">
        <w:tab/>
      </w:r>
      <w:r w:rsidR="005B48B5" w:rsidRPr="00180180">
        <w:t>Promoción de</w:t>
      </w:r>
      <w:r w:rsidR="00243E8D" w:rsidRPr="00180180">
        <w:t xml:space="preserve"> la interconexión </w:t>
      </w:r>
      <w:r w:rsidR="005B48B5" w:rsidRPr="00180180">
        <w:t>de</w:t>
      </w:r>
      <w:r w:rsidR="00243E8D" w:rsidRPr="00180180">
        <w:t xml:space="preserve"> redes </w:t>
      </w:r>
      <w:r w:rsidR="008E77AD" w:rsidRPr="00180180">
        <w:t>e</w:t>
      </w:r>
      <w:r w:rsidR="00243E8D" w:rsidRPr="00180180">
        <w:t xml:space="preserve"> infraestructura</w:t>
      </w:r>
      <w:r w:rsidR="005B48B5" w:rsidRPr="00180180">
        <w:t>s</w:t>
      </w:r>
      <w:r w:rsidR="00243E8D" w:rsidRPr="00180180">
        <w:t xml:space="preserve"> de telecomunicaciones/TIC, incluidas las redes de transmisión por cable óptico, las redes de comunicaciones móviles, las redes de banda ancha y las redes de comunicaciones por satélite;</w:t>
      </w:r>
    </w:p>
    <w:p w14:paraId="09A11A65" w14:textId="6FDAE0E6" w:rsidR="00243E8D" w:rsidRPr="00180180" w:rsidRDefault="006F28C5" w:rsidP="001D46C1">
      <w:pPr>
        <w:pStyle w:val="enumlev1"/>
      </w:pPr>
      <w:r>
        <w:t>e</w:t>
      </w:r>
      <w:r w:rsidR="00243E8D" w:rsidRPr="00180180">
        <w:tab/>
      </w:r>
      <w:r w:rsidR="005B48B5" w:rsidRPr="00180180">
        <w:t>Facilitación y ampliación del</w:t>
      </w:r>
      <w:r w:rsidR="00243E8D" w:rsidRPr="00180180">
        <w:t xml:space="preserve"> acceso a servicios y aplicaciones de Internet;</w:t>
      </w:r>
    </w:p>
    <w:p w14:paraId="0A1FDC19" w14:textId="3239A895" w:rsidR="00DA5827" w:rsidRPr="00180180" w:rsidRDefault="006F28C5" w:rsidP="001D46C1">
      <w:pPr>
        <w:pStyle w:val="enumlev1"/>
      </w:pPr>
      <w:r>
        <w:t>f</w:t>
      </w:r>
      <w:r w:rsidR="00243E8D" w:rsidRPr="00180180">
        <w:tab/>
      </w:r>
      <w:r w:rsidR="005B48B5" w:rsidRPr="00180180">
        <w:t>Promoción y facilitación del</w:t>
      </w:r>
      <w:r w:rsidR="00243E8D" w:rsidRPr="00180180">
        <w:t xml:space="preserve"> intercambio de conocimientos y </w:t>
      </w:r>
      <w:r w:rsidR="005B48B5" w:rsidRPr="00180180">
        <w:t>de personal, así como de prácticas idóneas,</w:t>
      </w:r>
      <w:r w:rsidR="00243E8D" w:rsidRPr="00180180">
        <w:t xml:space="preserve"> entre </w:t>
      </w:r>
      <w:r w:rsidR="005B48B5" w:rsidRPr="00180180">
        <w:t>las partes signatarias</w:t>
      </w:r>
      <w:r w:rsidR="00243E8D" w:rsidRPr="00180180">
        <w:t xml:space="preserve"> y los </w:t>
      </w:r>
      <w:r w:rsidR="004476DB" w:rsidRPr="00180180">
        <w:t xml:space="preserve">países beneficiarios </w:t>
      </w:r>
      <w:r w:rsidR="00243E8D" w:rsidRPr="00180180">
        <w:t xml:space="preserve">en </w:t>
      </w:r>
      <w:r w:rsidR="005B48B5" w:rsidRPr="00180180">
        <w:t>la esfera</w:t>
      </w:r>
      <w:r w:rsidR="00243E8D" w:rsidRPr="00180180">
        <w:t xml:space="preserve"> de las telecomunicaciones/TIC.</w:t>
      </w:r>
    </w:p>
    <w:p w14:paraId="034B6D8C" w14:textId="3AE70D03" w:rsidR="00DA5827" w:rsidRPr="00180180" w:rsidRDefault="00C84EE3" w:rsidP="001D46C1">
      <w:r w:rsidRPr="00180180">
        <w:t>1.3</w:t>
      </w:r>
      <w:r w:rsidRPr="00180180">
        <w:tab/>
      </w:r>
      <w:bookmarkStart w:id="13" w:name="lt_pId050"/>
      <w:r w:rsidR="00090886" w:rsidRPr="00180180">
        <w:t>El presente MdE tiene por objeto proporcionar orientación de alto nivel a los efectos de cooperación no exclusiva a largo plazo entre las partes signatarias. A tal efecto, sirve de punto de partida para otros documentos pertinentes que puedan suscribirse ulteriormente. En consecuencia, los Signatarios reconocen que</w:t>
      </w:r>
      <w:r w:rsidR="00DA5827" w:rsidRPr="00180180">
        <w:t>:</w:t>
      </w:r>
      <w:bookmarkEnd w:id="13"/>
    </w:p>
    <w:p w14:paraId="63D5FDF3" w14:textId="3A378237" w:rsidR="00090886" w:rsidRPr="00180180" w:rsidRDefault="00C84EE3" w:rsidP="001D46C1">
      <w:pPr>
        <w:pStyle w:val="enumlev1"/>
      </w:pPr>
      <w:r w:rsidRPr="00180180">
        <w:t>a</w:t>
      </w:r>
      <w:r w:rsidRPr="00180180">
        <w:tab/>
      </w:r>
      <w:r w:rsidR="00090886" w:rsidRPr="00180180">
        <w:t>El objetivo del presente MdE no es constituir un acuerdo vinculante entre las partes signatarias, ni que se interprete como tal, y que no conlleva</w:t>
      </w:r>
      <w:r w:rsidR="00A460A7" w:rsidRPr="00180180">
        <w:t xml:space="preserve"> ningún tipo de</w:t>
      </w:r>
      <w:r w:rsidR="00090886" w:rsidRPr="00180180">
        <w:t xml:space="preserve"> obligación o compromiso para las partes signatarias en materia de provisión de fondos o recursos humanos o de otro tipo;</w:t>
      </w:r>
    </w:p>
    <w:p w14:paraId="0F85184A" w14:textId="1E03E5C2" w:rsidR="00DA5827" w:rsidRPr="00180180" w:rsidRDefault="006F28C5" w:rsidP="001D46C1">
      <w:pPr>
        <w:pStyle w:val="enumlev1"/>
      </w:pPr>
      <w:r>
        <w:t>b</w:t>
      </w:r>
      <w:r w:rsidR="00090886" w:rsidRPr="00180180">
        <w:tab/>
        <w:t xml:space="preserve">Las condiciones pertinentes relativas a los pormenores de la cooperación (en particular, en relación con cuestiones de índole financiera, jurídica y operacional, </w:t>
      </w:r>
      <w:r w:rsidR="00A460A7" w:rsidRPr="00180180">
        <w:t xml:space="preserve">sin restricción alguna, </w:t>
      </w:r>
      <w:r w:rsidR="00090886" w:rsidRPr="00180180">
        <w:t xml:space="preserve">así como con los derechos, las funciones </w:t>
      </w:r>
      <w:r w:rsidR="00090886" w:rsidRPr="00180180">
        <w:lastRenderedPageBreak/>
        <w:t xml:space="preserve">y las responsabilidades respectivos de las partes signatarias, si los hubiere) se establecerán por escrito en el marco de acuerdos jurídicamente vinculantes, documentos de proyecto y/u otros instrumentos que </w:t>
      </w:r>
      <w:r w:rsidR="0031690B" w:rsidRPr="00180180">
        <w:t>negociarán, acordarán y suscribirán</w:t>
      </w:r>
      <w:r w:rsidR="00090886" w:rsidRPr="00180180">
        <w:t xml:space="preserve"> </w:t>
      </w:r>
      <w:r w:rsidR="0031690B" w:rsidRPr="00180180">
        <w:t>independientemente</w:t>
      </w:r>
      <w:r w:rsidR="00090886" w:rsidRPr="00180180">
        <w:t xml:space="preserve"> </w:t>
      </w:r>
      <w:r w:rsidR="0031690B" w:rsidRPr="00180180">
        <w:t>ambas partes signatarias</w:t>
      </w:r>
      <w:r w:rsidR="00090886" w:rsidRPr="00180180">
        <w:t xml:space="preserve"> en el futuro</w:t>
      </w:r>
      <w:r w:rsidR="00DA5827" w:rsidRPr="00180180">
        <w:t>.</w:t>
      </w:r>
    </w:p>
    <w:p w14:paraId="00018BF4" w14:textId="6443C960" w:rsidR="00DA5827" w:rsidRPr="00180180" w:rsidRDefault="00184AA0" w:rsidP="001D46C1">
      <w:pPr>
        <w:pStyle w:val="Heading1"/>
      </w:pPr>
      <w:bookmarkStart w:id="14" w:name="bookmark0"/>
      <w:r w:rsidRPr="00180180">
        <w:t xml:space="preserve">ARTÍCULO </w:t>
      </w:r>
      <w:r w:rsidR="00DA5827" w:rsidRPr="00180180">
        <w:t xml:space="preserve">2: </w:t>
      </w:r>
      <w:r w:rsidR="009C52DF" w:rsidRPr="00180180">
        <w:t>Metodología de cooperación</w:t>
      </w:r>
      <w:bookmarkEnd w:id="14"/>
    </w:p>
    <w:p w14:paraId="5662C48A" w14:textId="17F28E49" w:rsidR="00DA5827" w:rsidRPr="00180180" w:rsidRDefault="00153CBD" w:rsidP="001D46C1">
      <w:r w:rsidRPr="00180180">
        <w:t>2.1</w:t>
      </w:r>
      <w:r w:rsidRPr="00180180">
        <w:tab/>
      </w:r>
      <w:r w:rsidR="009C52DF" w:rsidRPr="00180180">
        <w:t>De conformidad con lo dispuesto en el Artículo 1.3 anteriormente citado, las partes signatarias desean aplicar el procedimiento descrito a continuación, previo acuerdo para llevar a cabo conjuntamente acciones específicas con arreglo al presente MdE</w:t>
      </w:r>
      <w:r w:rsidR="00DA5827" w:rsidRPr="00180180">
        <w:t>:</w:t>
      </w:r>
    </w:p>
    <w:p w14:paraId="01962282" w14:textId="700F62DD" w:rsidR="009C52DF" w:rsidRPr="00180180" w:rsidRDefault="00153CBD" w:rsidP="001D46C1">
      <w:pPr>
        <w:pStyle w:val="enumlev1"/>
      </w:pPr>
      <w:r w:rsidRPr="00180180">
        <w:t>a</w:t>
      </w:r>
      <w:r w:rsidRPr="00180180">
        <w:tab/>
      </w:r>
      <w:r w:rsidR="009C52DF" w:rsidRPr="00180180">
        <w:t>colaborar en la elaboración de los documentos necesarios;</w:t>
      </w:r>
    </w:p>
    <w:p w14:paraId="77B68939" w14:textId="58E32715" w:rsidR="009C52DF" w:rsidRPr="00180180" w:rsidRDefault="006F28C5" w:rsidP="001D46C1">
      <w:pPr>
        <w:pStyle w:val="enumlev1"/>
      </w:pPr>
      <w:r>
        <w:t>b</w:t>
      </w:r>
      <w:r w:rsidR="009C52DF" w:rsidRPr="00180180">
        <w:tab/>
        <w:t>obtener la(s) aprobación(es) requerida(s), a tenor de sus políticas y reglamentos respectivos;</w:t>
      </w:r>
    </w:p>
    <w:p w14:paraId="5BB726F4" w14:textId="61FAACB7" w:rsidR="003E3D67" w:rsidRPr="00180180" w:rsidRDefault="006F28C5" w:rsidP="006F28C5">
      <w:pPr>
        <w:pStyle w:val="enumlev1"/>
      </w:pPr>
      <w:r>
        <w:t>c</w:t>
      </w:r>
      <w:r w:rsidR="009C52DF" w:rsidRPr="00180180">
        <w:tab/>
        <w:t>entablar consultas para determinar los recursos, financieros o de otro tipo, que sean necesarios para llevar a cabo dichas acciones. A este respecto, las partes signatarias pueden estudiar la posibilidad de solicitar fondos o contribuciones en especie de terceros, de conformidad con sus correspondientes normas y procedimientos</w:t>
      </w:r>
      <w:r w:rsidR="00DA5827" w:rsidRPr="00180180">
        <w:t>.</w:t>
      </w:r>
    </w:p>
    <w:p w14:paraId="55092DF9" w14:textId="7DB34D4A" w:rsidR="00DA5827" w:rsidRPr="00180180" w:rsidRDefault="003E3D67" w:rsidP="001D46C1">
      <w:r w:rsidRPr="00180180">
        <w:t>2.2</w:t>
      </w:r>
      <w:r w:rsidRPr="00180180">
        <w:tab/>
      </w:r>
      <w:r w:rsidR="009C52DF" w:rsidRPr="00180180">
        <w:t>Las partes signatarias pueden estudiar otros modos de cooperación, adaptados a cada etapa de proyectos específicos, por ejemplo</w:t>
      </w:r>
      <w:r w:rsidR="00DA5827" w:rsidRPr="00180180">
        <w:t>:</w:t>
      </w:r>
    </w:p>
    <w:p w14:paraId="1377BE5C" w14:textId="61FF9508" w:rsidR="000E2F3C" w:rsidRPr="00180180" w:rsidRDefault="00DA41A1" w:rsidP="001D46C1">
      <w:pPr>
        <w:pStyle w:val="enumlev1"/>
      </w:pPr>
      <w:r w:rsidRPr="00180180">
        <w:t>a</w:t>
      </w:r>
      <w:r w:rsidRPr="00180180">
        <w:tab/>
      </w:r>
      <w:r w:rsidR="000E2F3C" w:rsidRPr="00180180">
        <w:t>Etapa de desarrollo/aprobación de</w:t>
      </w:r>
      <w:r w:rsidR="007A7776" w:rsidRPr="00180180">
        <w:t xml:space="preserve"> proyecto</w:t>
      </w:r>
      <w:r w:rsidR="00A83F2E" w:rsidRPr="00180180">
        <w:t>s</w:t>
      </w:r>
      <w:r w:rsidR="007A7776" w:rsidRPr="00180180">
        <w:t>: en función del grado</w:t>
      </w:r>
      <w:r w:rsidR="000E2F3C" w:rsidRPr="00180180">
        <w:t xml:space="preserve"> de desarrollo de las telecomunicaciones de sus Estados Miembros, la UIT podría recopilar un catálogo de recomendaciones de proyectos de los Estados Miembros </w:t>
      </w:r>
      <w:r w:rsidR="007A7776" w:rsidRPr="00180180">
        <w:t>en las que hubiera una mayor necesidad</w:t>
      </w:r>
      <w:r w:rsidR="000E2F3C" w:rsidRPr="00180180">
        <w:t xml:space="preserve"> de asistencia, y presentar propuestas de proyecto</w:t>
      </w:r>
      <w:r w:rsidR="00A83F2E" w:rsidRPr="00180180">
        <w:t>s</w:t>
      </w:r>
      <w:r w:rsidR="00453273">
        <w:t xml:space="preserve"> específicas a Exim Bank. É</w:t>
      </w:r>
      <w:r w:rsidR="000E2F3C" w:rsidRPr="00180180">
        <w:t xml:space="preserve">ste </w:t>
      </w:r>
      <w:r w:rsidR="007A7776" w:rsidRPr="00180180">
        <w:t>podría</w:t>
      </w:r>
      <w:r w:rsidR="000E2F3C" w:rsidRPr="00180180">
        <w:t xml:space="preserve"> </w:t>
      </w:r>
      <w:r w:rsidR="007A7776" w:rsidRPr="00180180">
        <w:t>atribuir suma</w:t>
      </w:r>
      <w:r w:rsidR="000E2F3C" w:rsidRPr="00180180">
        <w:t xml:space="preserve"> importancia a los proyectos recomendados por la UIT y adoptar medidas </w:t>
      </w:r>
      <w:r w:rsidR="007A7776" w:rsidRPr="00180180">
        <w:t>encaminadas a su evaluación</w:t>
      </w:r>
      <w:r w:rsidR="000E2F3C" w:rsidRPr="00180180">
        <w:t>, con miras a financiar su ejecución si así lo decid</w:t>
      </w:r>
      <w:r w:rsidR="007A7776" w:rsidRPr="00180180">
        <w:t>iera</w:t>
      </w:r>
      <w:r w:rsidR="000E2F3C" w:rsidRPr="00180180">
        <w:t xml:space="preserve">, </w:t>
      </w:r>
      <w:r w:rsidR="00A83F2E" w:rsidRPr="00180180">
        <w:t>con arreglo a</w:t>
      </w:r>
      <w:r w:rsidR="007A7776" w:rsidRPr="00180180">
        <w:t xml:space="preserve"> su propio criterio. En tal caso, </w:t>
      </w:r>
      <w:r w:rsidR="000E2F3C" w:rsidRPr="00180180">
        <w:t>Exim</w:t>
      </w:r>
      <w:r w:rsidR="007A7776" w:rsidRPr="00180180">
        <w:t xml:space="preserve"> Bank</w:t>
      </w:r>
      <w:r w:rsidR="000E2F3C" w:rsidRPr="00180180">
        <w:t xml:space="preserve"> coordinar</w:t>
      </w:r>
      <w:r w:rsidR="007A7776" w:rsidRPr="00180180">
        <w:t>ía</w:t>
      </w:r>
      <w:r w:rsidR="000E2F3C" w:rsidRPr="00180180">
        <w:t xml:space="preserve"> con la UIT la </w:t>
      </w:r>
      <w:r w:rsidR="007A7776" w:rsidRPr="00180180">
        <w:t>ejecución</w:t>
      </w:r>
      <w:r w:rsidR="000E2F3C" w:rsidRPr="00180180">
        <w:t xml:space="preserve"> </w:t>
      </w:r>
      <w:r w:rsidR="007A7776" w:rsidRPr="00180180">
        <w:t>conjunta</w:t>
      </w:r>
      <w:r w:rsidR="000E2F3C" w:rsidRPr="00180180">
        <w:t xml:space="preserve"> de los proyectos aprobados, </w:t>
      </w:r>
      <w:r w:rsidR="00A83F2E" w:rsidRPr="00180180">
        <w:t>a tenor de</w:t>
      </w:r>
      <w:r w:rsidR="007A7776" w:rsidRPr="00180180">
        <w:t xml:space="preserve"> las condiciones acordada</w:t>
      </w:r>
      <w:r w:rsidR="000E2F3C" w:rsidRPr="00180180">
        <w:t xml:space="preserve">s específicamente por </w:t>
      </w:r>
      <w:r w:rsidR="007A7776" w:rsidRPr="00180180">
        <w:t xml:space="preserve">las partes signatarias, </w:t>
      </w:r>
      <w:r w:rsidR="00A83F2E" w:rsidRPr="00180180">
        <w:t xml:space="preserve">y </w:t>
      </w:r>
      <w:r w:rsidR="007A7776" w:rsidRPr="00180180">
        <w:t>en virtud de lo establecido en</w:t>
      </w:r>
      <w:r w:rsidR="000E2F3C" w:rsidRPr="00180180">
        <w:t xml:space="preserve"> el Artículo 1.3.b anterior.</w:t>
      </w:r>
    </w:p>
    <w:p w14:paraId="73CE836B" w14:textId="4E6B242E" w:rsidR="000E2F3C" w:rsidRPr="00180180" w:rsidRDefault="006F28C5" w:rsidP="001D46C1">
      <w:pPr>
        <w:pStyle w:val="enumlev1"/>
      </w:pPr>
      <w:r>
        <w:t>b</w:t>
      </w:r>
      <w:r>
        <w:tab/>
      </w:r>
      <w:r w:rsidR="000E2F3C" w:rsidRPr="00180180">
        <w:t>Fase de ejecución del proyecto</w:t>
      </w:r>
      <w:r w:rsidR="00A83F2E" w:rsidRPr="00180180">
        <w:t>s</w:t>
      </w:r>
      <w:r w:rsidR="000E2F3C" w:rsidRPr="00180180">
        <w:t xml:space="preserve">: </w:t>
      </w:r>
      <w:r w:rsidR="00A83F2E" w:rsidRPr="00180180">
        <w:t>habida cuenta de</w:t>
      </w:r>
      <w:r w:rsidR="000E2F3C" w:rsidRPr="00180180">
        <w:t xml:space="preserve"> su autoridad y experiencia en la ejecución de proyectos </w:t>
      </w:r>
      <w:r w:rsidR="00A83F2E" w:rsidRPr="00180180">
        <w:t>de</w:t>
      </w:r>
      <w:r w:rsidR="000E2F3C" w:rsidRPr="00180180">
        <w:t xml:space="preserve"> telecomunicaciones/TIC, la UIT </w:t>
      </w:r>
      <w:r w:rsidR="00A83F2E" w:rsidRPr="00180180">
        <w:t xml:space="preserve">podría colaborar con </w:t>
      </w:r>
      <w:r w:rsidR="000E2F3C" w:rsidRPr="00180180">
        <w:t>Exim</w:t>
      </w:r>
      <w:r w:rsidR="00A83F2E" w:rsidRPr="00180180">
        <w:t xml:space="preserve"> Bank</w:t>
      </w:r>
      <w:r w:rsidR="000E2F3C" w:rsidRPr="00180180">
        <w:t xml:space="preserve"> </w:t>
      </w:r>
      <w:r w:rsidR="00A83F2E" w:rsidRPr="00180180">
        <w:t xml:space="preserve">a lo largo de </w:t>
      </w:r>
      <w:r w:rsidR="000E2F3C" w:rsidRPr="00180180">
        <w:t xml:space="preserve">la duración del proyecto y velar por </w:t>
      </w:r>
      <w:r w:rsidR="000E2F3C" w:rsidRPr="00180180">
        <w:lastRenderedPageBreak/>
        <w:t xml:space="preserve">que cada </w:t>
      </w:r>
      <w:r w:rsidR="00A83F2E" w:rsidRPr="00180180">
        <w:t>etapa del mismo</w:t>
      </w:r>
      <w:r w:rsidR="000E2F3C" w:rsidRPr="00180180">
        <w:t xml:space="preserve"> se ajuste a las especificaciones técnicas pertinentes y a los indicadores </w:t>
      </w:r>
      <w:r w:rsidR="00A83F2E" w:rsidRPr="00180180">
        <w:t>fundamentales</w:t>
      </w:r>
      <w:r w:rsidR="000E2F3C" w:rsidRPr="00180180">
        <w:t xml:space="preserve"> de rendimiento que figuran en el documento de proyecto correspondiente.</w:t>
      </w:r>
    </w:p>
    <w:p w14:paraId="2B50A019" w14:textId="65D0CCEE" w:rsidR="00DA5827" w:rsidRPr="00180180" w:rsidRDefault="006F28C5" w:rsidP="001D46C1">
      <w:pPr>
        <w:pStyle w:val="enumlev1"/>
      </w:pPr>
      <w:r>
        <w:t>c</w:t>
      </w:r>
      <w:r w:rsidR="000E2F3C" w:rsidRPr="00180180">
        <w:tab/>
        <w:t>Etapa de evaluación posterior a la finalización: la UIT podría colaborar con Exim</w:t>
      </w:r>
      <w:r w:rsidR="00A83F2E" w:rsidRPr="00180180">
        <w:t xml:space="preserve"> Bank</w:t>
      </w:r>
      <w:r w:rsidR="000E2F3C" w:rsidRPr="00180180">
        <w:t xml:space="preserve"> con el fin de evaluar los resultados de la ejecución del proyecto, </w:t>
      </w:r>
      <w:r w:rsidR="00A83F2E" w:rsidRPr="00180180">
        <w:t>determinar</w:t>
      </w:r>
      <w:r w:rsidR="000E2F3C" w:rsidRPr="00180180">
        <w:t xml:space="preserve"> si </w:t>
      </w:r>
      <w:r w:rsidR="00E004D5" w:rsidRPr="00180180">
        <w:t>este</w:t>
      </w:r>
      <w:r w:rsidR="00A83F2E" w:rsidRPr="00180180">
        <w:t xml:space="preserve"> </w:t>
      </w:r>
      <w:r w:rsidR="000E2F3C" w:rsidRPr="00180180">
        <w:t>ha</w:t>
      </w:r>
      <w:r w:rsidR="00E004D5" w:rsidRPr="00180180">
        <w:t xml:space="preserve"> alcanzado </w:t>
      </w:r>
      <w:r w:rsidR="000E2F3C" w:rsidRPr="00180180">
        <w:t xml:space="preserve">los objetivos </w:t>
      </w:r>
      <w:r w:rsidR="00A83F2E" w:rsidRPr="00180180">
        <w:t>fijados</w:t>
      </w:r>
      <w:r w:rsidR="000E2F3C" w:rsidRPr="00180180">
        <w:t xml:space="preserve"> y proporcionar referencias para proyectos </w:t>
      </w:r>
      <w:r w:rsidR="00A83F2E" w:rsidRPr="00180180">
        <w:t>ulteriores</w:t>
      </w:r>
      <w:r w:rsidR="000E2F3C" w:rsidRPr="00180180">
        <w:t xml:space="preserve"> de </w:t>
      </w:r>
      <w:r w:rsidR="00A83F2E" w:rsidRPr="00180180">
        <w:t>características análogas</w:t>
      </w:r>
      <w:r w:rsidR="00DA5827" w:rsidRPr="00180180">
        <w:t>.</w:t>
      </w:r>
    </w:p>
    <w:p w14:paraId="4F1AB506" w14:textId="50332618" w:rsidR="00DA5827" w:rsidRPr="00180180" w:rsidRDefault="00184AA0" w:rsidP="001D46C1">
      <w:pPr>
        <w:pStyle w:val="Heading1"/>
      </w:pPr>
      <w:r w:rsidRPr="00180180">
        <w:t xml:space="preserve">ARTÍCULO </w:t>
      </w:r>
      <w:r w:rsidR="00DA5827" w:rsidRPr="00180180">
        <w:t>3:</w:t>
      </w:r>
      <w:r w:rsidR="00DA5827" w:rsidRPr="00180180">
        <w:tab/>
      </w:r>
      <w:r w:rsidR="00E004D5" w:rsidRPr="00180180">
        <w:t>Eficacia, duración, rescisión y enmienda del MdE</w:t>
      </w:r>
    </w:p>
    <w:p w14:paraId="68F57CCC" w14:textId="3D538F1D" w:rsidR="00E004D5" w:rsidRPr="00180180" w:rsidRDefault="00DA41A1" w:rsidP="001D46C1">
      <w:r w:rsidRPr="00180180">
        <w:t>3.1</w:t>
      </w:r>
      <w:r w:rsidRPr="00180180">
        <w:tab/>
      </w:r>
      <w:r w:rsidR="00E004D5" w:rsidRPr="00180180">
        <w:t xml:space="preserve">El presente MdE entrará en vigor </w:t>
      </w:r>
      <w:r w:rsidR="00E74EFC" w:rsidRPr="00180180">
        <w:t>en</w:t>
      </w:r>
      <w:r w:rsidR="00E004D5" w:rsidRPr="00180180">
        <w:t xml:space="preserve"> la fecha de su firma por los representantes legales (o signatarios autorizados) de amb</w:t>
      </w:r>
      <w:r w:rsidR="00E74EFC" w:rsidRPr="00180180">
        <w:t>as partes signatarias</w:t>
      </w:r>
      <w:r w:rsidR="00E004D5" w:rsidRPr="00180180">
        <w:t xml:space="preserve"> y permanecerá en vigor hasta el 31 de diciembre de 2022. Su duración podrá </w:t>
      </w:r>
      <w:r w:rsidR="00E74EFC" w:rsidRPr="00180180">
        <w:t>ampliarse</w:t>
      </w:r>
      <w:r w:rsidR="00E004D5" w:rsidRPr="00180180">
        <w:t xml:space="preserve"> de mutuo acuerdo </w:t>
      </w:r>
      <w:r w:rsidR="00E74EFC" w:rsidRPr="00180180">
        <w:t>entre las partes signatarias</w:t>
      </w:r>
      <w:r w:rsidR="00E004D5" w:rsidRPr="00180180">
        <w:t>.</w:t>
      </w:r>
    </w:p>
    <w:p w14:paraId="2CC18596" w14:textId="1652AC4B" w:rsidR="00E004D5" w:rsidRPr="00180180" w:rsidRDefault="00E004D5" w:rsidP="006F28C5">
      <w:r w:rsidRPr="00180180">
        <w:t>3.2</w:t>
      </w:r>
      <w:r w:rsidR="00E74EFC" w:rsidRPr="00180180">
        <w:tab/>
      </w:r>
      <w:r w:rsidRPr="00180180">
        <w:t xml:space="preserve">Durante la vigencia del presente MdE, cualquiera de </w:t>
      </w:r>
      <w:r w:rsidR="00962596" w:rsidRPr="00180180">
        <w:t>las partes signatarias tendrá derecho a rescindirlo</w:t>
      </w:r>
      <w:r w:rsidRPr="00180180">
        <w:t xml:space="preserve">, siempre que lo notifique por escrito </w:t>
      </w:r>
      <w:r w:rsidR="00962596" w:rsidRPr="00180180">
        <w:t>a la otra parte signataria</w:t>
      </w:r>
      <w:r w:rsidRPr="00180180">
        <w:t xml:space="preserve"> con seis meses de antelación. Con respecto a las acciones conjuntas o actividades de cooperación en proyectos </w:t>
      </w:r>
      <w:r w:rsidR="00962596" w:rsidRPr="00180180">
        <w:t xml:space="preserve">específicas </w:t>
      </w:r>
      <w:r w:rsidRPr="00180180">
        <w:t xml:space="preserve">emprendidas en el </w:t>
      </w:r>
      <w:r w:rsidR="00962596" w:rsidRPr="00180180">
        <w:t>marco</w:t>
      </w:r>
      <w:r w:rsidRPr="00180180">
        <w:t xml:space="preserve"> del presente MdE, los derechos y</w:t>
      </w:r>
      <w:r w:rsidR="00DB60D8" w:rsidRPr="00180180">
        <w:t xml:space="preserve"> las</w:t>
      </w:r>
      <w:r w:rsidRPr="00180180">
        <w:t xml:space="preserve"> ob</w:t>
      </w:r>
      <w:r w:rsidR="00962596" w:rsidRPr="00180180">
        <w:t xml:space="preserve">ligaciones de ambas partes signatarias </w:t>
      </w:r>
      <w:r w:rsidRPr="00180180">
        <w:t xml:space="preserve">se regirán por los acuerdos, documentos de proyecto </w:t>
      </w:r>
      <w:r w:rsidR="00DB60D8" w:rsidRPr="00180180">
        <w:t>e</w:t>
      </w:r>
      <w:r w:rsidRPr="00180180">
        <w:t xml:space="preserve"> instrumentos jurídicos </w:t>
      </w:r>
      <w:r w:rsidR="00DB60D8" w:rsidRPr="00180180">
        <w:t xml:space="preserve">correspondientes </w:t>
      </w:r>
      <w:r w:rsidR="00962596" w:rsidRPr="00180180">
        <w:t>suscritos</w:t>
      </w:r>
      <w:r w:rsidRPr="00180180">
        <w:t xml:space="preserve"> de conformidad con el Artículo 1.3.b) </w:t>
      </w:r>
      <w:r w:rsidRPr="00180180">
        <w:rPr>
          <w:i/>
          <w:iCs/>
        </w:rPr>
        <w:t>supra</w:t>
      </w:r>
      <w:r w:rsidRPr="00180180">
        <w:t xml:space="preserve">. </w:t>
      </w:r>
      <w:r w:rsidR="00F740EF" w:rsidRPr="00180180">
        <w:t>Toda</w:t>
      </w:r>
      <w:r w:rsidRPr="00180180">
        <w:t xml:space="preserve"> modificación, </w:t>
      </w:r>
      <w:r w:rsidR="00F740EF" w:rsidRPr="00180180">
        <w:t>rescisión</w:t>
      </w:r>
      <w:r w:rsidRPr="00180180">
        <w:t xml:space="preserve"> o </w:t>
      </w:r>
      <w:r w:rsidR="00F740EF" w:rsidRPr="00180180">
        <w:t>anulación</w:t>
      </w:r>
      <w:r w:rsidRPr="00180180">
        <w:t xml:space="preserve"> del presente MdE no afectará a la </w:t>
      </w:r>
      <w:r w:rsidR="00F740EF" w:rsidRPr="00180180">
        <w:t>vigencia</w:t>
      </w:r>
      <w:r w:rsidR="00DB60D8" w:rsidRPr="00180180">
        <w:t xml:space="preserve"> ni a</w:t>
      </w:r>
      <w:r w:rsidRPr="00180180">
        <w:t xml:space="preserve"> </w:t>
      </w:r>
      <w:r w:rsidR="00F740EF" w:rsidRPr="00180180">
        <w:t>las repercusiones jurídicas de la documentación jurídica anteriormente citada, y ambas partes signatarias seguirán</w:t>
      </w:r>
      <w:r w:rsidRPr="00180180">
        <w:t xml:space="preserve"> ejerciendo los derechos </w:t>
      </w:r>
      <w:r w:rsidR="00DB60D8" w:rsidRPr="00180180">
        <w:t xml:space="preserve">dimanantes del mismo, </w:t>
      </w:r>
      <w:r w:rsidRPr="00180180">
        <w:t xml:space="preserve">y </w:t>
      </w:r>
      <w:r w:rsidR="00DB60D8" w:rsidRPr="00180180">
        <w:t>cumpliendo sus</w:t>
      </w:r>
      <w:r w:rsidR="00F740EF" w:rsidRPr="00180180">
        <w:t xml:space="preserve"> </w:t>
      </w:r>
      <w:r w:rsidRPr="00180180">
        <w:t>obligaciones.</w:t>
      </w:r>
    </w:p>
    <w:p w14:paraId="112EEDAB" w14:textId="1E2FA5A0" w:rsidR="00DA5827" w:rsidRPr="00180180" w:rsidRDefault="006F28C5" w:rsidP="001D46C1">
      <w:r>
        <w:t>3.3</w:t>
      </w:r>
      <w:r>
        <w:tab/>
      </w:r>
      <w:r w:rsidR="00DB60D8" w:rsidRPr="00180180">
        <w:t>Ambas partes signatarias podrán enmendar el</w:t>
      </w:r>
      <w:r w:rsidR="00E004D5" w:rsidRPr="00180180">
        <w:t xml:space="preserve"> presente MdE</w:t>
      </w:r>
      <w:r w:rsidR="00DB60D8" w:rsidRPr="00180180">
        <w:t>, previa consulta mutua por escrito</w:t>
      </w:r>
      <w:r w:rsidR="00E004D5" w:rsidRPr="00180180">
        <w:t xml:space="preserve">. Todos los anexos y suplementos del presente </w:t>
      </w:r>
      <w:r w:rsidR="00DB60D8" w:rsidRPr="00180180">
        <w:t>MdE</w:t>
      </w:r>
      <w:r w:rsidR="00E004D5" w:rsidRPr="00180180">
        <w:t xml:space="preserve"> forman parte del mismo</w:t>
      </w:r>
      <w:r w:rsidR="00DA5827" w:rsidRPr="00180180">
        <w:t>.</w:t>
      </w:r>
    </w:p>
    <w:p w14:paraId="50607C2E" w14:textId="6A0930FD" w:rsidR="00DA5827" w:rsidRPr="00180180" w:rsidRDefault="00184AA0" w:rsidP="001D46C1">
      <w:pPr>
        <w:pStyle w:val="Heading1"/>
      </w:pPr>
      <w:r w:rsidRPr="00180180">
        <w:t xml:space="preserve">ARTÍCULO </w:t>
      </w:r>
      <w:r w:rsidR="00DA5827" w:rsidRPr="00180180">
        <w:rPr>
          <w:rFonts w:eastAsia="Calibri"/>
        </w:rPr>
        <w:t>4:</w:t>
      </w:r>
      <w:r w:rsidR="00DA5827" w:rsidRPr="00180180">
        <w:rPr>
          <w:rFonts w:eastAsia="Calibri"/>
        </w:rPr>
        <w:tab/>
      </w:r>
      <w:r w:rsidR="00DB60D8" w:rsidRPr="00180180">
        <w:t>Notificación</w:t>
      </w:r>
      <w:r w:rsidR="00DA5827" w:rsidRPr="00180180">
        <w:t xml:space="preserve"> </w:t>
      </w:r>
      <w:r w:rsidR="00DB60D8" w:rsidRPr="00180180">
        <w:t xml:space="preserve">y </w:t>
      </w:r>
      <w:r w:rsidR="00886EE7" w:rsidRPr="00180180">
        <w:t>señas</w:t>
      </w:r>
    </w:p>
    <w:p w14:paraId="2088E05B" w14:textId="2233CE55" w:rsidR="00DA5827" w:rsidRPr="00180180" w:rsidRDefault="00DB60D8" w:rsidP="001D46C1">
      <w:r w:rsidRPr="00180180">
        <w:t xml:space="preserve">Toda </w:t>
      </w:r>
      <w:r w:rsidR="005575EA" w:rsidRPr="00180180">
        <w:t>comunicación</w:t>
      </w:r>
      <w:r w:rsidRPr="00180180">
        <w:t xml:space="preserve"> </w:t>
      </w:r>
      <w:r w:rsidR="005575EA" w:rsidRPr="00180180">
        <w:t>u observación</w:t>
      </w:r>
      <w:r w:rsidRPr="00180180">
        <w:t xml:space="preserve"> </w:t>
      </w:r>
      <w:r w:rsidR="005575EA" w:rsidRPr="00180180">
        <w:t>que se requiera o autorice en el marco d</w:t>
      </w:r>
      <w:r w:rsidRPr="00180180">
        <w:t xml:space="preserve">el presente </w:t>
      </w:r>
      <w:r w:rsidR="005575EA" w:rsidRPr="00180180">
        <w:t>MdE s</w:t>
      </w:r>
      <w:r w:rsidRPr="00180180">
        <w:t xml:space="preserve">e </w:t>
      </w:r>
      <w:r w:rsidR="005575EA" w:rsidRPr="00180180">
        <w:t>formulará</w:t>
      </w:r>
      <w:r w:rsidRPr="00180180">
        <w:t xml:space="preserve"> por escrito </w:t>
      </w:r>
      <w:r w:rsidR="005575EA" w:rsidRPr="00180180">
        <w:t>y se entregará a la parte signataria a la que</w:t>
      </w:r>
      <w:r w:rsidRPr="00180180">
        <w:t xml:space="preserve"> </w:t>
      </w:r>
      <w:r w:rsidR="00886EE7" w:rsidRPr="00180180">
        <w:t>se destina</w:t>
      </w:r>
      <w:r w:rsidRPr="00180180">
        <w:t xml:space="preserve"> en </w:t>
      </w:r>
      <w:r w:rsidR="005575EA" w:rsidRPr="00180180">
        <w:t>mano</w:t>
      </w:r>
      <w:r w:rsidRPr="00180180">
        <w:t>, por correo</w:t>
      </w:r>
      <w:r w:rsidR="00886EE7" w:rsidRPr="00180180">
        <w:t>,</w:t>
      </w:r>
      <w:r w:rsidRPr="00180180">
        <w:t xml:space="preserve"> o</w:t>
      </w:r>
      <w:r w:rsidR="00886EE7" w:rsidRPr="00180180">
        <w:t xml:space="preserve"> par</w:t>
      </w:r>
      <w:r w:rsidRPr="00180180">
        <w:t xml:space="preserve"> </w:t>
      </w:r>
      <w:r w:rsidR="005575EA" w:rsidRPr="00180180">
        <w:t>fax</w:t>
      </w:r>
      <w:r w:rsidR="00886EE7" w:rsidRPr="00180180">
        <w:t xml:space="preserve">, por medio de las señas </w:t>
      </w:r>
      <w:r w:rsidRPr="00180180">
        <w:t>que se indica</w:t>
      </w:r>
      <w:r w:rsidR="00886EE7" w:rsidRPr="00180180">
        <w:t>n</w:t>
      </w:r>
      <w:r w:rsidRPr="00180180">
        <w:t xml:space="preserve"> a continuación</w:t>
      </w:r>
      <w:r w:rsidR="005575EA" w:rsidRPr="00180180">
        <w:t>,</w:t>
      </w:r>
      <w:r w:rsidRPr="00180180">
        <w:t xml:space="preserve"> o a </w:t>
      </w:r>
      <w:r w:rsidR="005575EA" w:rsidRPr="00180180">
        <w:t>una</w:t>
      </w:r>
      <w:r w:rsidRPr="00180180">
        <w:t xml:space="preserve"> dirección que se notifique </w:t>
      </w:r>
      <w:r w:rsidR="005575EA" w:rsidRPr="00180180">
        <w:t>ulteriormente</w:t>
      </w:r>
      <w:r w:rsidRPr="00180180">
        <w:t xml:space="preserve">. Se considerará que </w:t>
      </w:r>
      <w:r w:rsidR="00886EE7" w:rsidRPr="00180180">
        <w:t>toda</w:t>
      </w:r>
      <w:r w:rsidR="005575EA" w:rsidRPr="00180180">
        <w:t xml:space="preserve"> comunicación u observación se ha formulado</w:t>
      </w:r>
      <w:r w:rsidRPr="00180180">
        <w:t xml:space="preserve"> oficialmente y </w:t>
      </w:r>
      <w:r w:rsidR="005575EA" w:rsidRPr="00180180">
        <w:t xml:space="preserve">se entenderá que </w:t>
      </w:r>
      <w:r w:rsidR="00886EE7" w:rsidRPr="00180180">
        <w:t>es</w:t>
      </w:r>
      <w:r w:rsidR="005575EA" w:rsidRPr="00180180">
        <w:t xml:space="preserve"> auténtica y válida</w:t>
      </w:r>
      <w:r w:rsidRPr="0018018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DA41A1" w:rsidRPr="00180180" w14:paraId="02C24EAD" w14:textId="77777777" w:rsidTr="00DA41A1">
        <w:tc>
          <w:tcPr>
            <w:tcW w:w="4814" w:type="dxa"/>
          </w:tcPr>
          <w:p w14:paraId="05B17661" w14:textId="0F1A1C5C" w:rsidR="00DA41A1" w:rsidRPr="00180180" w:rsidRDefault="00886EE7" w:rsidP="00FB3CAD">
            <w:r w:rsidRPr="00180180">
              <w:t>Departamento Internacional</w:t>
            </w:r>
            <w:r w:rsidR="00FB3CAD">
              <w:br/>
            </w:r>
            <w:r w:rsidRPr="00180180">
              <w:t>Banco de exportación e importación de China</w:t>
            </w:r>
          </w:p>
        </w:tc>
        <w:tc>
          <w:tcPr>
            <w:tcW w:w="4815" w:type="dxa"/>
          </w:tcPr>
          <w:p w14:paraId="04170909" w14:textId="62F90ABA" w:rsidR="00DA41A1" w:rsidRPr="00180180" w:rsidRDefault="00886EE7" w:rsidP="00FB3CAD">
            <w:r w:rsidRPr="00180180">
              <w:t>Secretaría General</w:t>
            </w:r>
            <w:r w:rsidR="00DA41A1" w:rsidRPr="00180180">
              <w:t xml:space="preserve"> </w:t>
            </w:r>
            <w:r w:rsidR="00FB3CAD">
              <w:br/>
            </w:r>
            <w:r w:rsidRPr="00180180">
              <w:t>Unión Internacional de Telecomunicaciones</w:t>
            </w:r>
          </w:p>
        </w:tc>
      </w:tr>
      <w:tr w:rsidR="00DA41A1" w:rsidRPr="000E56FB" w14:paraId="010A4B19" w14:textId="77777777" w:rsidTr="00DA41A1">
        <w:tc>
          <w:tcPr>
            <w:tcW w:w="4814" w:type="dxa"/>
          </w:tcPr>
          <w:p w14:paraId="7351035C" w14:textId="7F086588" w:rsidR="00DA41A1" w:rsidRPr="00180180" w:rsidRDefault="00886EE7" w:rsidP="00FB3CAD">
            <w:pPr>
              <w:ind w:left="1134" w:hanging="1134"/>
            </w:pPr>
            <w:r w:rsidRPr="00180180">
              <w:lastRenderedPageBreak/>
              <w:t>Dirección</w:t>
            </w:r>
            <w:r w:rsidR="00DA41A1" w:rsidRPr="00180180">
              <w:t>:</w:t>
            </w:r>
            <w:r w:rsidR="00DA41A1" w:rsidRPr="00180180">
              <w:tab/>
              <w:t>No. 30 Fuxingmennei Street, Xicheng Distrit</w:t>
            </w:r>
            <w:r w:rsidRPr="00180180">
              <w:t>o de</w:t>
            </w:r>
            <w:r w:rsidR="00DA41A1" w:rsidRPr="00180180">
              <w:t xml:space="preserve"> Beijing</w:t>
            </w:r>
          </w:p>
        </w:tc>
        <w:tc>
          <w:tcPr>
            <w:tcW w:w="4815" w:type="dxa"/>
          </w:tcPr>
          <w:p w14:paraId="05FAC954" w14:textId="63E50D2E" w:rsidR="00DA41A1" w:rsidRPr="006F28C5" w:rsidRDefault="00886EE7" w:rsidP="00FB3CAD">
            <w:pPr>
              <w:ind w:left="1134" w:hanging="1134"/>
              <w:rPr>
                <w:lang w:val="fr-CH"/>
              </w:rPr>
            </w:pPr>
            <w:r w:rsidRPr="006F28C5">
              <w:rPr>
                <w:lang w:val="fr-CH"/>
              </w:rPr>
              <w:t>Dirección</w:t>
            </w:r>
            <w:r w:rsidR="00FB3CAD">
              <w:rPr>
                <w:lang w:val="fr-CH"/>
              </w:rPr>
              <w:t>:</w:t>
            </w:r>
            <w:r w:rsidR="00FB3CAD">
              <w:rPr>
                <w:lang w:val="fr-CH"/>
              </w:rPr>
              <w:tab/>
              <w:t xml:space="preserve">Place des Nations, CH </w:t>
            </w:r>
            <w:r w:rsidR="00DA41A1" w:rsidRPr="006F28C5">
              <w:rPr>
                <w:lang w:val="fr-CH"/>
              </w:rPr>
              <w:t xml:space="preserve">1211 </w:t>
            </w:r>
            <w:r w:rsidR="00FB3CAD">
              <w:rPr>
                <w:lang w:val="fr-CH"/>
              </w:rPr>
              <w:br/>
              <w:t>Geneva 20,</w:t>
            </w:r>
            <w:r w:rsidR="00FB3CAD">
              <w:rPr>
                <w:lang w:val="fr-CH"/>
              </w:rPr>
              <w:br/>
            </w:r>
            <w:r w:rsidRPr="006F28C5">
              <w:rPr>
                <w:lang w:val="fr-CH"/>
              </w:rPr>
              <w:t>Suiza</w:t>
            </w:r>
          </w:p>
        </w:tc>
      </w:tr>
      <w:tr w:rsidR="00DA41A1" w:rsidRPr="00180180" w14:paraId="40F0F784" w14:textId="77777777" w:rsidTr="00DA41A1">
        <w:tc>
          <w:tcPr>
            <w:tcW w:w="4814" w:type="dxa"/>
          </w:tcPr>
          <w:p w14:paraId="5C2EAF49" w14:textId="5339CECC" w:rsidR="00DA41A1" w:rsidRPr="00180180" w:rsidRDefault="00886EE7" w:rsidP="001D46C1">
            <w:r w:rsidRPr="00180180">
              <w:t>Código postal</w:t>
            </w:r>
            <w:r w:rsidR="00DA41A1" w:rsidRPr="00180180">
              <w:t>:</w:t>
            </w:r>
            <w:r w:rsidR="00DA41A1" w:rsidRPr="00180180">
              <w:tab/>
              <w:t>100031</w:t>
            </w:r>
          </w:p>
          <w:p w14:paraId="02EFBEAD" w14:textId="6887AF8B" w:rsidR="00DA41A1" w:rsidRPr="00180180" w:rsidRDefault="00DA41A1" w:rsidP="001D46C1">
            <w:r w:rsidRPr="00180180">
              <w:t>Fax:</w:t>
            </w:r>
            <w:r w:rsidRPr="00180180">
              <w:tab/>
            </w:r>
            <w:r w:rsidR="00FB3CAD">
              <w:tab/>
            </w:r>
            <w:r w:rsidR="00FB3CAD">
              <w:tab/>
            </w:r>
            <w:r w:rsidRPr="00180180">
              <w:t>+86-10-8357 9034</w:t>
            </w:r>
          </w:p>
        </w:tc>
        <w:tc>
          <w:tcPr>
            <w:tcW w:w="4815" w:type="dxa"/>
          </w:tcPr>
          <w:p w14:paraId="59303DBF" w14:textId="2DF31662" w:rsidR="00DA41A1" w:rsidRPr="00180180" w:rsidRDefault="00886EE7" w:rsidP="001D46C1">
            <w:r w:rsidRPr="00180180">
              <w:t>Código postal</w:t>
            </w:r>
            <w:r w:rsidR="00DA41A1" w:rsidRPr="00180180">
              <w:t>:</w:t>
            </w:r>
            <w:r w:rsidR="00DA41A1" w:rsidRPr="00180180">
              <w:tab/>
              <w:t>1211</w:t>
            </w:r>
          </w:p>
          <w:p w14:paraId="427295FE" w14:textId="494F2A99" w:rsidR="00DA41A1" w:rsidRPr="00180180" w:rsidRDefault="00DA41A1" w:rsidP="001D46C1">
            <w:r w:rsidRPr="00180180">
              <w:t>Fax:</w:t>
            </w:r>
            <w:r w:rsidRPr="00180180">
              <w:tab/>
            </w:r>
            <w:r w:rsidR="00FB3CAD">
              <w:tab/>
            </w:r>
            <w:r w:rsidR="00FB3CAD">
              <w:tab/>
            </w:r>
            <w:r w:rsidRPr="00180180">
              <w:t>+41</w:t>
            </w:r>
            <w:r w:rsidR="00886EE7" w:rsidRPr="00180180">
              <w:t xml:space="preserve"> </w:t>
            </w:r>
            <w:r w:rsidRPr="00180180">
              <w:t>22 733 7256</w:t>
            </w:r>
          </w:p>
        </w:tc>
      </w:tr>
    </w:tbl>
    <w:p w14:paraId="7E975657" w14:textId="5475AACE" w:rsidR="00DA5827" w:rsidRPr="00180180" w:rsidRDefault="00184AA0" w:rsidP="001D46C1">
      <w:pPr>
        <w:pStyle w:val="Heading1"/>
      </w:pPr>
      <w:r w:rsidRPr="00180180">
        <w:t xml:space="preserve">ARTÍCULO </w:t>
      </w:r>
      <w:r w:rsidR="00DA5827" w:rsidRPr="00180180">
        <w:t>5:</w:t>
      </w:r>
      <w:r w:rsidR="00DA5827" w:rsidRPr="00180180">
        <w:tab/>
      </w:r>
      <w:r w:rsidR="00886EE7" w:rsidRPr="00180180">
        <w:t>Privilegios e inmunidades</w:t>
      </w:r>
    </w:p>
    <w:p w14:paraId="0ED841BE" w14:textId="6D1A3D87" w:rsidR="00DA5827" w:rsidRPr="00180180" w:rsidRDefault="00886EE7" w:rsidP="001D46C1">
      <w:r w:rsidRPr="00180180">
        <w:t>Nada de lo dispuesto en el presente MdE se considerará una renuncia, tácita o implícita, a los privilegios o inmunidades de cualquiera de las partes signatarias (incluidas sus filiales, si las hubiere).</w:t>
      </w:r>
    </w:p>
    <w:p w14:paraId="195ECC80" w14:textId="36BBAAFD" w:rsidR="00DA5827" w:rsidRPr="00180180" w:rsidRDefault="00184AA0" w:rsidP="001D46C1">
      <w:pPr>
        <w:pStyle w:val="Heading1"/>
      </w:pPr>
      <w:r w:rsidRPr="00180180">
        <w:t xml:space="preserve">ARTÍCULO </w:t>
      </w:r>
      <w:r w:rsidR="00DA5827" w:rsidRPr="00180180">
        <w:t>6:</w:t>
      </w:r>
      <w:r w:rsidR="00DA5827" w:rsidRPr="00180180">
        <w:tab/>
      </w:r>
      <w:r w:rsidR="003362B7" w:rsidRPr="00180180">
        <w:t>Otros asuntos</w:t>
      </w:r>
    </w:p>
    <w:p w14:paraId="43531AA5" w14:textId="4D333D3F" w:rsidR="00AC23A1" w:rsidRPr="00180180" w:rsidRDefault="00DA41A1" w:rsidP="001D46C1">
      <w:r w:rsidRPr="00180180">
        <w:t>6.1</w:t>
      </w:r>
      <w:r w:rsidRPr="00180180">
        <w:tab/>
      </w:r>
      <w:r w:rsidR="00AC23A1" w:rsidRPr="00180180">
        <w:t xml:space="preserve">Ambas partes signatarias manifiestan su deseo, </w:t>
      </w:r>
      <w:r w:rsidR="00295A1A" w:rsidRPr="00180180">
        <w:t>por medio del</w:t>
      </w:r>
      <w:r w:rsidR="00AC23A1" w:rsidRPr="00180180">
        <w:t xml:space="preserve"> presente MdE, de fortalecer la cooperación y sentar las bases </w:t>
      </w:r>
      <w:r w:rsidR="00295A1A" w:rsidRPr="00180180">
        <w:t>para realizar</w:t>
      </w:r>
      <w:r w:rsidR="00AC23A1" w:rsidRPr="00180180">
        <w:t xml:space="preserve"> actividades</w:t>
      </w:r>
      <w:r w:rsidR="00295A1A" w:rsidRPr="00180180">
        <w:t xml:space="preserve"> conjuntas y</w:t>
      </w:r>
      <w:r w:rsidR="00AC23A1" w:rsidRPr="00180180">
        <w:t xml:space="preserve"> </w:t>
      </w:r>
      <w:r w:rsidR="00295A1A" w:rsidRPr="00180180">
        <w:t xml:space="preserve">colaborar </w:t>
      </w:r>
      <w:r w:rsidR="00AC23A1" w:rsidRPr="00180180">
        <w:t>en proyectos futuros. Si bien el MdE no e</w:t>
      </w:r>
      <w:r w:rsidR="00295A1A" w:rsidRPr="00180180">
        <w:t>s jurídicamente vinculante y no contiene ninguna obligación que deba observarse</w:t>
      </w:r>
      <w:r w:rsidR="00AC23A1" w:rsidRPr="00180180">
        <w:t>, ambas partes signatarias manifiestan</w:t>
      </w:r>
      <w:r w:rsidR="00295A1A" w:rsidRPr="00180180">
        <w:t xml:space="preserve"> asimismo</w:t>
      </w:r>
      <w:r w:rsidR="00AC23A1" w:rsidRPr="00180180">
        <w:t xml:space="preserve"> su </w:t>
      </w:r>
      <w:r w:rsidR="00295A1A" w:rsidRPr="00180180">
        <w:t>deseo</w:t>
      </w:r>
      <w:r w:rsidR="00AC23A1" w:rsidRPr="00180180">
        <w:t xml:space="preserve"> de emprender consultas con arreglo al principio de buena fe, apertura y respeto y beneficio mutuos, con miras a promover la cooperación en las esferas </w:t>
      </w:r>
      <w:r w:rsidR="00295A1A" w:rsidRPr="00180180">
        <w:t>convenidas</w:t>
      </w:r>
      <w:r w:rsidR="00AC23A1" w:rsidRPr="00180180">
        <w:t xml:space="preserve"> que se mencionan en el Artículo 1.2 anterior.</w:t>
      </w:r>
    </w:p>
    <w:p w14:paraId="6631F931" w14:textId="65192336" w:rsidR="00AC23A1" w:rsidRPr="00180180" w:rsidRDefault="006F28C5" w:rsidP="001D46C1">
      <w:r>
        <w:t>6.2</w:t>
      </w:r>
      <w:r w:rsidR="00AC23A1" w:rsidRPr="00180180">
        <w:tab/>
        <w:t>Amb</w:t>
      </w:r>
      <w:r w:rsidR="00347A11" w:rsidRPr="00180180">
        <w:t>as partes signatarias</w:t>
      </w:r>
      <w:r w:rsidR="00AC23A1" w:rsidRPr="00180180">
        <w:t xml:space="preserve"> establecerán un mecanismo de contacto </w:t>
      </w:r>
      <w:r w:rsidR="00295A1A" w:rsidRPr="00180180">
        <w:t>periódico</w:t>
      </w:r>
      <w:r w:rsidR="00AC23A1" w:rsidRPr="00180180">
        <w:t xml:space="preserve">, designarán </w:t>
      </w:r>
      <w:r w:rsidR="00295A1A" w:rsidRPr="00180180">
        <w:t>personas</w:t>
      </w:r>
      <w:r w:rsidR="00AC23A1" w:rsidRPr="00180180">
        <w:t xml:space="preserve"> de contacto </w:t>
      </w:r>
      <w:r w:rsidR="00295A1A" w:rsidRPr="00180180">
        <w:t>específicas</w:t>
      </w:r>
      <w:r w:rsidR="00AC23A1" w:rsidRPr="00180180">
        <w:t xml:space="preserve"> y celebrarán reuniones de </w:t>
      </w:r>
      <w:r w:rsidR="00295A1A" w:rsidRPr="00180180">
        <w:t>coordinación habituales</w:t>
      </w:r>
      <w:r w:rsidR="00AC23A1" w:rsidRPr="00180180">
        <w:t xml:space="preserve"> para el intercambio de información y opiniones pertinentes. </w:t>
      </w:r>
      <w:r w:rsidR="00295A1A" w:rsidRPr="00180180">
        <w:t xml:space="preserve">Las partes signatarias </w:t>
      </w:r>
      <w:r w:rsidR="00AC23A1" w:rsidRPr="00180180">
        <w:t xml:space="preserve">reconocen que nada de lo dispuesto en el presente MdE se interpretará </w:t>
      </w:r>
      <w:r w:rsidR="00295A1A" w:rsidRPr="00180180">
        <w:t>de forma</w:t>
      </w:r>
      <w:r w:rsidR="00AC23A1" w:rsidRPr="00180180">
        <w:t xml:space="preserve"> que </w:t>
      </w:r>
      <w:r w:rsidR="00DE4701" w:rsidRPr="00180180">
        <w:t xml:space="preserve">se </w:t>
      </w:r>
      <w:r w:rsidR="004D40BF" w:rsidRPr="00180180">
        <w:t xml:space="preserve">les </w:t>
      </w:r>
      <w:r w:rsidR="00DE4701" w:rsidRPr="00180180">
        <w:t>obligue</w:t>
      </w:r>
      <w:r w:rsidR="00AC23A1" w:rsidRPr="00180180">
        <w:t xml:space="preserve"> </w:t>
      </w:r>
      <w:r w:rsidR="00DE4701" w:rsidRPr="00180180">
        <w:t>a proporcionar</w:t>
      </w:r>
      <w:r w:rsidR="00AC23A1" w:rsidRPr="00180180">
        <w:t xml:space="preserve"> </w:t>
      </w:r>
      <w:r w:rsidR="00295A1A" w:rsidRPr="00180180">
        <w:t>documentos</w:t>
      </w:r>
      <w:r w:rsidR="00AC23A1" w:rsidRPr="00180180">
        <w:t>, dato</w:t>
      </w:r>
      <w:r w:rsidR="00295A1A" w:rsidRPr="00180180">
        <w:t>s</w:t>
      </w:r>
      <w:r w:rsidR="00AC23A1" w:rsidRPr="00180180">
        <w:t xml:space="preserve"> o información que </w:t>
      </w:r>
      <w:r w:rsidR="004D40BF" w:rsidRPr="00180180">
        <w:t>alguna de las</w:t>
      </w:r>
      <w:r w:rsidR="00DE4701" w:rsidRPr="00180180">
        <w:t xml:space="preserve"> parte</w:t>
      </w:r>
      <w:r w:rsidR="004D40BF" w:rsidRPr="00180180">
        <w:t>s considere</w:t>
      </w:r>
      <w:r w:rsidR="00DE4701" w:rsidRPr="00180180">
        <w:t xml:space="preserve"> </w:t>
      </w:r>
      <w:r w:rsidR="00AC23A1" w:rsidRPr="00180180">
        <w:t>confidencial</w:t>
      </w:r>
      <w:r w:rsidR="00DE4701" w:rsidRPr="00180180">
        <w:t>es</w:t>
      </w:r>
      <w:r w:rsidR="00AC23A1" w:rsidRPr="00180180">
        <w:t xml:space="preserve"> o sensible</w:t>
      </w:r>
      <w:r w:rsidR="00DE4701" w:rsidRPr="00180180">
        <w:t>s</w:t>
      </w:r>
      <w:r w:rsidR="00AC23A1" w:rsidRPr="00180180">
        <w:t>.</w:t>
      </w:r>
    </w:p>
    <w:p w14:paraId="2631B10F" w14:textId="1068A8AF" w:rsidR="00AC23A1" w:rsidRPr="00180180" w:rsidRDefault="00AC23A1" w:rsidP="001D46C1">
      <w:r w:rsidRPr="00180180">
        <w:t>6.</w:t>
      </w:r>
      <w:r w:rsidR="004D40BF" w:rsidRPr="00180180">
        <w:t>3</w:t>
      </w:r>
      <w:r w:rsidR="00295A1A" w:rsidRPr="00180180">
        <w:tab/>
      </w:r>
      <w:r w:rsidRPr="00180180">
        <w:t>Ningun</w:t>
      </w:r>
      <w:r w:rsidR="00DE4701" w:rsidRPr="00180180">
        <w:t>a de las partes signatarias</w:t>
      </w:r>
      <w:r w:rsidRPr="00180180">
        <w:t xml:space="preserve"> utilizará el nombre, el emblema y el sello oficial </w:t>
      </w:r>
      <w:r w:rsidR="004D40BF" w:rsidRPr="00180180">
        <w:t>de la otra parte, de ninguna forma y bajo ningún concepto</w:t>
      </w:r>
      <w:r w:rsidRPr="00180180">
        <w:t xml:space="preserve">, ni ninguna abreviatura de los nombres de </w:t>
      </w:r>
      <w:r w:rsidR="004D40BF" w:rsidRPr="00180180">
        <w:t>las partes signatarias</w:t>
      </w:r>
      <w:r w:rsidRPr="00180180">
        <w:t xml:space="preserve">, sin la autorización previa por escrito </w:t>
      </w:r>
      <w:r w:rsidR="004D40BF" w:rsidRPr="00180180">
        <w:t>de la otra parte</w:t>
      </w:r>
      <w:r w:rsidRPr="00180180">
        <w:t>.</w:t>
      </w:r>
    </w:p>
    <w:p w14:paraId="2A421FEF" w14:textId="1A1C01CA" w:rsidR="00DA5827" w:rsidRPr="00180180" w:rsidRDefault="00AC23A1" w:rsidP="001D46C1">
      <w:r w:rsidRPr="00180180">
        <w:t>6.</w:t>
      </w:r>
      <w:r w:rsidR="004D40BF" w:rsidRPr="00180180">
        <w:t>4</w:t>
      </w:r>
      <w:r w:rsidR="004D40BF" w:rsidRPr="00180180">
        <w:tab/>
        <w:t>Ambas partes signatarias se comprometen a</w:t>
      </w:r>
      <w:r w:rsidRPr="00180180">
        <w:t xml:space="preserve"> resolver </w:t>
      </w:r>
      <w:r w:rsidR="004D40BF" w:rsidRPr="00180180">
        <w:t>cuestiones</w:t>
      </w:r>
      <w:r w:rsidRPr="00180180">
        <w:t xml:space="preserve"> no acordad</w:t>
      </w:r>
      <w:r w:rsidR="004D40BF" w:rsidRPr="00180180">
        <w:t>a</w:t>
      </w:r>
      <w:r w:rsidRPr="00180180">
        <w:t xml:space="preserve">s en el presente MdE </w:t>
      </w:r>
      <w:r w:rsidR="004D40BF" w:rsidRPr="00180180">
        <w:t>por medio de</w:t>
      </w:r>
      <w:r w:rsidRPr="00180180">
        <w:t xml:space="preserve"> consultas amistosas o mediante la firma de acuerdos </w:t>
      </w:r>
      <w:r w:rsidR="008B346B" w:rsidRPr="00180180">
        <w:t>suplementarios</w:t>
      </w:r>
      <w:r w:rsidRPr="00180180">
        <w:t xml:space="preserve">. </w:t>
      </w:r>
      <w:r w:rsidR="004D40BF" w:rsidRPr="00180180">
        <w:t>También velarán</w:t>
      </w:r>
      <w:r w:rsidRPr="00180180">
        <w:t xml:space="preserve"> por resolver </w:t>
      </w:r>
      <w:r w:rsidR="004D40BF" w:rsidRPr="00180180">
        <w:t>lo antes posible</w:t>
      </w:r>
      <w:r w:rsidRPr="00180180">
        <w:t xml:space="preserve"> toda disputa</w:t>
      </w:r>
      <w:r w:rsidR="004D40BF" w:rsidRPr="00180180">
        <w:t xml:space="preserve"> o controversia</w:t>
      </w:r>
      <w:r w:rsidRPr="00180180">
        <w:t xml:space="preserve"> que surja</w:t>
      </w:r>
      <w:r w:rsidR="004D40BF" w:rsidRPr="00180180">
        <w:t xml:space="preserve"> en el marco del presente</w:t>
      </w:r>
      <w:r w:rsidRPr="00180180">
        <w:t xml:space="preserve"> MdE</w:t>
      </w:r>
      <w:r w:rsidR="004D40BF" w:rsidRPr="00180180">
        <w:t>,</w:t>
      </w:r>
      <w:r w:rsidRPr="00180180">
        <w:t xml:space="preserve"> o </w:t>
      </w:r>
      <w:r w:rsidR="004D40BF" w:rsidRPr="00180180">
        <w:t>que guarde relación</w:t>
      </w:r>
      <w:r w:rsidRPr="00180180">
        <w:t xml:space="preserve"> con el mismo</w:t>
      </w:r>
      <w:r w:rsidR="004D40BF" w:rsidRPr="00180180">
        <w:t>,</w:t>
      </w:r>
      <w:r w:rsidRPr="00180180">
        <w:t xml:space="preserve"> </w:t>
      </w:r>
      <w:r w:rsidR="004D40BF" w:rsidRPr="00180180">
        <w:t xml:space="preserve">por medio de la celebración de consultas </w:t>
      </w:r>
      <w:r w:rsidR="008B346B" w:rsidRPr="00180180">
        <w:t>directas</w:t>
      </w:r>
      <w:r w:rsidR="004D40BF" w:rsidRPr="00180180">
        <w:t>.</w:t>
      </w:r>
    </w:p>
    <w:p w14:paraId="45CFD2C4" w14:textId="5E31CD79" w:rsidR="00DA5827" w:rsidRPr="00180180" w:rsidRDefault="008B346B" w:rsidP="001D46C1">
      <w:r w:rsidRPr="00180180">
        <w:rPr>
          <w:b/>
          <w:bCs/>
        </w:rPr>
        <w:t>HABIDA CUENTA DE LO ANTERIOR</w:t>
      </w:r>
      <w:r w:rsidR="00DA5827" w:rsidRPr="00180180">
        <w:rPr>
          <w:b/>
          <w:bCs/>
        </w:rPr>
        <w:t xml:space="preserve">, </w:t>
      </w:r>
      <w:r w:rsidRPr="00180180">
        <w:t xml:space="preserve">las partes signatarias </w:t>
      </w:r>
      <w:r w:rsidR="00515E74" w:rsidRPr="00180180">
        <w:t>suscriben a través de</w:t>
      </w:r>
      <w:r w:rsidRPr="00180180">
        <w:t xml:space="preserve"> sus representantes legales (o signatarios autorizados) el presente Memorando de </w:t>
      </w:r>
      <w:r w:rsidRPr="00180180">
        <w:lastRenderedPageBreak/>
        <w:t>Entendimiento en Beijing</w:t>
      </w:r>
      <w:r w:rsidR="00515E74" w:rsidRPr="00180180">
        <w:t>,</w:t>
      </w:r>
      <w:r w:rsidRPr="00180180">
        <w:t xml:space="preserve"> en la fecha </w:t>
      </w:r>
      <w:r w:rsidR="00515E74" w:rsidRPr="00180180">
        <w:t xml:space="preserve">anteriormente </w:t>
      </w:r>
      <w:r w:rsidRPr="00180180">
        <w:t xml:space="preserve">mencionada. </w:t>
      </w:r>
      <w:r w:rsidR="00515E74" w:rsidRPr="00180180">
        <w:t>El documento</w:t>
      </w:r>
      <w:r w:rsidRPr="00180180">
        <w:t xml:space="preserve"> ha </w:t>
      </w:r>
      <w:r w:rsidR="00C62A03">
        <w:t xml:space="preserve">sido </w:t>
      </w:r>
      <w:r w:rsidRPr="00180180">
        <w:t xml:space="preserve">redactado en inglés y </w:t>
      </w:r>
      <w:r w:rsidR="00515E74" w:rsidRPr="00180180">
        <w:t xml:space="preserve">en </w:t>
      </w:r>
      <w:r w:rsidRPr="00180180">
        <w:t xml:space="preserve">chino, </w:t>
      </w:r>
      <w:r w:rsidR="00515E74" w:rsidRPr="00180180">
        <w:t>y</w:t>
      </w:r>
      <w:r w:rsidRPr="00180180">
        <w:t xml:space="preserve"> cada </w:t>
      </w:r>
      <w:r w:rsidR="00515E74" w:rsidRPr="00180180">
        <w:t>parte contratante posee</w:t>
      </w:r>
      <w:r w:rsidRPr="00180180">
        <w:t xml:space="preserve"> un ejemplar </w:t>
      </w:r>
      <w:r w:rsidR="00515E74" w:rsidRPr="00180180">
        <w:t>original de ambas versiones del mismo</w:t>
      </w:r>
      <w:r w:rsidR="00DA5827" w:rsidRPr="00180180">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90602F" w:rsidRPr="00180180" w14:paraId="3B95B001" w14:textId="77777777" w:rsidTr="0090602F">
        <w:tc>
          <w:tcPr>
            <w:tcW w:w="4814" w:type="dxa"/>
          </w:tcPr>
          <w:p w14:paraId="6C75D3C0" w14:textId="71EB0A7C" w:rsidR="0090602F" w:rsidRPr="00180180" w:rsidRDefault="00515E74" w:rsidP="001D46C1">
            <w:pPr>
              <w:rPr>
                <w:b/>
                <w:bCs/>
              </w:rPr>
            </w:pPr>
            <w:r w:rsidRPr="00180180">
              <w:rPr>
                <w:b/>
                <w:bCs/>
              </w:rPr>
              <w:t>Unión Internacional de Telecomunicaciones</w:t>
            </w:r>
          </w:p>
        </w:tc>
        <w:tc>
          <w:tcPr>
            <w:tcW w:w="4815" w:type="dxa"/>
          </w:tcPr>
          <w:p w14:paraId="7F4956D9" w14:textId="67472829" w:rsidR="0090602F" w:rsidRPr="00180180" w:rsidRDefault="00515E74" w:rsidP="001D46C1">
            <w:pPr>
              <w:rPr>
                <w:b/>
                <w:bCs/>
              </w:rPr>
            </w:pPr>
            <w:r w:rsidRPr="00180180">
              <w:rPr>
                <w:b/>
                <w:bCs/>
              </w:rPr>
              <w:t>Banco de Exportación e Importación de</w:t>
            </w:r>
            <w:r w:rsidR="0090602F" w:rsidRPr="00180180">
              <w:rPr>
                <w:b/>
                <w:bCs/>
              </w:rPr>
              <w:t xml:space="preserve"> China</w:t>
            </w:r>
          </w:p>
        </w:tc>
      </w:tr>
      <w:tr w:rsidR="0090602F" w:rsidRPr="00180180" w14:paraId="5572E92A" w14:textId="77777777" w:rsidTr="0090602F">
        <w:tc>
          <w:tcPr>
            <w:tcW w:w="4814" w:type="dxa"/>
          </w:tcPr>
          <w:p w14:paraId="796BB5E2" w14:textId="48296B11" w:rsidR="0090602F" w:rsidRPr="00180180" w:rsidRDefault="00515E74" w:rsidP="001D46C1">
            <w:r w:rsidRPr="00180180">
              <w:t xml:space="preserve">Representante legal o signatario autorizado </w:t>
            </w:r>
          </w:p>
          <w:p w14:paraId="533FDC5C" w14:textId="77777777" w:rsidR="0090602F" w:rsidRPr="00180180" w:rsidRDefault="0090602F" w:rsidP="001D46C1"/>
          <w:p w14:paraId="788DE2DD" w14:textId="31C93029" w:rsidR="0090602F" w:rsidRPr="00180180" w:rsidRDefault="0090602F" w:rsidP="001D46C1">
            <w:r w:rsidRPr="00180180">
              <w:t>(</w:t>
            </w:r>
            <w:r w:rsidR="00515E74" w:rsidRPr="00180180">
              <w:t>firma</w:t>
            </w:r>
            <w:r w:rsidRPr="00180180">
              <w:t>)</w:t>
            </w:r>
          </w:p>
        </w:tc>
        <w:tc>
          <w:tcPr>
            <w:tcW w:w="4815" w:type="dxa"/>
          </w:tcPr>
          <w:p w14:paraId="07BE5475" w14:textId="523CE44C" w:rsidR="0090602F" w:rsidRPr="00180180" w:rsidRDefault="00515E74" w:rsidP="001D46C1">
            <w:r w:rsidRPr="00180180">
              <w:t>Representante legal o signatario autorizado</w:t>
            </w:r>
          </w:p>
          <w:p w14:paraId="2BBAC154" w14:textId="77777777" w:rsidR="0090602F" w:rsidRPr="00180180" w:rsidRDefault="0090602F" w:rsidP="001D46C1"/>
          <w:p w14:paraId="76452394" w14:textId="315DDD27" w:rsidR="0090602F" w:rsidRPr="00180180" w:rsidRDefault="0090602F" w:rsidP="001D46C1">
            <w:r w:rsidRPr="00180180">
              <w:t>(</w:t>
            </w:r>
            <w:r w:rsidR="00515E74" w:rsidRPr="00180180">
              <w:t>firma</w:t>
            </w:r>
            <w:r w:rsidRPr="00180180">
              <w:t>)</w:t>
            </w:r>
          </w:p>
        </w:tc>
      </w:tr>
      <w:tr w:rsidR="0090602F" w:rsidRPr="00180180" w14:paraId="43AD69B1" w14:textId="77777777" w:rsidTr="0090602F">
        <w:tc>
          <w:tcPr>
            <w:tcW w:w="4814" w:type="dxa"/>
          </w:tcPr>
          <w:p w14:paraId="7DB7C435" w14:textId="77777777" w:rsidR="00515E74" w:rsidRPr="00180180" w:rsidRDefault="00515E74" w:rsidP="001D46C1">
            <w:r w:rsidRPr="00180180">
              <w:t xml:space="preserve">Secretario General de la </w:t>
            </w:r>
          </w:p>
          <w:p w14:paraId="3467C899" w14:textId="0DEF260F" w:rsidR="0090602F" w:rsidRPr="00180180" w:rsidRDefault="00515E74" w:rsidP="001D46C1">
            <w:r w:rsidRPr="00180180">
              <w:t>Unión Internacional de Telecomunicaciones</w:t>
            </w:r>
          </w:p>
        </w:tc>
        <w:tc>
          <w:tcPr>
            <w:tcW w:w="4815" w:type="dxa"/>
          </w:tcPr>
          <w:p w14:paraId="0C877558" w14:textId="6EE7BA14" w:rsidR="0090602F" w:rsidRPr="00180180" w:rsidRDefault="00515E74" w:rsidP="001D46C1">
            <w:r w:rsidRPr="00180180">
              <w:t>Presidente del Banco de Exportación e Importación de China</w:t>
            </w:r>
          </w:p>
        </w:tc>
      </w:tr>
    </w:tbl>
    <w:p w14:paraId="0EDFB7E7" w14:textId="55A6BA8E" w:rsidR="00DA5827" w:rsidRPr="00180180" w:rsidRDefault="00DA5827" w:rsidP="001D46C1">
      <w:pPr>
        <w:pStyle w:val="Annexref"/>
        <w:rPr>
          <w:sz w:val="24"/>
          <w:szCs w:val="24"/>
        </w:rPr>
      </w:pPr>
    </w:p>
    <w:sectPr w:rsidR="00DA5827" w:rsidRPr="00180180" w:rsidSect="006710F6">
      <w:headerReference w:type="default" r:id="rId20"/>
      <w:footerReference w:type="default" r:id="rId21"/>
      <w:footerReference w:type="first" r:id="rId22"/>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6C36B4" w14:textId="77777777" w:rsidR="00BB0F3F" w:rsidRDefault="00BB0F3F">
      <w:r>
        <w:separator/>
      </w:r>
    </w:p>
  </w:endnote>
  <w:endnote w:type="continuationSeparator" w:id="0">
    <w:p w14:paraId="015DFC85" w14:textId="77777777" w:rsidR="00BB0F3F" w:rsidRDefault="00BB0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FDEA7" w14:textId="77777777" w:rsidR="00BB0F3F" w:rsidRPr="00E35B53" w:rsidRDefault="00BB0F3F" w:rsidP="0081008D">
    <w:pPr>
      <w:pStyle w:val="Footer"/>
      <w:rPr>
        <w:color w:val="D9D9D9" w:themeColor="background1" w:themeShade="D9"/>
        <w:lang w:val="fr-CH"/>
      </w:rPr>
    </w:pPr>
    <w:r w:rsidRPr="00E35B53">
      <w:rPr>
        <w:noProof w:val="0"/>
        <w:color w:val="D9D9D9" w:themeColor="background1" w:themeShade="D9"/>
        <w:sz w:val="24"/>
      </w:rPr>
      <w:fldChar w:fldCharType="begin"/>
    </w:r>
    <w:r w:rsidRPr="00E35B53">
      <w:rPr>
        <w:color w:val="D9D9D9" w:themeColor="background1" w:themeShade="D9"/>
        <w:lang w:val="fr-CH"/>
      </w:rPr>
      <w:instrText xml:space="preserve"> FILENAME \p  \* MERGEFORMAT </w:instrText>
    </w:r>
    <w:r w:rsidRPr="00E35B53">
      <w:rPr>
        <w:noProof w:val="0"/>
        <w:color w:val="D9D9D9" w:themeColor="background1" w:themeShade="D9"/>
        <w:sz w:val="24"/>
      </w:rPr>
      <w:fldChar w:fldCharType="separate"/>
    </w:r>
    <w:r w:rsidR="00E97F3C" w:rsidRPr="00E35B53">
      <w:rPr>
        <w:color w:val="D9D9D9" w:themeColor="background1" w:themeShade="D9"/>
        <w:lang w:val="fr-CH"/>
      </w:rPr>
      <w:t>P:\ESP\SG\CONSEIL\C19\000\060S.docx</w:t>
    </w:r>
    <w:r w:rsidRPr="00E35B53">
      <w:rPr>
        <w:color w:val="D9D9D9" w:themeColor="background1" w:themeShade="D9"/>
      </w:rPr>
      <w:fldChar w:fldCharType="end"/>
    </w:r>
    <w:r w:rsidRPr="00E35B53">
      <w:rPr>
        <w:color w:val="D9D9D9" w:themeColor="background1" w:themeShade="D9"/>
        <w:lang w:val="fr-CH"/>
      </w:rPr>
      <w:t xml:space="preserve"> (454911)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213D8" w14:textId="77777777" w:rsidR="00BB0F3F" w:rsidRPr="00EC6B86" w:rsidRDefault="00BB0F3F" w:rsidP="00EC6B86">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745116" w14:textId="77777777" w:rsidR="00BB0F3F" w:rsidRDefault="00BB0F3F">
      <w:r>
        <w:t>____________________</w:t>
      </w:r>
    </w:p>
  </w:footnote>
  <w:footnote w:type="continuationSeparator" w:id="0">
    <w:p w14:paraId="73644CAF" w14:textId="77777777" w:rsidR="00BB0F3F" w:rsidRDefault="00BB0F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75D67" w14:textId="77777777" w:rsidR="00BB0F3F" w:rsidRDefault="00BB0F3F" w:rsidP="007657F0">
    <w:pPr>
      <w:pStyle w:val="Header"/>
    </w:pPr>
    <w:r>
      <w:fldChar w:fldCharType="begin"/>
    </w:r>
    <w:r>
      <w:instrText>PAGE</w:instrText>
    </w:r>
    <w:r>
      <w:fldChar w:fldCharType="separate"/>
    </w:r>
    <w:r w:rsidR="00E35B53">
      <w:rPr>
        <w:noProof/>
      </w:rPr>
      <w:t>16</w:t>
    </w:r>
    <w:r>
      <w:rPr>
        <w:noProof/>
      </w:rPr>
      <w:fldChar w:fldCharType="end"/>
    </w:r>
  </w:p>
  <w:p w14:paraId="4C3715AA" w14:textId="77777777" w:rsidR="00BB0F3F" w:rsidRDefault="00BB0F3F" w:rsidP="00C2727F">
    <w:pPr>
      <w:pStyle w:val="Header"/>
    </w:pPr>
    <w:r>
      <w:t>C19/60-S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41569"/>
    <w:multiLevelType w:val="multilevel"/>
    <w:tmpl w:val="2700A55E"/>
    <w:lvl w:ilvl="0">
      <w:start w:val="1"/>
      <w:numFmt w:val="decimal"/>
      <w:lvlText w:val="6.%1"/>
      <w:lvlJc w:val="left"/>
      <w:pPr>
        <w:ind w:left="0"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2290283"/>
    <w:multiLevelType w:val="multilevel"/>
    <w:tmpl w:val="4BD24F4A"/>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sz w:val="22"/>
      </w:rPr>
    </w:lvl>
    <w:lvl w:ilvl="2">
      <w:start w:val="1"/>
      <w:numFmt w:val="decimal"/>
      <w:isLgl/>
      <w:lvlText w:val="%1.%2.%3"/>
      <w:lvlJc w:val="left"/>
      <w:pPr>
        <w:ind w:left="720" w:hanging="720"/>
      </w:pPr>
      <w:rPr>
        <w:rFonts w:hint="default"/>
        <w:sz w:val="22"/>
      </w:rPr>
    </w:lvl>
    <w:lvl w:ilvl="3">
      <w:start w:val="1"/>
      <w:numFmt w:val="decimal"/>
      <w:isLgl/>
      <w:lvlText w:val="%1.%2.%3.%4"/>
      <w:lvlJc w:val="left"/>
      <w:pPr>
        <w:ind w:left="720" w:hanging="720"/>
      </w:pPr>
      <w:rPr>
        <w:rFonts w:hint="default"/>
        <w:sz w:val="22"/>
      </w:rPr>
    </w:lvl>
    <w:lvl w:ilvl="4">
      <w:start w:val="1"/>
      <w:numFmt w:val="decimal"/>
      <w:isLgl/>
      <w:lvlText w:val="%1.%2.%3.%4.%5"/>
      <w:lvlJc w:val="left"/>
      <w:pPr>
        <w:ind w:left="1080" w:hanging="1080"/>
      </w:pPr>
      <w:rPr>
        <w:rFonts w:hint="default"/>
        <w:sz w:val="22"/>
      </w:rPr>
    </w:lvl>
    <w:lvl w:ilvl="5">
      <w:start w:val="1"/>
      <w:numFmt w:val="decimal"/>
      <w:isLgl/>
      <w:lvlText w:val="%1.%2.%3.%4.%5.%6"/>
      <w:lvlJc w:val="left"/>
      <w:pPr>
        <w:ind w:left="1080" w:hanging="1080"/>
      </w:pPr>
      <w:rPr>
        <w:rFonts w:hint="default"/>
        <w:sz w:val="22"/>
      </w:rPr>
    </w:lvl>
    <w:lvl w:ilvl="6">
      <w:start w:val="1"/>
      <w:numFmt w:val="decimal"/>
      <w:isLgl/>
      <w:lvlText w:val="%1.%2.%3.%4.%5.%6.%7"/>
      <w:lvlJc w:val="left"/>
      <w:pPr>
        <w:ind w:left="1440" w:hanging="1440"/>
      </w:pPr>
      <w:rPr>
        <w:rFonts w:hint="default"/>
        <w:sz w:val="22"/>
      </w:rPr>
    </w:lvl>
    <w:lvl w:ilvl="7">
      <w:start w:val="1"/>
      <w:numFmt w:val="decimal"/>
      <w:isLgl/>
      <w:lvlText w:val="%1.%2.%3.%4.%5.%6.%7.%8"/>
      <w:lvlJc w:val="left"/>
      <w:pPr>
        <w:ind w:left="1800" w:hanging="1800"/>
      </w:pPr>
      <w:rPr>
        <w:rFonts w:hint="default"/>
        <w:sz w:val="22"/>
      </w:rPr>
    </w:lvl>
    <w:lvl w:ilvl="8">
      <w:start w:val="1"/>
      <w:numFmt w:val="decimal"/>
      <w:isLgl/>
      <w:lvlText w:val="%1.%2.%3.%4.%5.%6.%7.%8.%9"/>
      <w:lvlJc w:val="left"/>
      <w:pPr>
        <w:ind w:left="1800" w:hanging="1800"/>
      </w:pPr>
      <w:rPr>
        <w:rFonts w:hint="default"/>
        <w:sz w:val="22"/>
      </w:rPr>
    </w:lvl>
  </w:abstractNum>
  <w:abstractNum w:abstractNumId="2" w15:restartNumberingAfterBreak="0">
    <w:nsid w:val="0F4C144A"/>
    <w:multiLevelType w:val="multilevel"/>
    <w:tmpl w:val="42DA07FE"/>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F8109DE"/>
    <w:multiLevelType w:val="hybridMultilevel"/>
    <w:tmpl w:val="7032B9C8"/>
    <w:lvl w:ilvl="0" w:tplc="B97AFD00">
      <w:start w:val="1"/>
      <w:numFmt w:val="lowerRoman"/>
      <w:lvlText w:val="(%1)"/>
      <w:lvlJc w:val="left"/>
      <w:pPr>
        <w:ind w:left="1854" w:hanging="360"/>
      </w:pPr>
      <w:rPr>
        <w:rFonts w:hint="default"/>
        <w:b w:val="0"/>
      </w:rPr>
    </w:lvl>
    <w:lvl w:ilvl="1" w:tplc="08090019">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 w15:restartNumberingAfterBreak="0">
    <w:nsid w:val="1AF4414D"/>
    <w:multiLevelType w:val="multilevel"/>
    <w:tmpl w:val="0D861ECE"/>
    <w:lvl w:ilvl="0">
      <w:start w:val="1"/>
      <w:numFmt w:val="decimal"/>
      <w:lvlText w:val="%1."/>
      <w:lvlJc w:val="left"/>
      <w:pPr>
        <w:tabs>
          <w:tab w:val="num" w:pos="360"/>
        </w:tabs>
        <w:ind w:left="360" w:hanging="360"/>
      </w:pPr>
      <w:rPr>
        <w:rFonts w:hint="default"/>
        <w:b/>
        <w:sz w:val="21"/>
        <w:szCs w:val="21"/>
      </w:rPr>
    </w:lvl>
    <w:lvl w:ilvl="1">
      <w:start w:val="1"/>
      <w:numFmt w:val="decimal"/>
      <w:isLgl/>
      <w:lvlText w:val="%1.%2."/>
      <w:lvlJc w:val="left"/>
      <w:pPr>
        <w:tabs>
          <w:tab w:val="num" w:pos="720"/>
        </w:tabs>
        <w:ind w:left="720" w:hanging="720"/>
      </w:pPr>
      <w:rPr>
        <w:rFonts w:ascii="Arial" w:hAnsi="Arial" w:cs="Arial" w:hint="default"/>
        <w:b w:val="0"/>
        <w:color w:val="auto"/>
        <w:sz w:val="20"/>
        <w:szCs w:val="20"/>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440"/>
        </w:tabs>
        <w:ind w:left="1440" w:hanging="144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800"/>
        </w:tabs>
        <w:ind w:left="1800" w:hanging="180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5" w15:restartNumberingAfterBreak="0">
    <w:nsid w:val="1C703D89"/>
    <w:multiLevelType w:val="hybridMultilevel"/>
    <w:tmpl w:val="DB7A7842"/>
    <w:lvl w:ilvl="0" w:tplc="04090001">
      <w:start w:val="1"/>
      <w:numFmt w:val="bullet"/>
      <w:lvlText w:val=""/>
      <w:lvlJc w:val="left"/>
      <w:pPr>
        <w:ind w:left="687" w:hanging="360"/>
      </w:pPr>
      <w:rPr>
        <w:rFonts w:ascii="Symbol" w:hAnsi="Symbol" w:hint="default"/>
      </w:rPr>
    </w:lvl>
    <w:lvl w:ilvl="1" w:tplc="040C0003">
      <w:start w:val="1"/>
      <w:numFmt w:val="bullet"/>
      <w:lvlText w:val="o"/>
      <w:lvlJc w:val="left"/>
      <w:pPr>
        <w:ind w:left="1407" w:hanging="360"/>
      </w:pPr>
      <w:rPr>
        <w:rFonts w:ascii="Courier New" w:hAnsi="Courier New" w:cs="Courier New" w:hint="default"/>
      </w:rPr>
    </w:lvl>
    <w:lvl w:ilvl="2" w:tplc="040C0005" w:tentative="1">
      <w:start w:val="1"/>
      <w:numFmt w:val="bullet"/>
      <w:lvlText w:val=""/>
      <w:lvlJc w:val="left"/>
      <w:pPr>
        <w:ind w:left="2127" w:hanging="360"/>
      </w:pPr>
      <w:rPr>
        <w:rFonts w:ascii="Wingdings" w:hAnsi="Wingdings" w:hint="default"/>
      </w:rPr>
    </w:lvl>
    <w:lvl w:ilvl="3" w:tplc="040C0001" w:tentative="1">
      <w:start w:val="1"/>
      <w:numFmt w:val="bullet"/>
      <w:lvlText w:val=""/>
      <w:lvlJc w:val="left"/>
      <w:pPr>
        <w:ind w:left="2847" w:hanging="360"/>
      </w:pPr>
      <w:rPr>
        <w:rFonts w:ascii="Symbol" w:hAnsi="Symbol" w:hint="default"/>
      </w:rPr>
    </w:lvl>
    <w:lvl w:ilvl="4" w:tplc="040C0003" w:tentative="1">
      <w:start w:val="1"/>
      <w:numFmt w:val="bullet"/>
      <w:lvlText w:val="o"/>
      <w:lvlJc w:val="left"/>
      <w:pPr>
        <w:ind w:left="3567" w:hanging="360"/>
      </w:pPr>
      <w:rPr>
        <w:rFonts w:ascii="Courier New" w:hAnsi="Courier New" w:cs="Courier New" w:hint="default"/>
      </w:rPr>
    </w:lvl>
    <w:lvl w:ilvl="5" w:tplc="040C0005" w:tentative="1">
      <w:start w:val="1"/>
      <w:numFmt w:val="bullet"/>
      <w:lvlText w:val=""/>
      <w:lvlJc w:val="left"/>
      <w:pPr>
        <w:ind w:left="4287" w:hanging="360"/>
      </w:pPr>
      <w:rPr>
        <w:rFonts w:ascii="Wingdings" w:hAnsi="Wingdings" w:hint="default"/>
      </w:rPr>
    </w:lvl>
    <w:lvl w:ilvl="6" w:tplc="040C0001" w:tentative="1">
      <w:start w:val="1"/>
      <w:numFmt w:val="bullet"/>
      <w:lvlText w:val=""/>
      <w:lvlJc w:val="left"/>
      <w:pPr>
        <w:ind w:left="5007" w:hanging="360"/>
      </w:pPr>
      <w:rPr>
        <w:rFonts w:ascii="Symbol" w:hAnsi="Symbol" w:hint="default"/>
      </w:rPr>
    </w:lvl>
    <w:lvl w:ilvl="7" w:tplc="040C0003" w:tentative="1">
      <w:start w:val="1"/>
      <w:numFmt w:val="bullet"/>
      <w:lvlText w:val="o"/>
      <w:lvlJc w:val="left"/>
      <w:pPr>
        <w:ind w:left="5727" w:hanging="360"/>
      </w:pPr>
      <w:rPr>
        <w:rFonts w:ascii="Courier New" w:hAnsi="Courier New" w:cs="Courier New" w:hint="default"/>
      </w:rPr>
    </w:lvl>
    <w:lvl w:ilvl="8" w:tplc="040C0005" w:tentative="1">
      <w:start w:val="1"/>
      <w:numFmt w:val="bullet"/>
      <w:lvlText w:val=""/>
      <w:lvlJc w:val="left"/>
      <w:pPr>
        <w:ind w:left="6447" w:hanging="360"/>
      </w:pPr>
      <w:rPr>
        <w:rFonts w:ascii="Wingdings" w:hAnsi="Wingdings" w:hint="default"/>
      </w:rPr>
    </w:lvl>
  </w:abstractNum>
  <w:abstractNum w:abstractNumId="6" w15:restartNumberingAfterBreak="0">
    <w:nsid w:val="1C703E72"/>
    <w:multiLevelType w:val="hybridMultilevel"/>
    <w:tmpl w:val="96D6FB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A27B1C"/>
    <w:multiLevelType w:val="hybridMultilevel"/>
    <w:tmpl w:val="5114E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177D4"/>
    <w:multiLevelType w:val="hybridMultilevel"/>
    <w:tmpl w:val="30AEE18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CEC7393"/>
    <w:multiLevelType w:val="multilevel"/>
    <w:tmpl w:val="58562F36"/>
    <w:lvl w:ilvl="0">
      <w:start w:val="1"/>
      <w:numFmt w:val="decimal"/>
      <w:lvlText w:val="3.%1"/>
      <w:lvlJc w:val="left"/>
      <w:pPr>
        <w:ind w:left="0"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3F5F583D"/>
    <w:multiLevelType w:val="hybridMultilevel"/>
    <w:tmpl w:val="A6C0C362"/>
    <w:lvl w:ilvl="0" w:tplc="04090017">
      <w:start w:val="1"/>
      <w:numFmt w:val="lowerLetter"/>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11" w15:restartNumberingAfterBreak="0">
    <w:nsid w:val="3FC411EC"/>
    <w:multiLevelType w:val="hybridMultilevel"/>
    <w:tmpl w:val="600C33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8B1700B"/>
    <w:multiLevelType w:val="hybridMultilevel"/>
    <w:tmpl w:val="31F4AD44"/>
    <w:lvl w:ilvl="0" w:tplc="B97AFD00">
      <w:start w:val="1"/>
      <w:numFmt w:val="lowerRoman"/>
      <w:lvlText w:val="(%1)"/>
      <w:lvlJc w:val="left"/>
      <w:pPr>
        <w:ind w:left="1287" w:hanging="360"/>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4F06614B"/>
    <w:multiLevelType w:val="multilevel"/>
    <w:tmpl w:val="7F74FE20"/>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52BD67F6"/>
    <w:multiLevelType w:val="multilevel"/>
    <w:tmpl w:val="1D0CBF92"/>
    <w:lvl w:ilvl="0">
      <w:start w:val="1"/>
      <w:numFmt w:val="decimal"/>
      <w:lvlText w:val="2.%1"/>
      <w:lvlJc w:val="left"/>
      <w:pPr>
        <w:ind w:left="1985"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1985" w:firstLine="0"/>
      </w:pPr>
    </w:lvl>
    <w:lvl w:ilvl="2">
      <w:numFmt w:val="decimal"/>
      <w:lvlText w:val=""/>
      <w:lvlJc w:val="left"/>
      <w:pPr>
        <w:ind w:left="1985" w:firstLine="0"/>
      </w:pPr>
    </w:lvl>
    <w:lvl w:ilvl="3">
      <w:numFmt w:val="decimal"/>
      <w:lvlText w:val=""/>
      <w:lvlJc w:val="left"/>
      <w:pPr>
        <w:ind w:left="1985" w:firstLine="0"/>
      </w:pPr>
    </w:lvl>
    <w:lvl w:ilvl="4">
      <w:numFmt w:val="decimal"/>
      <w:lvlText w:val=""/>
      <w:lvlJc w:val="left"/>
      <w:pPr>
        <w:ind w:left="1985" w:firstLine="0"/>
      </w:pPr>
    </w:lvl>
    <w:lvl w:ilvl="5">
      <w:numFmt w:val="decimal"/>
      <w:lvlText w:val=""/>
      <w:lvlJc w:val="left"/>
      <w:pPr>
        <w:ind w:left="1985" w:firstLine="0"/>
      </w:pPr>
    </w:lvl>
    <w:lvl w:ilvl="6">
      <w:numFmt w:val="decimal"/>
      <w:lvlText w:val=""/>
      <w:lvlJc w:val="left"/>
      <w:pPr>
        <w:ind w:left="1985" w:firstLine="0"/>
      </w:pPr>
    </w:lvl>
    <w:lvl w:ilvl="7">
      <w:numFmt w:val="decimal"/>
      <w:lvlText w:val=""/>
      <w:lvlJc w:val="left"/>
      <w:pPr>
        <w:ind w:left="1985" w:firstLine="0"/>
      </w:pPr>
    </w:lvl>
    <w:lvl w:ilvl="8">
      <w:numFmt w:val="decimal"/>
      <w:lvlText w:val=""/>
      <w:lvlJc w:val="left"/>
      <w:pPr>
        <w:ind w:left="1985" w:firstLine="0"/>
      </w:pPr>
    </w:lvl>
  </w:abstractNum>
  <w:abstractNum w:abstractNumId="15" w15:restartNumberingAfterBreak="0">
    <w:nsid w:val="52D867B2"/>
    <w:multiLevelType w:val="multilevel"/>
    <w:tmpl w:val="B44AEC24"/>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58532338"/>
    <w:multiLevelType w:val="multilevel"/>
    <w:tmpl w:val="9DD47758"/>
    <w:lvl w:ilvl="0">
      <w:start w:val="1"/>
      <w:numFmt w:val="decimal"/>
      <w:lvlText w:val="6.%1"/>
      <w:lvlJc w:val="left"/>
      <w:pPr>
        <w:ind w:left="0"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589F0D16"/>
    <w:multiLevelType w:val="hybridMultilevel"/>
    <w:tmpl w:val="53FA1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01245"/>
    <w:multiLevelType w:val="multilevel"/>
    <w:tmpl w:val="4FA49F92"/>
    <w:lvl w:ilvl="0">
      <w:start w:val="1"/>
      <w:numFmt w:val="lowerLetter"/>
      <w:lvlText w:val="%1."/>
      <w:lvlJc w:val="left"/>
      <w:pPr>
        <w:ind w:left="0"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780F368E"/>
    <w:multiLevelType w:val="multilevel"/>
    <w:tmpl w:val="6A26BD6E"/>
    <w:lvl w:ilvl="0">
      <w:start w:val="1"/>
      <w:numFmt w:val="decimal"/>
      <w:lvlText w:val="1.%1"/>
      <w:lvlJc w:val="left"/>
      <w:pPr>
        <w:ind w:left="0" w:firstLine="0"/>
      </w:pPr>
      <w:rPr>
        <w:rFonts w:ascii="Calibri" w:eastAsia="Calibri" w:hAnsi="Calibri" w:cs="Calibri"/>
        <w:b w:val="0"/>
        <w:bCs w:val="0"/>
        <w:i w:val="0"/>
        <w:iCs w:val="0"/>
        <w:smallCaps w:val="0"/>
        <w:strike w:val="0"/>
        <w:dstrike w:val="0"/>
        <w:color w:val="000000"/>
        <w:spacing w:val="0"/>
        <w:w w:val="100"/>
        <w:position w:val="0"/>
        <w:sz w:val="69"/>
        <w:szCs w:val="69"/>
        <w:u w:val="none"/>
        <w:effect w:val="none"/>
        <w:lang w:val="en-GB"/>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0"/>
  </w:num>
  <w:num w:numId="2">
    <w:abstractNumId w:val="17"/>
  </w:num>
  <w:num w:numId="3">
    <w:abstractNumId w:val="4"/>
  </w:num>
  <w:num w:numId="4">
    <w:abstractNumId w:val="3"/>
  </w:num>
  <w:num w:numId="5">
    <w:abstractNumId w:val="12"/>
  </w:num>
  <w:num w:numId="6">
    <w:abstractNumId w:val="1"/>
  </w:num>
  <w:num w:numId="7">
    <w:abstractNumId w:val="5"/>
  </w:num>
  <w:num w:numId="8">
    <w:abstractNumId w:val="7"/>
  </w:num>
  <w:num w:numId="9">
    <w:abstractNumId w:val="8"/>
  </w:num>
  <w:num w:numId="10">
    <w:abstractNumId w:val="11"/>
  </w:num>
  <w:num w:numId="11">
    <w:abstractNumId w:val="6"/>
  </w:num>
  <w:num w:numId="12">
    <w:abstractNumId w:val="19"/>
    <w:lvlOverride w:ilvl="0">
      <w:startOverride w:val="1"/>
    </w:lvlOverride>
    <w:lvlOverride w:ilvl="1"/>
    <w:lvlOverride w:ilvl="2"/>
    <w:lvlOverride w:ilvl="3"/>
    <w:lvlOverride w:ilvl="4"/>
    <w:lvlOverride w:ilvl="5"/>
    <w:lvlOverride w:ilvl="6"/>
    <w:lvlOverride w:ilvl="7"/>
    <w:lvlOverride w:ilvl="8"/>
  </w:num>
  <w:num w:numId="13">
    <w:abstractNumId w:val="15"/>
    <w:lvlOverride w:ilvl="0">
      <w:startOverride w:val="1"/>
    </w:lvlOverride>
    <w:lvlOverride w:ilvl="1"/>
    <w:lvlOverride w:ilvl="2"/>
    <w:lvlOverride w:ilvl="3"/>
    <w:lvlOverride w:ilvl="4"/>
    <w:lvlOverride w:ilvl="5"/>
    <w:lvlOverride w:ilvl="6"/>
    <w:lvlOverride w:ilvl="7"/>
    <w:lvlOverride w:ilvl="8"/>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4"/>
    <w:lvlOverride w:ilvl="0">
      <w:startOverride w:val="1"/>
    </w:lvlOverride>
    <w:lvlOverride w:ilvl="1"/>
    <w:lvlOverride w:ilvl="2"/>
    <w:lvlOverride w:ilvl="3"/>
    <w:lvlOverride w:ilvl="4"/>
    <w:lvlOverride w:ilvl="5"/>
    <w:lvlOverride w:ilvl="6"/>
    <w:lvlOverride w:ilvl="7"/>
    <w:lvlOverride w:ilvl="8"/>
  </w:num>
  <w:num w:numId="16">
    <w:abstractNumId w:val="18"/>
    <w:lvlOverride w:ilvl="0">
      <w:startOverride w:val="1"/>
    </w:lvlOverride>
    <w:lvlOverride w:ilvl="1"/>
    <w:lvlOverride w:ilvl="2"/>
    <w:lvlOverride w:ilvl="3"/>
    <w:lvlOverride w:ilvl="4"/>
    <w:lvlOverride w:ilvl="5"/>
    <w:lvlOverride w:ilvl="6"/>
    <w:lvlOverride w:ilvl="7"/>
    <w:lvlOverride w:ilvl="8"/>
  </w:num>
  <w:num w:numId="17">
    <w:abstractNumId w:val="2"/>
    <w:lvlOverride w:ilvl="0">
      <w:startOverride w:val="1"/>
    </w:lvlOverride>
    <w:lvlOverride w:ilvl="1"/>
    <w:lvlOverride w:ilvl="2"/>
    <w:lvlOverride w:ilvl="3"/>
    <w:lvlOverride w:ilvl="4"/>
    <w:lvlOverride w:ilvl="5"/>
    <w:lvlOverride w:ilvl="6"/>
    <w:lvlOverride w:ilvl="7"/>
    <w:lvlOverride w:ilvl="8"/>
  </w:num>
  <w:num w:numId="18">
    <w:abstractNumId w:val="9"/>
    <w:lvlOverride w:ilvl="0">
      <w:startOverride w:val="1"/>
    </w:lvlOverride>
    <w:lvlOverride w:ilvl="1"/>
    <w:lvlOverride w:ilvl="2"/>
    <w:lvlOverride w:ilvl="3"/>
    <w:lvlOverride w:ilvl="4"/>
    <w:lvlOverride w:ilvl="5"/>
    <w:lvlOverride w:ilvl="6"/>
    <w:lvlOverride w:ilvl="7"/>
    <w:lvlOverride w:ilvl="8"/>
  </w:num>
  <w:num w:numId="19">
    <w:abstractNumId w:val="16"/>
    <w:lvlOverride w:ilvl="0">
      <w:startOverride w:val="1"/>
    </w:lvlOverride>
    <w:lvlOverride w:ilvl="1"/>
    <w:lvlOverride w:ilvl="2"/>
    <w:lvlOverride w:ilvl="3"/>
    <w:lvlOverride w:ilvl="4"/>
    <w:lvlOverride w:ilvl="5"/>
    <w:lvlOverride w:ilvl="6"/>
    <w:lvlOverride w:ilvl="7"/>
    <w:lvlOverride w:ilvl="8"/>
  </w:num>
  <w:num w:numId="2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71A"/>
    <w:rsid w:val="000016AA"/>
    <w:rsid w:val="000223A0"/>
    <w:rsid w:val="00031881"/>
    <w:rsid w:val="0005592A"/>
    <w:rsid w:val="0005604A"/>
    <w:rsid w:val="00063AB2"/>
    <w:rsid w:val="0008065D"/>
    <w:rsid w:val="0008233A"/>
    <w:rsid w:val="00090886"/>
    <w:rsid w:val="00091B54"/>
    <w:rsid w:val="00093EEB"/>
    <w:rsid w:val="000A0822"/>
    <w:rsid w:val="000A501D"/>
    <w:rsid w:val="000B0D00"/>
    <w:rsid w:val="000B5F63"/>
    <w:rsid w:val="000B7C15"/>
    <w:rsid w:val="000C67D5"/>
    <w:rsid w:val="000D1D0F"/>
    <w:rsid w:val="000D4D0B"/>
    <w:rsid w:val="000E2F3C"/>
    <w:rsid w:val="000E48ED"/>
    <w:rsid w:val="000E56FB"/>
    <w:rsid w:val="000E5A89"/>
    <w:rsid w:val="000F5290"/>
    <w:rsid w:val="000F60EA"/>
    <w:rsid w:val="0010165C"/>
    <w:rsid w:val="00105A1D"/>
    <w:rsid w:val="00110668"/>
    <w:rsid w:val="001150CD"/>
    <w:rsid w:val="00116559"/>
    <w:rsid w:val="00122C4B"/>
    <w:rsid w:val="001252D8"/>
    <w:rsid w:val="00136326"/>
    <w:rsid w:val="00141D6C"/>
    <w:rsid w:val="00146BFB"/>
    <w:rsid w:val="001512DA"/>
    <w:rsid w:val="00153CBD"/>
    <w:rsid w:val="001612B8"/>
    <w:rsid w:val="001636D1"/>
    <w:rsid w:val="00180180"/>
    <w:rsid w:val="00184AA0"/>
    <w:rsid w:val="001B565A"/>
    <w:rsid w:val="001D461D"/>
    <w:rsid w:val="001D46C1"/>
    <w:rsid w:val="001F14A2"/>
    <w:rsid w:val="001F5368"/>
    <w:rsid w:val="002212C4"/>
    <w:rsid w:val="0022139A"/>
    <w:rsid w:val="0024051D"/>
    <w:rsid w:val="0024171A"/>
    <w:rsid w:val="00243E8D"/>
    <w:rsid w:val="002502A2"/>
    <w:rsid w:val="002713E5"/>
    <w:rsid w:val="00274FCD"/>
    <w:rsid w:val="00277638"/>
    <w:rsid w:val="002801AA"/>
    <w:rsid w:val="00295A1A"/>
    <w:rsid w:val="002A0983"/>
    <w:rsid w:val="002A1152"/>
    <w:rsid w:val="002C3FCF"/>
    <w:rsid w:val="002C4676"/>
    <w:rsid w:val="002C70B0"/>
    <w:rsid w:val="002D23DE"/>
    <w:rsid w:val="002D4AEB"/>
    <w:rsid w:val="002D7F89"/>
    <w:rsid w:val="002F126A"/>
    <w:rsid w:val="002F3CC4"/>
    <w:rsid w:val="002F5D6F"/>
    <w:rsid w:val="00304246"/>
    <w:rsid w:val="00312BC6"/>
    <w:rsid w:val="0031690B"/>
    <w:rsid w:val="00324A59"/>
    <w:rsid w:val="003362B7"/>
    <w:rsid w:val="00336B7D"/>
    <w:rsid w:val="00347A11"/>
    <w:rsid w:val="003577F3"/>
    <w:rsid w:val="0036049A"/>
    <w:rsid w:val="00360719"/>
    <w:rsid w:val="00367A97"/>
    <w:rsid w:val="003877D9"/>
    <w:rsid w:val="00390BF8"/>
    <w:rsid w:val="00392B50"/>
    <w:rsid w:val="00394A79"/>
    <w:rsid w:val="003D23CD"/>
    <w:rsid w:val="003D5F30"/>
    <w:rsid w:val="003E3D67"/>
    <w:rsid w:val="003F0FA1"/>
    <w:rsid w:val="003F5E4E"/>
    <w:rsid w:val="004240D7"/>
    <w:rsid w:val="00430A81"/>
    <w:rsid w:val="00445125"/>
    <w:rsid w:val="004476DB"/>
    <w:rsid w:val="00453273"/>
    <w:rsid w:val="00465FC2"/>
    <w:rsid w:val="00470BBA"/>
    <w:rsid w:val="00476A46"/>
    <w:rsid w:val="00487935"/>
    <w:rsid w:val="00493D24"/>
    <w:rsid w:val="00495340"/>
    <w:rsid w:val="004A0E32"/>
    <w:rsid w:val="004B0734"/>
    <w:rsid w:val="004C08F6"/>
    <w:rsid w:val="004C537E"/>
    <w:rsid w:val="004D40BF"/>
    <w:rsid w:val="004D795D"/>
    <w:rsid w:val="004E3A5B"/>
    <w:rsid w:val="004F5C61"/>
    <w:rsid w:val="00513630"/>
    <w:rsid w:val="00515E74"/>
    <w:rsid w:val="005575EA"/>
    <w:rsid w:val="00560125"/>
    <w:rsid w:val="00570F94"/>
    <w:rsid w:val="00585553"/>
    <w:rsid w:val="005B34D9"/>
    <w:rsid w:val="005B48B5"/>
    <w:rsid w:val="005B71D9"/>
    <w:rsid w:val="005C110E"/>
    <w:rsid w:val="005D0CCF"/>
    <w:rsid w:val="005D23D5"/>
    <w:rsid w:val="005E0C3E"/>
    <w:rsid w:val="005F3BCB"/>
    <w:rsid w:val="005F410F"/>
    <w:rsid w:val="0060149A"/>
    <w:rsid w:val="00601924"/>
    <w:rsid w:val="00621901"/>
    <w:rsid w:val="00631B18"/>
    <w:rsid w:val="006447EA"/>
    <w:rsid w:val="0064731F"/>
    <w:rsid w:val="006476C8"/>
    <w:rsid w:val="00647DE7"/>
    <w:rsid w:val="00661EEC"/>
    <w:rsid w:val="006710F6"/>
    <w:rsid w:val="00677563"/>
    <w:rsid w:val="00681C0F"/>
    <w:rsid w:val="006851B7"/>
    <w:rsid w:val="006A08BB"/>
    <w:rsid w:val="006A1FB0"/>
    <w:rsid w:val="006C1B56"/>
    <w:rsid w:val="006D4761"/>
    <w:rsid w:val="006F28C5"/>
    <w:rsid w:val="006F7B0D"/>
    <w:rsid w:val="00701C9A"/>
    <w:rsid w:val="00713B22"/>
    <w:rsid w:val="00720A86"/>
    <w:rsid w:val="007218CF"/>
    <w:rsid w:val="00725B2B"/>
    <w:rsid w:val="00726872"/>
    <w:rsid w:val="00754F87"/>
    <w:rsid w:val="00760B9E"/>
    <w:rsid w:val="00760F1C"/>
    <w:rsid w:val="007657F0"/>
    <w:rsid w:val="0077252D"/>
    <w:rsid w:val="007759CC"/>
    <w:rsid w:val="007A0AC1"/>
    <w:rsid w:val="007A7776"/>
    <w:rsid w:val="007C4A63"/>
    <w:rsid w:val="007D12E0"/>
    <w:rsid w:val="007E5DD3"/>
    <w:rsid w:val="007F350B"/>
    <w:rsid w:val="0081008D"/>
    <w:rsid w:val="00820BE4"/>
    <w:rsid w:val="00834ACF"/>
    <w:rsid w:val="00842330"/>
    <w:rsid w:val="008451E8"/>
    <w:rsid w:val="00862949"/>
    <w:rsid w:val="008827E3"/>
    <w:rsid w:val="00884E2C"/>
    <w:rsid w:val="00886EE7"/>
    <w:rsid w:val="00894A86"/>
    <w:rsid w:val="008B346B"/>
    <w:rsid w:val="008B39D7"/>
    <w:rsid w:val="008C06CF"/>
    <w:rsid w:val="008C25DB"/>
    <w:rsid w:val="008C469A"/>
    <w:rsid w:val="008D107D"/>
    <w:rsid w:val="008D318F"/>
    <w:rsid w:val="008D53A1"/>
    <w:rsid w:val="008E208F"/>
    <w:rsid w:val="008E77AD"/>
    <w:rsid w:val="0090602F"/>
    <w:rsid w:val="00913B9C"/>
    <w:rsid w:val="00917D89"/>
    <w:rsid w:val="00924E77"/>
    <w:rsid w:val="00932596"/>
    <w:rsid w:val="009325E9"/>
    <w:rsid w:val="0095399B"/>
    <w:rsid w:val="00956E77"/>
    <w:rsid w:val="00961454"/>
    <w:rsid w:val="00962596"/>
    <w:rsid w:val="00962E5E"/>
    <w:rsid w:val="00963194"/>
    <w:rsid w:val="00970979"/>
    <w:rsid w:val="009863EE"/>
    <w:rsid w:val="00987BAC"/>
    <w:rsid w:val="009C52DF"/>
    <w:rsid w:val="009C645B"/>
    <w:rsid w:val="009E2679"/>
    <w:rsid w:val="009E3737"/>
    <w:rsid w:val="009E6CAC"/>
    <w:rsid w:val="009F4811"/>
    <w:rsid w:val="00A0278B"/>
    <w:rsid w:val="00A21F32"/>
    <w:rsid w:val="00A260CD"/>
    <w:rsid w:val="00A26338"/>
    <w:rsid w:val="00A3003D"/>
    <w:rsid w:val="00A43D8A"/>
    <w:rsid w:val="00A460A7"/>
    <w:rsid w:val="00A51240"/>
    <w:rsid w:val="00A55A61"/>
    <w:rsid w:val="00A5662E"/>
    <w:rsid w:val="00A56636"/>
    <w:rsid w:val="00A62E3C"/>
    <w:rsid w:val="00A74895"/>
    <w:rsid w:val="00A83F2E"/>
    <w:rsid w:val="00AA2168"/>
    <w:rsid w:val="00AA390C"/>
    <w:rsid w:val="00AC23A1"/>
    <w:rsid w:val="00AC7022"/>
    <w:rsid w:val="00AC7DAD"/>
    <w:rsid w:val="00AD12D5"/>
    <w:rsid w:val="00B0200A"/>
    <w:rsid w:val="00B0790B"/>
    <w:rsid w:val="00B100CB"/>
    <w:rsid w:val="00B3405D"/>
    <w:rsid w:val="00B50197"/>
    <w:rsid w:val="00B574DB"/>
    <w:rsid w:val="00B7457C"/>
    <w:rsid w:val="00B80100"/>
    <w:rsid w:val="00B826C2"/>
    <w:rsid w:val="00B8298E"/>
    <w:rsid w:val="00B85166"/>
    <w:rsid w:val="00BB0F3F"/>
    <w:rsid w:val="00BB33A7"/>
    <w:rsid w:val="00BB60D2"/>
    <w:rsid w:val="00BD0723"/>
    <w:rsid w:val="00BD2518"/>
    <w:rsid w:val="00BE1096"/>
    <w:rsid w:val="00BF1D1C"/>
    <w:rsid w:val="00BF38D9"/>
    <w:rsid w:val="00C052D6"/>
    <w:rsid w:val="00C066E5"/>
    <w:rsid w:val="00C163C4"/>
    <w:rsid w:val="00C20232"/>
    <w:rsid w:val="00C20C59"/>
    <w:rsid w:val="00C2727F"/>
    <w:rsid w:val="00C52B29"/>
    <w:rsid w:val="00C55B1F"/>
    <w:rsid w:val="00C60A67"/>
    <w:rsid w:val="00C62A03"/>
    <w:rsid w:val="00C63EC9"/>
    <w:rsid w:val="00C656AF"/>
    <w:rsid w:val="00C72F08"/>
    <w:rsid w:val="00C840B7"/>
    <w:rsid w:val="00C84EE3"/>
    <w:rsid w:val="00C93AFE"/>
    <w:rsid w:val="00C973D1"/>
    <w:rsid w:val="00CA05F9"/>
    <w:rsid w:val="00CC7344"/>
    <w:rsid w:val="00CD5B92"/>
    <w:rsid w:val="00CD7A2B"/>
    <w:rsid w:val="00CE3F59"/>
    <w:rsid w:val="00CE776F"/>
    <w:rsid w:val="00CF1A67"/>
    <w:rsid w:val="00CF514B"/>
    <w:rsid w:val="00D040A3"/>
    <w:rsid w:val="00D044B1"/>
    <w:rsid w:val="00D2750E"/>
    <w:rsid w:val="00D44A5F"/>
    <w:rsid w:val="00D602D9"/>
    <w:rsid w:val="00D62446"/>
    <w:rsid w:val="00D71218"/>
    <w:rsid w:val="00DA41A1"/>
    <w:rsid w:val="00DA4EA2"/>
    <w:rsid w:val="00DA5827"/>
    <w:rsid w:val="00DA71C6"/>
    <w:rsid w:val="00DB23F6"/>
    <w:rsid w:val="00DB60D8"/>
    <w:rsid w:val="00DB7057"/>
    <w:rsid w:val="00DC1C77"/>
    <w:rsid w:val="00DC3D3E"/>
    <w:rsid w:val="00DE2C90"/>
    <w:rsid w:val="00DE3B24"/>
    <w:rsid w:val="00DE4701"/>
    <w:rsid w:val="00DF53CD"/>
    <w:rsid w:val="00E004D5"/>
    <w:rsid w:val="00E06947"/>
    <w:rsid w:val="00E17E7A"/>
    <w:rsid w:val="00E3592D"/>
    <w:rsid w:val="00E35B53"/>
    <w:rsid w:val="00E43D9F"/>
    <w:rsid w:val="00E53910"/>
    <w:rsid w:val="00E572E0"/>
    <w:rsid w:val="00E61456"/>
    <w:rsid w:val="00E63CC5"/>
    <w:rsid w:val="00E74EFC"/>
    <w:rsid w:val="00E75B60"/>
    <w:rsid w:val="00E86B4E"/>
    <w:rsid w:val="00E92DE8"/>
    <w:rsid w:val="00E97F3C"/>
    <w:rsid w:val="00EB1212"/>
    <w:rsid w:val="00EB3FD3"/>
    <w:rsid w:val="00EB46DA"/>
    <w:rsid w:val="00EC6B86"/>
    <w:rsid w:val="00ED4196"/>
    <w:rsid w:val="00ED57EF"/>
    <w:rsid w:val="00ED65AB"/>
    <w:rsid w:val="00ED6FFA"/>
    <w:rsid w:val="00F039B6"/>
    <w:rsid w:val="00F12850"/>
    <w:rsid w:val="00F17182"/>
    <w:rsid w:val="00F33BF4"/>
    <w:rsid w:val="00F360FA"/>
    <w:rsid w:val="00F41EC6"/>
    <w:rsid w:val="00F4402B"/>
    <w:rsid w:val="00F63158"/>
    <w:rsid w:val="00F7105E"/>
    <w:rsid w:val="00F71F88"/>
    <w:rsid w:val="00F740EF"/>
    <w:rsid w:val="00F7447E"/>
    <w:rsid w:val="00F75F57"/>
    <w:rsid w:val="00F82FEE"/>
    <w:rsid w:val="00FB3CAD"/>
    <w:rsid w:val="00FB47DF"/>
    <w:rsid w:val="00FC061F"/>
    <w:rsid w:val="00FD57D3"/>
    <w:rsid w:val="00FE5EC8"/>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D77E12D"/>
  <w15:docId w15:val="{F8DF0E43-50B1-40DA-9C74-6B0B85554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D00"/>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0B0D00"/>
    <w:pPr>
      <w:keepNext/>
      <w:keepLines/>
      <w:spacing w:before="480"/>
      <w:ind w:left="567" w:hanging="567"/>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link w:val="FooterChar"/>
    <w:rsid w:val="000B0D00"/>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0B0D00"/>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567"/>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tabs>
        <w:tab w:val="left" w:pos="709"/>
      </w:tabs>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clear" w:pos="567"/>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qFormat/>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customStyle="1" w:styleId="HeaderChar">
    <w:name w:val="Header Char"/>
    <w:basedOn w:val="DefaultParagraphFont"/>
    <w:link w:val="Header"/>
    <w:rsid w:val="00701C9A"/>
    <w:rPr>
      <w:rFonts w:ascii="Calibri" w:hAnsi="Calibri"/>
      <w:sz w:val="18"/>
      <w:lang w:val="es-ES_tradnl" w:eastAsia="en-US"/>
    </w:rPr>
  </w:style>
  <w:style w:type="paragraph" w:styleId="ListParagraph">
    <w:name w:val="List Paragraph"/>
    <w:basedOn w:val="Normal"/>
    <w:uiPriority w:val="34"/>
    <w:qFormat/>
    <w:rsid w:val="00390BF8"/>
    <w:pPr>
      <w:widowControl w:val="0"/>
      <w:tabs>
        <w:tab w:val="clear" w:pos="567"/>
        <w:tab w:val="clear" w:pos="1134"/>
        <w:tab w:val="clear" w:pos="1701"/>
        <w:tab w:val="clear" w:pos="2268"/>
        <w:tab w:val="clear" w:pos="2835"/>
      </w:tabs>
      <w:kinsoku w:val="0"/>
      <w:overflowPunct/>
      <w:autoSpaceDE/>
      <w:autoSpaceDN/>
      <w:adjustRightInd/>
      <w:spacing w:before="0"/>
      <w:ind w:left="720"/>
      <w:contextualSpacing/>
      <w:textAlignment w:val="auto"/>
    </w:pPr>
    <w:rPr>
      <w:rFonts w:ascii="Times New Roman" w:eastAsia="SimSun" w:hAnsi="Times New Roman"/>
      <w:szCs w:val="24"/>
      <w:lang w:val="en-US" w:eastAsia="zh-CN"/>
    </w:rPr>
  </w:style>
  <w:style w:type="character" w:customStyle="1" w:styleId="FooterChar">
    <w:name w:val="Footer Char"/>
    <w:link w:val="Footer"/>
    <w:locked/>
    <w:rsid w:val="00713B22"/>
    <w:rPr>
      <w:rFonts w:ascii="Calibri" w:hAnsi="Calibri"/>
      <w:caps/>
      <w:noProof/>
      <w:sz w:val="16"/>
      <w:lang w:val="es-ES_tradnl" w:eastAsia="en-US"/>
    </w:rPr>
  </w:style>
  <w:style w:type="paragraph" w:styleId="BodyText">
    <w:name w:val="Body Text"/>
    <w:basedOn w:val="Normal"/>
    <w:link w:val="BodyTextChar"/>
    <w:uiPriority w:val="1"/>
    <w:qFormat/>
    <w:rsid w:val="00713B22"/>
    <w:pPr>
      <w:tabs>
        <w:tab w:val="clear" w:pos="1134"/>
        <w:tab w:val="clear" w:pos="1701"/>
        <w:tab w:val="clear" w:pos="2268"/>
        <w:tab w:val="clear" w:pos="2835"/>
      </w:tabs>
      <w:overflowPunct/>
      <w:autoSpaceDE/>
      <w:autoSpaceDN/>
      <w:adjustRightInd/>
      <w:spacing w:before="0" w:line="360" w:lineRule="auto"/>
      <w:jc w:val="both"/>
      <w:textAlignment w:val="auto"/>
    </w:pPr>
    <w:rPr>
      <w:rFonts w:ascii="Arial" w:hAnsi="Arial"/>
      <w:sz w:val="20"/>
      <w:lang w:val="en-GB"/>
    </w:rPr>
  </w:style>
  <w:style w:type="character" w:customStyle="1" w:styleId="BodyTextChar">
    <w:name w:val="Body Text Char"/>
    <w:basedOn w:val="DefaultParagraphFont"/>
    <w:link w:val="BodyText"/>
    <w:uiPriority w:val="1"/>
    <w:rsid w:val="00713B22"/>
    <w:rPr>
      <w:rFonts w:ascii="Arial" w:hAnsi="Arial"/>
      <w:lang w:val="en-GB" w:eastAsia="en-US"/>
    </w:rPr>
  </w:style>
  <w:style w:type="character" w:styleId="CommentReference">
    <w:name w:val="annotation reference"/>
    <w:uiPriority w:val="99"/>
    <w:semiHidden/>
    <w:rsid w:val="00713B22"/>
    <w:rPr>
      <w:rFonts w:cs="Times New Roman"/>
      <w:sz w:val="16"/>
      <w:szCs w:val="16"/>
    </w:rPr>
  </w:style>
  <w:style w:type="paragraph" w:styleId="CommentText">
    <w:name w:val="annotation text"/>
    <w:basedOn w:val="Normal"/>
    <w:link w:val="CommentTextChar"/>
    <w:uiPriority w:val="99"/>
    <w:semiHidden/>
    <w:rsid w:val="00713B22"/>
    <w:pPr>
      <w:tabs>
        <w:tab w:val="clear" w:pos="567"/>
        <w:tab w:val="clear" w:pos="1134"/>
        <w:tab w:val="clear" w:pos="1701"/>
        <w:tab w:val="clear" w:pos="2268"/>
        <w:tab w:val="clear" w:pos="2835"/>
      </w:tabs>
      <w:overflowPunct/>
      <w:autoSpaceDE/>
      <w:autoSpaceDN/>
      <w:adjustRightInd/>
      <w:spacing w:before="0"/>
      <w:textAlignment w:val="auto"/>
    </w:pPr>
    <w:rPr>
      <w:rFonts w:ascii="Arial" w:hAnsi="Arial"/>
      <w:sz w:val="20"/>
      <w:lang w:val="en-GB"/>
    </w:rPr>
  </w:style>
  <w:style w:type="character" w:customStyle="1" w:styleId="CommentTextChar">
    <w:name w:val="Comment Text Char"/>
    <w:basedOn w:val="DefaultParagraphFont"/>
    <w:link w:val="CommentText"/>
    <w:uiPriority w:val="99"/>
    <w:semiHidden/>
    <w:rsid w:val="00713B22"/>
    <w:rPr>
      <w:rFonts w:ascii="Arial" w:hAnsi="Arial"/>
      <w:lang w:val="en-GB" w:eastAsia="en-US"/>
    </w:rPr>
  </w:style>
  <w:style w:type="paragraph" w:styleId="Revision">
    <w:name w:val="Revision"/>
    <w:hidden/>
    <w:uiPriority w:val="99"/>
    <w:semiHidden/>
    <w:rsid w:val="002F126A"/>
    <w:rPr>
      <w:rFonts w:ascii="Calibri" w:hAnsi="Calibri"/>
      <w:sz w:val="24"/>
      <w:lang w:val="es-ES_tradnl" w:eastAsia="en-US"/>
    </w:rPr>
  </w:style>
  <w:style w:type="paragraph" w:styleId="BalloonText">
    <w:name w:val="Balloon Text"/>
    <w:basedOn w:val="Normal"/>
    <w:link w:val="BalloonTextChar"/>
    <w:semiHidden/>
    <w:unhideWhenUsed/>
    <w:rsid w:val="002F126A"/>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F126A"/>
    <w:rPr>
      <w:rFonts w:ascii="Segoe UI" w:hAnsi="Segoe UI" w:cs="Segoe UI"/>
      <w:sz w:val="18"/>
      <w:szCs w:val="18"/>
      <w:lang w:val="es-ES_tradnl" w:eastAsia="en-US"/>
    </w:rPr>
  </w:style>
  <w:style w:type="table" w:styleId="TableGrid">
    <w:name w:val="Table Grid"/>
    <w:basedOn w:val="TableNormal"/>
    <w:rsid w:val="00E86B4E"/>
    <w:rPr>
      <w:rFonts w:asciiTheme="minorHAnsi" w:eastAsiaTheme="minorEastAsia"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locked/>
    <w:rsid w:val="00DA5827"/>
    <w:rPr>
      <w:rFonts w:ascii="Calibri" w:eastAsia="Calibri" w:hAnsi="Calibri" w:cs="Calibri"/>
      <w:b/>
      <w:bCs/>
      <w:sz w:val="82"/>
      <w:szCs w:val="82"/>
      <w:shd w:val="clear" w:color="auto" w:fill="FFFFFF"/>
    </w:rPr>
  </w:style>
  <w:style w:type="paragraph" w:customStyle="1" w:styleId="Bodytext20">
    <w:name w:val="Body text (2)"/>
    <w:basedOn w:val="Normal"/>
    <w:link w:val="Bodytext2"/>
    <w:rsid w:val="00DA5827"/>
    <w:pPr>
      <w:widowControl w:val="0"/>
      <w:shd w:val="clear" w:color="auto" w:fill="FFFFFF"/>
      <w:tabs>
        <w:tab w:val="clear" w:pos="567"/>
        <w:tab w:val="clear" w:pos="1134"/>
        <w:tab w:val="clear" w:pos="1701"/>
        <w:tab w:val="clear" w:pos="2268"/>
        <w:tab w:val="clear" w:pos="2835"/>
      </w:tabs>
      <w:overflowPunct/>
      <w:autoSpaceDE/>
      <w:autoSpaceDN/>
      <w:adjustRightInd/>
      <w:spacing w:before="0" w:after="1440" w:line="0" w:lineRule="atLeast"/>
      <w:jc w:val="center"/>
      <w:textAlignment w:val="auto"/>
    </w:pPr>
    <w:rPr>
      <w:rFonts w:eastAsia="Calibri" w:cs="Calibri"/>
      <w:b/>
      <w:bCs/>
      <w:sz w:val="82"/>
      <w:szCs w:val="82"/>
      <w:lang w:val="en-US" w:eastAsia="zh-CN"/>
    </w:rPr>
  </w:style>
  <w:style w:type="character" w:customStyle="1" w:styleId="Bodytext0">
    <w:name w:val="Body text_"/>
    <w:basedOn w:val="DefaultParagraphFont"/>
    <w:link w:val="BodyText1"/>
    <w:locked/>
    <w:rsid w:val="00DA5827"/>
    <w:rPr>
      <w:rFonts w:ascii="Calibri" w:eastAsia="Calibri" w:hAnsi="Calibri" w:cs="Calibri"/>
      <w:sz w:val="69"/>
      <w:szCs w:val="69"/>
      <w:shd w:val="clear" w:color="auto" w:fill="FFFFFF"/>
    </w:rPr>
  </w:style>
  <w:style w:type="paragraph" w:customStyle="1" w:styleId="BodyText1">
    <w:name w:val="Body Text1"/>
    <w:basedOn w:val="Normal"/>
    <w:link w:val="Bodytext0"/>
    <w:rsid w:val="00DA5827"/>
    <w:pPr>
      <w:widowControl w:val="0"/>
      <w:shd w:val="clear" w:color="auto" w:fill="FFFFFF"/>
      <w:tabs>
        <w:tab w:val="clear" w:pos="567"/>
        <w:tab w:val="clear" w:pos="1134"/>
        <w:tab w:val="clear" w:pos="1701"/>
        <w:tab w:val="clear" w:pos="2268"/>
        <w:tab w:val="clear" w:pos="2835"/>
      </w:tabs>
      <w:overflowPunct/>
      <w:autoSpaceDE/>
      <w:autoSpaceDN/>
      <w:adjustRightInd/>
      <w:spacing w:before="180" w:after="300" w:line="893" w:lineRule="exact"/>
      <w:ind w:hanging="1080"/>
      <w:jc w:val="both"/>
      <w:textAlignment w:val="auto"/>
    </w:pPr>
    <w:rPr>
      <w:rFonts w:eastAsia="Calibri" w:cs="Calibri"/>
      <w:sz w:val="69"/>
      <w:szCs w:val="69"/>
      <w:lang w:val="en-US" w:eastAsia="zh-CN"/>
    </w:rPr>
  </w:style>
  <w:style w:type="character" w:customStyle="1" w:styleId="Bodytext3">
    <w:name w:val="Body text (3)_"/>
    <w:basedOn w:val="DefaultParagraphFont"/>
    <w:link w:val="Bodytext30"/>
    <w:locked/>
    <w:rsid w:val="00DA5827"/>
    <w:rPr>
      <w:rFonts w:ascii="Calibri" w:eastAsia="Calibri" w:hAnsi="Calibri" w:cs="Calibri"/>
      <w:b/>
      <w:bCs/>
      <w:sz w:val="69"/>
      <w:szCs w:val="69"/>
      <w:shd w:val="clear" w:color="auto" w:fill="FFFFFF"/>
    </w:rPr>
  </w:style>
  <w:style w:type="paragraph" w:customStyle="1" w:styleId="Bodytext30">
    <w:name w:val="Body text (3)"/>
    <w:basedOn w:val="Normal"/>
    <w:link w:val="Bodytext3"/>
    <w:rsid w:val="00DA5827"/>
    <w:pPr>
      <w:widowControl w:val="0"/>
      <w:shd w:val="clear" w:color="auto" w:fill="FFFFFF"/>
      <w:tabs>
        <w:tab w:val="clear" w:pos="567"/>
        <w:tab w:val="clear" w:pos="1134"/>
        <w:tab w:val="clear" w:pos="1701"/>
        <w:tab w:val="clear" w:pos="2268"/>
        <w:tab w:val="clear" w:pos="2835"/>
      </w:tabs>
      <w:overflowPunct/>
      <w:autoSpaceDE/>
      <w:autoSpaceDN/>
      <w:adjustRightInd/>
      <w:spacing w:before="1680" w:after="720" w:line="0" w:lineRule="atLeast"/>
      <w:jc w:val="both"/>
      <w:textAlignment w:val="auto"/>
    </w:pPr>
    <w:rPr>
      <w:rFonts w:eastAsia="Calibri" w:cs="Calibri"/>
      <w:b/>
      <w:bCs/>
      <w:sz w:val="69"/>
      <w:szCs w:val="69"/>
      <w:lang w:val="en-US" w:eastAsia="zh-CN"/>
    </w:rPr>
  </w:style>
  <w:style w:type="character" w:customStyle="1" w:styleId="Heading10">
    <w:name w:val="Heading #1_"/>
    <w:basedOn w:val="DefaultParagraphFont"/>
    <w:link w:val="Heading11"/>
    <w:locked/>
    <w:rsid w:val="00DA5827"/>
    <w:rPr>
      <w:rFonts w:ascii="Calibri" w:eastAsia="Calibri" w:hAnsi="Calibri" w:cs="Calibri"/>
      <w:b/>
      <w:bCs/>
      <w:sz w:val="69"/>
      <w:szCs w:val="69"/>
      <w:shd w:val="clear" w:color="auto" w:fill="FFFFFF"/>
    </w:rPr>
  </w:style>
  <w:style w:type="paragraph" w:customStyle="1" w:styleId="Heading11">
    <w:name w:val="Heading #1"/>
    <w:basedOn w:val="Normal"/>
    <w:link w:val="Heading10"/>
    <w:rsid w:val="00DA5827"/>
    <w:pPr>
      <w:widowControl w:val="0"/>
      <w:shd w:val="clear" w:color="auto" w:fill="FFFFFF"/>
      <w:tabs>
        <w:tab w:val="clear" w:pos="567"/>
        <w:tab w:val="clear" w:pos="1134"/>
        <w:tab w:val="clear" w:pos="1701"/>
        <w:tab w:val="clear" w:pos="2268"/>
        <w:tab w:val="clear" w:pos="2835"/>
      </w:tabs>
      <w:overflowPunct/>
      <w:autoSpaceDE/>
      <w:autoSpaceDN/>
      <w:adjustRightInd/>
      <w:spacing w:before="1560" w:after="720" w:line="0" w:lineRule="atLeast"/>
      <w:jc w:val="both"/>
      <w:textAlignment w:val="auto"/>
      <w:outlineLvl w:val="0"/>
    </w:pPr>
    <w:rPr>
      <w:rFonts w:eastAsia="Calibri" w:cs="Calibri"/>
      <w:b/>
      <w:bCs/>
      <w:sz w:val="69"/>
      <w:szCs w:val="69"/>
      <w:lang w:val="en-US" w:eastAsia="zh-CN"/>
    </w:rPr>
  </w:style>
  <w:style w:type="paragraph" w:customStyle="1" w:styleId="BodyText21">
    <w:name w:val="Body Text2"/>
    <w:basedOn w:val="Normal"/>
    <w:rsid w:val="00DA5827"/>
    <w:pPr>
      <w:widowControl w:val="0"/>
      <w:shd w:val="clear" w:color="auto" w:fill="FFFFFF"/>
      <w:tabs>
        <w:tab w:val="clear" w:pos="567"/>
        <w:tab w:val="clear" w:pos="1134"/>
        <w:tab w:val="clear" w:pos="1701"/>
        <w:tab w:val="clear" w:pos="2268"/>
        <w:tab w:val="clear" w:pos="2835"/>
      </w:tabs>
      <w:overflowPunct/>
      <w:autoSpaceDE/>
      <w:autoSpaceDN/>
      <w:adjustRightInd/>
      <w:spacing w:before="180" w:after="300" w:line="893" w:lineRule="exact"/>
      <w:ind w:hanging="1080"/>
      <w:jc w:val="both"/>
      <w:textAlignment w:val="auto"/>
    </w:pPr>
    <w:rPr>
      <w:rFonts w:eastAsia="Calibri" w:cs="Calibri"/>
      <w:color w:val="000000"/>
      <w:sz w:val="69"/>
      <w:szCs w:val="69"/>
      <w:lang w:val="en-GB" w:eastAsia="zh-CN"/>
    </w:rPr>
  </w:style>
  <w:style w:type="character" w:customStyle="1" w:styleId="Bodytext4">
    <w:name w:val="Body text (4)_"/>
    <w:basedOn w:val="DefaultParagraphFont"/>
    <w:link w:val="Bodytext40"/>
    <w:locked/>
    <w:rsid w:val="00DA5827"/>
    <w:rPr>
      <w:rFonts w:ascii="Calibri" w:eastAsia="Calibri" w:hAnsi="Calibri" w:cs="Calibri"/>
      <w:b/>
      <w:bCs/>
      <w:sz w:val="60"/>
      <w:szCs w:val="60"/>
      <w:shd w:val="clear" w:color="auto" w:fill="FFFFFF"/>
    </w:rPr>
  </w:style>
  <w:style w:type="paragraph" w:customStyle="1" w:styleId="Bodytext40">
    <w:name w:val="Body text (4)"/>
    <w:basedOn w:val="Normal"/>
    <w:link w:val="Bodytext4"/>
    <w:rsid w:val="00DA5827"/>
    <w:pPr>
      <w:widowControl w:val="0"/>
      <w:shd w:val="clear" w:color="auto" w:fill="FFFFFF"/>
      <w:tabs>
        <w:tab w:val="clear" w:pos="567"/>
        <w:tab w:val="clear" w:pos="1134"/>
        <w:tab w:val="clear" w:pos="1701"/>
        <w:tab w:val="clear" w:pos="2268"/>
        <w:tab w:val="clear" w:pos="2835"/>
      </w:tabs>
      <w:overflowPunct/>
      <w:autoSpaceDE/>
      <w:autoSpaceDN/>
      <w:adjustRightInd/>
      <w:spacing w:before="1740" w:after="720" w:line="0" w:lineRule="atLeast"/>
      <w:jc w:val="both"/>
      <w:textAlignment w:val="auto"/>
    </w:pPr>
    <w:rPr>
      <w:rFonts w:eastAsia="Calibri" w:cs="Calibri"/>
      <w:b/>
      <w:bCs/>
      <w:sz w:val="60"/>
      <w:szCs w:val="60"/>
      <w:lang w:val="en-US" w:eastAsia="zh-CN"/>
    </w:rPr>
  </w:style>
  <w:style w:type="character" w:customStyle="1" w:styleId="Bodytext236pt">
    <w:name w:val="Body text (2) + 36 pt"/>
    <w:aliases w:val="Body text + Italic,Spacing 0 pt_0"/>
    <w:basedOn w:val="Bodytext2"/>
    <w:rsid w:val="00DA5827"/>
    <w:rPr>
      <w:rFonts w:ascii="Calibri" w:eastAsia="Calibri" w:hAnsi="Calibri" w:cs="Calibri"/>
      <w:b/>
      <w:bCs/>
      <w:color w:val="000000"/>
      <w:spacing w:val="10"/>
      <w:w w:val="100"/>
      <w:position w:val="0"/>
      <w:sz w:val="72"/>
      <w:szCs w:val="72"/>
      <w:shd w:val="clear" w:color="auto" w:fill="FFFFFF"/>
      <w:lang w:val="en-GB"/>
    </w:rPr>
  </w:style>
  <w:style w:type="character" w:customStyle="1" w:styleId="Bodytext305pt">
    <w:name w:val="Body text + 30.5 pt"/>
    <w:aliases w:val="Bold,Spacing -6 pt"/>
    <w:basedOn w:val="Bodytext0"/>
    <w:rsid w:val="00DA5827"/>
    <w:rPr>
      <w:rFonts w:ascii="Calibri" w:eastAsia="Calibri" w:hAnsi="Calibri" w:cs="Calibri"/>
      <w:b/>
      <w:bCs/>
      <w:color w:val="000000"/>
      <w:spacing w:val="-120"/>
      <w:w w:val="100"/>
      <w:position w:val="0"/>
      <w:sz w:val="61"/>
      <w:szCs w:val="61"/>
      <w:shd w:val="clear" w:color="auto" w:fill="FFFFFF"/>
      <w:lang w:val="ar-SA"/>
    </w:rPr>
  </w:style>
  <w:style w:type="character" w:customStyle="1" w:styleId="Bodytext305pt0">
    <w:name w:val="Body text + 30.5 pt_0"/>
    <w:aliases w:val="Bold_0,Spacing -1 pt"/>
    <w:basedOn w:val="Bodytext0"/>
    <w:rsid w:val="00DA5827"/>
    <w:rPr>
      <w:rFonts w:ascii="Calibri" w:eastAsia="Calibri" w:hAnsi="Calibri" w:cs="Calibri"/>
      <w:b/>
      <w:bCs/>
      <w:color w:val="000000"/>
      <w:spacing w:val="-20"/>
      <w:w w:val="100"/>
      <w:position w:val="0"/>
      <w:sz w:val="61"/>
      <w:szCs w:val="61"/>
      <w:shd w:val="clear" w:color="auto" w:fill="FFFFFF"/>
      <w:lang w:val="ar-SA"/>
    </w:rPr>
  </w:style>
  <w:style w:type="character" w:customStyle="1" w:styleId="BodytextBold">
    <w:name w:val="Body text + Bold"/>
    <w:basedOn w:val="Bodytext0"/>
    <w:rsid w:val="00DA5827"/>
    <w:rPr>
      <w:rFonts w:ascii="Calibri" w:eastAsia="Calibri" w:hAnsi="Calibri" w:cs="Calibri"/>
      <w:b/>
      <w:bCs/>
      <w:color w:val="000000"/>
      <w:spacing w:val="0"/>
      <w:w w:val="100"/>
      <w:position w:val="0"/>
      <w:sz w:val="69"/>
      <w:szCs w:val="69"/>
      <w:shd w:val="clear" w:color="auto" w:fill="FFFFFF"/>
      <w:lang w:val="en-GB"/>
    </w:rPr>
  </w:style>
  <w:style w:type="character" w:customStyle="1" w:styleId="Bodytext330pt">
    <w:name w:val="Body text (3) + 30 pt"/>
    <w:basedOn w:val="Bodytext3"/>
    <w:rsid w:val="00DA5827"/>
    <w:rPr>
      <w:rFonts w:ascii="Calibri" w:eastAsia="Calibri" w:hAnsi="Calibri" w:cs="Calibri"/>
      <w:b/>
      <w:bCs/>
      <w:i w:val="0"/>
      <w:iCs w:val="0"/>
      <w:smallCaps w:val="0"/>
      <w:strike w:val="0"/>
      <w:dstrike w:val="0"/>
      <w:color w:val="000000"/>
      <w:spacing w:val="0"/>
      <w:w w:val="100"/>
      <w:position w:val="0"/>
      <w:sz w:val="60"/>
      <w:szCs w:val="60"/>
      <w:u w:val="none"/>
      <w:effect w:val="none"/>
      <w:shd w:val="clear" w:color="auto" w:fill="FFFFFF"/>
      <w:lang w:val="en-GB"/>
    </w:rPr>
  </w:style>
  <w:style w:type="character" w:customStyle="1" w:styleId="Bodytext3Exact">
    <w:name w:val="Body text (3) Exact"/>
    <w:basedOn w:val="DefaultParagraphFont"/>
    <w:rsid w:val="00DA5827"/>
    <w:rPr>
      <w:rFonts w:ascii="Calibri" w:eastAsia="Calibri" w:hAnsi="Calibri" w:cs="Calibri" w:hint="default"/>
      <w:b/>
      <w:bCs/>
      <w:i w:val="0"/>
      <w:iCs w:val="0"/>
      <w:smallCaps w:val="0"/>
      <w:strike w:val="0"/>
      <w:dstrike w:val="0"/>
      <w:spacing w:val="6"/>
      <w:sz w:val="65"/>
      <w:szCs w:val="65"/>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2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bguermazi@worldbank.org"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i_jiyp9sp32_16446ff62cbe3c3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weforum.org"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mailto:eun-ju.kim@itu.in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top\AppData\Roaming\Microsoft\Templates\POOL%20S%20-%20ITU\PS_C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C3EC4-978B-4EA4-B94C-C199A0C9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PS_C19.dotx</Template>
  <TotalTime>0</TotalTime>
  <Pages>24</Pages>
  <Words>7597</Words>
  <Characters>43418</Characters>
  <Application>Microsoft Office Word</Application>
  <DocSecurity>4</DocSecurity>
  <Lines>361</Lines>
  <Paragraphs>101</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50914</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Memorandos de entendimiento con repercusiones financieras y/o estratégicas</dc:title>
  <dc:subject>Consejo 2019</dc:subject>
  <dc:creator>Soto Pereira, Elena</dc:creator>
  <cp:keywords>C2019, C19</cp:keywords>
  <dc:description/>
  <cp:lastModifiedBy>Brouard, Ricarda</cp:lastModifiedBy>
  <cp:revision>2</cp:revision>
  <cp:lastPrinted>2019-05-22T07:34:00Z</cp:lastPrinted>
  <dcterms:created xsi:type="dcterms:W3CDTF">2019-05-22T15:44:00Z</dcterms:created>
  <dcterms:modified xsi:type="dcterms:W3CDTF">2019-05-22T15:44:00Z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