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886577" w:rsidRDefault="00BC7BC0" w:rsidP="00886577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en-US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886577">
              <w:rPr>
                <w:b/>
                <w:bCs/>
                <w:caps/>
                <w:color w:val="000000"/>
                <w:szCs w:val="22"/>
              </w:rPr>
              <w:t>ADM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886577">
              <w:rPr>
                <w:b/>
                <w:bCs/>
                <w:caps/>
                <w:szCs w:val="22"/>
                <w:lang w:val="en-US"/>
              </w:rPr>
              <w:t>12</w:t>
            </w:r>
          </w:p>
        </w:tc>
        <w:tc>
          <w:tcPr>
            <w:tcW w:w="3120" w:type="dxa"/>
          </w:tcPr>
          <w:p w:rsidR="00BC7BC0" w:rsidRPr="001E6719" w:rsidRDefault="00BC7BC0" w:rsidP="00886577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886577">
              <w:rPr>
                <w:b/>
                <w:bCs/>
                <w:szCs w:val="22"/>
                <w:lang w:val="en-US"/>
              </w:rPr>
              <w:t>59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886577" w:rsidP="0088657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 xml:space="preserve">31 </w:t>
            </w:r>
            <w:r>
              <w:rPr>
                <w:b/>
                <w:bCs/>
                <w:szCs w:val="22"/>
                <w:lang w:val="ru-RU"/>
              </w:rPr>
              <w:t>мая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BC7BC0" w:rsidP="00886577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886577">
              <w:rPr>
                <w:lang w:val="ru-RU"/>
              </w:rPr>
              <w:t>Записка</w:t>
            </w:r>
            <w:r w:rsidRPr="001E6719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1300C4">
        <w:trPr>
          <w:cantSplit/>
        </w:trPr>
        <w:tc>
          <w:tcPr>
            <w:tcW w:w="10031" w:type="dxa"/>
            <w:gridSpan w:val="2"/>
          </w:tcPr>
          <w:p w:rsidR="00BC7BC0" w:rsidRPr="00EB4FCB" w:rsidRDefault="00886577" w:rsidP="00886577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886577">
              <w:rPr>
                <w:lang w:val="ru-RU"/>
              </w:rPr>
              <w:t>проведение тендерА для выбора Внешнего аудитора</w:t>
            </w:r>
          </w:p>
        </w:tc>
      </w:tr>
      <w:tr w:rsidR="001300C4" w:rsidRPr="001300C4">
        <w:trPr>
          <w:cantSplit/>
        </w:trPr>
        <w:tc>
          <w:tcPr>
            <w:tcW w:w="10031" w:type="dxa"/>
            <w:gridSpan w:val="2"/>
          </w:tcPr>
          <w:p w:rsidR="001300C4" w:rsidRPr="00886577" w:rsidRDefault="001300C4" w:rsidP="001300C4">
            <w:pPr>
              <w:pStyle w:val="Title2"/>
              <w:rPr>
                <w:lang w:val="ru-RU"/>
              </w:rPr>
            </w:pPr>
          </w:p>
        </w:tc>
      </w:tr>
    </w:tbl>
    <w:bookmarkEnd w:id="2"/>
    <w:p w:rsidR="002D2F57" w:rsidRDefault="00886577" w:rsidP="00886577">
      <w:pPr>
        <w:pStyle w:val="Normalaftertitle"/>
        <w:rPr>
          <w:lang w:val="ru-RU"/>
        </w:rPr>
      </w:pPr>
      <w:r w:rsidRPr="009A4DC3">
        <w:rPr>
          <w:lang w:val="ru-RU"/>
        </w:rPr>
        <w:t>Имею честь направить Государствам – Членам Совета отчет Комитета по оценке для выбора Внешнего аудитора.</w:t>
      </w:r>
      <w:r w:rsidR="00071606">
        <w:rPr>
          <w:lang w:val="ru-RU"/>
        </w:rPr>
        <w:t xml:space="preserve"> </w:t>
      </w:r>
    </w:p>
    <w:p w:rsidR="00886577" w:rsidRPr="00637041" w:rsidRDefault="00886577" w:rsidP="0088657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637041">
        <w:rPr>
          <w:lang w:val="ru-RU"/>
        </w:rPr>
        <w:tab/>
      </w:r>
      <w:r w:rsidRPr="00637041">
        <w:rPr>
          <w:color w:val="000000"/>
          <w:lang w:val="ru-RU"/>
        </w:rPr>
        <w:t>Хоулинь ЧЖАО</w:t>
      </w:r>
      <w:r w:rsidRPr="00637041">
        <w:rPr>
          <w:color w:val="000000"/>
          <w:lang w:val="ru-RU"/>
        </w:rPr>
        <w:br/>
      </w:r>
      <w:r w:rsidRPr="00637041">
        <w:rPr>
          <w:lang w:val="ru-RU"/>
        </w:rPr>
        <w:tab/>
      </w:r>
      <w:r w:rsidRPr="00637041">
        <w:rPr>
          <w:color w:val="000000"/>
          <w:lang w:val="ru-RU"/>
        </w:rPr>
        <w:t>Генеральный секретарь</w:t>
      </w:r>
      <w:r w:rsidRPr="00637041">
        <w:rPr>
          <w:lang w:val="ru-RU"/>
        </w:rPr>
        <w:t xml:space="preserve"> </w:t>
      </w:r>
    </w:p>
    <w:p w:rsidR="00886577" w:rsidRPr="00886577" w:rsidRDefault="00886577" w:rsidP="00886577">
      <w:pPr>
        <w:rPr>
          <w:lang w:val="ru-RU"/>
        </w:rPr>
      </w:pPr>
      <w:r w:rsidRPr="00886577">
        <w:rPr>
          <w:lang w:val="ru-RU"/>
        </w:rPr>
        <w:br w:type="page"/>
      </w:r>
    </w:p>
    <w:p w:rsidR="00886577" w:rsidRPr="009A4DC3" w:rsidRDefault="00886577" w:rsidP="00F3081C">
      <w:pPr>
        <w:pStyle w:val="Annextitle"/>
        <w:rPr>
          <w:lang w:val="ru-RU"/>
        </w:rPr>
      </w:pPr>
      <w:r w:rsidRPr="009A4DC3">
        <w:rPr>
          <w:lang w:val="ru-RU"/>
        </w:rPr>
        <w:lastRenderedPageBreak/>
        <w:t xml:space="preserve">Отчет Комитета по оценке </w:t>
      </w:r>
    </w:p>
    <w:p w:rsidR="00886577" w:rsidRPr="009A4DC3" w:rsidRDefault="00886577" w:rsidP="00886577">
      <w:pPr>
        <w:pStyle w:val="Title1"/>
        <w:rPr>
          <w:lang w:val="ru-RU"/>
        </w:rPr>
      </w:pPr>
      <w:r w:rsidRPr="009A4DC3">
        <w:rPr>
          <w:lang w:val="ru-RU"/>
        </w:rPr>
        <w:t>проведение тендерА для выбора Внешнего аудитора</w:t>
      </w:r>
    </w:p>
    <w:p w:rsidR="00886577" w:rsidRPr="00886577" w:rsidRDefault="00886577" w:rsidP="0088657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1300C4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Резюме</w:t>
            </w:r>
          </w:p>
          <w:p w:rsidR="002D2F57" w:rsidRPr="008E235D" w:rsidRDefault="00886577" w:rsidP="00F3081C">
            <w:pPr>
              <w:rPr>
                <w:szCs w:val="22"/>
                <w:lang w:val="ru-RU"/>
              </w:rPr>
            </w:pPr>
            <w:r w:rsidRPr="00886577">
              <w:rPr>
                <w:szCs w:val="22"/>
                <w:lang w:val="ru-RU"/>
              </w:rPr>
              <w:t>В настоящем отчете излагаются результаты работы Комитета по оценке для выбора Внешнего аудитора МСЭ. В нем содержится анализ процесса тендера, проведенного Генеральным секретарем, а также работы по оценке</w:t>
            </w:r>
            <w:r w:rsidR="00F3081C">
              <w:rPr>
                <w:szCs w:val="22"/>
                <w:lang w:val="ru-RU"/>
              </w:rPr>
              <w:t>, выполненной</w:t>
            </w:r>
            <w:r w:rsidRPr="00886577">
              <w:rPr>
                <w:szCs w:val="22"/>
                <w:lang w:val="ru-RU"/>
              </w:rPr>
              <w:t xml:space="preserve"> Коми</w:t>
            </w:r>
            <w:r w:rsidR="00F91CDA">
              <w:rPr>
                <w:szCs w:val="22"/>
                <w:lang w:val="ru-RU"/>
              </w:rPr>
              <w:t>тет</w:t>
            </w:r>
            <w:r w:rsidR="00F3081C">
              <w:rPr>
                <w:szCs w:val="22"/>
                <w:lang w:val="ru-RU"/>
              </w:rPr>
              <w:t>ом</w:t>
            </w:r>
            <w:r w:rsidR="00F91CDA">
              <w:rPr>
                <w:szCs w:val="22"/>
                <w:lang w:val="ru-RU"/>
              </w:rPr>
              <w:t xml:space="preserve"> в составе делегатов от шести</w:t>
            </w:r>
            <w:r w:rsidRPr="00886577">
              <w:rPr>
                <w:szCs w:val="22"/>
                <w:lang w:val="ru-RU"/>
              </w:rPr>
              <w:t xml:space="preserve"> Государств-Членов</w:t>
            </w:r>
            <w:r w:rsidR="00F3081C">
              <w:rPr>
                <w:szCs w:val="22"/>
                <w:lang w:val="ru-RU"/>
              </w:rPr>
              <w:t>,</w:t>
            </w:r>
            <w:r w:rsidRPr="00886577">
              <w:rPr>
                <w:szCs w:val="22"/>
                <w:lang w:val="ru-RU"/>
              </w:rPr>
              <w:t xml:space="preserve"> для выбора Внешнего аудитора МСЭ.</w:t>
            </w:r>
            <w:r w:rsidR="008E235D" w:rsidRPr="008E235D">
              <w:rPr>
                <w:szCs w:val="22"/>
                <w:lang w:val="ru-RU"/>
              </w:rPr>
              <w:t xml:space="preserve"> </w:t>
            </w:r>
          </w:p>
          <w:p w:rsidR="002D2F57" w:rsidRPr="001E6719" w:rsidRDefault="002D2F57" w:rsidP="00E55121">
            <w:pPr>
              <w:pStyle w:val="Headingb"/>
              <w:rPr>
                <w:lang w:val="ru-RU"/>
              </w:rPr>
            </w:pPr>
            <w:r w:rsidRPr="00EB4FCB">
              <w:rPr>
                <w:lang w:val="ru-RU"/>
              </w:rPr>
              <w:t>Необходимые</w:t>
            </w:r>
            <w:r w:rsidRPr="001E6719">
              <w:rPr>
                <w:lang w:val="ru-RU"/>
              </w:rPr>
              <w:t xml:space="preserve"> </w:t>
            </w:r>
            <w:r w:rsidR="00F5225B" w:rsidRPr="001E6719">
              <w:rPr>
                <w:lang w:val="ru-RU"/>
              </w:rPr>
              <w:t>действия</w:t>
            </w:r>
          </w:p>
          <w:p w:rsidR="002D2F57" w:rsidRPr="001E6719" w:rsidRDefault="00886577" w:rsidP="00886577">
            <w:pPr>
              <w:rPr>
                <w:szCs w:val="22"/>
                <w:lang w:val="ru-RU"/>
              </w:rPr>
            </w:pPr>
            <w:r w:rsidRPr="00886577">
              <w:rPr>
                <w:szCs w:val="22"/>
                <w:lang w:val="ru-RU"/>
              </w:rPr>
              <w:t xml:space="preserve">Совету предлагается </w:t>
            </w:r>
            <w:r w:rsidRPr="00886577">
              <w:rPr>
                <w:b/>
                <w:bCs/>
                <w:szCs w:val="22"/>
                <w:lang w:val="ru-RU"/>
              </w:rPr>
              <w:t>принять к сведению</w:t>
            </w:r>
            <w:r w:rsidRPr="00886577">
              <w:rPr>
                <w:szCs w:val="22"/>
                <w:lang w:val="ru-RU"/>
              </w:rPr>
              <w:t xml:space="preserve"> содержание настоящего отчета и </w:t>
            </w:r>
            <w:r w:rsidRPr="00886577">
              <w:rPr>
                <w:b/>
                <w:bCs/>
                <w:szCs w:val="22"/>
                <w:lang w:val="ru-RU"/>
              </w:rPr>
              <w:t>принять</w:t>
            </w:r>
            <w:r w:rsidR="0060785A">
              <w:rPr>
                <w:szCs w:val="22"/>
                <w:lang w:val="ru-RU"/>
              </w:rPr>
              <w:t xml:space="preserve"> проект Решения, содержащийся в</w:t>
            </w:r>
            <w:r w:rsidRPr="00886577">
              <w:rPr>
                <w:szCs w:val="22"/>
                <w:lang w:val="ru-RU"/>
              </w:rPr>
              <w:t xml:space="preserve"> Приложении </w:t>
            </w:r>
            <w:r>
              <w:rPr>
                <w:szCs w:val="22"/>
                <w:lang w:val="en-US"/>
              </w:rPr>
              <w:t>B</w:t>
            </w:r>
            <w:r w:rsidRPr="00886577">
              <w:rPr>
                <w:szCs w:val="22"/>
                <w:lang w:val="ru-RU"/>
              </w:rPr>
              <w:t xml:space="preserve"> к настоящему отчету.</w:t>
            </w:r>
          </w:p>
          <w:p w:rsidR="002D2F57" w:rsidRPr="001E6719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1E6719">
              <w:rPr>
                <w:caps/>
                <w:szCs w:val="22"/>
                <w:lang w:val="ru-RU"/>
              </w:rPr>
              <w:t>____________</w:t>
            </w:r>
          </w:p>
          <w:p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Справочные материалы</w:t>
            </w:r>
          </w:p>
          <w:p w:rsidR="002D2F57" w:rsidRPr="008016C6" w:rsidRDefault="001300C4" w:rsidP="008016C6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r w:rsidR="00886577" w:rsidRPr="00886577">
                <w:rPr>
                  <w:rStyle w:val="Hyperlink"/>
                  <w:i/>
                  <w:iCs/>
                  <w:lang w:val="ru-RU"/>
                </w:rPr>
                <w:t>Резолюция</w:t>
              </w:r>
              <w:r w:rsidR="00886577" w:rsidRPr="00F41791">
                <w:rPr>
                  <w:rStyle w:val="Hyperlink"/>
                  <w:i/>
                  <w:iCs/>
                  <w:szCs w:val="22"/>
                  <w:lang w:val="ru-RU"/>
                </w:rPr>
                <w:t xml:space="preserve"> 94 (</w:t>
              </w:r>
              <w:r w:rsidR="00886577">
                <w:rPr>
                  <w:rStyle w:val="Hyperlink"/>
                  <w:i/>
                  <w:iCs/>
                  <w:szCs w:val="22"/>
                  <w:lang w:val="ru-RU"/>
                </w:rPr>
                <w:t>Пересм</w:t>
              </w:r>
              <w:r w:rsidR="00886577" w:rsidRPr="00F41791">
                <w:rPr>
                  <w:rStyle w:val="Hyperlink"/>
                  <w:i/>
                  <w:iCs/>
                  <w:szCs w:val="22"/>
                  <w:lang w:val="ru-RU"/>
                </w:rPr>
                <w:t xml:space="preserve">. </w:t>
              </w:r>
              <w:r w:rsidR="00886577">
                <w:rPr>
                  <w:rStyle w:val="Hyperlink"/>
                  <w:i/>
                  <w:iCs/>
                  <w:szCs w:val="22"/>
                  <w:lang w:val="ru-RU"/>
                </w:rPr>
                <w:t>Дубай</w:t>
              </w:r>
              <w:r w:rsidR="00886577" w:rsidRPr="008016C6">
                <w:rPr>
                  <w:rStyle w:val="Hyperlink"/>
                  <w:i/>
                  <w:iCs/>
                  <w:szCs w:val="22"/>
                  <w:lang w:val="ru-RU"/>
                </w:rPr>
                <w:t>, 2018</w:t>
              </w:r>
              <w:r w:rsidR="00886577" w:rsidRPr="00886577">
                <w:rPr>
                  <w:rStyle w:val="Hyperlink"/>
                  <w:i/>
                  <w:iCs/>
                  <w:szCs w:val="22"/>
                </w:rPr>
                <w:t> </w:t>
              </w:r>
              <w:r w:rsidR="00886577">
                <w:rPr>
                  <w:rStyle w:val="Hyperlink"/>
                  <w:i/>
                  <w:iCs/>
                  <w:szCs w:val="22"/>
                  <w:lang w:val="ru-RU"/>
                </w:rPr>
                <w:t>г</w:t>
              </w:r>
              <w:r w:rsidR="00886577" w:rsidRPr="008016C6">
                <w:rPr>
                  <w:rStyle w:val="Hyperlink"/>
                  <w:i/>
                  <w:iCs/>
                  <w:szCs w:val="22"/>
                  <w:lang w:val="ru-RU"/>
                </w:rPr>
                <w:t>.)</w:t>
              </w:r>
            </w:hyperlink>
            <w:r w:rsidR="00886577" w:rsidRPr="008016C6">
              <w:rPr>
                <w:lang w:val="ru-RU"/>
              </w:rPr>
              <w:t xml:space="preserve">, </w:t>
            </w:r>
            <w:hyperlink r:id="rId10" w:history="1">
              <w:r w:rsidR="00886577" w:rsidRPr="001300C4">
                <w:rPr>
                  <w:rStyle w:val="Hyperlink"/>
                  <w:i/>
                  <w:iCs/>
                  <w:szCs w:val="22"/>
                  <w:lang w:val="ru-RU"/>
                </w:rPr>
                <w:t xml:space="preserve">Документ </w:t>
              </w:r>
              <w:r w:rsidR="00886577" w:rsidRPr="001300C4">
                <w:rPr>
                  <w:rStyle w:val="Hyperlink"/>
                  <w:i/>
                  <w:iCs/>
                  <w:szCs w:val="22"/>
                </w:rPr>
                <w:t>C</w:t>
              </w:r>
              <w:r w:rsidR="00886577" w:rsidRPr="001300C4">
                <w:rPr>
                  <w:rStyle w:val="Hyperlink"/>
                  <w:i/>
                  <w:iCs/>
                  <w:szCs w:val="22"/>
                  <w:lang w:val="ru-RU"/>
                </w:rPr>
                <w:t>18/67</w:t>
              </w:r>
            </w:hyperlink>
            <w:r w:rsidR="00886577" w:rsidRPr="008016C6">
              <w:rPr>
                <w:i/>
                <w:iCs/>
                <w:szCs w:val="22"/>
                <w:lang w:val="ru-RU"/>
              </w:rPr>
              <w:t xml:space="preserve">, </w:t>
            </w:r>
            <w:hyperlink r:id="rId11" w:history="1">
              <w:r w:rsidR="008016C6">
                <w:rPr>
                  <w:rStyle w:val="Hyperlink"/>
                  <w:i/>
                  <w:iCs/>
                  <w:szCs w:val="22"/>
                  <w:lang w:val="ru-RU"/>
                </w:rPr>
                <w:t>Финансовый регламент и Финансовые правила МС</w:t>
              </w:r>
              <w:r w:rsidR="008016C6">
                <w:rPr>
                  <w:rStyle w:val="Hyperlink"/>
                  <w:i/>
                  <w:iCs/>
                  <w:szCs w:val="22"/>
                  <w:lang w:val="ru-RU"/>
                </w:rPr>
                <w:t>Э</w:t>
              </w:r>
              <w:r w:rsidR="00886577" w:rsidRPr="008016C6">
                <w:rPr>
                  <w:rStyle w:val="Hyperlink"/>
                  <w:i/>
                  <w:iCs/>
                  <w:szCs w:val="22"/>
                  <w:lang w:val="ru-RU"/>
                </w:rPr>
                <w:t xml:space="preserve"> (2018</w:t>
              </w:r>
              <w:r w:rsidR="008016C6">
                <w:rPr>
                  <w:rStyle w:val="Hyperlink"/>
                  <w:i/>
                  <w:iCs/>
                  <w:szCs w:val="22"/>
                  <w:lang w:val="ru-RU"/>
                </w:rPr>
                <w:t> г.</w:t>
              </w:r>
              <w:r w:rsidR="00886577" w:rsidRPr="008016C6">
                <w:rPr>
                  <w:rStyle w:val="Hyperlink"/>
                  <w:i/>
                  <w:iCs/>
                  <w:szCs w:val="22"/>
                  <w:lang w:val="ru-RU"/>
                </w:rPr>
                <w:t xml:space="preserve">), </w:t>
              </w:r>
              <w:r w:rsidR="008016C6">
                <w:rPr>
                  <w:rStyle w:val="Hyperlink"/>
                  <w:i/>
                  <w:iCs/>
                  <w:szCs w:val="22"/>
                  <w:lang w:val="ru-RU"/>
                </w:rPr>
                <w:t>Статья</w:t>
              </w:r>
              <w:r w:rsidR="00886577" w:rsidRPr="008016C6">
                <w:rPr>
                  <w:rStyle w:val="Hyperlink"/>
                  <w:i/>
                  <w:iCs/>
                  <w:szCs w:val="22"/>
                  <w:lang w:val="ru-RU"/>
                </w:rPr>
                <w:t xml:space="preserve"> 28</w:t>
              </w:r>
            </w:hyperlink>
          </w:p>
        </w:tc>
      </w:tr>
    </w:tbl>
    <w:p w:rsidR="00FD74F0" w:rsidRPr="0060785A" w:rsidRDefault="0060785A" w:rsidP="0060785A">
      <w:pPr>
        <w:pStyle w:val="Headingb"/>
        <w:rPr>
          <w:lang w:val="ru-RU"/>
        </w:rPr>
      </w:pPr>
      <w:r>
        <w:rPr>
          <w:lang w:val="ru-RU"/>
        </w:rPr>
        <w:t>ПРОЦЕСС ПРОВЕДЕНИЯ ТЕНДЕРА</w:t>
      </w:r>
    </w:p>
    <w:p w:rsidR="0060785A" w:rsidRPr="00F91CDA" w:rsidRDefault="00FD74F0" w:rsidP="00F91CDA">
      <w:pPr>
        <w:rPr>
          <w:lang w:val="ru-RU"/>
        </w:rPr>
      </w:pPr>
      <w:r w:rsidRPr="0060785A">
        <w:rPr>
          <w:lang w:val="ru-RU"/>
        </w:rPr>
        <w:t>1</w:t>
      </w:r>
      <w:r w:rsidRPr="0060785A">
        <w:rPr>
          <w:lang w:val="ru-RU"/>
        </w:rPr>
        <w:tab/>
      </w:r>
      <w:r w:rsidR="0060785A">
        <w:rPr>
          <w:lang w:val="ru-RU"/>
        </w:rPr>
        <w:t>В</w:t>
      </w:r>
      <w:r w:rsidR="0060785A" w:rsidRPr="0060785A">
        <w:rPr>
          <w:lang w:val="ru-RU"/>
        </w:rPr>
        <w:t xml:space="preserve"> </w:t>
      </w:r>
      <w:r w:rsidR="0060785A">
        <w:rPr>
          <w:lang w:val="ru-RU"/>
        </w:rPr>
        <w:t>соответствии с Резолюцией </w:t>
      </w:r>
      <w:r w:rsidRPr="0060785A">
        <w:rPr>
          <w:lang w:val="ru-RU"/>
        </w:rPr>
        <w:t>94 (</w:t>
      </w:r>
      <w:r>
        <w:rPr>
          <w:lang w:val="ru-RU"/>
        </w:rPr>
        <w:t>Пересм</w:t>
      </w:r>
      <w:r w:rsidRPr="0060785A">
        <w:rPr>
          <w:lang w:val="ru-RU"/>
        </w:rPr>
        <w:t xml:space="preserve">. </w:t>
      </w:r>
      <w:r>
        <w:rPr>
          <w:lang w:val="ru-RU"/>
        </w:rPr>
        <w:t>Дубай</w:t>
      </w:r>
      <w:r w:rsidRPr="0060785A">
        <w:rPr>
          <w:lang w:val="ru-RU"/>
        </w:rPr>
        <w:t>, 2018</w:t>
      </w:r>
      <w:r w:rsidRPr="00FD74F0">
        <w:t> </w:t>
      </w:r>
      <w:r>
        <w:rPr>
          <w:lang w:val="ru-RU"/>
        </w:rPr>
        <w:t>г</w:t>
      </w:r>
      <w:r w:rsidRPr="0060785A">
        <w:rPr>
          <w:lang w:val="ru-RU"/>
        </w:rPr>
        <w:t xml:space="preserve">.) </w:t>
      </w:r>
      <w:r w:rsidR="0060785A">
        <w:rPr>
          <w:lang w:val="ru-RU"/>
        </w:rPr>
        <w:t>и</w:t>
      </w:r>
      <w:r w:rsidR="0060785A" w:rsidRPr="0060785A">
        <w:rPr>
          <w:lang w:val="ru-RU"/>
        </w:rPr>
        <w:t xml:space="preserve"> </w:t>
      </w:r>
      <w:r w:rsidR="0060785A">
        <w:rPr>
          <w:lang w:val="ru-RU"/>
        </w:rPr>
        <w:t>Документом</w:t>
      </w:r>
      <w:r w:rsidR="0060785A" w:rsidRPr="0060785A">
        <w:t> </w:t>
      </w:r>
      <w:r>
        <w:t>C</w:t>
      </w:r>
      <w:r w:rsidRPr="0060785A">
        <w:rPr>
          <w:lang w:val="ru-RU"/>
        </w:rPr>
        <w:t>18/67 (</w:t>
      </w:r>
      <w:r w:rsidR="0060785A">
        <w:rPr>
          <w:lang w:val="ru-RU"/>
        </w:rPr>
        <w:t>Процесс</w:t>
      </w:r>
      <w:r w:rsidR="0060785A" w:rsidRPr="0060785A">
        <w:rPr>
          <w:lang w:val="ru-RU"/>
        </w:rPr>
        <w:t xml:space="preserve"> </w:t>
      </w:r>
      <w:r w:rsidR="0060785A">
        <w:rPr>
          <w:lang w:val="ru-RU"/>
        </w:rPr>
        <w:t>выбора</w:t>
      </w:r>
      <w:r w:rsidR="0060785A" w:rsidRPr="0060785A">
        <w:rPr>
          <w:lang w:val="ru-RU"/>
        </w:rPr>
        <w:t xml:space="preserve"> </w:t>
      </w:r>
      <w:r w:rsidR="0060785A">
        <w:rPr>
          <w:lang w:val="ru-RU"/>
        </w:rPr>
        <w:t>нового</w:t>
      </w:r>
      <w:r w:rsidR="0060785A" w:rsidRPr="0060785A">
        <w:rPr>
          <w:lang w:val="ru-RU"/>
        </w:rPr>
        <w:t xml:space="preserve"> </w:t>
      </w:r>
      <w:r w:rsidR="0060785A">
        <w:rPr>
          <w:lang w:val="ru-RU"/>
        </w:rPr>
        <w:t>Внешнего</w:t>
      </w:r>
      <w:r w:rsidR="0060785A" w:rsidRPr="0060785A">
        <w:rPr>
          <w:lang w:val="ru-RU"/>
        </w:rPr>
        <w:t xml:space="preserve"> </w:t>
      </w:r>
      <w:r w:rsidR="0060785A">
        <w:rPr>
          <w:lang w:val="ru-RU"/>
        </w:rPr>
        <w:t>аудитора</w:t>
      </w:r>
      <w:r w:rsidR="0060785A" w:rsidRPr="0060785A">
        <w:rPr>
          <w:lang w:val="ru-RU"/>
        </w:rPr>
        <w:t>)</w:t>
      </w:r>
      <w:r w:rsidR="0060785A">
        <w:rPr>
          <w:lang w:val="ru-RU"/>
        </w:rPr>
        <w:t xml:space="preserve"> был выполнен ряд задач. В настоящем отчете представлено подробное описание всех аспектов, на основании которых Комитет </w:t>
      </w:r>
      <w:r w:rsidR="00F91CDA">
        <w:rPr>
          <w:lang w:val="ru-RU"/>
        </w:rPr>
        <w:t>сделал вывод</w:t>
      </w:r>
      <w:r w:rsidR="000934B0">
        <w:rPr>
          <w:lang w:val="ru-RU"/>
        </w:rPr>
        <w:t xml:space="preserve"> и представил соответствующие рекомендации. </w:t>
      </w:r>
    </w:p>
    <w:p w:rsidR="00B74422" w:rsidRPr="00B74422" w:rsidRDefault="00FD74F0" w:rsidP="00B27896">
      <w:pPr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</w:r>
      <w:r w:rsidR="00E24E51" w:rsidRPr="00E24E51">
        <w:rPr>
          <w:lang w:val="ru-RU"/>
        </w:rPr>
        <w:t>На собрании Рабочей группы Совета по финансовым и людским ресурсам в январе 2018</w:t>
      </w:r>
      <w:r w:rsidR="00B27896">
        <w:rPr>
          <w:lang w:val="ru-RU"/>
        </w:rPr>
        <w:t> </w:t>
      </w:r>
      <w:r w:rsidR="00E24E51" w:rsidRPr="00E24E51">
        <w:rPr>
          <w:lang w:val="ru-RU"/>
        </w:rPr>
        <w:t>года ее Председатель обратился с предложением о выражении заинтересованности для шести лиц, которые согласились бы на добровольной основе стать членами Ко</w:t>
      </w:r>
      <w:r w:rsidR="00B74422">
        <w:rPr>
          <w:lang w:val="ru-RU"/>
        </w:rPr>
        <w:t xml:space="preserve">митета по оценке, который предстояло сформировать </w:t>
      </w:r>
      <w:r w:rsidR="00E24E51" w:rsidRPr="00E24E51">
        <w:rPr>
          <w:lang w:val="ru-RU"/>
        </w:rPr>
        <w:t>Совет</w:t>
      </w:r>
      <w:r w:rsidR="00B74422">
        <w:rPr>
          <w:lang w:val="ru-RU"/>
        </w:rPr>
        <w:t>у</w:t>
      </w:r>
      <w:r w:rsidR="00E24E51" w:rsidRPr="00E24E51">
        <w:rPr>
          <w:lang w:val="ru-RU"/>
        </w:rPr>
        <w:t xml:space="preserve"> на его сессии 2018 года.</w:t>
      </w:r>
      <w:r w:rsidR="00E24E51">
        <w:rPr>
          <w:lang w:val="ru-RU"/>
        </w:rPr>
        <w:t xml:space="preserve"> </w:t>
      </w:r>
      <w:r w:rsidR="00B74422">
        <w:rPr>
          <w:lang w:val="ru-RU"/>
        </w:rPr>
        <w:t xml:space="preserve">6 февраля 2018 года Генеральный секретарь направил </w:t>
      </w:r>
      <w:r w:rsidR="00B74422" w:rsidRPr="00B74422">
        <w:rPr>
          <w:lang w:val="ru-RU"/>
        </w:rPr>
        <w:t>шести основны</w:t>
      </w:r>
      <w:r w:rsidR="00B74422">
        <w:rPr>
          <w:lang w:val="ru-RU"/>
        </w:rPr>
        <w:t>м региональным</w:t>
      </w:r>
      <w:r w:rsidR="00B74422" w:rsidRPr="00B74422">
        <w:rPr>
          <w:lang w:val="ru-RU"/>
        </w:rPr>
        <w:t xml:space="preserve"> организаци</w:t>
      </w:r>
      <w:r w:rsidR="00B74422">
        <w:rPr>
          <w:lang w:val="ru-RU"/>
        </w:rPr>
        <w:t xml:space="preserve">ям </w:t>
      </w:r>
      <w:r w:rsidR="00BE4CB7">
        <w:rPr>
          <w:lang w:val="ru-RU"/>
        </w:rPr>
        <w:t xml:space="preserve">электросвязи </w:t>
      </w:r>
      <w:r w:rsidR="00B74422">
        <w:rPr>
          <w:lang w:val="ru-RU"/>
        </w:rPr>
        <w:t xml:space="preserve">письмо </w:t>
      </w:r>
      <w:r w:rsidR="00B74422" w:rsidRPr="00B74422">
        <w:rPr>
          <w:rFonts w:ascii="Segoe UI" w:hAnsi="Segoe UI" w:cs="Segoe UI"/>
          <w:color w:val="000000"/>
          <w:sz w:val="20"/>
          <w:lang w:val="ru-RU"/>
        </w:rPr>
        <w:t xml:space="preserve">с предложением </w:t>
      </w:r>
      <w:r w:rsidR="00B74422">
        <w:rPr>
          <w:rFonts w:ascii="Segoe UI" w:hAnsi="Segoe UI" w:cs="Segoe UI"/>
          <w:color w:val="000000"/>
          <w:sz w:val="20"/>
          <w:lang w:val="ru-RU"/>
        </w:rPr>
        <w:t>выдвинуть</w:t>
      </w:r>
      <w:r w:rsidR="00B74422" w:rsidRPr="00B74422">
        <w:rPr>
          <w:rFonts w:ascii="Segoe UI" w:hAnsi="Segoe UI" w:cs="Segoe UI"/>
          <w:color w:val="000000"/>
          <w:sz w:val="20"/>
          <w:lang w:val="ru-RU"/>
        </w:rPr>
        <w:t xml:space="preserve"> кандидатуры</w:t>
      </w:r>
      <w:r w:rsidR="00B74422">
        <w:rPr>
          <w:rFonts w:ascii="Segoe UI" w:hAnsi="Segoe UI" w:cs="Segoe UI"/>
          <w:color w:val="000000"/>
          <w:sz w:val="20"/>
          <w:lang w:val="ru-RU"/>
        </w:rPr>
        <w:t xml:space="preserve">. По итогам консультаций был сформирован следующий состав: </w:t>
      </w:r>
    </w:p>
    <w:p w:rsidR="00E24E51" w:rsidRPr="001300C4" w:rsidRDefault="00E24E51" w:rsidP="00E24E51">
      <w:pPr>
        <w:tabs>
          <w:tab w:val="clear" w:pos="794"/>
          <w:tab w:val="clear" w:pos="1191"/>
          <w:tab w:val="clear" w:pos="1588"/>
          <w:tab w:val="clear" w:pos="1985"/>
          <w:tab w:val="left" w:pos="4536"/>
        </w:tabs>
        <w:rPr>
          <w:rFonts w:cstheme="minorHAnsi"/>
          <w:lang w:val="ru-RU"/>
        </w:rPr>
      </w:pPr>
      <w:r w:rsidRPr="00F9307D">
        <w:rPr>
          <w:rFonts w:cstheme="minorHAnsi"/>
          <w:lang w:val="ru-RU"/>
        </w:rPr>
        <w:t>Африка</w:t>
      </w:r>
      <w:r w:rsidRPr="00F9307D">
        <w:rPr>
          <w:rFonts w:cstheme="minorHAnsi"/>
          <w:lang w:val="ru-RU"/>
        </w:rPr>
        <w:tab/>
        <w:t>г-н Р</w:t>
      </w:r>
      <w:r>
        <w:rPr>
          <w:rFonts w:cstheme="minorHAnsi"/>
          <w:lang w:val="ru-RU"/>
        </w:rPr>
        <w:t>.</w:t>
      </w:r>
      <w:r w:rsidRPr="00F9307D">
        <w:rPr>
          <w:rFonts w:cstheme="minorHAnsi"/>
          <w:lang w:val="ru-RU"/>
        </w:rPr>
        <w:t xml:space="preserve"> </w:t>
      </w:r>
      <w:proofErr w:type="spellStart"/>
      <w:r w:rsidRPr="00F9307D">
        <w:rPr>
          <w:rFonts w:cstheme="minorHAnsi"/>
          <w:lang w:val="ru-RU"/>
        </w:rPr>
        <w:t>Анаго</w:t>
      </w:r>
      <w:proofErr w:type="spellEnd"/>
      <w:r w:rsidRPr="00F9307D">
        <w:rPr>
          <w:rFonts w:cstheme="minorHAnsi"/>
          <w:lang w:val="ru-RU"/>
        </w:rPr>
        <w:t xml:space="preserve"> (Буркина-Фасо)</w:t>
      </w:r>
      <w:r w:rsidR="001300C4">
        <w:rPr>
          <w:rFonts w:cstheme="minorHAnsi"/>
          <w:lang w:val="ru-RU"/>
        </w:rPr>
        <w:t>;</w:t>
      </w:r>
    </w:p>
    <w:p w:rsidR="00E24E51" w:rsidRPr="00F9307D" w:rsidRDefault="00E24E51" w:rsidP="00E24E51">
      <w:pPr>
        <w:tabs>
          <w:tab w:val="clear" w:pos="794"/>
          <w:tab w:val="clear" w:pos="1191"/>
          <w:tab w:val="clear" w:pos="1588"/>
          <w:tab w:val="clear" w:pos="1985"/>
          <w:tab w:val="left" w:pos="4536"/>
        </w:tabs>
        <w:rPr>
          <w:rFonts w:cstheme="minorHAnsi"/>
          <w:lang w:val="ru-RU"/>
        </w:rPr>
      </w:pPr>
      <w:r w:rsidRPr="00F9307D">
        <w:rPr>
          <w:rFonts w:cstheme="minorHAnsi"/>
          <w:lang w:val="ru-RU"/>
        </w:rPr>
        <w:t>Северная и Южная Америка</w:t>
      </w:r>
      <w:r w:rsidRPr="00F9307D">
        <w:rPr>
          <w:rFonts w:cstheme="minorHAnsi"/>
          <w:lang w:val="ru-RU"/>
        </w:rPr>
        <w:tab/>
        <w:t>г-жа К. Рой (Канада)</w:t>
      </w:r>
      <w:r w:rsidR="001300C4">
        <w:rPr>
          <w:rFonts w:cstheme="minorHAnsi"/>
          <w:lang w:val="ru-RU"/>
        </w:rPr>
        <w:t>;</w:t>
      </w:r>
    </w:p>
    <w:p w:rsidR="00E24E51" w:rsidRPr="00E24E51" w:rsidRDefault="00E24E51" w:rsidP="00B74422">
      <w:pPr>
        <w:tabs>
          <w:tab w:val="clear" w:pos="794"/>
          <w:tab w:val="clear" w:pos="1191"/>
          <w:tab w:val="clear" w:pos="1588"/>
          <w:tab w:val="clear" w:pos="1985"/>
          <w:tab w:val="left" w:pos="4536"/>
        </w:tabs>
        <w:rPr>
          <w:rFonts w:cstheme="minorHAnsi"/>
          <w:lang w:val="ru-RU"/>
        </w:rPr>
      </w:pPr>
      <w:r w:rsidRPr="00F9307D">
        <w:rPr>
          <w:rFonts w:cstheme="minorHAnsi"/>
          <w:lang w:val="ru-RU"/>
        </w:rPr>
        <w:t>Арабские государства</w:t>
      </w:r>
      <w:r w:rsidRPr="00F9307D">
        <w:rPr>
          <w:rFonts w:cstheme="minorHAnsi"/>
          <w:lang w:val="ru-RU"/>
        </w:rPr>
        <w:tab/>
        <w:t xml:space="preserve">г-н </w:t>
      </w:r>
      <w:r w:rsidR="00B74422">
        <w:rPr>
          <w:rFonts w:cstheme="minorHAnsi"/>
          <w:lang w:val="ru-RU"/>
        </w:rPr>
        <w:t>Н</w:t>
      </w:r>
      <w:r w:rsidRPr="00E24E51">
        <w:rPr>
          <w:rFonts w:cstheme="minorHAnsi"/>
          <w:lang w:val="ru-RU"/>
        </w:rPr>
        <w:t xml:space="preserve">. </w:t>
      </w:r>
      <w:r w:rsidR="00B74422" w:rsidRPr="00B74422">
        <w:rPr>
          <w:rFonts w:cstheme="minorHAnsi"/>
          <w:lang w:val="ru-RU"/>
        </w:rPr>
        <w:t>Аль-</w:t>
      </w:r>
      <w:proofErr w:type="spellStart"/>
      <w:r w:rsidR="00B74422" w:rsidRPr="00B74422">
        <w:rPr>
          <w:rFonts w:cstheme="minorHAnsi"/>
          <w:lang w:val="ru-RU"/>
        </w:rPr>
        <w:t>Марзуки</w:t>
      </w:r>
      <w:proofErr w:type="spellEnd"/>
      <w:r w:rsidRPr="00E24E51">
        <w:rPr>
          <w:rFonts w:cstheme="minorHAnsi"/>
          <w:lang w:val="ru-RU"/>
        </w:rPr>
        <w:t xml:space="preserve"> (</w:t>
      </w:r>
      <w:r>
        <w:rPr>
          <w:rFonts w:cstheme="minorHAnsi"/>
          <w:lang w:val="ru-RU"/>
        </w:rPr>
        <w:t>ОАЭ</w:t>
      </w:r>
      <w:r w:rsidRPr="00E24E51">
        <w:rPr>
          <w:rFonts w:cstheme="minorHAnsi"/>
          <w:lang w:val="ru-RU"/>
        </w:rPr>
        <w:t>)</w:t>
      </w:r>
      <w:r w:rsidR="001300C4">
        <w:rPr>
          <w:rFonts w:cstheme="minorHAnsi"/>
          <w:lang w:val="ru-RU"/>
        </w:rPr>
        <w:t>;</w:t>
      </w:r>
    </w:p>
    <w:p w:rsidR="00E24E51" w:rsidRPr="00F9307D" w:rsidRDefault="00E24E51" w:rsidP="00E24E51">
      <w:pPr>
        <w:tabs>
          <w:tab w:val="clear" w:pos="794"/>
          <w:tab w:val="clear" w:pos="1191"/>
          <w:tab w:val="clear" w:pos="1588"/>
          <w:tab w:val="clear" w:pos="1985"/>
          <w:tab w:val="left" w:pos="4536"/>
        </w:tabs>
        <w:rPr>
          <w:rFonts w:cstheme="minorHAnsi"/>
          <w:lang w:val="ru-RU"/>
        </w:rPr>
      </w:pPr>
      <w:r w:rsidRPr="00F9307D">
        <w:rPr>
          <w:rFonts w:cstheme="minorHAnsi"/>
          <w:lang w:val="ru-RU"/>
        </w:rPr>
        <w:t>Азиатско-Тихоокеанский регион</w:t>
      </w:r>
      <w:r w:rsidRPr="00F9307D">
        <w:rPr>
          <w:rFonts w:cstheme="minorHAnsi"/>
          <w:lang w:val="ru-RU"/>
        </w:rPr>
        <w:tab/>
        <w:t xml:space="preserve">г-жа Л. </w:t>
      </w:r>
      <w:proofErr w:type="spellStart"/>
      <w:r w:rsidRPr="00F9307D">
        <w:rPr>
          <w:rFonts w:cstheme="minorHAnsi"/>
          <w:lang w:val="ru-RU"/>
        </w:rPr>
        <w:t>Роув</w:t>
      </w:r>
      <w:proofErr w:type="spellEnd"/>
      <w:r w:rsidRPr="00F9307D">
        <w:rPr>
          <w:rFonts w:cstheme="minorHAnsi"/>
          <w:lang w:val="ru-RU"/>
        </w:rPr>
        <w:t xml:space="preserve"> (Австралия)</w:t>
      </w:r>
      <w:r w:rsidR="001300C4">
        <w:rPr>
          <w:rFonts w:cstheme="minorHAnsi"/>
          <w:lang w:val="ru-RU"/>
        </w:rPr>
        <w:t>;</w:t>
      </w:r>
    </w:p>
    <w:p w:rsidR="00E24E51" w:rsidRPr="00F9307D" w:rsidRDefault="00E24E51" w:rsidP="00E24E51">
      <w:pPr>
        <w:tabs>
          <w:tab w:val="clear" w:pos="794"/>
          <w:tab w:val="clear" w:pos="1191"/>
          <w:tab w:val="clear" w:pos="1588"/>
          <w:tab w:val="clear" w:pos="1985"/>
          <w:tab w:val="left" w:pos="4536"/>
        </w:tabs>
        <w:rPr>
          <w:rFonts w:cstheme="minorHAnsi"/>
          <w:lang w:val="ru-RU"/>
        </w:rPr>
      </w:pPr>
      <w:r w:rsidRPr="00F9307D">
        <w:rPr>
          <w:rFonts w:cstheme="minorHAnsi"/>
          <w:lang w:val="ru-RU"/>
        </w:rPr>
        <w:t>Содружество Независимых Государств</w:t>
      </w:r>
      <w:r w:rsidRPr="00F9307D">
        <w:rPr>
          <w:rFonts w:cstheme="minorHAnsi"/>
          <w:lang w:val="ru-RU"/>
        </w:rPr>
        <w:tab/>
        <w:t xml:space="preserve">г-н </w:t>
      </w:r>
      <w:r>
        <w:rPr>
          <w:rFonts w:cstheme="minorHAnsi"/>
          <w:lang w:val="ru-RU"/>
        </w:rPr>
        <w:t>Г. Рустамов</w:t>
      </w:r>
      <w:r w:rsidRPr="00F9307D">
        <w:rPr>
          <w:rFonts w:cstheme="minorHAnsi"/>
          <w:lang w:val="ru-RU"/>
        </w:rPr>
        <w:t xml:space="preserve"> (</w:t>
      </w:r>
      <w:r>
        <w:rPr>
          <w:rFonts w:cstheme="minorHAnsi"/>
          <w:lang w:val="ru-RU"/>
        </w:rPr>
        <w:t>Азербайджан</w:t>
      </w:r>
      <w:r w:rsidRPr="00F9307D">
        <w:rPr>
          <w:rFonts w:cstheme="minorHAnsi"/>
          <w:lang w:val="ru-RU"/>
        </w:rPr>
        <w:t>)</w:t>
      </w:r>
      <w:r w:rsidR="001300C4">
        <w:rPr>
          <w:rFonts w:cstheme="minorHAnsi"/>
          <w:lang w:val="ru-RU"/>
        </w:rPr>
        <w:t>;</w:t>
      </w:r>
    </w:p>
    <w:p w:rsidR="00E24E51" w:rsidRPr="00F9307D" w:rsidRDefault="00E24E51" w:rsidP="00E24E51">
      <w:pPr>
        <w:tabs>
          <w:tab w:val="clear" w:pos="794"/>
          <w:tab w:val="clear" w:pos="1191"/>
          <w:tab w:val="clear" w:pos="1588"/>
          <w:tab w:val="clear" w:pos="1985"/>
          <w:tab w:val="left" w:pos="4536"/>
        </w:tabs>
        <w:rPr>
          <w:rFonts w:cstheme="minorHAnsi"/>
          <w:lang w:val="ru-RU"/>
        </w:rPr>
      </w:pPr>
      <w:r w:rsidRPr="00F9307D">
        <w:rPr>
          <w:rFonts w:cstheme="minorHAnsi"/>
          <w:lang w:val="ru-RU"/>
        </w:rPr>
        <w:t>Европа</w:t>
      </w:r>
      <w:r w:rsidRPr="00F9307D">
        <w:rPr>
          <w:rFonts w:cstheme="minorHAnsi"/>
          <w:lang w:val="ru-RU"/>
        </w:rPr>
        <w:tab/>
        <w:t>г-н У. Петри (Германия)</w:t>
      </w:r>
      <w:r w:rsidR="001300C4">
        <w:rPr>
          <w:rFonts w:cstheme="minorHAnsi"/>
          <w:lang w:val="ru-RU"/>
        </w:rPr>
        <w:t>.</w:t>
      </w:r>
    </w:p>
    <w:p w:rsidR="000D50A1" w:rsidRPr="00F531E4" w:rsidRDefault="000D50A1" w:rsidP="008E235D">
      <w:pPr>
        <w:rPr>
          <w:lang w:val="ru-RU"/>
        </w:rPr>
      </w:pPr>
      <w:r>
        <w:rPr>
          <w:lang w:val="ru-RU"/>
        </w:rPr>
        <w:t>Комитет</w:t>
      </w:r>
      <w:r w:rsidRPr="000D50A1">
        <w:rPr>
          <w:lang w:val="ru-RU"/>
        </w:rPr>
        <w:t xml:space="preserve"> </w:t>
      </w:r>
      <w:r>
        <w:rPr>
          <w:lang w:val="ru-RU"/>
        </w:rPr>
        <w:t>по</w:t>
      </w:r>
      <w:r w:rsidRPr="000D50A1">
        <w:rPr>
          <w:lang w:val="ru-RU"/>
        </w:rPr>
        <w:t xml:space="preserve"> </w:t>
      </w:r>
      <w:r>
        <w:rPr>
          <w:lang w:val="ru-RU"/>
        </w:rPr>
        <w:t>оценке</w:t>
      </w:r>
      <w:r w:rsidRPr="000D50A1">
        <w:rPr>
          <w:lang w:val="ru-RU"/>
        </w:rPr>
        <w:t xml:space="preserve"> </w:t>
      </w:r>
      <w:r>
        <w:rPr>
          <w:lang w:val="ru-RU"/>
        </w:rPr>
        <w:t>принял</w:t>
      </w:r>
      <w:r w:rsidRPr="000D50A1">
        <w:rPr>
          <w:lang w:val="ru-RU"/>
        </w:rPr>
        <w:t xml:space="preserve"> </w:t>
      </w:r>
      <w:r>
        <w:rPr>
          <w:lang w:val="ru-RU"/>
        </w:rPr>
        <w:t xml:space="preserve">рабочие процедуры, необходимые для </w:t>
      </w:r>
      <w:r w:rsidR="00F91CDA">
        <w:rPr>
          <w:lang w:val="ru-RU"/>
        </w:rPr>
        <w:t xml:space="preserve">выполнения </w:t>
      </w:r>
      <w:r>
        <w:rPr>
          <w:lang w:val="ru-RU"/>
        </w:rPr>
        <w:t xml:space="preserve">его </w:t>
      </w:r>
      <w:r w:rsidR="00F91CDA">
        <w:rPr>
          <w:lang w:val="ru-RU"/>
        </w:rPr>
        <w:t>функций</w:t>
      </w:r>
      <w:r>
        <w:rPr>
          <w:lang w:val="ru-RU"/>
        </w:rPr>
        <w:t xml:space="preserve">, и каждый его член подписал отдельное </w:t>
      </w:r>
      <w:r w:rsidR="00F531E4">
        <w:rPr>
          <w:lang w:val="ru-RU"/>
        </w:rPr>
        <w:t xml:space="preserve">заявление о неразглашении </w:t>
      </w:r>
      <w:r w:rsidR="00F531E4" w:rsidRPr="008E235D">
        <w:rPr>
          <w:lang w:val="ru-RU"/>
        </w:rPr>
        <w:t>и уведомле</w:t>
      </w:r>
      <w:r w:rsidR="008E235D" w:rsidRPr="008E235D">
        <w:rPr>
          <w:lang w:val="ru-RU"/>
        </w:rPr>
        <w:t xml:space="preserve">нии о возникновении конфликта </w:t>
      </w:r>
      <w:r w:rsidR="00F531E4" w:rsidRPr="008E235D">
        <w:rPr>
          <w:lang w:val="ru-RU"/>
        </w:rPr>
        <w:t>интересов.</w:t>
      </w:r>
      <w:r w:rsidR="00F531E4">
        <w:rPr>
          <w:lang w:val="ru-RU"/>
        </w:rPr>
        <w:t xml:space="preserve"> </w:t>
      </w:r>
    </w:p>
    <w:p w:rsidR="00F41791" w:rsidRPr="00F41791" w:rsidRDefault="00F41791" w:rsidP="00F531E4">
      <w:pPr>
        <w:rPr>
          <w:lang w:val="ru-RU"/>
        </w:rPr>
      </w:pPr>
      <w:r w:rsidRPr="00F41791">
        <w:rPr>
          <w:lang w:val="ru-RU"/>
        </w:rPr>
        <w:t>3</w:t>
      </w:r>
      <w:r w:rsidRPr="00F41791">
        <w:rPr>
          <w:lang w:val="ru-RU"/>
        </w:rPr>
        <w:tab/>
      </w:r>
      <w:r w:rsidR="00F531E4">
        <w:rPr>
          <w:lang w:val="ru-RU"/>
        </w:rPr>
        <w:t xml:space="preserve">Независимый консультативный комитет по управлению </w:t>
      </w:r>
      <w:r w:rsidR="00F531E4" w:rsidRPr="00F41791">
        <w:rPr>
          <w:lang w:val="ru-RU"/>
        </w:rPr>
        <w:t>(</w:t>
      </w:r>
      <w:r w:rsidR="00F531E4" w:rsidRPr="00F41791">
        <w:rPr>
          <w:lang w:val="en-US"/>
        </w:rPr>
        <w:t>IMAC</w:t>
      </w:r>
      <w:r w:rsidR="00F531E4" w:rsidRPr="00F41791">
        <w:rPr>
          <w:lang w:val="ru-RU"/>
        </w:rPr>
        <w:t xml:space="preserve">) </w:t>
      </w:r>
      <w:r w:rsidR="00F531E4">
        <w:rPr>
          <w:lang w:val="ru-RU"/>
        </w:rPr>
        <w:t>в своем отчете, представленном Совету 2018 года, отметил, что, х</w:t>
      </w:r>
      <w:r w:rsidRPr="00F41791">
        <w:rPr>
          <w:lang w:val="ru-RU"/>
        </w:rPr>
        <w:t>отя выбор и назначение внешних аудиторов явля</w:t>
      </w:r>
      <w:r w:rsidR="00F531E4">
        <w:rPr>
          <w:lang w:val="ru-RU"/>
        </w:rPr>
        <w:t>ю</w:t>
      </w:r>
      <w:r w:rsidRPr="00F41791">
        <w:rPr>
          <w:lang w:val="ru-RU"/>
        </w:rPr>
        <w:t xml:space="preserve">тся прерогативой Совета и Государств-Членов, круг ведения IMAC предусматривает представление комитетом рекомендаций по соответствующему процессу отбора и критериям </w:t>
      </w:r>
      <w:r w:rsidRPr="00F41791">
        <w:rPr>
          <w:lang w:val="ru-RU"/>
        </w:rPr>
        <w:lastRenderedPageBreak/>
        <w:t xml:space="preserve">оценки, в том числе затратам на предоставляемые услуги и сферам их охвата. В качестве </w:t>
      </w:r>
      <w:r w:rsidR="00F91CDA">
        <w:rPr>
          <w:lang w:val="ru-RU"/>
        </w:rPr>
        <w:t>передового опыта IMAC предложил</w:t>
      </w:r>
      <w:r w:rsidRPr="00F41791">
        <w:rPr>
          <w:lang w:val="ru-RU"/>
        </w:rPr>
        <w:t xml:space="preserve"> секретариату и </w:t>
      </w:r>
      <w:r w:rsidR="00F531E4" w:rsidRPr="00F41791">
        <w:rPr>
          <w:lang w:val="ru-RU"/>
        </w:rPr>
        <w:t xml:space="preserve">Комитету </w:t>
      </w:r>
      <w:r w:rsidR="00F531E4">
        <w:rPr>
          <w:lang w:val="ru-RU"/>
        </w:rPr>
        <w:t xml:space="preserve">по оценке </w:t>
      </w:r>
      <w:r w:rsidRPr="00F41791">
        <w:rPr>
          <w:lang w:val="ru-RU"/>
        </w:rPr>
        <w:t xml:space="preserve">советоваться </w:t>
      </w:r>
      <w:r w:rsidR="00F531E4" w:rsidRPr="00F41791">
        <w:rPr>
          <w:lang w:val="ru-RU"/>
        </w:rPr>
        <w:t>с</w:t>
      </w:r>
      <w:r w:rsidR="00F531E4" w:rsidRPr="00F531E4">
        <w:rPr>
          <w:lang w:val="ru-RU"/>
        </w:rPr>
        <w:t xml:space="preserve"> </w:t>
      </w:r>
      <w:r w:rsidR="00F531E4" w:rsidRPr="00F531E4">
        <w:t>IMAC</w:t>
      </w:r>
      <w:r w:rsidR="00F531E4" w:rsidRPr="00F531E4">
        <w:rPr>
          <w:lang w:val="ru-RU"/>
        </w:rPr>
        <w:t xml:space="preserve"> </w:t>
      </w:r>
      <w:r w:rsidR="00F531E4">
        <w:rPr>
          <w:lang w:val="ru-RU"/>
        </w:rPr>
        <w:t>при необходимости</w:t>
      </w:r>
      <w:r w:rsidRPr="00F41791">
        <w:rPr>
          <w:lang w:val="ru-RU"/>
        </w:rPr>
        <w:t>.</w:t>
      </w:r>
    </w:p>
    <w:p w:rsidR="00E24E51" w:rsidRPr="008C4292" w:rsidRDefault="00F41791" w:rsidP="009078EB">
      <w:pPr>
        <w:rPr>
          <w:lang w:val="ru-RU"/>
        </w:rPr>
      </w:pPr>
      <w:r w:rsidRPr="00ED0294">
        <w:rPr>
          <w:lang w:val="ru-RU"/>
        </w:rPr>
        <w:t>4</w:t>
      </w:r>
      <w:r w:rsidRPr="00ED0294">
        <w:rPr>
          <w:lang w:val="ru-RU"/>
        </w:rPr>
        <w:tab/>
      </w:r>
      <w:r w:rsidR="00ED0294">
        <w:rPr>
          <w:lang w:val="ru-RU"/>
        </w:rPr>
        <w:t>На</w:t>
      </w:r>
      <w:r w:rsidR="00ED0294" w:rsidRPr="00ED0294">
        <w:rPr>
          <w:lang w:val="ru-RU"/>
        </w:rPr>
        <w:t xml:space="preserve"> </w:t>
      </w:r>
      <w:r w:rsidR="00ED0294">
        <w:rPr>
          <w:lang w:val="ru-RU"/>
        </w:rPr>
        <w:t>основе</w:t>
      </w:r>
      <w:r w:rsidR="00ED0294" w:rsidRPr="00ED0294">
        <w:rPr>
          <w:lang w:val="ru-RU"/>
        </w:rPr>
        <w:t xml:space="preserve"> Финансового регламента и Финансовых правил МСЭ, </w:t>
      </w:r>
      <w:r w:rsidR="00ED0294">
        <w:rPr>
          <w:lang w:val="ru-RU"/>
        </w:rPr>
        <w:t>а</w:t>
      </w:r>
      <w:r w:rsidR="00ED0294" w:rsidRPr="00ED0294">
        <w:rPr>
          <w:lang w:val="ru-RU"/>
        </w:rPr>
        <w:t xml:space="preserve"> </w:t>
      </w:r>
      <w:r w:rsidR="00ED0294">
        <w:rPr>
          <w:lang w:val="ru-RU"/>
        </w:rPr>
        <w:t>также</w:t>
      </w:r>
      <w:r w:rsidR="00ED0294" w:rsidRPr="00ED0294">
        <w:rPr>
          <w:lang w:val="ru-RU"/>
        </w:rPr>
        <w:t xml:space="preserve"> </w:t>
      </w:r>
      <w:r w:rsidR="00ED0294">
        <w:rPr>
          <w:lang w:val="ru-RU"/>
        </w:rPr>
        <w:t>консультаций</w:t>
      </w:r>
      <w:r w:rsidR="00ED0294" w:rsidRPr="00ED0294">
        <w:rPr>
          <w:lang w:val="ru-RU"/>
        </w:rPr>
        <w:t xml:space="preserve"> </w:t>
      </w:r>
      <w:r w:rsidR="00ED0294">
        <w:rPr>
          <w:lang w:val="ru-RU"/>
        </w:rPr>
        <w:t>с</w:t>
      </w:r>
      <w:r w:rsidR="00ED0294" w:rsidRPr="00ED0294">
        <w:rPr>
          <w:lang w:val="ru-RU"/>
        </w:rPr>
        <w:t xml:space="preserve"> </w:t>
      </w:r>
      <w:r w:rsidR="00ED0294">
        <w:rPr>
          <w:lang w:val="en-US"/>
        </w:rPr>
        <w:t>IMAC</w:t>
      </w:r>
      <w:r w:rsidR="00ED0294" w:rsidRPr="00ED0294">
        <w:rPr>
          <w:lang w:val="ru-RU"/>
        </w:rPr>
        <w:t xml:space="preserve"> </w:t>
      </w:r>
      <w:r w:rsidR="00ED0294">
        <w:rPr>
          <w:lang w:val="ru-RU"/>
        </w:rPr>
        <w:t>секретариат</w:t>
      </w:r>
      <w:r w:rsidR="00ED0294">
        <w:rPr>
          <w:rStyle w:val="FootnoteReference"/>
          <w:lang w:val="ru-RU"/>
        </w:rPr>
        <w:footnoteReference w:id="1"/>
      </w:r>
      <w:r w:rsidR="00ED0294" w:rsidRPr="00ED0294">
        <w:rPr>
          <w:lang w:val="ru-RU"/>
        </w:rPr>
        <w:t xml:space="preserve"> </w:t>
      </w:r>
      <w:r w:rsidR="00ED0294">
        <w:rPr>
          <w:lang w:val="ru-RU"/>
        </w:rPr>
        <w:t>разработал</w:t>
      </w:r>
      <w:r w:rsidR="00ED0294" w:rsidRPr="00ED0294">
        <w:rPr>
          <w:lang w:val="ru-RU"/>
        </w:rPr>
        <w:t xml:space="preserve"> </w:t>
      </w:r>
      <w:r w:rsidR="00E44FE2" w:rsidRPr="00BD7D11">
        <w:rPr>
          <w:lang w:val="ru-RU"/>
        </w:rPr>
        <w:t>общие требования</w:t>
      </w:r>
      <w:r w:rsidR="00ED0294" w:rsidRPr="00BD7D11">
        <w:rPr>
          <w:lang w:val="ru-RU"/>
        </w:rPr>
        <w:t xml:space="preserve"> для </w:t>
      </w:r>
      <w:r w:rsidR="008C4292" w:rsidRPr="00BD7D11">
        <w:rPr>
          <w:lang w:val="ru-RU"/>
        </w:rPr>
        <w:t>Объявления о принятии предложений</w:t>
      </w:r>
      <w:r w:rsidR="00ED0294" w:rsidRPr="00ED0294">
        <w:rPr>
          <w:lang w:val="ru-RU"/>
        </w:rPr>
        <w:t xml:space="preserve"> (</w:t>
      </w:r>
      <w:r w:rsidR="00ED0294" w:rsidRPr="00F41791">
        <w:rPr>
          <w:lang w:val="en-US"/>
        </w:rPr>
        <w:t>RFP</w:t>
      </w:r>
      <w:r w:rsidR="00ED0294" w:rsidRPr="00ED0294">
        <w:rPr>
          <w:lang w:val="ru-RU"/>
        </w:rPr>
        <w:t>)</w:t>
      </w:r>
      <w:r w:rsidR="00ED0294">
        <w:rPr>
          <w:lang w:val="ru-RU"/>
        </w:rPr>
        <w:t xml:space="preserve"> и метод</w:t>
      </w:r>
      <w:r w:rsidR="00AB3108">
        <w:rPr>
          <w:lang w:val="ru-RU"/>
        </w:rPr>
        <w:t>ик</w:t>
      </w:r>
      <w:r w:rsidR="009078EB">
        <w:rPr>
          <w:lang w:val="ru-RU"/>
        </w:rPr>
        <w:t>у</w:t>
      </w:r>
      <w:r w:rsidR="00ED0294">
        <w:rPr>
          <w:lang w:val="ru-RU"/>
        </w:rPr>
        <w:t xml:space="preserve"> оценки</w:t>
      </w:r>
      <w:r w:rsidR="00AB3108">
        <w:rPr>
          <w:lang w:val="ru-RU"/>
        </w:rPr>
        <w:t>, которая должна применяться к</w:t>
      </w:r>
      <w:r w:rsidR="00ED0294">
        <w:rPr>
          <w:lang w:val="ru-RU"/>
        </w:rPr>
        <w:t xml:space="preserve"> полученны</w:t>
      </w:r>
      <w:r w:rsidR="00AB3108">
        <w:rPr>
          <w:lang w:val="ru-RU"/>
        </w:rPr>
        <w:t>м</w:t>
      </w:r>
      <w:r w:rsidR="00ED0294">
        <w:rPr>
          <w:lang w:val="ru-RU"/>
        </w:rPr>
        <w:t xml:space="preserve"> предложени</w:t>
      </w:r>
      <w:r w:rsidR="00AB3108">
        <w:rPr>
          <w:lang w:val="ru-RU"/>
        </w:rPr>
        <w:t>ям</w:t>
      </w:r>
      <w:r w:rsidR="00ED0294">
        <w:rPr>
          <w:lang w:val="ru-RU"/>
        </w:rPr>
        <w:t xml:space="preserve">. </w:t>
      </w:r>
      <w:r w:rsidR="00814776">
        <w:rPr>
          <w:lang w:val="ru-RU"/>
        </w:rPr>
        <w:t>После</w:t>
      </w:r>
      <w:r w:rsidR="00814776" w:rsidRPr="00814776">
        <w:rPr>
          <w:lang w:val="ru-RU"/>
        </w:rPr>
        <w:t xml:space="preserve"> </w:t>
      </w:r>
      <w:r w:rsidR="00814776">
        <w:rPr>
          <w:lang w:val="ru-RU"/>
        </w:rPr>
        <w:t>того</w:t>
      </w:r>
      <w:r w:rsidR="00814776" w:rsidRPr="00814776">
        <w:rPr>
          <w:lang w:val="ru-RU"/>
        </w:rPr>
        <w:t xml:space="preserve"> </w:t>
      </w:r>
      <w:r w:rsidR="00814776">
        <w:rPr>
          <w:lang w:val="ru-RU"/>
        </w:rPr>
        <w:t>как</w:t>
      </w:r>
      <w:r w:rsidR="00814776" w:rsidRPr="00814776">
        <w:rPr>
          <w:lang w:val="ru-RU"/>
        </w:rPr>
        <w:t xml:space="preserve"> </w:t>
      </w:r>
      <w:r w:rsidR="00814776">
        <w:rPr>
          <w:lang w:val="ru-RU"/>
        </w:rPr>
        <w:t>члены</w:t>
      </w:r>
      <w:r w:rsidR="00814776" w:rsidRPr="00814776">
        <w:rPr>
          <w:lang w:val="ru-RU"/>
        </w:rPr>
        <w:t xml:space="preserve"> </w:t>
      </w:r>
      <w:r w:rsidR="00814776">
        <w:rPr>
          <w:lang w:val="ru-RU"/>
        </w:rPr>
        <w:t>Комитета</w:t>
      </w:r>
      <w:r w:rsidR="00814776" w:rsidRPr="00814776">
        <w:rPr>
          <w:lang w:val="ru-RU"/>
        </w:rPr>
        <w:t xml:space="preserve"> </w:t>
      </w:r>
      <w:r w:rsidR="00814776">
        <w:rPr>
          <w:lang w:val="ru-RU"/>
        </w:rPr>
        <w:t>по</w:t>
      </w:r>
      <w:r w:rsidR="00814776" w:rsidRPr="00814776">
        <w:rPr>
          <w:lang w:val="ru-RU"/>
        </w:rPr>
        <w:t xml:space="preserve"> </w:t>
      </w:r>
      <w:r w:rsidR="00814776">
        <w:rPr>
          <w:lang w:val="ru-RU"/>
        </w:rPr>
        <w:t>оценке</w:t>
      </w:r>
      <w:r w:rsidR="00814776" w:rsidRPr="00814776">
        <w:rPr>
          <w:lang w:val="ru-RU"/>
        </w:rPr>
        <w:t xml:space="preserve"> </w:t>
      </w:r>
      <w:r w:rsidR="00814776">
        <w:rPr>
          <w:lang w:val="ru-RU"/>
        </w:rPr>
        <w:t>и</w:t>
      </w:r>
      <w:r w:rsidR="00814776" w:rsidRPr="00814776">
        <w:rPr>
          <w:lang w:val="ru-RU"/>
        </w:rPr>
        <w:t xml:space="preserve"> </w:t>
      </w:r>
      <w:r w:rsidR="00814776" w:rsidRPr="00F41791">
        <w:rPr>
          <w:lang w:val="en-US"/>
        </w:rPr>
        <w:t>IMAC</w:t>
      </w:r>
      <w:r w:rsidR="00814776" w:rsidRPr="00814776">
        <w:rPr>
          <w:lang w:val="ru-RU"/>
        </w:rPr>
        <w:t xml:space="preserve"> </w:t>
      </w:r>
      <w:r w:rsidR="00814776">
        <w:rPr>
          <w:lang w:val="ru-RU"/>
        </w:rPr>
        <w:t>представили</w:t>
      </w:r>
      <w:r w:rsidR="00814776" w:rsidRPr="00814776">
        <w:rPr>
          <w:lang w:val="ru-RU"/>
        </w:rPr>
        <w:t xml:space="preserve"> </w:t>
      </w:r>
      <w:r w:rsidR="00814776">
        <w:rPr>
          <w:lang w:val="ru-RU"/>
        </w:rPr>
        <w:t>свои</w:t>
      </w:r>
      <w:r w:rsidR="00814776" w:rsidRPr="00814776">
        <w:rPr>
          <w:lang w:val="ru-RU"/>
        </w:rPr>
        <w:t xml:space="preserve"> </w:t>
      </w:r>
      <w:r w:rsidR="00814776">
        <w:rPr>
          <w:lang w:val="ru-RU"/>
        </w:rPr>
        <w:t>замечания</w:t>
      </w:r>
      <w:r w:rsidR="00814776" w:rsidRPr="00814776">
        <w:rPr>
          <w:lang w:val="ru-RU"/>
        </w:rPr>
        <w:t xml:space="preserve">, </w:t>
      </w:r>
      <w:r w:rsidR="00814776">
        <w:rPr>
          <w:lang w:val="ru-RU"/>
        </w:rPr>
        <w:t>секретариат</w:t>
      </w:r>
      <w:r w:rsidR="00814776" w:rsidRPr="00814776">
        <w:rPr>
          <w:lang w:val="ru-RU"/>
        </w:rPr>
        <w:t xml:space="preserve"> </w:t>
      </w:r>
      <w:r w:rsidR="00814776">
        <w:rPr>
          <w:lang w:val="ru-RU"/>
        </w:rPr>
        <w:t>окончательно</w:t>
      </w:r>
      <w:r w:rsidR="00814776" w:rsidRPr="00814776">
        <w:rPr>
          <w:lang w:val="ru-RU"/>
        </w:rPr>
        <w:t xml:space="preserve"> </w:t>
      </w:r>
      <w:r w:rsidR="00814776">
        <w:rPr>
          <w:lang w:val="ru-RU"/>
        </w:rPr>
        <w:t>доработал</w:t>
      </w:r>
      <w:r w:rsidR="00814776" w:rsidRPr="00814776">
        <w:rPr>
          <w:lang w:val="ru-RU"/>
        </w:rPr>
        <w:t xml:space="preserve"> </w:t>
      </w:r>
      <w:r w:rsidR="00814776" w:rsidRPr="00F41791">
        <w:rPr>
          <w:lang w:val="en-US"/>
        </w:rPr>
        <w:t>RFP</w:t>
      </w:r>
      <w:r w:rsidR="00814776" w:rsidRPr="00814776">
        <w:rPr>
          <w:lang w:val="ru-RU"/>
        </w:rPr>
        <w:t xml:space="preserve">. 12 </w:t>
      </w:r>
      <w:r w:rsidR="00814776">
        <w:rPr>
          <w:lang w:val="ru-RU"/>
        </w:rPr>
        <w:t>декабря</w:t>
      </w:r>
      <w:r w:rsidR="00814776" w:rsidRPr="00814776">
        <w:rPr>
          <w:lang w:val="ru-RU"/>
        </w:rPr>
        <w:t xml:space="preserve"> 2018 </w:t>
      </w:r>
      <w:r w:rsidR="00814776">
        <w:rPr>
          <w:lang w:val="ru-RU"/>
        </w:rPr>
        <w:t>года</w:t>
      </w:r>
      <w:r w:rsidR="00814776" w:rsidRPr="00814776">
        <w:rPr>
          <w:lang w:val="ru-RU"/>
        </w:rPr>
        <w:t xml:space="preserve"> </w:t>
      </w:r>
      <w:r w:rsidR="00814776">
        <w:rPr>
          <w:lang w:val="ru-RU"/>
        </w:rPr>
        <w:t>Генеральный</w:t>
      </w:r>
      <w:r w:rsidR="00814776" w:rsidRPr="00814776">
        <w:rPr>
          <w:lang w:val="ru-RU"/>
        </w:rPr>
        <w:t xml:space="preserve"> </w:t>
      </w:r>
      <w:r w:rsidR="00814776">
        <w:rPr>
          <w:lang w:val="ru-RU"/>
        </w:rPr>
        <w:t>секретарь</w:t>
      </w:r>
      <w:r w:rsidR="00814776" w:rsidRPr="00814776">
        <w:rPr>
          <w:lang w:val="ru-RU"/>
        </w:rPr>
        <w:t xml:space="preserve"> </w:t>
      </w:r>
      <w:r w:rsidR="00814776">
        <w:rPr>
          <w:lang w:val="ru-RU"/>
        </w:rPr>
        <w:t xml:space="preserve">направил администрациям Государств – Членов МСЭ циркулярное письмо с предложением </w:t>
      </w:r>
      <w:r w:rsidR="008C4292">
        <w:rPr>
          <w:lang w:val="ru-RU"/>
        </w:rPr>
        <w:t>уведомить</w:t>
      </w:r>
      <w:r w:rsidR="00814776">
        <w:rPr>
          <w:lang w:val="ru-RU"/>
        </w:rPr>
        <w:t xml:space="preserve"> свои соответствующие высшие </w:t>
      </w:r>
      <w:r w:rsidR="00AB3108">
        <w:rPr>
          <w:lang w:val="ru-RU"/>
        </w:rPr>
        <w:t>аудиторские</w:t>
      </w:r>
      <w:r w:rsidR="00814776">
        <w:rPr>
          <w:lang w:val="ru-RU"/>
        </w:rPr>
        <w:t xml:space="preserve"> учреждения (</w:t>
      </w:r>
      <w:proofErr w:type="spellStart"/>
      <w:r w:rsidR="00814776">
        <w:rPr>
          <w:lang w:val="ru-RU"/>
        </w:rPr>
        <w:t>В</w:t>
      </w:r>
      <w:r w:rsidR="00AB3108">
        <w:rPr>
          <w:lang w:val="ru-RU"/>
        </w:rPr>
        <w:t>А</w:t>
      </w:r>
      <w:r w:rsidR="00814776">
        <w:rPr>
          <w:lang w:val="ru-RU"/>
        </w:rPr>
        <w:t>У</w:t>
      </w:r>
      <w:proofErr w:type="spellEnd"/>
      <w:r w:rsidR="00814776">
        <w:rPr>
          <w:lang w:val="ru-RU"/>
        </w:rPr>
        <w:t xml:space="preserve">) о том, что </w:t>
      </w:r>
      <w:r w:rsidR="00814776" w:rsidRPr="00F41791">
        <w:t>RFP</w:t>
      </w:r>
      <w:r w:rsidR="00814776">
        <w:rPr>
          <w:lang w:val="ru-RU"/>
        </w:rPr>
        <w:t xml:space="preserve"> был</w:t>
      </w:r>
      <w:r w:rsidR="008C4292">
        <w:rPr>
          <w:lang w:val="ru-RU"/>
        </w:rPr>
        <w:t>о</w:t>
      </w:r>
      <w:r w:rsidR="00814776">
        <w:rPr>
          <w:lang w:val="ru-RU"/>
        </w:rPr>
        <w:t xml:space="preserve"> опубликован</w:t>
      </w:r>
      <w:r w:rsidR="008C4292">
        <w:rPr>
          <w:lang w:val="ru-RU"/>
        </w:rPr>
        <w:t>о</w:t>
      </w:r>
      <w:r w:rsidR="00814776">
        <w:rPr>
          <w:lang w:val="ru-RU"/>
        </w:rPr>
        <w:t xml:space="preserve"> на веб-странице Совета МСЭ в </w:t>
      </w:r>
      <w:r w:rsidR="00814776" w:rsidRPr="00814776">
        <w:rPr>
          <w:lang w:val="ru-RU"/>
        </w:rPr>
        <w:t xml:space="preserve">разделе </w:t>
      </w:r>
      <w:r w:rsidR="00B27896" w:rsidRPr="00B27896">
        <w:rPr>
          <w:lang w:val="ru-RU"/>
        </w:rPr>
        <w:t xml:space="preserve">"Документация общего характера" </w:t>
      </w:r>
      <w:r w:rsidR="008C4292" w:rsidRPr="008C4292">
        <w:rPr>
          <w:lang w:val="ru-RU"/>
        </w:rPr>
        <w:t>(</w:t>
      </w:r>
      <w:hyperlink r:id="rId12" w:history="1">
        <w:r w:rsidR="008C4292" w:rsidRPr="00F41791">
          <w:rPr>
            <w:rStyle w:val="Hyperlink"/>
          </w:rPr>
          <w:t>https</w:t>
        </w:r>
        <w:r w:rsidR="008C4292" w:rsidRPr="008C4292">
          <w:rPr>
            <w:rStyle w:val="Hyperlink"/>
            <w:lang w:val="ru-RU"/>
          </w:rPr>
          <w:t>://</w:t>
        </w:r>
        <w:r w:rsidR="008C4292" w:rsidRPr="00F41791">
          <w:rPr>
            <w:rStyle w:val="Hyperlink"/>
          </w:rPr>
          <w:t>www</w:t>
        </w:r>
        <w:r w:rsidR="008C4292" w:rsidRPr="008C4292">
          <w:rPr>
            <w:rStyle w:val="Hyperlink"/>
            <w:lang w:val="ru-RU"/>
          </w:rPr>
          <w:t>.</w:t>
        </w:r>
        <w:proofErr w:type="spellStart"/>
        <w:r w:rsidR="008C4292" w:rsidRPr="00F41791">
          <w:rPr>
            <w:rStyle w:val="Hyperlink"/>
          </w:rPr>
          <w:t>itu</w:t>
        </w:r>
        <w:proofErr w:type="spellEnd"/>
        <w:r w:rsidR="008C4292" w:rsidRPr="008C4292">
          <w:rPr>
            <w:rStyle w:val="Hyperlink"/>
            <w:lang w:val="ru-RU"/>
          </w:rPr>
          <w:t>.</w:t>
        </w:r>
        <w:proofErr w:type="spellStart"/>
        <w:r w:rsidR="008C4292" w:rsidRPr="00F41791">
          <w:rPr>
            <w:rStyle w:val="Hyperlink"/>
          </w:rPr>
          <w:t>int</w:t>
        </w:r>
        <w:proofErr w:type="spellEnd"/>
        <w:r w:rsidR="008C4292" w:rsidRPr="008C4292">
          <w:rPr>
            <w:rStyle w:val="Hyperlink"/>
            <w:lang w:val="ru-RU"/>
          </w:rPr>
          <w:t>/</w:t>
        </w:r>
        <w:proofErr w:type="spellStart"/>
        <w:r w:rsidR="008C4292" w:rsidRPr="00F41791">
          <w:rPr>
            <w:rStyle w:val="Hyperlink"/>
          </w:rPr>
          <w:t>en</w:t>
        </w:r>
        <w:proofErr w:type="spellEnd"/>
        <w:r w:rsidR="008C4292" w:rsidRPr="008C4292">
          <w:rPr>
            <w:rStyle w:val="Hyperlink"/>
            <w:lang w:val="ru-RU"/>
          </w:rPr>
          <w:t>/</w:t>
        </w:r>
        <w:r w:rsidR="008C4292" w:rsidRPr="00F41791">
          <w:rPr>
            <w:rStyle w:val="Hyperlink"/>
          </w:rPr>
          <w:t>council</w:t>
        </w:r>
        <w:r w:rsidR="008C4292" w:rsidRPr="008C4292">
          <w:rPr>
            <w:rStyle w:val="Hyperlink"/>
            <w:lang w:val="ru-RU"/>
          </w:rPr>
          <w:t>/</w:t>
        </w:r>
        <w:r w:rsidR="008C4292" w:rsidRPr="00F41791">
          <w:rPr>
            <w:rStyle w:val="Hyperlink"/>
          </w:rPr>
          <w:t>Pages</w:t>
        </w:r>
        <w:r w:rsidR="008C4292" w:rsidRPr="008C4292">
          <w:rPr>
            <w:rStyle w:val="Hyperlink"/>
            <w:lang w:val="ru-RU"/>
          </w:rPr>
          <w:t>/</w:t>
        </w:r>
        <w:r w:rsidR="008C4292" w:rsidRPr="00F41791">
          <w:rPr>
            <w:rStyle w:val="Hyperlink"/>
          </w:rPr>
          <w:t>documents</w:t>
        </w:r>
        <w:r w:rsidR="008C4292" w:rsidRPr="008C4292">
          <w:rPr>
            <w:rStyle w:val="Hyperlink"/>
            <w:lang w:val="ru-RU"/>
          </w:rPr>
          <w:t>.</w:t>
        </w:r>
        <w:proofErr w:type="spellStart"/>
        <w:r w:rsidR="008C4292" w:rsidRPr="00F41791">
          <w:rPr>
            <w:rStyle w:val="Hyperlink"/>
          </w:rPr>
          <w:t>aspx</w:t>
        </w:r>
        <w:proofErr w:type="spellEnd"/>
      </w:hyperlink>
      <w:r w:rsidR="008C4292" w:rsidRPr="008C4292">
        <w:rPr>
          <w:lang w:val="ru-RU"/>
        </w:rPr>
        <w:t>)</w:t>
      </w:r>
      <w:r w:rsidR="008C4292">
        <w:rPr>
          <w:lang w:val="ru-RU"/>
        </w:rPr>
        <w:t xml:space="preserve">. </w:t>
      </w:r>
    </w:p>
    <w:p w:rsidR="0089506E" w:rsidRPr="0089506E" w:rsidRDefault="00F41791" w:rsidP="00BD7D11">
      <w:pPr>
        <w:rPr>
          <w:lang w:val="ru-RU"/>
        </w:rPr>
      </w:pPr>
      <w:r w:rsidRPr="00F41791">
        <w:rPr>
          <w:lang w:val="ru-RU"/>
        </w:rPr>
        <w:t>5</w:t>
      </w:r>
      <w:r w:rsidRPr="00F41791">
        <w:rPr>
          <w:lang w:val="ru-RU"/>
        </w:rPr>
        <w:tab/>
      </w:r>
      <w:r w:rsidR="00B10DB3">
        <w:rPr>
          <w:lang w:val="ru-RU"/>
        </w:rPr>
        <w:t>В</w:t>
      </w:r>
      <w:r w:rsidR="00B10DB3" w:rsidRPr="00B10DB3">
        <w:rPr>
          <w:lang w:val="ru-RU"/>
        </w:rPr>
        <w:t xml:space="preserve"> </w:t>
      </w:r>
      <w:r w:rsidR="00B10DB3">
        <w:rPr>
          <w:lang w:val="en-US"/>
        </w:rPr>
        <w:t>RFP</w:t>
      </w:r>
      <w:r w:rsidR="00B10DB3">
        <w:rPr>
          <w:lang w:val="ru-RU"/>
        </w:rPr>
        <w:t xml:space="preserve"> были указаны</w:t>
      </w:r>
      <w:r w:rsidR="00B10DB3" w:rsidRPr="00B10DB3">
        <w:rPr>
          <w:lang w:val="ru-RU"/>
        </w:rPr>
        <w:t xml:space="preserve"> </w:t>
      </w:r>
      <w:r w:rsidR="00B10DB3" w:rsidRPr="00F41791">
        <w:rPr>
          <w:lang w:val="ru-RU"/>
        </w:rPr>
        <w:t xml:space="preserve">подробные </w:t>
      </w:r>
      <w:r w:rsidRPr="00F41791">
        <w:rPr>
          <w:lang w:val="ru-RU"/>
        </w:rPr>
        <w:t xml:space="preserve">инструкции и конкретные сроки, включая возможность для заинтересованных сторон запросить дополнительную информацию через Отдел закупок </w:t>
      </w:r>
      <w:r w:rsidR="00B10DB3">
        <w:rPr>
          <w:lang w:val="ru-RU"/>
        </w:rPr>
        <w:t xml:space="preserve">МСЭ </w:t>
      </w:r>
      <w:r w:rsidRPr="00F41791">
        <w:rPr>
          <w:lang w:val="ru-RU"/>
        </w:rPr>
        <w:t>до 15</w:t>
      </w:r>
      <w:r>
        <w:rPr>
          <w:lang w:val="ru-RU"/>
        </w:rPr>
        <w:t> </w:t>
      </w:r>
      <w:r w:rsidRPr="00F41791">
        <w:rPr>
          <w:lang w:val="ru-RU"/>
        </w:rPr>
        <w:t xml:space="preserve">февраля 2019 года. </w:t>
      </w:r>
      <w:r w:rsidR="00B10DB3" w:rsidRPr="00F41791">
        <w:rPr>
          <w:lang w:val="ru-RU"/>
        </w:rPr>
        <w:t>Предельны</w:t>
      </w:r>
      <w:r w:rsidR="00B10DB3">
        <w:rPr>
          <w:lang w:val="ru-RU"/>
        </w:rPr>
        <w:t>й</w:t>
      </w:r>
      <w:r w:rsidR="00B10DB3" w:rsidRPr="00B10DB3">
        <w:rPr>
          <w:lang w:val="ru-RU"/>
        </w:rPr>
        <w:t xml:space="preserve"> </w:t>
      </w:r>
      <w:r w:rsidR="00B10DB3">
        <w:rPr>
          <w:lang w:val="ru-RU"/>
        </w:rPr>
        <w:t>срок</w:t>
      </w:r>
      <w:r w:rsidRPr="00B10DB3">
        <w:rPr>
          <w:lang w:val="ru-RU"/>
        </w:rPr>
        <w:t xml:space="preserve"> </w:t>
      </w:r>
      <w:r w:rsidR="00B10DB3">
        <w:rPr>
          <w:lang w:val="ru-RU"/>
        </w:rPr>
        <w:t xml:space="preserve">для </w:t>
      </w:r>
      <w:r w:rsidRPr="00F41791">
        <w:rPr>
          <w:lang w:val="ru-RU"/>
        </w:rPr>
        <w:t>представления</w:t>
      </w:r>
      <w:r w:rsidRPr="00B10DB3">
        <w:rPr>
          <w:lang w:val="ru-RU"/>
        </w:rPr>
        <w:t xml:space="preserve"> </w:t>
      </w:r>
      <w:r w:rsidRPr="00F41791">
        <w:rPr>
          <w:lang w:val="ru-RU"/>
        </w:rPr>
        <w:t>предложений</w:t>
      </w:r>
      <w:r w:rsidRPr="00B10DB3">
        <w:rPr>
          <w:lang w:val="ru-RU"/>
        </w:rPr>
        <w:t xml:space="preserve"> </w:t>
      </w:r>
      <w:r w:rsidR="00B10DB3">
        <w:rPr>
          <w:lang w:val="ru-RU"/>
        </w:rPr>
        <w:t>был назначен на</w:t>
      </w:r>
      <w:r w:rsidRPr="00B10DB3">
        <w:rPr>
          <w:lang w:val="ru-RU"/>
        </w:rPr>
        <w:t xml:space="preserve"> 15</w:t>
      </w:r>
      <w:r w:rsidRPr="00137A26">
        <w:t> </w:t>
      </w:r>
      <w:r w:rsidRPr="00F41791">
        <w:rPr>
          <w:lang w:val="ru-RU"/>
        </w:rPr>
        <w:t>марта</w:t>
      </w:r>
      <w:r w:rsidRPr="00B10DB3">
        <w:rPr>
          <w:lang w:val="ru-RU"/>
        </w:rPr>
        <w:t xml:space="preserve"> 2019</w:t>
      </w:r>
      <w:r w:rsidRPr="00137A26">
        <w:t> </w:t>
      </w:r>
      <w:r w:rsidRPr="00F41791">
        <w:rPr>
          <w:lang w:val="ru-RU"/>
        </w:rPr>
        <w:t>года</w:t>
      </w:r>
      <w:r w:rsidRPr="00B10DB3">
        <w:rPr>
          <w:lang w:val="ru-RU"/>
        </w:rPr>
        <w:t xml:space="preserve">. </w:t>
      </w:r>
      <w:r w:rsidR="00B10DB3">
        <w:rPr>
          <w:lang w:val="ru-RU"/>
        </w:rPr>
        <w:t xml:space="preserve">Кроме того, в инструкциях говорилось, что представления должны составляться на английском или французском языках и что техническая информация должна быть представлена в </w:t>
      </w:r>
      <w:r w:rsidR="00B10DB3" w:rsidRPr="00BD7D11">
        <w:rPr>
          <w:lang w:val="ru-RU"/>
        </w:rPr>
        <w:t xml:space="preserve">техническом </w:t>
      </w:r>
      <w:r w:rsidR="00BD7D11" w:rsidRPr="00BD7D11">
        <w:rPr>
          <w:lang w:val="ru-RU"/>
        </w:rPr>
        <w:t>конверте</w:t>
      </w:r>
      <w:r w:rsidR="00B10DB3" w:rsidRPr="00BD7D11">
        <w:rPr>
          <w:lang w:val="ru-RU"/>
        </w:rPr>
        <w:t xml:space="preserve"> отдельно от финансовой информации, которая должна быть представлена в финан</w:t>
      </w:r>
      <w:r w:rsidR="00BD7D11" w:rsidRPr="00BD7D11">
        <w:rPr>
          <w:lang w:val="ru-RU"/>
        </w:rPr>
        <w:t>совом конверте</w:t>
      </w:r>
      <w:r w:rsidR="00B10DB3" w:rsidRPr="00BD7D11">
        <w:rPr>
          <w:lang w:val="ru-RU"/>
        </w:rPr>
        <w:t>.</w:t>
      </w:r>
      <w:r w:rsidR="00B10DB3">
        <w:rPr>
          <w:lang w:val="ru-RU"/>
        </w:rPr>
        <w:t xml:space="preserve"> </w:t>
      </w:r>
      <w:r w:rsidR="0089506E">
        <w:rPr>
          <w:lang w:val="ru-RU"/>
        </w:rPr>
        <w:t xml:space="preserve">Разделение финансовой и технической информации представляет собой формальное требование, выполнение которого является обязательным для того, чтобы представление было признано приемлемым. Цель разделения технической и финансовой информации заключается в том, чтобы сначала можно было открыть и оценить </w:t>
      </w:r>
      <w:r w:rsidR="0089506E" w:rsidRPr="00E44FE2">
        <w:rPr>
          <w:lang w:val="ru-RU"/>
        </w:rPr>
        <w:t xml:space="preserve">технические </w:t>
      </w:r>
      <w:r w:rsidR="00BD7D11">
        <w:rPr>
          <w:lang w:val="ru-RU"/>
        </w:rPr>
        <w:t>конверты</w:t>
      </w:r>
      <w:r w:rsidR="0089506E" w:rsidRPr="00E44FE2">
        <w:rPr>
          <w:lang w:val="ru-RU"/>
        </w:rPr>
        <w:t>, и только потом – финансовые. Это позволяет избежать неуместного влияния</w:t>
      </w:r>
      <w:r w:rsidR="0089506E">
        <w:rPr>
          <w:lang w:val="ru-RU"/>
        </w:rPr>
        <w:t xml:space="preserve"> ценового фактора при оценке технических предложений. </w:t>
      </w:r>
    </w:p>
    <w:p w:rsidR="0089506E" w:rsidRPr="008E235D" w:rsidRDefault="00F41791" w:rsidP="00E44781">
      <w:pPr>
        <w:rPr>
          <w:lang w:val="ru-RU"/>
        </w:rPr>
      </w:pPr>
      <w:r w:rsidRPr="0089506E">
        <w:rPr>
          <w:lang w:val="ru-RU"/>
        </w:rPr>
        <w:t>6</w:t>
      </w:r>
      <w:r w:rsidRPr="0089506E">
        <w:rPr>
          <w:lang w:val="ru-RU"/>
        </w:rPr>
        <w:tab/>
      </w:r>
      <w:r w:rsidR="0089506E">
        <w:rPr>
          <w:lang w:val="ru-RU"/>
        </w:rPr>
        <w:t>К установленному предельному сроку свои предложения представили два В</w:t>
      </w:r>
      <w:r w:rsidR="00E44781">
        <w:rPr>
          <w:lang w:val="ru-RU"/>
        </w:rPr>
        <w:t>А</w:t>
      </w:r>
      <w:r w:rsidR="0089506E">
        <w:rPr>
          <w:lang w:val="ru-RU"/>
        </w:rPr>
        <w:t xml:space="preserve">У. После </w:t>
      </w:r>
      <w:r w:rsidR="00BD7D11">
        <w:rPr>
          <w:lang w:val="ru-RU"/>
        </w:rPr>
        <w:t>вскрытия</w:t>
      </w:r>
      <w:r w:rsidR="0089506E">
        <w:rPr>
          <w:lang w:val="ru-RU"/>
        </w:rPr>
        <w:t xml:space="preserve"> </w:t>
      </w:r>
      <w:r w:rsidR="00BD7D11">
        <w:rPr>
          <w:lang w:val="ru-RU"/>
        </w:rPr>
        <w:t>технических конвертов</w:t>
      </w:r>
      <w:r w:rsidR="0089506E">
        <w:rPr>
          <w:lang w:val="ru-RU"/>
        </w:rPr>
        <w:t xml:space="preserve"> Отдел закупок МСЭ обнаружил, что одно В</w:t>
      </w:r>
      <w:r w:rsidR="00E44781">
        <w:rPr>
          <w:lang w:val="ru-RU"/>
        </w:rPr>
        <w:t>А</w:t>
      </w:r>
      <w:r w:rsidR="0089506E">
        <w:rPr>
          <w:lang w:val="ru-RU"/>
        </w:rPr>
        <w:t xml:space="preserve">У не выполнило формальное требование в отношении представлений, включив финансовую информацию в </w:t>
      </w:r>
      <w:r w:rsidR="00250E96">
        <w:rPr>
          <w:lang w:val="ru-RU"/>
        </w:rPr>
        <w:t xml:space="preserve">технический </w:t>
      </w:r>
      <w:r w:rsidR="00665313">
        <w:rPr>
          <w:lang w:val="ru-RU"/>
        </w:rPr>
        <w:t>конверт</w:t>
      </w:r>
      <w:r w:rsidR="00250E96">
        <w:rPr>
          <w:lang w:val="ru-RU"/>
        </w:rPr>
        <w:t xml:space="preserve">. Это является нарушением формального требования к представлениям, которое изложено в разделе </w:t>
      </w:r>
      <w:r w:rsidR="00250E96" w:rsidRPr="00250E96">
        <w:rPr>
          <w:lang w:val="ru-RU"/>
        </w:rPr>
        <w:t>4.1.1</w:t>
      </w:r>
      <w:r w:rsidR="00250E96">
        <w:rPr>
          <w:lang w:val="ru-RU"/>
        </w:rPr>
        <w:t xml:space="preserve"> </w:t>
      </w:r>
      <w:r w:rsidR="00250E96" w:rsidRPr="00F41791">
        <w:t>RFP</w:t>
      </w:r>
      <w:r w:rsidR="00250E96">
        <w:rPr>
          <w:lang w:val="ru-RU"/>
        </w:rPr>
        <w:t xml:space="preserve"> и гласит: </w:t>
      </w:r>
      <w:r w:rsidR="00B27896" w:rsidRPr="00E44781">
        <w:rPr>
          <w:lang w:val="ru-RU"/>
        </w:rPr>
        <w:t>"</w:t>
      </w:r>
      <w:r w:rsidR="00250E96" w:rsidRPr="00250E96">
        <w:rPr>
          <w:i/>
          <w:iCs/>
          <w:lang w:val="ru-RU"/>
        </w:rPr>
        <w:t>В техническом предложении не должно содержаться какой-бы то ни было коммерческой информации или информации о ценах. Невыполнение этого правила влечет за собой дисквалификацию</w:t>
      </w:r>
      <w:r w:rsidR="00250E96" w:rsidRPr="00E44781">
        <w:rPr>
          <w:lang w:val="ru-RU"/>
        </w:rPr>
        <w:t>"</w:t>
      </w:r>
      <w:r w:rsidR="00250E96">
        <w:rPr>
          <w:lang w:val="ru-RU"/>
        </w:rPr>
        <w:t>. Вторым</w:t>
      </w:r>
      <w:r w:rsidR="00250E96" w:rsidRPr="008E235D">
        <w:rPr>
          <w:lang w:val="ru-RU"/>
        </w:rPr>
        <w:t xml:space="preserve"> </w:t>
      </w:r>
      <w:r w:rsidR="00250E96">
        <w:rPr>
          <w:lang w:val="ru-RU"/>
        </w:rPr>
        <w:t>В</w:t>
      </w:r>
      <w:r w:rsidR="00E44781">
        <w:rPr>
          <w:lang w:val="ru-RU"/>
        </w:rPr>
        <w:t>А</w:t>
      </w:r>
      <w:r w:rsidR="00250E96">
        <w:rPr>
          <w:lang w:val="ru-RU"/>
        </w:rPr>
        <w:t>У</w:t>
      </w:r>
      <w:r w:rsidR="00250E96" w:rsidRPr="008E235D">
        <w:rPr>
          <w:lang w:val="ru-RU"/>
        </w:rPr>
        <w:t xml:space="preserve"> </w:t>
      </w:r>
      <w:r w:rsidR="00250E96">
        <w:rPr>
          <w:lang w:val="ru-RU"/>
        </w:rPr>
        <w:t>это</w:t>
      </w:r>
      <w:r w:rsidR="00250E96" w:rsidRPr="008E235D">
        <w:rPr>
          <w:lang w:val="ru-RU"/>
        </w:rPr>
        <w:t xml:space="preserve"> </w:t>
      </w:r>
      <w:r w:rsidR="00250E96">
        <w:rPr>
          <w:lang w:val="ru-RU"/>
        </w:rPr>
        <w:t>формальное</w:t>
      </w:r>
      <w:r w:rsidR="00250E96" w:rsidRPr="008E235D">
        <w:rPr>
          <w:lang w:val="ru-RU"/>
        </w:rPr>
        <w:t xml:space="preserve"> </w:t>
      </w:r>
      <w:r w:rsidR="00250E96">
        <w:rPr>
          <w:lang w:val="ru-RU"/>
        </w:rPr>
        <w:t>требование</w:t>
      </w:r>
      <w:r w:rsidR="00250E96" w:rsidRPr="008E235D">
        <w:rPr>
          <w:lang w:val="ru-RU"/>
        </w:rPr>
        <w:t xml:space="preserve"> </w:t>
      </w:r>
      <w:r w:rsidR="00250E96">
        <w:rPr>
          <w:lang w:val="ru-RU"/>
        </w:rPr>
        <w:t>было</w:t>
      </w:r>
      <w:r w:rsidR="00250E96" w:rsidRPr="008E235D">
        <w:rPr>
          <w:lang w:val="ru-RU"/>
        </w:rPr>
        <w:t xml:space="preserve"> </w:t>
      </w:r>
      <w:r w:rsidR="00250E96">
        <w:rPr>
          <w:lang w:val="ru-RU"/>
        </w:rPr>
        <w:t>выполнено</w:t>
      </w:r>
      <w:r w:rsidR="00250E96" w:rsidRPr="008E235D">
        <w:rPr>
          <w:lang w:val="ru-RU"/>
        </w:rPr>
        <w:t xml:space="preserve">. </w:t>
      </w:r>
    </w:p>
    <w:p w:rsidR="00250E96" w:rsidRPr="0060184E" w:rsidRDefault="00F41791" w:rsidP="00231E2A">
      <w:pPr>
        <w:rPr>
          <w:lang w:val="ru-RU"/>
        </w:rPr>
      </w:pPr>
      <w:r w:rsidRPr="00250E96">
        <w:rPr>
          <w:lang w:val="ru-RU"/>
        </w:rPr>
        <w:t>7</w:t>
      </w:r>
      <w:r w:rsidRPr="00250E96">
        <w:rPr>
          <w:lang w:val="ru-RU"/>
        </w:rPr>
        <w:tab/>
      </w:r>
      <w:r w:rsidR="00250E96">
        <w:rPr>
          <w:lang w:val="ru-RU"/>
        </w:rPr>
        <w:t>Секретариат сообщил об этом Комитету по оценке, который внимательно изучил этот вопрос, получив разъяснения от Отдела закупок МСЭ</w:t>
      </w:r>
      <w:r w:rsidR="00965BBD">
        <w:rPr>
          <w:lang w:val="ru-RU"/>
        </w:rPr>
        <w:t>, а также от</w:t>
      </w:r>
      <w:r w:rsidR="00250E96">
        <w:rPr>
          <w:lang w:val="ru-RU"/>
        </w:rPr>
        <w:t xml:space="preserve"> Председателя</w:t>
      </w:r>
      <w:r w:rsidR="00250E96" w:rsidRPr="00250E96">
        <w:rPr>
          <w:lang w:val="ru-RU"/>
        </w:rPr>
        <w:t xml:space="preserve"> </w:t>
      </w:r>
      <w:r w:rsidR="00250E96" w:rsidRPr="00F41791">
        <w:t>IMAC</w:t>
      </w:r>
      <w:r w:rsidR="00250E96">
        <w:rPr>
          <w:lang w:val="ru-RU"/>
        </w:rPr>
        <w:t xml:space="preserve"> относител</w:t>
      </w:r>
      <w:r w:rsidR="00A079FC">
        <w:rPr>
          <w:lang w:val="ru-RU"/>
        </w:rPr>
        <w:t xml:space="preserve">ьно того, как лучше поступить в сложившейся ситуации, когда одно предложение соответствует формальным требованиям, а второе – нет. </w:t>
      </w:r>
      <w:r w:rsidR="001946BC">
        <w:rPr>
          <w:lang w:val="ru-RU"/>
        </w:rPr>
        <w:t>Следует отметить, что Комитет</w:t>
      </w:r>
      <w:r w:rsidR="0060184E">
        <w:rPr>
          <w:lang w:val="ru-RU"/>
        </w:rPr>
        <w:t>у</w:t>
      </w:r>
      <w:r w:rsidR="001946BC">
        <w:rPr>
          <w:lang w:val="ru-RU"/>
        </w:rPr>
        <w:t xml:space="preserve"> по оценке </w:t>
      </w:r>
      <w:r w:rsidR="0060184E">
        <w:rPr>
          <w:lang w:val="ru-RU"/>
        </w:rPr>
        <w:t>техническ</w:t>
      </w:r>
      <w:r w:rsidR="00231E2A">
        <w:rPr>
          <w:lang w:val="ru-RU"/>
        </w:rPr>
        <w:t>и</w:t>
      </w:r>
      <w:r w:rsidR="0060184E">
        <w:rPr>
          <w:lang w:val="ru-RU"/>
        </w:rPr>
        <w:t xml:space="preserve">е предложения не передавались, и, соответственно, содержимое представлений он не изучал. </w:t>
      </w:r>
    </w:p>
    <w:p w:rsidR="00FB4F4B" w:rsidRPr="002F27AC" w:rsidRDefault="00F41791" w:rsidP="00232985">
      <w:pPr>
        <w:rPr>
          <w:lang w:val="ru-RU"/>
        </w:rPr>
      </w:pPr>
      <w:r w:rsidRPr="002F27AC">
        <w:rPr>
          <w:lang w:val="ru-RU"/>
        </w:rPr>
        <w:t>8</w:t>
      </w:r>
      <w:r w:rsidRPr="002F27AC">
        <w:rPr>
          <w:lang w:val="ru-RU"/>
        </w:rPr>
        <w:tab/>
      </w:r>
      <w:r w:rsidR="00FB4F4B">
        <w:rPr>
          <w:lang w:val="ru-RU"/>
        </w:rPr>
        <w:t xml:space="preserve">Председатель </w:t>
      </w:r>
      <w:r w:rsidRPr="00F41791">
        <w:t>IMAC</w:t>
      </w:r>
      <w:r w:rsidRPr="002F27AC">
        <w:rPr>
          <w:lang w:val="ru-RU"/>
        </w:rPr>
        <w:t xml:space="preserve"> </w:t>
      </w:r>
      <w:r w:rsidR="00036861">
        <w:rPr>
          <w:lang w:val="ru-RU"/>
        </w:rPr>
        <w:t xml:space="preserve">дополнительно </w:t>
      </w:r>
      <w:r w:rsidR="00FB4F4B">
        <w:rPr>
          <w:lang w:val="ru-RU"/>
        </w:rPr>
        <w:t xml:space="preserve">представил </w:t>
      </w:r>
      <w:r w:rsidR="002F27AC">
        <w:rPr>
          <w:lang w:val="ru-RU"/>
        </w:rPr>
        <w:t>соображения о</w:t>
      </w:r>
      <w:r w:rsidR="00036861">
        <w:rPr>
          <w:lang w:val="ru-RU"/>
        </w:rPr>
        <w:t>тносительно</w:t>
      </w:r>
      <w:r w:rsidR="002F27AC">
        <w:rPr>
          <w:lang w:val="ru-RU"/>
        </w:rPr>
        <w:t xml:space="preserve"> то</w:t>
      </w:r>
      <w:r w:rsidR="00036861">
        <w:rPr>
          <w:lang w:val="ru-RU"/>
        </w:rPr>
        <w:t>го</w:t>
      </w:r>
      <w:r w:rsidR="002F27AC">
        <w:rPr>
          <w:lang w:val="ru-RU"/>
        </w:rPr>
        <w:t xml:space="preserve">, что </w:t>
      </w:r>
      <w:r w:rsidR="00E44FE2">
        <w:rPr>
          <w:lang w:val="ru-RU"/>
        </w:rPr>
        <w:t xml:space="preserve">эффективнее было </w:t>
      </w:r>
      <w:r w:rsidR="009E3D3B">
        <w:rPr>
          <w:lang w:val="ru-RU"/>
        </w:rPr>
        <w:t xml:space="preserve">бы </w:t>
      </w:r>
      <w:r w:rsidR="00E44FE2">
        <w:rPr>
          <w:lang w:val="ru-RU"/>
        </w:rPr>
        <w:t>рассмотреть</w:t>
      </w:r>
      <w:r w:rsidR="002F27AC">
        <w:rPr>
          <w:lang w:val="ru-RU"/>
        </w:rPr>
        <w:t xml:space="preserve"> более одного предложения, поскольку это позволило бы обеспечить конкуренцию и снизить риск</w:t>
      </w:r>
      <w:r w:rsidR="002F27AC" w:rsidRPr="002F27AC">
        <w:rPr>
          <w:lang w:val="ru-RU"/>
        </w:rPr>
        <w:t xml:space="preserve"> </w:t>
      </w:r>
      <w:r w:rsidR="002F27AC">
        <w:rPr>
          <w:lang w:val="ru-RU"/>
        </w:rPr>
        <w:t xml:space="preserve">отсутствия </w:t>
      </w:r>
      <w:r w:rsidR="00232985">
        <w:rPr>
          <w:lang w:val="ru-RU"/>
        </w:rPr>
        <w:t>приемлемого</w:t>
      </w:r>
      <w:r w:rsidR="002F27AC">
        <w:rPr>
          <w:lang w:val="ru-RU"/>
        </w:rPr>
        <w:t xml:space="preserve"> предложения в случае, если единственное предложение не будет соответствовать требованиям </w:t>
      </w:r>
      <w:r w:rsidR="002F27AC" w:rsidRPr="00F41791">
        <w:t>RFP</w:t>
      </w:r>
      <w:r w:rsidR="002F27AC">
        <w:rPr>
          <w:lang w:val="ru-RU"/>
        </w:rPr>
        <w:t xml:space="preserve">. </w:t>
      </w:r>
    </w:p>
    <w:p w:rsidR="00F41791" w:rsidRPr="008E235D" w:rsidRDefault="007656EF" w:rsidP="007656EF">
      <w:pPr>
        <w:pStyle w:val="Headingb"/>
        <w:rPr>
          <w:lang w:val="ru-RU"/>
        </w:rPr>
      </w:pPr>
      <w:r>
        <w:rPr>
          <w:lang w:val="ru-RU"/>
        </w:rPr>
        <w:lastRenderedPageBreak/>
        <w:t>ПРОЦЕСС</w:t>
      </w:r>
      <w:r w:rsidRPr="008E235D">
        <w:rPr>
          <w:lang w:val="ru-RU"/>
        </w:rPr>
        <w:t xml:space="preserve"> </w:t>
      </w:r>
      <w:r>
        <w:rPr>
          <w:lang w:val="ru-RU"/>
        </w:rPr>
        <w:t>ПРИНЯТИЯ</w:t>
      </w:r>
      <w:r w:rsidRPr="008E235D">
        <w:rPr>
          <w:lang w:val="ru-RU"/>
        </w:rPr>
        <w:t xml:space="preserve"> </w:t>
      </w:r>
      <w:r>
        <w:rPr>
          <w:lang w:val="ru-RU"/>
        </w:rPr>
        <w:t>РЕШЕНИЯ</w:t>
      </w:r>
    </w:p>
    <w:p w:rsidR="007656EF" w:rsidRDefault="00F41791" w:rsidP="001300C4">
      <w:pPr>
        <w:keepNext/>
        <w:keepLines/>
        <w:rPr>
          <w:lang w:val="ru-RU"/>
        </w:rPr>
      </w:pPr>
      <w:r w:rsidRPr="007656EF">
        <w:rPr>
          <w:lang w:val="ru-RU"/>
        </w:rPr>
        <w:t>9</w:t>
      </w:r>
      <w:r w:rsidRPr="007656EF">
        <w:rPr>
          <w:lang w:val="ru-RU"/>
        </w:rPr>
        <w:tab/>
      </w:r>
      <w:r w:rsidR="007656EF">
        <w:rPr>
          <w:lang w:val="ru-RU"/>
        </w:rPr>
        <w:t>Беспристрастность и объективность Комитета по оценке ни внешне, ни фактически не</w:t>
      </w:r>
      <w:r w:rsidR="00362080">
        <w:rPr>
          <w:lang w:val="ru-RU"/>
        </w:rPr>
        <w:t>льзя было</w:t>
      </w:r>
      <w:r w:rsidR="007656EF">
        <w:rPr>
          <w:lang w:val="ru-RU"/>
        </w:rPr>
        <w:t xml:space="preserve"> подверг</w:t>
      </w:r>
      <w:r w:rsidR="00362080">
        <w:rPr>
          <w:lang w:val="ru-RU"/>
        </w:rPr>
        <w:t>нуть</w:t>
      </w:r>
      <w:r w:rsidR="007656EF">
        <w:rPr>
          <w:lang w:val="ru-RU"/>
        </w:rPr>
        <w:t xml:space="preserve"> сомнению на протяжении всего процесса принятия решения, и </w:t>
      </w:r>
      <w:r w:rsidR="00036861">
        <w:rPr>
          <w:lang w:val="ru-RU"/>
        </w:rPr>
        <w:t xml:space="preserve">в конечном итоге Комитету предстояло выбрать один из следующих </w:t>
      </w:r>
      <w:r w:rsidR="007656EF">
        <w:rPr>
          <w:lang w:val="ru-RU"/>
        </w:rPr>
        <w:t>вариант</w:t>
      </w:r>
      <w:r w:rsidR="00036861">
        <w:rPr>
          <w:lang w:val="ru-RU"/>
        </w:rPr>
        <w:t>ов</w:t>
      </w:r>
      <w:r w:rsidR="007656EF">
        <w:rPr>
          <w:lang w:val="ru-RU"/>
        </w:rPr>
        <w:t>:</w:t>
      </w:r>
    </w:p>
    <w:p w:rsidR="007656EF" w:rsidRPr="007656EF" w:rsidRDefault="00F41791" w:rsidP="007656EF">
      <w:pPr>
        <w:pStyle w:val="enumlev1"/>
        <w:rPr>
          <w:lang w:val="ru-RU"/>
        </w:rPr>
      </w:pPr>
      <w:r>
        <w:rPr>
          <w:lang w:val="en-US"/>
        </w:rPr>
        <w:t>i</w:t>
      </w:r>
      <w:r w:rsidRPr="007656EF">
        <w:rPr>
          <w:lang w:val="ru-RU"/>
        </w:rPr>
        <w:t>)</w:t>
      </w:r>
      <w:r w:rsidRPr="007656EF">
        <w:rPr>
          <w:lang w:val="ru-RU"/>
        </w:rPr>
        <w:tab/>
      </w:r>
      <w:r w:rsidR="007656EF">
        <w:rPr>
          <w:lang w:val="ru-RU"/>
        </w:rPr>
        <w:t>приступить к оценке единственного предложения, которое было представлено в соответствующей требованиям форме; или</w:t>
      </w:r>
      <w:r w:rsidR="00C458EC">
        <w:rPr>
          <w:lang w:val="ru-RU"/>
        </w:rPr>
        <w:t xml:space="preserve"> </w:t>
      </w:r>
    </w:p>
    <w:p w:rsidR="007656EF" w:rsidRPr="00BE47DC" w:rsidRDefault="00F41791" w:rsidP="001300C4">
      <w:pPr>
        <w:pStyle w:val="enumlev1"/>
        <w:rPr>
          <w:lang w:val="ru-RU"/>
        </w:rPr>
      </w:pPr>
      <w:r>
        <w:t>ii</w:t>
      </w:r>
      <w:r w:rsidRPr="00BE47DC">
        <w:rPr>
          <w:lang w:val="ru-RU"/>
        </w:rPr>
        <w:t>)</w:t>
      </w:r>
      <w:r w:rsidRPr="00BE47DC">
        <w:rPr>
          <w:lang w:val="ru-RU"/>
        </w:rPr>
        <w:tab/>
      </w:r>
      <w:r w:rsidR="007656EF">
        <w:rPr>
          <w:lang w:val="ru-RU"/>
        </w:rPr>
        <w:t>п</w:t>
      </w:r>
      <w:r w:rsidR="00036861">
        <w:rPr>
          <w:lang w:val="ru-RU"/>
        </w:rPr>
        <w:t xml:space="preserve">редставить </w:t>
      </w:r>
      <w:r w:rsidR="007656EF">
        <w:rPr>
          <w:lang w:val="ru-RU"/>
        </w:rPr>
        <w:t>Совету</w:t>
      </w:r>
      <w:r w:rsidR="007656EF">
        <w:rPr>
          <w:rStyle w:val="FootnoteReference"/>
          <w:lang w:val="ru-RU"/>
        </w:rPr>
        <w:footnoteReference w:id="2"/>
      </w:r>
      <w:r w:rsidR="00BE47DC">
        <w:rPr>
          <w:lang w:val="ru-RU"/>
        </w:rPr>
        <w:t xml:space="preserve"> </w:t>
      </w:r>
      <w:r w:rsidR="00036861">
        <w:rPr>
          <w:lang w:val="ru-RU"/>
        </w:rPr>
        <w:t xml:space="preserve">рекомендацию </w:t>
      </w:r>
      <w:r w:rsidR="00BE47DC">
        <w:rPr>
          <w:lang w:val="ru-RU"/>
        </w:rPr>
        <w:t xml:space="preserve">о том, что процесс следует начать заново, чтобы обеспечить больший выбор предложений, и что параллельно секретариату следует в неофициальном порядке проконсультироваться с действующим </w:t>
      </w:r>
      <w:r w:rsidR="00036861">
        <w:rPr>
          <w:lang w:val="ru-RU"/>
        </w:rPr>
        <w:t xml:space="preserve">(итальянским) Внешним </w:t>
      </w:r>
      <w:r w:rsidR="005977F0">
        <w:rPr>
          <w:lang w:val="ru-RU"/>
        </w:rPr>
        <w:t xml:space="preserve">аудитором </w:t>
      </w:r>
      <w:r w:rsidR="00BE47DC">
        <w:rPr>
          <w:lang w:val="ru-RU"/>
        </w:rPr>
        <w:t xml:space="preserve">относительно того, будет ли он готов </w:t>
      </w:r>
      <w:r w:rsidR="00362080">
        <w:rPr>
          <w:lang w:val="ru-RU"/>
        </w:rPr>
        <w:t>согласиться с</w:t>
      </w:r>
      <w:r w:rsidR="00BE47DC">
        <w:rPr>
          <w:lang w:val="ru-RU"/>
        </w:rPr>
        <w:t xml:space="preserve"> решение</w:t>
      </w:r>
      <w:r w:rsidR="00362080">
        <w:rPr>
          <w:lang w:val="ru-RU"/>
        </w:rPr>
        <w:t>м</w:t>
      </w:r>
      <w:r w:rsidR="00BE47DC">
        <w:rPr>
          <w:lang w:val="ru-RU"/>
        </w:rPr>
        <w:t xml:space="preserve"> Совета о продлении его мандата на дополнительный срок (которое </w:t>
      </w:r>
      <w:r w:rsidR="00C458EC">
        <w:rPr>
          <w:lang w:val="ru-RU"/>
        </w:rPr>
        <w:t>предстоит</w:t>
      </w:r>
      <w:r w:rsidR="00BE47DC">
        <w:rPr>
          <w:lang w:val="ru-RU"/>
        </w:rPr>
        <w:t xml:space="preserve"> принят</w:t>
      </w:r>
      <w:r w:rsidR="00C458EC">
        <w:rPr>
          <w:lang w:val="ru-RU"/>
        </w:rPr>
        <w:t>ь</w:t>
      </w:r>
      <w:r w:rsidR="00BE47DC">
        <w:rPr>
          <w:lang w:val="ru-RU"/>
        </w:rPr>
        <w:t xml:space="preserve"> на сессии Совета 2019 г</w:t>
      </w:r>
      <w:r w:rsidR="001300C4">
        <w:rPr>
          <w:lang w:val="ru-RU"/>
        </w:rPr>
        <w:t>.</w:t>
      </w:r>
      <w:r w:rsidR="00BE47DC">
        <w:rPr>
          <w:lang w:val="ru-RU"/>
        </w:rPr>
        <w:t xml:space="preserve">). </w:t>
      </w:r>
    </w:p>
    <w:p w:rsidR="00362080" w:rsidRPr="00362080" w:rsidRDefault="00362080" w:rsidP="00585C8C">
      <w:pPr>
        <w:rPr>
          <w:lang w:val="ru-RU"/>
        </w:rPr>
      </w:pPr>
      <w:r>
        <w:rPr>
          <w:lang w:val="ru-RU"/>
        </w:rPr>
        <w:t>По</w:t>
      </w:r>
      <w:r w:rsidRPr="00362080">
        <w:rPr>
          <w:lang w:val="ru-RU"/>
        </w:rPr>
        <w:t xml:space="preserve"> </w:t>
      </w:r>
      <w:r>
        <w:rPr>
          <w:lang w:val="ru-RU"/>
        </w:rPr>
        <w:t>итогам</w:t>
      </w:r>
      <w:r w:rsidRPr="00362080">
        <w:rPr>
          <w:lang w:val="ru-RU"/>
        </w:rPr>
        <w:t xml:space="preserve"> </w:t>
      </w:r>
      <w:r>
        <w:rPr>
          <w:lang w:val="ru-RU"/>
        </w:rPr>
        <w:t xml:space="preserve">обсуждения между членами Комитета по оценке </w:t>
      </w:r>
      <w:r w:rsidR="00585C8C">
        <w:rPr>
          <w:lang w:val="ru-RU"/>
        </w:rPr>
        <w:t xml:space="preserve">на основе консенсуса </w:t>
      </w:r>
      <w:r>
        <w:rPr>
          <w:lang w:val="ru-RU"/>
        </w:rPr>
        <w:t>был выбран второй вариант. Советник МСЭ по правовым</w:t>
      </w:r>
      <w:r w:rsidR="00585C8C">
        <w:rPr>
          <w:lang w:val="ru-RU"/>
        </w:rPr>
        <w:t xml:space="preserve"> вопросам изложил свое видение </w:t>
      </w:r>
      <w:r>
        <w:rPr>
          <w:lang w:val="ru-RU"/>
        </w:rPr>
        <w:t xml:space="preserve">процесса, который должен был последовать далее. </w:t>
      </w:r>
    </w:p>
    <w:p w:rsidR="00362080" w:rsidRPr="008E235D" w:rsidRDefault="00F41791" w:rsidP="001300C4">
      <w:pPr>
        <w:rPr>
          <w:lang w:val="ru-RU"/>
        </w:rPr>
      </w:pPr>
      <w:r w:rsidRPr="00362080">
        <w:rPr>
          <w:lang w:val="ru-RU"/>
        </w:rPr>
        <w:t>10</w:t>
      </w:r>
      <w:r w:rsidRPr="00362080">
        <w:rPr>
          <w:lang w:val="ru-RU"/>
        </w:rPr>
        <w:tab/>
      </w:r>
      <w:r w:rsidR="00362080">
        <w:rPr>
          <w:lang w:val="ru-RU"/>
        </w:rPr>
        <w:t>В соответствии с вариантом</w:t>
      </w:r>
      <w:r w:rsidR="00FE6056">
        <w:rPr>
          <w:lang w:val="ru-RU"/>
        </w:rPr>
        <w:t>,</w:t>
      </w:r>
      <w:r w:rsidR="00362080">
        <w:rPr>
          <w:lang w:val="ru-RU"/>
        </w:rPr>
        <w:t xml:space="preserve"> </w:t>
      </w:r>
      <w:r w:rsidR="00FE6056">
        <w:rPr>
          <w:lang w:val="ru-RU"/>
        </w:rPr>
        <w:t>выбранным Комитетом по оценке,</w:t>
      </w:r>
      <w:r w:rsidR="00665313">
        <w:rPr>
          <w:lang w:val="ru-RU"/>
        </w:rPr>
        <w:t xml:space="preserve"> и </w:t>
      </w:r>
      <w:r w:rsidR="00881D93">
        <w:rPr>
          <w:lang w:val="ru-RU"/>
        </w:rPr>
        <w:t>при условии последующего утверждения</w:t>
      </w:r>
      <w:r w:rsidR="00665313">
        <w:rPr>
          <w:lang w:val="ru-RU"/>
        </w:rPr>
        <w:t xml:space="preserve"> Совет</w:t>
      </w:r>
      <w:r w:rsidR="00881D93">
        <w:rPr>
          <w:lang w:val="ru-RU"/>
        </w:rPr>
        <w:t>ом</w:t>
      </w:r>
      <w:r w:rsidR="00FE6056">
        <w:rPr>
          <w:lang w:val="ru-RU"/>
        </w:rPr>
        <w:t xml:space="preserve"> </w:t>
      </w:r>
      <w:r w:rsidR="001300C4">
        <w:rPr>
          <w:lang w:val="ru-RU"/>
        </w:rPr>
        <w:t xml:space="preserve">Секретариат </w:t>
      </w:r>
      <w:r w:rsidR="00362080">
        <w:rPr>
          <w:lang w:val="ru-RU"/>
        </w:rPr>
        <w:t xml:space="preserve">по просьбе Комитета обратился к действующему </w:t>
      </w:r>
      <w:r w:rsidR="00585C8C">
        <w:rPr>
          <w:lang w:val="ru-RU"/>
        </w:rPr>
        <w:t xml:space="preserve">Внешнему </w:t>
      </w:r>
      <w:r w:rsidR="00362080">
        <w:rPr>
          <w:lang w:val="ru-RU"/>
        </w:rPr>
        <w:t xml:space="preserve">аудитору </w:t>
      </w:r>
      <w:r w:rsidR="00546B14">
        <w:rPr>
          <w:lang w:val="ru-RU"/>
        </w:rPr>
        <w:t>−</w:t>
      </w:r>
      <w:r w:rsidR="00362080">
        <w:rPr>
          <w:lang w:val="ru-RU"/>
        </w:rPr>
        <w:t xml:space="preserve"> сначала неофициально, а затем, после получения положительно</w:t>
      </w:r>
      <w:r w:rsidR="00881D93">
        <w:rPr>
          <w:lang w:val="ru-RU"/>
        </w:rPr>
        <w:t>го</w:t>
      </w:r>
      <w:r w:rsidR="00665313">
        <w:rPr>
          <w:lang w:val="ru-RU"/>
        </w:rPr>
        <w:t xml:space="preserve"> </w:t>
      </w:r>
      <w:r w:rsidR="00881D93">
        <w:rPr>
          <w:lang w:val="ru-RU"/>
        </w:rPr>
        <w:t>ответа</w:t>
      </w:r>
      <w:r w:rsidR="00362080">
        <w:rPr>
          <w:lang w:val="ru-RU"/>
        </w:rPr>
        <w:t>, в официальном порядке</w:t>
      </w:r>
      <w:r w:rsidR="0081391D">
        <w:rPr>
          <w:lang w:val="ru-RU"/>
        </w:rPr>
        <w:t>, </w:t>
      </w:r>
      <w:r w:rsidR="00546B14">
        <w:rPr>
          <w:lang w:val="ru-RU"/>
        </w:rPr>
        <w:t>−</w:t>
      </w:r>
      <w:r w:rsidR="00362080">
        <w:rPr>
          <w:lang w:val="ru-RU"/>
        </w:rPr>
        <w:t xml:space="preserve"> </w:t>
      </w:r>
      <w:r w:rsidR="0081391D">
        <w:rPr>
          <w:lang w:val="ru-RU"/>
        </w:rPr>
        <w:t xml:space="preserve">чтобы удостовериться в его готовности продолжить оказывать МСЭ услуги аудита. Письмо, в котором председатель итальянского аудитора </w:t>
      </w:r>
      <w:r w:rsidR="0081391D" w:rsidRPr="00F41791">
        <w:t>Corte</w:t>
      </w:r>
      <w:r w:rsidR="0081391D" w:rsidRPr="0081391D">
        <w:rPr>
          <w:lang w:val="ru-RU"/>
        </w:rPr>
        <w:t xml:space="preserve"> </w:t>
      </w:r>
      <w:r w:rsidR="0081391D" w:rsidRPr="00F41791">
        <w:t>dei</w:t>
      </w:r>
      <w:r w:rsidR="0081391D" w:rsidRPr="0081391D">
        <w:rPr>
          <w:lang w:val="ru-RU"/>
        </w:rPr>
        <w:t xml:space="preserve"> </w:t>
      </w:r>
      <w:r w:rsidR="0081391D" w:rsidRPr="00F41791">
        <w:t>Conti</w:t>
      </w:r>
      <w:r w:rsidR="0081391D">
        <w:rPr>
          <w:lang w:val="ru-RU"/>
        </w:rPr>
        <w:t xml:space="preserve"> уведомил Генеральн</w:t>
      </w:r>
      <w:r w:rsidR="00585C8C">
        <w:rPr>
          <w:lang w:val="ru-RU"/>
        </w:rPr>
        <w:t xml:space="preserve">ого </w:t>
      </w:r>
      <w:r w:rsidR="0081391D">
        <w:rPr>
          <w:lang w:val="ru-RU"/>
        </w:rPr>
        <w:t>секретар</w:t>
      </w:r>
      <w:r w:rsidR="00585C8C">
        <w:rPr>
          <w:lang w:val="ru-RU"/>
        </w:rPr>
        <w:t>я</w:t>
      </w:r>
      <w:r w:rsidR="0081391D">
        <w:rPr>
          <w:lang w:val="ru-RU"/>
        </w:rPr>
        <w:t xml:space="preserve"> о своей готовности к </w:t>
      </w:r>
      <w:r w:rsidR="00881D93">
        <w:rPr>
          <w:lang w:val="ru-RU"/>
        </w:rPr>
        <w:t>продлению</w:t>
      </w:r>
      <w:r w:rsidR="0081391D">
        <w:rPr>
          <w:lang w:val="ru-RU"/>
        </w:rPr>
        <w:t xml:space="preserve"> мандата на </w:t>
      </w:r>
      <w:r w:rsidR="00881D93">
        <w:rPr>
          <w:lang w:val="ru-RU"/>
        </w:rPr>
        <w:t xml:space="preserve">очередной </w:t>
      </w:r>
      <w:r w:rsidR="0081391D">
        <w:rPr>
          <w:lang w:val="ru-RU"/>
        </w:rPr>
        <w:t xml:space="preserve">двухгодичный период, приводится в Приложении А к настоящему отчету. </w:t>
      </w:r>
      <w:r w:rsidR="00881D93">
        <w:rPr>
          <w:lang w:val="ru-RU"/>
        </w:rPr>
        <w:t>Продление</w:t>
      </w:r>
      <w:r w:rsidR="0081391D">
        <w:rPr>
          <w:lang w:val="ru-RU"/>
        </w:rPr>
        <w:t xml:space="preserve"> мандат</w:t>
      </w:r>
      <w:r w:rsidR="00632F49">
        <w:rPr>
          <w:lang w:val="ru-RU"/>
        </w:rPr>
        <w:t xml:space="preserve">а </w:t>
      </w:r>
      <w:r w:rsidR="0081391D">
        <w:rPr>
          <w:lang w:val="ru-RU"/>
        </w:rPr>
        <w:t xml:space="preserve">на два года </w:t>
      </w:r>
      <w:r w:rsidR="00632F49">
        <w:rPr>
          <w:lang w:val="ru-RU"/>
        </w:rPr>
        <w:t>(аудиторская проверка счетов Союза в 2020 и 2021 г</w:t>
      </w:r>
      <w:r w:rsidR="001300C4">
        <w:rPr>
          <w:lang w:val="ru-RU"/>
        </w:rPr>
        <w:t>г.</w:t>
      </w:r>
      <w:r w:rsidR="00632F49">
        <w:rPr>
          <w:lang w:val="ru-RU"/>
        </w:rPr>
        <w:t xml:space="preserve">) </w:t>
      </w:r>
      <w:r w:rsidR="0081391D">
        <w:rPr>
          <w:lang w:val="ru-RU"/>
        </w:rPr>
        <w:t xml:space="preserve">вместо одного </w:t>
      </w:r>
      <w:r w:rsidR="00632F49">
        <w:rPr>
          <w:lang w:val="ru-RU"/>
        </w:rPr>
        <w:t xml:space="preserve">было </w:t>
      </w:r>
      <w:r w:rsidR="00881D93">
        <w:rPr>
          <w:lang w:val="ru-RU"/>
        </w:rPr>
        <w:t>обусловлено тем</w:t>
      </w:r>
      <w:r w:rsidR="0081391D">
        <w:rPr>
          <w:lang w:val="ru-RU"/>
        </w:rPr>
        <w:t xml:space="preserve">, что такой срок охватывает </w:t>
      </w:r>
      <w:r w:rsidR="00190C70">
        <w:rPr>
          <w:lang w:val="ru-RU"/>
        </w:rPr>
        <w:t xml:space="preserve">один </w:t>
      </w:r>
      <w:r w:rsidR="0081391D">
        <w:rPr>
          <w:lang w:val="ru-RU"/>
        </w:rPr>
        <w:t xml:space="preserve">двухгодичный период 2020−2021 годов. </w:t>
      </w:r>
      <w:r w:rsidR="00632F49">
        <w:rPr>
          <w:lang w:val="ru-RU"/>
        </w:rPr>
        <w:t>Кроме того, это дает секретариату и Комитету по оценке − в его нынешнем либо измененном составе − достаточно времени, чтобы по решению Совета</w:t>
      </w:r>
      <w:r w:rsidR="00632F49" w:rsidRPr="008E235D">
        <w:rPr>
          <w:lang w:val="ru-RU"/>
        </w:rPr>
        <w:t xml:space="preserve"> </w:t>
      </w:r>
      <w:r w:rsidR="00632F49">
        <w:rPr>
          <w:lang w:val="ru-RU"/>
        </w:rPr>
        <w:t>заново</w:t>
      </w:r>
      <w:r w:rsidR="00632F49" w:rsidRPr="008E235D">
        <w:rPr>
          <w:lang w:val="ru-RU"/>
        </w:rPr>
        <w:t xml:space="preserve"> </w:t>
      </w:r>
      <w:r w:rsidR="00632F49">
        <w:rPr>
          <w:lang w:val="ru-RU"/>
        </w:rPr>
        <w:t>начать</w:t>
      </w:r>
      <w:r w:rsidR="00632F49" w:rsidRPr="008E235D">
        <w:rPr>
          <w:lang w:val="ru-RU"/>
        </w:rPr>
        <w:t xml:space="preserve"> </w:t>
      </w:r>
      <w:r w:rsidR="00632F49">
        <w:rPr>
          <w:lang w:val="ru-RU"/>
        </w:rPr>
        <w:t>и</w:t>
      </w:r>
      <w:r w:rsidR="00632F49" w:rsidRPr="008E235D">
        <w:rPr>
          <w:lang w:val="ru-RU"/>
        </w:rPr>
        <w:t xml:space="preserve"> </w:t>
      </w:r>
      <w:r w:rsidR="00632F49">
        <w:rPr>
          <w:lang w:val="ru-RU"/>
        </w:rPr>
        <w:t>завершить</w:t>
      </w:r>
      <w:r w:rsidR="00632F49" w:rsidRPr="008E235D">
        <w:rPr>
          <w:lang w:val="ru-RU"/>
        </w:rPr>
        <w:t xml:space="preserve"> </w:t>
      </w:r>
      <w:r w:rsidR="00632F49">
        <w:rPr>
          <w:lang w:val="ru-RU"/>
        </w:rPr>
        <w:t>процесс</w:t>
      </w:r>
      <w:r w:rsidR="00632F49" w:rsidRPr="008E235D">
        <w:rPr>
          <w:lang w:val="ru-RU"/>
        </w:rPr>
        <w:t xml:space="preserve"> </w:t>
      </w:r>
      <w:r w:rsidR="00632F49" w:rsidRPr="00F41791">
        <w:t>RFP</w:t>
      </w:r>
      <w:r w:rsidR="00632F49" w:rsidRPr="008E235D">
        <w:rPr>
          <w:lang w:val="ru-RU"/>
        </w:rPr>
        <w:t>.</w:t>
      </w:r>
    </w:p>
    <w:p w:rsidR="00F41791" w:rsidRPr="00862339" w:rsidRDefault="00F41791" w:rsidP="00881D93">
      <w:pPr>
        <w:rPr>
          <w:lang w:val="ru-RU"/>
        </w:rPr>
      </w:pPr>
      <w:r w:rsidRPr="00862339">
        <w:rPr>
          <w:lang w:val="ru-RU"/>
        </w:rPr>
        <w:t>11</w:t>
      </w:r>
      <w:r w:rsidRPr="00862339">
        <w:rPr>
          <w:lang w:val="ru-RU"/>
        </w:rPr>
        <w:tab/>
      </w:r>
      <w:r w:rsidR="00862339">
        <w:rPr>
          <w:lang w:val="ru-RU"/>
        </w:rPr>
        <w:t>Двум</w:t>
      </w:r>
      <w:r w:rsidR="00862339" w:rsidRPr="00862339">
        <w:rPr>
          <w:lang w:val="ru-RU"/>
        </w:rPr>
        <w:t xml:space="preserve"> </w:t>
      </w:r>
      <w:r w:rsidR="00862339">
        <w:rPr>
          <w:lang w:val="ru-RU"/>
        </w:rPr>
        <w:t>В</w:t>
      </w:r>
      <w:r w:rsidR="00881D93">
        <w:rPr>
          <w:lang w:val="ru-RU"/>
        </w:rPr>
        <w:t>А</w:t>
      </w:r>
      <w:r w:rsidR="00862339">
        <w:rPr>
          <w:lang w:val="ru-RU"/>
        </w:rPr>
        <w:t>У</w:t>
      </w:r>
      <w:r w:rsidR="00862339" w:rsidRPr="00862339">
        <w:rPr>
          <w:lang w:val="ru-RU"/>
        </w:rPr>
        <w:t xml:space="preserve">, </w:t>
      </w:r>
      <w:r w:rsidR="00862339">
        <w:rPr>
          <w:lang w:val="ru-RU"/>
        </w:rPr>
        <w:t>представившим</w:t>
      </w:r>
      <w:r w:rsidR="00862339" w:rsidRPr="00862339">
        <w:rPr>
          <w:lang w:val="ru-RU"/>
        </w:rPr>
        <w:t xml:space="preserve"> </w:t>
      </w:r>
      <w:r w:rsidR="00862339">
        <w:rPr>
          <w:lang w:val="ru-RU"/>
        </w:rPr>
        <w:t>свои</w:t>
      </w:r>
      <w:r w:rsidR="00862339" w:rsidRPr="00862339">
        <w:rPr>
          <w:lang w:val="ru-RU"/>
        </w:rPr>
        <w:t xml:space="preserve"> </w:t>
      </w:r>
      <w:r w:rsidR="00862339">
        <w:rPr>
          <w:lang w:val="ru-RU"/>
        </w:rPr>
        <w:t>предложения</w:t>
      </w:r>
      <w:r w:rsidR="00862339" w:rsidRPr="00862339">
        <w:rPr>
          <w:lang w:val="ru-RU"/>
        </w:rPr>
        <w:t xml:space="preserve">, </w:t>
      </w:r>
      <w:r w:rsidR="00862339">
        <w:rPr>
          <w:lang w:val="ru-RU"/>
        </w:rPr>
        <w:t>будет</w:t>
      </w:r>
      <w:r w:rsidR="00862339" w:rsidRPr="00862339">
        <w:rPr>
          <w:lang w:val="ru-RU"/>
        </w:rPr>
        <w:t xml:space="preserve"> </w:t>
      </w:r>
      <w:r w:rsidR="00923746">
        <w:rPr>
          <w:lang w:val="ru-RU"/>
        </w:rPr>
        <w:t>рекомендовано</w:t>
      </w:r>
      <w:r w:rsidR="00862339" w:rsidRPr="00862339">
        <w:rPr>
          <w:lang w:val="ru-RU"/>
        </w:rPr>
        <w:t xml:space="preserve"> </w:t>
      </w:r>
      <w:r w:rsidR="00862339">
        <w:rPr>
          <w:lang w:val="ru-RU"/>
        </w:rPr>
        <w:t>принять</w:t>
      </w:r>
      <w:r w:rsidR="00862339" w:rsidRPr="00862339">
        <w:rPr>
          <w:lang w:val="ru-RU"/>
        </w:rPr>
        <w:t xml:space="preserve"> </w:t>
      </w:r>
      <w:r w:rsidR="00862339">
        <w:rPr>
          <w:lang w:val="ru-RU"/>
        </w:rPr>
        <w:t>участие</w:t>
      </w:r>
      <w:r w:rsidR="00862339" w:rsidRPr="00862339">
        <w:rPr>
          <w:lang w:val="ru-RU"/>
        </w:rPr>
        <w:t xml:space="preserve"> </w:t>
      </w:r>
      <w:r w:rsidR="00862339">
        <w:rPr>
          <w:lang w:val="ru-RU"/>
        </w:rPr>
        <w:t>в</w:t>
      </w:r>
      <w:r w:rsidR="00862339" w:rsidRPr="00862339">
        <w:rPr>
          <w:lang w:val="ru-RU"/>
        </w:rPr>
        <w:t xml:space="preserve"> </w:t>
      </w:r>
      <w:r w:rsidR="00862339">
        <w:rPr>
          <w:lang w:val="ru-RU"/>
        </w:rPr>
        <w:t>новом</w:t>
      </w:r>
      <w:r w:rsidR="00862339" w:rsidRPr="00862339">
        <w:rPr>
          <w:lang w:val="ru-RU"/>
        </w:rPr>
        <w:t xml:space="preserve"> </w:t>
      </w:r>
      <w:r w:rsidR="00862339">
        <w:rPr>
          <w:lang w:val="ru-RU"/>
        </w:rPr>
        <w:t>процессе</w:t>
      </w:r>
      <w:r w:rsidR="00862339" w:rsidRPr="00862339">
        <w:rPr>
          <w:lang w:val="ru-RU"/>
        </w:rPr>
        <w:t xml:space="preserve"> </w:t>
      </w:r>
      <w:r w:rsidRPr="00F41791">
        <w:t>RFP</w:t>
      </w:r>
      <w:r w:rsidRPr="00862339">
        <w:rPr>
          <w:lang w:val="ru-RU"/>
        </w:rPr>
        <w:t>.</w:t>
      </w:r>
    </w:p>
    <w:p w:rsidR="00F41791" w:rsidRPr="008E235D" w:rsidRDefault="0037274E" w:rsidP="0037274E">
      <w:pPr>
        <w:pStyle w:val="Headingb"/>
        <w:rPr>
          <w:lang w:val="ru-RU"/>
        </w:rPr>
      </w:pPr>
      <w:r>
        <w:rPr>
          <w:lang w:val="ru-RU"/>
        </w:rPr>
        <w:t>РЕКОМЕНДАЦИЯ</w:t>
      </w:r>
      <w:r w:rsidRPr="008E235D">
        <w:rPr>
          <w:lang w:val="ru-RU"/>
        </w:rPr>
        <w:t xml:space="preserve"> </w:t>
      </w:r>
      <w:r>
        <w:rPr>
          <w:lang w:val="ru-RU"/>
        </w:rPr>
        <w:t>КОМИТЕТА</w:t>
      </w:r>
      <w:r w:rsidRPr="008E235D">
        <w:rPr>
          <w:lang w:val="ru-RU"/>
        </w:rPr>
        <w:t xml:space="preserve"> </w:t>
      </w:r>
      <w:r>
        <w:rPr>
          <w:lang w:val="ru-RU"/>
        </w:rPr>
        <w:t>ПО</w:t>
      </w:r>
      <w:r w:rsidRPr="008E235D">
        <w:rPr>
          <w:lang w:val="ru-RU"/>
        </w:rPr>
        <w:t xml:space="preserve"> </w:t>
      </w:r>
      <w:r>
        <w:rPr>
          <w:lang w:val="ru-RU"/>
        </w:rPr>
        <w:t>ОЦЕНКЕ</w:t>
      </w:r>
      <w:r w:rsidRPr="008E235D">
        <w:rPr>
          <w:lang w:val="ru-RU"/>
        </w:rPr>
        <w:t xml:space="preserve"> </w:t>
      </w:r>
    </w:p>
    <w:p w:rsidR="00CF6AB4" w:rsidRDefault="00F41791" w:rsidP="00881D93">
      <w:pPr>
        <w:rPr>
          <w:lang w:val="ru-RU"/>
        </w:rPr>
      </w:pPr>
      <w:r w:rsidRPr="00CF6AB4">
        <w:rPr>
          <w:lang w:val="ru-RU"/>
        </w:rPr>
        <w:t>12</w:t>
      </w:r>
      <w:r w:rsidRPr="00CF6AB4">
        <w:rPr>
          <w:lang w:val="ru-RU"/>
        </w:rPr>
        <w:tab/>
      </w:r>
      <w:r w:rsidRPr="009A4DC3">
        <w:rPr>
          <w:lang w:val="ru-RU"/>
        </w:rPr>
        <w:t>Исходя</w:t>
      </w:r>
      <w:r w:rsidRPr="00CF6AB4">
        <w:rPr>
          <w:lang w:val="ru-RU"/>
        </w:rPr>
        <w:t xml:space="preserve"> </w:t>
      </w:r>
      <w:r w:rsidRPr="009A4DC3">
        <w:rPr>
          <w:lang w:val="ru-RU"/>
        </w:rPr>
        <w:t>из</w:t>
      </w:r>
      <w:r w:rsidR="00CF6AB4" w:rsidRPr="00CF6AB4">
        <w:rPr>
          <w:lang w:val="ru-RU"/>
        </w:rPr>
        <w:t xml:space="preserve"> </w:t>
      </w:r>
      <w:r w:rsidR="00CF6AB4">
        <w:rPr>
          <w:lang w:val="ru-RU"/>
        </w:rPr>
        <w:t>описанного</w:t>
      </w:r>
      <w:r w:rsidR="00CF6AB4" w:rsidRPr="00CF6AB4">
        <w:rPr>
          <w:lang w:val="ru-RU"/>
        </w:rPr>
        <w:t xml:space="preserve"> </w:t>
      </w:r>
      <w:r w:rsidR="00CF6AB4">
        <w:rPr>
          <w:lang w:val="ru-RU"/>
        </w:rPr>
        <w:t>выше</w:t>
      </w:r>
      <w:r w:rsidRPr="00CF6AB4">
        <w:rPr>
          <w:lang w:val="ru-RU"/>
        </w:rPr>
        <w:t xml:space="preserve"> </w:t>
      </w:r>
      <w:r w:rsidRPr="009A4DC3">
        <w:rPr>
          <w:lang w:val="ru-RU"/>
        </w:rPr>
        <w:t>процесса</w:t>
      </w:r>
      <w:r w:rsidRPr="00CF6AB4">
        <w:rPr>
          <w:lang w:val="ru-RU"/>
        </w:rPr>
        <w:t xml:space="preserve">, </w:t>
      </w:r>
      <w:r w:rsidRPr="009A4DC3">
        <w:rPr>
          <w:lang w:val="ru-RU"/>
        </w:rPr>
        <w:t>Комитет</w:t>
      </w:r>
      <w:r w:rsidRPr="00CF6AB4">
        <w:rPr>
          <w:lang w:val="ru-RU"/>
        </w:rPr>
        <w:t xml:space="preserve"> </w:t>
      </w:r>
      <w:r w:rsidRPr="009A4DC3">
        <w:rPr>
          <w:lang w:val="ru-RU"/>
        </w:rPr>
        <w:t>по</w:t>
      </w:r>
      <w:r w:rsidRPr="00CF6AB4">
        <w:rPr>
          <w:lang w:val="ru-RU"/>
        </w:rPr>
        <w:t xml:space="preserve"> </w:t>
      </w:r>
      <w:r w:rsidRPr="009A4DC3">
        <w:rPr>
          <w:lang w:val="ru-RU"/>
        </w:rPr>
        <w:t>оценке</w:t>
      </w:r>
      <w:r w:rsidRPr="00CF6AB4">
        <w:rPr>
          <w:lang w:val="ru-RU"/>
        </w:rPr>
        <w:t xml:space="preserve"> </w:t>
      </w:r>
      <w:r w:rsidRPr="009A4DC3">
        <w:rPr>
          <w:lang w:val="ru-RU"/>
        </w:rPr>
        <w:t>согласился</w:t>
      </w:r>
      <w:r w:rsidRPr="00CF6AB4">
        <w:rPr>
          <w:lang w:val="ru-RU"/>
        </w:rPr>
        <w:t xml:space="preserve"> </w:t>
      </w:r>
      <w:r w:rsidRPr="009A4DC3">
        <w:rPr>
          <w:lang w:val="ru-RU"/>
        </w:rPr>
        <w:t>рек</w:t>
      </w:r>
      <w:r>
        <w:rPr>
          <w:lang w:val="ru-RU"/>
        </w:rPr>
        <w:t>омендовать</w:t>
      </w:r>
      <w:r w:rsidRPr="00CF6AB4">
        <w:rPr>
          <w:lang w:val="ru-RU"/>
        </w:rPr>
        <w:t xml:space="preserve"> </w:t>
      </w:r>
      <w:r>
        <w:rPr>
          <w:lang w:val="ru-RU"/>
        </w:rPr>
        <w:t>Совету</w:t>
      </w:r>
      <w:r w:rsidRPr="00CF6AB4">
        <w:rPr>
          <w:lang w:val="ru-RU"/>
        </w:rPr>
        <w:t xml:space="preserve"> </w:t>
      </w:r>
      <w:r>
        <w:rPr>
          <w:lang w:val="ru-RU"/>
        </w:rPr>
        <w:t>МСЭ</w:t>
      </w:r>
      <w:r w:rsidR="001300C4">
        <w:rPr>
          <w:lang w:val="ru-RU"/>
        </w:rPr>
        <w:t xml:space="preserve"> </w:t>
      </w:r>
      <w:proofErr w:type="spellStart"/>
      <w:r w:rsidRPr="00F41791">
        <w:t>i</w:t>
      </w:r>
      <w:proofErr w:type="spellEnd"/>
      <w:r w:rsidRPr="00CF6AB4">
        <w:rPr>
          <w:lang w:val="ru-RU"/>
        </w:rPr>
        <w:t>)</w:t>
      </w:r>
      <w:r w:rsidR="00CF6AB4" w:rsidRPr="00CF6AB4">
        <w:rPr>
          <w:lang w:val="ru-RU"/>
        </w:rPr>
        <w:t xml:space="preserve"> </w:t>
      </w:r>
      <w:r w:rsidR="00CF6AB4">
        <w:rPr>
          <w:lang w:val="ru-RU"/>
        </w:rPr>
        <w:t>отменить</w:t>
      </w:r>
      <w:r w:rsidR="00CF6AB4" w:rsidRPr="00CF6AB4">
        <w:rPr>
          <w:lang w:val="ru-RU"/>
        </w:rPr>
        <w:t xml:space="preserve"> </w:t>
      </w:r>
      <w:r w:rsidR="00CF6AB4">
        <w:rPr>
          <w:lang w:val="ru-RU"/>
        </w:rPr>
        <w:t>процесс</w:t>
      </w:r>
      <w:r w:rsidR="00CF6AB4" w:rsidRPr="00CF6AB4">
        <w:rPr>
          <w:lang w:val="ru-RU"/>
        </w:rPr>
        <w:t xml:space="preserve"> </w:t>
      </w:r>
      <w:r w:rsidR="00CF6AB4">
        <w:rPr>
          <w:lang w:val="ru-RU"/>
        </w:rPr>
        <w:t>текущего</w:t>
      </w:r>
      <w:r w:rsidR="00CF6AB4" w:rsidRPr="00CF6AB4">
        <w:rPr>
          <w:lang w:val="ru-RU"/>
        </w:rPr>
        <w:t xml:space="preserve"> </w:t>
      </w:r>
      <w:r w:rsidR="00CF6AB4">
        <w:rPr>
          <w:lang w:val="ru-RU"/>
        </w:rPr>
        <w:t>тендера</w:t>
      </w:r>
      <w:r w:rsidR="001300C4">
        <w:rPr>
          <w:lang w:val="ru-RU"/>
        </w:rPr>
        <w:t xml:space="preserve">; </w:t>
      </w:r>
      <w:r w:rsidRPr="00F41791">
        <w:t>ii</w:t>
      </w:r>
      <w:r w:rsidRPr="00CF6AB4">
        <w:rPr>
          <w:lang w:val="ru-RU"/>
        </w:rPr>
        <w:t xml:space="preserve">) </w:t>
      </w:r>
      <w:r w:rsidR="00CF6AB4">
        <w:rPr>
          <w:lang w:val="ru-RU"/>
        </w:rPr>
        <w:t>принять</w:t>
      </w:r>
      <w:r w:rsidR="00CF6AB4" w:rsidRPr="00CF6AB4">
        <w:rPr>
          <w:lang w:val="ru-RU"/>
        </w:rPr>
        <w:t xml:space="preserve"> </w:t>
      </w:r>
      <w:r w:rsidR="00CF6AB4">
        <w:rPr>
          <w:lang w:val="ru-RU"/>
        </w:rPr>
        <w:t>решение</w:t>
      </w:r>
      <w:r w:rsidR="00CF6AB4" w:rsidRPr="00CF6AB4">
        <w:rPr>
          <w:lang w:val="ru-RU"/>
        </w:rPr>
        <w:t xml:space="preserve"> </w:t>
      </w:r>
      <w:r w:rsidR="00CF6AB4">
        <w:rPr>
          <w:lang w:val="ru-RU"/>
        </w:rPr>
        <w:t>о</w:t>
      </w:r>
      <w:r w:rsidR="00CF6AB4" w:rsidRPr="00CF6AB4">
        <w:rPr>
          <w:lang w:val="ru-RU"/>
        </w:rPr>
        <w:t xml:space="preserve"> </w:t>
      </w:r>
      <w:r w:rsidR="00CF6AB4">
        <w:rPr>
          <w:lang w:val="ru-RU"/>
        </w:rPr>
        <w:t>запуске</w:t>
      </w:r>
      <w:r w:rsidR="00CF6AB4" w:rsidRPr="00CF6AB4">
        <w:rPr>
          <w:lang w:val="ru-RU"/>
        </w:rPr>
        <w:t xml:space="preserve"> </w:t>
      </w:r>
      <w:r w:rsidR="00CF6AB4">
        <w:rPr>
          <w:lang w:val="ru-RU"/>
        </w:rPr>
        <w:t>абсолютно нового процесса</w:t>
      </w:r>
      <w:r w:rsidR="001300C4">
        <w:rPr>
          <w:lang w:val="ru-RU"/>
        </w:rPr>
        <w:t>;</w:t>
      </w:r>
      <w:r w:rsidR="00CF6AB4">
        <w:rPr>
          <w:lang w:val="ru-RU"/>
        </w:rPr>
        <w:t xml:space="preserve"> и </w:t>
      </w:r>
      <w:r w:rsidRPr="00F41791">
        <w:t>iii</w:t>
      </w:r>
      <w:r w:rsidRPr="00CF6AB4">
        <w:rPr>
          <w:lang w:val="ru-RU"/>
        </w:rPr>
        <w:t xml:space="preserve">) </w:t>
      </w:r>
      <w:r w:rsidR="00881D93">
        <w:rPr>
          <w:lang w:val="ru-RU"/>
        </w:rPr>
        <w:t>продлить</w:t>
      </w:r>
      <w:r w:rsidR="00CF6AB4">
        <w:rPr>
          <w:lang w:val="ru-RU"/>
        </w:rPr>
        <w:t xml:space="preserve"> мандат действующего </w:t>
      </w:r>
      <w:r w:rsidR="00923746">
        <w:rPr>
          <w:lang w:val="ru-RU"/>
        </w:rPr>
        <w:t xml:space="preserve">Внешнего </w:t>
      </w:r>
      <w:r w:rsidR="00CF6AB4">
        <w:rPr>
          <w:lang w:val="ru-RU"/>
        </w:rPr>
        <w:t>аудитора на дополнительный срок, достаточный для завершения нового процесса, а именно</w:t>
      </w:r>
      <w:r w:rsidR="001300C4">
        <w:rPr>
          <w:lang w:val="ru-RU"/>
        </w:rPr>
        <w:t>:</w:t>
      </w:r>
      <w:r w:rsidR="00CF6AB4">
        <w:rPr>
          <w:lang w:val="ru-RU"/>
        </w:rPr>
        <w:t xml:space="preserve"> на два года. </w:t>
      </w:r>
    </w:p>
    <w:p w:rsidR="00F41791" w:rsidRPr="008E235D" w:rsidRDefault="00F41791" w:rsidP="00F41791">
      <w:pPr>
        <w:rPr>
          <w:lang w:val="ru-RU"/>
        </w:rPr>
      </w:pPr>
      <w:r w:rsidRPr="00F41791">
        <w:rPr>
          <w:lang w:val="ru-RU"/>
        </w:rPr>
        <w:t>13</w:t>
      </w:r>
      <w:r w:rsidRPr="00F41791">
        <w:rPr>
          <w:lang w:val="ru-RU"/>
        </w:rPr>
        <w:tab/>
      </w:r>
      <w:r w:rsidRPr="009A4DC3">
        <w:rPr>
          <w:lang w:val="ru-RU"/>
        </w:rPr>
        <w:t>Комитет по оценке хот</w:t>
      </w:r>
      <w:r>
        <w:rPr>
          <w:lang w:val="ru-RU"/>
        </w:rPr>
        <w:t>ел бы поблагодарить Секретариат</w:t>
      </w:r>
      <w:r w:rsidRPr="009A4DC3">
        <w:rPr>
          <w:lang w:val="ru-RU"/>
        </w:rPr>
        <w:t xml:space="preserve"> МСЭ за помощь в поддержке этого процесса.</w:t>
      </w:r>
    </w:p>
    <w:p w:rsidR="002D2F57" w:rsidRDefault="002D2F57" w:rsidP="003F235E">
      <w:pPr>
        <w:rPr>
          <w:lang w:val="ru-RU"/>
        </w:rPr>
      </w:pPr>
      <w:r w:rsidRPr="00F41791">
        <w:rPr>
          <w:lang w:val="ru-RU"/>
        </w:rPr>
        <w:br w:type="page"/>
      </w:r>
    </w:p>
    <w:p w:rsidR="00912283" w:rsidRPr="008E235D" w:rsidRDefault="00912283" w:rsidP="00912283">
      <w:pPr>
        <w:pStyle w:val="AnnexNo"/>
        <w:rPr>
          <w:lang w:val="ru-RU"/>
        </w:rPr>
      </w:pPr>
      <w:r>
        <w:rPr>
          <w:lang w:val="ru-RU"/>
        </w:rPr>
        <w:lastRenderedPageBreak/>
        <w:t xml:space="preserve">Приложение </w:t>
      </w:r>
      <w:r>
        <w:rPr>
          <w:lang w:val="en-US"/>
        </w:rPr>
        <w:t>A</w:t>
      </w:r>
    </w:p>
    <w:p w:rsidR="00434763" w:rsidRPr="008E235D" w:rsidRDefault="00434763" w:rsidP="00A12FAE">
      <w:pPr>
        <w:pStyle w:val="Annextitle"/>
        <w:spacing w:before="960"/>
        <w:rPr>
          <w:lang w:val="ru-RU"/>
        </w:rPr>
      </w:pPr>
      <w:r>
        <w:rPr>
          <w:lang w:val="en-US"/>
        </w:rPr>
        <w:t>Corte</w:t>
      </w:r>
      <w:r w:rsidRPr="008E235D">
        <w:rPr>
          <w:lang w:val="ru-RU"/>
        </w:rPr>
        <w:t xml:space="preserve"> </w:t>
      </w:r>
      <w:r>
        <w:rPr>
          <w:lang w:val="en-US"/>
        </w:rPr>
        <w:t>dei</w:t>
      </w:r>
      <w:r w:rsidRPr="008E235D">
        <w:rPr>
          <w:lang w:val="ru-RU"/>
        </w:rPr>
        <w:t xml:space="preserve"> </w:t>
      </w:r>
      <w:r>
        <w:rPr>
          <w:lang w:val="en-US"/>
        </w:rPr>
        <w:t>CONTI</w:t>
      </w:r>
    </w:p>
    <w:p w:rsidR="00434763" w:rsidRDefault="00434763" w:rsidP="00307BB4">
      <w:pPr>
        <w:spacing w:after="120"/>
        <w:jc w:val="center"/>
        <w:rPr>
          <w:lang w:val="ru-RU"/>
        </w:rPr>
      </w:pPr>
      <w:r>
        <w:rPr>
          <w:lang w:val="ru-RU"/>
        </w:rPr>
        <w:t>ПРЕДСЕДАТЕЛЬ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47"/>
      </w:tblGrid>
      <w:tr w:rsidR="00434763" w:rsidTr="00434763">
        <w:trPr>
          <w:trHeight w:val="762"/>
        </w:trPr>
        <w:tc>
          <w:tcPr>
            <w:tcW w:w="5382" w:type="dxa"/>
          </w:tcPr>
          <w:p w:rsidR="00434763" w:rsidRDefault="00434763" w:rsidP="00434763">
            <w:pPr>
              <w:pStyle w:val="Normalaftertitle"/>
              <w:rPr>
                <w:lang w:val="ru-RU"/>
              </w:rPr>
            </w:pPr>
          </w:p>
        </w:tc>
        <w:tc>
          <w:tcPr>
            <w:tcW w:w="4247" w:type="dxa"/>
          </w:tcPr>
          <w:p w:rsidR="00434763" w:rsidRDefault="00434763" w:rsidP="00242D8E">
            <w:pPr>
              <w:rPr>
                <w:lang w:val="ru-RU"/>
              </w:rPr>
            </w:pPr>
            <w:r>
              <w:rPr>
                <w:lang w:val="en-US"/>
              </w:rPr>
              <w:t>Co</w:t>
            </w:r>
            <w:r w:rsidRPr="00434763">
              <w:rPr>
                <w:lang w:val="ru-RU"/>
              </w:rPr>
              <w:t>rte dei CONTI</w:t>
            </w:r>
          </w:p>
          <w:p w:rsidR="00434763" w:rsidRPr="00434763" w:rsidRDefault="00434763" w:rsidP="00A12FAE">
            <w:pPr>
              <w:spacing w:before="240"/>
              <w:rPr>
                <w:lang w:val="en-US"/>
              </w:rPr>
            </w:pPr>
            <w:r>
              <w:rPr>
                <w:lang w:val="ru-RU"/>
              </w:rPr>
              <w:t>0000750-17/05/2019-</w:t>
            </w:r>
            <w:r>
              <w:rPr>
                <w:lang w:val="en-US"/>
              </w:rPr>
              <w:t>AACCII-A93-P</w:t>
            </w:r>
          </w:p>
        </w:tc>
      </w:tr>
    </w:tbl>
    <w:p w:rsidR="00434763" w:rsidRDefault="00434763" w:rsidP="00434763">
      <w:pPr>
        <w:pStyle w:val="Normalaftertitle"/>
        <w:rPr>
          <w:lang w:val="ru-RU"/>
        </w:rPr>
      </w:pPr>
      <w:r>
        <w:rPr>
          <w:lang w:val="ru-RU"/>
        </w:rPr>
        <w:t>Уважаемый господин,</w:t>
      </w:r>
    </w:p>
    <w:p w:rsidR="00434763" w:rsidRDefault="00434763" w:rsidP="00434763">
      <w:pPr>
        <w:rPr>
          <w:lang w:val="ru-RU"/>
        </w:rPr>
      </w:pPr>
      <w:r>
        <w:rPr>
          <w:lang w:val="ru-RU"/>
        </w:rPr>
        <w:t xml:space="preserve">Благодарю за Ваше письмо, касающееся намерения Комитета по оценке рекомендовать Совету продлить наш действующий мандат Внешнего аудитора на два года. </w:t>
      </w:r>
    </w:p>
    <w:p w:rsidR="00434763" w:rsidRDefault="00434763" w:rsidP="00434763">
      <w:pPr>
        <w:rPr>
          <w:lang w:val="ru-RU"/>
        </w:rPr>
      </w:pPr>
      <w:r>
        <w:rPr>
          <w:lang w:val="ru-RU"/>
        </w:rPr>
        <w:t>Я хотел бы выразить искренн</w:t>
      </w:r>
      <w:r w:rsidR="00247A5A">
        <w:rPr>
          <w:lang w:val="ru-RU"/>
        </w:rPr>
        <w:t xml:space="preserve">юю признательность за Вашу любезную положительную оценку нашей работы. </w:t>
      </w:r>
    </w:p>
    <w:p w:rsidR="00247A5A" w:rsidRPr="008E235D" w:rsidRDefault="00247A5A" w:rsidP="008C1015">
      <w:pPr>
        <w:rPr>
          <w:lang w:val="ru-RU"/>
        </w:rPr>
      </w:pPr>
      <w:r>
        <w:rPr>
          <w:lang w:val="ru-RU"/>
        </w:rPr>
        <w:t>Имею честь подтвердить наш</w:t>
      </w:r>
      <w:r w:rsidR="00C7433D">
        <w:rPr>
          <w:lang w:val="ru-RU"/>
        </w:rPr>
        <w:t>у за</w:t>
      </w:r>
      <w:r>
        <w:rPr>
          <w:lang w:val="ru-RU"/>
        </w:rPr>
        <w:t>интерес</w:t>
      </w:r>
      <w:r w:rsidR="00C7433D">
        <w:rPr>
          <w:lang w:val="ru-RU"/>
        </w:rPr>
        <w:t>ованность</w:t>
      </w:r>
      <w:r>
        <w:rPr>
          <w:lang w:val="ru-RU"/>
        </w:rPr>
        <w:t xml:space="preserve"> </w:t>
      </w:r>
      <w:r w:rsidR="00C7433D">
        <w:rPr>
          <w:lang w:val="ru-RU"/>
        </w:rPr>
        <w:t>в</w:t>
      </w:r>
      <w:r>
        <w:rPr>
          <w:lang w:val="ru-RU"/>
        </w:rPr>
        <w:t xml:space="preserve"> продолжени</w:t>
      </w:r>
      <w:r w:rsidR="00C7433D">
        <w:rPr>
          <w:lang w:val="ru-RU"/>
        </w:rPr>
        <w:t>и</w:t>
      </w:r>
      <w:r>
        <w:rPr>
          <w:lang w:val="ru-RU"/>
        </w:rPr>
        <w:t xml:space="preserve"> работы</w:t>
      </w:r>
      <w:r w:rsidR="008C1015">
        <w:rPr>
          <w:lang w:val="ru-RU"/>
        </w:rPr>
        <w:t xml:space="preserve"> над столь важной задачей</w:t>
      </w:r>
      <w:r>
        <w:rPr>
          <w:lang w:val="ru-RU"/>
        </w:rPr>
        <w:t xml:space="preserve">, заключающейся не только в анализе и сертификации финансовой отчетности, но и в совершенствовании системы организации и управления МСЭ путем представления специальных отчетов. </w:t>
      </w:r>
    </w:p>
    <w:p w:rsidR="00247A5A" w:rsidRDefault="00247A5A" w:rsidP="00247A5A">
      <w:pPr>
        <w:rPr>
          <w:lang w:val="ru-RU"/>
        </w:rPr>
      </w:pPr>
      <w:r>
        <w:rPr>
          <w:lang w:val="ru-RU"/>
        </w:rPr>
        <w:t xml:space="preserve">С уважением, </w:t>
      </w:r>
    </w:p>
    <w:p w:rsidR="00247A5A" w:rsidRPr="008E235D" w:rsidRDefault="00247A5A" w:rsidP="00A12FAE">
      <w:pPr>
        <w:spacing w:before="360"/>
        <w:jc w:val="right"/>
        <w:rPr>
          <w:lang w:val="ru-RU"/>
        </w:rPr>
      </w:pPr>
      <w:r w:rsidRPr="008E235D">
        <w:rPr>
          <w:lang w:val="ru-RU"/>
        </w:rPr>
        <w:t>Анджело Бушема</w:t>
      </w:r>
    </w:p>
    <w:p w:rsidR="00247A5A" w:rsidRPr="00247A5A" w:rsidRDefault="00247A5A" w:rsidP="008B4759">
      <w:pPr>
        <w:spacing w:before="720"/>
        <w:rPr>
          <w:lang w:val="ru-RU"/>
        </w:rPr>
      </w:pPr>
      <w:r>
        <w:rPr>
          <w:lang w:val="ru-RU"/>
        </w:rPr>
        <w:t>Г-ну Хоулиню Чжао</w:t>
      </w:r>
      <w:r>
        <w:rPr>
          <w:lang w:val="ru-RU"/>
        </w:rPr>
        <w:br/>
        <w:t>Генеральному секретарю</w:t>
      </w:r>
      <w:r>
        <w:rPr>
          <w:lang w:val="ru-RU"/>
        </w:rPr>
        <w:br/>
        <w:t>Международного союза электросвязи (МСЭ)</w:t>
      </w:r>
      <w:r>
        <w:rPr>
          <w:lang w:val="ru-RU"/>
        </w:rPr>
        <w:br/>
      </w:r>
      <w:r>
        <w:rPr>
          <w:lang w:val="en-US"/>
        </w:rPr>
        <w:t>Place</w:t>
      </w:r>
      <w:r w:rsidRPr="00247A5A">
        <w:rPr>
          <w:lang w:val="ru-RU"/>
        </w:rPr>
        <w:t xml:space="preserve"> </w:t>
      </w:r>
      <w:r>
        <w:rPr>
          <w:lang w:val="en-US"/>
        </w:rPr>
        <w:t>des</w:t>
      </w:r>
      <w:r w:rsidRPr="00247A5A">
        <w:rPr>
          <w:lang w:val="ru-RU"/>
        </w:rPr>
        <w:t xml:space="preserve"> </w:t>
      </w:r>
      <w:r>
        <w:rPr>
          <w:lang w:val="en-US"/>
        </w:rPr>
        <w:t>Nations</w:t>
      </w:r>
      <w:r w:rsidRPr="00247A5A">
        <w:rPr>
          <w:lang w:val="ru-RU"/>
        </w:rPr>
        <w:t xml:space="preserve"> </w:t>
      </w:r>
      <w:r>
        <w:rPr>
          <w:lang w:val="ru-RU"/>
        </w:rPr>
        <w:br/>
      </w:r>
      <w:r w:rsidRPr="00247A5A">
        <w:rPr>
          <w:lang w:val="ru-RU"/>
        </w:rPr>
        <w:t xml:space="preserve">1211 </w:t>
      </w:r>
      <w:r>
        <w:rPr>
          <w:lang w:val="en-US"/>
        </w:rPr>
        <w:t>GENEVE</w:t>
      </w:r>
    </w:p>
    <w:p w:rsidR="00423857" w:rsidRPr="001300C4" w:rsidRDefault="00423857" w:rsidP="00A12FAE">
      <w:pPr>
        <w:rPr>
          <w:lang w:val="ru-RU"/>
        </w:rPr>
      </w:pPr>
      <w:r w:rsidRPr="001300C4">
        <w:rPr>
          <w:lang w:val="ru-RU"/>
        </w:rPr>
        <w:br w:type="page"/>
      </w:r>
    </w:p>
    <w:p w:rsidR="00912283" w:rsidRDefault="00912283" w:rsidP="00912283">
      <w:pPr>
        <w:pStyle w:val="AnnexNo"/>
        <w:rPr>
          <w:lang w:val="ru-RU"/>
        </w:rPr>
      </w:pPr>
      <w:r>
        <w:rPr>
          <w:lang w:val="ru-RU"/>
        </w:rPr>
        <w:lastRenderedPageBreak/>
        <w:t xml:space="preserve">приложение </w:t>
      </w:r>
      <w:r>
        <w:rPr>
          <w:lang w:val="en-US"/>
        </w:rPr>
        <w:t>B</w:t>
      </w:r>
    </w:p>
    <w:p w:rsidR="004F3648" w:rsidRPr="009A4DC3" w:rsidRDefault="004F3648" w:rsidP="004F3648">
      <w:pPr>
        <w:pStyle w:val="ResNo"/>
        <w:rPr>
          <w:lang w:val="ru-RU"/>
        </w:rPr>
      </w:pPr>
      <w:r w:rsidRPr="009A4DC3">
        <w:rPr>
          <w:lang w:val="ru-RU"/>
        </w:rPr>
        <w:t>ПРОЕКТ РЕШЕНИЯ</w:t>
      </w:r>
    </w:p>
    <w:p w:rsidR="004F3648" w:rsidRPr="009A4DC3" w:rsidRDefault="004F3648" w:rsidP="004F3648">
      <w:pPr>
        <w:pStyle w:val="Restitle"/>
        <w:rPr>
          <w:lang w:val="ru-RU"/>
        </w:rPr>
      </w:pPr>
      <w:bookmarkStart w:id="3" w:name="OLE_LINK9"/>
      <w:bookmarkStart w:id="4" w:name="OLE_LINK10"/>
      <w:r w:rsidRPr="009A4DC3">
        <w:rPr>
          <w:lang w:val="ru-RU"/>
        </w:rPr>
        <w:t xml:space="preserve">Аудиторская проверка счетов МСЭ </w:t>
      </w:r>
    </w:p>
    <w:bookmarkEnd w:id="3"/>
    <w:bookmarkEnd w:id="4"/>
    <w:p w:rsidR="004F3648" w:rsidRPr="009A4DC3" w:rsidRDefault="004F3648" w:rsidP="004F3648">
      <w:pPr>
        <w:pStyle w:val="Normalaftertitle"/>
        <w:rPr>
          <w:lang w:val="ru-RU"/>
        </w:rPr>
      </w:pPr>
      <w:r w:rsidRPr="009A4DC3">
        <w:rPr>
          <w:lang w:val="ru-RU"/>
        </w:rPr>
        <w:t>Сове</w:t>
      </w:r>
      <w:bookmarkStart w:id="5" w:name="_GoBack"/>
      <w:bookmarkEnd w:id="5"/>
      <w:r w:rsidRPr="009A4DC3">
        <w:rPr>
          <w:lang w:val="ru-RU"/>
        </w:rPr>
        <w:t>т,</w:t>
      </w:r>
    </w:p>
    <w:p w:rsidR="004F3648" w:rsidRPr="009A4DC3" w:rsidRDefault="004F3648" w:rsidP="004F3648">
      <w:pPr>
        <w:pStyle w:val="Call"/>
        <w:rPr>
          <w:lang w:val="ru-RU"/>
        </w:rPr>
      </w:pPr>
      <w:r w:rsidRPr="009A4DC3">
        <w:rPr>
          <w:lang w:val="ru-RU"/>
        </w:rPr>
        <w:t>учитывая</w:t>
      </w:r>
    </w:p>
    <w:p w:rsidR="004F3648" w:rsidRPr="009A4DC3" w:rsidRDefault="004F3648" w:rsidP="004F3648">
      <w:pPr>
        <w:rPr>
          <w:lang w:val="ru-RU"/>
        </w:rPr>
      </w:pPr>
      <w:r w:rsidRPr="004F7AF6">
        <w:rPr>
          <w:i/>
          <w:iCs/>
          <w:lang w:val="ru-RU"/>
        </w:rPr>
        <w:t>a)</w:t>
      </w:r>
      <w:r w:rsidRPr="009A4DC3">
        <w:rPr>
          <w:lang w:val="ru-RU"/>
        </w:rPr>
        <w:tab/>
        <w:t xml:space="preserve">Резолюцию 94 (Пересм. </w:t>
      </w:r>
      <w:r>
        <w:rPr>
          <w:lang w:val="ru-RU"/>
        </w:rPr>
        <w:t>Дубай</w:t>
      </w:r>
      <w:r w:rsidRPr="009A4DC3">
        <w:rPr>
          <w:lang w:val="ru-RU"/>
        </w:rPr>
        <w:t>, 201</w:t>
      </w:r>
      <w:r>
        <w:rPr>
          <w:lang w:val="ru-RU"/>
        </w:rPr>
        <w:t>8 </w:t>
      </w:r>
      <w:r w:rsidRPr="009A4DC3">
        <w:rPr>
          <w:lang w:val="ru-RU"/>
        </w:rPr>
        <w:t>г.);</w:t>
      </w:r>
    </w:p>
    <w:p w:rsidR="004F3648" w:rsidRPr="009A4DC3" w:rsidRDefault="004F3648" w:rsidP="004F3648">
      <w:pPr>
        <w:rPr>
          <w:lang w:val="ru-RU"/>
        </w:rPr>
      </w:pPr>
      <w:r w:rsidRPr="004F7AF6">
        <w:rPr>
          <w:i/>
          <w:iCs/>
          <w:lang w:val="ru-RU"/>
        </w:rPr>
        <w:t>b)</w:t>
      </w:r>
      <w:r w:rsidRPr="009A4DC3">
        <w:rPr>
          <w:lang w:val="ru-RU"/>
        </w:rPr>
        <w:tab/>
        <w:t>отчет Комитета по оценке для выбора Внешнего аудитора</w:t>
      </w:r>
      <w:r>
        <w:rPr>
          <w:lang w:val="ru-RU"/>
        </w:rPr>
        <w:t xml:space="preserve"> МСЭ</w:t>
      </w:r>
      <w:r w:rsidRPr="009A4DC3">
        <w:rPr>
          <w:lang w:val="ru-RU"/>
        </w:rPr>
        <w:t>,</w:t>
      </w:r>
    </w:p>
    <w:p w:rsidR="004F3648" w:rsidRPr="009A4DC3" w:rsidRDefault="004F3648" w:rsidP="004F3648">
      <w:pPr>
        <w:pStyle w:val="Call"/>
        <w:rPr>
          <w:lang w:val="ru-RU"/>
        </w:rPr>
      </w:pPr>
      <w:r w:rsidRPr="009A4DC3">
        <w:rPr>
          <w:lang w:val="ru-RU"/>
        </w:rPr>
        <w:t>принимая во внимание</w:t>
      </w:r>
    </w:p>
    <w:p w:rsidR="004F3648" w:rsidRPr="009A4DC3" w:rsidRDefault="004F3648" w:rsidP="004F3648">
      <w:pPr>
        <w:rPr>
          <w:lang w:val="ru-RU"/>
        </w:rPr>
      </w:pPr>
      <w:r w:rsidRPr="009A4DC3">
        <w:rPr>
          <w:lang w:val="ru-RU"/>
        </w:rPr>
        <w:t>Финансовый регламент и Финансовые правила</w:t>
      </w:r>
      <w:r>
        <w:rPr>
          <w:lang w:val="ru-RU"/>
        </w:rPr>
        <w:t xml:space="preserve"> МСЭ (2018 г.),</w:t>
      </w:r>
      <w:r w:rsidRPr="009A4DC3">
        <w:rPr>
          <w:lang w:val="ru-RU"/>
        </w:rPr>
        <w:t xml:space="preserve"> </w:t>
      </w:r>
    </w:p>
    <w:p w:rsidR="004F3648" w:rsidRPr="008E235D" w:rsidRDefault="004F3648" w:rsidP="004F3648">
      <w:pPr>
        <w:pStyle w:val="Call"/>
        <w:rPr>
          <w:lang w:val="ru-RU"/>
        </w:rPr>
      </w:pPr>
      <w:r w:rsidRPr="009A4DC3">
        <w:rPr>
          <w:lang w:val="ru-RU"/>
        </w:rPr>
        <w:t>решает</w:t>
      </w:r>
      <w:r w:rsidRPr="008E235D">
        <w:rPr>
          <w:lang w:val="ru-RU"/>
        </w:rPr>
        <w:t xml:space="preserve"> </w:t>
      </w:r>
    </w:p>
    <w:p w:rsidR="008C1015" w:rsidRPr="008C1015" w:rsidRDefault="004F3648" w:rsidP="008C1015">
      <w:pPr>
        <w:rPr>
          <w:lang w:val="ru-RU"/>
        </w:rPr>
      </w:pPr>
      <w:r w:rsidRPr="008C1015">
        <w:rPr>
          <w:lang w:val="ru-RU"/>
        </w:rPr>
        <w:t>1</w:t>
      </w:r>
      <w:r w:rsidRPr="008C1015">
        <w:rPr>
          <w:lang w:val="ru-RU"/>
        </w:rPr>
        <w:tab/>
      </w:r>
      <w:r w:rsidR="008C1015">
        <w:rPr>
          <w:lang w:val="ru-RU"/>
        </w:rPr>
        <w:t>отменить</w:t>
      </w:r>
      <w:r w:rsidR="008C1015" w:rsidRPr="008C1015">
        <w:rPr>
          <w:lang w:val="ru-RU"/>
        </w:rPr>
        <w:t xml:space="preserve"> </w:t>
      </w:r>
      <w:r w:rsidR="008C1015">
        <w:rPr>
          <w:lang w:val="ru-RU"/>
        </w:rPr>
        <w:t>процесс</w:t>
      </w:r>
      <w:r w:rsidR="008C1015" w:rsidRPr="008C1015">
        <w:rPr>
          <w:lang w:val="ru-RU"/>
        </w:rPr>
        <w:t xml:space="preserve"> </w:t>
      </w:r>
      <w:r w:rsidR="008C1015">
        <w:rPr>
          <w:lang w:val="ru-RU"/>
        </w:rPr>
        <w:t>проведения</w:t>
      </w:r>
      <w:r w:rsidR="008C1015" w:rsidRPr="008C1015">
        <w:rPr>
          <w:lang w:val="ru-RU"/>
        </w:rPr>
        <w:t xml:space="preserve"> </w:t>
      </w:r>
      <w:r w:rsidR="008C1015">
        <w:rPr>
          <w:lang w:val="ru-RU"/>
        </w:rPr>
        <w:t>тендера</w:t>
      </w:r>
      <w:r w:rsidR="008C1015" w:rsidRPr="008C1015">
        <w:rPr>
          <w:lang w:val="ru-RU"/>
        </w:rPr>
        <w:t xml:space="preserve"> </w:t>
      </w:r>
      <w:r w:rsidR="008C1015">
        <w:rPr>
          <w:lang w:val="ru-RU"/>
        </w:rPr>
        <w:t>для</w:t>
      </w:r>
      <w:r w:rsidR="008C1015" w:rsidRPr="008C1015">
        <w:rPr>
          <w:lang w:val="ru-RU"/>
        </w:rPr>
        <w:t xml:space="preserve"> </w:t>
      </w:r>
      <w:r w:rsidR="008C1015">
        <w:rPr>
          <w:lang w:val="ru-RU"/>
        </w:rPr>
        <w:t>выбора</w:t>
      </w:r>
      <w:r w:rsidR="008C1015" w:rsidRPr="008C1015">
        <w:rPr>
          <w:lang w:val="ru-RU"/>
        </w:rPr>
        <w:t xml:space="preserve"> </w:t>
      </w:r>
      <w:r w:rsidR="008C1015">
        <w:rPr>
          <w:lang w:val="ru-RU"/>
        </w:rPr>
        <w:t>Внешнего</w:t>
      </w:r>
      <w:r w:rsidR="008C1015" w:rsidRPr="008C1015">
        <w:rPr>
          <w:lang w:val="ru-RU"/>
        </w:rPr>
        <w:t xml:space="preserve"> </w:t>
      </w:r>
      <w:r w:rsidR="008C1015">
        <w:rPr>
          <w:lang w:val="ru-RU"/>
        </w:rPr>
        <w:t>аудитора</w:t>
      </w:r>
      <w:r w:rsidR="008C1015" w:rsidRPr="008C1015">
        <w:rPr>
          <w:lang w:val="ru-RU"/>
        </w:rPr>
        <w:t xml:space="preserve"> </w:t>
      </w:r>
      <w:r w:rsidR="008C1015">
        <w:rPr>
          <w:lang w:val="ru-RU"/>
        </w:rPr>
        <w:t>МСЭ</w:t>
      </w:r>
      <w:r w:rsidR="008C1015" w:rsidRPr="008C1015">
        <w:rPr>
          <w:lang w:val="ru-RU"/>
        </w:rPr>
        <w:t xml:space="preserve">, </w:t>
      </w:r>
      <w:r w:rsidR="008C1015">
        <w:rPr>
          <w:lang w:val="ru-RU"/>
        </w:rPr>
        <w:t>запущенный</w:t>
      </w:r>
      <w:r w:rsidR="008C1015" w:rsidRPr="008C1015">
        <w:rPr>
          <w:lang w:val="ru-RU"/>
        </w:rPr>
        <w:t xml:space="preserve"> </w:t>
      </w:r>
      <w:r w:rsidR="008C1015">
        <w:rPr>
          <w:lang w:val="ru-RU"/>
        </w:rPr>
        <w:t>в</w:t>
      </w:r>
      <w:r w:rsidR="008C1015" w:rsidRPr="008C1015">
        <w:rPr>
          <w:lang w:val="ru-RU"/>
        </w:rPr>
        <w:t xml:space="preserve"> </w:t>
      </w:r>
      <w:r w:rsidR="008C1015">
        <w:rPr>
          <w:lang w:val="ru-RU"/>
        </w:rPr>
        <w:t>декабре</w:t>
      </w:r>
      <w:r w:rsidR="008C1015" w:rsidRPr="008C1015">
        <w:rPr>
          <w:lang w:val="ru-RU"/>
        </w:rPr>
        <w:t xml:space="preserve"> 2018</w:t>
      </w:r>
      <w:r w:rsidR="008C1015" w:rsidRPr="008C1015">
        <w:t> </w:t>
      </w:r>
      <w:r w:rsidR="008C1015">
        <w:rPr>
          <w:lang w:val="ru-RU"/>
        </w:rPr>
        <w:t>года</w:t>
      </w:r>
      <w:r w:rsidR="00FE3CEB">
        <w:rPr>
          <w:lang w:val="ru-RU"/>
        </w:rPr>
        <w:t>;</w:t>
      </w:r>
    </w:p>
    <w:p w:rsidR="008C1015" w:rsidRPr="00923746" w:rsidRDefault="004F3648" w:rsidP="00FE3CEB">
      <w:pPr>
        <w:rPr>
          <w:lang w:val="ru-RU"/>
        </w:rPr>
      </w:pPr>
      <w:r w:rsidRPr="008C1015">
        <w:rPr>
          <w:lang w:val="ru-RU"/>
        </w:rPr>
        <w:t>2</w:t>
      </w:r>
      <w:r w:rsidRPr="008C1015">
        <w:rPr>
          <w:lang w:val="ru-RU"/>
        </w:rPr>
        <w:tab/>
      </w:r>
      <w:r w:rsidR="008C1015">
        <w:rPr>
          <w:lang w:val="ru-RU"/>
        </w:rPr>
        <w:t>начать</w:t>
      </w:r>
      <w:r w:rsidR="008C1015" w:rsidRPr="008C1015">
        <w:rPr>
          <w:lang w:val="ru-RU"/>
        </w:rPr>
        <w:t xml:space="preserve"> </w:t>
      </w:r>
      <w:r w:rsidR="00923746">
        <w:rPr>
          <w:lang w:val="ru-RU"/>
        </w:rPr>
        <w:t xml:space="preserve">заново </w:t>
      </w:r>
      <w:r w:rsidR="008C1015">
        <w:rPr>
          <w:lang w:val="ru-RU"/>
        </w:rPr>
        <w:t>процесс</w:t>
      </w:r>
      <w:r w:rsidR="008C1015" w:rsidRPr="008C1015">
        <w:rPr>
          <w:lang w:val="ru-RU"/>
        </w:rPr>
        <w:t xml:space="preserve"> </w:t>
      </w:r>
      <w:r w:rsidR="008C1015">
        <w:rPr>
          <w:lang w:val="ru-RU"/>
        </w:rPr>
        <w:t>выбора</w:t>
      </w:r>
      <w:r w:rsidR="008C1015" w:rsidRPr="008C1015">
        <w:rPr>
          <w:lang w:val="ru-RU"/>
        </w:rPr>
        <w:t xml:space="preserve"> </w:t>
      </w:r>
      <w:r w:rsidR="008C1015">
        <w:rPr>
          <w:lang w:val="ru-RU"/>
        </w:rPr>
        <w:t>Внешнего</w:t>
      </w:r>
      <w:r w:rsidR="008C1015" w:rsidRPr="008C1015">
        <w:rPr>
          <w:lang w:val="ru-RU"/>
        </w:rPr>
        <w:t xml:space="preserve"> </w:t>
      </w:r>
      <w:r w:rsidR="008C1015">
        <w:rPr>
          <w:lang w:val="ru-RU"/>
        </w:rPr>
        <w:t>аудитора</w:t>
      </w:r>
      <w:r w:rsidR="008C1015" w:rsidRPr="008C1015">
        <w:rPr>
          <w:lang w:val="ru-RU"/>
        </w:rPr>
        <w:t xml:space="preserve"> </w:t>
      </w:r>
      <w:r w:rsidR="008C1015">
        <w:rPr>
          <w:lang w:val="ru-RU"/>
        </w:rPr>
        <w:t>МСЭ</w:t>
      </w:r>
      <w:r w:rsidR="008C1015" w:rsidRPr="008C1015">
        <w:rPr>
          <w:lang w:val="ru-RU"/>
        </w:rPr>
        <w:t xml:space="preserve"> </w:t>
      </w:r>
      <w:r w:rsidR="008C1015">
        <w:rPr>
          <w:lang w:val="ru-RU"/>
        </w:rPr>
        <w:t>немедленно</w:t>
      </w:r>
      <w:r w:rsidR="008C1015" w:rsidRPr="008C1015">
        <w:rPr>
          <w:lang w:val="ru-RU"/>
        </w:rPr>
        <w:t xml:space="preserve"> </w:t>
      </w:r>
      <w:r w:rsidR="008C1015">
        <w:rPr>
          <w:lang w:val="ru-RU"/>
        </w:rPr>
        <w:t>после нынешней сессии Совета с использованием той же мето</w:t>
      </w:r>
      <w:r w:rsidR="00BE4CB7">
        <w:rPr>
          <w:lang w:val="ru-RU"/>
        </w:rPr>
        <w:t>д</w:t>
      </w:r>
      <w:r w:rsidR="00A12FAE">
        <w:rPr>
          <w:lang w:val="ru-RU"/>
        </w:rPr>
        <w:t>ики</w:t>
      </w:r>
      <w:r w:rsidR="00BE4CB7">
        <w:rPr>
          <w:lang w:val="ru-RU"/>
        </w:rPr>
        <w:t xml:space="preserve"> в установленном порядке</w:t>
      </w:r>
      <w:r w:rsidR="00FE3CEB">
        <w:rPr>
          <w:lang w:val="ru-RU"/>
        </w:rPr>
        <w:t>;</w:t>
      </w:r>
      <w:r w:rsidR="008C1015">
        <w:rPr>
          <w:lang w:val="ru-RU"/>
        </w:rPr>
        <w:t xml:space="preserve"> и</w:t>
      </w:r>
      <w:r w:rsidR="00923746" w:rsidRPr="00923746">
        <w:rPr>
          <w:lang w:val="ru-RU"/>
        </w:rPr>
        <w:t xml:space="preserve"> </w:t>
      </w:r>
    </w:p>
    <w:p w:rsidR="008C1015" w:rsidRPr="00BE4CB7" w:rsidRDefault="004F3648" w:rsidP="00A12FAE">
      <w:pPr>
        <w:rPr>
          <w:lang w:val="ru-RU"/>
        </w:rPr>
      </w:pPr>
      <w:r w:rsidRPr="008C1015">
        <w:rPr>
          <w:lang w:val="ru-RU"/>
        </w:rPr>
        <w:t>3</w:t>
      </w:r>
      <w:r w:rsidRPr="008C1015">
        <w:rPr>
          <w:lang w:val="ru-RU"/>
        </w:rPr>
        <w:tab/>
      </w:r>
      <w:r w:rsidR="00A12FAE">
        <w:rPr>
          <w:lang w:val="ru-RU"/>
        </w:rPr>
        <w:t>продлить</w:t>
      </w:r>
      <w:r w:rsidR="008C1015">
        <w:rPr>
          <w:lang w:val="ru-RU"/>
        </w:rPr>
        <w:t xml:space="preserve"> мандат </w:t>
      </w:r>
      <w:r w:rsidR="00BE4CB7">
        <w:rPr>
          <w:lang w:val="ru-RU"/>
        </w:rPr>
        <w:t xml:space="preserve">действующего Внешнего аудитора, </w:t>
      </w:r>
      <w:r w:rsidR="008C1015" w:rsidRPr="008C1015">
        <w:rPr>
          <w:lang w:val="ru-RU"/>
        </w:rPr>
        <w:t xml:space="preserve">высшего </w:t>
      </w:r>
      <w:r w:rsidR="00A12FAE">
        <w:rPr>
          <w:lang w:val="ru-RU"/>
        </w:rPr>
        <w:t>аудиторского</w:t>
      </w:r>
      <w:r w:rsidR="008C1015" w:rsidRPr="008C1015">
        <w:rPr>
          <w:lang w:val="ru-RU"/>
        </w:rPr>
        <w:t xml:space="preserve"> </w:t>
      </w:r>
      <w:r w:rsidR="00A12FAE">
        <w:rPr>
          <w:lang w:val="ru-RU"/>
        </w:rPr>
        <w:t>учреждения</w:t>
      </w:r>
      <w:r w:rsidR="008C1015" w:rsidRPr="008C1015">
        <w:rPr>
          <w:lang w:val="ru-RU"/>
        </w:rPr>
        <w:t xml:space="preserve"> Италии</w:t>
      </w:r>
      <w:r w:rsidR="008C1015">
        <w:rPr>
          <w:lang w:val="ru-RU"/>
        </w:rPr>
        <w:t xml:space="preserve"> </w:t>
      </w:r>
      <w:r w:rsidR="008C1015" w:rsidRPr="004F3648">
        <w:t>Corte</w:t>
      </w:r>
      <w:r w:rsidR="008C1015" w:rsidRPr="008C1015">
        <w:rPr>
          <w:lang w:val="ru-RU"/>
        </w:rPr>
        <w:t xml:space="preserve"> </w:t>
      </w:r>
      <w:r w:rsidR="008C1015" w:rsidRPr="004F3648">
        <w:t>dei</w:t>
      </w:r>
      <w:r w:rsidR="008C1015" w:rsidRPr="008C1015">
        <w:rPr>
          <w:lang w:val="ru-RU"/>
        </w:rPr>
        <w:t xml:space="preserve"> </w:t>
      </w:r>
      <w:r w:rsidR="008C1015" w:rsidRPr="004F3648">
        <w:t>Conti</w:t>
      </w:r>
      <w:r w:rsidR="00BE4CB7">
        <w:rPr>
          <w:lang w:val="ru-RU"/>
        </w:rPr>
        <w:t>, на дополнительный двухгодичный период для</w:t>
      </w:r>
      <w:r w:rsidR="00A12FAE">
        <w:rPr>
          <w:lang w:val="ru-RU"/>
        </w:rPr>
        <w:t xml:space="preserve"> проведения</w:t>
      </w:r>
      <w:r w:rsidR="00BE4CB7">
        <w:rPr>
          <w:lang w:val="ru-RU"/>
        </w:rPr>
        <w:t xml:space="preserve"> </w:t>
      </w:r>
      <w:r w:rsidR="00923746">
        <w:rPr>
          <w:lang w:val="ru-RU"/>
        </w:rPr>
        <w:t xml:space="preserve">аудиторской проверки </w:t>
      </w:r>
      <w:r w:rsidR="00BE4CB7">
        <w:rPr>
          <w:lang w:val="ru-RU"/>
        </w:rPr>
        <w:t>финансовой отчетности</w:t>
      </w:r>
      <w:r w:rsidR="00923746">
        <w:rPr>
          <w:lang w:val="ru-RU"/>
        </w:rPr>
        <w:t xml:space="preserve"> за 2020 и 2021 годы</w:t>
      </w:r>
      <w:r w:rsidR="00BE4CB7">
        <w:rPr>
          <w:lang w:val="ru-RU"/>
        </w:rPr>
        <w:t>,</w:t>
      </w:r>
    </w:p>
    <w:p w:rsidR="004F3648" w:rsidRPr="009A4DC3" w:rsidRDefault="004F3648" w:rsidP="004F3648">
      <w:pPr>
        <w:pStyle w:val="Call"/>
        <w:rPr>
          <w:lang w:val="ru-RU"/>
        </w:rPr>
      </w:pPr>
      <w:r w:rsidRPr="009A4DC3">
        <w:rPr>
          <w:lang w:val="ru-RU"/>
        </w:rPr>
        <w:t>поручает Генеральному секретарю</w:t>
      </w:r>
    </w:p>
    <w:p w:rsidR="0048526B" w:rsidRDefault="0048526B" w:rsidP="00A12FAE">
      <w:pPr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</w:r>
      <w:r w:rsidR="004F3648" w:rsidRPr="009A4DC3">
        <w:rPr>
          <w:lang w:val="ru-RU"/>
        </w:rPr>
        <w:t xml:space="preserve">довести настоящее </w:t>
      </w:r>
      <w:r w:rsidR="00BE4CB7" w:rsidRPr="009A4DC3">
        <w:rPr>
          <w:lang w:val="ru-RU"/>
        </w:rPr>
        <w:t xml:space="preserve">Решение </w:t>
      </w:r>
      <w:r w:rsidR="004F3648" w:rsidRPr="009A4DC3">
        <w:rPr>
          <w:lang w:val="ru-RU"/>
        </w:rPr>
        <w:t xml:space="preserve">до сведения председателя высшего </w:t>
      </w:r>
      <w:r w:rsidR="00A12FAE">
        <w:rPr>
          <w:lang w:val="ru-RU"/>
        </w:rPr>
        <w:t>аудиторского учреждения</w:t>
      </w:r>
      <w:r w:rsidR="004F3648" w:rsidRPr="009A4DC3">
        <w:rPr>
          <w:lang w:val="ru-RU"/>
        </w:rPr>
        <w:t xml:space="preserve"> Италии и</w:t>
      </w:r>
      <w:r w:rsidR="00A12FAE">
        <w:rPr>
          <w:lang w:val="ru-RU"/>
        </w:rPr>
        <w:t xml:space="preserve">, в случае необходимости, внести поправки в действующее </w:t>
      </w:r>
      <w:r w:rsidR="00A12FAE" w:rsidRPr="009A4DC3">
        <w:rPr>
          <w:lang w:val="ru-RU"/>
        </w:rPr>
        <w:t xml:space="preserve">соглашение </w:t>
      </w:r>
      <w:r w:rsidR="004F3648" w:rsidRPr="009A4DC3">
        <w:rPr>
          <w:lang w:val="ru-RU"/>
        </w:rPr>
        <w:t>с ним</w:t>
      </w:r>
      <w:r>
        <w:rPr>
          <w:lang w:val="ru-RU"/>
        </w:rPr>
        <w:t>;</w:t>
      </w:r>
    </w:p>
    <w:p w:rsidR="00BE4CB7" w:rsidRPr="00BE4CB7" w:rsidRDefault="0048526B" w:rsidP="00BE4CB7">
      <w:pPr>
        <w:rPr>
          <w:lang w:val="ru-RU"/>
        </w:rPr>
      </w:pPr>
      <w:r w:rsidRPr="00BE4CB7">
        <w:rPr>
          <w:lang w:val="ru-RU"/>
        </w:rPr>
        <w:t>2</w:t>
      </w:r>
      <w:r w:rsidRPr="00BE4CB7">
        <w:rPr>
          <w:lang w:val="ru-RU"/>
        </w:rPr>
        <w:tab/>
      </w:r>
      <w:r w:rsidR="00BE4CB7">
        <w:rPr>
          <w:lang w:val="ru-RU"/>
        </w:rPr>
        <w:t>направить</w:t>
      </w:r>
      <w:r w:rsidR="00BE4CB7" w:rsidRPr="00BE4CB7">
        <w:rPr>
          <w:lang w:val="ru-RU"/>
        </w:rPr>
        <w:t xml:space="preserve"> </w:t>
      </w:r>
      <w:r w:rsidR="00BE4CB7">
        <w:rPr>
          <w:lang w:val="ru-RU"/>
        </w:rPr>
        <w:t>шести</w:t>
      </w:r>
      <w:r w:rsidR="00BE4CB7" w:rsidRPr="00BE4CB7">
        <w:rPr>
          <w:lang w:val="ru-RU"/>
        </w:rPr>
        <w:t xml:space="preserve"> </w:t>
      </w:r>
      <w:r w:rsidR="00BE4CB7" w:rsidRPr="00B74422">
        <w:rPr>
          <w:lang w:val="ru-RU"/>
        </w:rPr>
        <w:t>основны</w:t>
      </w:r>
      <w:r w:rsidR="00BE4CB7">
        <w:rPr>
          <w:lang w:val="ru-RU"/>
        </w:rPr>
        <w:t>м</w:t>
      </w:r>
      <w:r w:rsidR="00BE4CB7" w:rsidRPr="00BE4CB7">
        <w:rPr>
          <w:lang w:val="ru-RU"/>
        </w:rPr>
        <w:t xml:space="preserve"> </w:t>
      </w:r>
      <w:r w:rsidR="00BE4CB7">
        <w:rPr>
          <w:lang w:val="ru-RU"/>
        </w:rPr>
        <w:t>региональным</w:t>
      </w:r>
      <w:r w:rsidR="00BE4CB7" w:rsidRPr="00BE4CB7">
        <w:rPr>
          <w:lang w:val="ru-RU"/>
        </w:rPr>
        <w:t xml:space="preserve"> </w:t>
      </w:r>
      <w:r w:rsidR="00BE4CB7" w:rsidRPr="00B74422">
        <w:rPr>
          <w:lang w:val="ru-RU"/>
        </w:rPr>
        <w:t>организаци</w:t>
      </w:r>
      <w:r w:rsidR="00BE4CB7">
        <w:rPr>
          <w:lang w:val="ru-RU"/>
        </w:rPr>
        <w:t>ям</w:t>
      </w:r>
      <w:r w:rsidR="00BE4CB7" w:rsidRPr="00BE4CB7">
        <w:rPr>
          <w:lang w:val="ru-RU"/>
        </w:rPr>
        <w:t xml:space="preserve"> </w:t>
      </w:r>
      <w:r w:rsidR="00BE4CB7">
        <w:rPr>
          <w:lang w:val="ru-RU"/>
        </w:rPr>
        <w:t xml:space="preserve">электросвязи </w:t>
      </w:r>
      <w:r w:rsidR="0018397C">
        <w:rPr>
          <w:lang w:val="ru-RU"/>
        </w:rPr>
        <w:t xml:space="preserve">циркулярное </w:t>
      </w:r>
      <w:r w:rsidR="00BE4CB7">
        <w:rPr>
          <w:lang w:val="ru-RU"/>
        </w:rPr>
        <w:t>письмо</w:t>
      </w:r>
      <w:r w:rsidR="00BE4CB7" w:rsidRPr="00BE4CB7">
        <w:rPr>
          <w:lang w:val="ru-RU"/>
        </w:rPr>
        <w:t xml:space="preserve"> </w:t>
      </w:r>
      <w:r w:rsidR="00BE4CB7" w:rsidRPr="0018397C">
        <w:rPr>
          <w:lang w:val="ru-RU"/>
        </w:rPr>
        <w:t>с предложением выдвинуть кандидатуры для вхождения</w:t>
      </w:r>
      <w:r w:rsidR="00BE4CB7" w:rsidRPr="00BE4CB7">
        <w:rPr>
          <w:lang w:val="ru-RU"/>
        </w:rPr>
        <w:t xml:space="preserve"> </w:t>
      </w:r>
      <w:r w:rsidR="00BE4CB7">
        <w:rPr>
          <w:lang w:val="ru-RU"/>
        </w:rPr>
        <w:t xml:space="preserve">в состав Комитета по оценке для нового процесса отбора; </w:t>
      </w:r>
    </w:p>
    <w:p w:rsidR="00BE4CB7" w:rsidRDefault="0048526B" w:rsidP="00546B14">
      <w:pPr>
        <w:rPr>
          <w:lang w:val="ru-RU"/>
        </w:rPr>
      </w:pPr>
      <w:r w:rsidRPr="00BE4CB7">
        <w:rPr>
          <w:lang w:val="ru-RU"/>
        </w:rPr>
        <w:t>3</w:t>
      </w:r>
      <w:r w:rsidRPr="00BE4CB7">
        <w:rPr>
          <w:lang w:val="ru-RU"/>
        </w:rPr>
        <w:tab/>
      </w:r>
      <w:r w:rsidR="00BE4CB7">
        <w:rPr>
          <w:lang w:val="ru-RU"/>
        </w:rPr>
        <w:t>обеспечить</w:t>
      </w:r>
      <w:r w:rsidR="00BE4CB7" w:rsidRPr="00BE4CB7">
        <w:rPr>
          <w:lang w:val="ru-RU"/>
        </w:rPr>
        <w:t xml:space="preserve"> </w:t>
      </w:r>
      <w:r w:rsidR="00BE4CB7">
        <w:rPr>
          <w:lang w:val="ru-RU"/>
        </w:rPr>
        <w:t>Комитету</w:t>
      </w:r>
      <w:r w:rsidR="00BE4CB7" w:rsidRPr="00BE4CB7">
        <w:rPr>
          <w:lang w:val="ru-RU"/>
        </w:rPr>
        <w:t xml:space="preserve"> </w:t>
      </w:r>
      <w:r w:rsidR="00BE4CB7">
        <w:rPr>
          <w:lang w:val="ru-RU"/>
        </w:rPr>
        <w:t>по</w:t>
      </w:r>
      <w:r w:rsidR="00BE4CB7" w:rsidRPr="00BE4CB7">
        <w:rPr>
          <w:lang w:val="ru-RU"/>
        </w:rPr>
        <w:t xml:space="preserve"> </w:t>
      </w:r>
      <w:r w:rsidR="00BE4CB7">
        <w:rPr>
          <w:lang w:val="ru-RU"/>
        </w:rPr>
        <w:t>оценке</w:t>
      </w:r>
      <w:r w:rsidR="00BE4CB7" w:rsidRPr="00BE4CB7">
        <w:rPr>
          <w:lang w:val="ru-RU"/>
        </w:rPr>
        <w:t xml:space="preserve"> </w:t>
      </w:r>
      <w:r w:rsidR="00BE4CB7">
        <w:rPr>
          <w:lang w:val="ru-RU"/>
        </w:rPr>
        <w:t>поддержку</w:t>
      </w:r>
      <w:r w:rsidR="00BE4CB7" w:rsidRPr="00BE4CB7">
        <w:rPr>
          <w:lang w:val="ru-RU"/>
        </w:rPr>
        <w:t xml:space="preserve"> </w:t>
      </w:r>
      <w:r w:rsidR="00BE4CB7">
        <w:rPr>
          <w:lang w:val="ru-RU"/>
        </w:rPr>
        <w:t xml:space="preserve">секретариата, для того чтобы Комитет мог представить рекомендации Совету для назначения </w:t>
      </w:r>
      <w:r w:rsidR="0018397C">
        <w:rPr>
          <w:lang w:val="ru-RU"/>
        </w:rPr>
        <w:t xml:space="preserve">нового </w:t>
      </w:r>
      <w:r w:rsidR="00BE4CB7">
        <w:rPr>
          <w:lang w:val="ru-RU"/>
        </w:rPr>
        <w:t>Внешнего аудитора на его сессии 2020</w:t>
      </w:r>
      <w:r w:rsidR="00546B14">
        <w:rPr>
          <w:lang w:val="ru-RU"/>
        </w:rPr>
        <w:t> </w:t>
      </w:r>
      <w:r w:rsidR="00BE4CB7">
        <w:rPr>
          <w:lang w:val="ru-RU"/>
        </w:rPr>
        <w:t xml:space="preserve">года. </w:t>
      </w:r>
    </w:p>
    <w:p w:rsidR="0048526B" w:rsidRDefault="0048526B" w:rsidP="0048526B">
      <w:pPr>
        <w:spacing w:before="720"/>
        <w:jc w:val="center"/>
      </w:pPr>
      <w:r>
        <w:t>______________</w:t>
      </w:r>
    </w:p>
    <w:sectPr w:rsidR="0048526B" w:rsidSect="00CF629C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015" w:rsidRDefault="008C1015">
      <w:r>
        <w:separator/>
      </w:r>
    </w:p>
  </w:endnote>
  <w:endnote w:type="continuationSeparator" w:id="0">
    <w:p w:rsidR="008C1015" w:rsidRDefault="008C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015" w:rsidRPr="00A921DD" w:rsidRDefault="008C1015" w:rsidP="009B0BAE">
    <w:pPr>
      <w:pStyle w:val="Footer"/>
      <w:rPr>
        <w:sz w:val="18"/>
        <w:szCs w:val="18"/>
        <w:lang w:val="fr-CH"/>
      </w:rPr>
    </w:pPr>
    <w:r>
      <w:fldChar w:fldCharType="begin"/>
    </w:r>
    <w:r w:rsidRPr="00A921DD">
      <w:rPr>
        <w:lang w:val="fr-CH"/>
      </w:rPr>
      <w:instrText xml:space="preserve"> FILENAME \p  \* MERGEFORMAT </w:instrText>
    </w:r>
    <w:r>
      <w:fldChar w:fldCharType="separate"/>
    </w:r>
    <w:r w:rsidRPr="00A921DD">
      <w:rPr>
        <w:lang w:val="fr-CH"/>
      </w:rPr>
      <w:t>P:\RUS\SG\CONSEIL\C19\000\059R.docx</w:t>
    </w:r>
    <w:r>
      <w:rPr>
        <w:lang w:val="en-US"/>
      </w:rPr>
      <w:fldChar w:fldCharType="end"/>
    </w:r>
    <w:r w:rsidRPr="00A921DD">
      <w:rPr>
        <w:lang w:val="fr-CH"/>
      </w:rPr>
      <w:t xml:space="preserve"> (454910)</w:t>
    </w:r>
    <w:r w:rsidRPr="00A921DD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300C4">
      <w:t>10.06.19</w:t>
    </w:r>
    <w:r>
      <w:fldChar w:fldCharType="end"/>
    </w:r>
    <w:r w:rsidRPr="00A921DD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015" w:rsidRDefault="008C101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8C1015" w:rsidRPr="00A921DD" w:rsidRDefault="008C1015">
    <w:pPr>
      <w:pStyle w:val="Footer"/>
      <w:rPr>
        <w:lang w:val="fr-CH"/>
      </w:rPr>
    </w:pPr>
    <w:r>
      <w:rPr>
        <w:lang w:val="en-US"/>
      </w:rPr>
      <w:fldChar w:fldCharType="begin"/>
    </w:r>
    <w:r w:rsidRPr="00A921DD">
      <w:rPr>
        <w:lang w:val="fr-CH"/>
      </w:rPr>
      <w:instrText xml:space="preserve"> FILENAME \p  \* MERGEFORMAT </w:instrText>
    </w:r>
    <w:r>
      <w:rPr>
        <w:lang w:val="en-US"/>
      </w:rPr>
      <w:fldChar w:fldCharType="separate"/>
    </w:r>
    <w:r w:rsidRPr="00A921DD">
      <w:rPr>
        <w:lang w:val="fr-CH"/>
      </w:rPr>
      <w:t>P:\RUS\SG\CONSEIL\C19\000\059R.docx</w:t>
    </w:r>
    <w:r>
      <w:rPr>
        <w:lang w:val="en-US"/>
      </w:rPr>
      <w:fldChar w:fldCharType="end"/>
    </w:r>
    <w:r w:rsidRPr="00A921DD">
      <w:rPr>
        <w:lang w:val="fr-CH"/>
      </w:rPr>
      <w:t xml:space="preserve"> (454910)</w:t>
    </w:r>
    <w:r w:rsidRPr="00A921DD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300C4">
      <w:t>10.06.19</w:t>
    </w:r>
    <w:r>
      <w:fldChar w:fldCharType="end"/>
    </w:r>
    <w:r w:rsidRPr="00A921DD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015" w:rsidRDefault="008C1015">
      <w:r>
        <w:t>____________________</w:t>
      </w:r>
    </w:p>
  </w:footnote>
  <w:footnote w:type="continuationSeparator" w:id="0">
    <w:p w:rsidR="008C1015" w:rsidRDefault="008C1015">
      <w:r>
        <w:continuationSeparator/>
      </w:r>
    </w:p>
  </w:footnote>
  <w:footnote w:id="1">
    <w:p w:rsidR="008C1015" w:rsidRPr="00CF6AB4" w:rsidRDefault="008C1015" w:rsidP="008B475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F6AB4"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  <w:t>На протяжении всего процесса функции секретариата выполняло Подразделение внутреннего аудита МСЭ в</w:t>
      </w:r>
      <w:r w:rsidR="008B4759">
        <w:rPr>
          <w:lang w:val="ru-RU"/>
        </w:rPr>
        <w:t> </w:t>
      </w:r>
      <w:r>
        <w:rPr>
          <w:lang w:val="ru-RU"/>
        </w:rPr>
        <w:t>тесном сотрудничестве с Отделом закупок МСЭ и в консультации с Советником МСЭ по правовым вопросам.</w:t>
      </w:r>
    </w:p>
  </w:footnote>
  <w:footnote w:id="2">
    <w:p w:rsidR="008C1015" w:rsidRPr="00FE6056" w:rsidRDefault="008C1015" w:rsidP="005977F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E6056"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 w:rsidR="009E3D3B">
        <w:rPr>
          <w:lang w:val="ru-RU"/>
        </w:rPr>
        <w:t>Согласно</w:t>
      </w:r>
      <w:r w:rsidRPr="009E3D3B">
        <w:rPr>
          <w:lang w:val="ru-RU"/>
        </w:rPr>
        <w:t xml:space="preserve"> У41 Совет</w:t>
      </w:r>
      <w:r>
        <w:rPr>
          <w:lang w:val="ru-RU"/>
        </w:rPr>
        <w:t xml:space="preserve"> действует от имени Полномочной конференции; </w:t>
      </w:r>
      <w:r w:rsidR="009E3D3B">
        <w:rPr>
          <w:lang w:val="ru-RU"/>
        </w:rPr>
        <w:t>в соответствии с</w:t>
      </w:r>
      <w:r>
        <w:rPr>
          <w:lang w:val="ru-RU"/>
        </w:rPr>
        <w:t xml:space="preserve"> Резолюци</w:t>
      </w:r>
      <w:r w:rsidR="009E3D3B">
        <w:rPr>
          <w:lang w:val="ru-RU"/>
        </w:rPr>
        <w:t>ей</w:t>
      </w:r>
      <w:r>
        <w:rPr>
          <w:lang w:val="ru-RU"/>
        </w:rPr>
        <w:t xml:space="preserve"> 94 (Пересм. Дубай, 2018 г.) и </w:t>
      </w:r>
      <w:r w:rsidR="001300C4">
        <w:rPr>
          <w:lang w:val="ru-RU"/>
        </w:rPr>
        <w:t>Статьей </w:t>
      </w:r>
      <w:r>
        <w:rPr>
          <w:lang w:val="ru-RU"/>
        </w:rPr>
        <w:t xml:space="preserve">28 </w:t>
      </w:r>
      <w:r w:rsidRPr="00434763">
        <w:rPr>
          <w:lang w:val="ru-RU"/>
        </w:rPr>
        <w:t>Финансовых правил МСЭ</w:t>
      </w:r>
      <w:r>
        <w:rPr>
          <w:lang w:val="ru-RU"/>
        </w:rPr>
        <w:t xml:space="preserve"> Совет в период между полномочными конференциями уполномочен принимать необходимые меры для назначения Внешнего аудитора и, следовательно, в </w:t>
      </w:r>
      <w:r w:rsidR="00923746">
        <w:rPr>
          <w:lang w:val="ru-RU"/>
        </w:rPr>
        <w:t>исключительных обстоятельствах</w:t>
      </w:r>
      <w:r>
        <w:rPr>
          <w:lang w:val="ru-RU"/>
        </w:rPr>
        <w:t xml:space="preserve"> </w:t>
      </w:r>
      <w:r w:rsidR="00A12FAE">
        <w:rPr>
          <w:lang w:val="ru-RU"/>
        </w:rPr>
        <w:t>продл</w:t>
      </w:r>
      <w:r w:rsidR="005977F0">
        <w:rPr>
          <w:lang w:val="ru-RU"/>
        </w:rPr>
        <w:t>ева</w:t>
      </w:r>
      <w:r w:rsidR="00A12FAE">
        <w:rPr>
          <w:lang w:val="ru-RU"/>
        </w:rPr>
        <w:t>ть</w:t>
      </w:r>
      <w:r>
        <w:rPr>
          <w:lang w:val="ru-RU"/>
        </w:rPr>
        <w:t xml:space="preserve"> его мандат.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015" w:rsidRDefault="008C1015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1300C4">
      <w:rPr>
        <w:noProof/>
      </w:rPr>
      <w:t>6</w:t>
    </w:r>
    <w:r>
      <w:rPr>
        <w:noProof/>
      </w:rPr>
      <w:fldChar w:fldCharType="end"/>
    </w:r>
  </w:p>
  <w:p w:rsidR="008C1015" w:rsidRDefault="008C1015" w:rsidP="00241931">
    <w:pPr>
      <w:pStyle w:val="Header"/>
      <w:spacing w:after="480"/>
    </w:pPr>
    <w:r>
      <w:t>C19/</w:t>
    </w:r>
    <w:r>
      <w:rPr>
        <w:lang w:val="ru-RU"/>
      </w:rPr>
      <w:t>59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D6D671"/>
    <w:multiLevelType w:val="hybridMultilevel"/>
    <w:tmpl w:val="9D0EACD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14C0A5F"/>
    <w:multiLevelType w:val="hybridMultilevel"/>
    <w:tmpl w:val="BC14DDA6"/>
    <w:lvl w:ilvl="0" w:tplc="685E43BA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59"/>
    <w:rsid w:val="0002183E"/>
    <w:rsid w:val="00033A51"/>
    <w:rsid w:val="00036861"/>
    <w:rsid w:val="000569B4"/>
    <w:rsid w:val="00071606"/>
    <w:rsid w:val="00080E82"/>
    <w:rsid w:val="000934B0"/>
    <w:rsid w:val="000D50A1"/>
    <w:rsid w:val="000E568E"/>
    <w:rsid w:val="001300C4"/>
    <w:rsid w:val="00137A26"/>
    <w:rsid w:val="0014734F"/>
    <w:rsid w:val="0015710D"/>
    <w:rsid w:val="00163A32"/>
    <w:rsid w:val="0018397C"/>
    <w:rsid w:val="00190C70"/>
    <w:rsid w:val="00192B41"/>
    <w:rsid w:val="001946BC"/>
    <w:rsid w:val="001B7B09"/>
    <w:rsid w:val="001D3159"/>
    <w:rsid w:val="001E6719"/>
    <w:rsid w:val="00225368"/>
    <w:rsid w:val="00227FF0"/>
    <w:rsid w:val="00231E2A"/>
    <w:rsid w:val="00232985"/>
    <w:rsid w:val="00241931"/>
    <w:rsid w:val="00242D8E"/>
    <w:rsid w:val="00247A5A"/>
    <w:rsid w:val="00250E96"/>
    <w:rsid w:val="00291EB6"/>
    <w:rsid w:val="002D2F57"/>
    <w:rsid w:val="002D48C5"/>
    <w:rsid w:val="002F27AC"/>
    <w:rsid w:val="003028AF"/>
    <w:rsid w:val="00307BB4"/>
    <w:rsid w:val="00362080"/>
    <w:rsid w:val="00370324"/>
    <w:rsid w:val="0037274E"/>
    <w:rsid w:val="003F099E"/>
    <w:rsid w:val="003F235E"/>
    <w:rsid w:val="004023E0"/>
    <w:rsid w:val="00403DD8"/>
    <w:rsid w:val="00423857"/>
    <w:rsid w:val="00434763"/>
    <w:rsid w:val="0045686C"/>
    <w:rsid w:val="0048526B"/>
    <w:rsid w:val="00486B43"/>
    <w:rsid w:val="004918C4"/>
    <w:rsid w:val="00497703"/>
    <w:rsid w:val="004A0374"/>
    <w:rsid w:val="004A45B5"/>
    <w:rsid w:val="004D0129"/>
    <w:rsid w:val="004F3648"/>
    <w:rsid w:val="00546B14"/>
    <w:rsid w:val="00585C8C"/>
    <w:rsid w:val="005977F0"/>
    <w:rsid w:val="005A64D5"/>
    <w:rsid w:val="005B3DEC"/>
    <w:rsid w:val="0060184E"/>
    <w:rsid w:val="00601994"/>
    <w:rsid w:val="0060785A"/>
    <w:rsid w:val="00632F49"/>
    <w:rsid w:val="0063519E"/>
    <w:rsid w:val="00665313"/>
    <w:rsid w:val="006C3A23"/>
    <w:rsid w:val="006E2D42"/>
    <w:rsid w:val="00703676"/>
    <w:rsid w:val="00707304"/>
    <w:rsid w:val="00732269"/>
    <w:rsid w:val="007656EF"/>
    <w:rsid w:val="00785ABD"/>
    <w:rsid w:val="007A2DD4"/>
    <w:rsid w:val="007D38B5"/>
    <w:rsid w:val="007E7EA0"/>
    <w:rsid w:val="008016C6"/>
    <w:rsid w:val="00807255"/>
    <w:rsid w:val="0081023E"/>
    <w:rsid w:val="0081391D"/>
    <w:rsid w:val="00814776"/>
    <w:rsid w:val="008173AA"/>
    <w:rsid w:val="00840A14"/>
    <w:rsid w:val="00862339"/>
    <w:rsid w:val="00881D93"/>
    <w:rsid w:val="00886577"/>
    <w:rsid w:val="0089506E"/>
    <w:rsid w:val="008B4759"/>
    <w:rsid w:val="008B62B4"/>
    <w:rsid w:val="008C1015"/>
    <w:rsid w:val="008C4292"/>
    <w:rsid w:val="008D2D7B"/>
    <w:rsid w:val="008E0737"/>
    <w:rsid w:val="008E235D"/>
    <w:rsid w:val="008F7C2C"/>
    <w:rsid w:val="009078EB"/>
    <w:rsid w:val="00912283"/>
    <w:rsid w:val="00923746"/>
    <w:rsid w:val="00940E96"/>
    <w:rsid w:val="00962E7C"/>
    <w:rsid w:val="00965BBD"/>
    <w:rsid w:val="009B0BAE"/>
    <w:rsid w:val="009C1C89"/>
    <w:rsid w:val="009D023A"/>
    <w:rsid w:val="009E3D3B"/>
    <w:rsid w:val="009F3448"/>
    <w:rsid w:val="00A01CF9"/>
    <w:rsid w:val="00A079FC"/>
    <w:rsid w:val="00A12FAE"/>
    <w:rsid w:val="00A45CDA"/>
    <w:rsid w:val="00A71773"/>
    <w:rsid w:val="00A921DD"/>
    <w:rsid w:val="00AB3108"/>
    <w:rsid w:val="00AD0171"/>
    <w:rsid w:val="00AE2C85"/>
    <w:rsid w:val="00B10DB3"/>
    <w:rsid w:val="00B12A37"/>
    <w:rsid w:val="00B27896"/>
    <w:rsid w:val="00B63EF2"/>
    <w:rsid w:val="00B74422"/>
    <w:rsid w:val="00BA7D89"/>
    <w:rsid w:val="00BC0D39"/>
    <w:rsid w:val="00BC7BC0"/>
    <w:rsid w:val="00BD57B7"/>
    <w:rsid w:val="00BD7D11"/>
    <w:rsid w:val="00BE47DC"/>
    <w:rsid w:val="00BE4CB7"/>
    <w:rsid w:val="00BE63E2"/>
    <w:rsid w:val="00C458EC"/>
    <w:rsid w:val="00C7433D"/>
    <w:rsid w:val="00CB6221"/>
    <w:rsid w:val="00CD2009"/>
    <w:rsid w:val="00CF629C"/>
    <w:rsid w:val="00CF6AB4"/>
    <w:rsid w:val="00D92EEA"/>
    <w:rsid w:val="00DA5D4E"/>
    <w:rsid w:val="00DF5D05"/>
    <w:rsid w:val="00E13E64"/>
    <w:rsid w:val="00E176BA"/>
    <w:rsid w:val="00E24E51"/>
    <w:rsid w:val="00E34D16"/>
    <w:rsid w:val="00E423EC"/>
    <w:rsid w:val="00E44781"/>
    <w:rsid w:val="00E44FE2"/>
    <w:rsid w:val="00E55121"/>
    <w:rsid w:val="00EB4FCB"/>
    <w:rsid w:val="00EC6BC5"/>
    <w:rsid w:val="00ED0294"/>
    <w:rsid w:val="00F04E34"/>
    <w:rsid w:val="00F142B5"/>
    <w:rsid w:val="00F3081C"/>
    <w:rsid w:val="00F35898"/>
    <w:rsid w:val="00F41791"/>
    <w:rsid w:val="00F4223C"/>
    <w:rsid w:val="00F5225B"/>
    <w:rsid w:val="00F531E4"/>
    <w:rsid w:val="00F91CDA"/>
    <w:rsid w:val="00FB4F4B"/>
    <w:rsid w:val="00FD74F0"/>
    <w:rsid w:val="00FE3CEB"/>
    <w:rsid w:val="00FE5701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5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FD74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NormalaftertitleChar">
    <w:name w:val="Normal after title Char"/>
    <w:basedOn w:val="DefaultParagraphFont"/>
    <w:link w:val="Normalaftertitle"/>
    <w:rsid w:val="004F3648"/>
    <w:rPr>
      <w:rFonts w:ascii="Calibri" w:hAnsi="Calibri"/>
      <w:sz w:val="22"/>
      <w:lang w:val="en-GB" w:eastAsia="en-US"/>
    </w:rPr>
  </w:style>
  <w:style w:type="table" w:styleId="TableGrid">
    <w:name w:val="Table Grid"/>
    <w:basedOn w:val="TableNormal"/>
    <w:rsid w:val="0043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Pages/documents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Financial-Regulations/S-GEN-REG_RGTFIN-2018-PDF-R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18-CL-C-006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94-R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2786B-B899-4297-9A70-EE3746F5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414</TotalTime>
  <Pages>6</Pages>
  <Words>1396</Words>
  <Characters>9594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10969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Rudometova, Alisa</dc:creator>
  <cp:keywords>C2018, C18</cp:keywords>
  <dc:description/>
  <cp:lastModifiedBy>Maloletkova, Svetlana</cp:lastModifiedBy>
  <cp:revision>63</cp:revision>
  <cp:lastPrinted>2006-03-28T16:12:00Z</cp:lastPrinted>
  <dcterms:created xsi:type="dcterms:W3CDTF">2019-06-04T12:06:00Z</dcterms:created>
  <dcterms:modified xsi:type="dcterms:W3CDTF">2019-06-10T10:15:00Z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