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4E6ECF">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4E6ECF">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E6ECF">
            <w:pPr>
              <w:spacing w:before="0"/>
              <w:rPr>
                <w:b/>
                <w:bCs/>
                <w:sz w:val="26"/>
                <w:szCs w:val="26"/>
                <w:lang w:val="fr-CH"/>
              </w:rPr>
            </w:pPr>
          </w:p>
        </w:tc>
        <w:tc>
          <w:tcPr>
            <w:tcW w:w="3261" w:type="dxa"/>
            <w:tcBorders>
              <w:bottom w:val="single" w:sz="12" w:space="0" w:color="auto"/>
            </w:tcBorders>
          </w:tcPr>
          <w:p w:rsidR="00520F36" w:rsidRPr="0092392D" w:rsidRDefault="00520F36" w:rsidP="004E6ECF">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4E6ECF">
            <w:pPr>
              <w:spacing w:before="0"/>
              <w:rPr>
                <w:smallCaps/>
                <w:sz w:val="22"/>
                <w:lang w:val="fr-CH"/>
              </w:rPr>
            </w:pPr>
          </w:p>
        </w:tc>
        <w:tc>
          <w:tcPr>
            <w:tcW w:w="3261" w:type="dxa"/>
            <w:tcBorders>
              <w:top w:val="single" w:sz="12" w:space="0" w:color="auto"/>
            </w:tcBorders>
          </w:tcPr>
          <w:p w:rsidR="00520F36" w:rsidRPr="0092392D" w:rsidRDefault="00520F36" w:rsidP="004E6ECF">
            <w:pPr>
              <w:spacing w:before="0"/>
              <w:rPr>
                <w:b/>
                <w:bCs/>
              </w:rPr>
            </w:pPr>
          </w:p>
        </w:tc>
      </w:tr>
      <w:tr w:rsidR="00520F36" w:rsidRPr="0092392D">
        <w:trPr>
          <w:cantSplit/>
          <w:trHeight w:val="20"/>
        </w:trPr>
        <w:tc>
          <w:tcPr>
            <w:tcW w:w="6912" w:type="dxa"/>
            <w:vMerge w:val="restart"/>
          </w:tcPr>
          <w:p w:rsidR="00520F36" w:rsidRPr="00520F36" w:rsidRDefault="00733E73" w:rsidP="004E6ECF">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w:t>
            </w:r>
            <w:r w:rsidR="00AF10D2" w:rsidRPr="00AF10D2">
              <w:rPr>
                <w:rFonts w:cs="Times"/>
                <w:b/>
                <w:bCs/>
                <w:szCs w:val="24"/>
                <w:lang w:val="fr-CH"/>
              </w:rPr>
              <w:t>: PL 1.5</w:t>
            </w:r>
          </w:p>
        </w:tc>
        <w:tc>
          <w:tcPr>
            <w:tcW w:w="3261" w:type="dxa"/>
          </w:tcPr>
          <w:p w:rsidR="00520F36" w:rsidRPr="00520F36" w:rsidRDefault="00520F36" w:rsidP="004E6ECF">
            <w:pPr>
              <w:spacing w:before="0"/>
              <w:rPr>
                <w:b/>
                <w:bCs/>
              </w:rPr>
            </w:pPr>
            <w:r>
              <w:rPr>
                <w:b/>
                <w:bCs/>
              </w:rPr>
              <w:t>Document C1</w:t>
            </w:r>
            <w:r w:rsidR="00106B19">
              <w:rPr>
                <w:b/>
                <w:bCs/>
              </w:rPr>
              <w:t>9</w:t>
            </w:r>
            <w:r>
              <w:rPr>
                <w:b/>
                <w:bCs/>
              </w:rPr>
              <w:t>/</w:t>
            </w:r>
            <w:r w:rsidR="00AF10D2">
              <w:rPr>
                <w:b/>
                <w:bCs/>
              </w:rPr>
              <w:t>58</w:t>
            </w:r>
            <w:r>
              <w:rPr>
                <w:b/>
                <w:bCs/>
              </w:rPr>
              <w:t>-F</w:t>
            </w:r>
          </w:p>
        </w:tc>
      </w:tr>
      <w:tr w:rsidR="00520F36" w:rsidRPr="0092392D">
        <w:trPr>
          <w:cantSplit/>
          <w:trHeight w:val="20"/>
        </w:trPr>
        <w:tc>
          <w:tcPr>
            <w:tcW w:w="6912" w:type="dxa"/>
            <w:vMerge/>
          </w:tcPr>
          <w:p w:rsidR="00520F36" w:rsidRPr="0092392D" w:rsidRDefault="00520F36" w:rsidP="004E6ECF">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AF10D2" w:rsidP="004E6ECF">
            <w:pPr>
              <w:spacing w:before="0"/>
              <w:rPr>
                <w:b/>
                <w:bCs/>
              </w:rPr>
            </w:pPr>
            <w:r>
              <w:rPr>
                <w:b/>
                <w:bCs/>
              </w:rPr>
              <w:t>6 mai</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4E6ECF">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4E6ECF">
            <w:pPr>
              <w:spacing w:before="0"/>
              <w:rPr>
                <w:b/>
                <w:bCs/>
              </w:rPr>
            </w:pPr>
            <w:r>
              <w:rPr>
                <w:b/>
                <w:bCs/>
              </w:rPr>
              <w:t>Original: anglais</w:t>
            </w:r>
          </w:p>
        </w:tc>
      </w:tr>
      <w:tr w:rsidR="00520F36" w:rsidRPr="0092392D">
        <w:trPr>
          <w:cantSplit/>
        </w:trPr>
        <w:tc>
          <w:tcPr>
            <w:tcW w:w="10173" w:type="dxa"/>
            <w:gridSpan w:val="2"/>
          </w:tcPr>
          <w:p w:rsidR="00520F36" w:rsidRPr="0092392D" w:rsidRDefault="00AF10D2" w:rsidP="004E6ECF">
            <w:pPr>
              <w:pStyle w:val="Source"/>
            </w:pPr>
            <w:bookmarkStart w:id="6" w:name="dsource" w:colFirst="0" w:colLast="0"/>
            <w:bookmarkEnd w:id="5"/>
            <w:r w:rsidRPr="00AF10D2">
              <w:t>Rapport du Secrétaire général</w:t>
            </w:r>
          </w:p>
        </w:tc>
      </w:tr>
      <w:tr w:rsidR="00520F36" w:rsidRPr="0092392D">
        <w:trPr>
          <w:cantSplit/>
        </w:trPr>
        <w:tc>
          <w:tcPr>
            <w:tcW w:w="10173" w:type="dxa"/>
            <w:gridSpan w:val="2"/>
          </w:tcPr>
          <w:p w:rsidR="00520F36" w:rsidRPr="0092392D" w:rsidRDefault="00AF10D2" w:rsidP="004E6ECF">
            <w:pPr>
              <w:pStyle w:val="Title1"/>
            </w:pPr>
            <w:bookmarkStart w:id="7" w:name="dtitle1" w:colFirst="0" w:colLast="0"/>
            <w:bookmarkEnd w:id="6"/>
            <w:r w:rsidRPr="00AF10D2">
              <w:t>soumission du rapport de l'ancien président du groupe</w:t>
            </w:r>
            <w:r w:rsidRPr="00AF10D2">
              <w:rPr>
                <w:iCs/>
                <w:lang w:val="fr-CH"/>
              </w:rPr>
              <w:t xml:space="preserve"> d'experts </w:t>
            </w:r>
            <w:r w:rsidR="00526366">
              <w:rPr>
                <w:iCs/>
                <w:lang w:val="fr-CH"/>
              </w:rPr>
              <w:br/>
            </w:r>
            <w:r w:rsidRPr="00AF10D2">
              <w:rPr>
                <w:iCs/>
                <w:lang w:val="fr-CH"/>
              </w:rPr>
              <w:t>de haut niveau sur le Programme GCA</w:t>
            </w:r>
          </w:p>
        </w:tc>
      </w:tr>
      <w:bookmarkEnd w:id="7"/>
    </w:tbl>
    <w:p w:rsidR="00520F36" w:rsidRPr="0092392D" w:rsidRDefault="00520F36" w:rsidP="004E6ECF">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rsidP="004E6ECF">
            <w:pPr>
              <w:pStyle w:val="Headingb"/>
              <w:rPr>
                <w:lang w:val="fr-CH"/>
              </w:rPr>
            </w:pPr>
            <w:r w:rsidRPr="0092392D">
              <w:rPr>
                <w:lang w:val="fr-CH"/>
              </w:rPr>
              <w:t>Résumé</w:t>
            </w:r>
          </w:p>
          <w:p w:rsidR="00520F36" w:rsidRPr="0092392D" w:rsidRDefault="00AF10D2" w:rsidP="004E6ECF">
            <w:pPr>
              <w:rPr>
                <w:lang w:val="fr-CH"/>
              </w:rPr>
            </w:pPr>
            <w:r w:rsidRPr="00AF10D2">
              <w:rPr>
                <w:lang w:val="fr-CH"/>
              </w:rPr>
              <w:t>Lors de la 17</w:t>
            </w:r>
            <w:r w:rsidRPr="00526366">
              <w:t>ème</w:t>
            </w:r>
            <w:r w:rsidRPr="00AF10D2">
              <w:rPr>
                <w:lang w:val="fr-CH"/>
              </w:rPr>
              <w:t xml:space="preserve"> séance plénière de la Conférence de plénipotentiaires de 2018 (PP-18), le </w:t>
            </w:r>
            <w:r w:rsidRPr="00AF10D2">
              <w:rPr>
                <w:b/>
                <w:bCs/>
                <w:lang w:val="fr-CH"/>
              </w:rPr>
              <w:t>Secrétaire général</w:t>
            </w:r>
            <w:r w:rsidRPr="00AF10D2">
              <w:rPr>
                <w:lang w:val="fr-CH"/>
              </w:rPr>
              <w:t xml:space="preserve"> a noté </w:t>
            </w:r>
            <w:r w:rsidRPr="00AF10D2">
              <w:rPr>
                <w:iCs/>
                <w:lang w:val="fr-CH"/>
              </w:rPr>
              <w:t>avec satisfaction que</w:t>
            </w:r>
            <w:r w:rsidR="00733E73">
              <w:rPr>
                <w:iCs/>
                <w:lang w:val="fr-CH"/>
              </w:rPr>
              <w:t>,</w:t>
            </w:r>
            <w:r w:rsidRPr="00AF10D2">
              <w:rPr>
                <w:iCs/>
                <w:lang w:val="fr-CH"/>
              </w:rPr>
              <w:t xml:space="preserve"> lors des discussions sur le projet de Résolution, l'importance du Programme GCA avait été largement reconnue. Il a invité la plénière à accepter de conserver le point 12.1 du </w:t>
            </w:r>
            <w:r w:rsidRPr="00AF10D2">
              <w:rPr>
                <w:i/>
                <w:lang w:val="fr-CH"/>
              </w:rPr>
              <w:t>décide</w:t>
            </w:r>
            <w:r w:rsidRPr="00AF10D2">
              <w:rPr>
                <w:iCs/>
                <w:lang w:val="fr-CH"/>
              </w:rPr>
              <w:t>, qui permettrait à l'UIT d'utiliser le Programme GCA pour guider ses travaux sur la confiance et la sécurité dans les TIC. Il demanderait l'avis du Conseil et de l'ancien Président du Groupe d'experts de haut niveau sur le Programme GCA, M. Stein Schjolberg, à ce sujet.</w:t>
            </w:r>
          </w:p>
          <w:p w:rsidR="00520F36" w:rsidRPr="0092392D" w:rsidRDefault="00520F36" w:rsidP="004E6ECF">
            <w:pPr>
              <w:pStyle w:val="Headingb"/>
              <w:rPr>
                <w:lang w:val="fr-CH"/>
              </w:rPr>
            </w:pPr>
            <w:r w:rsidRPr="0092392D">
              <w:rPr>
                <w:lang w:val="fr-CH"/>
              </w:rPr>
              <w:t>Suite à donner</w:t>
            </w:r>
          </w:p>
          <w:p w:rsidR="00520F36" w:rsidRPr="0092392D" w:rsidRDefault="00AF10D2" w:rsidP="004E6ECF">
            <w:pPr>
              <w:rPr>
                <w:lang w:val="fr-CH"/>
              </w:rPr>
            </w:pPr>
            <w:r w:rsidRPr="00AF10D2">
              <w:rPr>
                <w:lang w:val="fr-CH"/>
              </w:rPr>
              <w:t xml:space="preserve">Le Conseil est invité à </w:t>
            </w:r>
            <w:r w:rsidRPr="00AF10D2">
              <w:rPr>
                <w:b/>
                <w:bCs/>
                <w:lang w:val="fr-CH"/>
              </w:rPr>
              <w:t>prendre note</w:t>
            </w:r>
            <w:r w:rsidRPr="00AF10D2">
              <w:rPr>
                <w:lang w:val="fr-CH"/>
              </w:rPr>
              <w:t xml:space="preserve"> du rapport.</w:t>
            </w:r>
          </w:p>
          <w:p w:rsidR="00520F36" w:rsidRPr="0092392D" w:rsidRDefault="00520F36" w:rsidP="004E6ECF">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rsidP="004E6ECF">
            <w:pPr>
              <w:pStyle w:val="Headingb"/>
              <w:rPr>
                <w:lang w:val="fr-CH"/>
              </w:rPr>
            </w:pPr>
            <w:r w:rsidRPr="0092392D">
              <w:rPr>
                <w:lang w:val="fr-CH"/>
              </w:rPr>
              <w:t>Références</w:t>
            </w:r>
          </w:p>
          <w:bookmarkStart w:id="8" w:name="lt_pId020"/>
          <w:p w:rsidR="00520F36" w:rsidRPr="0092392D" w:rsidRDefault="00AF10D2" w:rsidP="004E6ECF">
            <w:pPr>
              <w:spacing w:after="120"/>
              <w:rPr>
                <w:i/>
                <w:iCs/>
                <w:lang w:val="fr-CH"/>
              </w:rPr>
            </w:pPr>
            <w:r w:rsidRPr="00AF10D2">
              <w:rPr>
                <w:i/>
                <w:iCs/>
              </w:rPr>
              <w:fldChar w:fldCharType="begin"/>
            </w:r>
            <w:r w:rsidRPr="00AF10D2">
              <w:rPr>
                <w:i/>
                <w:iCs/>
                <w:lang w:val="fr-CH"/>
              </w:rPr>
              <w:instrText xml:space="preserve"> HYPERLINK "https://www.itu.int/md/S18-PP-C-0174/en" </w:instrText>
            </w:r>
            <w:r w:rsidRPr="00AF10D2">
              <w:rPr>
                <w:i/>
                <w:iCs/>
              </w:rPr>
              <w:fldChar w:fldCharType="separate"/>
            </w:r>
            <w:r w:rsidRPr="00AF10D2">
              <w:rPr>
                <w:rStyle w:val="Hyperlink"/>
                <w:i/>
                <w:iCs/>
                <w:lang w:val="fr-CH"/>
              </w:rPr>
              <w:t>Document PP-18/174</w:t>
            </w:r>
            <w:r w:rsidRPr="00AF10D2">
              <w:rPr>
                <w:i/>
                <w:iCs/>
                <w:lang w:val="fr-CH"/>
              </w:rPr>
              <w:fldChar w:fldCharType="end"/>
            </w:r>
            <w:r w:rsidRPr="00526366">
              <w:rPr>
                <w:i/>
                <w:iCs/>
                <w:lang w:val="fr-CH"/>
              </w:rPr>
              <w:t xml:space="preserve">; </w:t>
            </w:r>
            <w:hyperlink r:id="rId8" w:history="1">
              <w:r w:rsidRPr="00AF10D2">
                <w:rPr>
                  <w:rStyle w:val="Hyperlink"/>
                  <w:i/>
                  <w:iCs/>
                  <w:lang w:val="fr-CH"/>
                </w:rPr>
                <w:t>Document C19/INF/9</w:t>
              </w:r>
            </w:hyperlink>
            <w:bookmarkStart w:id="9" w:name="_GoBack"/>
            <w:bookmarkEnd w:id="8"/>
            <w:bookmarkEnd w:id="9"/>
          </w:p>
        </w:tc>
      </w:tr>
    </w:tbl>
    <w:p w:rsidR="006820E9" w:rsidRPr="00E43320" w:rsidRDefault="007530D8" w:rsidP="00526366">
      <w:pPr>
        <w:pStyle w:val="Appendixtitle"/>
        <w:spacing w:before="2640"/>
        <w:jc w:val="left"/>
        <w:rPr>
          <w:sz w:val="24"/>
          <w:szCs w:val="24"/>
        </w:rPr>
      </w:pPr>
      <w:r w:rsidRPr="00E43320">
        <w:rPr>
          <w:sz w:val="24"/>
          <w:szCs w:val="24"/>
        </w:rPr>
        <w:t>Annexe</w:t>
      </w:r>
      <w:r w:rsidRPr="00526366">
        <w:rPr>
          <w:b w:val="0"/>
          <w:bCs/>
          <w:sz w:val="24"/>
          <w:szCs w:val="24"/>
        </w:rPr>
        <w:t>: 1</w:t>
      </w:r>
    </w:p>
    <w:p w:rsidR="006820E9" w:rsidRDefault="006820E9" w:rsidP="004E6ECF">
      <w:pPr>
        <w:tabs>
          <w:tab w:val="clear" w:pos="567"/>
          <w:tab w:val="clear" w:pos="1134"/>
          <w:tab w:val="clear" w:pos="1701"/>
          <w:tab w:val="clear" w:pos="2268"/>
          <w:tab w:val="clear" w:pos="2835"/>
        </w:tabs>
        <w:overflowPunct/>
        <w:autoSpaceDE/>
        <w:autoSpaceDN/>
        <w:adjustRightInd/>
        <w:spacing w:before="0"/>
        <w:textAlignment w:val="auto"/>
      </w:pPr>
      <w:r>
        <w:br w:type="page"/>
      </w:r>
    </w:p>
    <w:p w:rsidR="00733E73" w:rsidRPr="00733E73" w:rsidRDefault="00733E73" w:rsidP="004E6ECF">
      <w:pPr>
        <w:pStyle w:val="Annextitle"/>
        <w:rPr>
          <w:b w:val="0"/>
          <w:bCs/>
        </w:rPr>
      </w:pPr>
      <w:r w:rsidRPr="00733E73">
        <w:rPr>
          <w:b w:val="0"/>
          <w:bCs/>
        </w:rPr>
        <w:lastRenderedPageBreak/>
        <w:t>ANNEXE</w:t>
      </w:r>
    </w:p>
    <w:p w:rsidR="00733E73" w:rsidRDefault="00733E73" w:rsidP="007C7175">
      <w:pPr>
        <w:rPr>
          <w:b/>
          <w:bCs/>
        </w:rPr>
      </w:pPr>
      <w:r>
        <w:rPr>
          <w:b/>
          <w:bCs/>
        </w:rPr>
        <w:t xml:space="preserve">Rapport </w:t>
      </w:r>
      <w:r w:rsidR="007C7175">
        <w:rPr>
          <w:b/>
          <w:bCs/>
        </w:rPr>
        <w:t>de 2019 du Président</w:t>
      </w:r>
    </w:p>
    <w:p w:rsidR="00733E73" w:rsidRDefault="00733E73" w:rsidP="004E6ECF">
      <w:pPr>
        <w:rPr>
          <w:b/>
          <w:bCs/>
        </w:rPr>
      </w:pPr>
      <w:r>
        <w:rPr>
          <w:b/>
          <w:bCs/>
        </w:rPr>
        <w:t xml:space="preserve">RAPPORT RÉVISÉ DE L'ANCIEN PRÉSIDENT DU GROUPE </w:t>
      </w:r>
      <w:r w:rsidR="00D317BC">
        <w:rPr>
          <w:b/>
          <w:bCs/>
        </w:rPr>
        <w:t>D'EXPERTS DE HAUT NIVEAU SUR LE </w:t>
      </w:r>
      <w:r>
        <w:rPr>
          <w:b/>
          <w:bCs/>
        </w:rPr>
        <w:t>PROGRAMME GCA</w:t>
      </w:r>
      <w:r w:rsidR="004E6ECF" w:rsidRPr="00526366">
        <w:rPr>
          <w:rStyle w:val="FootnoteReference"/>
        </w:rPr>
        <w:footnoteReference w:id="1"/>
      </w:r>
      <w:r>
        <w:rPr>
          <w:b/>
          <w:bCs/>
        </w:rPr>
        <w:br/>
        <w:t>Stein Schjolberg</w:t>
      </w:r>
      <w:r>
        <w:rPr>
          <w:b/>
          <w:bCs/>
        </w:rPr>
        <w:br/>
        <w:t>Premier juge (retraité)</w:t>
      </w:r>
      <w:r>
        <w:rPr>
          <w:b/>
          <w:bCs/>
        </w:rPr>
        <w:br/>
        <w:t>Norvège</w:t>
      </w:r>
    </w:p>
    <w:p w:rsidR="00733E73" w:rsidRPr="00B270E6" w:rsidRDefault="00733E73" w:rsidP="004E6ECF">
      <w:pPr>
        <w:jc w:val="right"/>
      </w:pPr>
      <w:r>
        <w:t>Le 30 avril 2019</w:t>
      </w:r>
    </w:p>
    <w:p w:rsidR="00733E73" w:rsidRDefault="00733E73" w:rsidP="004E6ECF">
      <w:pPr>
        <w:rPr>
          <w:b/>
          <w:bCs/>
        </w:rPr>
      </w:pPr>
      <w:r>
        <w:rPr>
          <w:b/>
          <w:bCs/>
        </w:rPr>
        <w:t>À l'attention de</w:t>
      </w:r>
      <w:r>
        <w:rPr>
          <w:b/>
          <w:bCs/>
        </w:rPr>
        <w:br/>
        <w:t>Houlin Zhao, Secrétaire gé</w:t>
      </w:r>
      <w:r w:rsidR="004E6ECF">
        <w:rPr>
          <w:b/>
          <w:bCs/>
        </w:rPr>
        <w:t>n</w:t>
      </w:r>
      <w:r>
        <w:rPr>
          <w:b/>
          <w:bCs/>
        </w:rPr>
        <w:t>éral de l'UIT</w:t>
      </w:r>
    </w:p>
    <w:p w:rsidR="00733E73" w:rsidRDefault="00526366" w:rsidP="00526366">
      <w:pPr>
        <w:pStyle w:val="Heading1"/>
      </w:pPr>
      <w:r>
        <w:t>1</w:t>
      </w:r>
      <w:r w:rsidR="00733E73">
        <w:tab/>
        <w:t>Introduction</w:t>
      </w:r>
    </w:p>
    <w:p w:rsidR="00733E73" w:rsidRDefault="00733E73" w:rsidP="007C7175">
      <w:r>
        <w:t>La Conférence de plénipotentiaires de l'UIT tenue à Dubaï en 2018 a adopté la Résolution 13</w:t>
      </w:r>
      <w:r w:rsidR="007C7175">
        <w:t xml:space="preserve">0 (Rév. Dubaï, 2018) intitulée </w:t>
      </w:r>
      <w:r w:rsidRPr="001C30F3">
        <w:rPr>
          <w:i/>
          <w:iCs/>
        </w:rPr>
        <w:t>Renforcement du rôle de l'UIT dans l'instauration de la confiance et de la sécurité dans l'utilisation des technologies de l'information et de la communication</w:t>
      </w:r>
      <w:r>
        <w:t xml:space="preserve">, par laquelle </w:t>
      </w:r>
      <w:r w:rsidR="007C7175">
        <w:t>il est</w:t>
      </w:r>
      <w:r>
        <w:t xml:space="preserve"> décidé, entre autres choses, </w:t>
      </w:r>
      <w:r w:rsidRPr="001C30F3">
        <w:rPr>
          <w:i/>
          <w:iCs/>
        </w:rPr>
        <w:t>d'utiliser le cadre qu'offre le Programme</w:t>
      </w:r>
      <w:r w:rsidR="00526366">
        <w:rPr>
          <w:i/>
          <w:iCs/>
        </w:rPr>
        <w:t xml:space="preserve"> mondial cybersécurit</w:t>
      </w:r>
      <w:r w:rsidR="007C7175">
        <w:rPr>
          <w:i/>
          <w:iCs/>
        </w:rPr>
        <w:t>é</w:t>
      </w:r>
      <w:r w:rsidRPr="001C30F3">
        <w:rPr>
          <w:i/>
          <w:iCs/>
        </w:rPr>
        <w:t xml:space="preserve"> </w:t>
      </w:r>
      <w:r w:rsidR="007C7175">
        <w:rPr>
          <w:i/>
          <w:iCs/>
        </w:rPr>
        <w:t>(</w:t>
      </w:r>
      <w:r w:rsidRPr="001C30F3">
        <w:rPr>
          <w:i/>
          <w:iCs/>
        </w:rPr>
        <w:t>GCA</w:t>
      </w:r>
      <w:r w:rsidR="007C7175">
        <w:rPr>
          <w:i/>
          <w:iCs/>
        </w:rPr>
        <w:t>)</w:t>
      </w:r>
      <w:r w:rsidRPr="001C30F3">
        <w:rPr>
          <w:i/>
          <w:iCs/>
        </w:rPr>
        <w:t xml:space="preserve"> de l'UIT pour mieux orienter les travaux de l'Union sur les efforts visant à instaurer la confiance et la sécurité dans l'utilisation des TIC</w:t>
      </w:r>
      <w:r>
        <w:t>.</w:t>
      </w:r>
    </w:p>
    <w:p w:rsidR="00733E73" w:rsidRDefault="00733E73" w:rsidP="00526366">
      <w:pPr>
        <w:rPr>
          <w:rFonts w:cstheme="minorHAnsi"/>
          <w:iCs/>
          <w:lang w:val="fr-CH"/>
        </w:rPr>
      </w:pPr>
      <w:r>
        <w:t xml:space="preserve">Lors des discussions qui ont eu lieu en plénière juste avant </w:t>
      </w:r>
      <w:r w:rsidR="007C7175">
        <w:t xml:space="preserve">l'adoption de cette </w:t>
      </w:r>
      <w:r>
        <w:t xml:space="preserve">Résolution, le Secrétaire général de l'UIT </w:t>
      </w:r>
      <w:r w:rsidRPr="001C30F3">
        <w:rPr>
          <w:i/>
          <w:iCs/>
          <w:lang w:val="fr-CH"/>
        </w:rPr>
        <w:t xml:space="preserve">a noté </w:t>
      </w:r>
      <w:r w:rsidRPr="001C30F3">
        <w:rPr>
          <w:rFonts w:cstheme="minorHAnsi"/>
          <w:i/>
          <w:iCs/>
          <w:lang w:val="fr-CH"/>
        </w:rPr>
        <w:t>avec satisfaction que lors des discussions sur le projet de Résolution, l'importance du Programme GCA avait été largement reconnue. Il a invité la plénière à accepter de conserver le point 12.1 du décide, qui permettrait à l'UIT d'utiliser le Programme GCA pour guider ses travaux sur la confiance et la sécurité dans les TIC. Il demanderait l'avis du Conseil et de l'ancien Président du Groupe d'experts de haut niveau sur le Programme GCA, M. Stein Schjolberg, à ce sujet</w:t>
      </w:r>
      <w:r>
        <w:rPr>
          <w:rStyle w:val="FootnoteReference"/>
          <w:rFonts w:cstheme="minorHAnsi"/>
          <w:iCs/>
          <w:lang w:val="fr-CH"/>
        </w:rPr>
        <w:footnoteReference w:id="2"/>
      </w:r>
      <w:r w:rsidR="00526366">
        <w:rPr>
          <w:rFonts w:cstheme="minorHAnsi"/>
          <w:i/>
          <w:iCs/>
          <w:lang w:val="fr-CH"/>
        </w:rPr>
        <w:t>.</w:t>
      </w:r>
    </w:p>
    <w:p w:rsidR="00733E73" w:rsidRPr="00526366" w:rsidRDefault="00733E73" w:rsidP="00526366">
      <w:pPr>
        <w:pStyle w:val="Headingb"/>
      </w:pPr>
      <w:r w:rsidRPr="00526366">
        <w:lastRenderedPageBreak/>
        <w:t>Rappel</w:t>
      </w:r>
    </w:p>
    <w:p w:rsidR="00733E73" w:rsidRDefault="00733E73" w:rsidP="00FD659D">
      <w:r>
        <w:t>Le</w:t>
      </w:r>
      <w:r w:rsidR="00FD659D">
        <w:t xml:space="preserve"> Programme </w:t>
      </w:r>
      <w:r>
        <w:t xml:space="preserve">est un cadre de coopération internationale ayant pour objet de renforcer la confiance et la sécurité dans la société de l'information. Il </w:t>
      </w:r>
      <w:r w:rsidRPr="00F036FE">
        <w:t xml:space="preserve">est conçu pour favoriser la coopération et l'efficacité, en encourageant la collaboration </w:t>
      </w:r>
      <w:r w:rsidR="001812DD">
        <w:t xml:space="preserve">avec et </w:t>
      </w:r>
      <w:r w:rsidRPr="00F036FE">
        <w:t>entre toutes les parties prenantes concernées et en tirant parti des initiatives existantes pour éviter les doubles emplois</w:t>
      </w:r>
      <w:r>
        <w:t>.</w:t>
      </w:r>
    </w:p>
    <w:p w:rsidR="00733E73" w:rsidRDefault="00733E73" w:rsidP="006F3524">
      <w:r>
        <w:t>L</w:t>
      </w:r>
      <w:r w:rsidRPr="00F036FE">
        <w:t>e Groupe d</w:t>
      </w:r>
      <w:r w:rsidR="006F3524">
        <w:t>'</w:t>
      </w:r>
      <w:r w:rsidRPr="00F036FE">
        <w:t>experts de haut niveau</w:t>
      </w:r>
      <w:r>
        <w:t xml:space="preserve"> sur le Programme GCA a été créé en octobre 2007, avec pour mission d'aider le </w:t>
      </w:r>
      <w:r w:rsidRPr="0026360B">
        <w:t>Secrétaire général de l</w:t>
      </w:r>
      <w:r w:rsidR="006F3524">
        <w:t>'</w:t>
      </w:r>
      <w:r w:rsidRPr="0026360B">
        <w:t>UIT à formuler à l</w:t>
      </w:r>
      <w:r w:rsidR="006F3524">
        <w:t>'</w:t>
      </w:r>
      <w:r w:rsidRPr="0026360B">
        <w:t xml:space="preserve">intention des </w:t>
      </w:r>
      <w:r w:rsidR="00977EEF" w:rsidRPr="0026360B">
        <w:t>États</w:t>
      </w:r>
      <w:r w:rsidRPr="0026360B">
        <w:t xml:space="preserve"> Membres des propositions stratégiques sur la promotion de la cybersécurité. Il </w:t>
      </w:r>
      <w:r>
        <w:t>était</w:t>
      </w:r>
      <w:r w:rsidRPr="0026360B">
        <w:t xml:space="preserve"> présidé par le juge norvégien Stein Schjolberg, </w:t>
      </w:r>
      <w:r>
        <w:t xml:space="preserve">qui était spécialisé dans </w:t>
      </w:r>
      <w:r w:rsidRPr="0026360B">
        <w:t xml:space="preserve">la législation sur la cybercriminalité depuis plus de 30 ans. </w:t>
      </w:r>
      <w:r w:rsidR="004E6ECF">
        <w:t>L</w:t>
      </w:r>
      <w:r w:rsidRPr="0026360B">
        <w:t xml:space="preserve">e travail du </w:t>
      </w:r>
      <w:r w:rsidR="001812DD">
        <w:t>Groupe d'experts de haut niveau</w:t>
      </w:r>
      <w:r w:rsidRPr="0026360B">
        <w:t xml:space="preserve"> est lié à la fonction de coordination que le Sommet mondial sur la société de l</w:t>
      </w:r>
      <w:r w:rsidR="006F3524">
        <w:t>'</w:t>
      </w:r>
      <w:r w:rsidRPr="0026360B">
        <w:t>information (SMSI) a conf</w:t>
      </w:r>
      <w:r w:rsidR="001812DD">
        <w:t>ié</w:t>
      </w:r>
      <w:r w:rsidR="00526366">
        <w:t>e</w:t>
      </w:r>
      <w:r w:rsidRPr="0026360B">
        <w:t xml:space="preserve"> à l</w:t>
      </w:r>
      <w:r w:rsidR="006F3524">
        <w:t xml:space="preserve">'UIT </w:t>
      </w:r>
      <w:r w:rsidRPr="0026360B">
        <w:t xml:space="preserve">pour la grande orientation C5 qui concerne </w:t>
      </w:r>
      <w:r w:rsidR="006F3524">
        <w:t xml:space="preserve">l'instauration de </w:t>
      </w:r>
      <w:r w:rsidRPr="0026360B">
        <w:t xml:space="preserve">la confiance et </w:t>
      </w:r>
      <w:r w:rsidR="006F3524">
        <w:t xml:space="preserve">de </w:t>
      </w:r>
      <w:r w:rsidRPr="0026360B">
        <w:t>la sécurité dans l</w:t>
      </w:r>
      <w:r w:rsidR="006F3524">
        <w:t>'</w:t>
      </w:r>
      <w:r w:rsidR="00526366">
        <w:t>utilisation des </w:t>
      </w:r>
      <w:r w:rsidRPr="0026360B">
        <w:t xml:space="preserve">TIC. </w:t>
      </w:r>
      <w:r w:rsidR="006F3524">
        <w:t xml:space="preserve">Ce travail </w:t>
      </w:r>
      <w:r w:rsidRPr="0026360B">
        <w:t>s</w:t>
      </w:r>
      <w:r w:rsidR="006F3524">
        <w:t>'</w:t>
      </w:r>
      <w:r w:rsidRPr="0026360B">
        <w:t>articule autour du Programme mondial cybersécurité lancé par l</w:t>
      </w:r>
      <w:r w:rsidR="006F3524">
        <w:t>'</w:t>
      </w:r>
      <w:r w:rsidR="00526366">
        <w:t>Union en mai </w:t>
      </w:r>
      <w:r w:rsidRPr="0026360B">
        <w:t>2007</w:t>
      </w:r>
      <w:r w:rsidR="006F3524">
        <w:t>, qui</w:t>
      </w:r>
      <w:r w:rsidRPr="0026360B">
        <w:t xml:space="preserve"> comporte cinq piliers stratégiques: mesures </w:t>
      </w:r>
      <w:r w:rsidR="006F3524">
        <w:t>juridiques</w:t>
      </w:r>
      <w:r w:rsidRPr="0026360B">
        <w:t xml:space="preserve">; mesures techniques et de procédure; structures administratives; renforcement des capacités et coopération internationale. </w:t>
      </w:r>
    </w:p>
    <w:p w:rsidR="00733E73" w:rsidRDefault="00733E73" w:rsidP="00534DCE">
      <w:r>
        <w:t xml:space="preserve">Le Groupe d'experts </w:t>
      </w:r>
      <w:r w:rsidR="006F3524">
        <w:t xml:space="preserve">de haut niveau </w:t>
      </w:r>
      <w:r>
        <w:t xml:space="preserve">était composé </w:t>
      </w:r>
      <w:r w:rsidR="00BC4339">
        <w:t>d</w:t>
      </w:r>
      <w:r w:rsidR="006F3524">
        <w:t xml:space="preserve">e près de </w:t>
      </w:r>
      <w:r w:rsidR="00534DCE">
        <w:t>cent</w:t>
      </w:r>
      <w:r w:rsidR="006F3524">
        <w:t xml:space="preserve"> </w:t>
      </w:r>
      <w:r>
        <w:t xml:space="preserve">experts internationaux indépendants représentant de multiples parties prenantes du monde entier. Il a </w:t>
      </w:r>
      <w:r w:rsidR="006F3524">
        <w:t>regroupé l</w:t>
      </w:r>
      <w:r>
        <w:t>es avis à l'intention du Secrétaire général de l'UIT concernant tous les piliers stratégiques</w:t>
      </w:r>
      <w:r w:rsidR="006F3524">
        <w:t xml:space="preserve"> dans un </w:t>
      </w:r>
      <w:r>
        <w:t xml:space="preserve">Rapport du Président </w:t>
      </w:r>
      <w:r w:rsidR="006F3524">
        <w:t xml:space="preserve">établi </w:t>
      </w:r>
      <w:r>
        <w:t>en 2008</w:t>
      </w:r>
      <w:r w:rsidRPr="006F3524">
        <w:rPr>
          <w:rStyle w:val="FootnoteReference"/>
        </w:rPr>
        <w:footnoteReference w:id="3"/>
      </w:r>
      <w:r w:rsidR="006F3524">
        <w:t>.</w:t>
      </w:r>
      <w:r>
        <w:t xml:space="preserve"> En sa qualité de Président du Groupe d'experts de haut niveau sur le Programme GCA, M. Stein Schjolberg a transmis le rapport, dans lequel il faisait le constat suivant en introduction:</w:t>
      </w:r>
    </w:p>
    <w:p w:rsidR="00733E73" w:rsidRDefault="00733E73" w:rsidP="006F3524">
      <w:pPr>
        <w:ind w:left="851"/>
      </w:pPr>
      <w:r>
        <w:rPr>
          <w:i/>
          <w:iCs/>
        </w:rPr>
        <w:t>Les coûts associés aux cy</w:t>
      </w:r>
      <w:r w:rsidR="00526366">
        <w:rPr>
          <w:i/>
          <w:iCs/>
        </w:rPr>
        <w:t>berattaques sont considérables –</w:t>
      </w:r>
      <w:r>
        <w:rPr>
          <w:i/>
          <w:iCs/>
        </w:rPr>
        <w:t xml:space="preserve"> en termes de manque à gagner, de pertes de données sensibles, de dégâts causés aux équipements, d'attaques par déni de service et </w:t>
      </w:r>
      <w:r w:rsidR="006F3524">
        <w:rPr>
          <w:i/>
          <w:iCs/>
        </w:rPr>
        <w:t>d'interruptions</w:t>
      </w:r>
      <w:r>
        <w:rPr>
          <w:i/>
          <w:iCs/>
        </w:rPr>
        <w:t xml:space="preserve"> de réseau. Le développement futur et les possibilités associées à la société de l'information en ligne sont remis en cause </w:t>
      </w:r>
      <w:r w:rsidR="006F3524">
        <w:rPr>
          <w:i/>
          <w:iCs/>
        </w:rPr>
        <w:t xml:space="preserve">par </w:t>
      </w:r>
      <w:r>
        <w:rPr>
          <w:i/>
          <w:iCs/>
        </w:rPr>
        <w:t>la multiplication des cybermenaces. De plus, le cyberespace ne connaît pas de frontières: en quelques mi</w:t>
      </w:r>
      <w:r w:rsidR="00526366">
        <w:rPr>
          <w:i/>
          <w:iCs/>
        </w:rPr>
        <w:t xml:space="preserve">nutes seulement, </w:t>
      </w:r>
      <w:r w:rsidR="00526366">
        <w:rPr>
          <w:i/>
          <w:iCs/>
        </w:rPr>
        <w:lastRenderedPageBreak/>
        <w:t>les cyberattaque</w:t>
      </w:r>
      <w:r>
        <w:rPr>
          <w:i/>
          <w:iCs/>
        </w:rPr>
        <w:t xml:space="preserve">s peuvent causer des dégâts inimaginables dans </w:t>
      </w:r>
      <w:r w:rsidR="006F3524">
        <w:rPr>
          <w:i/>
          <w:iCs/>
        </w:rPr>
        <w:t xml:space="preserve">plusieurs </w:t>
      </w:r>
      <w:r>
        <w:rPr>
          <w:i/>
          <w:iCs/>
        </w:rPr>
        <w:t>pays. Les cybermenaces sont un problème mondial</w:t>
      </w:r>
      <w:r w:rsidR="006F3524">
        <w:rPr>
          <w:i/>
          <w:iCs/>
        </w:rPr>
        <w:t xml:space="preserve"> et</w:t>
      </w:r>
      <w:r>
        <w:rPr>
          <w:i/>
          <w:iCs/>
        </w:rPr>
        <w:t xml:space="preserve"> nécessite</w:t>
      </w:r>
      <w:r w:rsidR="006F3524">
        <w:rPr>
          <w:i/>
          <w:iCs/>
        </w:rPr>
        <w:t>nt</w:t>
      </w:r>
      <w:r>
        <w:rPr>
          <w:i/>
          <w:iCs/>
        </w:rPr>
        <w:t xml:space="preserve"> une réponse mondiale faisant intervenir toutes les parties prenantes.</w:t>
      </w:r>
    </w:p>
    <w:p w:rsidR="00733E73" w:rsidRDefault="00733E73" w:rsidP="004E6ECF">
      <w:r>
        <w:t>Plus de dix années se sont écoulées depuis la soumission du Rapport du Groupe d'experts de haut niveau. Le présent rapport fait le point sur l'évolution de la situation depuis 2008.</w:t>
      </w:r>
    </w:p>
    <w:p w:rsidR="00733E73" w:rsidRDefault="00526366" w:rsidP="00526366">
      <w:pPr>
        <w:pStyle w:val="Heading1"/>
      </w:pPr>
      <w:r>
        <w:t>2</w:t>
      </w:r>
      <w:r>
        <w:tab/>
        <w:t>Programme GCA</w:t>
      </w:r>
      <w:r w:rsidR="00733E73">
        <w:t>: toujours important et d'actualité</w:t>
      </w:r>
    </w:p>
    <w:p w:rsidR="00733E73" w:rsidRDefault="00733E73" w:rsidP="006F3524">
      <w:r>
        <w:t>Largement salué par les membres de l'UIT, le cadre qu'offre</w:t>
      </w:r>
      <w:r w:rsidR="006F3524">
        <w:t>nt</w:t>
      </w:r>
      <w:r>
        <w:t xml:space="preserve"> les cinq piliers du Programme GCA a</w:t>
      </w:r>
      <w:r w:rsidR="006F3524">
        <w:t xml:space="preserve"> généralement</w:t>
      </w:r>
      <w:r>
        <w:t xml:space="preserve"> résisté à l'épreuve du temps et </w:t>
      </w:r>
      <w:r w:rsidR="006F3524">
        <w:t>constitue</w:t>
      </w:r>
      <w:r>
        <w:t xml:space="preserve"> </w:t>
      </w:r>
      <w:r w:rsidR="006F3524">
        <w:t xml:space="preserve">toujours </w:t>
      </w:r>
      <w:r>
        <w:t xml:space="preserve">un large cadre de coopération internationale sur la cybersécurité, délimité par les documents adoptés </w:t>
      </w:r>
      <w:r w:rsidR="006F3524">
        <w:t xml:space="preserve">par le </w:t>
      </w:r>
      <w:r>
        <w:t xml:space="preserve">SMSI, en particulier les principes </w:t>
      </w:r>
      <w:r w:rsidR="006F3524">
        <w:t xml:space="preserve">énoncés </w:t>
      </w:r>
      <w:r>
        <w:t>dans la grande orientation C5. Les recommandations associées figurant dans le Rapport du Président du Groupe d'experts de haut niveau de 2008 sont autant d'actualité aujourd'hui qu'elle</w:t>
      </w:r>
      <w:r w:rsidR="006F3524">
        <w:t>s</w:t>
      </w:r>
      <w:r>
        <w:t xml:space="preserve"> l'étai</w:t>
      </w:r>
      <w:r w:rsidR="006F3524">
        <w:t>en</w:t>
      </w:r>
      <w:r>
        <w:t xml:space="preserve">t en 2008 (même s'il est reconnu que l'on pourrait considérer que quelques éléments particuliers du rapport sont obsolètes ou ont été </w:t>
      </w:r>
      <w:r w:rsidR="006F3524">
        <w:t xml:space="preserve">remplacés à l'occasion </w:t>
      </w:r>
      <w:r>
        <w:t>d'autres manifestations).</w:t>
      </w:r>
    </w:p>
    <w:p w:rsidR="00733E73" w:rsidRDefault="00733E73" w:rsidP="00EF2482">
      <w:r>
        <w:t>Bien sûr, le paysage des TIC a subi de profonds changements depuis 2008, les TIC jou</w:t>
      </w:r>
      <w:r w:rsidR="006F3524">
        <w:t>a</w:t>
      </w:r>
      <w:r>
        <w:t xml:space="preserve">nt aujourd'hui un rôle moteur dans chaque secteur de la société et dans la quasi-totalité des infrastructures essentielles sur lesquelles </w:t>
      </w:r>
      <w:r w:rsidR="006F3524">
        <w:t xml:space="preserve">repose </w:t>
      </w:r>
      <w:r>
        <w:t xml:space="preserve">le bon fonctionnement d'un </w:t>
      </w:r>
      <w:r w:rsidR="00977EEF">
        <w:t>État</w:t>
      </w:r>
      <w:r>
        <w:t xml:space="preserve"> </w:t>
      </w:r>
      <w:r w:rsidR="006F3524">
        <w:t xml:space="preserve">aujourd'hui. </w:t>
      </w:r>
      <w:r>
        <w:t xml:space="preserve">Nous assistons à l'émergence et à l'adoption de nouvelles technologies, </w:t>
      </w:r>
      <w:r w:rsidR="006F3524">
        <w:t xml:space="preserve">avec </w:t>
      </w:r>
      <w:r>
        <w:t>par exemple la généralisation de l'adoption de l'Internet des objets qui rassemble des dizaines, si ce n'est des centaines, de milliards de nouveaux dispositifs interconnectés</w:t>
      </w:r>
      <w:r w:rsidR="006F3524">
        <w:t xml:space="preserve"> </w:t>
      </w:r>
      <w:r w:rsidR="00EF2482">
        <w:t>–</w:t>
      </w:r>
      <w:r>
        <w:t xml:space="preserve"> </w:t>
      </w:r>
      <w:r w:rsidR="00EF2482">
        <w:t xml:space="preserve">et qui est </w:t>
      </w:r>
      <w:r>
        <w:t>aussi à l'o</w:t>
      </w:r>
      <w:r w:rsidR="00741742">
        <w:t>rigine d'un nombre considérable</w:t>
      </w:r>
      <w:r>
        <w:t xml:space="preserve"> de nouvelles vulnérabilités potentielles; l'essor de l'intelligence artificielle en tant qu'outil pour exploiter les données, en particulier les mégadonées, qui permet à l'homme de prendre de</w:t>
      </w:r>
      <w:r w:rsidR="00EF2482">
        <w:t>s</w:t>
      </w:r>
      <w:r>
        <w:t xml:space="preserve"> décisions </w:t>
      </w:r>
      <w:r w:rsidR="00EF2482">
        <w:t xml:space="preserve">plus éclairées </w:t>
      </w:r>
      <w:r>
        <w:t xml:space="preserve">et fait naître la possibilité </w:t>
      </w:r>
      <w:r w:rsidR="00EF2482">
        <w:t xml:space="preserve">que </w:t>
      </w:r>
      <w:r>
        <w:t xml:space="preserve">les machines </w:t>
      </w:r>
      <w:r w:rsidR="00EF2482">
        <w:t xml:space="preserve">prennent </w:t>
      </w:r>
      <w:r>
        <w:t>de manière autonome</w:t>
      </w:r>
      <w:r w:rsidR="00EF2482">
        <w:t xml:space="preserve"> et</w:t>
      </w:r>
      <w:r>
        <w:t xml:space="preserve"> sans intervention humaine des</w:t>
      </w:r>
      <w:r w:rsidR="00EF2482">
        <w:t xml:space="preserve"> décisions dites intelligentes – tout en allant de pair avec </w:t>
      </w:r>
      <w:r>
        <w:t xml:space="preserve">des défis </w:t>
      </w:r>
      <w:r w:rsidR="00EF2482">
        <w:t xml:space="preserve">concernant le </w:t>
      </w:r>
      <w:r>
        <w:t xml:space="preserve">respect de la vie privée, la confiance et la sécurité des utilisateurs, </w:t>
      </w:r>
      <w:r w:rsidR="00EF2482">
        <w:t xml:space="preserve">ainsi que les </w:t>
      </w:r>
      <w:r>
        <w:t xml:space="preserve">algorithmes et </w:t>
      </w:r>
      <w:r w:rsidR="00EF2482">
        <w:t xml:space="preserve">les </w:t>
      </w:r>
      <w:r>
        <w:t xml:space="preserve">outils; </w:t>
      </w:r>
      <w:r w:rsidR="00EF2482">
        <w:t xml:space="preserve">les </w:t>
      </w:r>
      <w:r>
        <w:t>nouvelles technologies et normes de communication</w:t>
      </w:r>
      <w:r w:rsidR="00EF2482">
        <w:t>,</w:t>
      </w:r>
      <w:r>
        <w:t xml:space="preserve"> comme la 5G</w:t>
      </w:r>
      <w:r w:rsidR="00EF2482">
        <w:t>,</w:t>
      </w:r>
      <w:r>
        <w:t xml:space="preserve"> qui permet</w:t>
      </w:r>
      <w:r w:rsidR="00EF2482">
        <w:t>tent</w:t>
      </w:r>
      <w:r>
        <w:t xml:space="preserve"> d'accroître de manière exponentielle le débit des communications par rapport à celui que nous connaissons aujourd'hui; l'informatique quantique qui offre des vitesse</w:t>
      </w:r>
      <w:r w:rsidR="00741742">
        <w:t>s</w:t>
      </w:r>
      <w:r>
        <w:t xml:space="preserve"> de calcul bien supérieures aux capacités actuelles, </w:t>
      </w:r>
      <w:r w:rsidR="00EF2482">
        <w:t xml:space="preserve">ouvrant ainsi de nouveaux horizons </w:t>
      </w:r>
      <w:r>
        <w:t xml:space="preserve">incroyables mais </w:t>
      </w:r>
      <w:r w:rsidR="00EF2482">
        <w:t xml:space="preserve">rendant par ailleurs vulnérables </w:t>
      </w:r>
      <w:r>
        <w:t xml:space="preserve">les algorithmes cryptographiques actuels, entres autres. Nous avons également assisté à l'apparition </w:t>
      </w:r>
      <w:r>
        <w:lastRenderedPageBreak/>
        <w:t xml:space="preserve">de nouvelles technologies de sécurité, comme les technologies de registres distribués (dont la "blockchain" est l'une des mises en </w:t>
      </w:r>
      <w:r w:rsidR="00977EEF">
        <w:t>œuvre</w:t>
      </w:r>
      <w:r>
        <w:t xml:space="preserve"> les plus utilisées)</w:t>
      </w:r>
      <w:r w:rsidR="00EF2482">
        <w:t>,</w:t>
      </w:r>
      <w:r>
        <w:t xml:space="preserve"> qui offrent des solutions bien plus efficaces pour préserver les systèmes et les données associées. Par ailleurs, un nombre croissant de pays partout dans le monde s'orientent de plus en plus vers l'adoption de systèmes d'identités numériques.</w:t>
      </w:r>
    </w:p>
    <w:p w:rsidR="00733E73" w:rsidRDefault="00733E73" w:rsidP="00670393">
      <w:r>
        <w:t>Il ne faut pas non plus oublier le phénomène que représente l'adoption à grande échelle</w:t>
      </w:r>
      <w:r w:rsidR="00670393">
        <w:t>,</w:t>
      </w:r>
      <w:r>
        <w:t xml:space="preserve"> partout dans le monde</w:t>
      </w:r>
      <w:r w:rsidR="00670393">
        <w:t>,</w:t>
      </w:r>
      <w:r>
        <w:t xml:space="preserve"> des réseaux sociaux, qui a largement contribué à </w:t>
      </w:r>
      <w:r w:rsidR="00670393">
        <w:t xml:space="preserve">façonner </w:t>
      </w:r>
      <w:r>
        <w:t xml:space="preserve">l'écosystème </w:t>
      </w:r>
      <w:r w:rsidR="00670393">
        <w:t xml:space="preserve">mondial </w:t>
      </w:r>
      <w:r>
        <w:t xml:space="preserve">des TIC depuis 2008. </w:t>
      </w:r>
      <w:r w:rsidR="00670393">
        <w:t xml:space="preserve">Les </w:t>
      </w:r>
      <w:r>
        <w:t xml:space="preserve">utilisateurs que rassemblent </w:t>
      </w:r>
      <w:r w:rsidR="00670393">
        <w:t xml:space="preserve">certaines </w:t>
      </w:r>
      <w:r>
        <w:t>entreprise</w:t>
      </w:r>
      <w:r w:rsidR="00670393">
        <w:t xml:space="preserve">s sont parfois plus nombreux que les </w:t>
      </w:r>
      <w:r>
        <w:t xml:space="preserve">habitants de plusieurs pays réunis </w:t>
      </w:r>
      <w:r w:rsidR="00670393">
        <w:t>–</w:t>
      </w:r>
      <w:r>
        <w:t xml:space="preserve"> c'est </w:t>
      </w:r>
      <w:r w:rsidR="00670393">
        <w:t xml:space="preserve">par exemple </w:t>
      </w:r>
      <w:r>
        <w:t xml:space="preserve">le cas </w:t>
      </w:r>
      <w:r w:rsidR="00670393">
        <w:t xml:space="preserve">avec </w:t>
      </w:r>
      <w:r>
        <w:t>Face</w:t>
      </w:r>
      <w:r w:rsidR="00670393">
        <w:t>b</w:t>
      </w:r>
      <w:r>
        <w:t xml:space="preserve">ook qui compte plus de 2,3 milliards d'utilisateurs (mars 2019). Les </w:t>
      </w:r>
      <w:r w:rsidR="00670393">
        <w:t xml:space="preserve">médias </w:t>
      </w:r>
      <w:r>
        <w:t xml:space="preserve">sociaux jouent un rôle essentiel pour connecter les personnes partout dans le monde, gommant les frontières géographiques et permettant d'accéder facilement et à des échelles sans précédent à l'information et </w:t>
      </w:r>
      <w:r w:rsidR="00670393">
        <w:t>aux possibilités offertes</w:t>
      </w:r>
      <w:r>
        <w:t xml:space="preserve">. </w:t>
      </w:r>
      <w:r w:rsidR="00670393">
        <w:t xml:space="preserve">Ils </w:t>
      </w:r>
      <w:r>
        <w:t xml:space="preserve">sont également à l'origine de graves </w:t>
      </w:r>
      <w:r w:rsidR="00670393">
        <w:t xml:space="preserve">préoccupations </w:t>
      </w:r>
      <w:r w:rsidR="00197AAA">
        <w:t>en matière de confiance –</w:t>
      </w:r>
      <w:r>
        <w:t xml:space="preserve"> concernant la vie privée et la sécurité des utilisateurs et des données qu'ils génèrent, l'authenticité et la fiabilité des informations </w:t>
      </w:r>
      <w:r w:rsidR="00670393">
        <w:t xml:space="preserve">disponibles </w:t>
      </w:r>
      <w:r>
        <w:t>sur les réseaux sociaux, la diffusion de contenus haineux, etc.</w:t>
      </w:r>
    </w:p>
    <w:p w:rsidR="00733E73" w:rsidRDefault="00733E73" w:rsidP="00A44680">
      <w:r>
        <w:t xml:space="preserve">Globalement, il est reconnu sur le plan international que les TIC sont un outil </w:t>
      </w:r>
      <w:r w:rsidR="00A44680">
        <w:t xml:space="preserve">indispensable </w:t>
      </w:r>
      <w:r>
        <w:t>pour atteindre les Objectifs de développement durable définis par les Nations Unies, et que pour atteindre ces Objectifs, il est important que les personnes aient confiance dans l'utilisation des TIC.</w:t>
      </w:r>
    </w:p>
    <w:p w:rsidR="00733E73" w:rsidRDefault="00733E73" w:rsidP="00A44680">
      <w:r>
        <w:t xml:space="preserve">Les activités mises en </w:t>
      </w:r>
      <w:r w:rsidR="00977EEF">
        <w:t>œuvre</w:t>
      </w:r>
      <w:r>
        <w:t xml:space="preserve"> dans le cadre du Programme GCA</w:t>
      </w:r>
      <w:r w:rsidR="00A44680">
        <w:t>, y compris celles menées par l'UIT</w:t>
      </w:r>
      <w:r w:rsidR="00A44680">
        <w:rPr>
          <w:rStyle w:val="FootnoteReference"/>
        </w:rPr>
        <w:footnoteReference w:id="4"/>
      </w:r>
      <w:r w:rsidR="00741742">
        <w:t> </w:t>
      </w:r>
      <w:r w:rsidR="00A44680">
        <w:t>dans le cadre de sa mission et de son rôle en tant que coordonnateur pour la grande orientation C5 du SMSI</w:t>
      </w:r>
      <w:r>
        <w:t xml:space="preserve"> évoluent, tou</w:t>
      </w:r>
      <w:r w:rsidR="00A44680">
        <w:t>t comme l'environnement des TIC</w:t>
      </w:r>
      <w:r>
        <w:t>.</w:t>
      </w:r>
    </w:p>
    <w:p w:rsidR="00733E73" w:rsidRDefault="00733E73" w:rsidP="00A44680">
      <w:r>
        <w:t xml:space="preserve">Le Programme GCA </w:t>
      </w:r>
      <w:r w:rsidR="00A44680">
        <w:t xml:space="preserve">est très utile </w:t>
      </w:r>
      <w:r>
        <w:t xml:space="preserve">pour l'action menée par l'UIT </w:t>
      </w:r>
      <w:r w:rsidR="00A44680">
        <w:t xml:space="preserve">en vue </w:t>
      </w:r>
      <w:r>
        <w:t>d'instaurer la confiance et la sécurité dans l'utilisation des TIC. Dans le cadre de son mandat, s'</w:t>
      </w:r>
      <w:r w:rsidR="00A44680">
        <w:t>appuyant sur</w:t>
      </w:r>
      <w:r>
        <w:t xml:space="preserve"> la mise en </w:t>
      </w:r>
      <w:r w:rsidR="00977EEF">
        <w:t>œuvre</w:t>
      </w:r>
      <w:r>
        <w:t xml:space="preserve"> du Programme GCA, l'UIT travaille afin </w:t>
      </w:r>
      <w:r w:rsidR="00A44680">
        <w:t xml:space="preserve">d'amener des </w:t>
      </w:r>
      <w:r>
        <w:t xml:space="preserve">parties prenantes </w:t>
      </w:r>
      <w:r w:rsidR="00A44680">
        <w:t>différentes à collaborer</w:t>
      </w:r>
      <w:r>
        <w:t xml:space="preserve"> sur un certain nombre d'initiatives essentielles, par exemple pour aider les pays à définir leur stratégie nationale en matière de cybersécurité, </w:t>
      </w:r>
      <w:r w:rsidR="00A44680">
        <w:t xml:space="preserve">à </w:t>
      </w:r>
      <w:r>
        <w:t xml:space="preserve">renforcer leur infrastructure en élaborant et en appliquant des normes internationales de sécurité, </w:t>
      </w:r>
      <w:r w:rsidR="00A44680">
        <w:t xml:space="preserve">à </w:t>
      </w:r>
      <w:r>
        <w:t xml:space="preserve">créer leurs équipes d'intervention en cas </w:t>
      </w:r>
      <w:r>
        <w:lastRenderedPageBreak/>
        <w:t xml:space="preserve">d'incident informatique, </w:t>
      </w:r>
      <w:r w:rsidR="00A44680">
        <w:t xml:space="preserve">à </w:t>
      </w:r>
      <w:r>
        <w:t xml:space="preserve">mettre en </w:t>
      </w:r>
      <w:r w:rsidR="00A44680">
        <w:t>place</w:t>
      </w:r>
      <w:r>
        <w:t xml:space="preserve"> des initiatives </w:t>
      </w:r>
      <w:r w:rsidR="00A44680">
        <w:t>visant à</w:t>
      </w:r>
      <w:r>
        <w:t xml:space="preserve"> protéger les enfants en ligne et </w:t>
      </w:r>
      <w:r w:rsidR="00741742">
        <w:t>à </w:t>
      </w:r>
      <w:r>
        <w:t>renforcer les capacités humaines et les compétences nécessaires</w:t>
      </w:r>
      <w:r w:rsidR="00741742">
        <w:t>. Différentes initiatives multi</w:t>
      </w:r>
      <w:r w:rsidR="00741742">
        <w:noBreakHyphen/>
      </w:r>
      <w:r>
        <w:t xml:space="preserve">parties prenantes comme </w:t>
      </w:r>
      <w:r w:rsidR="00A44680">
        <w:t>celle</w:t>
      </w:r>
      <w:r>
        <w:t xml:space="preserve"> pour la protection en ligne des enfants ont été lancées dans le cadre du Programme GCA.</w:t>
      </w:r>
    </w:p>
    <w:p w:rsidR="00733E73" w:rsidRDefault="00741742" w:rsidP="00741742">
      <w:pPr>
        <w:pStyle w:val="Heading1"/>
      </w:pPr>
      <w:r>
        <w:t>3</w:t>
      </w:r>
      <w:r w:rsidR="00733E73">
        <w:tab/>
        <w:t>Trouver un terrain d'entente concernant la cybersécurité</w:t>
      </w:r>
    </w:p>
    <w:p w:rsidR="00733E73" w:rsidRDefault="00733E73" w:rsidP="00C410A3">
      <w:r>
        <w:t xml:space="preserve">La cybersécurité </w:t>
      </w:r>
      <w:r w:rsidR="00A44680">
        <w:t xml:space="preserve">est </w:t>
      </w:r>
      <w:r>
        <w:t>l'une des grandes priorité</w:t>
      </w:r>
      <w:r w:rsidR="00A44680">
        <w:t>s internationales</w:t>
      </w:r>
      <w:r>
        <w:t xml:space="preserve"> </w:t>
      </w:r>
      <w:r w:rsidR="00A44680">
        <w:t>d</w:t>
      </w:r>
      <w:r>
        <w:t>es chefs d'</w:t>
      </w:r>
      <w:r w:rsidR="00977EEF">
        <w:t>État</w:t>
      </w:r>
      <w:r>
        <w:t xml:space="preserve"> et des dirigeants </w:t>
      </w:r>
      <w:r w:rsidR="00A44680">
        <w:t xml:space="preserve">du </w:t>
      </w:r>
      <w:r>
        <w:t>monde</w:t>
      </w:r>
      <w:r w:rsidR="00A44680">
        <w:t xml:space="preserve"> entier</w:t>
      </w:r>
      <w:r>
        <w:t xml:space="preserve">, ainsi que </w:t>
      </w:r>
      <w:r w:rsidR="00A44680">
        <w:t>d</w:t>
      </w:r>
      <w:r>
        <w:t>es directeurs des grandes e</w:t>
      </w:r>
      <w:r w:rsidR="00A44680">
        <w:t>ntreprises du secteur privé et d</w:t>
      </w:r>
      <w:r>
        <w:t xml:space="preserve">es responsables des organisations internationales et de la société civile </w:t>
      </w:r>
      <w:r w:rsidR="00692477">
        <w:t xml:space="preserve">partout dans le </w:t>
      </w:r>
      <w:r>
        <w:t xml:space="preserve">monde. Comme </w:t>
      </w:r>
      <w:r w:rsidR="00C410A3">
        <w:t xml:space="preserve">indiqué </w:t>
      </w:r>
      <w:r>
        <w:t xml:space="preserve">ci-dessus, plusieurs initiatives </w:t>
      </w:r>
      <w:r w:rsidR="00C410A3">
        <w:t xml:space="preserve">remarquables </w:t>
      </w:r>
      <w:r>
        <w:t xml:space="preserve">sont en cours, lancées par différents groupes de parties prenantes. On trouvera dans le </w:t>
      </w:r>
      <w:hyperlink r:id="rId9" w:history="1">
        <w:r w:rsidRPr="00D24171">
          <w:rPr>
            <w:rStyle w:val="Hyperlink"/>
          </w:rPr>
          <w:t>Document INF/9</w:t>
        </w:r>
      </w:hyperlink>
      <w:r>
        <w:t xml:space="preserve"> un certain nombre d'informations concernant l'évolution de la situation au</w:t>
      </w:r>
      <w:r w:rsidR="00741742">
        <w:t>x</w:t>
      </w:r>
      <w:r>
        <w:t xml:space="preserve"> niveau</w:t>
      </w:r>
      <w:r w:rsidR="00741742">
        <w:t>x</w:t>
      </w:r>
      <w:r>
        <w:t xml:space="preserve"> régional et mondial depuis 2008.</w:t>
      </w:r>
    </w:p>
    <w:p w:rsidR="00733E73" w:rsidRDefault="00733E73" w:rsidP="00C410A3">
      <w:r>
        <w:t>Malgré cela, la confiance dans le cyberespace est de plus en plus insuffisante. On trouve</w:t>
      </w:r>
      <w:r w:rsidR="00C410A3">
        <w:t>,</w:t>
      </w:r>
      <w:r>
        <w:t xml:space="preserve"> au nombre des préoccupations </w:t>
      </w:r>
      <w:r w:rsidR="00C410A3">
        <w:t xml:space="preserve">citées </w:t>
      </w:r>
      <w:r>
        <w:t xml:space="preserve">à </w:t>
      </w:r>
      <w:r w:rsidR="00C410A3">
        <w:t xml:space="preserve">de </w:t>
      </w:r>
      <w:r>
        <w:t xml:space="preserve">multiples reprises, la nécessité de renforcer la cohérence et la cohésion </w:t>
      </w:r>
      <w:r w:rsidR="00C410A3">
        <w:t>d</w:t>
      </w:r>
      <w:r>
        <w:t>es initiatives</w:t>
      </w:r>
      <w:r w:rsidR="00C410A3">
        <w:t>,</w:t>
      </w:r>
      <w:r>
        <w:t xml:space="preserve"> afin que celles-ci aient les plus grandes incidences possibles. C'est sur cette préoccupation que l'UIT devrait </w:t>
      </w:r>
      <w:r w:rsidR="00C410A3">
        <w:t xml:space="preserve">continuer de </w:t>
      </w:r>
      <w:r>
        <w:t>se concentrer, au titre de sa mission de coordonnateur pour la grande orientation C5 du SMSI.</w:t>
      </w:r>
    </w:p>
    <w:p w:rsidR="00733E73" w:rsidRDefault="00733E73" w:rsidP="00977EEF">
      <w:r>
        <w:t>Les piliers définis et les recommandations formulées dans le cadre du Programme GCA, en particulier en ce qui concerne la coopération internationale, devrai</w:t>
      </w:r>
      <w:r w:rsidR="00977EEF">
        <w:t>en</w:t>
      </w:r>
      <w:r>
        <w:t xml:space="preserve">t continuer à servir de cadre guidant l'Union </w:t>
      </w:r>
      <w:r w:rsidR="00977EEF">
        <w:t>dans ses efforts de coordination associés</w:t>
      </w:r>
      <w:r>
        <w:t>.</w:t>
      </w:r>
    </w:p>
    <w:p w:rsidR="00733E73" w:rsidRDefault="00733E73" w:rsidP="00977EEF">
      <w:r>
        <w:t xml:space="preserve">Afin de </w:t>
      </w:r>
      <w:r w:rsidR="00977EEF">
        <w:t>mettre en œuvre</w:t>
      </w:r>
      <w:r>
        <w:t xml:space="preserve"> </w:t>
      </w:r>
      <w:r w:rsidR="00977EEF">
        <w:t>de manière plus claire et plus efficace l</w:t>
      </w:r>
      <w:r>
        <w:t xml:space="preserve">es recommandations formulées dans le cadre du </w:t>
      </w:r>
      <w:r w:rsidR="00977EEF">
        <w:t>P</w:t>
      </w:r>
      <w:r>
        <w:t>rogramme GCA compte tenu de la complexité des questions associées à l'évolution rapide de l'écosystème des TIC, il sera peut-être nécessaire d'élaborer de nouvelles lignes directrices appropriées relative</w:t>
      </w:r>
      <w:r w:rsidR="00977EEF">
        <w:t>s</w:t>
      </w:r>
      <w:r>
        <w:t xml:space="preserve"> à l'utilisation </w:t>
      </w:r>
      <w:r w:rsidR="00977EEF">
        <w:t xml:space="preserve">de ce </w:t>
      </w:r>
      <w:r>
        <w:t xml:space="preserve">Programme. </w:t>
      </w:r>
    </w:p>
    <w:p w:rsidR="00520F36" w:rsidRDefault="00733E73" w:rsidP="004E6ECF">
      <w:r>
        <w:t>En tant que Président du Groupe d'experts de haut niveau en 2008, je me tiens à la disposition du Secrétaire général de l'UIT s'il souhaite des conseils concernant toute action connexe.</w:t>
      </w:r>
    </w:p>
    <w:p w:rsidR="00D55B65" w:rsidRDefault="00D55B65" w:rsidP="00411C49">
      <w:pPr>
        <w:pStyle w:val="Reasons"/>
      </w:pPr>
    </w:p>
    <w:p w:rsidR="00D55B65" w:rsidRPr="00CA08ED" w:rsidRDefault="00D55B65" w:rsidP="00D55B65">
      <w:pPr>
        <w:jc w:val="center"/>
      </w:pPr>
      <w:r>
        <w:t>______________</w:t>
      </w:r>
    </w:p>
    <w:sectPr w:rsidR="00D55B65" w:rsidRPr="00CA08ED"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0D2" w:rsidRDefault="00AF10D2">
      <w:r>
        <w:separator/>
      </w:r>
    </w:p>
  </w:endnote>
  <w:endnote w:type="continuationSeparator" w:id="0">
    <w:p w:rsidR="00AF10D2" w:rsidRDefault="00AF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B17E48">
    <w:pPr>
      <w:pStyle w:val="Footer"/>
    </w:pPr>
    <w:r>
      <w:fldChar w:fldCharType="begin"/>
    </w:r>
    <w:r>
      <w:instrText xml:space="preserve"> FILENAME \p \* MERGEFORMAT </w:instrText>
    </w:r>
    <w:r>
      <w:fldChar w:fldCharType="separate"/>
    </w:r>
    <w:r w:rsidR="007530D8">
      <w:t>P:\FRA\SG\CONSEIL\C19\000\058F.docx</w:t>
    </w:r>
    <w:r>
      <w:fldChar w:fldCharType="end"/>
    </w:r>
    <w:r w:rsidR="00732045">
      <w:tab/>
    </w:r>
    <w:r w:rsidR="002F1B76">
      <w:fldChar w:fldCharType="begin"/>
    </w:r>
    <w:r w:rsidR="00732045">
      <w:instrText xml:space="preserve"> savedate \@ dd.MM.yy </w:instrText>
    </w:r>
    <w:r w:rsidR="002F1B76">
      <w:fldChar w:fldCharType="separate"/>
    </w:r>
    <w:r>
      <w:t>20.05.19</w:t>
    </w:r>
    <w:r w:rsidR="002F1B76">
      <w:fldChar w:fldCharType="end"/>
    </w:r>
    <w:r w:rsidR="00732045">
      <w:tab/>
    </w:r>
    <w:r w:rsidR="002F1B76">
      <w:fldChar w:fldCharType="begin"/>
    </w:r>
    <w:r w:rsidR="00732045">
      <w:instrText xml:space="preserve"> printdate \@ dd.MM.yy </w:instrText>
    </w:r>
    <w:r w:rsidR="002F1B76">
      <w:fldChar w:fldCharType="separate"/>
    </w:r>
    <w:r w:rsidR="007530D8">
      <w:t>17.05.19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B17E48" w:rsidRDefault="00D24171" w:rsidP="006820E9">
    <w:pPr>
      <w:pStyle w:val="Footer"/>
      <w:rPr>
        <w:color w:val="D9D9D9" w:themeColor="background1" w:themeShade="D9"/>
      </w:rPr>
    </w:pPr>
    <w:r w:rsidRPr="00B17E48">
      <w:rPr>
        <w:color w:val="D9D9D9" w:themeColor="background1" w:themeShade="D9"/>
      </w:rPr>
      <w:fldChar w:fldCharType="begin"/>
    </w:r>
    <w:r w:rsidRPr="00B17E48">
      <w:rPr>
        <w:color w:val="D9D9D9" w:themeColor="background1" w:themeShade="D9"/>
      </w:rPr>
      <w:instrText xml:space="preserve"> FILENAME \p  \* MERGEFORMAT </w:instrText>
    </w:r>
    <w:r w:rsidRPr="00B17E48">
      <w:rPr>
        <w:color w:val="D9D9D9" w:themeColor="background1" w:themeShade="D9"/>
      </w:rPr>
      <w:fldChar w:fldCharType="separate"/>
    </w:r>
    <w:r w:rsidR="007530D8" w:rsidRPr="00B17E48">
      <w:rPr>
        <w:color w:val="D9D9D9" w:themeColor="background1" w:themeShade="D9"/>
      </w:rPr>
      <w:t>P:\FRA\SG\CONSEIL\C19\000\058F.docx</w:t>
    </w:r>
    <w:r w:rsidRPr="00B17E48">
      <w:rPr>
        <w:color w:val="D9D9D9" w:themeColor="background1" w:themeShade="D9"/>
      </w:rPr>
      <w:fldChar w:fldCharType="end"/>
    </w:r>
    <w:r w:rsidR="006820E9" w:rsidRPr="00B17E48">
      <w:rPr>
        <w:color w:val="D9D9D9" w:themeColor="background1" w:themeShade="D9"/>
      </w:rPr>
      <w:t xml:space="preserve"> (454902)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0D2" w:rsidRDefault="00AF10D2">
      <w:r>
        <w:t>____________________</w:t>
      </w:r>
    </w:p>
  </w:footnote>
  <w:footnote w:type="continuationSeparator" w:id="0">
    <w:p w:rsidR="00AF10D2" w:rsidRDefault="00AF10D2">
      <w:r>
        <w:continuationSeparator/>
      </w:r>
    </w:p>
  </w:footnote>
  <w:footnote w:id="1">
    <w:p w:rsidR="004E6ECF" w:rsidRPr="004E6ECF" w:rsidRDefault="004E6ECF" w:rsidP="007C7175">
      <w:pPr>
        <w:pStyle w:val="FootnoteText"/>
      </w:pPr>
      <w:r>
        <w:rPr>
          <w:rStyle w:val="FootnoteReference"/>
        </w:rPr>
        <w:footnoteRef/>
      </w:r>
      <w:r>
        <w:tab/>
      </w:r>
      <w:r>
        <w:rPr>
          <w:lang w:val="fr-CH"/>
        </w:rPr>
        <w:t>Les informations données dans le présent rapport ont été rassemblées et soumises par le Président du Groupe d'experts de haut niveau sur le programme GCA, sur la base des informations accessibles au p</w:t>
      </w:r>
      <w:r w:rsidR="007C7175">
        <w:rPr>
          <w:lang w:val="fr-CH"/>
        </w:rPr>
        <w:t>ublic. Les avis exprimés dans le présent</w:t>
      </w:r>
      <w:r>
        <w:rPr>
          <w:lang w:val="fr-CH"/>
        </w:rPr>
        <w:t xml:space="preserve"> </w:t>
      </w:r>
      <w:r w:rsidR="007C7175">
        <w:rPr>
          <w:lang w:val="fr-CH"/>
        </w:rPr>
        <w:t xml:space="preserve">rapport </w:t>
      </w:r>
      <w:r>
        <w:rPr>
          <w:lang w:val="fr-CH"/>
        </w:rPr>
        <w:t>sont uniquement ceux de l'auteur.</w:t>
      </w:r>
    </w:p>
  </w:footnote>
  <w:footnote w:id="2">
    <w:p w:rsidR="00733E73" w:rsidRPr="001C30F3" w:rsidRDefault="00733E73" w:rsidP="00733E73">
      <w:pPr>
        <w:pStyle w:val="FootnoteText"/>
        <w:rPr>
          <w:lang w:val="fr-CH"/>
        </w:rPr>
      </w:pPr>
      <w:r>
        <w:rPr>
          <w:rStyle w:val="FootnoteReference"/>
        </w:rPr>
        <w:footnoteRef/>
      </w:r>
      <w:r>
        <w:t xml:space="preserve"> </w:t>
      </w:r>
      <w:r w:rsidR="004E6ECF">
        <w:tab/>
      </w:r>
      <w:r w:rsidRPr="004E6ECF">
        <w:rPr>
          <w:lang w:val="fr-CH"/>
        </w:rPr>
        <w:t>Procès</w:t>
      </w:r>
      <w:r>
        <w:t>-</w:t>
      </w:r>
      <w:r w:rsidRPr="004E6ECF">
        <w:rPr>
          <w:lang w:val="fr-CH"/>
        </w:rPr>
        <w:t>verbal</w:t>
      </w:r>
      <w:r>
        <w:t xml:space="preserve"> de la dix-septième séance plénière de la Conférence de plénipotentiaires (Dubaï), jeudi 15 novembre 2018</w:t>
      </w:r>
      <w:r w:rsidR="00D317BC">
        <w:t>.</w:t>
      </w:r>
    </w:p>
  </w:footnote>
  <w:footnote w:id="3">
    <w:p w:rsidR="00733E73" w:rsidRPr="00190BBA" w:rsidRDefault="00733E73" w:rsidP="00733E73">
      <w:pPr>
        <w:pStyle w:val="FootnoteText"/>
        <w:rPr>
          <w:lang w:val="fr-CH"/>
        </w:rPr>
      </w:pPr>
      <w:r>
        <w:rPr>
          <w:rStyle w:val="FootnoteReference"/>
        </w:rPr>
        <w:footnoteRef/>
      </w:r>
      <w:r w:rsidR="00977EEF">
        <w:tab/>
      </w:r>
      <w:r>
        <w:rPr>
          <w:lang w:val="fr-CH"/>
        </w:rPr>
        <w:t>Voi</w:t>
      </w:r>
      <w:r w:rsidR="00D317BC">
        <w:rPr>
          <w:lang w:val="fr-CH"/>
        </w:rPr>
        <w:t>r Juge Stein schjolber, Norvège</w:t>
      </w:r>
      <w:r>
        <w:rPr>
          <w:lang w:val="fr-CH"/>
        </w:rPr>
        <w:t xml:space="preserve">: Rapport du Président du Groupe d'experts de haut niveau: </w:t>
      </w:r>
      <w:hyperlink r:id="rId1" w:history="1">
        <w:r w:rsidRPr="00E15595">
          <w:rPr>
            <w:rStyle w:val="Hyperlink"/>
            <w:lang w:val="fr-CH"/>
          </w:rPr>
          <w:t>https://www.itu.int/en/action/cybersecurity/Documents/gca-chairman-report.pdf</w:t>
        </w:r>
      </w:hyperlink>
      <w:r w:rsidR="00741742">
        <w:rPr>
          <w:lang w:val="fr-CH"/>
        </w:rPr>
        <w:t>.</w:t>
      </w:r>
    </w:p>
  </w:footnote>
  <w:footnote w:id="4">
    <w:p w:rsidR="00A44680" w:rsidRPr="00493264" w:rsidRDefault="00A44680" w:rsidP="00692477">
      <w:pPr>
        <w:pStyle w:val="FootnoteText"/>
        <w:rPr>
          <w:lang w:val="fr-CH"/>
        </w:rPr>
      </w:pPr>
      <w:r>
        <w:rPr>
          <w:rStyle w:val="FootnoteReference"/>
        </w:rPr>
        <w:footnoteRef/>
      </w:r>
      <w:r w:rsidR="00692477">
        <w:tab/>
      </w:r>
      <w:r>
        <w:rPr>
          <w:lang w:val="fr-CH"/>
        </w:rPr>
        <w:t>Voir le rapport annuel des activités de l'UIT présenté au Conseil de l'Union sur le renforcement de la confiance et de la sécurité dans l'utilisation des TIC.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B17E48">
      <w:rPr>
        <w:noProof/>
      </w:rPr>
      <w:t>2</w:t>
    </w:r>
    <w:r>
      <w:rPr>
        <w:noProof/>
      </w:rPr>
      <w:fldChar w:fldCharType="end"/>
    </w:r>
  </w:p>
  <w:p w:rsidR="00732045" w:rsidRDefault="00732045" w:rsidP="00106B19">
    <w:pPr>
      <w:pStyle w:val="Header"/>
    </w:pPr>
    <w:r>
      <w:t>C1</w:t>
    </w:r>
    <w:r w:rsidR="00106B19">
      <w:t>9</w:t>
    </w:r>
    <w:r w:rsidR="006820E9">
      <w:t>/58</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D2"/>
    <w:rsid w:val="000D0D0A"/>
    <w:rsid w:val="00103163"/>
    <w:rsid w:val="00106B19"/>
    <w:rsid w:val="00115D93"/>
    <w:rsid w:val="001247A8"/>
    <w:rsid w:val="001378C0"/>
    <w:rsid w:val="001812DD"/>
    <w:rsid w:val="0018694A"/>
    <w:rsid w:val="00197AAA"/>
    <w:rsid w:val="001A3287"/>
    <w:rsid w:val="001A6508"/>
    <w:rsid w:val="001D4C31"/>
    <w:rsid w:val="001E4D21"/>
    <w:rsid w:val="00207CD1"/>
    <w:rsid w:val="002477A2"/>
    <w:rsid w:val="00263A51"/>
    <w:rsid w:val="00267E02"/>
    <w:rsid w:val="002A5D44"/>
    <w:rsid w:val="002E0BC4"/>
    <w:rsid w:val="002F1B76"/>
    <w:rsid w:val="00332204"/>
    <w:rsid w:val="0033568E"/>
    <w:rsid w:val="00355FF5"/>
    <w:rsid w:val="00361350"/>
    <w:rsid w:val="003C3FAE"/>
    <w:rsid w:val="004038CB"/>
    <w:rsid w:val="0040546F"/>
    <w:rsid w:val="0042404A"/>
    <w:rsid w:val="0044618F"/>
    <w:rsid w:val="0046769A"/>
    <w:rsid w:val="00475FB3"/>
    <w:rsid w:val="004C37A9"/>
    <w:rsid w:val="004E6ECF"/>
    <w:rsid w:val="004F259E"/>
    <w:rsid w:val="00511F1D"/>
    <w:rsid w:val="00520F36"/>
    <w:rsid w:val="00526366"/>
    <w:rsid w:val="00534DCE"/>
    <w:rsid w:val="00540615"/>
    <w:rsid w:val="00540A6D"/>
    <w:rsid w:val="00571EEA"/>
    <w:rsid w:val="00575417"/>
    <w:rsid w:val="005768E1"/>
    <w:rsid w:val="005B1938"/>
    <w:rsid w:val="005B260F"/>
    <w:rsid w:val="005C3890"/>
    <w:rsid w:val="005F7BFE"/>
    <w:rsid w:val="00600017"/>
    <w:rsid w:val="006235CA"/>
    <w:rsid w:val="006643AB"/>
    <w:rsid w:val="00670393"/>
    <w:rsid w:val="006820E9"/>
    <w:rsid w:val="00692477"/>
    <w:rsid w:val="006F3524"/>
    <w:rsid w:val="007210CD"/>
    <w:rsid w:val="00732045"/>
    <w:rsid w:val="00733E73"/>
    <w:rsid w:val="007369DB"/>
    <w:rsid w:val="00741742"/>
    <w:rsid w:val="007530D8"/>
    <w:rsid w:val="007956C2"/>
    <w:rsid w:val="007A187E"/>
    <w:rsid w:val="007C7175"/>
    <w:rsid w:val="007C72C2"/>
    <w:rsid w:val="007D4436"/>
    <w:rsid w:val="007F257A"/>
    <w:rsid w:val="007F3665"/>
    <w:rsid w:val="00800037"/>
    <w:rsid w:val="00861D73"/>
    <w:rsid w:val="008A4E87"/>
    <w:rsid w:val="008D76E6"/>
    <w:rsid w:val="0092392D"/>
    <w:rsid w:val="0093234A"/>
    <w:rsid w:val="00977EEF"/>
    <w:rsid w:val="009C307F"/>
    <w:rsid w:val="00A2113E"/>
    <w:rsid w:val="00A23A51"/>
    <w:rsid w:val="00A24607"/>
    <w:rsid w:val="00A25CD3"/>
    <w:rsid w:val="00A44680"/>
    <w:rsid w:val="00A82767"/>
    <w:rsid w:val="00AA332F"/>
    <w:rsid w:val="00AA7BBB"/>
    <w:rsid w:val="00AB64A8"/>
    <w:rsid w:val="00AC0266"/>
    <w:rsid w:val="00AD24EC"/>
    <w:rsid w:val="00AF10D2"/>
    <w:rsid w:val="00B17E48"/>
    <w:rsid w:val="00B309F9"/>
    <w:rsid w:val="00B32B60"/>
    <w:rsid w:val="00B61619"/>
    <w:rsid w:val="00BB4545"/>
    <w:rsid w:val="00BC4339"/>
    <w:rsid w:val="00BD5873"/>
    <w:rsid w:val="00C04BE3"/>
    <w:rsid w:val="00C25D29"/>
    <w:rsid w:val="00C27A7C"/>
    <w:rsid w:val="00C410A3"/>
    <w:rsid w:val="00CA08ED"/>
    <w:rsid w:val="00CF183B"/>
    <w:rsid w:val="00D24171"/>
    <w:rsid w:val="00D317BC"/>
    <w:rsid w:val="00D375CD"/>
    <w:rsid w:val="00D553A2"/>
    <w:rsid w:val="00D55B65"/>
    <w:rsid w:val="00D774D3"/>
    <w:rsid w:val="00D904E8"/>
    <w:rsid w:val="00DA08C3"/>
    <w:rsid w:val="00DB5A3E"/>
    <w:rsid w:val="00DC22AA"/>
    <w:rsid w:val="00DF74DD"/>
    <w:rsid w:val="00E25AD0"/>
    <w:rsid w:val="00E43320"/>
    <w:rsid w:val="00EB6350"/>
    <w:rsid w:val="00EF2482"/>
    <w:rsid w:val="00F15B57"/>
    <w:rsid w:val="00F427DB"/>
    <w:rsid w:val="00FA5EB1"/>
    <w:rsid w:val="00FA7439"/>
    <w:rsid w:val="00FC4EC0"/>
    <w:rsid w:val="00FD659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6C341E7-8A03-4673-A43A-E20BB2C6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INF-0009/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S19-CL-INF-0009/en"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action/cybersecurity/Documents/gca-chairman-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070A0-78AD-4997-B0DB-02663E38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0</TotalTime>
  <Pages>5</Pages>
  <Words>1843</Words>
  <Characters>10469</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12288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 du rapport de l'ancien président du groupe d'experts de haut niveau sur le programme GCA</dc:title>
  <dc:subject>Conseil 2019</dc:subject>
  <dc:creator>Lamy, Sylvie</dc:creator>
  <cp:keywords>C2019, C19</cp:keywords>
  <dc:description/>
  <cp:lastModifiedBy>Brouard, Ricarda</cp:lastModifiedBy>
  <cp:revision>2</cp:revision>
  <cp:lastPrinted>2019-05-17T14:12:00Z</cp:lastPrinted>
  <dcterms:created xsi:type="dcterms:W3CDTF">2019-05-22T08:16:00Z</dcterms:created>
  <dcterms:modified xsi:type="dcterms:W3CDTF">2019-05-22T08:16:00Z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