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8848D4">
        <w:trPr>
          <w:cantSplit/>
        </w:trPr>
        <w:tc>
          <w:tcPr>
            <w:tcW w:w="6912" w:type="dxa"/>
          </w:tcPr>
          <w:p w:rsidR="00093EEB" w:rsidRPr="008848D4" w:rsidRDefault="00093EEB" w:rsidP="00C2727F">
            <w:pPr>
              <w:spacing w:before="360"/>
              <w:rPr>
                <w:szCs w:val="24"/>
              </w:rPr>
            </w:pPr>
            <w:bookmarkStart w:id="0" w:name="dc06"/>
            <w:bookmarkStart w:id="1" w:name="dbluepink" w:colFirst="0" w:colLast="0"/>
            <w:bookmarkEnd w:id="0"/>
            <w:r w:rsidRPr="008848D4">
              <w:rPr>
                <w:b/>
                <w:bCs/>
                <w:sz w:val="30"/>
                <w:szCs w:val="30"/>
              </w:rPr>
              <w:t>Consejo 201</w:t>
            </w:r>
            <w:r w:rsidR="00C2727F" w:rsidRPr="008848D4">
              <w:rPr>
                <w:b/>
                <w:bCs/>
                <w:sz w:val="30"/>
                <w:szCs w:val="30"/>
              </w:rPr>
              <w:t>9</w:t>
            </w:r>
            <w:r w:rsidRPr="008848D4">
              <w:rPr>
                <w:b/>
                <w:bCs/>
                <w:sz w:val="26"/>
                <w:szCs w:val="26"/>
              </w:rPr>
              <w:br/>
            </w:r>
            <w:r w:rsidRPr="008848D4">
              <w:rPr>
                <w:b/>
                <w:bCs/>
                <w:szCs w:val="24"/>
              </w:rPr>
              <w:t>Ginebra, 1</w:t>
            </w:r>
            <w:r w:rsidR="00C2727F" w:rsidRPr="008848D4">
              <w:rPr>
                <w:b/>
                <w:bCs/>
                <w:szCs w:val="24"/>
              </w:rPr>
              <w:t>0</w:t>
            </w:r>
            <w:r w:rsidRPr="008848D4">
              <w:rPr>
                <w:b/>
                <w:bCs/>
                <w:szCs w:val="24"/>
              </w:rPr>
              <w:t>-2</w:t>
            </w:r>
            <w:r w:rsidR="00C2727F" w:rsidRPr="008848D4">
              <w:rPr>
                <w:b/>
                <w:bCs/>
                <w:szCs w:val="24"/>
              </w:rPr>
              <w:t>0</w:t>
            </w:r>
            <w:r w:rsidRPr="008848D4">
              <w:rPr>
                <w:b/>
                <w:bCs/>
                <w:szCs w:val="24"/>
              </w:rPr>
              <w:t xml:space="preserve"> de </w:t>
            </w:r>
            <w:r w:rsidR="00C2727F" w:rsidRPr="008848D4">
              <w:rPr>
                <w:b/>
                <w:bCs/>
                <w:szCs w:val="24"/>
              </w:rPr>
              <w:t>junio</w:t>
            </w:r>
            <w:r w:rsidRPr="008848D4">
              <w:rPr>
                <w:b/>
                <w:bCs/>
                <w:szCs w:val="24"/>
              </w:rPr>
              <w:t xml:space="preserve"> de 201</w:t>
            </w:r>
            <w:r w:rsidR="00C2727F" w:rsidRPr="008848D4">
              <w:rPr>
                <w:b/>
                <w:bCs/>
                <w:szCs w:val="24"/>
              </w:rPr>
              <w:t>9</w:t>
            </w:r>
          </w:p>
        </w:tc>
        <w:tc>
          <w:tcPr>
            <w:tcW w:w="3261" w:type="dxa"/>
          </w:tcPr>
          <w:p w:rsidR="00093EEB" w:rsidRPr="008848D4" w:rsidRDefault="00093EEB" w:rsidP="00093EEB">
            <w:pPr>
              <w:spacing w:before="0"/>
              <w:jc w:val="right"/>
              <w:rPr>
                <w:szCs w:val="24"/>
              </w:rPr>
            </w:pPr>
            <w:bookmarkStart w:id="2" w:name="ditulogo"/>
            <w:bookmarkEnd w:id="2"/>
            <w:r w:rsidRPr="008848D4">
              <w:rPr>
                <w:rFonts w:cstheme="minorHAnsi"/>
                <w:b/>
                <w:bCs/>
                <w:noProof/>
                <w:szCs w:val="24"/>
                <w:lang w:val="en-GB"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8848D4">
        <w:trPr>
          <w:cantSplit/>
          <w:trHeight w:val="20"/>
        </w:trPr>
        <w:tc>
          <w:tcPr>
            <w:tcW w:w="10173" w:type="dxa"/>
            <w:gridSpan w:val="2"/>
            <w:tcBorders>
              <w:bottom w:val="single" w:sz="12" w:space="0" w:color="auto"/>
            </w:tcBorders>
          </w:tcPr>
          <w:p w:rsidR="00093EEB" w:rsidRPr="008848D4" w:rsidRDefault="00093EEB">
            <w:pPr>
              <w:spacing w:before="0"/>
              <w:rPr>
                <w:b/>
                <w:bCs/>
                <w:szCs w:val="24"/>
              </w:rPr>
            </w:pPr>
          </w:p>
        </w:tc>
      </w:tr>
      <w:tr w:rsidR="00093EEB" w:rsidRPr="008848D4">
        <w:trPr>
          <w:cantSplit/>
          <w:trHeight w:val="20"/>
        </w:trPr>
        <w:tc>
          <w:tcPr>
            <w:tcW w:w="6912" w:type="dxa"/>
            <w:tcBorders>
              <w:top w:val="single" w:sz="12" w:space="0" w:color="auto"/>
            </w:tcBorders>
          </w:tcPr>
          <w:p w:rsidR="00093EEB" w:rsidRPr="008848D4"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rsidR="00093EEB" w:rsidRPr="008848D4" w:rsidRDefault="00093EEB">
            <w:pPr>
              <w:spacing w:before="0"/>
              <w:rPr>
                <w:b/>
                <w:bCs/>
                <w:szCs w:val="24"/>
              </w:rPr>
            </w:pPr>
          </w:p>
        </w:tc>
      </w:tr>
      <w:tr w:rsidR="00093EEB" w:rsidRPr="008848D4" w:rsidTr="00BB35FA">
        <w:trPr>
          <w:cantSplit/>
          <w:trHeight w:val="255"/>
        </w:trPr>
        <w:tc>
          <w:tcPr>
            <w:tcW w:w="6912" w:type="dxa"/>
            <w:shd w:val="clear" w:color="auto" w:fill="auto"/>
          </w:tcPr>
          <w:p w:rsidR="00093EEB" w:rsidRPr="008848D4" w:rsidRDefault="00501AD5" w:rsidP="00BB35FA">
            <w:pPr>
              <w:tabs>
                <w:tab w:val="left" w:pos="1560"/>
                <w:tab w:val="left" w:pos="3544"/>
                <w:tab w:val="left" w:pos="3969"/>
              </w:tabs>
              <w:snapToGrid w:val="0"/>
              <w:spacing w:before="0"/>
              <w:rPr>
                <w:rFonts w:cs="Times"/>
                <w:b/>
                <w:szCs w:val="24"/>
              </w:rPr>
            </w:pPr>
            <w:bookmarkStart w:id="3" w:name="dnum" w:colFirst="1" w:colLast="1"/>
            <w:bookmarkStart w:id="4" w:name="dmeeting" w:colFirst="0" w:colLast="0"/>
            <w:r w:rsidRPr="008848D4">
              <w:rPr>
                <w:b/>
              </w:rPr>
              <w:t>Punto del orden del día</w:t>
            </w:r>
            <w:r w:rsidR="00707EFC" w:rsidRPr="008848D4">
              <w:rPr>
                <w:b/>
              </w:rPr>
              <w:t>: ADM 24</w:t>
            </w:r>
          </w:p>
        </w:tc>
        <w:tc>
          <w:tcPr>
            <w:tcW w:w="3261" w:type="dxa"/>
          </w:tcPr>
          <w:p w:rsidR="00093EEB" w:rsidRPr="008848D4" w:rsidRDefault="00093EEB" w:rsidP="00BB35FA">
            <w:pPr>
              <w:snapToGrid w:val="0"/>
              <w:spacing w:before="0"/>
              <w:rPr>
                <w:b/>
                <w:bCs/>
                <w:szCs w:val="24"/>
              </w:rPr>
            </w:pPr>
            <w:r w:rsidRPr="008848D4">
              <w:rPr>
                <w:b/>
                <w:bCs/>
                <w:szCs w:val="24"/>
              </w:rPr>
              <w:t>Documento C1</w:t>
            </w:r>
            <w:r w:rsidR="00C2727F" w:rsidRPr="008848D4">
              <w:rPr>
                <w:b/>
                <w:bCs/>
                <w:szCs w:val="24"/>
              </w:rPr>
              <w:t>9</w:t>
            </w:r>
            <w:r w:rsidRPr="008848D4">
              <w:rPr>
                <w:b/>
                <w:bCs/>
                <w:szCs w:val="24"/>
              </w:rPr>
              <w:t>/</w:t>
            </w:r>
            <w:r w:rsidR="00707EFC" w:rsidRPr="008848D4">
              <w:rPr>
                <w:b/>
                <w:bCs/>
                <w:szCs w:val="24"/>
              </w:rPr>
              <w:t>57</w:t>
            </w:r>
            <w:r w:rsidRPr="008848D4">
              <w:rPr>
                <w:b/>
                <w:bCs/>
                <w:szCs w:val="24"/>
              </w:rPr>
              <w:t>-S</w:t>
            </w:r>
          </w:p>
        </w:tc>
      </w:tr>
      <w:tr w:rsidR="00093EEB" w:rsidRPr="008848D4">
        <w:trPr>
          <w:cantSplit/>
          <w:trHeight w:val="20"/>
        </w:trPr>
        <w:tc>
          <w:tcPr>
            <w:tcW w:w="6912" w:type="dxa"/>
            <w:shd w:val="clear" w:color="auto" w:fill="auto"/>
          </w:tcPr>
          <w:p w:rsidR="00093EEB" w:rsidRPr="008848D4" w:rsidRDefault="00093EEB">
            <w:pPr>
              <w:shd w:val="solid" w:color="FFFFFF" w:fill="FFFFFF"/>
              <w:spacing w:before="0"/>
              <w:rPr>
                <w:smallCaps/>
                <w:szCs w:val="24"/>
              </w:rPr>
            </w:pPr>
            <w:bookmarkStart w:id="5" w:name="ddate" w:colFirst="1" w:colLast="1"/>
            <w:bookmarkEnd w:id="3"/>
            <w:bookmarkEnd w:id="4"/>
          </w:p>
        </w:tc>
        <w:tc>
          <w:tcPr>
            <w:tcW w:w="3261" w:type="dxa"/>
          </w:tcPr>
          <w:p w:rsidR="00093EEB" w:rsidRPr="008848D4" w:rsidRDefault="00707EFC" w:rsidP="00C2727F">
            <w:pPr>
              <w:spacing w:before="0"/>
              <w:rPr>
                <w:b/>
                <w:bCs/>
                <w:szCs w:val="24"/>
              </w:rPr>
            </w:pPr>
            <w:r w:rsidRPr="008848D4">
              <w:rPr>
                <w:b/>
                <w:bCs/>
                <w:szCs w:val="24"/>
              </w:rPr>
              <w:t>6 de mayo</w:t>
            </w:r>
            <w:r w:rsidR="00093EEB" w:rsidRPr="008848D4">
              <w:rPr>
                <w:b/>
                <w:bCs/>
                <w:szCs w:val="24"/>
              </w:rPr>
              <w:t xml:space="preserve"> de 201</w:t>
            </w:r>
            <w:r w:rsidR="00C2727F" w:rsidRPr="008848D4">
              <w:rPr>
                <w:b/>
                <w:bCs/>
                <w:szCs w:val="24"/>
              </w:rPr>
              <w:t>9</w:t>
            </w:r>
          </w:p>
        </w:tc>
      </w:tr>
      <w:tr w:rsidR="00093EEB" w:rsidRPr="008848D4">
        <w:trPr>
          <w:cantSplit/>
          <w:trHeight w:val="20"/>
        </w:trPr>
        <w:tc>
          <w:tcPr>
            <w:tcW w:w="6912" w:type="dxa"/>
            <w:shd w:val="clear" w:color="auto" w:fill="auto"/>
          </w:tcPr>
          <w:p w:rsidR="00093EEB" w:rsidRPr="008848D4" w:rsidRDefault="00093EEB">
            <w:pPr>
              <w:shd w:val="solid" w:color="FFFFFF" w:fill="FFFFFF"/>
              <w:spacing w:before="0"/>
              <w:rPr>
                <w:smallCaps/>
                <w:szCs w:val="24"/>
              </w:rPr>
            </w:pPr>
            <w:bookmarkStart w:id="6" w:name="dorlang" w:colFirst="1" w:colLast="1"/>
            <w:bookmarkEnd w:id="5"/>
          </w:p>
        </w:tc>
        <w:tc>
          <w:tcPr>
            <w:tcW w:w="3261" w:type="dxa"/>
          </w:tcPr>
          <w:p w:rsidR="00093EEB" w:rsidRPr="008848D4" w:rsidRDefault="00093EEB" w:rsidP="00093EEB">
            <w:pPr>
              <w:spacing w:before="0"/>
              <w:rPr>
                <w:b/>
                <w:bCs/>
                <w:szCs w:val="24"/>
              </w:rPr>
            </w:pPr>
            <w:r w:rsidRPr="008848D4">
              <w:rPr>
                <w:b/>
                <w:bCs/>
                <w:szCs w:val="24"/>
              </w:rPr>
              <w:t>Original: inglés</w:t>
            </w:r>
          </w:p>
        </w:tc>
      </w:tr>
      <w:tr w:rsidR="00093EEB" w:rsidRPr="008848D4">
        <w:trPr>
          <w:cantSplit/>
        </w:trPr>
        <w:tc>
          <w:tcPr>
            <w:tcW w:w="10173" w:type="dxa"/>
            <w:gridSpan w:val="2"/>
          </w:tcPr>
          <w:p w:rsidR="00093EEB" w:rsidRPr="008848D4" w:rsidRDefault="00501AD5" w:rsidP="0023273E">
            <w:pPr>
              <w:pStyle w:val="Source"/>
            </w:pPr>
            <w:bookmarkStart w:id="7" w:name="dsource" w:colFirst="0" w:colLast="0"/>
            <w:bookmarkEnd w:id="1"/>
            <w:bookmarkEnd w:id="6"/>
            <w:r w:rsidRPr="008848D4">
              <w:t>Informe del Secretario General</w:t>
            </w:r>
          </w:p>
        </w:tc>
      </w:tr>
      <w:tr w:rsidR="00093EEB" w:rsidRPr="008848D4">
        <w:trPr>
          <w:cantSplit/>
        </w:trPr>
        <w:tc>
          <w:tcPr>
            <w:tcW w:w="10173" w:type="dxa"/>
            <w:gridSpan w:val="2"/>
          </w:tcPr>
          <w:p w:rsidR="00093EEB" w:rsidRPr="008848D4" w:rsidRDefault="00501AD5" w:rsidP="00BB787F">
            <w:pPr>
              <w:pStyle w:val="Title1"/>
            </w:pPr>
            <w:bookmarkStart w:id="8" w:name="dtitle1" w:colFirst="0" w:colLast="0"/>
            <w:bookmarkEnd w:id="7"/>
            <w:r w:rsidRPr="008848D4">
              <w:t>estrategia relativa al personal y plan estratégico de recursos humanos (PERH) de la UIT para el periodo</w:t>
            </w:r>
            <w:r w:rsidR="009B6DB0" w:rsidRPr="008848D4">
              <w:t xml:space="preserve"> 2020-2023</w:t>
            </w:r>
          </w:p>
        </w:tc>
      </w:tr>
      <w:bookmarkEnd w:id="8"/>
    </w:tbl>
    <w:p w:rsidR="00093EEB" w:rsidRPr="008848D4" w:rsidRDefault="00093EEB"/>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8848D4">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8848D4" w:rsidRDefault="00093EEB" w:rsidP="00BB787F">
            <w:pPr>
              <w:pStyle w:val="Headingb"/>
            </w:pPr>
            <w:bookmarkStart w:id="9" w:name="_GoBack" w:colFirst="1" w:colLast="1"/>
            <w:r w:rsidRPr="008848D4">
              <w:t>Resumen</w:t>
            </w:r>
          </w:p>
          <w:p w:rsidR="009B6DB0" w:rsidRPr="008848D4" w:rsidRDefault="00501AD5" w:rsidP="000F3D35">
            <w:pPr>
              <w:spacing w:after="120"/>
              <w:jc w:val="both"/>
            </w:pPr>
            <w:r w:rsidRPr="008848D4">
              <w:t>La Conferencia de Plenipotenciarios de la UIT</w:t>
            </w:r>
            <w:r w:rsidR="009B6DB0" w:rsidRPr="008848D4">
              <w:t xml:space="preserve"> (Dub</w:t>
            </w:r>
            <w:r w:rsidRPr="008848D4">
              <w:t>á</w:t>
            </w:r>
            <w:r w:rsidR="009B6DB0" w:rsidRPr="008848D4">
              <w:t xml:space="preserve">i, 2018) </w:t>
            </w:r>
            <w:r w:rsidRPr="008848D4">
              <w:t xml:space="preserve">encargó al </w:t>
            </w:r>
            <w:r w:rsidR="009B6DB0" w:rsidRPr="008848D4">
              <w:t>Secretar</w:t>
            </w:r>
            <w:r w:rsidRPr="008848D4">
              <w:t xml:space="preserve">io </w:t>
            </w:r>
            <w:r w:rsidR="009B6DB0" w:rsidRPr="008848D4">
              <w:t xml:space="preserve">General que elabore y aplique, con la asistencia del Comité de Coordinación y en colaboración con las Oficinas Regionales, un </w:t>
            </w:r>
            <w:r w:rsidR="00ED36E2" w:rsidRPr="008848D4">
              <w:t>Plan Estratégico de Recursos Humanos (</w:t>
            </w:r>
            <w:r w:rsidR="009B6DB0" w:rsidRPr="008848D4">
              <w:t>PERH</w:t>
            </w:r>
            <w:r w:rsidR="00ED36E2" w:rsidRPr="008848D4">
              <w:t>)</w:t>
            </w:r>
            <w:r w:rsidR="009B6DB0" w:rsidRPr="008848D4">
              <w:t xml:space="preserve"> cuatrienal que se ajuste a los planes estratégico y financiero de la UIT para responder a las necesidades tanto de la Unión como de sus miembros y de su personal.</w:t>
            </w:r>
          </w:p>
          <w:p w:rsidR="00093EEB" w:rsidRPr="008848D4" w:rsidRDefault="00093EEB" w:rsidP="00BB787F">
            <w:pPr>
              <w:pStyle w:val="Headingb"/>
            </w:pPr>
            <w:r w:rsidRPr="008848D4">
              <w:t>Acción solicitada</w:t>
            </w:r>
          </w:p>
          <w:p w:rsidR="00093EEB" w:rsidRPr="008848D4" w:rsidRDefault="00501AD5" w:rsidP="00BB787F">
            <w:pPr>
              <w:pStyle w:val="Index1"/>
              <w:spacing w:after="120"/>
              <w:jc w:val="both"/>
              <w:rPr>
                <w:rFonts w:asciiTheme="minorHAnsi" w:hAnsiTheme="minorHAnsi"/>
              </w:rPr>
            </w:pPr>
            <w:bookmarkStart w:id="10" w:name="OLE_LINK3"/>
            <w:r w:rsidRPr="008848D4">
              <w:rPr>
                <w:rFonts w:asciiTheme="minorHAnsi" w:hAnsiTheme="minorHAnsi"/>
              </w:rPr>
              <w:t xml:space="preserve">De conformidad con </w:t>
            </w:r>
            <w:proofErr w:type="spellStart"/>
            <w:r w:rsidRPr="008848D4">
              <w:rPr>
                <w:rFonts w:asciiTheme="minorHAnsi" w:hAnsiTheme="minorHAnsi"/>
              </w:rPr>
              <w:t>el</w:t>
            </w:r>
            <w:proofErr w:type="spellEnd"/>
            <w:r w:rsidRPr="008848D4">
              <w:rPr>
                <w:rFonts w:asciiTheme="minorHAnsi" w:hAnsiTheme="minorHAnsi"/>
              </w:rPr>
              <w:t xml:space="preserve"> </w:t>
            </w:r>
            <w:r w:rsidRPr="008848D4">
              <w:rPr>
                <w:rFonts w:asciiTheme="minorHAnsi" w:hAnsiTheme="minorHAnsi"/>
                <w:i/>
                <w:iCs/>
              </w:rPr>
              <w:t>encarga al Consejo</w:t>
            </w:r>
            <w:r w:rsidR="009B6DB0" w:rsidRPr="008848D4">
              <w:rPr>
                <w:rFonts w:asciiTheme="minorHAnsi" w:hAnsiTheme="minorHAnsi"/>
                <w:i/>
                <w:iCs/>
              </w:rPr>
              <w:t xml:space="preserve"> 1</w:t>
            </w:r>
            <w:r w:rsidR="009B6DB0" w:rsidRPr="008848D4">
              <w:rPr>
                <w:rFonts w:asciiTheme="minorHAnsi" w:hAnsiTheme="minorHAnsi"/>
              </w:rPr>
              <w:t xml:space="preserve"> </w:t>
            </w:r>
            <w:r w:rsidRPr="008848D4">
              <w:rPr>
                <w:rFonts w:asciiTheme="minorHAnsi" w:hAnsiTheme="minorHAnsi"/>
              </w:rPr>
              <w:t>de la Resolución 48 de la</w:t>
            </w:r>
            <w:r w:rsidR="009B6DB0" w:rsidRPr="008848D4">
              <w:rPr>
                <w:rFonts w:asciiTheme="minorHAnsi" w:hAnsiTheme="minorHAnsi"/>
              </w:rPr>
              <w:t xml:space="preserve"> PP</w:t>
            </w:r>
            <w:r w:rsidRPr="008848D4">
              <w:rPr>
                <w:rFonts w:asciiTheme="minorHAnsi" w:hAnsiTheme="minorHAnsi"/>
              </w:rPr>
              <w:t xml:space="preserve">, se invita al </w:t>
            </w:r>
            <w:r w:rsidR="00653D56" w:rsidRPr="008848D4">
              <w:rPr>
                <w:rFonts w:asciiTheme="minorHAnsi" w:hAnsiTheme="minorHAnsi"/>
              </w:rPr>
              <w:t>Consejo</w:t>
            </w:r>
            <w:r w:rsidRPr="008848D4">
              <w:rPr>
                <w:rFonts w:asciiTheme="minorHAnsi" w:hAnsiTheme="minorHAnsi"/>
              </w:rPr>
              <w:t xml:space="preserve"> a </w:t>
            </w:r>
            <w:r w:rsidRPr="008848D4">
              <w:rPr>
                <w:rFonts w:asciiTheme="minorHAnsi" w:hAnsiTheme="minorHAnsi"/>
                <w:b/>
                <w:bCs/>
              </w:rPr>
              <w:t>examinar y aprobar</w:t>
            </w:r>
            <w:bookmarkEnd w:id="10"/>
            <w:r w:rsidR="009B6DB0" w:rsidRPr="008848D4">
              <w:rPr>
                <w:rFonts w:asciiTheme="minorHAnsi" w:hAnsiTheme="minorHAnsi"/>
              </w:rPr>
              <w:t xml:space="preserve"> </w:t>
            </w:r>
            <w:r w:rsidRPr="008848D4">
              <w:rPr>
                <w:rFonts w:asciiTheme="minorHAnsi" w:hAnsiTheme="minorHAnsi"/>
              </w:rPr>
              <w:t>el Plan Estratégico de Recursos Humanos propuesto</w:t>
            </w:r>
            <w:r w:rsidR="009B6DB0" w:rsidRPr="008848D4">
              <w:rPr>
                <w:rFonts w:asciiTheme="minorHAnsi" w:hAnsiTheme="minorHAnsi"/>
              </w:rPr>
              <w:t>.</w:t>
            </w:r>
          </w:p>
          <w:p w:rsidR="00093EEB" w:rsidRPr="008848D4" w:rsidRDefault="00093EEB" w:rsidP="00BB787F">
            <w:pPr>
              <w:pStyle w:val="Table"/>
              <w:keepNext w:val="0"/>
              <w:spacing w:before="0" w:after="0"/>
              <w:rPr>
                <w:caps w:val="0"/>
                <w:sz w:val="22"/>
                <w:lang w:val="es-ES_tradnl"/>
              </w:rPr>
            </w:pPr>
            <w:r w:rsidRPr="008848D4">
              <w:rPr>
                <w:caps w:val="0"/>
                <w:sz w:val="22"/>
                <w:lang w:val="es-ES_tradnl"/>
              </w:rPr>
              <w:t>____________</w:t>
            </w:r>
          </w:p>
          <w:p w:rsidR="00093EEB" w:rsidRPr="008848D4" w:rsidRDefault="00093EEB" w:rsidP="00BB787F">
            <w:pPr>
              <w:pStyle w:val="Headingb"/>
            </w:pPr>
            <w:r w:rsidRPr="008848D4">
              <w:t>Referencia</w:t>
            </w:r>
          </w:p>
          <w:p w:rsidR="00093EEB" w:rsidRPr="008848D4" w:rsidRDefault="006448F0" w:rsidP="00BB787F">
            <w:pPr>
              <w:spacing w:after="120"/>
              <w:rPr>
                <w:i/>
                <w:iCs/>
              </w:rPr>
            </w:pPr>
            <w:hyperlink r:id="rId9" w:history="1">
              <w:r w:rsidR="009B6DB0" w:rsidRPr="008848D4">
                <w:rPr>
                  <w:rStyle w:val="Hyperlink"/>
                  <w:rFonts w:asciiTheme="minorHAnsi" w:hAnsiTheme="minorHAnsi"/>
                  <w:bCs/>
                  <w:i/>
                  <w:iCs/>
                  <w:szCs w:val="24"/>
                </w:rPr>
                <w:t>Resolu</w:t>
              </w:r>
              <w:r w:rsidR="00501AD5" w:rsidRPr="008848D4">
                <w:rPr>
                  <w:rStyle w:val="Hyperlink"/>
                  <w:rFonts w:asciiTheme="minorHAnsi" w:hAnsiTheme="minorHAnsi"/>
                  <w:bCs/>
                  <w:i/>
                  <w:iCs/>
                  <w:szCs w:val="24"/>
                </w:rPr>
                <w:t>ción</w:t>
              </w:r>
              <w:r w:rsidR="009B6DB0" w:rsidRPr="008848D4">
                <w:rPr>
                  <w:rStyle w:val="Hyperlink"/>
                  <w:rFonts w:asciiTheme="minorHAnsi" w:hAnsiTheme="minorHAnsi"/>
                  <w:bCs/>
                  <w:i/>
                  <w:iCs/>
                  <w:szCs w:val="24"/>
                </w:rPr>
                <w:t xml:space="preserve"> 48 (Rev. Dub</w:t>
              </w:r>
              <w:r w:rsidR="00501AD5" w:rsidRPr="008848D4">
                <w:rPr>
                  <w:rStyle w:val="Hyperlink"/>
                  <w:rFonts w:asciiTheme="minorHAnsi" w:hAnsiTheme="minorHAnsi"/>
                  <w:bCs/>
                  <w:i/>
                  <w:iCs/>
                  <w:szCs w:val="24"/>
                </w:rPr>
                <w:t>á</w:t>
              </w:r>
              <w:r w:rsidR="009B6DB0" w:rsidRPr="008848D4">
                <w:rPr>
                  <w:rStyle w:val="Hyperlink"/>
                  <w:rFonts w:asciiTheme="minorHAnsi" w:hAnsiTheme="minorHAnsi"/>
                  <w:bCs/>
                  <w:i/>
                  <w:iCs/>
                  <w:szCs w:val="24"/>
                </w:rPr>
                <w:t>i, 2018)</w:t>
              </w:r>
            </w:hyperlink>
          </w:p>
        </w:tc>
      </w:tr>
      <w:bookmarkEnd w:id="9"/>
    </w:tbl>
    <w:p w:rsidR="009B6DB0" w:rsidRPr="008848D4" w:rsidRDefault="009B6DB0">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Bidi"/>
          <w:b/>
          <w:sz w:val="22"/>
          <w:szCs w:val="22"/>
        </w:rPr>
      </w:pPr>
      <w:r w:rsidRPr="008848D4">
        <w:rPr>
          <w:rFonts w:asciiTheme="minorHAnsi" w:hAnsiTheme="minorHAnsi" w:cstheme="minorBidi"/>
          <w:b/>
          <w:sz w:val="22"/>
          <w:szCs w:val="22"/>
        </w:rPr>
        <w:br w:type="page"/>
      </w:r>
    </w:p>
    <w:p w:rsidR="009B6DB0" w:rsidRPr="008848D4" w:rsidRDefault="009B6DB0" w:rsidP="009B6DB0">
      <w:pPr>
        <w:spacing w:before="0"/>
        <w:jc w:val="center"/>
        <w:rPr>
          <w:rFonts w:asciiTheme="minorHAnsi" w:hAnsiTheme="minorHAnsi" w:cstheme="minorBidi"/>
          <w:b/>
          <w:sz w:val="22"/>
          <w:szCs w:val="22"/>
        </w:rPr>
      </w:pPr>
    </w:p>
    <w:p w:rsidR="009B6DB0" w:rsidRPr="008848D4" w:rsidRDefault="00653D56" w:rsidP="00653D56">
      <w:pPr>
        <w:spacing w:before="240" w:after="360"/>
        <w:jc w:val="center"/>
        <w:rPr>
          <w:rFonts w:asciiTheme="minorHAnsi" w:hAnsiTheme="minorHAnsi"/>
          <w:b/>
          <w:bCs/>
          <w:sz w:val="28"/>
          <w:szCs w:val="28"/>
        </w:rPr>
      </w:pPr>
      <w:r w:rsidRPr="008848D4">
        <w:rPr>
          <w:rFonts w:asciiTheme="minorHAnsi" w:hAnsiTheme="minorHAnsi"/>
          <w:b/>
          <w:bCs/>
          <w:sz w:val="28"/>
          <w:szCs w:val="28"/>
        </w:rPr>
        <w:t>Antecedentes</w:t>
      </w:r>
    </w:p>
    <w:p w:rsidR="009B6DB0" w:rsidRPr="008848D4" w:rsidRDefault="00766C17" w:rsidP="000F3D35">
      <w:r w:rsidRPr="008848D4">
        <w:t>1</w:t>
      </w:r>
      <w:r w:rsidRPr="008848D4">
        <w:tab/>
      </w:r>
      <w:r w:rsidR="00ED36E2" w:rsidRPr="008848D4">
        <w:t>La Conferencia de Plenipotenciarios de la UIT</w:t>
      </w:r>
      <w:r w:rsidR="009B6DB0" w:rsidRPr="008848D4">
        <w:t xml:space="preserve"> (PP) (Dub</w:t>
      </w:r>
      <w:r w:rsidR="00ED36E2" w:rsidRPr="008848D4">
        <w:t>á</w:t>
      </w:r>
      <w:r w:rsidR="009B6DB0" w:rsidRPr="008848D4">
        <w:t xml:space="preserve">i, 2018) </w:t>
      </w:r>
      <w:r w:rsidR="00ED36E2" w:rsidRPr="008848D4">
        <w:t>encargó al Secretario General de la UIT que elabore y aplique, con la asistencia del Comité de Coordinación y en colaboración con las Oficinas Regionales, un Plan Estratégico de Recursos Humanos (PERH) cuatrienal que se ajuste a los planes estratégico y financiero de la UIT para responder a las necesidades tanto de la Unión como de sus miembros y de su personal</w:t>
      </w:r>
      <w:r w:rsidR="000F3D35" w:rsidRPr="008848D4">
        <w:rPr>
          <w:rFonts w:eastAsia="Calibri"/>
          <w:vertAlign w:val="superscript"/>
        </w:rPr>
        <w:footnoteReference w:id="1"/>
      </w:r>
      <w:r w:rsidR="009B6DB0" w:rsidRPr="008848D4">
        <w:t>.</w:t>
      </w:r>
    </w:p>
    <w:p w:rsidR="009B6DB0" w:rsidRPr="008848D4" w:rsidRDefault="00766C17" w:rsidP="00766C17">
      <w:r w:rsidRPr="008848D4">
        <w:t>2</w:t>
      </w:r>
      <w:r w:rsidRPr="008848D4">
        <w:tab/>
      </w:r>
      <w:r w:rsidR="00ED36E2" w:rsidRPr="008848D4">
        <w:t>Así, el Departamento de Gestión de Recursos Humanos</w:t>
      </w:r>
      <w:r w:rsidR="009B6DB0" w:rsidRPr="008848D4">
        <w:t xml:space="preserve"> (HRMD) ha</w:t>
      </w:r>
      <w:r w:rsidR="00ED36E2" w:rsidRPr="008848D4">
        <w:t xml:space="preserve"> tomado la iniciativa en el asesoramiento del Secretario General de </w:t>
      </w:r>
      <w:r w:rsidR="000F3D35" w:rsidRPr="008848D4">
        <w:t>l</w:t>
      </w:r>
      <w:r w:rsidR="00ED36E2" w:rsidRPr="008848D4">
        <w:t>a UIT sobre el formato, el diseño y la aplicación del PERH a fin de responder a las cuestiones reflejadas en la Resolución</w:t>
      </w:r>
      <w:r w:rsidR="009B6DB0" w:rsidRPr="008848D4">
        <w:t xml:space="preserve"> 48 (Rev. Dub</w:t>
      </w:r>
      <w:r w:rsidR="00ED36E2" w:rsidRPr="008848D4">
        <w:t>á</w:t>
      </w:r>
      <w:r w:rsidR="009B6DB0" w:rsidRPr="008848D4">
        <w:t xml:space="preserve">i, 2018), </w:t>
      </w:r>
      <w:r w:rsidR="00ED36E2" w:rsidRPr="008848D4">
        <w:t>en particular su Anexo 1, basándose en las prioridades identificadas para ejecutar el Plan Estratégico de la UIT de acuerdo con el Plan Financiero de la UIT para</w:t>
      </w:r>
      <w:r w:rsidR="009B6DB0" w:rsidRPr="008848D4">
        <w:t xml:space="preserve"> 2020-2023.</w:t>
      </w:r>
    </w:p>
    <w:p w:rsidR="009B6DB0" w:rsidRPr="008848D4" w:rsidRDefault="00766C17" w:rsidP="00766C17">
      <w:pPr>
        <w:rPr>
          <w:rFonts w:eastAsia="Calibri"/>
        </w:rPr>
      </w:pPr>
      <w:r w:rsidRPr="008848D4">
        <w:t>3</w:t>
      </w:r>
      <w:r w:rsidRPr="008848D4">
        <w:tab/>
      </w:r>
      <w:r w:rsidR="00ED36E2" w:rsidRPr="008848D4">
        <w:t xml:space="preserve">La primera adoptada para crear el PERH ha sido la elaboración de una </w:t>
      </w:r>
      <w:r w:rsidR="00ED36E2" w:rsidRPr="008848D4">
        <w:rPr>
          <w:b/>
          <w:bCs/>
        </w:rPr>
        <w:t xml:space="preserve">Estrategia </w:t>
      </w:r>
      <w:r w:rsidR="00653D56" w:rsidRPr="008848D4">
        <w:rPr>
          <w:b/>
          <w:bCs/>
        </w:rPr>
        <w:t>relativa</w:t>
      </w:r>
      <w:r w:rsidR="00ED36E2" w:rsidRPr="008848D4">
        <w:rPr>
          <w:b/>
          <w:bCs/>
        </w:rPr>
        <w:t xml:space="preserve"> al personal de la UIT (Anexo 1 al presente documento), </w:t>
      </w:r>
      <w:r w:rsidR="00ED36E2" w:rsidRPr="008848D4">
        <w:rPr>
          <w:b/>
          <w:bCs/>
          <w:i/>
          <w:iCs/>
        </w:rPr>
        <w:t>que sirve de base para el proceso</w:t>
      </w:r>
      <w:r w:rsidR="009B6DB0" w:rsidRPr="008848D4">
        <w:t xml:space="preserve">. </w:t>
      </w:r>
      <w:r w:rsidR="00ED36E2" w:rsidRPr="008848D4">
        <w:t xml:space="preserve">La </w:t>
      </w:r>
      <w:r w:rsidR="00D61CB7" w:rsidRPr="008848D4">
        <w:rPr>
          <w:rFonts w:eastAsia="Calibri"/>
        </w:rPr>
        <w:t>Estrategia relativa al personal de la UIT</w:t>
      </w:r>
      <w:r w:rsidR="009B6DB0" w:rsidRPr="008848D4">
        <w:rPr>
          <w:rFonts w:eastAsia="Calibri"/>
        </w:rPr>
        <w:t xml:space="preserve"> </w:t>
      </w:r>
      <w:r w:rsidR="00ED36E2" w:rsidRPr="008848D4">
        <w:rPr>
          <w:rFonts w:eastAsia="Calibri"/>
        </w:rPr>
        <w:t>se ha creado:</w:t>
      </w:r>
    </w:p>
    <w:p w:rsidR="00D61CB7" w:rsidRPr="008848D4" w:rsidRDefault="004F5693" w:rsidP="000C762C">
      <w:pPr>
        <w:pStyle w:val="enumlev1"/>
        <w:rPr>
          <w:rFonts w:eastAsia="Calibri"/>
        </w:rPr>
      </w:pPr>
      <w:r w:rsidRPr="008848D4">
        <w:rPr>
          <w:rFonts w:eastAsia="Calibri"/>
        </w:rPr>
        <w:t>a)</w:t>
      </w:r>
      <w:r w:rsidRPr="008848D4">
        <w:rPr>
          <w:rFonts w:eastAsia="Calibri"/>
        </w:rPr>
        <w:tab/>
      </w:r>
      <w:r w:rsidR="00D61CB7" w:rsidRPr="008848D4">
        <w:rPr>
          <w:rFonts w:eastAsia="Calibri"/>
        </w:rPr>
        <w:t>haciendo referencia a la documentación existente del régimen común de las Naciones Unidas</w:t>
      </w:r>
      <w:r w:rsidR="000C762C" w:rsidRPr="008848D4">
        <w:rPr>
          <w:rStyle w:val="FootnoteReference"/>
          <w:rFonts w:eastAsia="Calibri"/>
        </w:rPr>
        <w:footnoteReference w:id="2"/>
      </w:r>
      <w:r w:rsidR="00D61CB7" w:rsidRPr="008848D4">
        <w:rPr>
          <w:rFonts w:eastAsia="Calibri"/>
        </w:rPr>
        <w:t xml:space="preserve">, la </w:t>
      </w:r>
      <w:r w:rsidR="00ED36E2" w:rsidRPr="008848D4">
        <w:rPr>
          <w:rFonts w:eastAsia="Calibri"/>
        </w:rPr>
        <w:t>PP</w:t>
      </w:r>
      <w:r w:rsidR="000C762C" w:rsidRPr="008848D4">
        <w:rPr>
          <w:rStyle w:val="FootnoteReference"/>
          <w:rFonts w:eastAsia="Calibri"/>
        </w:rPr>
        <w:footnoteReference w:id="3"/>
      </w:r>
      <w:r w:rsidR="00D61CB7" w:rsidRPr="008848D4">
        <w:rPr>
          <w:rFonts w:eastAsia="Calibri"/>
        </w:rPr>
        <w:t>, el Consejo</w:t>
      </w:r>
      <w:r w:rsidR="000C762C" w:rsidRPr="008848D4">
        <w:rPr>
          <w:rStyle w:val="FootnoteReference"/>
          <w:rFonts w:eastAsia="Calibri"/>
        </w:rPr>
        <w:footnoteReference w:id="4"/>
      </w:r>
      <w:r w:rsidR="00D61CB7" w:rsidRPr="008848D4">
        <w:rPr>
          <w:rFonts w:eastAsia="Calibri"/>
        </w:rPr>
        <w:t xml:space="preserve"> y el Grupo de Coordinación de la Gestión</w:t>
      </w:r>
      <w:r w:rsidR="00ED36E2" w:rsidRPr="008848D4">
        <w:rPr>
          <w:rFonts w:eastAsia="Calibri"/>
        </w:rPr>
        <w:t xml:space="preserve"> (GCG)</w:t>
      </w:r>
      <w:r w:rsidR="00D61CB7" w:rsidRPr="008848D4">
        <w:rPr>
          <w:rFonts w:eastAsia="Calibri"/>
        </w:rPr>
        <w:t xml:space="preserve">; </w:t>
      </w:r>
      <w:r w:rsidR="00ED36E2" w:rsidRPr="008848D4">
        <w:rPr>
          <w:rFonts w:eastAsia="Calibri"/>
        </w:rPr>
        <w:t>las recomendaciones formuladas por los auditores interno y externo</w:t>
      </w:r>
      <w:r w:rsidR="000C762C" w:rsidRPr="008848D4">
        <w:rPr>
          <w:rStyle w:val="FootnoteReference"/>
          <w:rFonts w:eastAsia="Calibri"/>
        </w:rPr>
        <w:footnoteReference w:id="5"/>
      </w:r>
      <w:r w:rsidR="00D61CB7" w:rsidRPr="008848D4">
        <w:rPr>
          <w:rFonts w:eastAsia="Calibri"/>
        </w:rPr>
        <w:t xml:space="preserve">; </w:t>
      </w:r>
      <w:r w:rsidR="00ED36E2" w:rsidRPr="008848D4">
        <w:rPr>
          <w:rFonts w:eastAsia="Calibri"/>
        </w:rPr>
        <w:t>el marco de la Comisión de la Administración Pública Internacional</w:t>
      </w:r>
      <w:r w:rsidR="000C762C" w:rsidRPr="008848D4">
        <w:rPr>
          <w:rStyle w:val="FootnoteReference"/>
          <w:rFonts w:eastAsia="Calibri"/>
        </w:rPr>
        <w:footnoteReference w:id="6"/>
      </w:r>
      <w:r w:rsidR="00ED36E2" w:rsidRPr="008848D4">
        <w:rPr>
          <w:rFonts w:eastAsia="Calibri"/>
        </w:rPr>
        <w:t xml:space="preserve">, </w:t>
      </w:r>
      <w:r w:rsidR="00ED36E2" w:rsidRPr="008848D4">
        <w:rPr>
          <w:rFonts w:eastAsia="Calibri"/>
        </w:rPr>
        <w:lastRenderedPageBreak/>
        <w:t>y</w:t>
      </w:r>
      <w:r w:rsidR="00D61CB7" w:rsidRPr="008848D4">
        <w:rPr>
          <w:rFonts w:eastAsia="Calibri"/>
        </w:rPr>
        <w:t xml:space="preserve"> la evaluación comparativa de las estrategias en materia de recursos humanos de otras organizaciones internacionales.</w:t>
      </w:r>
    </w:p>
    <w:p w:rsidR="009B6DB0" w:rsidRPr="008848D4" w:rsidRDefault="004F5693" w:rsidP="004F5693">
      <w:pPr>
        <w:pStyle w:val="enumlev1"/>
        <w:rPr>
          <w:rFonts w:eastAsia="Calibri"/>
          <w:lang w:bidi="en-US"/>
        </w:rPr>
      </w:pPr>
      <w:r w:rsidRPr="008848D4">
        <w:rPr>
          <w:rFonts w:eastAsia="Calibri"/>
        </w:rPr>
        <w:t>b)</w:t>
      </w:r>
      <w:r w:rsidRPr="008848D4">
        <w:rPr>
          <w:rFonts w:eastAsia="Calibri"/>
        </w:rPr>
        <w:tab/>
      </w:r>
      <w:r w:rsidR="005C5032" w:rsidRPr="008848D4">
        <w:rPr>
          <w:rFonts w:eastAsia="Calibri"/>
        </w:rPr>
        <w:t>Teniendo en cuenta cualquier otro factor interno o externo que influye en la gestión de los recursos humanos</w:t>
      </w:r>
      <w:r w:rsidR="00340ABA" w:rsidRPr="008848D4">
        <w:rPr>
          <w:rFonts w:eastAsia="Calibri"/>
        </w:rPr>
        <w:t>, entre los que se cuentan la Agenda</w:t>
      </w:r>
      <w:r w:rsidR="009B6DB0" w:rsidRPr="008848D4">
        <w:rPr>
          <w:rFonts w:eastAsia="Calibri"/>
        </w:rPr>
        <w:t xml:space="preserve"> 2030 </w:t>
      </w:r>
      <w:r w:rsidR="00340ABA" w:rsidRPr="008848D4">
        <w:rPr>
          <w:rFonts w:eastAsia="Calibri"/>
        </w:rPr>
        <w:t>para el Desarrollo Sostenible, las prioridades del Plan Estratégico de la UIT para</w:t>
      </w:r>
      <w:r w:rsidR="009B6DB0" w:rsidRPr="008848D4">
        <w:rPr>
          <w:rFonts w:eastAsia="Calibri"/>
        </w:rPr>
        <w:t xml:space="preserve"> 2020-2023</w:t>
      </w:r>
      <w:r w:rsidR="00340ABA" w:rsidRPr="008848D4">
        <w:rPr>
          <w:rFonts w:eastAsia="Calibri"/>
        </w:rPr>
        <w:t>, el contexto político nacional e internacional, las tendencias en capital humano y las prácticas idóneas internacionales en materia de recursos humanos</w:t>
      </w:r>
      <w:r w:rsidR="009B6DB0" w:rsidRPr="008848D4">
        <w:rPr>
          <w:rFonts w:eastAsia="Calibri"/>
        </w:rPr>
        <w:t>.</w:t>
      </w:r>
    </w:p>
    <w:p w:rsidR="009B6DB0" w:rsidRPr="008848D4" w:rsidRDefault="004F5693" w:rsidP="004F5693">
      <w:pPr>
        <w:rPr>
          <w:rFonts w:eastAsia="Calibri"/>
        </w:rPr>
      </w:pPr>
      <w:r w:rsidRPr="008848D4">
        <w:rPr>
          <w:rFonts w:eastAsia="Calibri"/>
        </w:rPr>
        <w:t>4</w:t>
      </w:r>
      <w:r w:rsidRPr="008848D4">
        <w:rPr>
          <w:rFonts w:eastAsia="Calibri"/>
        </w:rPr>
        <w:tab/>
      </w:r>
      <w:r w:rsidR="001A503C" w:rsidRPr="008848D4">
        <w:rPr>
          <w:rFonts w:eastAsia="Calibri"/>
        </w:rPr>
        <w:t>La Estrategia relativa al personal de la UIT es prospectiva y equilibra las actuales necesidades operativas de la UIT con las prioridades a largo plazo. La UIT se esforzará por crear una cultura de excelencia y profesionalismo con la que el personal se sienta seguro, escuchado y respetado</w:t>
      </w:r>
      <w:r w:rsidRPr="008848D4">
        <w:rPr>
          <w:rFonts w:eastAsia="Calibri"/>
        </w:rPr>
        <w:t>.</w:t>
      </w:r>
    </w:p>
    <w:p w:rsidR="009B6DB0" w:rsidRPr="008848D4" w:rsidRDefault="004F5693" w:rsidP="004F5693">
      <w:pPr>
        <w:rPr>
          <w:rFonts w:eastAsia="Calibri"/>
        </w:rPr>
      </w:pPr>
      <w:r w:rsidRPr="008848D4">
        <w:t>5</w:t>
      </w:r>
      <w:r w:rsidRPr="008848D4">
        <w:tab/>
      </w:r>
      <w:r w:rsidR="001A503C" w:rsidRPr="008848D4">
        <w:t xml:space="preserve">Basándose en la Estrategia relativa al personal de la UIT, </w:t>
      </w:r>
      <w:r w:rsidR="00351912" w:rsidRPr="008848D4">
        <w:t xml:space="preserve">el Departamento de Gestión de Recursos Humanos </w:t>
      </w:r>
      <w:r w:rsidR="001A503C" w:rsidRPr="008848D4">
        <w:t>ha celebrado</w:t>
      </w:r>
      <w:r w:rsidR="00351912" w:rsidRPr="008848D4">
        <w:t xml:space="preserve"> consultas con las Oficinas, los Departamentos de la Secretaría General y el Consejo del Personal a fin de traducir las prioridades y los objetivos de la </w:t>
      </w:r>
      <w:r w:rsidR="001A503C" w:rsidRPr="008848D4">
        <w:t>E</w:t>
      </w:r>
      <w:r w:rsidR="00351912" w:rsidRPr="008848D4">
        <w:t xml:space="preserve">strategia relativa al personal de la UIT </w:t>
      </w:r>
      <w:r w:rsidR="001A503C" w:rsidRPr="008848D4">
        <w:t xml:space="preserve">(Pilares 1, 2, 3 y 4 descritos en la Sección 5 de la Estrategia relativa al personal de la UIT anexa) </w:t>
      </w:r>
      <w:r w:rsidR="00351912" w:rsidRPr="008848D4">
        <w:t xml:space="preserve">en un </w:t>
      </w:r>
      <w:r w:rsidR="00351912" w:rsidRPr="008848D4">
        <w:rPr>
          <w:b/>
          <w:bCs/>
        </w:rPr>
        <w:t>PERH</w:t>
      </w:r>
      <w:r w:rsidR="001A503C" w:rsidRPr="008848D4">
        <w:rPr>
          <w:b/>
          <w:bCs/>
        </w:rPr>
        <w:t xml:space="preserve"> (Anexo 2 al presente documento)</w:t>
      </w:r>
      <w:r w:rsidR="00351912" w:rsidRPr="008848D4">
        <w:t xml:space="preserve"> basado en las necesidades específicas de l</w:t>
      </w:r>
      <w:r w:rsidR="001A503C" w:rsidRPr="008848D4">
        <w:t>as Oficinas y Departamentos de la Secretaría General y conforme con las prioridades y objetivos globales de la UIT</w:t>
      </w:r>
      <w:r w:rsidR="00351912" w:rsidRPr="008848D4">
        <w:t>.</w:t>
      </w:r>
    </w:p>
    <w:p w:rsidR="009B6DB0" w:rsidRPr="008848D4" w:rsidRDefault="004F5693" w:rsidP="000C762C">
      <w:r w:rsidRPr="008848D4">
        <w:t>6</w:t>
      </w:r>
      <w:r w:rsidRPr="008848D4">
        <w:tab/>
      </w:r>
      <w:r w:rsidR="001A503C" w:rsidRPr="008848D4">
        <w:t>Las consultas adoptaron la forma de una amplia comunicación mediante memorandos y presentaciones de la nueva Estrategia relativa al personal de la UIT, así como sobre la posible estructura y contenido del PERH. Tras dichas presentaciones, se pidió a cada Oficina</w:t>
      </w:r>
      <w:r w:rsidR="000C762C" w:rsidRPr="008848D4">
        <w:rPr>
          <w:rStyle w:val="FootnoteReference"/>
        </w:rPr>
        <w:footnoteReference w:id="7"/>
      </w:r>
      <w:r w:rsidR="001A503C" w:rsidRPr="008848D4">
        <w:t>,</w:t>
      </w:r>
      <w:r w:rsidR="009B6DB0" w:rsidRPr="008848D4">
        <w:t xml:space="preserve"> Depart</w:t>
      </w:r>
      <w:r w:rsidR="001A503C" w:rsidRPr="008848D4">
        <w:t>a</w:t>
      </w:r>
      <w:r w:rsidR="009B6DB0" w:rsidRPr="008848D4">
        <w:t>ment</w:t>
      </w:r>
      <w:r w:rsidR="001A503C" w:rsidRPr="008848D4">
        <w:t xml:space="preserve">o de la Secretaría General y al Consejo de Personal que aportase su contribución tanto sobre la parte expositiva de la Estrategia relativa al personal de la UIT como </w:t>
      </w:r>
      <w:r w:rsidR="009B6DB0" w:rsidRPr="008848D4">
        <w:t>s</w:t>
      </w:r>
      <w:r w:rsidR="001A503C" w:rsidRPr="008848D4">
        <w:t>obre las necesidades específicas que han de quedar reflejadas en el PERH</w:t>
      </w:r>
      <w:r w:rsidR="000C762C" w:rsidRPr="008848D4">
        <w:t>.</w:t>
      </w:r>
    </w:p>
    <w:p w:rsidR="009B6DB0" w:rsidRPr="008848D4" w:rsidRDefault="004F5693" w:rsidP="00320391">
      <w:r w:rsidRPr="008848D4">
        <w:t>7</w:t>
      </w:r>
      <w:r w:rsidRPr="008848D4">
        <w:tab/>
      </w:r>
      <w:r w:rsidR="001A503C" w:rsidRPr="008848D4">
        <w:t>Las contribuciones facilitadas por las Oficinas, los Departamentos de la Secretaría General y el Consejo de Personal se han traducido en este PERH de alto nivel. Si bien el proceso consultivo llevado a cabo con las Oficinas y Departamentos de la Secretaría General tenía por objetivo la identificación de las necesidades concretas</w:t>
      </w:r>
      <w:r w:rsidR="00530780" w:rsidRPr="008848D4">
        <w:t xml:space="preserve"> de un enfoque pormenorizado, el propósito del PERH es llevar a cabo las funciones de RH de la Organización en tanto que </w:t>
      </w:r>
      <w:r w:rsidR="00320391" w:rsidRPr="008848D4">
        <w:t>"Una UIT"</w:t>
      </w:r>
      <w:r w:rsidR="00530780" w:rsidRPr="008848D4">
        <w:t xml:space="preserve">. Esta era una de las más firmes recomendaciones de los interesados internos, cuyo resultado es </w:t>
      </w:r>
      <w:r w:rsidR="000C762C" w:rsidRPr="008848D4">
        <w:t>"</w:t>
      </w:r>
      <w:r w:rsidR="00530780" w:rsidRPr="008848D4">
        <w:t>Un PERH</w:t>
      </w:r>
      <w:r w:rsidR="000C762C" w:rsidRPr="008848D4">
        <w:t>"</w:t>
      </w:r>
      <w:r w:rsidR="009B6DB0" w:rsidRPr="008848D4">
        <w:t xml:space="preserve">. </w:t>
      </w:r>
    </w:p>
    <w:p w:rsidR="009B6DB0" w:rsidRPr="008848D4" w:rsidRDefault="009B6DB0" w:rsidP="009B6DB0">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Bidi"/>
          <w:bCs/>
        </w:rPr>
      </w:pPr>
      <w:r w:rsidRPr="008848D4">
        <w:rPr>
          <w:rFonts w:asciiTheme="minorHAnsi" w:hAnsiTheme="minorHAnsi" w:cstheme="minorBidi"/>
          <w:bCs/>
        </w:rPr>
        <w:lastRenderedPageBreak/>
        <w:br w:type="page"/>
      </w:r>
    </w:p>
    <w:p w:rsidR="009B6DB0" w:rsidRPr="008848D4" w:rsidRDefault="009B6DB0" w:rsidP="004F5693">
      <w:pPr>
        <w:pStyle w:val="AnnexNo"/>
      </w:pPr>
      <w:r w:rsidRPr="008848D4">
        <w:lastRenderedPageBreak/>
        <w:t>Anex</w:t>
      </w:r>
      <w:r w:rsidR="0081401C" w:rsidRPr="008848D4">
        <w:t>O</w:t>
      </w:r>
      <w:r w:rsidRPr="008848D4">
        <w:t xml:space="preserve"> 1</w:t>
      </w:r>
    </w:p>
    <w:p w:rsidR="009B6DB0" w:rsidRPr="008848D4" w:rsidRDefault="0081401C" w:rsidP="004F5693">
      <w:pPr>
        <w:pStyle w:val="Annextitle"/>
      </w:pPr>
      <w:r w:rsidRPr="008848D4">
        <w:t>Estrategia relativa al personal de la UIT para</w:t>
      </w:r>
      <w:r w:rsidR="009B6DB0" w:rsidRPr="008848D4">
        <w:t xml:space="preserve"> 2020-2023</w:t>
      </w:r>
    </w:p>
    <w:p w:rsidR="009B6DB0" w:rsidRPr="008848D4" w:rsidRDefault="004F5693" w:rsidP="004F5693">
      <w:pPr>
        <w:pStyle w:val="Heading1"/>
      </w:pPr>
      <w:r w:rsidRPr="008848D4">
        <w:t>1</w:t>
      </w:r>
      <w:r w:rsidRPr="008848D4">
        <w:tab/>
      </w:r>
      <w:r w:rsidR="0081401C" w:rsidRPr="008848D4">
        <w:t>Contexto estratégico: el personal en el centro del Plan Estratégico de la UIT para</w:t>
      </w:r>
      <w:r w:rsidR="009B6DB0" w:rsidRPr="008848D4">
        <w:t xml:space="preserve"> 2020-2023</w:t>
      </w:r>
    </w:p>
    <w:p w:rsidR="009B6DB0" w:rsidRPr="008848D4" w:rsidRDefault="009B6DB0" w:rsidP="00320391">
      <w:r w:rsidRPr="008848D4">
        <w:t>1.1</w:t>
      </w:r>
      <w:r w:rsidRPr="008848D4">
        <w:tab/>
      </w:r>
      <w:r w:rsidR="003A271D" w:rsidRPr="008848D4">
        <w:t xml:space="preserve">Todos los organismos de las Naciones Unidas se guían por los valores consignados en la </w:t>
      </w:r>
      <w:r w:rsidR="003A271D" w:rsidRPr="008848D4">
        <w:rPr>
          <w:i/>
          <w:iCs/>
        </w:rPr>
        <w:t>Carta de las Naciones Unidas, en particular su Artículo 101</w:t>
      </w:r>
      <w:r w:rsidR="003A271D" w:rsidRPr="008848D4">
        <w:t>, en el que se hace referencia al</w:t>
      </w:r>
      <w:r w:rsidR="008C6511" w:rsidRPr="008848D4">
        <w:t xml:space="preserve"> </w:t>
      </w:r>
      <w:r w:rsidR="000C762C" w:rsidRPr="008848D4">
        <w:rPr>
          <w:i/>
          <w:iCs/>
        </w:rPr>
        <w:t>"</w:t>
      </w:r>
      <w:r w:rsidR="008C6511" w:rsidRPr="008848D4">
        <w:rPr>
          <w:i/>
          <w:iCs/>
        </w:rPr>
        <w:t>más alto grado de eficiencia, competencia e integridad</w:t>
      </w:r>
      <w:r w:rsidR="000C762C" w:rsidRPr="008848D4">
        <w:rPr>
          <w:i/>
          <w:iCs/>
        </w:rPr>
        <w:t>"</w:t>
      </w:r>
      <w:r w:rsidR="003A271D" w:rsidRPr="008848D4">
        <w:t>,</w:t>
      </w:r>
      <w:r w:rsidR="008C6511" w:rsidRPr="008848D4">
        <w:t xml:space="preserve"> </w:t>
      </w:r>
      <w:r w:rsidR="003A271D" w:rsidRPr="008848D4">
        <w:t>y en por los diversos instrumentos jurídicos que rigen cada organización</w:t>
      </w:r>
      <w:r w:rsidRPr="008848D4">
        <w:t>.</w:t>
      </w:r>
    </w:p>
    <w:p w:rsidR="009B6DB0" w:rsidRPr="008848D4" w:rsidRDefault="009B6DB0" w:rsidP="004F5693">
      <w:r w:rsidRPr="008848D4">
        <w:t>1.2</w:t>
      </w:r>
      <w:r w:rsidRPr="008848D4">
        <w:tab/>
      </w:r>
      <w:r w:rsidR="003A271D" w:rsidRPr="008848D4">
        <w:t>El Plan Estratégico de la UIT para 2020-2023 pone al personal en el centro de su sistema de valores al determinar que la UIT debe ser a</w:t>
      </w:r>
      <w:r w:rsidR="00F90311" w:rsidRPr="008848D4">
        <w:t>ntropocéntrica, orientada al servicio y basada en los resultados</w:t>
      </w:r>
      <w:r w:rsidR="003A271D" w:rsidRPr="008848D4">
        <w:t>.</w:t>
      </w:r>
      <w:r w:rsidR="00F90311" w:rsidRPr="008848D4">
        <w:t xml:space="preserve"> La UIT, que es </w:t>
      </w:r>
      <w:r w:rsidR="00F90311" w:rsidRPr="008848D4">
        <w:rPr>
          <w:i/>
          <w:iCs/>
        </w:rPr>
        <w:t>antropocéntrica</w:t>
      </w:r>
      <w:r w:rsidR="00F90311" w:rsidRPr="008848D4">
        <w:t xml:space="preserve">, trata de obtener resultados importantes para todos y cada uno. Como está </w:t>
      </w:r>
      <w:r w:rsidR="00F90311" w:rsidRPr="008848D4">
        <w:rPr>
          <w:i/>
          <w:iCs/>
        </w:rPr>
        <w:t>orientada a los servicios</w:t>
      </w:r>
      <w:r w:rsidR="00F90311" w:rsidRPr="008848D4">
        <w:t xml:space="preserve">, la UIT se ha comprometido a seguir proporcionando servicios de alta calidad y maximizar la satisfacción de beneficiarios e interesados. Como está </w:t>
      </w:r>
      <w:r w:rsidR="00F90311" w:rsidRPr="008848D4">
        <w:rPr>
          <w:i/>
          <w:iCs/>
        </w:rPr>
        <w:t>basada en los resultados</w:t>
      </w:r>
      <w:r w:rsidR="00F90311" w:rsidRPr="008848D4">
        <w:t>, la UIT busca resultados tangibles y trata de maximizar el impacto de su trabajo.</w:t>
      </w:r>
    </w:p>
    <w:p w:rsidR="009B6DB0" w:rsidRPr="008848D4" w:rsidRDefault="009B6DB0" w:rsidP="004F5693">
      <w:r w:rsidRPr="008848D4">
        <w:t>1.3</w:t>
      </w:r>
      <w:r w:rsidRPr="008848D4">
        <w:tab/>
      </w:r>
      <w:r w:rsidR="003A271D" w:rsidRPr="008848D4">
        <w:t xml:space="preserve">El objetivo de la Estrategia relativa al personal de la UIT es </w:t>
      </w:r>
      <w:r w:rsidR="003A271D" w:rsidRPr="008848D4">
        <w:rPr>
          <w:i/>
          <w:iCs/>
        </w:rPr>
        <w:t>atraer, contratar y conservar</w:t>
      </w:r>
      <w:r w:rsidR="003A271D" w:rsidRPr="008848D4">
        <w:t xml:space="preserve"> al personal más capaz</w:t>
      </w:r>
      <w:r w:rsidR="0055219A" w:rsidRPr="008848D4">
        <w:t xml:space="preserve"> en todas las Oficinas/Departamentos de la Secretaría General y mantener y aumentar la reputación de líder mundial de la UIT</w:t>
      </w:r>
      <w:r w:rsidRPr="008848D4">
        <w:t xml:space="preserve">. </w:t>
      </w:r>
      <w:r w:rsidR="00487D94" w:rsidRPr="008848D4">
        <w:rPr>
          <w:i/>
          <w:iCs/>
        </w:rPr>
        <w:t>La creciente competencia en un mercado global implica que la UIT debe seguir esforzándose por ser líder mundial en el enfoque de gestión y desarrollo de su talentoso personal</w:t>
      </w:r>
      <w:r w:rsidR="00487D94" w:rsidRPr="008848D4">
        <w:t>. La colaboración entre Recursos Humanos y las Unidades operativas de la Organización es fundamental para el desarrollo del personal y de la Organización en su conjunto</w:t>
      </w:r>
      <w:r w:rsidR="004F5693" w:rsidRPr="008848D4">
        <w:t>.</w:t>
      </w:r>
    </w:p>
    <w:p w:rsidR="009B6DB0" w:rsidRPr="008848D4" w:rsidRDefault="009B6DB0" w:rsidP="004F5693">
      <w:r w:rsidRPr="008848D4">
        <w:t>1.4</w:t>
      </w:r>
      <w:r w:rsidRPr="008848D4">
        <w:tab/>
      </w:r>
      <w:r w:rsidR="00F90311" w:rsidRPr="008848D4">
        <w:t xml:space="preserve">La UIT alcanzará las metas estratégicas de la Unión para 2020-2023 a través de varios objetivos que se irán logrando a lo largo de ese periodo. Las actividades y los servicios de apoyo de la Secretaría General y de las Oficinas proporcionan estos facilitadores al trabajo de la Unión en su conjunto. </w:t>
      </w:r>
      <w:r w:rsidR="00487D94" w:rsidRPr="008848D4">
        <w:t>La gestión de recursos humanos es un facilitador fundamental para garantizar el éxito de la Unión</w:t>
      </w:r>
      <w:r w:rsidRPr="008848D4">
        <w:t>.</w:t>
      </w:r>
    </w:p>
    <w:p w:rsidR="009B6DB0" w:rsidRPr="008848D4" w:rsidRDefault="004F5693" w:rsidP="004F5693">
      <w:pPr>
        <w:pStyle w:val="Heading1"/>
      </w:pPr>
      <w:r w:rsidRPr="008848D4">
        <w:t>2</w:t>
      </w:r>
      <w:r w:rsidRPr="008848D4">
        <w:tab/>
      </w:r>
      <w:r w:rsidR="00922C3B" w:rsidRPr="008848D4">
        <w:t>Retos de la UIT: contexto de gestión de cambios en la UIT y a nivel global</w:t>
      </w:r>
    </w:p>
    <w:p w:rsidR="009B6DB0" w:rsidRPr="008848D4" w:rsidRDefault="009B6DB0" w:rsidP="004F5693">
      <w:r w:rsidRPr="008848D4">
        <w:t>2.1</w:t>
      </w:r>
      <w:r w:rsidRPr="008848D4">
        <w:tab/>
      </w:r>
      <w:r w:rsidR="00922C3B" w:rsidRPr="008848D4">
        <w:t>La Estrategia relativa al personal de la UIT sustenta la misión y los valores de la UIT descritos en el Plan Estratégico de la UIT</w:t>
      </w:r>
      <w:r w:rsidRPr="008848D4">
        <w:t xml:space="preserve"> (2020-2023). </w:t>
      </w:r>
      <w:r w:rsidR="00922C3B" w:rsidRPr="008848D4">
        <w:t>La Estrategia re</w:t>
      </w:r>
      <w:r w:rsidR="00922C3B" w:rsidRPr="008848D4">
        <w:lastRenderedPageBreak/>
        <w:t xml:space="preserve">lativa al personal de la UIT se ha concebido en un momento en que la UIT se enfrenta a retos que la obligan a plantearse cambios en su manera de trabajar. Entre esos retos se cuenta el hecho de que el sector de las tecnologías de la información y la comunicación ya han entrado en un periodo caracterizado por la transformación. Además, en </w:t>
      </w:r>
      <w:r w:rsidR="00653D56" w:rsidRPr="008848D4">
        <w:t>esta</w:t>
      </w:r>
      <w:r w:rsidR="00922C3B" w:rsidRPr="008848D4">
        <w:t xml:space="preserve"> Estrategia se integran los siguientes elementos: la necesidad de que las Oficinas/Departamentos de la SG de la UIT se concierten en la planificación operacional coordinada, evitando la redundancia y la duplicación al tiempo que se maximizan las sinergias en las Oficinas/Departamentos de la SG</w:t>
      </w:r>
      <w:r w:rsidRPr="008848D4">
        <w:t xml:space="preserve">; </w:t>
      </w:r>
      <w:r w:rsidR="00922C3B" w:rsidRPr="008848D4">
        <w:t>la determinación de la UIT de lograr la paridad entre hombres y mujeres en todos los grados como imperativo operacional antes de</w:t>
      </w:r>
      <w:r w:rsidRPr="008848D4">
        <w:t xml:space="preserve"> 2027</w:t>
      </w:r>
      <w:r w:rsidR="00922C3B" w:rsidRPr="008848D4">
        <w:t xml:space="preserve">; el traslado previsto al nuevo edificio de la Sede, y la reforma de todo el sistema de las Naciones Unidas. La encuesta sobre el bienestar del personal de las Naciones Unidas realizada en 2015, a la que respondieron más de 17 000 miembros del personal de Naciones Unidas, muestra que unos niveles más altos de falta de cortesía percibida y de conflictos en el lugar de trabajo y un nivel más bajo de satisfacción laboral están estrechamente correlacionados con una mayor incidencia de problemas de salud mental que resultan en bajas por enfermedad a corto y largo plazo. Estos resultados han permitido identificar una serie de medidas prioritarias, entre las que se cuenta la implantación de programas de bienestar en el entorno laboral, además de </w:t>
      </w:r>
      <w:r w:rsidR="00653D56" w:rsidRPr="008848D4">
        <w:t>unas reglas acordadas</w:t>
      </w:r>
      <w:r w:rsidR="00922C3B" w:rsidRPr="008848D4">
        <w:t xml:space="preserve">, apoyo efectivo, formación y premios de </w:t>
      </w:r>
      <w:r w:rsidR="00653D56" w:rsidRPr="008848D4">
        <w:t>reconocimiento</w:t>
      </w:r>
      <w:r w:rsidR="00922C3B" w:rsidRPr="008848D4">
        <w:t xml:space="preserve"> a los equipos y gestores que permiten que el entorno de trabajo en las Naciones Unidas sea re</w:t>
      </w:r>
      <w:r w:rsidR="00D93E08" w:rsidRPr="008848D4">
        <w:t>s</w:t>
      </w:r>
      <w:r w:rsidR="00922C3B" w:rsidRPr="008848D4">
        <w:t xml:space="preserve">petuoso, fuerte, psicológicamente seguro y sano. </w:t>
      </w:r>
      <w:r w:rsidR="00D93E08" w:rsidRPr="008848D4">
        <w:t>Para trabajar satisfactoriamente en este entorno, el personal de la UIT debe implicarse plenamente, no sólo en la elaboración de la estrategia, sino también en la ejecución de iniciativas que mejorarán la organización, crearán relaciones basadas en la confianza y propiciarán la armonía en el trabajo de la organización</w:t>
      </w:r>
      <w:r w:rsidR="000C762C" w:rsidRPr="008848D4">
        <w:t>.</w:t>
      </w:r>
    </w:p>
    <w:p w:rsidR="009B6DB0" w:rsidRPr="008848D4" w:rsidRDefault="00320391" w:rsidP="004F5693">
      <w:r w:rsidRPr="008848D4">
        <w:t>2.2</w:t>
      </w:r>
      <w:r w:rsidR="009B6DB0" w:rsidRPr="008848D4">
        <w:tab/>
      </w:r>
      <w:r w:rsidR="00D93E08" w:rsidRPr="008848D4">
        <w:t>La UIT necesita un cambio cultural que abogue más por la confianza y la colaboración. Las propuestas del Plan de Cambio formuladas por el Equipo de Gestión del Cambio al Secretario General (Nueva York</w:t>
      </w:r>
      <w:r w:rsidR="009B6DB0" w:rsidRPr="008848D4">
        <w:t xml:space="preserve">, </w:t>
      </w:r>
      <w:r w:rsidR="00D93E08" w:rsidRPr="008848D4">
        <w:t>diciembre de</w:t>
      </w:r>
      <w:r w:rsidR="009B6DB0" w:rsidRPr="008848D4">
        <w:t xml:space="preserve"> 2011) </w:t>
      </w:r>
      <w:r w:rsidR="00D93E08" w:rsidRPr="008848D4">
        <w:t xml:space="preserve">se basan en puntos clave, como el aumento de la confianza y la fiabilidad, la proactividad del personal, la mejora de los métodos de trabajo y la racionalización de las estructuras y funciones. Para ello, los líderes deberán adoptar un comportamiento ad hoc y comunicar continuamente con el personal para liberar su talento y exigirle que desarrolle el </w:t>
      </w:r>
      <w:proofErr w:type="spellStart"/>
      <w:r w:rsidR="00D93E08" w:rsidRPr="008848D4">
        <w:t>autoliderazgo</w:t>
      </w:r>
      <w:proofErr w:type="spellEnd"/>
      <w:r w:rsidR="00D93E08" w:rsidRPr="008848D4">
        <w:t>, a saber, asumir su responsabilidad y considerar suyos los objetivos comunes. En la cultura de la transparencia se asienta la responsabilidad</w:t>
      </w:r>
      <w:r w:rsidR="009B6DB0" w:rsidRPr="008848D4">
        <w:t>.</w:t>
      </w:r>
    </w:p>
    <w:p w:rsidR="009B6DB0" w:rsidRPr="008848D4" w:rsidRDefault="009B6DB0" w:rsidP="000C762C">
      <w:r w:rsidRPr="008848D4">
        <w:lastRenderedPageBreak/>
        <w:t>2.3</w:t>
      </w:r>
      <w:r w:rsidRPr="008848D4">
        <w:tab/>
      </w:r>
      <w:r w:rsidR="00ED0875" w:rsidRPr="008848D4">
        <w:t xml:space="preserve">La Estrategia </w:t>
      </w:r>
      <w:r w:rsidR="00653D56" w:rsidRPr="008848D4">
        <w:t>relativa</w:t>
      </w:r>
      <w:r w:rsidR="00ED0875" w:rsidRPr="008848D4">
        <w:t xml:space="preserve"> al personal de la UIT tiene por objetivo garantizar que la UIT sigue siendo un empleador de primera calidad, al tiempo que ofrece a su personal un entorno estimulante donde se sienta recompensado. Otro de sus objetivos es crear un nuevo paradigma de gestión de recursos humanos orientado a la responsabilidad, los resultados </w:t>
      </w:r>
      <w:r w:rsidR="00EE64A7" w:rsidRPr="008848D4">
        <w:t>y las pruebas</w:t>
      </w:r>
      <w:r w:rsidR="000C762C" w:rsidRPr="008848D4">
        <w:rPr>
          <w:rStyle w:val="FootnoteReference"/>
        </w:rPr>
        <w:footnoteReference w:id="8"/>
      </w:r>
      <w:r w:rsidRPr="008848D4">
        <w:t>.</w:t>
      </w:r>
    </w:p>
    <w:p w:rsidR="009B6DB0" w:rsidRPr="008848D4" w:rsidRDefault="009B6DB0" w:rsidP="004F5693">
      <w:r w:rsidRPr="008848D4">
        <w:t>2.4</w:t>
      </w:r>
      <w:r w:rsidRPr="008848D4">
        <w:tab/>
      </w:r>
      <w:r w:rsidR="00EE64A7" w:rsidRPr="008848D4">
        <w:t>Al llegar al desarrollo de la organización y a las iniciativas de cambio, la mayoría de los programas de gestión del cambio fracasan por falta de atención al comportamiento de la dirección y a la resistencia de los empleados. Es necesario tener un conocimiento global para concentrar los esfuerzos en iniciativas que generarán los mayores beneficios, es decir, fijar las prioridades y los plazos de aplicación</w:t>
      </w:r>
      <w:r w:rsidRPr="008848D4">
        <w:t>.</w:t>
      </w:r>
    </w:p>
    <w:p w:rsidR="009B6DB0" w:rsidRPr="008848D4" w:rsidRDefault="004F5693" w:rsidP="004F5693">
      <w:pPr>
        <w:pStyle w:val="Heading1"/>
      </w:pPr>
      <w:r w:rsidRPr="008848D4">
        <w:t>3</w:t>
      </w:r>
      <w:r w:rsidRPr="008848D4">
        <w:tab/>
      </w:r>
      <w:r w:rsidR="00B11726" w:rsidRPr="008848D4">
        <w:t>Mandato de R</w:t>
      </w:r>
      <w:r w:rsidR="00996E7C" w:rsidRPr="008848D4">
        <w:t>R.</w:t>
      </w:r>
      <w:r w:rsidR="00B11726" w:rsidRPr="008848D4">
        <w:t>H</w:t>
      </w:r>
      <w:r w:rsidR="00996E7C" w:rsidRPr="008848D4">
        <w:t>H.</w:t>
      </w:r>
      <w:r w:rsidR="00B11726" w:rsidRPr="008848D4">
        <w:t>: R</w:t>
      </w:r>
      <w:r w:rsidR="00996E7C" w:rsidRPr="008848D4">
        <w:t>R.</w:t>
      </w:r>
      <w:r w:rsidR="00B11726" w:rsidRPr="008848D4">
        <w:t>H</w:t>
      </w:r>
      <w:r w:rsidR="00996E7C" w:rsidRPr="008848D4">
        <w:t>H.</w:t>
      </w:r>
      <w:r w:rsidR="00B11726" w:rsidRPr="008848D4">
        <w:t xml:space="preserve"> como facilitador </w:t>
      </w:r>
      <w:r w:rsidR="000C762C" w:rsidRPr="008848D4">
        <w:t>de las metas estratégicas de la </w:t>
      </w:r>
      <w:r w:rsidR="00B11726" w:rsidRPr="008848D4">
        <w:t>Unión</w:t>
      </w:r>
    </w:p>
    <w:p w:rsidR="009B6DB0" w:rsidRPr="008848D4" w:rsidRDefault="009B6DB0" w:rsidP="004F5693">
      <w:r w:rsidRPr="008848D4">
        <w:t>3.1</w:t>
      </w:r>
      <w:r w:rsidRPr="008848D4">
        <w:tab/>
      </w:r>
      <w:r w:rsidR="004F5693" w:rsidRPr="008848D4">
        <w:t>C</w:t>
      </w:r>
      <w:r w:rsidR="00B11726" w:rsidRPr="008848D4">
        <w:t>omo parte de la Secretaría General, HRMD es un facilitador del Plan Estratégico de la UIT para</w:t>
      </w:r>
      <w:r w:rsidRPr="008848D4">
        <w:t xml:space="preserve"> 2020-2023 </w:t>
      </w:r>
      <w:r w:rsidR="00B11726" w:rsidRPr="008848D4">
        <w:t>y de la UIT en general</w:t>
      </w:r>
      <w:r w:rsidRPr="008848D4">
        <w:t xml:space="preserve">. </w:t>
      </w:r>
      <w:r w:rsidR="00F90311" w:rsidRPr="008848D4">
        <w:t xml:space="preserve">El objetivo de los facilitadores es apoyar los objetivos generales y las metas estratégicas de la Unión. </w:t>
      </w:r>
      <w:r w:rsidR="00B11726" w:rsidRPr="008848D4">
        <w:t>Por consiguiente, el mandato de</w:t>
      </w:r>
      <w:r w:rsidRPr="008848D4">
        <w:t xml:space="preserve"> HRMD</w:t>
      </w:r>
      <w:r w:rsidR="00B11726" w:rsidRPr="008848D4">
        <w:t xml:space="preserve"> es: gestionar la administración de los servicios de personal; elaborar, armonizar y racionalizar las políticas, los reglamentos y las reglas, y elaborar y aplicar estrategias de gestión del talento para</w:t>
      </w:r>
      <w:r w:rsidR="00396F85" w:rsidRPr="008848D4">
        <w:t xml:space="preserve"> crear un personal con una competencia, eficacia e integridad elevadas mediante un marco de gestión del rendimiento </w:t>
      </w:r>
      <w:r w:rsidR="00B11726" w:rsidRPr="008848D4">
        <w:t xml:space="preserve">y de desarrollo del personal </w:t>
      </w:r>
      <w:r w:rsidR="00396F85" w:rsidRPr="008848D4">
        <w:t xml:space="preserve">que </w:t>
      </w:r>
      <w:r w:rsidR="00B11726" w:rsidRPr="008848D4">
        <w:t>fomente</w:t>
      </w:r>
      <w:r w:rsidR="00396F85" w:rsidRPr="008848D4">
        <w:t xml:space="preserve"> una cultura de responsabilidad</w:t>
      </w:r>
      <w:r w:rsidR="00B11726" w:rsidRPr="008848D4">
        <w:t>, rendición de cuentas y motivación</w:t>
      </w:r>
      <w:r w:rsidR="00396F85" w:rsidRPr="008848D4">
        <w:t xml:space="preserve">. </w:t>
      </w:r>
      <w:r w:rsidR="00B11726" w:rsidRPr="008848D4">
        <w:t>Dentro del mandato está también el fomento del bienestar y de un entorno laboral sano y seguro, además de la elaboración de informes factuales y análisis estadísticos</w:t>
      </w:r>
      <w:r w:rsidR="00EE7A08" w:rsidRPr="008848D4">
        <w:t>.</w:t>
      </w:r>
    </w:p>
    <w:p w:rsidR="009B6DB0" w:rsidRPr="008848D4" w:rsidRDefault="00EE7A08" w:rsidP="00EE7A08">
      <w:pPr>
        <w:pStyle w:val="Heading1"/>
      </w:pPr>
      <w:r w:rsidRPr="008848D4">
        <w:t>4</w:t>
      </w:r>
      <w:r w:rsidRPr="008848D4">
        <w:tab/>
      </w:r>
      <w:r w:rsidR="004D2FEB" w:rsidRPr="008848D4">
        <w:t>Misión de R</w:t>
      </w:r>
      <w:r w:rsidR="00996E7C" w:rsidRPr="008848D4">
        <w:t>R.</w:t>
      </w:r>
      <w:r w:rsidR="004D2FEB" w:rsidRPr="008848D4">
        <w:t>H</w:t>
      </w:r>
      <w:r w:rsidR="00996E7C" w:rsidRPr="008848D4">
        <w:t>H.</w:t>
      </w:r>
      <w:r w:rsidR="004D2FEB" w:rsidRPr="008848D4">
        <w:t>: contribución de R</w:t>
      </w:r>
      <w:r w:rsidR="00996E7C" w:rsidRPr="008848D4">
        <w:t>R.</w:t>
      </w:r>
      <w:r w:rsidR="004D2FEB" w:rsidRPr="008848D4">
        <w:t>H</w:t>
      </w:r>
      <w:r w:rsidR="00996E7C" w:rsidRPr="008848D4">
        <w:t>H.</w:t>
      </w:r>
      <w:r w:rsidR="004D2FEB" w:rsidRPr="008848D4">
        <w:t xml:space="preserve"> a los productos y resultados del Plan Estratégico de la UIT para</w:t>
      </w:r>
      <w:r w:rsidR="00320391" w:rsidRPr="008848D4">
        <w:t xml:space="preserve"> 2020-2023</w:t>
      </w:r>
    </w:p>
    <w:p w:rsidR="009B6DB0" w:rsidRPr="008848D4" w:rsidRDefault="009B6DB0" w:rsidP="006448F0">
      <w:pPr>
        <w:spacing w:after="120"/>
      </w:pPr>
      <w:r w:rsidRPr="008848D4">
        <w:t>4.1</w:t>
      </w:r>
      <w:r w:rsidRPr="008848D4">
        <w:tab/>
      </w:r>
      <w:r w:rsidR="004D2FEB" w:rsidRPr="008848D4">
        <w:t>Una gestión eficaz de los recursos humanos es fundamental para el logro satisfactorio de las metas estratégicas de la UIT. En el Plan Estratégico de la UIT para</w:t>
      </w:r>
      <w:r w:rsidRPr="008848D4">
        <w:t xml:space="preserve"> 2020-2023 </w:t>
      </w:r>
      <w:r w:rsidR="004D2FEB" w:rsidRPr="008848D4">
        <w:t>se identifican los siguientes objetivos, actividades, contribuciones y resultados en relación con los recursos humanos</w:t>
      </w:r>
      <w:r w:rsidR="00254D48" w:rsidRPr="008848D4">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66"/>
        <w:gridCol w:w="2184"/>
        <w:gridCol w:w="4479"/>
      </w:tblGrid>
      <w:tr w:rsidR="009B6DB0" w:rsidRPr="008848D4" w:rsidTr="00D5216E">
        <w:trPr>
          <w:trHeight w:val="435"/>
        </w:trPr>
        <w:tc>
          <w:tcPr>
            <w:tcW w:w="1540" w:type="pct"/>
            <w:shd w:val="clear" w:color="auto" w:fill="auto"/>
            <w:vAlign w:val="center"/>
            <w:hideMark/>
          </w:tcPr>
          <w:p w:rsidR="009B6DB0" w:rsidRPr="008848D4" w:rsidRDefault="00D5216E" w:rsidP="00EE7A08">
            <w:pPr>
              <w:pStyle w:val="Tablehead"/>
            </w:pPr>
            <w:r w:rsidRPr="008848D4">
              <w:t>Actividades</w:t>
            </w:r>
            <w:r w:rsidRPr="008848D4">
              <w:br/>
              <w:t>de la SG</w:t>
            </w:r>
          </w:p>
        </w:tc>
        <w:tc>
          <w:tcPr>
            <w:tcW w:w="1134" w:type="pct"/>
            <w:shd w:val="clear" w:color="auto" w:fill="auto"/>
            <w:vAlign w:val="center"/>
            <w:hideMark/>
          </w:tcPr>
          <w:p w:rsidR="009B6DB0" w:rsidRPr="008848D4" w:rsidRDefault="00F90311" w:rsidP="00EE7A08">
            <w:pPr>
              <w:pStyle w:val="Tablehead"/>
              <w:rPr>
                <w:highlight w:val="green"/>
              </w:rPr>
            </w:pPr>
            <w:r w:rsidRPr="008848D4">
              <w:t>Contribución a los resultados</w:t>
            </w:r>
          </w:p>
        </w:tc>
        <w:tc>
          <w:tcPr>
            <w:tcW w:w="2326" w:type="pct"/>
            <w:shd w:val="clear" w:color="auto" w:fill="auto"/>
            <w:vAlign w:val="center"/>
            <w:hideMark/>
          </w:tcPr>
          <w:p w:rsidR="009B6DB0" w:rsidRPr="008848D4" w:rsidRDefault="009B6DB0" w:rsidP="00EE7A08">
            <w:pPr>
              <w:pStyle w:val="Tablehead"/>
            </w:pPr>
            <w:bookmarkStart w:id="11" w:name="lt_pId084"/>
            <w:r w:rsidRPr="008848D4">
              <w:t>Result</w:t>
            </w:r>
            <w:r w:rsidR="00F90311" w:rsidRPr="008848D4">
              <w:t>ado</w:t>
            </w:r>
            <w:r w:rsidRPr="008848D4">
              <w:t>s</w:t>
            </w:r>
            <w:bookmarkEnd w:id="11"/>
          </w:p>
        </w:tc>
      </w:tr>
      <w:tr w:rsidR="009B6DB0" w:rsidRPr="008848D4" w:rsidTr="009B6DB0">
        <w:trPr>
          <w:trHeight w:val="70"/>
        </w:trPr>
        <w:tc>
          <w:tcPr>
            <w:tcW w:w="1540" w:type="pct"/>
            <w:shd w:val="clear" w:color="auto" w:fill="auto"/>
          </w:tcPr>
          <w:p w:rsidR="009B6DB0" w:rsidRPr="008848D4" w:rsidRDefault="00F90311" w:rsidP="00EE7A08">
            <w:pPr>
              <w:pStyle w:val="Tabletext"/>
            </w:pPr>
            <w:r w:rsidRPr="008848D4">
              <w:lastRenderedPageBreak/>
              <w:t>Servicios de gestión de recursos humanos (incluidos el pago de nóminas, la administración y el bienestar del personal, el diseño de la organización y la contratación, la planificación y el desarrollo)</w:t>
            </w:r>
            <w:r w:rsidR="000C762C" w:rsidRPr="008848D4">
              <w:t>.</w:t>
            </w:r>
          </w:p>
        </w:tc>
        <w:tc>
          <w:tcPr>
            <w:tcW w:w="1134" w:type="pct"/>
            <w:shd w:val="clear" w:color="auto" w:fill="auto"/>
          </w:tcPr>
          <w:p w:rsidR="009B6DB0" w:rsidRPr="008848D4" w:rsidRDefault="00F90311" w:rsidP="00EE7A08">
            <w:pPr>
              <w:pStyle w:val="Tabletext"/>
            </w:pPr>
            <w:r w:rsidRPr="008848D4">
              <w:t>Utilización eficaz de los recursos humanos en un entorno propicio al trabajo</w:t>
            </w:r>
            <w:r w:rsidR="000C762C" w:rsidRPr="008848D4">
              <w:t>.</w:t>
            </w:r>
          </w:p>
        </w:tc>
        <w:tc>
          <w:tcPr>
            <w:tcW w:w="2326" w:type="pct"/>
            <w:shd w:val="clear" w:color="auto" w:fill="auto"/>
          </w:tcPr>
          <w:p w:rsidR="00F90311" w:rsidRPr="008848D4" w:rsidRDefault="00F90311" w:rsidP="000C762C">
            <w:pPr>
              <w:pStyle w:val="Tabletext"/>
              <w:ind w:left="266" w:hanging="284"/>
            </w:pPr>
            <w:r w:rsidRPr="008848D4">
              <w:t>–</w:t>
            </w:r>
            <w:r w:rsidRPr="008848D4">
              <w:tab/>
              <w:t>Creación y aplicación de un marco de recursos humanos que promueva la sostenibilidad y la satisfacción de los trabajadores, e incluya elementos relacionados con el desarrollo profesional y la capacitación</w:t>
            </w:r>
            <w:r w:rsidR="000C762C" w:rsidRPr="008848D4">
              <w:t>.</w:t>
            </w:r>
          </w:p>
          <w:p w:rsidR="00F90311" w:rsidRPr="008848D4" w:rsidRDefault="00F90311" w:rsidP="000C762C">
            <w:pPr>
              <w:pStyle w:val="Tabletext"/>
              <w:ind w:left="266" w:hanging="284"/>
            </w:pPr>
            <w:r w:rsidRPr="008848D4">
              <w:t>–</w:t>
            </w:r>
            <w:r w:rsidRPr="008848D4">
              <w:tab/>
              <w:t>Adaptación de los trabajadores a las condiciones y necesidades en constante evolución de la organización</w:t>
            </w:r>
            <w:r w:rsidR="000C762C" w:rsidRPr="008848D4">
              <w:t>.</w:t>
            </w:r>
          </w:p>
          <w:p w:rsidR="00F90311" w:rsidRPr="008848D4" w:rsidRDefault="00F90311" w:rsidP="000C762C">
            <w:pPr>
              <w:pStyle w:val="Tabletext"/>
              <w:ind w:left="266" w:hanging="284"/>
            </w:pPr>
            <w:r w:rsidRPr="008848D4">
              <w:t>–</w:t>
            </w:r>
            <w:r w:rsidRPr="008848D4">
              <w:tab/>
              <w:t>Diligencia del proceso de contratación</w:t>
            </w:r>
            <w:r w:rsidR="000C762C" w:rsidRPr="008848D4">
              <w:t>.</w:t>
            </w:r>
          </w:p>
          <w:p w:rsidR="00F90311" w:rsidRPr="008848D4" w:rsidRDefault="00F90311" w:rsidP="000C762C">
            <w:pPr>
              <w:pStyle w:val="Tabletext"/>
              <w:ind w:left="266" w:hanging="284"/>
            </w:pPr>
            <w:r w:rsidRPr="008848D4">
              <w:t>–</w:t>
            </w:r>
            <w:r w:rsidRPr="008848D4">
              <w:tab/>
              <w:t>Paridad de género entre los empleados de la UIT y en los comités estatutarios de la organización.</w:t>
            </w:r>
          </w:p>
        </w:tc>
      </w:tr>
    </w:tbl>
    <w:p w:rsidR="009B6DB0" w:rsidRPr="008848D4" w:rsidRDefault="009B6DB0" w:rsidP="006448F0">
      <w:pPr>
        <w:spacing w:before="240"/>
      </w:pPr>
      <w:r w:rsidRPr="008848D4">
        <w:t>4.2</w:t>
      </w:r>
      <w:r w:rsidRPr="008848D4">
        <w:tab/>
        <w:t>As</w:t>
      </w:r>
      <w:r w:rsidR="0043175D" w:rsidRPr="008848D4">
        <w:t>í,</w:t>
      </w:r>
      <w:r w:rsidRPr="008848D4">
        <w:t xml:space="preserve"> HRMD ha</w:t>
      </w:r>
      <w:r w:rsidR="0043175D" w:rsidRPr="008848D4">
        <w:t xml:space="preserve"> definido su misión para contribuir al Plan Estratégico de la UIT y sus resultados para ofrecer servicios de gestión de RR.HH. modernos, fiables, creativos y proactivos, que aportan valor a la Unión</w:t>
      </w:r>
      <w:r w:rsidRPr="008848D4">
        <w:t xml:space="preserve">. </w:t>
      </w:r>
    </w:p>
    <w:p w:rsidR="009B6DB0" w:rsidRPr="008848D4" w:rsidRDefault="009B6DB0" w:rsidP="00EE7A08">
      <w:r w:rsidRPr="008848D4">
        <w:t>4.3</w:t>
      </w:r>
      <w:r w:rsidRPr="008848D4">
        <w:tab/>
      </w:r>
      <w:r w:rsidR="0043175D" w:rsidRPr="008848D4">
        <w:t>El conjunto de valores que rige la gestión de RR.HH. y sirve de base para la toma de decisiones se ajusta a los valores de la UIT</w:t>
      </w:r>
      <w:r w:rsidRPr="008848D4">
        <w:t xml:space="preserve">: </w:t>
      </w:r>
      <w:r w:rsidRPr="008848D4">
        <w:rPr>
          <w:i/>
          <w:iCs/>
        </w:rPr>
        <w:t xml:space="preserve">1. </w:t>
      </w:r>
      <w:r w:rsidR="00D5216E" w:rsidRPr="008848D4">
        <w:rPr>
          <w:i/>
          <w:iCs/>
        </w:rPr>
        <w:t>Eficiencia</w:t>
      </w:r>
      <w:r w:rsidRPr="008848D4">
        <w:rPr>
          <w:i/>
          <w:iCs/>
        </w:rPr>
        <w:t xml:space="preserve">, 2. </w:t>
      </w:r>
      <w:r w:rsidR="00D5216E" w:rsidRPr="008848D4">
        <w:rPr>
          <w:i/>
          <w:iCs/>
        </w:rPr>
        <w:t>Transparencia y rendición de cuentas</w:t>
      </w:r>
      <w:r w:rsidRPr="008848D4">
        <w:rPr>
          <w:i/>
          <w:iCs/>
        </w:rPr>
        <w:t xml:space="preserve">, 3. </w:t>
      </w:r>
      <w:r w:rsidR="00D5216E" w:rsidRPr="008848D4">
        <w:rPr>
          <w:i/>
          <w:iCs/>
        </w:rPr>
        <w:t>Apertura</w:t>
      </w:r>
      <w:r w:rsidRPr="008848D4">
        <w:rPr>
          <w:i/>
          <w:iCs/>
        </w:rPr>
        <w:t xml:space="preserve">, 4. </w:t>
      </w:r>
      <w:r w:rsidR="00D5216E" w:rsidRPr="008848D4">
        <w:rPr>
          <w:i/>
          <w:iCs/>
        </w:rPr>
        <w:t>Universalidad y neutralidad</w:t>
      </w:r>
      <w:r w:rsidRPr="008848D4">
        <w:rPr>
          <w:i/>
          <w:iCs/>
        </w:rPr>
        <w:t xml:space="preserve">, 5. </w:t>
      </w:r>
      <w:r w:rsidR="00D5216E" w:rsidRPr="008848D4">
        <w:rPr>
          <w:i/>
          <w:iCs/>
        </w:rPr>
        <w:t>Antropocéntrica, orientada al servicio y basada en los resultados</w:t>
      </w:r>
      <w:r w:rsidRPr="008848D4">
        <w:t>.</w:t>
      </w:r>
      <w:r w:rsidR="00D5216E" w:rsidRPr="008848D4">
        <w:t xml:space="preserve"> </w:t>
      </w:r>
      <w:r w:rsidR="0043175D" w:rsidRPr="008848D4">
        <w:t>Si bien</w:t>
      </w:r>
      <w:r w:rsidRPr="008848D4">
        <w:t xml:space="preserve"> HRMD </w:t>
      </w:r>
      <w:r w:rsidR="0043175D" w:rsidRPr="008848D4">
        <w:t>tiene una función facilitadora estratégica clave en la Unión, pues su responsabilidad es acompañar al personal y a la organización hasta su máximo desarrollo mediante la prestación de servicios de calidad, el personal de la UIT sigue siendo respons</w:t>
      </w:r>
      <w:r w:rsidR="00996E7C" w:rsidRPr="008848D4">
        <w:t>a</w:t>
      </w:r>
      <w:r w:rsidR="0043175D" w:rsidRPr="008848D4">
        <w:t>ble de su propio rendimiento y desarrollo, así como del rendimiento y el desarrollo de la organización</w:t>
      </w:r>
      <w:r w:rsidRPr="008848D4">
        <w:t>.</w:t>
      </w:r>
    </w:p>
    <w:p w:rsidR="009B6DB0" w:rsidRPr="008848D4" w:rsidRDefault="00EE7A08" w:rsidP="00EE7A08">
      <w:pPr>
        <w:pStyle w:val="Heading1"/>
      </w:pPr>
      <w:r w:rsidRPr="008848D4">
        <w:t>5</w:t>
      </w:r>
      <w:r w:rsidRPr="008848D4">
        <w:tab/>
      </w:r>
      <w:r w:rsidR="00996E7C" w:rsidRPr="008848D4">
        <w:t>Objetivos y metas de RR.HH.: 4 pilares</w:t>
      </w:r>
    </w:p>
    <w:p w:rsidR="009B6DB0" w:rsidRPr="008848D4" w:rsidRDefault="009B6DB0" w:rsidP="00EE7A08">
      <w:pPr>
        <w:spacing w:after="120"/>
      </w:pPr>
      <w:r w:rsidRPr="008848D4">
        <w:t>5.1</w:t>
      </w:r>
      <w:r w:rsidRPr="008848D4">
        <w:tab/>
      </w:r>
      <w:r w:rsidR="00996E7C" w:rsidRPr="008848D4">
        <w:t xml:space="preserve">Para responder a los retos descritos en la Sección 2, la importancia de </w:t>
      </w:r>
      <w:r w:rsidRPr="008848D4">
        <w:t xml:space="preserve">HRMD </w:t>
      </w:r>
      <w:r w:rsidR="00996E7C" w:rsidRPr="008848D4">
        <w:t>como facilitador, mencionada en la Sección 3, sobre la base de los principios enunciados en la Sección</w:t>
      </w:r>
      <w:r w:rsidR="008720BB" w:rsidRPr="008848D4">
        <w:t xml:space="preserve"> </w:t>
      </w:r>
      <w:r w:rsidR="00996E7C" w:rsidRPr="008848D4">
        <w:t>4 se han definido las siguientes metas de RR.HH., que se dividen en cuatro</w:t>
      </w:r>
      <w:r w:rsidRPr="008848D4">
        <w:t xml:space="preserve"> </w:t>
      </w:r>
      <w:r w:rsidRPr="008848D4">
        <w:rPr>
          <w:i/>
          <w:iCs/>
        </w:rPr>
        <w:t xml:space="preserve">(4) </w:t>
      </w:r>
      <w:r w:rsidR="00996E7C" w:rsidRPr="008848D4">
        <w:rPr>
          <w:i/>
          <w:iCs/>
        </w:rPr>
        <w:t>grandes pilares</w:t>
      </w:r>
      <w:r w:rsidRPr="008848D4">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6DB0" w:rsidRPr="008848D4" w:rsidTr="009B6DB0">
        <w:tc>
          <w:tcPr>
            <w:tcW w:w="9639" w:type="dxa"/>
            <w:shd w:val="clear" w:color="auto" w:fill="DEEAF6"/>
          </w:tcPr>
          <w:p w:rsidR="009B6DB0" w:rsidRPr="008848D4" w:rsidRDefault="009B6DB0" w:rsidP="00EE7A08">
            <w:pPr>
              <w:pStyle w:val="Tablehead"/>
              <w:rPr>
                <w:lang w:eastAsia="zh-CN"/>
              </w:rPr>
            </w:pPr>
            <w:r w:rsidRPr="008848D4">
              <w:rPr>
                <w:lang w:eastAsia="zh-CN"/>
              </w:rPr>
              <w:t xml:space="preserve">Pilar 1. </w:t>
            </w:r>
            <w:r w:rsidR="00996E7C" w:rsidRPr="008848D4">
              <w:rPr>
                <w:lang w:eastAsia="zh-CN"/>
              </w:rPr>
              <w:t>Personal adecuado que integre la diversidad y la agilidad</w:t>
            </w:r>
            <w:r w:rsidRPr="008848D4">
              <w:rPr>
                <w:lang w:eastAsia="zh-CN"/>
              </w:rPr>
              <w:t xml:space="preserve"> </w:t>
            </w:r>
            <w:r w:rsidRPr="008848D4">
              <w:rPr>
                <w:lang w:eastAsia="zh-CN"/>
              </w:rPr>
              <w:br/>
              <w:t>(</w:t>
            </w:r>
            <w:r w:rsidR="00996E7C" w:rsidRPr="008848D4">
              <w:rPr>
                <w:lang w:eastAsia="zh-CN"/>
              </w:rPr>
              <w:t>armonización del personal de la UIT con las metas de la UIT</w:t>
            </w:r>
            <w:r w:rsidRPr="008848D4">
              <w:rPr>
                <w:lang w:eastAsia="zh-CN"/>
              </w:rPr>
              <w:t>)</w:t>
            </w:r>
          </w:p>
        </w:tc>
      </w:tr>
      <w:tr w:rsidR="009B6DB0" w:rsidRPr="008848D4" w:rsidTr="009B6DB0">
        <w:tc>
          <w:tcPr>
            <w:tcW w:w="9639" w:type="dxa"/>
            <w:shd w:val="clear" w:color="auto" w:fill="DEEAF6"/>
          </w:tcPr>
          <w:p w:rsidR="009B6DB0" w:rsidRPr="008848D4" w:rsidRDefault="00EE7A08" w:rsidP="003F1745">
            <w:pPr>
              <w:pStyle w:val="Tabletext"/>
              <w:ind w:left="885" w:right="742" w:hanging="284"/>
              <w:jc w:val="both"/>
              <w:rPr>
                <w:b/>
                <w:bCs/>
                <w:lang w:eastAsia="zh-CN"/>
              </w:rPr>
            </w:pPr>
            <w:r w:rsidRPr="008848D4">
              <w:rPr>
                <w:b/>
                <w:bCs/>
                <w:lang w:eastAsia="zh-CN"/>
              </w:rPr>
              <w:t>•</w:t>
            </w:r>
            <w:r w:rsidRPr="008848D4">
              <w:rPr>
                <w:b/>
                <w:bCs/>
                <w:lang w:eastAsia="zh-CN"/>
              </w:rPr>
              <w:tab/>
            </w:r>
            <w:r w:rsidR="00996E7C" w:rsidRPr="008848D4">
              <w:rPr>
                <w:b/>
                <w:bCs/>
                <w:lang w:eastAsia="zh-CN"/>
              </w:rPr>
              <w:t>Personal adecuado</w:t>
            </w:r>
            <w:r w:rsidR="009B6DB0" w:rsidRPr="008848D4">
              <w:rPr>
                <w:lang w:eastAsia="zh-CN"/>
              </w:rPr>
              <w:t>, inclu</w:t>
            </w:r>
            <w:r w:rsidR="00996E7C" w:rsidRPr="008848D4">
              <w:rPr>
                <w:lang w:eastAsia="zh-CN"/>
              </w:rPr>
              <w:t>ida la identificación de funciones duplicadas o solapadas</w:t>
            </w:r>
            <w:r w:rsidR="009B6DB0" w:rsidRPr="008848D4">
              <w:rPr>
                <w:lang w:eastAsia="zh-CN"/>
              </w:rPr>
              <w:t>;</w:t>
            </w:r>
          </w:p>
          <w:p w:rsidR="009B6DB0" w:rsidRPr="008848D4" w:rsidRDefault="00EE7A08" w:rsidP="003F1745">
            <w:pPr>
              <w:pStyle w:val="Tabletext"/>
              <w:ind w:left="885" w:right="742" w:hanging="284"/>
              <w:jc w:val="both"/>
              <w:rPr>
                <w:b/>
                <w:bCs/>
                <w:lang w:eastAsia="zh-CN"/>
              </w:rPr>
            </w:pPr>
            <w:r w:rsidRPr="008848D4">
              <w:rPr>
                <w:b/>
                <w:bCs/>
                <w:lang w:eastAsia="zh-CN"/>
              </w:rPr>
              <w:t>•</w:t>
            </w:r>
            <w:r w:rsidRPr="008848D4">
              <w:rPr>
                <w:b/>
                <w:bCs/>
                <w:lang w:eastAsia="zh-CN"/>
              </w:rPr>
              <w:tab/>
            </w:r>
            <w:r w:rsidR="00D5216E" w:rsidRPr="008848D4">
              <w:rPr>
                <w:b/>
                <w:bCs/>
              </w:rPr>
              <w:t>Armonización de las prioridades estratégicas de la Unión con los cargos y funciones del personal</w:t>
            </w:r>
            <w:r w:rsidR="00D5216E" w:rsidRPr="008848D4">
              <w:t>;</w:t>
            </w:r>
          </w:p>
          <w:p w:rsidR="009B6DB0" w:rsidRPr="008848D4" w:rsidRDefault="00EE7A08" w:rsidP="003F1745">
            <w:pPr>
              <w:pStyle w:val="Tabletext"/>
              <w:ind w:left="885" w:right="742" w:hanging="284"/>
              <w:jc w:val="both"/>
              <w:rPr>
                <w:b/>
                <w:bCs/>
                <w:lang w:eastAsia="zh-CN"/>
              </w:rPr>
            </w:pPr>
            <w:r w:rsidRPr="008848D4">
              <w:rPr>
                <w:b/>
                <w:bCs/>
                <w:lang w:eastAsia="zh-CN"/>
              </w:rPr>
              <w:t>•</w:t>
            </w:r>
            <w:r w:rsidRPr="008848D4">
              <w:rPr>
                <w:b/>
                <w:bCs/>
                <w:lang w:eastAsia="zh-CN"/>
              </w:rPr>
              <w:tab/>
            </w:r>
            <w:r w:rsidR="00996E7C" w:rsidRPr="008848D4">
              <w:rPr>
                <w:b/>
                <w:bCs/>
                <w:lang w:eastAsia="zh-CN"/>
              </w:rPr>
              <w:t xml:space="preserve">Personal equilibrado y diversificado </w:t>
            </w:r>
            <w:r w:rsidR="00996E7C" w:rsidRPr="008848D4">
              <w:rPr>
                <w:lang w:eastAsia="zh-CN"/>
              </w:rPr>
              <w:t>en lo que respecta a las categorías profesional y superiores y de servicios generales; edad, paridad entre hombres y mujeres en todos los niveles, distribución geográfica y personas con discapacidad</w:t>
            </w:r>
            <w:r w:rsidR="009B6DB0" w:rsidRPr="008848D4">
              <w:rPr>
                <w:lang w:eastAsia="zh-CN"/>
              </w:rPr>
              <w:t xml:space="preserve">; </w:t>
            </w:r>
          </w:p>
          <w:p w:rsidR="009B6DB0" w:rsidRPr="008848D4" w:rsidRDefault="00EE7A08" w:rsidP="003F1745">
            <w:pPr>
              <w:pStyle w:val="Tabletext"/>
              <w:ind w:left="885" w:right="742" w:hanging="284"/>
              <w:jc w:val="both"/>
              <w:rPr>
                <w:b/>
                <w:bCs/>
                <w:lang w:eastAsia="zh-CN"/>
              </w:rPr>
            </w:pPr>
            <w:r w:rsidRPr="008848D4">
              <w:rPr>
                <w:b/>
                <w:bCs/>
                <w:lang w:eastAsia="zh-CN"/>
              </w:rPr>
              <w:t>•</w:t>
            </w:r>
            <w:r w:rsidRPr="008848D4">
              <w:rPr>
                <w:b/>
                <w:bCs/>
                <w:lang w:eastAsia="zh-CN"/>
              </w:rPr>
              <w:tab/>
            </w:r>
            <w:r w:rsidR="00996E7C" w:rsidRPr="008848D4">
              <w:rPr>
                <w:b/>
                <w:bCs/>
              </w:rPr>
              <w:t xml:space="preserve">Contratación equilibrada </w:t>
            </w:r>
            <w:r w:rsidR="00996E7C" w:rsidRPr="008848D4">
              <w:t xml:space="preserve">entre personal interno y externo; </w:t>
            </w:r>
            <w:r w:rsidR="00996E7C" w:rsidRPr="008848D4">
              <w:rPr>
                <w:b/>
                <w:bCs/>
              </w:rPr>
              <w:t xml:space="preserve">modelo y proceso de contratación más sólido, simplificado y corto </w:t>
            </w:r>
            <w:r w:rsidR="00996E7C" w:rsidRPr="008848D4">
              <w:t>para detect</w:t>
            </w:r>
            <w:r w:rsidR="003F1745" w:rsidRPr="008848D4">
              <w:t>a</w:t>
            </w:r>
            <w:r w:rsidR="00996E7C" w:rsidRPr="008848D4">
              <w:t>r a los candidatos altamente cualificados, desde los jóvenes talentos (pasantes y programas para jóvenes, funcionarios profesionales de grado inferior, etc.) a perfiles muy cualificados para los cargos superiores</w:t>
            </w:r>
            <w:r w:rsidR="009B6DB0" w:rsidRPr="008848D4">
              <w:rPr>
                <w:lang w:eastAsia="zh-CN"/>
              </w:rPr>
              <w:t>;</w:t>
            </w:r>
          </w:p>
          <w:p w:rsidR="009B6DB0" w:rsidRPr="008848D4" w:rsidRDefault="00EE7A08" w:rsidP="003F1745">
            <w:pPr>
              <w:pStyle w:val="Tabletext"/>
              <w:ind w:left="885" w:right="742" w:hanging="284"/>
              <w:jc w:val="both"/>
            </w:pPr>
            <w:r w:rsidRPr="008848D4">
              <w:rPr>
                <w:b/>
                <w:bCs/>
                <w:lang w:eastAsia="zh-CN"/>
              </w:rPr>
              <w:lastRenderedPageBreak/>
              <w:t>•</w:t>
            </w:r>
            <w:r w:rsidRPr="008848D4">
              <w:rPr>
                <w:b/>
                <w:bCs/>
                <w:lang w:eastAsia="zh-CN"/>
              </w:rPr>
              <w:tab/>
            </w:r>
            <w:r w:rsidR="00F0681E" w:rsidRPr="008848D4">
              <w:rPr>
                <w:b/>
                <w:bCs/>
              </w:rPr>
              <w:t xml:space="preserve">Mejora de la imagen de marca de la UIT como empleador </w:t>
            </w:r>
            <w:r w:rsidR="00F0681E" w:rsidRPr="008848D4">
              <w:t xml:space="preserve">mediante una proyección estratégica para atraer a candidatos </w:t>
            </w:r>
            <w:r w:rsidR="00F0681E" w:rsidRPr="008848D4">
              <w:rPr>
                <w:i/>
                <w:iCs/>
              </w:rPr>
              <w:t>diversos</w:t>
            </w:r>
            <w:r w:rsidR="000C762C" w:rsidRPr="008848D4">
              <w:rPr>
                <w:i/>
                <w:iCs/>
              </w:rPr>
              <w:t xml:space="preserve"> </w:t>
            </w:r>
            <w:r w:rsidR="00F0681E" w:rsidRPr="008848D4">
              <w:t>y altamente cualificados, así como para estrechar las asociaciones con los Estados Miembros y los gobiernos nacionales</w:t>
            </w:r>
            <w:r w:rsidR="009B6DB0" w:rsidRPr="008848D4">
              <w:t>.</w:t>
            </w:r>
          </w:p>
        </w:tc>
      </w:tr>
    </w:tbl>
    <w:p w:rsidR="009B6DB0" w:rsidRPr="008848D4" w:rsidRDefault="009B6DB0" w:rsidP="009B6DB0">
      <w:pPr>
        <w:spacing w:after="120"/>
        <w:ind w:right="1134"/>
        <w:jc w:val="both"/>
        <w:rPr>
          <w:rFonts w:asciiTheme="minorHAnsi" w:hAnsiTheme="minorHAnsi"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6DB0" w:rsidRPr="008848D4" w:rsidTr="009B6DB0">
        <w:tc>
          <w:tcPr>
            <w:tcW w:w="9639" w:type="dxa"/>
            <w:shd w:val="clear" w:color="auto" w:fill="FBE4D5"/>
          </w:tcPr>
          <w:p w:rsidR="009B6DB0" w:rsidRPr="008848D4" w:rsidRDefault="009B6DB0" w:rsidP="00EE7A08">
            <w:pPr>
              <w:pStyle w:val="Tablehead"/>
            </w:pPr>
            <w:r w:rsidRPr="008848D4">
              <w:rPr>
                <w:lang w:eastAsia="zh-CN"/>
              </w:rPr>
              <w:t xml:space="preserve">Pilar 2. </w:t>
            </w:r>
            <w:r w:rsidR="000418ED" w:rsidRPr="008848D4">
              <w:rPr>
                <w:lang w:eastAsia="zh-CN"/>
              </w:rPr>
              <w:t>Empleados comprometidos</w:t>
            </w:r>
          </w:p>
        </w:tc>
      </w:tr>
      <w:tr w:rsidR="009B6DB0" w:rsidRPr="008848D4" w:rsidTr="009B6DB0">
        <w:tc>
          <w:tcPr>
            <w:tcW w:w="9639" w:type="dxa"/>
            <w:shd w:val="clear" w:color="auto" w:fill="FBE4D5"/>
          </w:tcPr>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0418ED" w:rsidRPr="008848D4">
              <w:rPr>
                <w:b/>
                <w:bCs/>
                <w:lang w:eastAsia="zh-CN"/>
              </w:rPr>
              <w:t xml:space="preserve">Armonización estratégica y operacional del rendimiento del personal con las metas de la UIT </w:t>
            </w:r>
            <w:r w:rsidR="000418ED" w:rsidRPr="008848D4">
              <w:rPr>
                <w:lang w:eastAsia="zh-CN"/>
              </w:rPr>
              <w:t>sobre la base de una gestión del rendimiento efectiva y un Sistema de desarrollo que comprende oportunidades de éxito, desarrollo y crecimiento profesional y reconocimiento de los logros</w:t>
            </w:r>
            <w:r w:rsidR="009B6DB0"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0418ED" w:rsidRPr="008848D4">
              <w:rPr>
                <w:b/>
                <w:bCs/>
                <w:lang w:eastAsia="zh-CN"/>
              </w:rPr>
              <w:t xml:space="preserve">Modelo de liderazgo efectivo, inclusivo e inductivo </w:t>
            </w:r>
            <w:r w:rsidR="000418ED" w:rsidRPr="008848D4">
              <w:rPr>
                <w:lang w:eastAsia="zh-CN"/>
              </w:rPr>
              <w:t xml:space="preserve">que fomenta la comunicación </w:t>
            </w:r>
            <w:r w:rsidR="00C468E7" w:rsidRPr="008848D4">
              <w:rPr>
                <w:lang w:eastAsia="zh-CN"/>
              </w:rPr>
              <w:t>continua</w:t>
            </w:r>
            <w:r w:rsidR="000418ED" w:rsidRPr="008848D4">
              <w:rPr>
                <w:lang w:eastAsia="zh-CN"/>
              </w:rPr>
              <w:t xml:space="preserve"> con el personal mediante conversaciones informales y constructivas en tiempo real a fin de pasar de la gestión del rendimiento a la mejora del rendimiento. En todos los niveles este modelo debe basarse en la </w:t>
            </w:r>
            <w:r w:rsidR="000418ED" w:rsidRPr="008848D4">
              <w:rPr>
                <w:b/>
                <w:bCs/>
                <w:i/>
                <w:iCs/>
                <w:lang w:eastAsia="zh-CN"/>
              </w:rPr>
              <w:t>confianza mutual, la responsabilidad, la transparencia y la rendición de cuentas</w:t>
            </w:r>
            <w:r w:rsidR="000418ED" w:rsidRPr="008848D4">
              <w:rPr>
                <w:i/>
                <w:iCs/>
                <w:lang w:eastAsia="zh-CN"/>
              </w:rPr>
              <w:t xml:space="preserve">, </w:t>
            </w:r>
            <w:r w:rsidR="000418ED" w:rsidRPr="008848D4">
              <w:rPr>
                <w:lang w:eastAsia="zh-CN"/>
              </w:rPr>
              <w:t>en armonía con las aspiraciones profesionales del personal</w:t>
            </w:r>
            <w:r w:rsidR="009B6DB0"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4067A2" w:rsidRPr="008848D4">
              <w:rPr>
                <w:b/>
                <w:bCs/>
                <w:lang w:eastAsia="zh-CN"/>
              </w:rPr>
              <w:t xml:space="preserve">Una base común para las competencias y destrezas necesarias </w:t>
            </w:r>
            <w:r w:rsidR="004067A2" w:rsidRPr="008848D4">
              <w:rPr>
                <w:lang w:eastAsia="zh-CN"/>
              </w:rPr>
              <w:t>basada en análisis y evaluaciones de carencias (diseño de perfiles de competencias y destrezas) para garantizar que las personas adecuadas ocupan los puestos adecuados, también recurriendo a la movilidad y la rotación funcional</w:t>
            </w:r>
            <w:r w:rsidR="009B6DB0"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4067A2" w:rsidRPr="008848D4">
              <w:rPr>
                <w:b/>
                <w:bCs/>
                <w:lang w:eastAsia="zh-CN"/>
              </w:rPr>
              <w:t xml:space="preserve">Aprendizaje y desarrollo </w:t>
            </w:r>
            <w:r w:rsidR="004067A2" w:rsidRPr="008848D4">
              <w:rPr>
                <w:lang w:eastAsia="zh-CN"/>
              </w:rPr>
              <w:t xml:space="preserve">como medio esencial para garantizar el </w:t>
            </w:r>
            <w:r w:rsidR="004067A2" w:rsidRPr="008848D4">
              <w:rPr>
                <w:i/>
                <w:iCs/>
                <w:lang w:eastAsia="zh-CN"/>
              </w:rPr>
              <w:t>continuo desarrollo del personal de la UIT para alcanzar las metas de la organización</w:t>
            </w:r>
            <w:r w:rsidR="004067A2" w:rsidRPr="008848D4">
              <w:rPr>
                <w:lang w:eastAsia="zh-CN"/>
              </w:rPr>
              <w:t xml:space="preserve">, incluido un </w:t>
            </w:r>
            <w:r w:rsidR="004067A2" w:rsidRPr="008848D4">
              <w:rPr>
                <w:i/>
                <w:iCs/>
                <w:lang w:eastAsia="zh-CN"/>
              </w:rPr>
              <w:t xml:space="preserve">marco de desarrollo de líderes y de aprendizaje por la experiencia, </w:t>
            </w:r>
            <w:r w:rsidR="004067A2" w:rsidRPr="008848D4">
              <w:rPr>
                <w:lang w:eastAsia="zh-CN"/>
              </w:rPr>
              <w:t>a fin de aumentar la reactividad del personal y la organización</w:t>
            </w:r>
            <w:r w:rsidR="009B6DB0" w:rsidRPr="008848D4">
              <w:rPr>
                <w:lang w:eastAsia="zh-CN"/>
              </w:rPr>
              <w:t>;</w:t>
            </w:r>
          </w:p>
          <w:p w:rsidR="009B6DB0" w:rsidRPr="008848D4" w:rsidRDefault="00EE7A08" w:rsidP="003F1745">
            <w:pPr>
              <w:pStyle w:val="Tabletext"/>
              <w:ind w:left="885" w:right="742" w:hanging="284"/>
              <w:jc w:val="both"/>
              <w:rPr>
                <w:b/>
                <w:bCs/>
                <w:lang w:eastAsia="zh-CN"/>
              </w:rPr>
            </w:pPr>
            <w:r w:rsidRPr="008848D4">
              <w:rPr>
                <w:b/>
                <w:bCs/>
                <w:lang w:eastAsia="zh-CN"/>
              </w:rPr>
              <w:t>•</w:t>
            </w:r>
            <w:r w:rsidRPr="008848D4">
              <w:rPr>
                <w:b/>
                <w:bCs/>
                <w:lang w:eastAsia="zh-CN"/>
              </w:rPr>
              <w:tab/>
            </w:r>
            <w:r w:rsidR="004067A2" w:rsidRPr="008848D4">
              <w:rPr>
                <w:b/>
                <w:bCs/>
                <w:lang w:eastAsia="zh-CN"/>
              </w:rPr>
              <w:t xml:space="preserve">Orientación, inducción y tutorado del personal </w:t>
            </w:r>
            <w:r w:rsidR="004067A2" w:rsidRPr="008848D4">
              <w:rPr>
                <w:lang w:eastAsia="zh-CN"/>
              </w:rPr>
              <w:t>desde la contratación y conservación de la memoria institucional mediante un proceso racionalizado y global de partida;</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4067A2" w:rsidRPr="008848D4">
              <w:rPr>
                <w:b/>
                <w:bCs/>
                <w:lang w:eastAsia="zh-CN"/>
              </w:rPr>
              <w:t xml:space="preserve">Programa </w:t>
            </w:r>
            <w:r w:rsidR="00C55D78" w:rsidRPr="008848D4">
              <w:rPr>
                <w:b/>
                <w:bCs/>
                <w:lang w:eastAsia="zh-CN"/>
              </w:rPr>
              <w:t>institucional</w:t>
            </w:r>
            <w:r w:rsidR="004067A2" w:rsidRPr="008848D4">
              <w:rPr>
                <w:b/>
                <w:bCs/>
                <w:lang w:eastAsia="zh-CN"/>
              </w:rPr>
              <w:t xml:space="preserve"> de recompensas </w:t>
            </w:r>
            <w:r w:rsidR="004067A2" w:rsidRPr="008848D4">
              <w:rPr>
                <w:lang w:eastAsia="zh-CN"/>
              </w:rPr>
              <w:t>que sustente y fomente la cultura dela organización mediante el reconocimiento de los equipos y miembros del personal de la UIT que aportan una contribución sobresaliente a la consecución del mandato, las metas y valores de la UIT</w:t>
            </w:r>
            <w:r w:rsidR="009B6DB0" w:rsidRPr="008848D4">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4067A2" w:rsidRPr="008848D4">
              <w:rPr>
                <w:b/>
                <w:bCs/>
                <w:lang w:eastAsia="zh-CN"/>
              </w:rPr>
              <w:t xml:space="preserve">Planificación de la sucesión </w:t>
            </w:r>
            <w:r w:rsidR="004067A2" w:rsidRPr="008848D4">
              <w:rPr>
                <w:lang w:eastAsia="zh-CN"/>
              </w:rPr>
              <w:t>como herramienta para racionalizar la planificación e identificar prontamente las necesidades</w:t>
            </w:r>
            <w:r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4067A2" w:rsidRPr="008848D4">
              <w:rPr>
                <w:b/>
                <w:bCs/>
                <w:lang w:eastAsia="zh-CN"/>
              </w:rPr>
              <w:t xml:space="preserve">Diseño de estrategias y planes de gestión de cambios y contratación </w:t>
            </w:r>
            <w:r w:rsidR="004067A2" w:rsidRPr="008848D4">
              <w:rPr>
                <w:lang w:eastAsia="zh-CN"/>
              </w:rPr>
              <w:t>para responder con rapidez y de manera más estratégica a los cambios, reconocer los nuevos retos en el ámbito laboral y la necesidad de nuevas destrezas, actitudes y comportamientos para responder a ellos</w:t>
            </w:r>
            <w:r w:rsidR="009B6DB0" w:rsidRPr="008848D4">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850A12" w:rsidRPr="008848D4">
              <w:rPr>
                <w:b/>
                <w:bCs/>
                <w:lang w:eastAsia="zh-CN"/>
              </w:rPr>
              <w:t xml:space="preserve">Recurso a la movilidad interna y externa </w:t>
            </w:r>
            <w:r w:rsidR="00850A12" w:rsidRPr="008848D4">
              <w:rPr>
                <w:lang w:eastAsia="zh-CN"/>
              </w:rPr>
              <w:t>para garantizar que las personas adecuadas ocupan los puestos adecuados y que el personal tiene la oportunidad de adquirir experiencia en diversos ámbitos y llegar a una comprensión orgánica de las perspectivas y estrategias de la UIT</w:t>
            </w:r>
            <w:r w:rsidR="009B6DB0"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850A12" w:rsidRPr="008848D4">
              <w:rPr>
                <w:b/>
                <w:bCs/>
                <w:lang w:eastAsia="zh-CN"/>
              </w:rPr>
              <w:t xml:space="preserve">Realización de una evaluación del rendimiento significativa, </w:t>
            </w:r>
            <w:r w:rsidR="00850A12" w:rsidRPr="008848D4">
              <w:rPr>
                <w:lang w:eastAsia="zh-CN"/>
              </w:rPr>
              <w:t>que se traduzca en una gestión del rendimiento constructiva que aproveche las oportunidades de formación y desarrollo profesional</w:t>
            </w:r>
            <w:r w:rsidR="009B6DB0"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850A12" w:rsidRPr="008848D4">
              <w:rPr>
                <w:b/>
                <w:bCs/>
                <w:lang w:eastAsia="zh-CN"/>
              </w:rPr>
              <w:t>Fomento de una cultura de reconocimiento de los logros</w:t>
            </w:r>
            <w:r w:rsidR="009B6DB0"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850A12" w:rsidRPr="0027206B">
              <w:rPr>
                <w:b/>
                <w:bCs/>
                <w:spacing w:val="-2"/>
                <w:lang w:eastAsia="zh-CN"/>
              </w:rPr>
              <w:t xml:space="preserve">Integración de la gestión del cambio en la gestión del talento </w:t>
            </w:r>
            <w:r w:rsidR="00850A12" w:rsidRPr="0027206B">
              <w:rPr>
                <w:spacing w:val="-2"/>
                <w:lang w:eastAsia="zh-CN"/>
              </w:rPr>
              <w:t>y las prácticas de desarrollo</w:t>
            </w:r>
            <w:r w:rsidR="009B6DB0" w:rsidRPr="0027206B">
              <w:rPr>
                <w:spacing w:val="-2"/>
                <w:lang w:eastAsia="zh-CN"/>
              </w:rPr>
              <w:t>.</w:t>
            </w:r>
          </w:p>
        </w:tc>
      </w:tr>
    </w:tbl>
    <w:p w:rsidR="009B6DB0" w:rsidRPr="008848D4" w:rsidRDefault="009B6DB0" w:rsidP="009B6DB0">
      <w:pPr>
        <w:spacing w:before="100" w:after="100"/>
        <w:ind w:left="1134" w:right="1134"/>
        <w:jc w:val="both"/>
        <w:rPr>
          <w:rFonts w:asciiTheme="minorHAnsi" w:hAnsiTheme="minorHAnsi" w:cstheme="minorHAnsi"/>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6DB0" w:rsidRPr="008848D4" w:rsidTr="009B6DB0">
        <w:tc>
          <w:tcPr>
            <w:tcW w:w="9639" w:type="dxa"/>
            <w:shd w:val="clear" w:color="auto" w:fill="FFE599"/>
          </w:tcPr>
          <w:p w:rsidR="009B6DB0" w:rsidRPr="008848D4" w:rsidRDefault="009B6DB0" w:rsidP="00EE7A08">
            <w:pPr>
              <w:pStyle w:val="Tablehead"/>
              <w:rPr>
                <w:lang w:eastAsia="zh-CN"/>
              </w:rPr>
            </w:pPr>
            <w:r w:rsidRPr="008848D4">
              <w:rPr>
                <w:lang w:eastAsia="zh-CN"/>
              </w:rPr>
              <w:t xml:space="preserve">Pilar 3. </w:t>
            </w:r>
            <w:r w:rsidR="00850A12" w:rsidRPr="008848D4">
              <w:rPr>
                <w:lang w:eastAsia="zh-CN"/>
              </w:rPr>
              <w:t>Servicios de RR.HH. basados en la excelencia</w:t>
            </w:r>
          </w:p>
        </w:tc>
      </w:tr>
      <w:tr w:rsidR="009B6DB0" w:rsidRPr="008848D4" w:rsidTr="009B6DB0">
        <w:tc>
          <w:tcPr>
            <w:tcW w:w="9639" w:type="dxa"/>
            <w:shd w:val="clear" w:color="auto" w:fill="FFE599"/>
          </w:tcPr>
          <w:p w:rsidR="009B6DB0" w:rsidRPr="008848D4" w:rsidRDefault="00EE7A08" w:rsidP="003F1745">
            <w:pPr>
              <w:pStyle w:val="Tabletext"/>
              <w:ind w:left="885" w:right="742" w:hanging="284"/>
              <w:jc w:val="both"/>
              <w:rPr>
                <w:u w:val="single"/>
                <w:lang w:eastAsia="zh-CN"/>
              </w:rPr>
            </w:pPr>
            <w:r w:rsidRPr="008848D4">
              <w:rPr>
                <w:b/>
                <w:bCs/>
                <w:lang w:eastAsia="zh-CN"/>
              </w:rPr>
              <w:lastRenderedPageBreak/>
              <w:t>•</w:t>
            </w:r>
            <w:r w:rsidRPr="008848D4">
              <w:rPr>
                <w:b/>
                <w:bCs/>
                <w:lang w:eastAsia="zh-CN"/>
              </w:rPr>
              <w:tab/>
            </w:r>
            <w:r w:rsidR="00632482" w:rsidRPr="008848D4">
              <w:rPr>
                <w:b/>
                <w:bCs/>
                <w:lang w:eastAsia="zh-CN"/>
              </w:rPr>
              <w:t xml:space="preserve">Modelo de asociación y de RR.HH. basado en resultados </w:t>
            </w:r>
            <w:r w:rsidR="00632482" w:rsidRPr="008848D4">
              <w:rPr>
                <w:lang w:eastAsia="zh-CN"/>
              </w:rPr>
              <w:t>conforme con la estrategia institucional, centrado en las implicaciones para el personal, responsable en su respuesta a los clientes, que modernice los métodos de trabajo, los procesos,</w:t>
            </w:r>
            <w:r w:rsidR="009B6DB0" w:rsidRPr="008848D4">
              <w:rPr>
                <w:lang w:eastAsia="zh-CN"/>
              </w:rPr>
              <w:t xml:space="preserve"> etc.;</w:t>
            </w:r>
          </w:p>
          <w:p w:rsidR="009B6DB0" w:rsidRPr="008848D4" w:rsidRDefault="00EE7A08" w:rsidP="003F1745">
            <w:pPr>
              <w:pStyle w:val="Tabletext"/>
              <w:ind w:left="885" w:right="742" w:hanging="284"/>
              <w:jc w:val="both"/>
              <w:rPr>
                <w:i/>
                <w:iCs/>
                <w:u w:val="single"/>
                <w:lang w:eastAsia="zh-CN"/>
              </w:rPr>
            </w:pPr>
            <w:r w:rsidRPr="008848D4">
              <w:rPr>
                <w:b/>
                <w:bCs/>
                <w:lang w:eastAsia="zh-CN"/>
              </w:rPr>
              <w:t>•</w:t>
            </w:r>
            <w:r w:rsidRPr="008848D4">
              <w:rPr>
                <w:b/>
                <w:bCs/>
                <w:lang w:eastAsia="zh-CN"/>
              </w:rPr>
              <w:tab/>
            </w:r>
            <w:r w:rsidR="00632482" w:rsidRPr="008848D4">
              <w:rPr>
                <w:b/>
                <w:bCs/>
                <w:lang w:eastAsia="zh-CN"/>
              </w:rPr>
              <w:t xml:space="preserve">El Departamento </w:t>
            </w:r>
            <w:r w:rsidR="009B6DB0" w:rsidRPr="008848D4">
              <w:rPr>
                <w:b/>
                <w:bCs/>
                <w:lang w:eastAsia="zh-CN"/>
              </w:rPr>
              <w:t>HRMD</w:t>
            </w:r>
            <w:r w:rsidR="00632482" w:rsidRPr="008848D4">
              <w:rPr>
                <w:b/>
                <w:bCs/>
                <w:lang w:eastAsia="zh-CN"/>
              </w:rPr>
              <w:t xml:space="preserve"> es un socio fiable y responsable </w:t>
            </w:r>
            <w:r w:rsidR="00632482" w:rsidRPr="008848D4">
              <w:rPr>
                <w:lang w:eastAsia="zh-CN"/>
              </w:rPr>
              <w:t xml:space="preserve">que añade valor, es proactivo y está destinado al servicio; y continuamente ofrece servicios de </w:t>
            </w:r>
            <w:r w:rsidR="003F1745" w:rsidRPr="008848D4">
              <w:rPr>
                <w:lang w:eastAsia="zh-CN"/>
              </w:rPr>
              <w:t>RR.HH.</w:t>
            </w:r>
            <w:r w:rsidR="00632482" w:rsidRPr="008848D4">
              <w:rPr>
                <w:lang w:eastAsia="zh-CN"/>
              </w:rPr>
              <w:t xml:space="preserve"> de alta calidad al tiempo que garantiza la equidad de la organización</w:t>
            </w:r>
            <w:r w:rsidR="009B6DB0" w:rsidRPr="008848D4">
              <w:rPr>
                <w:lang w:eastAsia="zh-CN"/>
              </w:rPr>
              <w:t>;</w:t>
            </w:r>
          </w:p>
          <w:p w:rsidR="009B6DB0" w:rsidRPr="008848D4" w:rsidRDefault="00EE7A08" w:rsidP="003F1745">
            <w:pPr>
              <w:pStyle w:val="Tabletext"/>
              <w:ind w:left="885" w:right="742" w:hanging="284"/>
              <w:jc w:val="both"/>
              <w:rPr>
                <w:i/>
                <w:iCs/>
                <w:u w:val="single"/>
                <w:lang w:eastAsia="zh-CN"/>
              </w:rPr>
            </w:pPr>
            <w:r w:rsidRPr="008848D4">
              <w:rPr>
                <w:b/>
                <w:bCs/>
                <w:lang w:eastAsia="zh-CN"/>
              </w:rPr>
              <w:t>•</w:t>
            </w:r>
            <w:r w:rsidRPr="008848D4">
              <w:rPr>
                <w:b/>
                <w:bCs/>
                <w:lang w:eastAsia="zh-CN"/>
              </w:rPr>
              <w:tab/>
            </w:r>
            <w:r w:rsidR="009B6DB0" w:rsidRPr="008848D4">
              <w:rPr>
                <w:b/>
                <w:bCs/>
              </w:rPr>
              <w:t>Con</w:t>
            </w:r>
            <w:r w:rsidR="00632482" w:rsidRPr="008848D4">
              <w:rPr>
                <w:b/>
                <w:bCs/>
              </w:rPr>
              <w:t xml:space="preserve">exión con los clientes internos </w:t>
            </w:r>
            <w:r w:rsidR="00632482" w:rsidRPr="008848D4">
              <w:t>con curiosidad, finalidad y consecuencias</w:t>
            </w:r>
            <w:r w:rsidR="009B6DB0" w:rsidRPr="008848D4">
              <w:t>;</w:t>
            </w:r>
          </w:p>
          <w:p w:rsidR="009B6DB0" w:rsidRPr="008848D4" w:rsidRDefault="00EE7A08" w:rsidP="003F1745">
            <w:pPr>
              <w:pStyle w:val="Tabletext"/>
              <w:ind w:left="885" w:right="742" w:hanging="284"/>
              <w:jc w:val="both"/>
              <w:rPr>
                <w:i/>
                <w:iCs/>
                <w:u w:val="single"/>
                <w:lang w:eastAsia="zh-CN"/>
              </w:rPr>
            </w:pPr>
            <w:r w:rsidRPr="008848D4">
              <w:rPr>
                <w:b/>
                <w:bCs/>
                <w:lang w:eastAsia="zh-CN"/>
              </w:rPr>
              <w:t>•</w:t>
            </w:r>
            <w:r w:rsidRPr="008848D4">
              <w:rPr>
                <w:b/>
                <w:bCs/>
                <w:lang w:eastAsia="zh-CN"/>
              </w:rPr>
              <w:tab/>
            </w:r>
            <w:r w:rsidR="00632482" w:rsidRPr="008848D4">
              <w:rPr>
                <w:b/>
                <w:bCs/>
                <w:lang w:eastAsia="zh-CN"/>
              </w:rPr>
              <w:t xml:space="preserve">Servicios de RR.HH. racionalizados y globales </w:t>
            </w:r>
            <w:r w:rsidR="00632482" w:rsidRPr="008848D4">
              <w:rPr>
                <w:lang w:eastAsia="zh-CN"/>
              </w:rPr>
              <w:t>(simplificando los flujos y procesos de trabajo, fomentando el entorno laboral sin papel y creando planes y programas institucionales orientados a los clientes</w:t>
            </w:r>
            <w:r w:rsidR="009B6DB0" w:rsidRPr="008848D4">
              <w:rPr>
                <w:lang w:eastAsia="zh-CN"/>
              </w:rPr>
              <w:t>);</w:t>
            </w:r>
          </w:p>
          <w:p w:rsidR="009B6DB0" w:rsidRPr="008848D4" w:rsidRDefault="00EE7A08" w:rsidP="003F1745">
            <w:pPr>
              <w:pStyle w:val="Tabletext"/>
              <w:ind w:left="885" w:right="742" w:hanging="284"/>
              <w:jc w:val="both"/>
              <w:rPr>
                <w:i/>
                <w:iCs/>
                <w:u w:val="single"/>
                <w:lang w:eastAsia="zh-CN"/>
              </w:rPr>
            </w:pPr>
            <w:r w:rsidRPr="008848D4">
              <w:rPr>
                <w:b/>
                <w:bCs/>
                <w:lang w:eastAsia="zh-CN"/>
              </w:rPr>
              <w:t>•</w:t>
            </w:r>
            <w:r w:rsidRPr="008848D4">
              <w:rPr>
                <w:b/>
                <w:bCs/>
                <w:lang w:eastAsia="zh-CN"/>
              </w:rPr>
              <w:tab/>
            </w:r>
            <w:r w:rsidR="00632482" w:rsidRPr="008848D4">
              <w:rPr>
                <w:b/>
                <w:bCs/>
              </w:rPr>
              <w:t xml:space="preserve">Planes de recursos empresariales (PRE) innovadores, racionalizados e integrados </w:t>
            </w:r>
            <w:r w:rsidR="00632482" w:rsidRPr="008848D4">
              <w:t>que progresivamente sustenten todos los tipos de procesos de RR.HH. y ofrezcan una gama de nuevas funcionalidades que aumenten la eficacia de dichas operaciones</w:t>
            </w:r>
            <w:r w:rsidR="009B6DB0" w:rsidRPr="008848D4">
              <w:t>;</w:t>
            </w:r>
          </w:p>
          <w:p w:rsidR="009B6DB0" w:rsidRPr="008848D4" w:rsidRDefault="00EE7A08" w:rsidP="003F1745">
            <w:pPr>
              <w:pStyle w:val="Tabletext"/>
              <w:ind w:left="885" w:right="742" w:hanging="284"/>
              <w:jc w:val="both"/>
              <w:rPr>
                <w:i/>
                <w:iCs/>
                <w:u w:val="single"/>
                <w:lang w:eastAsia="zh-CN"/>
              </w:rPr>
            </w:pPr>
            <w:r w:rsidRPr="008848D4">
              <w:rPr>
                <w:b/>
                <w:bCs/>
                <w:lang w:eastAsia="zh-CN"/>
              </w:rPr>
              <w:t>•</w:t>
            </w:r>
            <w:r w:rsidRPr="008848D4">
              <w:rPr>
                <w:b/>
                <w:bCs/>
                <w:lang w:eastAsia="zh-CN"/>
              </w:rPr>
              <w:tab/>
            </w:r>
            <w:r w:rsidR="00632482" w:rsidRPr="008848D4">
              <w:rPr>
                <w:b/>
                <w:bCs/>
                <w:lang w:eastAsia="zh-CN"/>
              </w:rPr>
              <w:t xml:space="preserve">Utilización eficaz de los datos y análisis de RR.HH., </w:t>
            </w:r>
            <w:r w:rsidR="00632482" w:rsidRPr="008848D4">
              <w:rPr>
                <w:lang w:eastAsia="zh-CN"/>
              </w:rPr>
              <w:t>que pueden transformarse en información sustantiva y vincularse a las correspondientes medidas adoptadas por los RR.HH., incluso en el contexto de una digitalización global de las funciones de RR.HH.</w:t>
            </w:r>
            <w:r w:rsidR="009B6DB0" w:rsidRPr="008848D4">
              <w:rPr>
                <w:lang w:eastAsia="zh-CN"/>
              </w:rPr>
              <w:t>;</w:t>
            </w:r>
          </w:p>
          <w:p w:rsidR="009B6DB0" w:rsidRPr="008848D4" w:rsidRDefault="00EE7A08" w:rsidP="003F1745">
            <w:pPr>
              <w:pStyle w:val="Tabletext"/>
              <w:ind w:left="885" w:right="742" w:hanging="284"/>
              <w:jc w:val="both"/>
              <w:rPr>
                <w:u w:val="single"/>
                <w:lang w:eastAsia="zh-CN"/>
              </w:rPr>
            </w:pPr>
            <w:r w:rsidRPr="008848D4">
              <w:rPr>
                <w:b/>
                <w:bCs/>
                <w:lang w:eastAsia="zh-CN"/>
              </w:rPr>
              <w:t>•</w:t>
            </w:r>
            <w:r w:rsidRPr="008848D4">
              <w:rPr>
                <w:b/>
                <w:bCs/>
                <w:lang w:eastAsia="zh-CN"/>
              </w:rPr>
              <w:tab/>
            </w:r>
            <w:r w:rsidR="00632482" w:rsidRPr="008848D4">
              <w:rPr>
                <w:b/>
                <w:bCs/>
                <w:lang w:eastAsia="zh-CN"/>
              </w:rPr>
              <w:t>Refuerzo de la cultura de comunicación interna a nivel de la organización</w:t>
            </w:r>
            <w:r w:rsidR="009B6DB0" w:rsidRPr="008848D4">
              <w:rPr>
                <w:lang w:eastAsia="zh-CN"/>
              </w:rPr>
              <w:t>;</w:t>
            </w:r>
          </w:p>
          <w:p w:rsidR="009B6DB0" w:rsidRPr="008848D4" w:rsidRDefault="00EE7A08" w:rsidP="003F1745">
            <w:pPr>
              <w:pStyle w:val="Tabletext"/>
              <w:ind w:left="885" w:right="742" w:hanging="284"/>
              <w:jc w:val="both"/>
              <w:rPr>
                <w:u w:val="single"/>
                <w:lang w:eastAsia="zh-CN"/>
              </w:rPr>
            </w:pPr>
            <w:r w:rsidRPr="008848D4">
              <w:rPr>
                <w:b/>
                <w:bCs/>
                <w:lang w:eastAsia="zh-CN"/>
              </w:rPr>
              <w:t>•</w:t>
            </w:r>
            <w:r w:rsidRPr="008848D4">
              <w:rPr>
                <w:b/>
                <w:bCs/>
                <w:lang w:eastAsia="zh-CN"/>
              </w:rPr>
              <w:tab/>
            </w:r>
            <w:r w:rsidR="00632482" w:rsidRPr="008848D4">
              <w:rPr>
                <w:b/>
                <w:bCs/>
                <w:lang w:eastAsia="zh-CN"/>
              </w:rPr>
              <w:t xml:space="preserve">Revisión y actualización del marco reglamentario </w:t>
            </w:r>
            <w:r w:rsidR="00653D56" w:rsidRPr="008848D4">
              <w:rPr>
                <w:b/>
                <w:bCs/>
                <w:lang w:eastAsia="zh-CN"/>
              </w:rPr>
              <w:t>administrativo</w:t>
            </w:r>
            <w:r w:rsidR="00632482" w:rsidRPr="008848D4">
              <w:rPr>
                <w:b/>
                <w:bCs/>
                <w:lang w:eastAsia="zh-CN"/>
              </w:rPr>
              <w:t xml:space="preserve"> y de RR.HH</w:t>
            </w:r>
            <w:r w:rsidR="003F1745" w:rsidRPr="008848D4">
              <w:rPr>
                <w:b/>
                <w:bCs/>
                <w:lang w:eastAsia="zh-CN"/>
              </w:rPr>
              <w:t>.</w:t>
            </w:r>
            <w:r w:rsidR="00632482" w:rsidRPr="008848D4">
              <w:rPr>
                <w:b/>
                <w:bCs/>
                <w:lang w:eastAsia="zh-CN"/>
              </w:rPr>
              <w:t xml:space="preserve">, </w:t>
            </w:r>
            <w:r w:rsidR="00632482" w:rsidRPr="008848D4">
              <w:rPr>
                <w:lang w:eastAsia="zh-CN"/>
              </w:rPr>
              <w:t>incluidas las Órdenes de Servicio y el Reglamento del Personal y las Reglas del Personal de la UIT</w:t>
            </w:r>
            <w:r w:rsidR="009B6DB0" w:rsidRPr="008848D4">
              <w:rPr>
                <w:lang w:eastAsia="zh-CN"/>
              </w:rPr>
              <w:t>;</w:t>
            </w:r>
          </w:p>
          <w:p w:rsidR="009B6DB0" w:rsidRPr="008848D4" w:rsidRDefault="00EE7A08" w:rsidP="003F1745">
            <w:pPr>
              <w:pStyle w:val="Tabletext"/>
              <w:ind w:left="885" w:right="742" w:hanging="284"/>
              <w:jc w:val="both"/>
              <w:rPr>
                <w:u w:val="single"/>
                <w:lang w:eastAsia="zh-CN"/>
              </w:rPr>
            </w:pPr>
            <w:r w:rsidRPr="008848D4">
              <w:rPr>
                <w:b/>
                <w:bCs/>
                <w:lang w:eastAsia="zh-CN"/>
              </w:rPr>
              <w:t>•</w:t>
            </w:r>
            <w:r w:rsidRPr="008848D4">
              <w:rPr>
                <w:b/>
                <w:bCs/>
                <w:lang w:eastAsia="zh-CN"/>
              </w:rPr>
              <w:tab/>
            </w:r>
            <w:r w:rsidR="00632482" w:rsidRPr="008848D4">
              <w:rPr>
                <w:b/>
                <w:bCs/>
                <w:lang w:eastAsia="zh-CN"/>
              </w:rPr>
              <w:t>Capacitación y empoder</w:t>
            </w:r>
            <w:r w:rsidR="007F09A7" w:rsidRPr="008848D4">
              <w:rPr>
                <w:b/>
                <w:bCs/>
                <w:lang w:eastAsia="zh-CN"/>
              </w:rPr>
              <w:t>a</w:t>
            </w:r>
            <w:r w:rsidR="00632482" w:rsidRPr="008848D4">
              <w:rPr>
                <w:b/>
                <w:bCs/>
                <w:lang w:eastAsia="zh-CN"/>
              </w:rPr>
              <w:t>miento de las Oficinas/Departamentos de la SG</w:t>
            </w:r>
            <w:r w:rsidR="00632482" w:rsidRPr="008848D4">
              <w:rPr>
                <w:lang w:eastAsia="zh-CN"/>
              </w:rPr>
              <w:t xml:space="preserve"> para garantizar el éxito en la toma de decisiones y los servicios de </w:t>
            </w:r>
            <w:r w:rsidR="003F1745" w:rsidRPr="008848D4">
              <w:rPr>
                <w:lang w:eastAsia="zh-CN"/>
              </w:rPr>
              <w:t>RR.HH.</w:t>
            </w:r>
            <w:r w:rsidR="009B6DB0" w:rsidRPr="008848D4">
              <w:rPr>
                <w:lang w:eastAsia="zh-CN"/>
              </w:rPr>
              <w:t>;</w:t>
            </w:r>
          </w:p>
          <w:p w:rsidR="009B6DB0" w:rsidRPr="008848D4" w:rsidRDefault="00EE7A08" w:rsidP="003F1745">
            <w:pPr>
              <w:pStyle w:val="Tabletext"/>
              <w:ind w:left="885" w:right="742" w:hanging="284"/>
              <w:jc w:val="both"/>
              <w:rPr>
                <w:u w:val="single"/>
                <w:lang w:eastAsia="zh-CN"/>
              </w:rPr>
            </w:pPr>
            <w:r w:rsidRPr="008848D4">
              <w:rPr>
                <w:b/>
                <w:bCs/>
                <w:lang w:eastAsia="zh-CN"/>
              </w:rPr>
              <w:t>•</w:t>
            </w:r>
            <w:r w:rsidRPr="008848D4">
              <w:rPr>
                <w:b/>
                <w:bCs/>
                <w:lang w:eastAsia="zh-CN"/>
              </w:rPr>
              <w:tab/>
            </w:r>
            <w:r w:rsidR="00632482" w:rsidRPr="008848D4">
              <w:rPr>
                <w:b/>
                <w:bCs/>
                <w:lang w:eastAsia="zh-CN"/>
              </w:rPr>
              <w:t>Servicios de RR.HH. globales, racionalizados y basados en normas que sigan procedimientos y reglas claros</w:t>
            </w:r>
            <w:r w:rsidR="009B6DB0" w:rsidRPr="008848D4">
              <w:rPr>
                <w:lang w:eastAsia="zh-CN"/>
              </w:rPr>
              <w:t>;</w:t>
            </w:r>
          </w:p>
          <w:p w:rsidR="009B6DB0" w:rsidRPr="008848D4" w:rsidRDefault="00EE7A08" w:rsidP="003F1745">
            <w:pPr>
              <w:pStyle w:val="Tabletext"/>
              <w:ind w:left="885" w:right="742" w:hanging="284"/>
              <w:jc w:val="both"/>
              <w:rPr>
                <w:lang w:eastAsia="zh-CN"/>
              </w:rPr>
            </w:pPr>
            <w:r w:rsidRPr="008848D4">
              <w:rPr>
                <w:b/>
                <w:bCs/>
                <w:lang w:eastAsia="zh-CN"/>
              </w:rPr>
              <w:t>•</w:t>
            </w:r>
            <w:r w:rsidRPr="008848D4">
              <w:rPr>
                <w:b/>
                <w:bCs/>
                <w:lang w:eastAsia="zh-CN"/>
              </w:rPr>
              <w:tab/>
            </w:r>
            <w:r w:rsidR="004F0E33" w:rsidRPr="008848D4">
              <w:rPr>
                <w:b/>
                <w:bCs/>
                <w:lang w:eastAsia="zh-CN"/>
              </w:rPr>
              <w:t>Aplicación inequívoca del Reglamento del Personal y las Reglas del Personal de manera justa y equitativa a todo el personal de la UIT</w:t>
            </w:r>
            <w:r w:rsidR="009B6DB0" w:rsidRPr="008848D4">
              <w:rPr>
                <w:b/>
                <w:bCs/>
                <w:lang w:eastAsia="zh-CN"/>
              </w:rPr>
              <w:t>.</w:t>
            </w:r>
          </w:p>
        </w:tc>
      </w:tr>
    </w:tbl>
    <w:p w:rsidR="009B6DB0" w:rsidRPr="008848D4" w:rsidRDefault="009B6DB0" w:rsidP="009B6DB0">
      <w:pPr>
        <w:spacing w:before="100" w:after="100"/>
        <w:ind w:left="1134" w:right="1134"/>
        <w:rPr>
          <w:rFonts w:asciiTheme="minorHAnsi" w:hAnsiTheme="minorHAnsi" w:cstheme="minorHAnsi"/>
          <w:sz w:val="22"/>
          <w:szCs w:val="22"/>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9B6DB0" w:rsidRPr="008848D4" w:rsidTr="009B6DB0">
        <w:tc>
          <w:tcPr>
            <w:tcW w:w="9639" w:type="dxa"/>
            <w:shd w:val="clear" w:color="auto" w:fill="C5E0B3"/>
          </w:tcPr>
          <w:p w:rsidR="009B6DB0" w:rsidRPr="008848D4" w:rsidRDefault="009B6DB0" w:rsidP="00CC7B23">
            <w:pPr>
              <w:pStyle w:val="Tablehead"/>
              <w:rPr>
                <w:lang w:eastAsia="zh-CN"/>
              </w:rPr>
            </w:pPr>
            <w:r w:rsidRPr="008848D4">
              <w:rPr>
                <w:lang w:eastAsia="zh-CN"/>
              </w:rPr>
              <w:t>Pilar 4. En</w:t>
            </w:r>
            <w:r w:rsidR="00607FD5" w:rsidRPr="008848D4">
              <w:rPr>
                <w:lang w:eastAsia="zh-CN"/>
              </w:rPr>
              <w:t>torno laboral propicio</w:t>
            </w:r>
          </w:p>
        </w:tc>
      </w:tr>
      <w:tr w:rsidR="009B6DB0" w:rsidRPr="008848D4" w:rsidTr="009B6DB0">
        <w:tc>
          <w:tcPr>
            <w:tcW w:w="9639" w:type="dxa"/>
            <w:shd w:val="clear" w:color="auto" w:fill="C5E0B3"/>
          </w:tcPr>
          <w:p w:rsidR="009B6DB0" w:rsidRPr="008848D4" w:rsidRDefault="00CC7B23" w:rsidP="003F1745">
            <w:pPr>
              <w:pStyle w:val="Tabletext"/>
              <w:ind w:left="885" w:right="742" w:hanging="284"/>
              <w:jc w:val="both"/>
              <w:rPr>
                <w:b/>
              </w:rPr>
            </w:pPr>
            <w:r w:rsidRPr="008848D4">
              <w:rPr>
                <w:b/>
                <w:bCs/>
                <w:lang w:eastAsia="zh-CN"/>
              </w:rPr>
              <w:t>•</w:t>
            </w:r>
            <w:r w:rsidRPr="008848D4">
              <w:rPr>
                <w:b/>
                <w:bCs/>
                <w:lang w:eastAsia="zh-CN"/>
              </w:rPr>
              <w:tab/>
            </w:r>
            <w:r w:rsidR="00607FD5" w:rsidRPr="008848D4">
              <w:rPr>
                <w:b/>
              </w:rPr>
              <w:t xml:space="preserve">Lugar de trabajo saludable </w:t>
            </w:r>
            <w:r w:rsidR="00607FD5" w:rsidRPr="008848D4">
              <w:t>cuyo objetivo sea el bienestar del personal mediante los debidos cuidados, a saber, servicios médicos, ayuda psicológica y salud ocupacional</w:t>
            </w:r>
            <w:r w:rsidR="009B6DB0" w:rsidRPr="008848D4">
              <w:t>;</w:t>
            </w:r>
          </w:p>
          <w:p w:rsidR="009B6DB0" w:rsidRPr="008848D4" w:rsidRDefault="00CC7B23" w:rsidP="003F1745">
            <w:pPr>
              <w:pStyle w:val="Tabletext"/>
              <w:ind w:left="885" w:right="742" w:hanging="284"/>
              <w:jc w:val="both"/>
            </w:pPr>
            <w:r w:rsidRPr="008848D4">
              <w:rPr>
                <w:b/>
                <w:bCs/>
                <w:lang w:eastAsia="zh-CN"/>
              </w:rPr>
              <w:t>•</w:t>
            </w:r>
            <w:r w:rsidRPr="008848D4">
              <w:rPr>
                <w:b/>
                <w:bCs/>
                <w:lang w:eastAsia="zh-CN"/>
              </w:rPr>
              <w:tab/>
            </w:r>
            <w:r w:rsidR="00607FD5" w:rsidRPr="008848D4">
              <w:rPr>
                <w:b/>
              </w:rPr>
              <w:t xml:space="preserve">Lugar de trabajo respetuoso y ético </w:t>
            </w:r>
            <w:r w:rsidR="00607FD5" w:rsidRPr="008848D4">
              <w:t>con claros mecanismos para impedir la discriminación y el acoso, y que integre la diversidad y la discapacidad como valor social e institucional</w:t>
            </w:r>
            <w:r w:rsidR="009B6DB0" w:rsidRPr="008848D4">
              <w:t>;</w:t>
            </w:r>
          </w:p>
          <w:p w:rsidR="009B6DB0" w:rsidRPr="008848D4" w:rsidRDefault="00CC7B23" w:rsidP="003F1745">
            <w:pPr>
              <w:pStyle w:val="Tabletext"/>
              <w:ind w:left="885" w:right="742" w:hanging="284"/>
              <w:jc w:val="both"/>
            </w:pPr>
            <w:r w:rsidRPr="008848D4">
              <w:rPr>
                <w:b/>
                <w:bCs/>
                <w:lang w:eastAsia="zh-CN"/>
              </w:rPr>
              <w:t>•</w:t>
            </w:r>
            <w:r w:rsidRPr="008848D4">
              <w:rPr>
                <w:b/>
                <w:bCs/>
                <w:lang w:eastAsia="zh-CN"/>
              </w:rPr>
              <w:tab/>
            </w:r>
            <w:r w:rsidR="00607FD5" w:rsidRPr="008848D4">
              <w:rPr>
                <w:b/>
              </w:rPr>
              <w:t xml:space="preserve">Entorno laboral inclusivo </w:t>
            </w:r>
            <w:r w:rsidR="00607FD5" w:rsidRPr="008848D4">
              <w:t>que tenga en cuenta al personal de la Sede, el personal en el terreno y las necesidades de la organización</w:t>
            </w:r>
            <w:r w:rsidR="009B6DB0" w:rsidRPr="008848D4">
              <w:rPr>
                <w:lang w:eastAsia="zh-CN"/>
              </w:rPr>
              <w:t>;</w:t>
            </w:r>
          </w:p>
          <w:p w:rsidR="009B6DB0" w:rsidRPr="008848D4" w:rsidRDefault="00CC7B23" w:rsidP="003F1745">
            <w:pPr>
              <w:pStyle w:val="Tabletext"/>
              <w:ind w:left="885" w:right="742" w:hanging="284"/>
              <w:jc w:val="both"/>
            </w:pPr>
            <w:r w:rsidRPr="008848D4">
              <w:rPr>
                <w:b/>
                <w:bCs/>
                <w:lang w:eastAsia="zh-CN"/>
              </w:rPr>
              <w:t>•</w:t>
            </w:r>
            <w:r w:rsidRPr="008848D4">
              <w:rPr>
                <w:b/>
                <w:bCs/>
                <w:lang w:eastAsia="zh-CN"/>
              </w:rPr>
              <w:tab/>
            </w:r>
            <w:r w:rsidR="00607FD5" w:rsidRPr="008848D4">
              <w:rPr>
                <w:b/>
              </w:rPr>
              <w:t>Entorno laboral que permita</w:t>
            </w:r>
            <w:r w:rsidR="00344E13" w:rsidRPr="008848D4">
              <w:rPr>
                <w:b/>
              </w:rPr>
              <w:t xml:space="preserve"> un sano equilibrio entre vida privada y vida laboral </w:t>
            </w:r>
            <w:r w:rsidR="00344E13" w:rsidRPr="008848D4">
              <w:t>mediante la organización flexible del trabajo a fin de equilibrar los compromisos personales y los profesionales</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344E13" w:rsidRPr="008848D4">
              <w:rPr>
                <w:b/>
                <w:lang w:eastAsia="zh-CN"/>
              </w:rPr>
              <w:t xml:space="preserve">Lugar de trabajo favorable </w:t>
            </w:r>
            <w:r w:rsidR="00344E13" w:rsidRPr="008848D4">
              <w:rPr>
                <w:lang w:eastAsia="zh-CN"/>
              </w:rPr>
              <w:t>en el que todos los empleados reciban las mismas oportunidades de avanzar en su carrera profesional</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344E13" w:rsidRPr="008848D4">
              <w:rPr>
                <w:b/>
                <w:lang w:eastAsia="zh-CN"/>
              </w:rPr>
              <w:t xml:space="preserve">Decisiones sobre el personal más cercanas al personal </w:t>
            </w:r>
            <w:r w:rsidR="00344E13" w:rsidRPr="008848D4">
              <w:rPr>
                <w:lang w:eastAsia="zh-CN"/>
              </w:rPr>
              <w:t>para garantizar la delegación efectiva de la autoridad, así como la aplicación de un modelo de rendición de cuentas conforme con los marcos jurídico y administrativo y de gobernanza institucional</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344E13" w:rsidRPr="008848D4">
              <w:rPr>
                <w:b/>
              </w:rPr>
              <w:t xml:space="preserve">Encuestas periódicas al personal </w:t>
            </w:r>
            <w:r w:rsidR="00344E13" w:rsidRPr="008848D4">
              <w:t>para identificar factores internos y crear planes de acción que influyan en el clima y la cultura institucionales de la UIT, incluidos los incentivos y el apoyo a la adopción de hábitos más saludables, la reducción del estrés y el incremento de la resiliencia</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A05149" w:rsidRPr="008848D4">
              <w:rPr>
                <w:b/>
                <w:lang w:eastAsia="zh-CN"/>
              </w:rPr>
              <w:t xml:space="preserve">Una cultura de la responsabilidad basada en los resultados y las pruebas, </w:t>
            </w:r>
            <w:r w:rsidR="003F1745" w:rsidRPr="008848D4">
              <w:rPr>
                <w:lang w:eastAsia="zh-CN"/>
              </w:rPr>
              <w:t>a todos los niveles, incluido</w:t>
            </w:r>
            <w:r w:rsidR="00A05149" w:rsidRPr="008848D4">
              <w:rPr>
                <w:lang w:eastAsia="zh-CN"/>
              </w:rPr>
              <w:t xml:space="preserve"> su obligado cumplimiento en pro de la consecución de los objetivos de la UIT</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lastRenderedPageBreak/>
              <w:t>•</w:t>
            </w:r>
            <w:r w:rsidRPr="008848D4">
              <w:rPr>
                <w:b/>
                <w:bCs/>
                <w:lang w:eastAsia="zh-CN"/>
              </w:rPr>
              <w:tab/>
            </w:r>
            <w:r w:rsidR="00A05149" w:rsidRPr="008848D4">
              <w:rPr>
                <w:b/>
                <w:lang w:eastAsia="zh-CN"/>
              </w:rPr>
              <w:t xml:space="preserve">Una cultura del diálogo y la comprensión </w:t>
            </w:r>
            <w:r w:rsidR="00A05149" w:rsidRPr="008848D4">
              <w:rPr>
                <w:lang w:eastAsia="zh-CN"/>
              </w:rPr>
              <w:t>de las necesidades de la Organización y del personal, minimizando o resolviendo los conflictos, incluso mediante el recurso efectivo a la mediación y la aplicación de un marco y mecanismos de gestión de conflictos</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A05149" w:rsidRPr="008848D4">
              <w:rPr>
                <w:b/>
                <w:lang w:eastAsia="zh-CN"/>
              </w:rPr>
              <w:t>Una cultura de apoyo a la innovación</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A05149" w:rsidRPr="008848D4">
              <w:rPr>
                <w:b/>
                <w:lang w:eastAsia="zh-CN"/>
              </w:rPr>
              <w:t xml:space="preserve">Garantía de que el personal dispone de los canales adecuados para dar cuenta de conductas inapropiadas o incorrectas </w:t>
            </w:r>
            <w:r w:rsidR="00A05149" w:rsidRPr="008848D4">
              <w:rPr>
                <w:lang w:eastAsia="zh-CN"/>
              </w:rPr>
              <w:t>con protección activa de los denunciantes y evitación de las represalias</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A05149" w:rsidRPr="008848D4">
              <w:rPr>
                <w:b/>
                <w:lang w:eastAsia="zh-CN"/>
              </w:rPr>
              <w:t xml:space="preserve">Garantía del adecuado deber de </w:t>
            </w:r>
            <w:r w:rsidR="00DC3908" w:rsidRPr="008848D4">
              <w:rPr>
                <w:b/>
                <w:lang w:eastAsia="zh-CN"/>
              </w:rPr>
              <w:t>atención</w:t>
            </w:r>
            <w:r w:rsidR="00A05149" w:rsidRPr="008848D4">
              <w:rPr>
                <w:b/>
                <w:lang w:eastAsia="zh-CN"/>
              </w:rPr>
              <w:t xml:space="preserve"> y revisi</w:t>
            </w:r>
            <w:r w:rsidR="00DC3908" w:rsidRPr="008848D4">
              <w:rPr>
                <w:b/>
                <w:lang w:eastAsia="zh-CN"/>
              </w:rPr>
              <w:t>ó</w:t>
            </w:r>
            <w:r w:rsidR="00A05149" w:rsidRPr="008848D4">
              <w:rPr>
                <w:b/>
                <w:lang w:eastAsia="zh-CN"/>
              </w:rPr>
              <w:t xml:space="preserve">n o creación de reglas para la adecuada compensación de todo daño, enfermedad, discapacidad o muerte </w:t>
            </w:r>
            <w:r w:rsidR="00A05149" w:rsidRPr="008848D4">
              <w:rPr>
                <w:lang w:eastAsia="zh-CN"/>
              </w:rPr>
              <w:t xml:space="preserve">atribuible al ejercicio de las funciones oficiales y para la gestión </w:t>
            </w:r>
            <w:r w:rsidR="00A05149" w:rsidRPr="008848D4">
              <w:rPr>
                <w:b/>
                <w:lang w:eastAsia="zh-CN"/>
              </w:rPr>
              <w:t xml:space="preserve">de los casos de deterioro de la salud </w:t>
            </w:r>
            <w:r w:rsidR="00A05149" w:rsidRPr="008848D4">
              <w:rPr>
                <w:lang w:eastAsia="zh-CN"/>
              </w:rPr>
              <w:t xml:space="preserve">(incluida la salud mental), las situaciones familiares difíciles y demás casos de precariedad, el acoso en todas sus </w:t>
            </w:r>
            <w:r w:rsidR="00DC3908" w:rsidRPr="008848D4">
              <w:rPr>
                <w:lang w:eastAsia="zh-CN"/>
              </w:rPr>
              <w:t>variantes</w:t>
            </w:r>
            <w:r w:rsidR="00A05149" w:rsidRPr="008848D4">
              <w:rPr>
                <w:lang w:eastAsia="zh-CN"/>
              </w:rPr>
              <w:t xml:space="preserve"> o las condiciones laborales desfavorables</w:t>
            </w:r>
            <w:r w:rsidR="009B6DB0" w:rsidRPr="008848D4">
              <w:rPr>
                <w:lang w:eastAsia="zh-CN"/>
              </w:rPr>
              <w:t>;</w:t>
            </w:r>
          </w:p>
          <w:p w:rsidR="009B6DB0" w:rsidRPr="008848D4" w:rsidRDefault="00CC7B23" w:rsidP="003F1745">
            <w:pPr>
              <w:pStyle w:val="Tabletext"/>
              <w:ind w:left="885" w:right="742" w:hanging="284"/>
              <w:jc w:val="both"/>
              <w:rPr>
                <w:lang w:eastAsia="zh-CN"/>
              </w:rPr>
            </w:pPr>
            <w:r w:rsidRPr="008848D4">
              <w:rPr>
                <w:b/>
                <w:bCs/>
                <w:lang w:eastAsia="zh-CN"/>
              </w:rPr>
              <w:t>•</w:t>
            </w:r>
            <w:r w:rsidRPr="008848D4">
              <w:rPr>
                <w:b/>
                <w:bCs/>
                <w:lang w:eastAsia="zh-CN"/>
              </w:rPr>
              <w:tab/>
            </w:r>
            <w:r w:rsidR="00A05149" w:rsidRPr="008848D4">
              <w:rPr>
                <w:b/>
              </w:rPr>
              <w:t>Garantía de imparcialidad absoluta en los procesos de contratación, retención y evaluación y, en general, en el entorno laboral de la UIT</w:t>
            </w:r>
            <w:r w:rsidR="009B6DB0" w:rsidRPr="008848D4">
              <w:t>.</w:t>
            </w:r>
          </w:p>
        </w:tc>
      </w:tr>
    </w:tbl>
    <w:p w:rsidR="009B6DB0" w:rsidRPr="008848D4" w:rsidRDefault="00CC7B23" w:rsidP="00CC7B23">
      <w:pPr>
        <w:pStyle w:val="Heading1"/>
      </w:pPr>
      <w:r w:rsidRPr="008848D4">
        <w:lastRenderedPageBreak/>
        <w:t>6</w:t>
      </w:r>
      <w:r w:rsidRPr="008848D4">
        <w:tab/>
      </w:r>
      <w:r w:rsidR="00A21B7B" w:rsidRPr="008848D4">
        <w:t>Próximas etapas</w:t>
      </w:r>
    </w:p>
    <w:p w:rsidR="009B6DB0" w:rsidRPr="008848D4" w:rsidRDefault="009B6DB0" w:rsidP="00CC7B23">
      <w:r w:rsidRPr="008848D4">
        <w:t>6.1</w:t>
      </w:r>
      <w:r w:rsidRPr="008848D4">
        <w:tab/>
      </w:r>
      <w:r w:rsidR="00A21B7B" w:rsidRPr="008848D4">
        <w:t>Los objetivos de la Sección 5 se han traducido en un Plan Estratégico de RR.HH. (PERH), que se aplicará durante el periodo</w:t>
      </w:r>
      <w:r w:rsidRPr="008848D4">
        <w:t xml:space="preserve"> 2020-2023</w:t>
      </w:r>
      <w:r w:rsidR="00A21B7B" w:rsidRPr="008848D4">
        <w:t xml:space="preserve"> y del que, de conformidad con los Planes Operacionales, HRMD, en colaboración con los socios internos y bajo la orientación y supervisión del Comité de Coordinación, es responsable de informar a los Estados Miembros sobre su estado de ejecución. HRMD presentará informes centrados en las consecuencias, destacando el avance en la consecución de las metas estratégicas de RR.HH. y las consecuencias para el personal de la UIT</w:t>
      </w:r>
      <w:r w:rsidRPr="008848D4">
        <w:t xml:space="preserve">. </w:t>
      </w:r>
    </w:p>
    <w:p w:rsidR="009B6DB0" w:rsidRPr="008848D4" w:rsidRDefault="00A21B7B" w:rsidP="00310CA4">
      <w:pPr>
        <w:pStyle w:val="Headingb"/>
      </w:pPr>
      <w:r w:rsidRPr="008848D4">
        <w:t>Documentos de</w:t>
      </w:r>
      <w:r w:rsidR="000C762C" w:rsidRPr="008848D4">
        <w:t xml:space="preserve"> </w:t>
      </w:r>
      <w:r w:rsidR="009B6DB0" w:rsidRPr="008848D4">
        <w:t>Referenc</w:t>
      </w:r>
      <w:r w:rsidRPr="008848D4">
        <w:t>ia</w:t>
      </w:r>
    </w:p>
    <w:p w:rsidR="009B6DB0" w:rsidRPr="008848D4" w:rsidRDefault="00310CA4" w:rsidP="0082149D">
      <w:pPr>
        <w:pStyle w:val="enumlev1"/>
      </w:pPr>
      <w:r w:rsidRPr="008848D4">
        <w:rPr>
          <w:b/>
          <w:bCs/>
        </w:rPr>
        <w:t>•</w:t>
      </w:r>
      <w:r w:rsidRPr="008848D4">
        <w:rPr>
          <w:b/>
          <w:bCs/>
        </w:rPr>
        <w:tab/>
      </w:r>
      <w:r w:rsidR="0082149D" w:rsidRPr="008848D4">
        <w:rPr>
          <w:b/>
          <w:bCs/>
        </w:rPr>
        <w:t>C09/56-</w:t>
      </w:r>
      <w:r w:rsidR="009B6DB0" w:rsidRPr="008848D4">
        <w:rPr>
          <w:b/>
          <w:bCs/>
        </w:rPr>
        <w:t>E</w:t>
      </w:r>
      <w:r w:rsidR="0082149D" w:rsidRPr="008848D4">
        <w:t xml:space="preserve"> – </w:t>
      </w:r>
      <w:r w:rsidR="004E4771" w:rsidRPr="008848D4">
        <w:t>Proyecto de plan estratégico para los recursos humanos</w:t>
      </w:r>
    </w:p>
    <w:p w:rsidR="009B6DB0" w:rsidRPr="008848D4" w:rsidRDefault="00310CA4" w:rsidP="0082149D">
      <w:pPr>
        <w:pStyle w:val="enumlev1"/>
      </w:pPr>
      <w:r w:rsidRPr="008848D4">
        <w:rPr>
          <w:b/>
          <w:bCs/>
        </w:rPr>
        <w:t>•</w:t>
      </w:r>
      <w:r w:rsidRPr="008848D4">
        <w:rPr>
          <w:b/>
          <w:bCs/>
        </w:rPr>
        <w:tab/>
      </w:r>
      <w:r w:rsidR="009B6DB0" w:rsidRPr="008848D4">
        <w:rPr>
          <w:b/>
          <w:bCs/>
        </w:rPr>
        <w:t>C09/104-E</w:t>
      </w:r>
      <w:r w:rsidR="0082149D" w:rsidRPr="008848D4">
        <w:t xml:space="preserve"> – </w:t>
      </w:r>
      <w:r w:rsidR="004E4771" w:rsidRPr="008848D4">
        <w:t>Informe del Presidente de la Comisión permanente sobre la administración y gestión</w:t>
      </w:r>
    </w:p>
    <w:p w:rsidR="009B6DB0" w:rsidRPr="008848D4" w:rsidRDefault="00310CA4" w:rsidP="0082149D">
      <w:pPr>
        <w:pStyle w:val="enumlev1"/>
      </w:pPr>
      <w:r w:rsidRPr="008848D4">
        <w:rPr>
          <w:b/>
          <w:bCs/>
        </w:rPr>
        <w:t>•</w:t>
      </w:r>
      <w:r w:rsidRPr="008848D4">
        <w:rPr>
          <w:b/>
          <w:bCs/>
        </w:rPr>
        <w:tab/>
      </w:r>
      <w:r w:rsidR="009B6DB0" w:rsidRPr="008848D4">
        <w:rPr>
          <w:b/>
          <w:bCs/>
        </w:rPr>
        <w:t>C09/121</w:t>
      </w:r>
      <w:r w:rsidR="0082149D" w:rsidRPr="008848D4">
        <w:rPr>
          <w:b/>
          <w:bCs/>
        </w:rPr>
        <w:t>-</w:t>
      </w:r>
      <w:r w:rsidR="009B6DB0" w:rsidRPr="008848D4">
        <w:rPr>
          <w:b/>
          <w:bCs/>
        </w:rPr>
        <w:t>E</w:t>
      </w:r>
      <w:r w:rsidR="009B6DB0" w:rsidRPr="008848D4">
        <w:t xml:space="preserve"> </w:t>
      </w:r>
      <w:r w:rsidR="0082149D" w:rsidRPr="008848D4">
        <w:t xml:space="preserve">– </w:t>
      </w:r>
      <w:r w:rsidR="004E4771" w:rsidRPr="008848D4">
        <w:t xml:space="preserve">Resumen de los debates de la </w:t>
      </w:r>
      <w:r w:rsidR="00A21B7B" w:rsidRPr="008848D4">
        <w:t>décima</w:t>
      </w:r>
      <w:r w:rsidR="004E4771" w:rsidRPr="008848D4">
        <w:t xml:space="preserve"> y última Sesión Plenaria</w:t>
      </w:r>
    </w:p>
    <w:p w:rsidR="009B6DB0" w:rsidRPr="008848D4" w:rsidRDefault="00310CA4" w:rsidP="00310CA4">
      <w:pPr>
        <w:pStyle w:val="enumlev1"/>
      </w:pPr>
      <w:r w:rsidRPr="008848D4">
        <w:rPr>
          <w:b/>
          <w:bCs/>
        </w:rPr>
        <w:t>•</w:t>
      </w:r>
      <w:r w:rsidRPr="008848D4">
        <w:rPr>
          <w:b/>
          <w:bCs/>
        </w:rPr>
        <w:tab/>
      </w:r>
      <w:r w:rsidR="009B6DB0" w:rsidRPr="008848D4">
        <w:rPr>
          <w:b/>
          <w:bCs/>
        </w:rPr>
        <w:t>C09/25-E</w:t>
      </w:r>
      <w:r w:rsidR="0082149D" w:rsidRPr="008848D4">
        <w:t xml:space="preserve"> </w:t>
      </w:r>
      <w:r w:rsidR="009B6DB0" w:rsidRPr="008848D4">
        <w:t>–</w:t>
      </w:r>
      <w:r w:rsidR="0082149D" w:rsidRPr="008848D4">
        <w:t xml:space="preserve"> </w:t>
      </w:r>
      <w:r w:rsidR="004E4771" w:rsidRPr="008848D4">
        <w:t>Informe del Presidente del Grupo tripartito sobre gestión de recursos humanos</w:t>
      </w:r>
    </w:p>
    <w:p w:rsidR="009B6DB0" w:rsidRPr="008848D4" w:rsidRDefault="00310CA4" w:rsidP="00310CA4">
      <w:pPr>
        <w:pStyle w:val="enumlev1"/>
      </w:pPr>
      <w:r w:rsidRPr="008848D4">
        <w:rPr>
          <w:b/>
          <w:bCs/>
        </w:rPr>
        <w:t>•</w:t>
      </w:r>
      <w:r w:rsidRPr="008848D4">
        <w:rPr>
          <w:b/>
          <w:bCs/>
        </w:rPr>
        <w:tab/>
      </w:r>
      <w:r w:rsidR="009B6DB0" w:rsidRPr="008848D4">
        <w:rPr>
          <w:b/>
          <w:bCs/>
        </w:rPr>
        <w:t>SG/SGO/IA/15-16-17</w:t>
      </w:r>
      <w:r w:rsidR="009B6DB0" w:rsidRPr="008848D4">
        <w:t xml:space="preserve"> – </w:t>
      </w:r>
      <w:r w:rsidR="00A21B7B" w:rsidRPr="008848D4">
        <w:t>Informes del Auditor Interno</w:t>
      </w:r>
    </w:p>
    <w:p w:rsidR="009B6DB0" w:rsidRPr="008848D4" w:rsidRDefault="00310CA4" w:rsidP="00310CA4">
      <w:pPr>
        <w:pStyle w:val="enumlev1"/>
      </w:pPr>
      <w:r w:rsidRPr="008848D4">
        <w:rPr>
          <w:b/>
          <w:bCs/>
        </w:rPr>
        <w:t>•</w:t>
      </w:r>
      <w:r w:rsidRPr="008848D4">
        <w:rPr>
          <w:b/>
          <w:bCs/>
        </w:rPr>
        <w:tab/>
      </w:r>
      <w:r w:rsidR="000A04D7" w:rsidRPr="008848D4">
        <w:rPr>
          <w:b/>
          <w:bCs/>
        </w:rPr>
        <w:t>C18/</w:t>
      </w:r>
      <w:r w:rsidR="009B6DB0" w:rsidRPr="008848D4">
        <w:rPr>
          <w:b/>
          <w:bCs/>
        </w:rPr>
        <w:t>40-E</w:t>
      </w:r>
      <w:r w:rsidR="009B6DB0" w:rsidRPr="008848D4">
        <w:t xml:space="preserve"> –</w:t>
      </w:r>
      <w:r w:rsidR="0082149D" w:rsidRPr="008848D4">
        <w:t xml:space="preserve"> </w:t>
      </w:r>
      <w:r w:rsidR="00A21B7B" w:rsidRPr="008848D4">
        <w:t xml:space="preserve">Informe del </w:t>
      </w:r>
      <w:r w:rsidR="004E4771" w:rsidRPr="008848D4">
        <w:t>Auditor extern</w:t>
      </w:r>
      <w:r w:rsidR="00A21B7B" w:rsidRPr="008848D4">
        <w:t>o</w:t>
      </w:r>
    </w:p>
    <w:p w:rsidR="009B6DB0" w:rsidRPr="008848D4" w:rsidRDefault="00310CA4" w:rsidP="0082149D">
      <w:pPr>
        <w:pStyle w:val="enumlev1"/>
      </w:pPr>
      <w:r w:rsidRPr="008848D4">
        <w:rPr>
          <w:b/>
          <w:bCs/>
        </w:rPr>
        <w:t>•</w:t>
      </w:r>
      <w:r w:rsidRPr="008848D4">
        <w:rPr>
          <w:b/>
          <w:bCs/>
        </w:rPr>
        <w:tab/>
      </w:r>
      <w:r w:rsidR="009B6DB0" w:rsidRPr="008848D4">
        <w:rPr>
          <w:b/>
          <w:bCs/>
        </w:rPr>
        <w:t>JIU/REP/2016/1</w:t>
      </w:r>
      <w:r w:rsidR="0082149D" w:rsidRPr="008848D4">
        <w:t xml:space="preserve"> – </w:t>
      </w:r>
      <w:r w:rsidR="00E65382" w:rsidRPr="008848D4">
        <w:t>Examen de la gestión y administración en la UIT</w:t>
      </w:r>
    </w:p>
    <w:p w:rsidR="009B6DB0" w:rsidRPr="008848D4" w:rsidRDefault="00310CA4" w:rsidP="0082149D">
      <w:pPr>
        <w:pStyle w:val="enumlev1"/>
      </w:pPr>
      <w:r w:rsidRPr="008848D4">
        <w:rPr>
          <w:b/>
          <w:bCs/>
        </w:rPr>
        <w:t>•</w:t>
      </w:r>
      <w:r w:rsidRPr="008848D4">
        <w:rPr>
          <w:b/>
          <w:bCs/>
        </w:rPr>
        <w:tab/>
      </w:r>
      <w:r w:rsidR="009B6DB0" w:rsidRPr="008848D4">
        <w:rPr>
          <w:b/>
          <w:bCs/>
        </w:rPr>
        <w:t>C17/45-E</w:t>
      </w:r>
      <w:r w:rsidR="0082149D" w:rsidRPr="008848D4">
        <w:t xml:space="preserve"> – </w:t>
      </w:r>
      <w:r w:rsidR="0082291D" w:rsidRPr="008848D4">
        <w:t>Medidas de eficiencia</w:t>
      </w:r>
    </w:p>
    <w:p w:rsidR="009B6DB0" w:rsidRPr="008848D4" w:rsidRDefault="00310CA4" w:rsidP="0082149D">
      <w:pPr>
        <w:pStyle w:val="enumlev1"/>
      </w:pPr>
      <w:r w:rsidRPr="008848D4">
        <w:rPr>
          <w:b/>
          <w:bCs/>
        </w:rPr>
        <w:t>•</w:t>
      </w:r>
      <w:r w:rsidRPr="008848D4">
        <w:rPr>
          <w:b/>
          <w:bCs/>
        </w:rPr>
        <w:tab/>
      </w:r>
      <w:r w:rsidR="009B6DB0" w:rsidRPr="008848D4">
        <w:rPr>
          <w:b/>
          <w:bCs/>
        </w:rPr>
        <w:t>C18/39-E</w:t>
      </w:r>
      <w:r w:rsidR="0082149D" w:rsidRPr="008848D4">
        <w:t xml:space="preserve"> – </w:t>
      </w:r>
      <w:r w:rsidR="0082291D" w:rsidRPr="008848D4">
        <w:t xml:space="preserve">Situación de la aplicación de las recomendaciones de la DCI </w:t>
      </w:r>
      <w:r w:rsidR="00A21B7B" w:rsidRPr="008848D4">
        <w:t>de 2018</w:t>
      </w:r>
    </w:p>
    <w:p w:rsidR="009B6DB0" w:rsidRPr="008848D4" w:rsidRDefault="00310CA4" w:rsidP="0082149D">
      <w:pPr>
        <w:pStyle w:val="enumlev1"/>
      </w:pPr>
      <w:r w:rsidRPr="008848D4">
        <w:rPr>
          <w:b/>
          <w:bCs/>
        </w:rPr>
        <w:t>•</w:t>
      </w:r>
      <w:r w:rsidRPr="008848D4">
        <w:rPr>
          <w:b/>
          <w:bCs/>
        </w:rPr>
        <w:tab/>
      </w:r>
      <w:r w:rsidR="009B6DB0" w:rsidRPr="008848D4">
        <w:rPr>
          <w:b/>
          <w:bCs/>
        </w:rPr>
        <w:t>C18/24-E</w:t>
      </w:r>
      <w:r w:rsidR="0082149D" w:rsidRPr="008848D4">
        <w:t xml:space="preserve"> – </w:t>
      </w:r>
      <w:r w:rsidR="0082291D" w:rsidRPr="008848D4">
        <w:t xml:space="preserve">Informe provisional sobre la aplicación del Plan estratégico de recursos humanos y de la Resolución 48 (Rev. </w:t>
      </w:r>
      <w:proofErr w:type="spellStart"/>
      <w:r w:rsidR="0082291D" w:rsidRPr="008848D4">
        <w:t>Busán</w:t>
      </w:r>
      <w:proofErr w:type="spellEnd"/>
      <w:r w:rsidR="0082291D" w:rsidRPr="008848D4">
        <w:t>, 2014)</w:t>
      </w:r>
    </w:p>
    <w:p w:rsidR="009B6DB0" w:rsidRPr="008848D4" w:rsidRDefault="00310CA4" w:rsidP="0082149D">
      <w:pPr>
        <w:pStyle w:val="enumlev1"/>
        <w:rPr>
          <w:szCs w:val="24"/>
        </w:rPr>
      </w:pPr>
      <w:r w:rsidRPr="008848D4">
        <w:rPr>
          <w:b/>
          <w:bCs/>
        </w:rPr>
        <w:t>•</w:t>
      </w:r>
      <w:r w:rsidRPr="008848D4">
        <w:rPr>
          <w:b/>
          <w:bCs/>
        </w:rPr>
        <w:tab/>
      </w:r>
      <w:r w:rsidR="009B6DB0" w:rsidRPr="008848D4">
        <w:rPr>
          <w:b/>
          <w:bCs/>
          <w:kern w:val="24"/>
          <w:szCs w:val="24"/>
        </w:rPr>
        <w:t>A/72/682/Add.2</w:t>
      </w:r>
      <w:r w:rsidR="0082149D" w:rsidRPr="008848D4">
        <w:t xml:space="preserve"> – </w:t>
      </w:r>
      <w:r w:rsidR="00A21B7B" w:rsidRPr="008848D4">
        <w:rPr>
          <w:kern w:val="24"/>
          <w:szCs w:val="24"/>
        </w:rPr>
        <w:t>Examen de la eficiencia del funcionamiento administrativo y financiero de las Naciones Unidas</w:t>
      </w:r>
      <w:r w:rsidR="000C762C" w:rsidRPr="008848D4">
        <w:rPr>
          <w:kern w:val="24"/>
          <w:szCs w:val="24"/>
        </w:rPr>
        <w:t xml:space="preserve"> </w:t>
      </w:r>
    </w:p>
    <w:p w:rsidR="009B6DB0" w:rsidRPr="008848D4" w:rsidRDefault="00310CA4" w:rsidP="0082149D">
      <w:pPr>
        <w:pStyle w:val="enumlev1"/>
        <w:rPr>
          <w:szCs w:val="24"/>
        </w:rPr>
      </w:pPr>
      <w:r w:rsidRPr="008848D4">
        <w:rPr>
          <w:b/>
          <w:bCs/>
        </w:rPr>
        <w:t>•</w:t>
      </w:r>
      <w:r w:rsidRPr="008848D4">
        <w:rPr>
          <w:b/>
          <w:bCs/>
        </w:rPr>
        <w:tab/>
      </w:r>
      <w:r w:rsidR="009B6DB0" w:rsidRPr="008848D4">
        <w:rPr>
          <w:b/>
          <w:bCs/>
          <w:kern w:val="24"/>
          <w:szCs w:val="24"/>
        </w:rPr>
        <w:t>A/RES/72/266</w:t>
      </w:r>
      <w:r w:rsidR="0082149D" w:rsidRPr="008848D4">
        <w:t xml:space="preserve"> – </w:t>
      </w:r>
      <w:r w:rsidR="009B6DB0" w:rsidRPr="008848D4">
        <w:rPr>
          <w:kern w:val="24"/>
          <w:szCs w:val="24"/>
        </w:rPr>
        <w:t>Resolu</w:t>
      </w:r>
      <w:r w:rsidR="00A21B7B" w:rsidRPr="008848D4">
        <w:rPr>
          <w:kern w:val="24"/>
          <w:szCs w:val="24"/>
        </w:rPr>
        <w:t>ción adoptada por la Asamblea General el 24 de diciembre de</w:t>
      </w:r>
      <w:r w:rsidR="009B6DB0" w:rsidRPr="008848D4">
        <w:rPr>
          <w:kern w:val="24"/>
          <w:szCs w:val="24"/>
        </w:rPr>
        <w:t xml:space="preserve"> 2017 –</w:t>
      </w:r>
      <w:r w:rsidR="00A21B7B" w:rsidRPr="008848D4">
        <w:rPr>
          <w:kern w:val="24"/>
          <w:szCs w:val="24"/>
        </w:rPr>
        <w:t>C</w:t>
      </w:r>
      <w:r w:rsidR="00E65382" w:rsidRPr="008848D4">
        <w:rPr>
          <w:kern w:val="24"/>
          <w:szCs w:val="24"/>
        </w:rPr>
        <w:t>ambiar el paradigma de gestión en las Naciones Unidas</w:t>
      </w:r>
    </w:p>
    <w:p w:rsidR="009B6DB0" w:rsidRPr="008848D4" w:rsidRDefault="00310CA4" w:rsidP="0082149D">
      <w:pPr>
        <w:pStyle w:val="enumlev1"/>
        <w:rPr>
          <w:szCs w:val="24"/>
        </w:rPr>
      </w:pPr>
      <w:r w:rsidRPr="008848D4">
        <w:rPr>
          <w:b/>
          <w:bCs/>
        </w:rPr>
        <w:t>•</w:t>
      </w:r>
      <w:r w:rsidRPr="008848D4">
        <w:rPr>
          <w:b/>
          <w:bCs/>
        </w:rPr>
        <w:tab/>
      </w:r>
      <w:r w:rsidR="009B6DB0" w:rsidRPr="008848D4">
        <w:rPr>
          <w:b/>
          <w:bCs/>
          <w:kern w:val="24"/>
          <w:szCs w:val="24"/>
        </w:rPr>
        <w:t>A/72/492</w:t>
      </w:r>
      <w:r w:rsidR="0082149D" w:rsidRPr="008848D4">
        <w:t xml:space="preserve"> – </w:t>
      </w:r>
      <w:r w:rsidR="00E65382" w:rsidRPr="008848D4">
        <w:rPr>
          <w:kern w:val="24"/>
          <w:szCs w:val="24"/>
        </w:rPr>
        <w:t>Cambiar el paradigma de gestión en las Naciones Unidas</w:t>
      </w:r>
      <w:r w:rsidR="009B6DB0" w:rsidRPr="008848D4">
        <w:rPr>
          <w:kern w:val="24"/>
          <w:szCs w:val="24"/>
        </w:rPr>
        <w:t xml:space="preserve">: </w:t>
      </w:r>
      <w:r w:rsidR="00A21B7B" w:rsidRPr="008848D4">
        <w:rPr>
          <w:kern w:val="24"/>
          <w:szCs w:val="24"/>
        </w:rPr>
        <w:t>asegurar un futuro mejor para todos</w:t>
      </w:r>
    </w:p>
    <w:p w:rsidR="009B6DB0" w:rsidRPr="008848D4" w:rsidRDefault="00310CA4" w:rsidP="00310CA4">
      <w:pPr>
        <w:pStyle w:val="enumlev1"/>
        <w:rPr>
          <w:szCs w:val="24"/>
        </w:rPr>
      </w:pPr>
      <w:r w:rsidRPr="008848D4">
        <w:rPr>
          <w:b/>
          <w:bCs/>
        </w:rPr>
        <w:t>•</w:t>
      </w:r>
      <w:r w:rsidRPr="008848D4">
        <w:rPr>
          <w:b/>
          <w:bCs/>
        </w:rPr>
        <w:tab/>
      </w:r>
      <w:r w:rsidR="00A21B7B" w:rsidRPr="008848D4">
        <w:rPr>
          <w:b/>
          <w:bCs/>
          <w:kern w:val="24"/>
          <w:szCs w:val="24"/>
        </w:rPr>
        <w:t>Resolución 70/1 de la Asamblea General de las Naciones Unidas (AGNU)</w:t>
      </w:r>
    </w:p>
    <w:p w:rsidR="009B6DB0" w:rsidRPr="0023273E" w:rsidRDefault="00310CA4" w:rsidP="0082149D">
      <w:pPr>
        <w:pStyle w:val="enumlev1"/>
        <w:rPr>
          <w:szCs w:val="24"/>
          <w:lang w:val="en-US"/>
        </w:rPr>
      </w:pPr>
      <w:r w:rsidRPr="0023273E">
        <w:rPr>
          <w:b/>
          <w:bCs/>
          <w:lang w:val="en-US"/>
        </w:rPr>
        <w:t>•</w:t>
      </w:r>
      <w:r w:rsidRPr="0023273E">
        <w:rPr>
          <w:b/>
          <w:bCs/>
          <w:lang w:val="en-US"/>
        </w:rPr>
        <w:tab/>
      </w:r>
      <w:r w:rsidR="009B6DB0" w:rsidRPr="0023273E">
        <w:rPr>
          <w:b/>
          <w:bCs/>
          <w:szCs w:val="24"/>
          <w:lang w:val="en-US"/>
        </w:rPr>
        <w:t>CEB/2017/1</w:t>
      </w:r>
      <w:r w:rsidR="0082149D" w:rsidRPr="0023273E">
        <w:rPr>
          <w:lang w:val="en-US"/>
        </w:rPr>
        <w:t xml:space="preserve"> – </w:t>
      </w:r>
      <w:r w:rsidR="009B6DB0" w:rsidRPr="0023273E">
        <w:rPr>
          <w:szCs w:val="24"/>
          <w:lang w:val="en-US"/>
        </w:rPr>
        <w:t xml:space="preserve">United Nations System Leadership Framework </w:t>
      </w:r>
    </w:p>
    <w:p w:rsidR="009B6DB0" w:rsidRPr="0023273E" w:rsidRDefault="00310CA4" w:rsidP="00310CA4">
      <w:pPr>
        <w:pStyle w:val="enumlev1"/>
        <w:rPr>
          <w:szCs w:val="24"/>
          <w:lang w:val="en-US"/>
        </w:rPr>
      </w:pPr>
      <w:r w:rsidRPr="0023273E">
        <w:rPr>
          <w:b/>
          <w:bCs/>
          <w:lang w:val="en-US"/>
        </w:rPr>
        <w:t>•</w:t>
      </w:r>
      <w:r w:rsidRPr="0023273E">
        <w:rPr>
          <w:b/>
          <w:bCs/>
          <w:lang w:val="en-US"/>
        </w:rPr>
        <w:tab/>
      </w:r>
      <w:r w:rsidR="009B6DB0" w:rsidRPr="0023273E">
        <w:rPr>
          <w:b/>
          <w:bCs/>
          <w:szCs w:val="24"/>
          <w:lang w:val="en-US"/>
        </w:rPr>
        <w:t>A Healthy Workforce for a Better World, United Nations System Mental Health and Well-Being Strategy</w:t>
      </w:r>
    </w:p>
    <w:p w:rsidR="009B6DB0" w:rsidRPr="008848D4" w:rsidRDefault="00310CA4" w:rsidP="0082149D">
      <w:pPr>
        <w:pStyle w:val="enumlev1"/>
        <w:rPr>
          <w:szCs w:val="24"/>
        </w:rPr>
      </w:pPr>
      <w:r w:rsidRPr="008848D4">
        <w:rPr>
          <w:b/>
          <w:bCs/>
        </w:rPr>
        <w:t>•</w:t>
      </w:r>
      <w:r w:rsidRPr="008848D4">
        <w:rPr>
          <w:b/>
          <w:bCs/>
        </w:rPr>
        <w:tab/>
      </w:r>
      <w:r w:rsidR="009B6DB0" w:rsidRPr="008848D4">
        <w:rPr>
          <w:b/>
          <w:bCs/>
          <w:szCs w:val="24"/>
        </w:rPr>
        <w:t>A/Res/70/1</w:t>
      </w:r>
      <w:r w:rsidR="0082149D" w:rsidRPr="008848D4">
        <w:t xml:space="preserve"> – </w:t>
      </w:r>
      <w:r w:rsidRPr="008848D4">
        <w:rPr>
          <w:szCs w:val="24"/>
        </w:rPr>
        <w:t>Transformar nuestro mundo</w:t>
      </w:r>
      <w:r w:rsidR="002C1D7A" w:rsidRPr="008848D4">
        <w:rPr>
          <w:szCs w:val="24"/>
        </w:rPr>
        <w:t xml:space="preserve">: </w:t>
      </w:r>
      <w:r w:rsidR="002C1D7A" w:rsidRPr="008848D4">
        <w:rPr>
          <w:b/>
          <w:bCs/>
          <w:szCs w:val="24"/>
        </w:rPr>
        <w:t>la Agenda 2030 para el Desarrollo Sostenible</w:t>
      </w:r>
    </w:p>
    <w:p w:rsidR="009B6DB0" w:rsidRPr="0023273E" w:rsidRDefault="00310CA4" w:rsidP="00310CA4">
      <w:pPr>
        <w:pStyle w:val="enumlev1"/>
        <w:rPr>
          <w:szCs w:val="24"/>
          <w:lang w:val="en-US"/>
        </w:rPr>
      </w:pPr>
      <w:r w:rsidRPr="0023273E">
        <w:rPr>
          <w:b/>
          <w:bCs/>
          <w:lang w:val="en-US"/>
        </w:rPr>
        <w:t>•</w:t>
      </w:r>
      <w:r w:rsidRPr="0023273E">
        <w:rPr>
          <w:b/>
          <w:bCs/>
          <w:lang w:val="en-US"/>
        </w:rPr>
        <w:tab/>
      </w:r>
      <w:r w:rsidR="009B6DB0" w:rsidRPr="0023273E">
        <w:rPr>
          <w:b/>
          <w:bCs/>
          <w:szCs w:val="24"/>
          <w:lang w:val="en-US"/>
        </w:rPr>
        <w:t xml:space="preserve">The Change Plan Proposals by the Change Management Team to the Secretary-General </w:t>
      </w:r>
      <w:r w:rsidR="009B6DB0" w:rsidRPr="0023273E">
        <w:rPr>
          <w:szCs w:val="24"/>
          <w:lang w:val="en-US"/>
        </w:rPr>
        <w:t>(N</w:t>
      </w:r>
      <w:r w:rsidR="002E462E" w:rsidRPr="0023273E">
        <w:rPr>
          <w:szCs w:val="24"/>
          <w:lang w:val="en-US"/>
        </w:rPr>
        <w:t xml:space="preserve">ueva </w:t>
      </w:r>
      <w:r w:rsidR="009B6DB0" w:rsidRPr="0023273E">
        <w:rPr>
          <w:szCs w:val="24"/>
          <w:lang w:val="en-US"/>
        </w:rPr>
        <w:t xml:space="preserve">York, </w:t>
      </w:r>
      <w:proofErr w:type="spellStart"/>
      <w:r w:rsidR="002E462E" w:rsidRPr="0023273E">
        <w:rPr>
          <w:szCs w:val="24"/>
          <w:lang w:val="en-US"/>
        </w:rPr>
        <w:t>diciembre</w:t>
      </w:r>
      <w:proofErr w:type="spellEnd"/>
      <w:r w:rsidR="002E462E" w:rsidRPr="0023273E">
        <w:rPr>
          <w:szCs w:val="24"/>
          <w:lang w:val="en-US"/>
        </w:rPr>
        <w:t xml:space="preserve"> de</w:t>
      </w:r>
      <w:r w:rsidR="009B6DB0" w:rsidRPr="0023273E">
        <w:rPr>
          <w:szCs w:val="24"/>
          <w:lang w:val="en-US"/>
        </w:rPr>
        <w:t xml:space="preserve"> 2011)</w:t>
      </w:r>
    </w:p>
    <w:p w:rsidR="00310CA4" w:rsidRPr="0023273E" w:rsidRDefault="00310CA4" w:rsidP="00310CA4">
      <w:pPr>
        <w:pStyle w:val="enumlev1"/>
        <w:rPr>
          <w:szCs w:val="24"/>
          <w:lang w:val="en-US"/>
        </w:rPr>
      </w:pPr>
    </w:p>
    <w:p w:rsidR="00310CA4" w:rsidRPr="0023273E" w:rsidRDefault="00310CA4" w:rsidP="00310CA4">
      <w:pPr>
        <w:pStyle w:val="enumlev1"/>
        <w:rPr>
          <w:b/>
          <w:sz w:val="36"/>
          <w:szCs w:val="28"/>
          <w:lang w:val="en-US"/>
        </w:rPr>
        <w:sectPr w:rsidR="00310CA4" w:rsidRPr="0023273E" w:rsidSect="00653D56">
          <w:headerReference w:type="default" r:id="rId10"/>
          <w:footerReference w:type="default" r:id="rId11"/>
          <w:headerReference w:type="first" r:id="rId12"/>
          <w:footerReference w:type="first" r:id="rId13"/>
          <w:pgSz w:w="11907" w:h="16834"/>
          <w:pgMar w:top="1418" w:right="1134" w:bottom="1418" w:left="1134" w:header="720" w:footer="720" w:gutter="0"/>
          <w:paperSrc w:first="15" w:other="15"/>
          <w:cols w:space="720"/>
          <w:titlePg/>
          <w:docGrid w:linePitch="326"/>
        </w:sectPr>
      </w:pPr>
    </w:p>
    <w:p w:rsidR="009B6DB0" w:rsidRPr="008848D4" w:rsidRDefault="009B6DB0" w:rsidP="00B255B2">
      <w:pPr>
        <w:pStyle w:val="AnnexNo"/>
      </w:pPr>
      <w:r w:rsidRPr="008848D4">
        <w:lastRenderedPageBreak/>
        <w:t>Anex</w:t>
      </w:r>
      <w:r w:rsidR="002E462E" w:rsidRPr="008848D4">
        <w:t>O</w:t>
      </w:r>
      <w:r w:rsidRPr="008848D4">
        <w:t xml:space="preserve"> 2</w:t>
      </w:r>
    </w:p>
    <w:p w:rsidR="009B6DB0" w:rsidRPr="008848D4" w:rsidRDefault="002E462E" w:rsidP="000C762C">
      <w:pPr>
        <w:pStyle w:val="Annextitle"/>
      </w:pPr>
      <w:r w:rsidRPr="008848D4">
        <w:t>Plan Estratégico de Recursos Humanos para</w:t>
      </w:r>
      <w:r w:rsidR="009B6DB0" w:rsidRPr="008848D4">
        <w:t xml:space="preserve"> 2020-2023</w:t>
      </w:r>
      <w:r w:rsidR="000C762C" w:rsidRPr="008848D4">
        <w:rPr>
          <w:rStyle w:val="FootnoteReference"/>
          <w:b w:val="0"/>
          <w:bCs/>
        </w:rPr>
        <w:footnoteReference w:id="9"/>
      </w:r>
    </w:p>
    <w:p w:rsidR="009B6DB0" w:rsidRPr="008848D4" w:rsidRDefault="002E462E" w:rsidP="00B255B2">
      <w:pPr>
        <w:rPr>
          <w:b/>
          <w:szCs w:val="24"/>
        </w:rPr>
      </w:pPr>
      <w:r w:rsidRPr="008848D4">
        <w:t>El PERH se basa en los 4 Pilares de la Estrategia relativa al personal de la UIT (columna</w:t>
      </w:r>
      <w:r w:rsidR="009B6DB0" w:rsidRPr="008848D4">
        <w:t xml:space="preserve"> A)</w:t>
      </w:r>
      <w:r w:rsidR="00361255" w:rsidRPr="008848D4">
        <w:t xml:space="preserve"> para elaborar las actividades específicas (columna B) destinadas a sustentar el logro de las prioridades y metas del Plan Estratégico de la UIT mediante las funciones de RR.</w:t>
      </w:r>
      <w:r w:rsidR="00E14067" w:rsidRPr="008848D4">
        <w:t xml:space="preserve">HH. Una vez aprobado el PERH de alto nivel, se perfilarán los Indicadores Fundamentales de Rendimiento (IFR) y se definirán las Funciones, Socios y Plazos de </w:t>
      </w:r>
      <w:r w:rsidR="009B6DB0" w:rsidRPr="008848D4">
        <w:t xml:space="preserve">HRMD </w:t>
      </w:r>
      <w:r w:rsidR="00E14067" w:rsidRPr="008848D4">
        <w:t>(para el periodo</w:t>
      </w:r>
      <w:r w:rsidR="009B6DB0" w:rsidRPr="008848D4">
        <w:t xml:space="preserve"> 2020-2023</w:t>
      </w:r>
      <w:r w:rsidR="00E14067" w:rsidRPr="008848D4">
        <w:t>) a fin de garantizar un proceso de supervisión y de rendición anual de informes al Consejo adecuado</w:t>
      </w:r>
      <w:r w:rsidR="009B6DB0" w:rsidRPr="008848D4">
        <w:t xml:space="preserve"> (</w:t>
      </w:r>
      <w:r w:rsidR="00E14067" w:rsidRPr="008848D4">
        <w:t>c</w:t>
      </w:r>
      <w:r w:rsidR="009B6DB0" w:rsidRPr="008848D4">
        <w:t>olumn</w:t>
      </w:r>
      <w:r w:rsidR="00E14067" w:rsidRPr="008848D4">
        <w:t xml:space="preserve">a </w:t>
      </w:r>
      <w:r w:rsidR="009B6DB0" w:rsidRPr="008848D4">
        <w:t>F).</w:t>
      </w:r>
    </w:p>
    <w:p w:rsidR="009B6DB0" w:rsidRPr="008848D4" w:rsidRDefault="00E14067" w:rsidP="0082149D">
      <w:r w:rsidRPr="008848D4">
        <w:t>Los IFR son un componente esencial del PERH. Se han definido IFR institucionales y sus correspondientes actividades para cada punto a partir de las definiciones y normas consignadas en el Plan Estratégico de la UIT para</w:t>
      </w:r>
      <w:r w:rsidR="009B6DB0" w:rsidRPr="008848D4">
        <w:t xml:space="preserve"> 2020-2023</w:t>
      </w:r>
      <w:r w:rsidRPr="008848D4">
        <w:t>, según el cual</w:t>
      </w:r>
      <w:r w:rsidR="009B6DB0" w:rsidRPr="008848D4">
        <w:t xml:space="preserve"> </w:t>
      </w:r>
      <w:r w:rsidR="0082149D" w:rsidRPr="008848D4">
        <w:rPr>
          <w:i/>
          <w:iCs/>
        </w:rPr>
        <w:t>"</w:t>
      </w:r>
      <w:r w:rsidR="002C1D7A" w:rsidRPr="008848D4">
        <w:rPr>
          <w:rFonts w:cs="Calibri"/>
          <w:i/>
          <w:iCs/>
          <w:lang w:eastAsia="zh-CN"/>
        </w:rPr>
        <w:t>Los indicadores de rendimiento son los criterios utilizados para medir el grado en el cual se han alcanzado los resultados o los objetivos. Estos indicadores pueden ser cualitativos o cuantitativos</w:t>
      </w:r>
      <w:r w:rsidR="0082149D" w:rsidRPr="008848D4">
        <w:rPr>
          <w:rFonts w:cs="Calibri"/>
          <w:i/>
          <w:iCs/>
          <w:lang w:eastAsia="zh-CN"/>
        </w:rPr>
        <w:t>"</w:t>
      </w:r>
      <w:r w:rsidR="009B6DB0" w:rsidRPr="008848D4">
        <w:rPr>
          <w:rFonts w:cs="Calibri"/>
          <w:i/>
          <w:iCs/>
          <w:lang w:eastAsia="zh-CN"/>
        </w:rPr>
        <w:t>.</w:t>
      </w:r>
      <w:r w:rsidR="009B6DB0" w:rsidRPr="008848D4">
        <w:t xml:space="preserve"> </w:t>
      </w:r>
      <w:r w:rsidRPr="008848D4">
        <w:t>Los IFR determinan el objeto de los informes periódicos de</w:t>
      </w:r>
      <w:r w:rsidR="009B6DB0" w:rsidRPr="008848D4">
        <w:t xml:space="preserve"> HRMD </w:t>
      </w:r>
      <w:r w:rsidRPr="008848D4">
        <w:t xml:space="preserve">y se </w:t>
      </w:r>
      <w:r w:rsidR="00653D56" w:rsidRPr="008848D4">
        <w:t>complementarán</w:t>
      </w:r>
      <w:r w:rsidRPr="008848D4">
        <w:t xml:space="preserve"> con objetivos específicos tras la aprobación del PERH. Por otra parte se ha estructurado un marco de riesgos en función de los riesgos estratégicos del Plan Estratégico de la UIT para</w:t>
      </w:r>
      <w:r w:rsidR="009B6DB0" w:rsidRPr="008848D4">
        <w:t xml:space="preserve"> 2020-2023 (</w:t>
      </w:r>
      <w:r w:rsidRPr="008848D4">
        <w:t>véase el final del cuadro)</w:t>
      </w:r>
      <w:r w:rsidR="004454AE" w:rsidRPr="008848D4">
        <w:t>, que se ha asociado a este PERH y también se perfilará tras la aprobación por el Consejo del PERH de alto nivel en 2019</w:t>
      </w:r>
      <w:r w:rsidR="0082149D" w:rsidRPr="008848D4">
        <w:t>.</w:t>
      </w:r>
    </w:p>
    <w:p w:rsidR="009B6DB0" w:rsidRPr="008848D4" w:rsidRDefault="009B6DB0" w:rsidP="009B6DB0">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Bidi"/>
          <w:bCs/>
        </w:rPr>
      </w:pPr>
      <w:r w:rsidRPr="008848D4">
        <w:rPr>
          <w:rFonts w:asciiTheme="minorHAnsi" w:hAnsiTheme="minorHAnsi" w:cstheme="minorBidi"/>
          <w:bCs/>
        </w:rPr>
        <w:br w:type="page"/>
      </w:r>
    </w:p>
    <w:tbl>
      <w:tblPr>
        <w:tblW w:w="15381" w:type="dxa"/>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2127"/>
        <w:gridCol w:w="4252"/>
        <w:gridCol w:w="3969"/>
        <w:gridCol w:w="1701"/>
        <w:gridCol w:w="851"/>
        <w:gridCol w:w="1843"/>
      </w:tblGrid>
      <w:tr w:rsidR="009B6DB0" w:rsidRPr="008848D4" w:rsidTr="00BB35FA">
        <w:trPr>
          <w:trHeight w:val="680"/>
          <w:tblHeader/>
        </w:trPr>
        <w:tc>
          <w:tcPr>
            <w:tcW w:w="2765" w:type="dxa"/>
            <w:gridSpan w:val="2"/>
            <w:shd w:val="clear" w:color="auto" w:fill="D9D9D9" w:themeFill="background1" w:themeFillShade="D9"/>
          </w:tcPr>
          <w:p w:rsidR="009B6DB0" w:rsidRPr="00BB35FA" w:rsidRDefault="009B6DB0" w:rsidP="00BB35FA">
            <w:pPr>
              <w:pStyle w:val="Tablehead"/>
              <w:spacing w:before="60" w:after="60"/>
              <w:rPr>
                <w:sz w:val="20"/>
              </w:rPr>
            </w:pPr>
            <w:r w:rsidRPr="00BB35FA">
              <w:rPr>
                <w:sz w:val="20"/>
                <w:lang w:eastAsia="zh-CN"/>
              </w:rPr>
              <w:lastRenderedPageBreak/>
              <w:t>A.</w:t>
            </w:r>
            <w:r w:rsidR="00B255B2" w:rsidRPr="00BB35FA">
              <w:rPr>
                <w:sz w:val="20"/>
                <w:lang w:eastAsia="zh-CN"/>
              </w:rPr>
              <w:br/>
            </w:r>
            <w:r w:rsidR="004454AE" w:rsidRPr="00BB35FA">
              <w:rPr>
                <w:bCs/>
                <w:sz w:val="20"/>
                <w:lang w:eastAsia="zh-CN"/>
              </w:rPr>
              <w:t xml:space="preserve">Nº de Pilar y </w:t>
            </w:r>
            <w:r w:rsidR="000A04D7" w:rsidRPr="00BB35FA">
              <w:rPr>
                <w:bCs/>
                <w:sz w:val="20"/>
                <w:lang w:eastAsia="zh-CN"/>
              </w:rPr>
              <w:br/>
            </w:r>
            <w:r w:rsidR="004454AE" w:rsidRPr="00BB35FA">
              <w:rPr>
                <w:bCs/>
                <w:sz w:val="20"/>
                <w:lang w:eastAsia="zh-CN"/>
              </w:rPr>
              <w:t>elemento</w:t>
            </w:r>
          </w:p>
        </w:tc>
        <w:tc>
          <w:tcPr>
            <w:tcW w:w="4252" w:type="dxa"/>
            <w:shd w:val="clear" w:color="auto" w:fill="D9D9D9" w:themeFill="background1" w:themeFillShade="D9"/>
          </w:tcPr>
          <w:p w:rsidR="009B6DB0" w:rsidRPr="00BB35FA" w:rsidRDefault="009B6DB0" w:rsidP="00BB35FA">
            <w:pPr>
              <w:pStyle w:val="Tablehead"/>
              <w:spacing w:before="60" w:after="60"/>
              <w:rPr>
                <w:sz w:val="20"/>
              </w:rPr>
            </w:pPr>
            <w:r w:rsidRPr="00BB35FA">
              <w:rPr>
                <w:bCs/>
                <w:sz w:val="20"/>
              </w:rPr>
              <w:t>B.</w:t>
            </w:r>
            <w:r w:rsidR="00B255B2" w:rsidRPr="00BB35FA">
              <w:rPr>
                <w:bCs/>
                <w:sz w:val="20"/>
              </w:rPr>
              <w:br/>
            </w:r>
            <w:r w:rsidRPr="00BB35FA">
              <w:rPr>
                <w:sz w:val="20"/>
              </w:rPr>
              <w:t>T</w:t>
            </w:r>
            <w:r w:rsidR="004454AE" w:rsidRPr="00BB35FA">
              <w:rPr>
                <w:sz w:val="20"/>
              </w:rPr>
              <w:t xml:space="preserve">ítulo y actividades específicas </w:t>
            </w:r>
            <w:r w:rsidR="000A04D7" w:rsidRPr="00BB35FA">
              <w:rPr>
                <w:sz w:val="20"/>
              </w:rPr>
              <w:br/>
            </w:r>
            <w:r w:rsidR="004454AE" w:rsidRPr="00BB35FA">
              <w:rPr>
                <w:sz w:val="20"/>
              </w:rPr>
              <w:t>(alto nivel</w:t>
            </w:r>
            <w:r w:rsidRPr="00BB35FA">
              <w:rPr>
                <w:sz w:val="20"/>
              </w:rPr>
              <w:t>)</w:t>
            </w:r>
          </w:p>
        </w:tc>
        <w:tc>
          <w:tcPr>
            <w:tcW w:w="3969" w:type="dxa"/>
            <w:shd w:val="clear" w:color="auto" w:fill="D9D9D9" w:themeFill="background1" w:themeFillShade="D9"/>
          </w:tcPr>
          <w:p w:rsidR="009B6DB0" w:rsidRPr="00BB35FA" w:rsidRDefault="009B6DB0" w:rsidP="00BB35FA">
            <w:pPr>
              <w:pStyle w:val="Tablehead"/>
              <w:spacing w:before="60" w:after="60"/>
              <w:rPr>
                <w:sz w:val="20"/>
              </w:rPr>
            </w:pPr>
            <w:r w:rsidRPr="00BB35FA">
              <w:rPr>
                <w:bCs/>
                <w:sz w:val="20"/>
              </w:rPr>
              <w:t>C.</w:t>
            </w:r>
            <w:r w:rsidR="00B255B2" w:rsidRPr="00BB35FA">
              <w:rPr>
                <w:bCs/>
                <w:sz w:val="20"/>
              </w:rPr>
              <w:br/>
            </w:r>
            <w:r w:rsidR="004454AE" w:rsidRPr="00BB35FA">
              <w:rPr>
                <w:sz w:val="20"/>
              </w:rPr>
              <w:t>Indicadores Fundamentales de Rendimiento institucionales</w:t>
            </w:r>
          </w:p>
        </w:tc>
        <w:tc>
          <w:tcPr>
            <w:tcW w:w="1701" w:type="dxa"/>
            <w:shd w:val="clear" w:color="auto" w:fill="D9D9D9" w:themeFill="background1" w:themeFillShade="D9"/>
          </w:tcPr>
          <w:p w:rsidR="009B6DB0" w:rsidRPr="00BB35FA" w:rsidRDefault="009B6DB0" w:rsidP="00BB35FA">
            <w:pPr>
              <w:pStyle w:val="Tablehead"/>
              <w:spacing w:before="60" w:after="60"/>
              <w:rPr>
                <w:sz w:val="20"/>
              </w:rPr>
            </w:pPr>
            <w:r w:rsidRPr="00BB35FA">
              <w:rPr>
                <w:bCs/>
                <w:sz w:val="20"/>
              </w:rPr>
              <w:t>D.</w:t>
            </w:r>
            <w:r w:rsidR="00B255B2" w:rsidRPr="00BB35FA">
              <w:rPr>
                <w:bCs/>
                <w:sz w:val="20"/>
              </w:rPr>
              <w:br/>
            </w:r>
            <w:r w:rsidR="004454AE" w:rsidRPr="00BB35FA">
              <w:rPr>
                <w:sz w:val="20"/>
              </w:rPr>
              <w:t xml:space="preserve">Unidades y socios de </w:t>
            </w:r>
            <w:r w:rsidRPr="00BB35FA">
              <w:rPr>
                <w:sz w:val="20"/>
              </w:rPr>
              <w:t>HRMD</w:t>
            </w:r>
            <w:r w:rsidR="004454AE" w:rsidRPr="00BB35FA">
              <w:rPr>
                <w:sz w:val="20"/>
              </w:rPr>
              <w:t xml:space="preserve"> dentro de la organización</w:t>
            </w:r>
          </w:p>
        </w:tc>
        <w:tc>
          <w:tcPr>
            <w:tcW w:w="851" w:type="dxa"/>
            <w:shd w:val="clear" w:color="auto" w:fill="D9D9D9" w:themeFill="background1" w:themeFillShade="D9"/>
          </w:tcPr>
          <w:p w:rsidR="009B6DB0" w:rsidRPr="00BB35FA" w:rsidRDefault="009B6DB0" w:rsidP="00BB35FA">
            <w:pPr>
              <w:pStyle w:val="Tablehead"/>
              <w:spacing w:before="60" w:after="60"/>
              <w:rPr>
                <w:sz w:val="20"/>
              </w:rPr>
            </w:pPr>
            <w:r w:rsidRPr="00BB35FA">
              <w:rPr>
                <w:bCs/>
                <w:sz w:val="20"/>
              </w:rPr>
              <w:t>E.</w:t>
            </w:r>
            <w:r w:rsidR="00B255B2" w:rsidRPr="00BB35FA">
              <w:rPr>
                <w:bCs/>
                <w:sz w:val="20"/>
              </w:rPr>
              <w:br/>
            </w:r>
            <w:r w:rsidR="004454AE" w:rsidRPr="00BB35FA">
              <w:rPr>
                <w:sz w:val="20"/>
              </w:rPr>
              <w:t>Plazos</w:t>
            </w:r>
          </w:p>
        </w:tc>
        <w:tc>
          <w:tcPr>
            <w:tcW w:w="1843" w:type="dxa"/>
            <w:shd w:val="clear" w:color="auto" w:fill="D9D9D9" w:themeFill="background1" w:themeFillShade="D9"/>
          </w:tcPr>
          <w:p w:rsidR="009B6DB0" w:rsidRPr="00BB35FA" w:rsidRDefault="009B6DB0" w:rsidP="00BB35FA">
            <w:pPr>
              <w:pStyle w:val="Tablehead"/>
              <w:spacing w:before="60" w:after="60"/>
              <w:rPr>
                <w:sz w:val="20"/>
              </w:rPr>
            </w:pPr>
            <w:r w:rsidRPr="00BB35FA">
              <w:rPr>
                <w:bCs/>
                <w:sz w:val="20"/>
              </w:rPr>
              <w:t>F.</w:t>
            </w:r>
            <w:r w:rsidR="00B255B2" w:rsidRPr="00BB35FA">
              <w:rPr>
                <w:bCs/>
                <w:sz w:val="20"/>
              </w:rPr>
              <w:br/>
            </w:r>
            <w:r w:rsidR="004454AE" w:rsidRPr="00BB35FA">
              <w:rPr>
                <w:sz w:val="20"/>
              </w:rPr>
              <w:t>EVALUACIÓN</w:t>
            </w:r>
            <w:r w:rsidRPr="00BB35FA">
              <w:rPr>
                <w:sz w:val="20"/>
              </w:rPr>
              <w:br/>
            </w:r>
            <w:r w:rsidR="004454AE" w:rsidRPr="00BB35FA">
              <w:rPr>
                <w:sz w:val="20"/>
              </w:rPr>
              <w:t>SUPERVISIÓN</w:t>
            </w:r>
            <w:r w:rsidRPr="00BB35FA">
              <w:rPr>
                <w:sz w:val="20"/>
              </w:rPr>
              <w:br/>
            </w:r>
            <w:r w:rsidR="004454AE" w:rsidRPr="00BB35FA">
              <w:rPr>
                <w:sz w:val="20"/>
              </w:rPr>
              <w:t>INFORME (sobre la ejecución</w:t>
            </w:r>
            <w:r w:rsidRPr="00BB35FA">
              <w:rPr>
                <w:sz w:val="20"/>
              </w:rPr>
              <w:t>)</w:t>
            </w:r>
          </w:p>
        </w:tc>
      </w:tr>
      <w:tr w:rsidR="009B6DB0" w:rsidRPr="008848D4" w:rsidTr="009B6DB0">
        <w:trPr>
          <w:trHeight w:val="288"/>
        </w:trPr>
        <w:tc>
          <w:tcPr>
            <w:tcW w:w="15381" w:type="dxa"/>
            <w:gridSpan w:val="7"/>
            <w:shd w:val="clear" w:color="auto" w:fill="DEEAF6"/>
            <w:vAlign w:val="center"/>
          </w:tcPr>
          <w:p w:rsidR="009B6DB0" w:rsidRPr="006448F0" w:rsidRDefault="0082149D" w:rsidP="00BB35FA">
            <w:pPr>
              <w:pStyle w:val="Tabletext"/>
              <w:spacing w:before="40" w:after="40"/>
              <w:rPr>
                <w:sz w:val="20"/>
              </w:rPr>
            </w:pPr>
            <w:r w:rsidRPr="006448F0">
              <w:rPr>
                <w:sz w:val="20"/>
              </w:rPr>
              <w:t xml:space="preserve">Pilar 1. </w:t>
            </w:r>
            <w:r w:rsidR="004454AE" w:rsidRPr="006448F0">
              <w:rPr>
                <w:sz w:val="20"/>
              </w:rPr>
              <w:t>Personal adecuado que integre la diversidad y la agilidad (armonización del personal de la UIT con las metas de la UIT)</w:t>
            </w:r>
            <w:r w:rsidR="00366CD7" w:rsidRPr="006448F0">
              <w:rPr>
                <w:sz w:val="20"/>
              </w:rPr>
              <w:t>.</w:t>
            </w: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r w:rsidRPr="006448F0">
              <w:rPr>
                <w:sz w:val="20"/>
              </w:rPr>
              <w:t>1.1</w:t>
            </w:r>
          </w:p>
        </w:tc>
        <w:tc>
          <w:tcPr>
            <w:tcW w:w="2127" w:type="dxa"/>
            <w:tcBorders>
              <w:top w:val="single" w:sz="4" w:space="0" w:color="auto"/>
              <w:left w:val="single" w:sz="4" w:space="0" w:color="auto"/>
              <w:bottom w:val="nil"/>
              <w:right w:val="single" w:sz="4" w:space="0" w:color="auto"/>
            </w:tcBorders>
            <w:shd w:val="clear" w:color="auto" w:fill="DEEAF6"/>
          </w:tcPr>
          <w:p w:rsidR="009B6DB0" w:rsidRPr="006448F0" w:rsidRDefault="001625D8" w:rsidP="00BB35FA">
            <w:pPr>
              <w:pStyle w:val="Tabletext"/>
              <w:spacing w:before="40" w:after="40"/>
              <w:rPr>
                <w:sz w:val="20"/>
              </w:rPr>
            </w:pPr>
            <w:r w:rsidRPr="006448F0">
              <w:rPr>
                <w:sz w:val="20"/>
              </w:rPr>
              <w:t>Personal adecuado</w:t>
            </w:r>
            <w:r w:rsidR="0082149D" w:rsidRPr="006448F0">
              <w:rPr>
                <w:sz w:val="20"/>
              </w:rPr>
              <w:t>.</w:t>
            </w:r>
          </w:p>
        </w:tc>
        <w:tc>
          <w:tcPr>
            <w:tcW w:w="4252" w:type="dxa"/>
            <w:tcBorders>
              <w:left w:val="single" w:sz="4" w:space="0" w:color="auto"/>
            </w:tcBorders>
            <w:shd w:val="clear" w:color="auto" w:fill="DEEAF6"/>
          </w:tcPr>
          <w:p w:rsidR="009B6DB0" w:rsidRPr="006448F0" w:rsidRDefault="009B6DB0" w:rsidP="00BB35FA">
            <w:pPr>
              <w:pStyle w:val="Tabletext"/>
              <w:spacing w:before="40" w:after="40"/>
              <w:rPr>
                <w:sz w:val="20"/>
              </w:rPr>
            </w:pPr>
            <w:r w:rsidRPr="006448F0">
              <w:rPr>
                <w:sz w:val="20"/>
              </w:rPr>
              <w:t xml:space="preserve">1. </w:t>
            </w:r>
            <w:r w:rsidR="001625D8" w:rsidRPr="006448F0">
              <w:rPr>
                <w:sz w:val="20"/>
              </w:rPr>
              <w:t>Revisar periódicamente las funciones laborales de acuerdo con los grupos ocupacionales (Clasificación común de los grupos ocupacionales (</w:t>
            </w:r>
            <w:r w:rsidRPr="006448F0">
              <w:rPr>
                <w:sz w:val="20"/>
              </w:rPr>
              <w:t>CCOG)</w:t>
            </w:r>
            <w:r w:rsidR="001625D8" w:rsidRPr="006448F0">
              <w:rPr>
                <w:sz w:val="20"/>
              </w:rPr>
              <w:t>) y las unidades orgánica</w:t>
            </w:r>
            <w:r w:rsidR="0082149D" w:rsidRPr="006448F0">
              <w:rPr>
                <w:sz w:val="20"/>
              </w:rPr>
              <w:t>s (Oficinas/Departamentos de la </w:t>
            </w:r>
            <w:r w:rsidR="001625D8" w:rsidRPr="006448F0">
              <w:rPr>
                <w:sz w:val="20"/>
              </w:rPr>
              <w:t>SG) a fin de minimizar la duplicación o el solapamiento de las funciones.</w:t>
            </w:r>
          </w:p>
        </w:tc>
        <w:tc>
          <w:tcPr>
            <w:tcW w:w="3969" w:type="dxa"/>
            <w:shd w:val="clear" w:color="auto" w:fill="DEEAF6"/>
          </w:tcPr>
          <w:p w:rsidR="009B6DB0" w:rsidRPr="006448F0" w:rsidRDefault="009B6DB0" w:rsidP="00BB35FA">
            <w:pPr>
              <w:pStyle w:val="Tabletext"/>
              <w:spacing w:before="40" w:after="40"/>
              <w:rPr>
                <w:sz w:val="20"/>
              </w:rPr>
            </w:pPr>
            <w:r w:rsidRPr="006448F0">
              <w:rPr>
                <w:sz w:val="20"/>
              </w:rPr>
              <w:t>1.</w:t>
            </w:r>
            <w:r w:rsidR="0082149D" w:rsidRPr="006448F0">
              <w:rPr>
                <w:sz w:val="20"/>
              </w:rPr>
              <w:t xml:space="preserve"> </w:t>
            </w:r>
            <w:r w:rsidR="001625D8" w:rsidRPr="006448F0">
              <w:rPr>
                <w:sz w:val="20"/>
              </w:rPr>
              <w:t>Análisis cualitativo y relación entre los puestos reclasificados y los de nueva creación y el número total de puestos</w:t>
            </w:r>
            <w:r w:rsidR="0082149D" w:rsidRPr="006448F0">
              <w:rPr>
                <w:sz w:val="20"/>
              </w:rPr>
              <w:t>.</w:t>
            </w:r>
          </w:p>
        </w:tc>
        <w:tc>
          <w:tcPr>
            <w:tcW w:w="1701" w:type="dxa"/>
            <w:shd w:val="clear" w:color="auto" w:fill="DEEAF6"/>
          </w:tcPr>
          <w:p w:rsidR="009B6DB0" w:rsidRPr="006448F0" w:rsidRDefault="009B6DB0" w:rsidP="00BB35FA">
            <w:pPr>
              <w:pStyle w:val="Tabletext"/>
              <w:spacing w:before="40" w:after="40"/>
              <w:rPr>
                <w:sz w:val="20"/>
              </w:rPr>
            </w:pPr>
          </w:p>
        </w:tc>
        <w:tc>
          <w:tcPr>
            <w:tcW w:w="851" w:type="dxa"/>
            <w:shd w:val="clear" w:color="auto" w:fill="DEEAF6"/>
          </w:tcPr>
          <w:p w:rsidR="009B6DB0" w:rsidRPr="006448F0" w:rsidRDefault="009B6DB0" w:rsidP="00BB35FA">
            <w:pPr>
              <w:pStyle w:val="Tabletext"/>
              <w:spacing w:before="40" w:after="40"/>
              <w:rPr>
                <w:sz w:val="20"/>
              </w:rPr>
            </w:pPr>
          </w:p>
        </w:tc>
        <w:tc>
          <w:tcPr>
            <w:tcW w:w="1843" w:type="dxa"/>
            <w:shd w:val="clear" w:color="auto" w:fill="DEEAF6"/>
          </w:tcPr>
          <w:p w:rsidR="009B6DB0" w:rsidRPr="006448F0" w:rsidRDefault="009B6DB0" w:rsidP="00BB35FA">
            <w:pPr>
              <w:pStyle w:val="Tabletext"/>
              <w:spacing w:before="40" w:after="40"/>
              <w:rPr>
                <w:sz w:val="20"/>
              </w:rPr>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B35FA">
            <w:pPr>
              <w:pStyle w:val="Tabletext"/>
              <w:spacing w:before="40" w:after="40"/>
              <w:rPr>
                <w:sz w:val="20"/>
              </w:rPr>
            </w:pPr>
          </w:p>
        </w:tc>
        <w:tc>
          <w:tcPr>
            <w:tcW w:w="4252" w:type="dxa"/>
            <w:tcBorders>
              <w:left w:val="single" w:sz="4" w:space="0" w:color="auto"/>
            </w:tcBorders>
            <w:shd w:val="clear" w:color="auto" w:fill="DEEAF6"/>
          </w:tcPr>
          <w:p w:rsidR="009B6DB0" w:rsidRPr="006448F0" w:rsidRDefault="009B6DB0" w:rsidP="00BB35FA">
            <w:pPr>
              <w:pStyle w:val="Tabletext"/>
              <w:spacing w:before="40" w:after="40"/>
              <w:rPr>
                <w:sz w:val="20"/>
              </w:rPr>
            </w:pPr>
            <w:r w:rsidRPr="006448F0">
              <w:rPr>
                <w:sz w:val="20"/>
              </w:rPr>
              <w:t xml:space="preserve">2. </w:t>
            </w:r>
            <w:r w:rsidR="001625D8" w:rsidRPr="006448F0">
              <w:rPr>
                <w:sz w:val="20"/>
              </w:rPr>
              <w:t xml:space="preserve">Diseño de carrera para los expertos técnicos, incluso mediante la redefinición de los grados y las responsabilidades (grado </w:t>
            </w:r>
            <w:r w:rsidRPr="006448F0">
              <w:rPr>
                <w:sz w:val="20"/>
              </w:rPr>
              <w:t>P6)</w:t>
            </w:r>
            <w:r w:rsidR="0082149D" w:rsidRPr="006448F0">
              <w:rPr>
                <w:sz w:val="20"/>
              </w:rPr>
              <w:t>.</w:t>
            </w:r>
          </w:p>
        </w:tc>
        <w:tc>
          <w:tcPr>
            <w:tcW w:w="3969" w:type="dxa"/>
            <w:shd w:val="clear" w:color="auto" w:fill="DEEAF6"/>
          </w:tcPr>
          <w:p w:rsidR="009B6DB0" w:rsidRPr="006448F0" w:rsidRDefault="009B6DB0" w:rsidP="00BB35FA">
            <w:pPr>
              <w:pStyle w:val="Tabletext"/>
              <w:spacing w:before="40" w:after="40"/>
              <w:rPr>
                <w:sz w:val="20"/>
              </w:rPr>
            </w:pPr>
            <w:r w:rsidRPr="006448F0">
              <w:rPr>
                <w:sz w:val="20"/>
              </w:rPr>
              <w:t xml:space="preserve">2. </w:t>
            </w:r>
            <w:r w:rsidR="001625D8" w:rsidRPr="006448F0">
              <w:rPr>
                <w:sz w:val="20"/>
              </w:rPr>
              <w:t>Plan de carrera creado para los expertos técnicos (proporción por Sector</w:t>
            </w:r>
            <w:r w:rsidRPr="006448F0">
              <w:rPr>
                <w:sz w:val="20"/>
              </w:rPr>
              <w:t>)</w:t>
            </w:r>
            <w:r w:rsidR="0082149D" w:rsidRPr="006448F0">
              <w:rPr>
                <w:sz w:val="20"/>
              </w:rPr>
              <w:t>.</w:t>
            </w:r>
          </w:p>
        </w:tc>
        <w:tc>
          <w:tcPr>
            <w:tcW w:w="1701" w:type="dxa"/>
            <w:shd w:val="clear" w:color="auto" w:fill="DEEAF6"/>
          </w:tcPr>
          <w:p w:rsidR="009B6DB0" w:rsidRPr="006448F0" w:rsidRDefault="009B6DB0" w:rsidP="00BB35FA">
            <w:pPr>
              <w:pStyle w:val="Tabletext"/>
              <w:spacing w:before="40" w:after="40"/>
              <w:rPr>
                <w:sz w:val="20"/>
              </w:rPr>
            </w:pPr>
          </w:p>
        </w:tc>
        <w:tc>
          <w:tcPr>
            <w:tcW w:w="851" w:type="dxa"/>
            <w:shd w:val="clear" w:color="auto" w:fill="DEEAF6"/>
          </w:tcPr>
          <w:p w:rsidR="009B6DB0" w:rsidRPr="006448F0" w:rsidRDefault="009B6DB0" w:rsidP="00BB35FA">
            <w:pPr>
              <w:pStyle w:val="Tabletext"/>
              <w:spacing w:before="40" w:after="40"/>
              <w:rPr>
                <w:sz w:val="20"/>
              </w:rPr>
            </w:pPr>
          </w:p>
        </w:tc>
        <w:tc>
          <w:tcPr>
            <w:tcW w:w="1843" w:type="dxa"/>
            <w:shd w:val="clear" w:color="auto" w:fill="DEEAF6"/>
          </w:tcPr>
          <w:p w:rsidR="009B6DB0" w:rsidRPr="006448F0" w:rsidRDefault="009B6DB0" w:rsidP="00BB35FA">
            <w:pPr>
              <w:pStyle w:val="Tabletext"/>
              <w:spacing w:before="40" w:after="40"/>
              <w:rPr>
                <w:sz w:val="20"/>
              </w:rPr>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B35FA">
            <w:pPr>
              <w:pStyle w:val="Tabletext"/>
              <w:spacing w:before="40" w:after="40"/>
              <w:rPr>
                <w:sz w:val="20"/>
              </w:rPr>
            </w:pPr>
          </w:p>
        </w:tc>
        <w:tc>
          <w:tcPr>
            <w:tcW w:w="4252" w:type="dxa"/>
            <w:tcBorders>
              <w:left w:val="single" w:sz="4" w:space="0" w:color="auto"/>
            </w:tcBorders>
            <w:shd w:val="clear" w:color="auto" w:fill="DEEAF6"/>
          </w:tcPr>
          <w:p w:rsidR="009B6DB0" w:rsidRPr="006448F0" w:rsidRDefault="009B6DB0" w:rsidP="00BB35FA">
            <w:pPr>
              <w:pStyle w:val="Tabletext"/>
              <w:spacing w:before="40" w:after="40"/>
              <w:rPr>
                <w:sz w:val="20"/>
              </w:rPr>
            </w:pPr>
            <w:r w:rsidRPr="006448F0">
              <w:rPr>
                <w:sz w:val="20"/>
              </w:rPr>
              <w:t xml:space="preserve">3. </w:t>
            </w:r>
            <w:r w:rsidR="001625D8" w:rsidRPr="006448F0">
              <w:rPr>
                <w:sz w:val="20"/>
              </w:rPr>
              <w:t>Crear un sistema de gestión de vacantes que efectúe un seguimiento de los puestos liberados por dimisión, jubilación, préstamos/reasignaciones,</w:t>
            </w:r>
            <w:r w:rsidRPr="006448F0">
              <w:rPr>
                <w:sz w:val="20"/>
              </w:rPr>
              <w:t xml:space="preserve"> etc., </w:t>
            </w:r>
            <w:r w:rsidR="001625D8" w:rsidRPr="006448F0">
              <w:rPr>
                <w:sz w:val="20"/>
              </w:rPr>
              <w:t>y haga también referencia a la planificación de sucesión y los objetivos geográficos y de paridad.</w:t>
            </w:r>
          </w:p>
        </w:tc>
        <w:tc>
          <w:tcPr>
            <w:tcW w:w="3969" w:type="dxa"/>
            <w:shd w:val="clear" w:color="auto" w:fill="DEEAF6"/>
          </w:tcPr>
          <w:p w:rsidR="009B6DB0" w:rsidRPr="006448F0" w:rsidRDefault="009B6DB0" w:rsidP="00BB35FA">
            <w:pPr>
              <w:pStyle w:val="Tabletext"/>
              <w:spacing w:before="40" w:after="40"/>
              <w:rPr>
                <w:sz w:val="20"/>
              </w:rPr>
            </w:pPr>
            <w:r w:rsidRPr="006448F0">
              <w:rPr>
                <w:sz w:val="20"/>
              </w:rPr>
              <w:t xml:space="preserve">3. </w:t>
            </w:r>
            <w:r w:rsidR="001625D8" w:rsidRPr="006448F0">
              <w:rPr>
                <w:sz w:val="20"/>
              </w:rPr>
              <w:t>Integración del sistema de gestión de vacantes en el marco de planificación de la sucesión (relación entre puestos liberados cubiertos con candidatos internos y externos</w:t>
            </w:r>
            <w:r w:rsidRPr="006448F0">
              <w:rPr>
                <w:sz w:val="20"/>
              </w:rPr>
              <w:t>)</w:t>
            </w:r>
            <w:r w:rsidR="0082149D" w:rsidRPr="006448F0">
              <w:rPr>
                <w:sz w:val="20"/>
              </w:rPr>
              <w:t>.</w:t>
            </w:r>
          </w:p>
        </w:tc>
        <w:tc>
          <w:tcPr>
            <w:tcW w:w="1701" w:type="dxa"/>
            <w:shd w:val="clear" w:color="auto" w:fill="DEEAF6"/>
          </w:tcPr>
          <w:p w:rsidR="009B6DB0" w:rsidRPr="006448F0" w:rsidRDefault="009B6DB0" w:rsidP="00BB35FA">
            <w:pPr>
              <w:pStyle w:val="Tabletext"/>
              <w:spacing w:before="40" w:after="40"/>
              <w:rPr>
                <w:sz w:val="20"/>
              </w:rPr>
            </w:pPr>
          </w:p>
        </w:tc>
        <w:tc>
          <w:tcPr>
            <w:tcW w:w="851" w:type="dxa"/>
            <w:shd w:val="clear" w:color="auto" w:fill="DEEAF6"/>
          </w:tcPr>
          <w:p w:rsidR="009B6DB0" w:rsidRPr="006448F0" w:rsidRDefault="009B6DB0" w:rsidP="00BB35FA">
            <w:pPr>
              <w:pStyle w:val="Tabletext"/>
              <w:spacing w:before="40" w:after="40"/>
              <w:rPr>
                <w:sz w:val="20"/>
              </w:rPr>
            </w:pPr>
          </w:p>
        </w:tc>
        <w:tc>
          <w:tcPr>
            <w:tcW w:w="1843" w:type="dxa"/>
            <w:shd w:val="clear" w:color="auto" w:fill="DEEAF6"/>
          </w:tcPr>
          <w:p w:rsidR="009B6DB0" w:rsidRPr="006448F0" w:rsidRDefault="009B6DB0" w:rsidP="00BB35FA">
            <w:pPr>
              <w:pStyle w:val="Tabletext"/>
              <w:spacing w:before="40" w:after="40"/>
              <w:rPr>
                <w:sz w:val="20"/>
              </w:rPr>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DEEAF6"/>
          </w:tcPr>
          <w:p w:rsidR="009B6DB0" w:rsidRPr="006448F0" w:rsidRDefault="009B6DB0" w:rsidP="00BB35FA">
            <w:pPr>
              <w:pStyle w:val="Tabletext"/>
              <w:spacing w:before="40" w:after="40"/>
              <w:rPr>
                <w:sz w:val="20"/>
              </w:rPr>
            </w:pPr>
          </w:p>
        </w:tc>
        <w:tc>
          <w:tcPr>
            <w:tcW w:w="4252" w:type="dxa"/>
            <w:tcBorders>
              <w:left w:val="single" w:sz="4" w:space="0" w:color="auto"/>
              <w:bottom w:val="single" w:sz="4" w:space="0" w:color="auto"/>
            </w:tcBorders>
            <w:shd w:val="clear" w:color="auto" w:fill="DEEAF6"/>
          </w:tcPr>
          <w:p w:rsidR="009B6DB0" w:rsidRPr="006448F0" w:rsidRDefault="009B6DB0" w:rsidP="00BB35FA">
            <w:pPr>
              <w:pStyle w:val="Tabletext"/>
              <w:spacing w:before="40" w:after="40"/>
              <w:rPr>
                <w:sz w:val="20"/>
              </w:rPr>
            </w:pPr>
            <w:r w:rsidRPr="006448F0">
              <w:rPr>
                <w:sz w:val="20"/>
              </w:rPr>
              <w:t>4.</w:t>
            </w:r>
            <w:r w:rsidR="0082149D" w:rsidRPr="006448F0">
              <w:rPr>
                <w:sz w:val="20"/>
              </w:rPr>
              <w:t xml:space="preserve"> </w:t>
            </w:r>
            <w:r w:rsidRPr="006448F0">
              <w:rPr>
                <w:sz w:val="20"/>
              </w:rPr>
              <w:t>D</w:t>
            </w:r>
            <w:r w:rsidR="001625D8" w:rsidRPr="006448F0">
              <w:rPr>
                <w:sz w:val="20"/>
              </w:rPr>
              <w:t>iseño e implementación de un centro de evaluación obligatorio para los puestos especializados y/o de dirección</w:t>
            </w:r>
            <w:r w:rsidR="0082149D" w:rsidRPr="006448F0">
              <w:rPr>
                <w:sz w:val="20"/>
              </w:rPr>
              <w:t>.</w:t>
            </w:r>
          </w:p>
        </w:tc>
        <w:tc>
          <w:tcPr>
            <w:tcW w:w="3969" w:type="dxa"/>
            <w:tcBorders>
              <w:bottom w:val="single" w:sz="4" w:space="0" w:color="auto"/>
            </w:tcBorders>
            <w:shd w:val="clear" w:color="auto" w:fill="DEEAF6"/>
          </w:tcPr>
          <w:p w:rsidR="009B6DB0" w:rsidRPr="006448F0" w:rsidRDefault="009B6DB0" w:rsidP="00BB35FA">
            <w:pPr>
              <w:pStyle w:val="Tabletext"/>
              <w:spacing w:before="40" w:after="40"/>
              <w:rPr>
                <w:sz w:val="20"/>
              </w:rPr>
            </w:pPr>
            <w:r w:rsidRPr="006448F0">
              <w:rPr>
                <w:sz w:val="20"/>
              </w:rPr>
              <w:t xml:space="preserve">4. </w:t>
            </w:r>
            <w:r w:rsidR="001625D8" w:rsidRPr="006448F0">
              <w:rPr>
                <w:sz w:val="20"/>
              </w:rPr>
              <w:t>Centro de evaluación institucional creado (informe cualitativo sobre el diseño y cuantitativo sobre la implementación, es decir</w:t>
            </w:r>
            <w:r w:rsidRPr="006448F0">
              <w:rPr>
                <w:sz w:val="20"/>
              </w:rPr>
              <w:t xml:space="preserve">, % </w:t>
            </w:r>
            <w:r w:rsidR="001625D8" w:rsidRPr="006448F0">
              <w:rPr>
                <w:sz w:val="20"/>
              </w:rPr>
              <w:t>de puestos de categoría superiores cubiertos utilizando el centro de evaluación</w:t>
            </w:r>
            <w:r w:rsidRPr="006448F0">
              <w:rPr>
                <w:sz w:val="20"/>
              </w:rPr>
              <w:t>)</w:t>
            </w:r>
            <w:r w:rsidR="0082149D" w:rsidRPr="006448F0">
              <w:rPr>
                <w:sz w:val="20"/>
              </w:rPr>
              <w:t>.</w:t>
            </w:r>
          </w:p>
        </w:tc>
        <w:tc>
          <w:tcPr>
            <w:tcW w:w="1701" w:type="dxa"/>
            <w:tcBorders>
              <w:bottom w:val="single" w:sz="4" w:space="0" w:color="auto"/>
            </w:tcBorders>
            <w:shd w:val="clear" w:color="auto" w:fill="DEEAF6"/>
          </w:tcPr>
          <w:p w:rsidR="009B6DB0" w:rsidRPr="006448F0" w:rsidRDefault="009B6DB0" w:rsidP="00BB35FA">
            <w:pPr>
              <w:pStyle w:val="Tabletext"/>
              <w:spacing w:before="40" w:after="40"/>
              <w:rPr>
                <w:sz w:val="20"/>
              </w:rPr>
            </w:pPr>
          </w:p>
        </w:tc>
        <w:tc>
          <w:tcPr>
            <w:tcW w:w="851" w:type="dxa"/>
            <w:tcBorders>
              <w:bottom w:val="single" w:sz="4" w:space="0" w:color="auto"/>
            </w:tcBorders>
            <w:shd w:val="clear" w:color="auto" w:fill="DEEAF6"/>
          </w:tcPr>
          <w:p w:rsidR="009B6DB0" w:rsidRPr="006448F0" w:rsidRDefault="009B6DB0" w:rsidP="00BB35FA">
            <w:pPr>
              <w:pStyle w:val="Tabletext"/>
              <w:spacing w:before="40" w:after="40"/>
              <w:rPr>
                <w:sz w:val="20"/>
              </w:rPr>
            </w:pPr>
          </w:p>
        </w:tc>
        <w:tc>
          <w:tcPr>
            <w:tcW w:w="1843" w:type="dxa"/>
            <w:tcBorders>
              <w:bottom w:val="single" w:sz="4" w:space="0" w:color="auto"/>
            </w:tcBorders>
            <w:shd w:val="clear" w:color="auto" w:fill="DEEAF6"/>
          </w:tcPr>
          <w:p w:rsidR="009B6DB0" w:rsidRPr="006448F0" w:rsidRDefault="009B6DB0" w:rsidP="00BB35FA">
            <w:pPr>
              <w:pStyle w:val="Tabletext"/>
              <w:spacing w:before="40" w:after="40"/>
              <w:rPr>
                <w:sz w:val="20"/>
              </w:rPr>
            </w:pPr>
          </w:p>
        </w:tc>
      </w:tr>
      <w:tr w:rsidR="009B6DB0" w:rsidRPr="008848D4" w:rsidTr="005852CF">
        <w:tc>
          <w:tcPr>
            <w:tcW w:w="638" w:type="dxa"/>
            <w:tcBorders>
              <w:bottom w:val="single" w:sz="4" w:space="0" w:color="auto"/>
            </w:tcBorders>
            <w:shd w:val="clear" w:color="auto" w:fill="DBE5F1" w:themeFill="accent1" w:themeFillTint="33"/>
          </w:tcPr>
          <w:p w:rsidR="009B6DB0" w:rsidRPr="006448F0" w:rsidRDefault="009B6DB0" w:rsidP="00BE343D">
            <w:pPr>
              <w:pStyle w:val="Tabletext"/>
              <w:rPr>
                <w:sz w:val="20"/>
              </w:rPr>
            </w:pPr>
            <w:r w:rsidRPr="006448F0">
              <w:rPr>
                <w:sz w:val="20"/>
              </w:rPr>
              <w:t>1.2</w:t>
            </w:r>
          </w:p>
        </w:tc>
        <w:tc>
          <w:tcPr>
            <w:tcW w:w="2127" w:type="dxa"/>
            <w:tcBorders>
              <w:bottom w:val="single" w:sz="4" w:space="0" w:color="auto"/>
            </w:tcBorders>
            <w:shd w:val="clear" w:color="auto" w:fill="DEEAF6"/>
          </w:tcPr>
          <w:p w:rsidR="009B6DB0" w:rsidRPr="006448F0" w:rsidRDefault="009B6DB0" w:rsidP="00BB35FA">
            <w:pPr>
              <w:pStyle w:val="Tabletext"/>
              <w:spacing w:before="40" w:after="40"/>
              <w:rPr>
                <w:sz w:val="20"/>
              </w:rPr>
            </w:pPr>
            <w:r w:rsidRPr="006448F0">
              <w:rPr>
                <w:sz w:val="20"/>
              </w:rPr>
              <w:t>A</w:t>
            </w:r>
            <w:r w:rsidR="00762364" w:rsidRPr="006448F0">
              <w:rPr>
                <w:sz w:val="20"/>
              </w:rPr>
              <w:t>rmonización de las prioridades estratégicas de la Unión con los cargos y funciones del personal</w:t>
            </w:r>
            <w:r w:rsidR="0082149D" w:rsidRPr="006448F0">
              <w:rPr>
                <w:sz w:val="20"/>
              </w:rPr>
              <w:t>.</w:t>
            </w:r>
          </w:p>
        </w:tc>
        <w:tc>
          <w:tcPr>
            <w:tcW w:w="4252" w:type="dxa"/>
            <w:shd w:val="clear" w:color="auto" w:fill="DEEAF6"/>
          </w:tcPr>
          <w:p w:rsidR="009B6DB0" w:rsidRPr="006448F0" w:rsidRDefault="009B6DB0" w:rsidP="00BB35FA">
            <w:pPr>
              <w:pStyle w:val="Tabletext"/>
              <w:spacing w:before="40" w:after="40"/>
              <w:rPr>
                <w:sz w:val="20"/>
              </w:rPr>
            </w:pPr>
            <w:r w:rsidRPr="006448F0">
              <w:rPr>
                <w:sz w:val="20"/>
              </w:rPr>
              <w:t>Revis</w:t>
            </w:r>
            <w:r w:rsidR="001A5D28" w:rsidRPr="006448F0">
              <w:rPr>
                <w:sz w:val="20"/>
              </w:rPr>
              <w:t>ar los actuales procedimientos de clasificación para garantizar la armonización estratégica entre las funciones y cargos del personal y para racionalizar las operaciones.</w:t>
            </w:r>
          </w:p>
        </w:tc>
        <w:tc>
          <w:tcPr>
            <w:tcW w:w="3969" w:type="dxa"/>
            <w:shd w:val="clear" w:color="auto" w:fill="DEEAF6"/>
          </w:tcPr>
          <w:p w:rsidR="009B6DB0" w:rsidRPr="006448F0" w:rsidRDefault="001A5D28" w:rsidP="00BB35FA">
            <w:pPr>
              <w:pStyle w:val="Tabletext"/>
              <w:spacing w:before="40" w:after="40"/>
              <w:rPr>
                <w:sz w:val="20"/>
              </w:rPr>
            </w:pPr>
            <w:r w:rsidRPr="006448F0">
              <w:rPr>
                <w:sz w:val="20"/>
              </w:rPr>
              <w:t>Procedimientos revisados (informes cualitativos sobre el diseño e informes cuantitativos sobre la implementación, es decir, número de puestos sometidos al ejercicio de clasificación y tiempo medio (en días) que lleva finalizar un ejercicio de clasificación</w:t>
            </w:r>
            <w:r w:rsidR="0082149D" w:rsidRPr="006448F0">
              <w:rPr>
                <w:sz w:val="20"/>
              </w:rPr>
              <w:t>.</w:t>
            </w:r>
          </w:p>
        </w:tc>
        <w:tc>
          <w:tcPr>
            <w:tcW w:w="1701" w:type="dxa"/>
            <w:shd w:val="clear" w:color="auto" w:fill="DEEAF6"/>
          </w:tcPr>
          <w:p w:rsidR="009B6DB0" w:rsidRPr="006448F0" w:rsidRDefault="009B6DB0" w:rsidP="00BB35FA">
            <w:pPr>
              <w:pStyle w:val="Tabletext"/>
              <w:spacing w:before="40" w:after="40"/>
              <w:rPr>
                <w:sz w:val="20"/>
              </w:rPr>
            </w:pPr>
          </w:p>
        </w:tc>
        <w:tc>
          <w:tcPr>
            <w:tcW w:w="851" w:type="dxa"/>
            <w:shd w:val="clear" w:color="auto" w:fill="DEEAF6"/>
          </w:tcPr>
          <w:p w:rsidR="009B6DB0" w:rsidRPr="006448F0" w:rsidRDefault="009B6DB0" w:rsidP="00BB35FA">
            <w:pPr>
              <w:pStyle w:val="Tabletext"/>
              <w:spacing w:before="40" w:after="40"/>
              <w:rPr>
                <w:sz w:val="20"/>
              </w:rPr>
            </w:pPr>
          </w:p>
        </w:tc>
        <w:tc>
          <w:tcPr>
            <w:tcW w:w="1843" w:type="dxa"/>
            <w:shd w:val="clear" w:color="auto" w:fill="DEEAF6"/>
          </w:tcPr>
          <w:p w:rsidR="009B6DB0" w:rsidRPr="008848D4" w:rsidRDefault="009B6DB0" w:rsidP="00BB35FA">
            <w:pPr>
              <w:pStyle w:val="Tabletext"/>
              <w:spacing w:before="40" w:after="40"/>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r w:rsidRPr="006448F0">
              <w:rPr>
                <w:sz w:val="20"/>
              </w:rPr>
              <w:t>1.3</w:t>
            </w:r>
          </w:p>
        </w:tc>
        <w:tc>
          <w:tcPr>
            <w:tcW w:w="2127" w:type="dxa"/>
            <w:tcBorders>
              <w:top w:val="single" w:sz="4" w:space="0" w:color="auto"/>
              <w:left w:val="single" w:sz="4" w:space="0" w:color="auto"/>
              <w:bottom w:val="nil"/>
              <w:right w:val="single" w:sz="4" w:space="0" w:color="auto"/>
            </w:tcBorders>
            <w:shd w:val="clear" w:color="auto" w:fill="DEEAF6"/>
          </w:tcPr>
          <w:p w:rsidR="009B6DB0" w:rsidRPr="006448F0" w:rsidRDefault="001A5D28" w:rsidP="00BE343D">
            <w:pPr>
              <w:pStyle w:val="Tabletext"/>
              <w:rPr>
                <w:sz w:val="20"/>
              </w:rPr>
            </w:pPr>
            <w:r w:rsidRPr="006448F0">
              <w:rPr>
                <w:sz w:val="20"/>
              </w:rPr>
              <w:t>Personal equilibrado y diversificado</w:t>
            </w:r>
            <w:r w:rsidR="0082149D" w:rsidRPr="006448F0">
              <w:rPr>
                <w:sz w:val="20"/>
              </w:rPr>
              <w:t>.</w:t>
            </w: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 xml:space="preserve">1. </w:t>
            </w:r>
            <w:r w:rsidR="001A5D28" w:rsidRPr="006448F0">
              <w:rPr>
                <w:sz w:val="20"/>
              </w:rPr>
              <w:t>Garantizar que las estadísticas de representación geográfica y de género sustentan los procesos y decisiones de contratación.</w:t>
            </w:r>
          </w:p>
        </w:tc>
        <w:tc>
          <w:tcPr>
            <w:tcW w:w="3969" w:type="dxa"/>
            <w:vMerge w:val="restart"/>
            <w:shd w:val="clear" w:color="auto" w:fill="DEEAF6"/>
          </w:tcPr>
          <w:p w:rsidR="009B6DB0" w:rsidRPr="006448F0" w:rsidRDefault="001A5D28" w:rsidP="00BE343D">
            <w:pPr>
              <w:pStyle w:val="Tabletext"/>
              <w:rPr>
                <w:sz w:val="20"/>
              </w:rPr>
            </w:pPr>
            <w:r w:rsidRPr="006448F0">
              <w:rPr>
                <w:sz w:val="20"/>
              </w:rPr>
              <w:t>División geográfica y de género del personal, por sede, sector, grado</w:t>
            </w:r>
            <w:r w:rsidR="009B6DB0" w:rsidRPr="006448F0">
              <w:rPr>
                <w:sz w:val="20"/>
              </w:rPr>
              <w:t xml:space="preserve"> (%)</w:t>
            </w:r>
            <w:r w:rsidR="0082149D" w:rsidRPr="006448F0">
              <w:rPr>
                <w:sz w:val="20"/>
              </w:rPr>
              <w:t>.</w:t>
            </w:r>
          </w:p>
          <w:p w:rsidR="009B6DB0" w:rsidRPr="006448F0" w:rsidRDefault="001A5D28" w:rsidP="00F22D23">
            <w:pPr>
              <w:pStyle w:val="Tabletext"/>
              <w:spacing w:before="600"/>
              <w:rPr>
                <w:sz w:val="20"/>
              </w:rPr>
            </w:pPr>
            <w:r w:rsidRPr="006448F0">
              <w:rPr>
                <w:sz w:val="20"/>
              </w:rPr>
              <w:t>Distribución de género por grupo ocupacional</w:t>
            </w:r>
            <w:r w:rsidR="009B6DB0" w:rsidRPr="006448F0">
              <w:rPr>
                <w:sz w:val="20"/>
              </w:rPr>
              <w:t xml:space="preserve"> (%)</w:t>
            </w:r>
            <w:r w:rsidR="0082149D" w:rsidRPr="006448F0">
              <w:rPr>
                <w:sz w:val="20"/>
              </w:rPr>
              <w:t>.</w:t>
            </w:r>
          </w:p>
          <w:p w:rsidR="009B6DB0" w:rsidRPr="006448F0" w:rsidRDefault="001A5D28" w:rsidP="00F22D23">
            <w:pPr>
              <w:pStyle w:val="Tabletext"/>
              <w:spacing w:before="480"/>
              <w:rPr>
                <w:sz w:val="20"/>
              </w:rPr>
            </w:pPr>
            <w:r w:rsidRPr="006448F0">
              <w:rPr>
                <w:sz w:val="20"/>
              </w:rPr>
              <w:t>Estadísticas sobre el modo de acceso de los candidatos a los avisos de vacante</w:t>
            </w:r>
            <w:r w:rsidR="0082149D" w:rsidRPr="006448F0">
              <w:rPr>
                <w:sz w:val="20"/>
              </w:rPr>
              <w:t>.</w:t>
            </w:r>
          </w:p>
          <w:p w:rsidR="009B6DB0" w:rsidRPr="006448F0" w:rsidRDefault="001A5D28" w:rsidP="00F22D23">
            <w:pPr>
              <w:pStyle w:val="Tabletext"/>
              <w:spacing w:before="720"/>
              <w:rPr>
                <w:sz w:val="20"/>
              </w:rPr>
            </w:pPr>
            <w:r w:rsidRPr="006448F0">
              <w:rPr>
                <w:sz w:val="20"/>
              </w:rPr>
              <w:t>Informe cualitativo sobre los solicitantes (competencias, género, diversidad geográfica</w:t>
            </w:r>
            <w:r w:rsidR="009B6DB0" w:rsidRPr="006448F0">
              <w:rPr>
                <w:sz w:val="20"/>
              </w:rPr>
              <w:t>)</w:t>
            </w:r>
            <w:r w:rsidR="0082149D"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lang w:eastAsia="zh-CN"/>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2. D</w:t>
            </w:r>
            <w:r w:rsidR="001A5D28" w:rsidRPr="006448F0">
              <w:rPr>
                <w:sz w:val="20"/>
              </w:rPr>
              <w:t>iseñar e implementar una estrategia de proyección de la UIT para reforzar la representación geográfica y de género</w:t>
            </w:r>
            <w:r w:rsidR="0082149D" w:rsidRPr="006448F0">
              <w:rPr>
                <w:sz w:val="20"/>
              </w:rPr>
              <w:t>.</w:t>
            </w:r>
          </w:p>
        </w:tc>
        <w:tc>
          <w:tcPr>
            <w:tcW w:w="3969" w:type="dxa"/>
            <w:vMerge/>
            <w:shd w:val="clear" w:color="auto" w:fill="DEEAF6"/>
          </w:tcPr>
          <w:p w:rsidR="009B6DB0" w:rsidRPr="006448F0" w:rsidRDefault="009B6DB0" w:rsidP="00BE343D">
            <w:pPr>
              <w:pStyle w:val="Tabletext"/>
              <w:rPr>
                <w:sz w:val="20"/>
              </w:rPr>
            </w:pP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lang w:eastAsia="zh-CN"/>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3. Di</w:t>
            </w:r>
            <w:r w:rsidR="001A5D28" w:rsidRPr="006448F0">
              <w:rPr>
                <w:sz w:val="20"/>
              </w:rPr>
              <w:t xml:space="preserve">vulgación de los avisos de vacante a las Oficinas Regionales y a los Estados Miembros no representados o poco representados dentro de su ámbito de competencia </w:t>
            </w:r>
            <w:r w:rsidRPr="006448F0">
              <w:rPr>
                <w:sz w:val="20"/>
              </w:rPr>
              <w:t xml:space="preserve">(HRMD </w:t>
            </w:r>
            <w:r w:rsidR="001A5D28" w:rsidRPr="006448F0">
              <w:rPr>
                <w:sz w:val="20"/>
              </w:rPr>
              <w:t>para orientar y hacer un seguimiento de la divulgación</w:t>
            </w:r>
            <w:r w:rsidRPr="006448F0">
              <w:rPr>
                <w:sz w:val="20"/>
              </w:rPr>
              <w:t>)</w:t>
            </w:r>
            <w:r w:rsidR="0082149D" w:rsidRPr="006448F0">
              <w:rPr>
                <w:sz w:val="20"/>
              </w:rPr>
              <w:t>.</w:t>
            </w:r>
          </w:p>
        </w:tc>
        <w:tc>
          <w:tcPr>
            <w:tcW w:w="3969" w:type="dxa"/>
            <w:vMerge/>
            <w:shd w:val="clear" w:color="auto" w:fill="DEEAF6"/>
          </w:tcPr>
          <w:p w:rsidR="009B6DB0" w:rsidRPr="006448F0" w:rsidRDefault="009B6DB0" w:rsidP="00BE343D">
            <w:pPr>
              <w:pStyle w:val="Tabletext"/>
              <w:rPr>
                <w:sz w:val="20"/>
              </w:rPr>
            </w:pP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bottom w:val="single" w:sz="4" w:space="0" w:color="auto"/>
            </w:tcBorders>
            <w:shd w:val="clear" w:color="auto" w:fill="DEEAF6"/>
          </w:tcPr>
          <w:p w:rsidR="009B6DB0" w:rsidRPr="006448F0" w:rsidRDefault="009B6DB0" w:rsidP="00BE343D">
            <w:pPr>
              <w:pStyle w:val="Tabletext"/>
              <w:rPr>
                <w:sz w:val="20"/>
              </w:rPr>
            </w:pPr>
            <w:r w:rsidRPr="006448F0">
              <w:rPr>
                <w:sz w:val="20"/>
              </w:rPr>
              <w:t>4. U</w:t>
            </w:r>
            <w:r w:rsidR="001A5D28" w:rsidRPr="006448F0">
              <w:rPr>
                <w:sz w:val="20"/>
              </w:rPr>
              <w:t>tilización de canales de divulgación adicionales, como redes profesionales, medios profesionales, sitios web especializados o medios sociales</w:t>
            </w:r>
            <w:r w:rsidR="0082149D" w:rsidRPr="006448F0">
              <w:rPr>
                <w:sz w:val="20"/>
              </w:rPr>
              <w:t>.</w:t>
            </w:r>
          </w:p>
        </w:tc>
        <w:tc>
          <w:tcPr>
            <w:tcW w:w="3969" w:type="dxa"/>
            <w:vMerge/>
            <w:tcBorders>
              <w:bottom w:val="single" w:sz="4" w:space="0" w:color="auto"/>
            </w:tcBorders>
            <w:shd w:val="clear" w:color="auto" w:fill="DEEAF6"/>
          </w:tcPr>
          <w:p w:rsidR="009B6DB0" w:rsidRPr="006448F0" w:rsidRDefault="009B6DB0" w:rsidP="00BE343D">
            <w:pPr>
              <w:pStyle w:val="Tabletext"/>
              <w:rPr>
                <w:sz w:val="20"/>
              </w:rPr>
            </w:pPr>
          </w:p>
        </w:tc>
        <w:tc>
          <w:tcPr>
            <w:tcW w:w="1701" w:type="dxa"/>
            <w:tcBorders>
              <w:bottom w:val="single" w:sz="4" w:space="0" w:color="auto"/>
            </w:tcBorders>
            <w:shd w:val="clear" w:color="auto" w:fill="DEEAF6"/>
          </w:tcPr>
          <w:p w:rsidR="009B6DB0" w:rsidRPr="006448F0" w:rsidRDefault="009B6DB0" w:rsidP="00BE343D">
            <w:pPr>
              <w:pStyle w:val="Tabletext"/>
              <w:rPr>
                <w:sz w:val="20"/>
              </w:rPr>
            </w:pPr>
          </w:p>
        </w:tc>
        <w:tc>
          <w:tcPr>
            <w:tcW w:w="851" w:type="dxa"/>
            <w:tcBorders>
              <w:bottom w:val="single" w:sz="4" w:space="0" w:color="auto"/>
            </w:tcBorders>
            <w:shd w:val="clear" w:color="auto" w:fill="DEEAF6"/>
          </w:tcPr>
          <w:p w:rsidR="009B6DB0" w:rsidRPr="006448F0" w:rsidRDefault="009B6DB0" w:rsidP="00BE343D">
            <w:pPr>
              <w:pStyle w:val="Tabletext"/>
              <w:rPr>
                <w:sz w:val="20"/>
              </w:rPr>
            </w:pPr>
          </w:p>
        </w:tc>
        <w:tc>
          <w:tcPr>
            <w:tcW w:w="1843" w:type="dxa"/>
            <w:tcBorders>
              <w:bottom w:val="single" w:sz="4" w:space="0" w:color="auto"/>
            </w:tcBorders>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rPr>
            </w:pPr>
          </w:p>
        </w:tc>
        <w:tc>
          <w:tcPr>
            <w:tcW w:w="4252" w:type="dxa"/>
            <w:tcBorders>
              <w:top w:val="single" w:sz="4" w:space="0" w:color="auto"/>
              <w:left w:val="single" w:sz="4" w:space="0" w:color="auto"/>
              <w:bottom w:val="single" w:sz="4" w:space="0" w:color="auto"/>
            </w:tcBorders>
            <w:shd w:val="clear" w:color="auto" w:fill="DEEAF6"/>
          </w:tcPr>
          <w:p w:rsidR="009B6DB0" w:rsidRPr="006448F0" w:rsidRDefault="009B6DB0" w:rsidP="00BE343D">
            <w:pPr>
              <w:pStyle w:val="Tabletext"/>
              <w:rPr>
                <w:sz w:val="20"/>
              </w:rPr>
            </w:pPr>
            <w:r w:rsidRPr="006448F0">
              <w:rPr>
                <w:sz w:val="20"/>
              </w:rPr>
              <w:t xml:space="preserve">5. </w:t>
            </w:r>
            <w:r w:rsidR="00AE1AA2" w:rsidRPr="006448F0">
              <w:rPr>
                <w:sz w:val="20"/>
              </w:rPr>
              <w:t>Seguir aplicando la Estrategia de paridad de género de la UIT a fin de implementar la Estrategia de paridad del sistema de las Naciones Unidas lanzada por el Secretario General de las Naciones Unidas en septiembre de</w:t>
            </w:r>
            <w:r w:rsidRPr="006448F0">
              <w:rPr>
                <w:sz w:val="20"/>
              </w:rPr>
              <w:t xml:space="preserve"> 2017; </w:t>
            </w:r>
            <w:r w:rsidR="00AE1AA2" w:rsidRPr="006448F0">
              <w:rPr>
                <w:sz w:val="20"/>
              </w:rPr>
              <w:t>crear un Plan de acción de RR.HH. para lograr la paridad y la integración de la perspectiva de género, habida cuenta de la Estrategia de paridad del sistema de las Naciones Unidas del Secretario General y de la Resolución</w:t>
            </w:r>
            <w:r w:rsidRPr="006448F0">
              <w:rPr>
                <w:sz w:val="20"/>
              </w:rPr>
              <w:t xml:space="preserve"> 70 (Rev. Dub</w:t>
            </w:r>
            <w:r w:rsidR="00AE1AA2" w:rsidRPr="006448F0">
              <w:rPr>
                <w:sz w:val="20"/>
              </w:rPr>
              <w:t>á</w:t>
            </w:r>
            <w:r w:rsidRPr="006448F0">
              <w:rPr>
                <w:sz w:val="20"/>
              </w:rPr>
              <w:t xml:space="preserve">i, 2018) </w:t>
            </w:r>
            <w:r w:rsidR="00AE1AA2" w:rsidRPr="006448F0">
              <w:rPr>
                <w:sz w:val="20"/>
              </w:rPr>
              <w:t>como Resolución principal sobre la igualdad de género en la UIT</w:t>
            </w:r>
            <w:r w:rsidR="0082149D" w:rsidRPr="006448F0">
              <w:rPr>
                <w:sz w:val="20"/>
              </w:rPr>
              <w:t>.</w:t>
            </w:r>
          </w:p>
        </w:tc>
        <w:tc>
          <w:tcPr>
            <w:tcW w:w="3969" w:type="dxa"/>
            <w:tcBorders>
              <w:top w:val="single" w:sz="4" w:space="0" w:color="auto"/>
              <w:bottom w:val="single" w:sz="4" w:space="0" w:color="auto"/>
            </w:tcBorders>
            <w:shd w:val="clear" w:color="auto" w:fill="DEEAF6"/>
          </w:tcPr>
          <w:p w:rsidR="009B6DB0" w:rsidRPr="006448F0" w:rsidRDefault="00AE1AA2" w:rsidP="0082149D">
            <w:pPr>
              <w:pStyle w:val="Tabletext"/>
              <w:rPr>
                <w:sz w:val="20"/>
              </w:rPr>
            </w:pPr>
            <w:r w:rsidRPr="006448F0">
              <w:rPr>
                <w:sz w:val="20"/>
              </w:rPr>
              <w:t>Requisitos ONU</w:t>
            </w:r>
            <w:r w:rsidR="009B6DB0" w:rsidRPr="006448F0">
              <w:rPr>
                <w:sz w:val="20"/>
              </w:rPr>
              <w:t xml:space="preserve">-SWAP: </w:t>
            </w:r>
            <w:r w:rsidRPr="006448F0">
              <w:rPr>
                <w:sz w:val="20"/>
              </w:rPr>
              <w:t xml:space="preserve">relación entre </w:t>
            </w:r>
            <w:r w:rsidR="000C762C" w:rsidRPr="006448F0">
              <w:rPr>
                <w:sz w:val="20"/>
              </w:rPr>
              <w:t>"</w:t>
            </w:r>
            <w:r w:rsidRPr="006448F0">
              <w:rPr>
                <w:sz w:val="20"/>
              </w:rPr>
              <w:t>supera/cumple/se aproxima a los requisitos</w:t>
            </w:r>
            <w:r w:rsidR="000C762C" w:rsidRPr="006448F0">
              <w:rPr>
                <w:sz w:val="20"/>
              </w:rPr>
              <w:t xml:space="preserve">" </w:t>
            </w:r>
            <w:r w:rsidRPr="006448F0">
              <w:rPr>
                <w:sz w:val="20"/>
              </w:rPr>
              <w:t>en el informe ONU</w:t>
            </w:r>
            <w:r w:rsidR="009B6DB0" w:rsidRPr="006448F0">
              <w:rPr>
                <w:sz w:val="20"/>
              </w:rPr>
              <w:t>-SWAP</w:t>
            </w:r>
            <w:r w:rsidRPr="006448F0">
              <w:rPr>
                <w:sz w:val="20"/>
              </w:rPr>
              <w:t xml:space="preserve"> (indicadores</w:t>
            </w:r>
            <w:r w:rsidR="009B6DB0" w:rsidRPr="006448F0">
              <w:rPr>
                <w:sz w:val="20"/>
              </w:rPr>
              <w:t xml:space="preserve"> 8, 12,14 </w:t>
            </w:r>
            <w:r w:rsidRPr="006448F0">
              <w:rPr>
                <w:sz w:val="20"/>
              </w:rPr>
              <w:t>y</w:t>
            </w:r>
            <w:r w:rsidR="0082149D" w:rsidRPr="006448F0">
              <w:rPr>
                <w:sz w:val="20"/>
              </w:rPr>
              <w:t> </w:t>
            </w:r>
            <w:r w:rsidR="009B6DB0" w:rsidRPr="006448F0">
              <w:rPr>
                <w:sz w:val="20"/>
              </w:rPr>
              <w:t>15)</w:t>
            </w:r>
            <w:r w:rsidR="0082149D" w:rsidRPr="006448F0">
              <w:rPr>
                <w:sz w:val="20"/>
              </w:rPr>
              <w:t>.</w:t>
            </w:r>
          </w:p>
        </w:tc>
        <w:tc>
          <w:tcPr>
            <w:tcW w:w="1701" w:type="dxa"/>
            <w:tcBorders>
              <w:top w:val="single" w:sz="4" w:space="0" w:color="auto"/>
              <w:bottom w:val="single" w:sz="4" w:space="0" w:color="auto"/>
            </w:tcBorders>
            <w:shd w:val="clear" w:color="auto" w:fill="DEEAF6"/>
          </w:tcPr>
          <w:p w:rsidR="009B6DB0" w:rsidRPr="006448F0" w:rsidRDefault="009B6DB0" w:rsidP="00BE343D">
            <w:pPr>
              <w:pStyle w:val="Tabletext"/>
              <w:rPr>
                <w:sz w:val="20"/>
              </w:rPr>
            </w:pPr>
          </w:p>
        </w:tc>
        <w:tc>
          <w:tcPr>
            <w:tcW w:w="851" w:type="dxa"/>
            <w:tcBorders>
              <w:top w:val="single" w:sz="4" w:space="0" w:color="auto"/>
              <w:bottom w:val="single" w:sz="4" w:space="0" w:color="auto"/>
            </w:tcBorders>
            <w:shd w:val="clear" w:color="auto" w:fill="DEEAF6"/>
          </w:tcPr>
          <w:p w:rsidR="009B6DB0" w:rsidRPr="006448F0" w:rsidRDefault="009B6DB0" w:rsidP="00BE343D">
            <w:pPr>
              <w:pStyle w:val="Tabletext"/>
              <w:rPr>
                <w:sz w:val="20"/>
              </w:rPr>
            </w:pPr>
          </w:p>
        </w:tc>
        <w:tc>
          <w:tcPr>
            <w:tcW w:w="1843" w:type="dxa"/>
            <w:tcBorders>
              <w:top w:val="single" w:sz="4" w:space="0" w:color="auto"/>
              <w:bottom w:val="single" w:sz="4" w:space="0" w:color="auto"/>
            </w:tcBorders>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DEEAF6"/>
          </w:tcPr>
          <w:p w:rsidR="009B6DB0" w:rsidRPr="006448F0" w:rsidRDefault="009B6DB0" w:rsidP="00BE343D">
            <w:pPr>
              <w:pStyle w:val="Tabletext"/>
              <w:rPr>
                <w:sz w:val="20"/>
              </w:rPr>
            </w:pPr>
          </w:p>
        </w:tc>
        <w:tc>
          <w:tcPr>
            <w:tcW w:w="4252" w:type="dxa"/>
            <w:tcBorders>
              <w:top w:val="single" w:sz="4" w:space="0" w:color="auto"/>
              <w:left w:val="single" w:sz="4" w:space="0" w:color="auto"/>
            </w:tcBorders>
            <w:shd w:val="clear" w:color="auto" w:fill="DEEAF6"/>
          </w:tcPr>
          <w:p w:rsidR="009B6DB0" w:rsidRPr="006448F0" w:rsidRDefault="009B6DB0" w:rsidP="00BE343D">
            <w:pPr>
              <w:pStyle w:val="Tabletext"/>
              <w:rPr>
                <w:sz w:val="20"/>
              </w:rPr>
            </w:pPr>
            <w:r w:rsidRPr="006448F0">
              <w:rPr>
                <w:sz w:val="20"/>
              </w:rPr>
              <w:t xml:space="preserve">6. </w:t>
            </w:r>
            <w:r w:rsidR="00AE1AA2" w:rsidRPr="006448F0">
              <w:rPr>
                <w:sz w:val="20"/>
              </w:rPr>
              <w:t>Conectar proactivamente a las comunidades</w:t>
            </w:r>
            <w:r w:rsidR="00D1455D" w:rsidRPr="006448F0">
              <w:rPr>
                <w:sz w:val="20"/>
              </w:rPr>
              <w:t xml:space="preserve"> de personas con discapacidad y basarse en la Estrategia de inclusión de la discapacidad de Naciones Unidas.</w:t>
            </w:r>
          </w:p>
          <w:p w:rsidR="009B6DB0" w:rsidRPr="006448F0" w:rsidRDefault="00D1455D" w:rsidP="00BE343D">
            <w:pPr>
              <w:pStyle w:val="Tabletext"/>
              <w:rPr>
                <w:sz w:val="20"/>
              </w:rPr>
            </w:pPr>
            <w:r w:rsidRPr="006448F0">
              <w:rPr>
                <w:sz w:val="20"/>
              </w:rPr>
              <w:lastRenderedPageBreak/>
              <w:t>Participar en el Grupo Especial sobre Discapacidad de la UIT para elaborar un marco político para el empleo de discapacitados</w:t>
            </w:r>
            <w:r w:rsidR="0082149D" w:rsidRPr="006448F0">
              <w:rPr>
                <w:sz w:val="20"/>
              </w:rPr>
              <w:t>.</w:t>
            </w:r>
          </w:p>
        </w:tc>
        <w:tc>
          <w:tcPr>
            <w:tcW w:w="3969" w:type="dxa"/>
            <w:tcBorders>
              <w:top w:val="single" w:sz="4" w:space="0" w:color="auto"/>
            </w:tcBorders>
            <w:shd w:val="clear" w:color="auto" w:fill="DEEAF6"/>
          </w:tcPr>
          <w:p w:rsidR="009B6DB0" w:rsidRPr="006448F0" w:rsidRDefault="009B6DB0" w:rsidP="00BE343D">
            <w:pPr>
              <w:pStyle w:val="Tabletext"/>
              <w:rPr>
                <w:sz w:val="20"/>
              </w:rPr>
            </w:pPr>
            <w:r w:rsidRPr="006448F0">
              <w:rPr>
                <w:sz w:val="20"/>
              </w:rPr>
              <w:lastRenderedPageBreak/>
              <w:t>Pol</w:t>
            </w:r>
            <w:r w:rsidR="00D1455D" w:rsidRPr="006448F0">
              <w:rPr>
                <w:sz w:val="20"/>
              </w:rPr>
              <w:t>íticas de integración de la perspectiva de discapacidad en todos los niveles e informes cualitativos sobre el diseño</w:t>
            </w:r>
            <w:r w:rsidRPr="006448F0">
              <w:rPr>
                <w:sz w:val="20"/>
              </w:rPr>
              <w:t xml:space="preserve"> </w:t>
            </w:r>
            <w:r w:rsidR="00D1455D" w:rsidRPr="006448F0">
              <w:rPr>
                <w:sz w:val="20"/>
              </w:rPr>
              <w:t xml:space="preserve">e </w:t>
            </w:r>
            <w:r w:rsidR="00D1455D" w:rsidRPr="006448F0">
              <w:rPr>
                <w:sz w:val="20"/>
              </w:rPr>
              <w:lastRenderedPageBreak/>
              <w:t>informes cuantitativos sobre la implementación.</w:t>
            </w:r>
          </w:p>
        </w:tc>
        <w:tc>
          <w:tcPr>
            <w:tcW w:w="1701" w:type="dxa"/>
            <w:tcBorders>
              <w:top w:val="single" w:sz="4" w:space="0" w:color="auto"/>
            </w:tcBorders>
            <w:shd w:val="clear" w:color="auto" w:fill="DEEAF6"/>
          </w:tcPr>
          <w:p w:rsidR="009B6DB0" w:rsidRPr="006448F0" w:rsidRDefault="009B6DB0" w:rsidP="00BE343D">
            <w:pPr>
              <w:pStyle w:val="Tabletext"/>
              <w:rPr>
                <w:sz w:val="20"/>
              </w:rPr>
            </w:pPr>
          </w:p>
        </w:tc>
        <w:tc>
          <w:tcPr>
            <w:tcW w:w="851" w:type="dxa"/>
            <w:tcBorders>
              <w:top w:val="single" w:sz="4" w:space="0" w:color="auto"/>
            </w:tcBorders>
            <w:shd w:val="clear" w:color="auto" w:fill="DEEAF6"/>
          </w:tcPr>
          <w:p w:rsidR="009B6DB0" w:rsidRPr="006448F0" w:rsidRDefault="009B6DB0" w:rsidP="00BE343D">
            <w:pPr>
              <w:pStyle w:val="Tabletext"/>
              <w:rPr>
                <w:sz w:val="20"/>
              </w:rPr>
            </w:pPr>
          </w:p>
        </w:tc>
        <w:tc>
          <w:tcPr>
            <w:tcW w:w="1843" w:type="dxa"/>
            <w:tcBorders>
              <w:top w:val="single" w:sz="4" w:space="0" w:color="auto"/>
            </w:tcBorders>
            <w:shd w:val="clear" w:color="auto" w:fill="DEEAF6"/>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r w:rsidRPr="006448F0">
              <w:rPr>
                <w:sz w:val="20"/>
              </w:rPr>
              <w:t>1.4</w:t>
            </w:r>
          </w:p>
        </w:tc>
        <w:tc>
          <w:tcPr>
            <w:tcW w:w="2127" w:type="dxa"/>
            <w:tcBorders>
              <w:top w:val="single" w:sz="4" w:space="0" w:color="auto"/>
              <w:left w:val="single" w:sz="4" w:space="0" w:color="auto"/>
              <w:bottom w:val="nil"/>
              <w:right w:val="single" w:sz="4" w:space="0" w:color="auto"/>
            </w:tcBorders>
            <w:shd w:val="clear" w:color="auto" w:fill="DEEAF6"/>
          </w:tcPr>
          <w:p w:rsidR="009B6DB0" w:rsidRPr="006448F0" w:rsidRDefault="00D1455D" w:rsidP="00BE343D">
            <w:pPr>
              <w:pStyle w:val="Tabletext"/>
              <w:rPr>
                <w:sz w:val="20"/>
              </w:rPr>
            </w:pPr>
            <w:r w:rsidRPr="006448F0">
              <w:rPr>
                <w:sz w:val="20"/>
              </w:rPr>
              <w:t>Modelo y proceso de contratación equilibrado, reforzado, simplificado y acortado</w:t>
            </w:r>
            <w:r w:rsidR="00F22D23" w:rsidRPr="006448F0">
              <w:rPr>
                <w:sz w:val="20"/>
              </w:rPr>
              <w:t>.</w:t>
            </w: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1. Crea</w:t>
            </w:r>
            <w:r w:rsidR="00D1455D" w:rsidRPr="006448F0">
              <w:rPr>
                <w:sz w:val="20"/>
              </w:rPr>
              <w:t>r un nuevo modelo de contratación basado en las prácticas idóneas de las Naciones Unidas y demás organismos internacionales con el objetivo de reforzar, simplificar y acortar el modelo de contratación de la UIT e integrar soluciones y medios de contratación innovadores.</w:t>
            </w:r>
          </w:p>
        </w:tc>
        <w:tc>
          <w:tcPr>
            <w:tcW w:w="3969" w:type="dxa"/>
            <w:shd w:val="clear" w:color="auto" w:fill="DEEAF6"/>
          </w:tcPr>
          <w:p w:rsidR="009B6DB0" w:rsidRPr="006448F0" w:rsidRDefault="00D1455D" w:rsidP="00BE343D">
            <w:pPr>
              <w:pStyle w:val="Tabletext"/>
              <w:rPr>
                <w:sz w:val="20"/>
              </w:rPr>
            </w:pPr>
            <w:r w:rsidRPr="006448F0">
              <w:rPr>
                <w:sz w:val="20"/>
              </w:rPr>
              <w:t>Modelo de contratación revisado (análisis cualitativo y fortalezas, debilidades, oportunidades y amenazas</w:t>
            </w:r>
            <w:r w:rsidR="009B6DB0" w:rsidRPr="006448F0">
              <w:rPr>
                <w:sz w:val="20"/>
              </w:rPr>
              <w:t xml:space="preserve"> - SWOT)</w:t>
            </w:r>
            <w:r w:rsidR="009B6DB0" w:rsidRPr="006448F0">
              <w:rPr>
                <w:sz w:val="20"/>
              </w:rPr>
              <w:br/>
            </w:r>
            <w:r w:rsidRPr="006448F0">
              <w:rPr>
                <w:sz w:val="20"/>
              </w:rPr>
              <w:t>Tiempo medio (en días) que se tarda en finalizar la contratación para los puestos vacantes. Identificación y resolución de atascos</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2. D</w:t>
            </w:r>
            <w:r w:rsidR="00D1455D" w:rsidRPr="006448F0">
              <w:rPr>
                <w:sz w:val="20"/>
              </w:rPr>
              <w:t>iseño e implementación de guías para la contratación de la UIT en que se describan claramente las fases del proceso de contratación</w:t>
            </w:r>
            <w:r w:rsidRPr="006448F0">
              <w:rPr>
                <w:sz w:val="20"/>
              </w:rPr>
              <w:t>.</w:t>
            </w:r>
          </w:p>
        </w:tc>
        <w:tc>
          <w:tcPr>
            <w:tcW w:w="3969" w:type="dxa"/>
            <w:shd w:val="clear" w:color="auto" w:fill="DEEAF6"/>
          </w:tcPr>
          <w:p w:rsidR="009B6DB0" w:rsidRPr="006448F0" w:rsidRDefault="00D1455D" w:rsidP="00BE343D">
            <w:pPr>
              <w:pStyle w:val="Tabletext"/>
              <w:rPr>
                <w:sz w:val="20"/>
              </w:rPr>
            </w:pPr>
            <w:r w:rsidRPr="006448F0">
              <w:rPr>
                <w:sz w:val="20"/>
              </w:rPr>
              <w:t>Guías creadas (informe cualitativo para medir los cambios a lo largo del tiempo</w:t>
            </w:r>
            <w:r w:rsidR="009B6DB0" w:rsidRPr="006448F0">
              <w:rPr>
                <w:sz w:val="20"/>
              </w:rPr>
              <w:t>)</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 xml:space="preserve">3. </w:t>
            </w:r>
            <w:r w:rsidR="00D1455D" w:rsidRPr="006448F0">
              <w:rPr>
                <w:sz w:val="20"/>
              </w:rPr>
              <w:t>Elaborar una serie de criterios para argumentar mejor la contratación de candidatos internos o externos</w:t>
            </w:r>
            <w:r w:rsidR="00366CD7" w:rsidRPr="006448F0">
              <w:rPr>
                <w:sz w:val="20"/>
              </w:rPr>
              <w:t>.</w:t>
            </w:r>
          </w:p>
        </w:tc>
        <w:tc>
          <w:tcPr>
            <w:tcW w:w="3969" w:type="dxa"/>
            <w:shd w:val="clear" w:color="auto" w:fill="DEEAF6"/>
          </w:tcPr>
          <w:p w:rsidR="009B6DB0" w:rsidRPr="006448F0" w:rsidRDefault="00D1455D" w:rsidP="00BE343D">
            <w:pPr>
              <w:pStyle w:val="Tabletext"/>
              <w:rPr>
                <w:sz w:val="20"/>
              </w:rPr>
            </w:pPr>
            <w:r w:rsidRPr="006448F0">
              <w:rPr>
                <w:sz w:val="20"/>
              </w:rPr>
              <w:t>Relación entre vacantes cubiertas con candidatos internos y externos</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 xml:space="preserve">4. </w:t>
            </w:r>
            <w:r w:rsidR="00BE2CA0" w:rsidRPr="006448F0">
              <w:rPr>
                <w:sz w:val="20"/>
              </w:rPr>
              <w:t>Preparar e imponer obligatoriamente la formación para los paneles de selección internos.</w:t>
            </w:r>
          </w:p>
        </w:tc>
        <w:tc>
          <w:tcPr>
            <w:tcW w:w="3969" w:type="dxa"/>
            <w:shd w:val="clear" w:color="auto" w:fill="DEEAF6"/>
          </w:tcPr>
          <w:p w:rsidR="009B6DB0" w:rsidRPr="006448F0" w:rsidRDefault="00BE2CA0" w:rsidP="00BE343D">
            <w:pPr>
              <w:pStyle w:val="Tabletext"/>
              <w:rPr>
                <w:sz w:val="20"/>
              </w:rPr>
            </w:pPr>
            <w:r w:rsidRPr="006448F0">
              <w:rPr>
                <w:sz w:val="20"/>
              </w:rPr>
              <w:t>Porcentaje de miembros de los paneles formados.</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 xml:space="preserve">5. </w:t>
            </w:r>
            <w:r w:rsidR="00BE2CA0" w:rsidRPr="006448F0">
              <w:rPr>
                <w:sz w:val="20"/>
              </w:rPr>
              <w:t xml:space="preserve">Garantizar que los grandes principios sobre competencias y selección enunciados en el Reglamento del Personal y las Reglas del </w:t>
            </w:r>
            <w:proofErr w:type="spellStart"/>
            <w:r w:rsidR="00BE2CA0" w:rsidRPr="006448F0">
              <w:rPr>
                <w:sz w:val="20"/>
              </w:rPr>
              <w:t>Personal</w:t>
            </w:r>
            <w:proofErr w:type="spellEnd"/>
            <w:r w:rsidR="00BE2CA0" w:rsidRPr="006448F0">
              <w:rPr>
                <w:sz w:val="20"/>
              </w:rPr>
              <w:t xml:space="preserve"> también se aplican a la contratación de expertos/consultores.</w:t>
            </w:r>
          </w:p>
        </w:tc>
        <w:tc>
          <w:tcPr>
            <w:tcW w:w="3969" w:type="dxa"/>
            <w:shd w:val="clear" w:color="auto" w:fill="DEEAF6"/>
          </w:tcPr>
          <w:p w:rsidR="009B6DB0" w:rsidRPr="006448F0" w:rsidRDefault="00BE2CA0" w:rsidP="00BE343D">
            <w:pPr>
              <w:pStyle w:val="Tabletext"/>
              <w:rPr>
                <w:sz w:val="20"/>
              </w:rPr>
            </w:pPr>
            <w:r w:rsidRPr="006448F0">
              <w:rPr>
                <w:sz w:val="20"/>
              </w:rPr>
              <w:t>Revisión necesaria de los procedimientos de contratación de expertos/consultores (informe cualitativo para medir los cambios a lo largo del tiempo</w:t>
            </w:r>
            <w:r w:rsidR="009B6DB0" w:rsidRPr="006448F0">
              <w:rPr>
                <w:sz w:val="20"/>
              </w:rPr>
              <w:t>)</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r w:rsidRPr="006448F0">
              <w:rPr>
                <w:sz w:val="20"/>
              </w:rPr>
              <w:t>1.5</w:t>
            </w:r>
          </w:p>
        </w:tc>
        <w:tc>
          <w:tcPr>
            <w:tcW w:w="2127" w:type="dxa"/>
            <w:tcBorders>
              <w:top w:val="single" w:sz="4" w:space="0" w:color="auto"/>
              <w:left w:val="single" w:sz="4" w:space="0" w:color="auto"/>
              <w:bottom w:val="nil"/>
              <w:right w:val="single" w:sz="4" w:space="0" w:color="auto"/>
            </w:tcBorders>
            <w:shd w:val="clear" w:color="auto" w:fill="DEEAF6"/>
          </w:tcPr>
          <w:p w:rsidR="009B6DB0" w:rsidRPr="006448F0" w:rsidRDefault="00BE2CA0" w:rsidP="00BE343D">
            <w:pPr>
              <w:pStyle w:val="Tabletext"/>
              <w:rPr>
                <w:sz w:val="20"/>
              </w:rPr>
            </w:pPr>
            <w:r w:rsidRPr="006448F0">
              <w:rPr>
                <w:sz w:val="20"/>
              </w:rPr>
              <w:t>Mejora de la imagen de marca de la UIT como empleador</w:t>
            </w:r>
            <w:r w:rsidR="00366CD7" w:rsidRPr="006448F0">
              <w:rPr>
                <w:sz w:val="20"/>
              </w:rPr>
              <w:t>.</w:t>
            </w: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1. Red</w:t>
            </w:r>
            <w:r w:rsidR="00BE2CA0" w:rsidRPr="006448F0">
              <w:rPr>
                <w:sz w:val="20"/>
              </w:rPr>
              <w:t>iseñar la estrategia de proyección para atraer a candidatos altamente cualificados y contribuir a la diversidad</w:t>
            </w:r>
            <w:r w:rsidR="00366CD7" w:rsidRPr="006448F0">
              <w:rPr>
                <w:sz w:val="20"/>
              </w:rPr>
              <w:t>.</w:t>
            </w:r>
          </w:p>
        </w:tc>
        <w:tc>
          <w:tcPr>
            <w:tcW w:w="3969" w:type="dxa"/>
            <w:shd w:val="clear" w:color="auto" w:fill="DEEAF6"/>
          </w:tcPr>
          <w:p w:rsidR="009B6DB0" w:rsidRPr="006448F0" w:rsidRDefault="00BE2CA0" w:rsidP="00BE343D">
            <w:pPr>
              <w:pStyle w:val="Tabletext"/>
              <w:rPr>
                <w:sz w:val="20"/>
              </w:rPr>
            </w:pPr>
            <w:r w:rsidRPr="006448F0">
              <w:rPr>
                <w:sz w:val="20"/>
              </w:rPr>
              <w:t>Mayor número de candidatos con las cualificaciones y competencias necesarias</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 xml:space="preserve">2. </w:t>
            </w:r>
            <w:r w:rsidR="00BE2CA0" w:rsidRPr="006448F0">
              <w:rPr>
                <w:sz w:val="20"/>
              </w:rPr>
              <w:t>Aumentar las asociaciones con gobiernos nacionales e instituciones en beneficio de la adquisición y retención de talentos, así como de la imagen de marca de los RR.HH.</w:t>
            </w:r>
          </w:p>
        </w:tc>
        <w:tc>
          <w:tcPr>
            <w:tcW w:w="3969" w:type="dxa"/>
            <w:shd w:val="clear" w:color="auto" w:fill="DEEAF6"/>
          </w:tcPr>
          <w:p w:rsidR="009B6DB0" w:rsidRPr="006448F0" w:rsidRDefault="00BE2CA0" w:rsidP="00BE343D">
            <w:pPr>
              <w:pStyle w:val="Tabletext"/>
              <w:rPr>
                <w:sz w:val="20"/>
              </w:rPr>
            </w:pPr>
            <w:r w:rsidRPr="006448F0">
              <w:rPr>
                <w:sz w:val="20"/>
              </w:rPr>
              <w:t>Número de asociaciones creadas con universidades (informe cualitativo sobre las iniciativas y cuantitativo, es decir, número de pasantes contratados a través de las asociaciones, la caza de talentos,</w:t>
            </w:r>
            <w:r w:rsidR="009B6DB0" w:rsidRPr="006448F0">
              <w:rPr>
                <w:sz w:val="20"/>
              </w:rPr>
              <w:t xml:space="preserve"> etc.)</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tcBorders>
            <w:shd w:val="clear" w:color="auto" w:fill="DEEAF6"/>
          </w:tcPr>
          <w:p w:rsidR="009B6DB0" w:rsidRPr="006448F0" w:rsidRDefault="009B6DB0" w:rsidP="00BE343D">
            <w:pPr>
              <w:pStyle w:val="Tabletext"/>
              <w:rPr>
                <w:sz w:val="20"/>
              </w:rPr>
            </w:pPr>
            <w:r w:rsidRPr="006448F0">
              <w:rPr>
                <w:sz w:val="20"/>
              </w:rPr>
              <w:t xml:space="preserve">3. </w:t>
            </w:r>
            <w:r w:rsidR="00BE2CA0" w:rsidRPr="006448F0">
              <w:rPr>
                <w:sz w:val="20"/>
              </w:rPr>
              <w:t>Revisar el marco de pasantías de la UIT a fin de aumentar los incentivos y las oportunidades laborales para los pasantes y mejorar la imagen de marca de la UIT</w:t>
            </w:r>
            <w:r w:rsidR="00366CD7" w:rsidRPr="006448F0">
              <w:rPr>
                <w:sz w:val="20"/>
              </w:rPr>
              <w:t>.</w:t>
            </w:r>
          </w:p>
        </w:tc>
        <w:tc>
          <w:tcPr>
            <w:tcW w:w="3969" w:type="dxa"/>
            <w:shd w:val="clear" w:color="auto" w:fill="DEEAF6"/>
          </w:tcPr>
          <w:p w:rsidR="009B6DB0" w:rsidRPr="006448F0" w:rsidRDefault="00BE2CA0" w:rsidP="00BE343D">
            <w:pPr>
              <w:pStyle w:val="Tabletext"/>
              <w:rPr>
                <w:sz w:val="20"/>
              </w:rPr>
            </w:pPr>
            <w:r w:rsidRPr="006448F0">
              <w:rPr>
                <w:sz w:val="20"/>
              </w:rPr>
              <w:t>Marco de pasantías</w:t>
            </w:r>
            <w:r w:rsidR="000C762C" w:rsidRPr="006448F0">
              <w:rPr>
                <w:sz w:val="20"/>
              </w:rPr>
              <w:t xml:space="preserve"> </w:t>
            </w:r>
            <w:r w:rsidRPr="006448F0">
              <w:rPr>
                <w:sz w:val="20"/>
              </w:rPr>
              <w:t>revisado (informe cualitativo</w:t>
            </w:r>
            <w:r w:rsidR="00AB1CAE" w:rsidRPr="006448F0">
              <w:rPr>
                <w:sz w:val="20"/>
              </w:rPr>
              <w:t xml:space="preserve"> para medir los cambios a lo largo del tiempo e informe cuantitativo, es decir, número de pasantes/año; proporción de pasantes que han disfrutado de programas de formación,</w:t>
            </w:r>
            <w:r w:rsidR="009B6DB0" w:rsidRPr="006448F0">
              <w:rPr>
                <w:sz w:val="20"/>
              </w:rPr>
              <w:t xml:space="preserve"> etc.)</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DBE5F1" w:themeFill="accent1" w:themeFillTint="3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DEEAF6"/>
          </w:tcPr>
          <w:p w:rsidR="009B6DB0" w:rsidRPr="006448F0" w:rsidRDefault="009B6DB0" w:rsidP="00BE343D">
            <w:pPr>
              <w:pStyle w:val="Tabletext"/>
              <w:rPr>
                <w:sz w:val="20"/>
              </w:rPr>
            </w:pPr>
          </w:p>
        </w:tc>
        <w:tc>
          <w:tcPr>
            <w:tcW w:w="4252" w:type="dxa"/>
            <w:tcBorders>
              <w:left w:val="single" w:sz="4" w:space="0" w:color="auto"/>
            </w:tcBorders>
            <w:shd w:val="clear" w:color="auto" w:fill="DEEAF6"/>
          </w:tcPr>
          <w:p w:rsidR="009B6DB0" w:rsidRPr="006448F0" w:rsidRDefault="009B6DB0" w:rsidP="00366CD7">
            <w:pPr>
              <w:pStyle w:val="Tabletext"/>
              <w:rPr>
                <w:sz w:val="20"/>
              </w:rPr>
            </w:pPr>
            <w:r w:rsidRPr="006448F0">
              <w:rPr>
                <w:sz w:val="20"/>
              </w:rPr>
              <w:t>4. D</w:t>
            </w:r>
            <w:r w:rsidR="00AB1CAE" w:rsidRPr="006448F0">
              <w:rPr>
                <w:sz w:val="20"/>
              </w:rPr>
              <w:t>iseñar y fomentar programas de talento juvenil adecuados que aumenten las oportunidades para los pasantes, funcionarios profesionales de nivel inferior, etc. mediante formaciones, grados,</w:t>
            </w:r>
            <w:r w:rsidRPr="006448F0">
              <w:rPr>
                <w:sz w:val="20"/>
              </w:rPr>
              <w:t xml:space="preserve"> etc.</w:t>
            </w:r>
          </w:p>
        </w:tc>
        <w:tc>
          <w:tcPr>
            <w:tcW w:w="3969" w:type="dxa"/>
            <w:shd w:val="clear" w:color="auto" w:fill="DEEAF6"/>
          </w:tcPr>
          <w:p w:rsidR="009B6DB0" w:rsidRPr="006448F0" w:rsidRDefault="00AB1CAE" w:rsidP="00BE343D">
            <w:pPr>
              <w:pStyle w:val="Tabletext"/>
              <w:rPr>
                <w:sz w:val="20"/>
              </w:rPr>
            </w:pPr>
            <w:r w:rsidRPr="006448F0">
              <w:rPr>
                <w:sz w:val="20"/>
              </w:rPr>
              <w:t>Programas de talento juvenil diseñados y ejecutados (informe cualitativo para medir los cambios a lo largo del tiempo e informe cuantitativo, es decir, número de funcionarios profesionales de nivel inferior,</w:t>
            </w:r>
            <w:r w:rsidR="009B6DB0" w:rsidRPr="006448F0">
              <w:rPr>
                <w:sz w:val="20"/>
              </w:rPr>
              <w:t xml:space="preserve"> etc.)</w:t>
            </w:r>
            <w:r w:rsidR="00366CD7" w:rsidRPr="006448F0">
              <w:rPr>
                <w:sz w:val="20"/>
              </w:rPr>
              <w:t>.</w:t>
            </w:r>
          </w:p>
        </w:tc>
        <w:tc>
          <w:tcPr>
            <w:tcW w:w="1701" w:type="dxa"/>
            <w:shd w:val="clear" w:color="auto" w:fill="DEEAF6"/>
          </w:tcPr>
          <w:p w:rsidR="009B6DB0" w:rsidRPr="006448F0" w:rsidRDefault="009B6DB0" w:rsidP="00BE343D">
            <w:pPr>
              <w:pStyle w:val="Tabletext"/>
              <w:rPr>
                <w:sz w:val="20"/>
              </w:rPr>
            </w:pPr>
          </w:p>
        </w:tc>
        <w:tc>
          <w:tcPr>
            <w:tcW w:w="851" w:type="dxa"/>
            <w:shd w:val="clear" w:color="auto" w:fill="DEEAF6"/>
          </w:tcPr>
          <w:p w:rsidR="009B6DB0" w:rsidRPr="006448F0" w:rsidRDefault="009B6DB0" w:rsidP="00BE343D">
            <w:pPr>
              <w:pStyle w:val="Tabletext"/>
              <w:rPr>
                <w:sz w:val="20"/>
              </w:rPr>
            </w:pPr>
          </w:p>
        </w:tc>
        <w:tc>
          <w:tcPr>
            <w:tcW w:w="1843" w:type="dxa"/>
            <w:shd w:val="clear" w:color="auto" w:fill="DEEAF6"/>
          </w:tcPr>
          <w:p w:rsidR="009B6DB0" w:rsidRPr="008848D4" w:rsidRDefault="009B6DB0" w:rsidP="00BE343D">
            <w:pPr>
              <w:pStyle w:val="Tabletext"/>
            </w:pPr>
          </w:p>
        </w:tc>
      </w:tr>
      <w:tr w:rsidR="009B6DB0" w:rsidRPr="008848D4" w:rsidTr="009B6DB0">
        <w:trPr>
          <w:trHeight w:val="287"/>
        </w:trPr>
        <w:tc>
          <w:tcPr>
            <w:tcW w:w="15381" w:type="dxa"/>
            <w:gridSpan w:val="7"/>
            <w:shd w:val="clear" w:color="auto" w:fill="FBE4D5"/>
            <w:vAlign w:val="center"/>
          </w:tcPr>
          <w:p w:rsidR="009B6DB0" w:rsidRPr="006448F0" w:rsidRDefault="009B6DB0" w:rsidP="00BE343D">
            <w:pPr>
              <w:pStyle w:val="Tabletext"/>
              <w:rPr>
                <w:sz w:val="20"/>
              </w:rPr>
            </w:pPr>
            <w:r w:rsidRPr="006448F0">
              <w:rPr>
                <w:sz w:val="20"/>
              </w:rPr>
              <w:t xml:space="preserve">Pilar 2. </w:t>
            </w:r>
            <w:r w:rsidR="00AB1CAE" w:rsidRPr="006448F0">
              <w:rPr>
                <w:sz w:val="20"/>
              </w:rPr>
              <w:t>Empleados comprometidos</w:t>
            </w:r>
            <w:r w:rsidR="00366CD7" w:rsidRPr="006448F0">
              <w:rPr>
                <w:sz w:val="20"/>
              </w:rPr>
              <w:t>.</w:t>
            </w: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r w:rsidRPr="006448F0">
              <w:rPr>
                <w:sz w:val="20"/>
              </w:rPr>
              <w:t>2.1</w:t>
            </w:r>
          </w:p>
        </w:tc>
        <w:tc>
          <w:tcPr>
            <w:tcW w:w="2127" w:type="dxa"/>
            <w:tcBorders>
              <w:top w:val="single" w:sz="4" w:space="0" w:color="auto"/>
              <w:left w:val="single" w:sz="4" w:space="0" w:color="auto"/>
              <w:bottom w:val="nil"/>
              <w:right w:val="single" w:sz="4" w:space="0" w:color="auto"/>
            </w:tcBorders>
            <w:shd w:val="clear" w:color="auto" w:fill="FBE4D5"/>
          </w:tcPr>
          <w:p w:rsidR="009B6DB0" w:rsidRPr="006448F0" w:rsidRDefault="00AB1CAE" w:rsidP="00BE343D">
            <w:pPr>
              <w:pStyle w:val="Tabletext"/>
              <w:rPr>
                <w:sz w:val="20"/>
              </w:rPr>
            </w:pPr>
            <w:r w:rsidRPr="006448F0">
              <w:rPr>
                <w:sz w:val="20"/>
              </w:rPr>
              <w:t>Armonización estratégica y operacional del rendimiento del personal con las metas de la UIT</w:t>
            </w:r>
            <w:r w:rsidR="00366CD7" w:rsidRPr="006448F0">
              <w:rPr>
                <w:sz w:val="20"/>
              </w:rPr>
              <w:t>.</w:t>
            </w: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1. </w:t>
            </w:r>
            <w:r w:rsidR="00AB1CAE" w:rsidRPr="006448F0">
              <w:rPr>
                <w:sz w:val="20"/>
              </w:rPr>
              <w:t>Seguir aplicando la nueva política y el nuevo sistema</w:t>
            </w:r>
            <w:r w:rsidRPr="006448F0">
              <w:rPr>
                <w:sz w:val="20"/>
              </w:rPr>
              <w:t xml:space="preserve"> PMDS </w:t>
            </w:r>
            <w:r w:rsidR="00AB1CAE" w:rsidRPr="006448F0">
              <w:rPr>
                <w:sz w:val="20"/>
              </w:rPr>
              <w:t>para garantizar el compromiso y el satisfactorio rendimiento del personal de la UIT.</w:t>
            </w:r>
          </w:p>
        </w:tc>
        <w:tc>
          <w:tcPr>
            <w:tcW w:w="3969" w:type="dxa"/>
            <w:shd w:val="clear" w:color="auto" w:fill="FBE4D5"/>
          </w:tcPr>
          <w:p w:rsidR="009B6DB0" w:rsidRPr="006448F0" w:rsidRDefault="00AB1CAE" w:rsidP="00BE343D">
            <w:pPr>
              <w:pStyle w:val="Tabletext"/>
              <w:rPr>
                <w:sz w:val="20"/>
              </w:rPr>
            </w:pPr>
            <w:r w:rsidRPr="006448F0">
              <w:rPr>
                <w:sz w:val="20"/>
              </w:rPr>
              <w:t>Tasa de cumplimiento</w:t>
            </w:r>
            <w:r w:rsidR="00366CD7" w:rsidRPr="006448F0">
              <w:rPr>
                <w:sz w:val="20"/>
              </w:rPr>
              <w:t>.</w:t>
            </w:r>
          </w:p>
          <w:p w:rsidR="009B6DB0" w:rsidRPr="006448F0" w:rsidRDefault="009B6DB0" w:rsidP="00BE343D">
            <w:pPr>
              <w:pStyle w:val="Tabletext"/>
              <w:rPr>
                <w:sz w:val="20"/>
              </w:rPr>
            </w:pPr>
            <w:r w:rsidRPr="006448F0">
              <w:rPr>
                <w:sz w:val="20"/>
              </w:rPr>
              <w:t>N</w:t>
            </w:r>
            <w:r w:rsidR="00AB1CAE" w:rsidRPr="006448F0">
              <w:rPr>
                <w:sz w:val="20"/>
              </w:rPr>
              <w:t>úmero de miembros del personal con buen/mal rendimiento</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2. </w:t>
            </w:r>
            <w:r w:rsidR="00AB1CAE" w:rsidRPr="006448F0">
              <w:rPr>
                <w:sz w:val="20"/>
              </w:rPr>
              <w:t xml:space="preserve">Aumentar las oportunidades de intercambio y las iniciativas de evaluación de la capacidad para crear una cultura de gestión y desarrollo del rendimiento </w:t>
            </w:r>
            <w:proofErr w:type="gramStart"/>
            <w:r w:rsidR="00AB1CAE" w:rsidRPr="006448F0">
              <w:rPr>
                <w:sz w:val="20"/>
              </w:rPr>
              <w:t>efectiva y armonizada</w:t>
            </w:r>
            <w:proofErr w:type="gramEnd"/>
            <w:r w:rsidR="00AB1CAE" w:rsidRPr="006448F0">
              <w:rPr>
                <w:sz w:val="20"/>
              </w:rPr>
              <w:t xml:space="preserve"> en la UIT</w:t>
            </w:r>
            <w:r w:rsidR="00366CD7" w:rsidRPr="006448F0">
              <w:rPr>
                <w:sz w:val="20"/>
              </w:rPr>
              <w:t>.</w:t>
            </w:r>
          </w:p>
        </w:tc>
        <w:tc>
          <w:tcPr>
            <w:tcW w:w="3969" w:type="dxa"/>
            <w:shd w:val="clear" w:color="auto" w:fill="FBE4D5"/>
          </w:tcPr>
          <w:p w:rsidR="009B6DB0" w:rsidRPr="006448F0" w:rsidRDefault="009B6DB0" w:rsidP="00BE343D">
            <w:pPr>
              <w:pStyle w:val="Tabletext"/>
              <w:rPr>
                <w:sz w:val="20"/>
              </w:rPr>
            </w:pPr>
            <w:r w:rsidRPr="006448F0">
              <w:rPr>
                <w:sz w:val="20"/>
              </w:rPr>
              <w:t>N</w:t>
            </w:r>
            <w:r w:rsidR="00AB1CAE" w:rsidRPr="006448F0">
              <w:rPr>
                <w:sz w:val="20"/>
              </w:rPr>
              <w:t>úmero de sesiones de información, charlas y formaciones sobre</w:t>
            </w:r>
            <w:r w:rsidRPr="006448F0">
              <w:rPr>
                <w:sz w:val="20"/>
              </w:rPr>
              <w:t xml:space="preserve"> PMDS/</w:t>
            </w:r>
            <w:r w:rsidR="00AB1CAE" w:rsidRPr="006448F0">
              <w:rPr>
                <w:sz w:val="20"/>
              </w:rPr>
              <w:t>año. Resultados cualitativos</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3. D</w:t>
            </w:r>
            <w:r w:rsidR="00AB1CAE" w:rsidRPr="006448F0">
              <w:rPr>
                <w:sz w:val="20"/>
              </w:rPr>
              <w:t>iseñar y aplicar una nueva política de gestión del bajo rendimiento y una política de recompensa y reconocimiento</w:t>
            </w:r>
            <w:r w:rsidR="00366CD7" w:rsidRPr="006448F0">
              <w:rPr>
                <w:sz w:val="20"/>
              </w:rPr>
              <w:t>.</w:t>
            </w:r>
          </w:p>
        </w:tc>
        <w:tc>
          <w:tcPr>
            <w:tcW w:w="3969" w:type="dxa"/>
            <w:shd w:val="clear" w:color="auto" w:fill="FBE4D5"/>
          </w:tcPr>
          <w:p w:rsidR="009B6DB0" w:rsidRPr="006448F0" w:rsidRDefault="00AB1CAE" w:rsidP="00BE343D">
            <w:pPr>
              <w:pStyle w:val="Tabletext"/>
              <w:rPr>
                <w:sz w:val="20"/>
              </w:rPr>
            </w:pPr>
            <w:r w:rsidRPr="006448F0">
              <w:rPr>
                <w:sz w:val="20"/>
              </w:rPr>
              <w:t>Creación de una nueva política sobre el bajo rendimiento (informe cualitativo sobre los cambios a lo largo del tiempo y cuantitativo, por ejemplo, número de planes de mejora creados/año</w:t>
            </w:r>
            <w:r w:rsidR="009B6DB0" w:rsidRPr="006448F0">
              <w:rPr>
                <w:sz w:val="20"/>
              </w:rPr>
              <w:t>)</w:t>
            </w:r>
            <w:r w:rsidR="00366CD7" w:rsidRPr="006448F0">
              <w:rPr>
                <w:sz w:val="20"/>
              </w:rPr>
              <w:t>.</w:t>
            </w:r>
          </w:p>
          <w:p w:rsidR="009B6DB0" w:rsidRPr="006448F0" w:rsidRDefault="00AB1CAE" w:rsidP="00BE343D">
            <w:pPr>
              <w:pStyle w:val="Tabletext"/>
              <w:rPr>
                <w:sz w:val="20"/>
              </w:rPr>
            </w:pPr>
            <w:r w:rsidRPr="006448F0">
              <w:rPr>
                <w:sz w:val="20"/>
              </w:rPr>
              <w:lastRenderedPageBreak/>
              <w:t>Creación de una nueva política sobre recompensas (informe cualitativo sobre los cambios a lo largo del tiempo y cuantitativo, por ejemplo, número de nominados a los premios</w:t>
            </w:r>
            <w:r w:rsidR="009B6DB0" w:rsidRPr="006448F0">
              <w:rPr>
                <w:sz w:val="20"/>
              </w:rPr>
              <w:t>)</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4. </w:t>
            </w:r>
            <w:r w:rsidR="00AB1CAE" w:rsidRPr="006448F0">
              <w:rPr>
                <w:sz w:val="20"/>
              </w:rPr>
              <w:t>Seguir ofreciendo las formaciones necesarias para aumentar la capacidad del personal, aplicando correctamente las políticas y herramientas.</w:t>
            </w:r>
          </w:p>
        </w:tc>
        <w:tc>
          <w:tcPr>
            <w:tcW w:w="3969" w:type="dxa"/>
            <w:shd w:val="clear" w:color="auto" w:fill="FBE4D5"/>
          </w:tcPr>
          <w:p w:rsidR="009B6DB0" w:rsidRPr="006448F0" w:rsidRDefault="009B6DB0" w:rsidP="00366CD7">
            <w:pPr>
              <w:pStyle w:val="Tabletext"/>
              <w:rPr>
                <w:sz w:val="20"/>
              </w:rPr>
            </w:pPr>
            <w:r w:rsidRPr="006448F0">
              <w:rPr>
                <w:sz w:val="20"/>
              </w:rPr>
              <w:t>N</w:t>
            </w:r>
            <w:r w:rsidR="00AB1CAE" w:rsidRPr="006448F0">
              <w:rPr>
                <w:sz w:val="20"/>
              </w:rPr>
              <w:t>úmero de iniciativas/año e informe cualitativo sobre los resultados</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5. </w:t>
            </w:r>
            <w:r w:rsidR="00AB1CAE" w:rsidRPr="006448F0">
              <w:rPr>
                <w:sz w:val="20"/>
              </w:rPr>
              <w:t>Garantizar que la UIT lidera el Grupo de Trabajo de la red de RR.HH. sobre gestión y desarrollo del rendimiento y aporta su contribución al mismo.</w:t>
            </w:r>
          </w:p>
        </w:tc>
        <w:tc>
          <w:tcPr>
            <w:tcW w:w="3969" w:type="dxa"/>
            <w:shd w:val="clear" w:color="auto" w:fill="FBE4D5"/>
          </w:tcPr>
          <w:p w:rsidR="009B6DB0" w:rsidRPr="006448F0" w:rsidRDefault="00AB1CAE" w:rsidP="00BE343D">
            <w:pPr>
              <w:pStyle w:val="Tabletext"/>
              <w:rPr>
                <w:sz w:val="20"/>
              </w:rPr>
            </w:pPr>
            <w:r w:rsidRPr="006448F0">
              <w:rPr>
                <w:sz w:val="20"/>
              </w:rPr>
              <w:t xml:space="preserve">Contribuciones a los Grupos de Trabajo de la red de </w:t>
            </w:r>
            <w:r w:rsidR="003F1745" w:rsidRPr="006448F0">
              <w:rPr>
                <w:sz w:val="20"/>
              </w:rPr>
              <w:t>RR.HH.</w:t>
            </w:r>
            <w:r w:rsidRPr="006448F0">
              <w:rPr>
                <w:sz w:val="20"/>
              </w:rPr>
              <w:t xml:space="preserve"> (cualitativo: políticas; cuantitativo: participación en reuniones/año</w:t>
            </w:r>
            <w:r w:rsidR="009B6DB0" w:rsidRPr="006448F0">
              <w:rPr>
                <w:sz w:val="20"/>
              </w:rPr>
              <w:t>)</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single" w:sz="4" w:space="0" w:color="auto"/>
              <w:right w:val="single" w:sz="4" w:space="0" w:color="auto"/>
            </w:tcBorders>
            <w:shd w:val="clear" w:color="auto" w:fill="FBE4D5"/>
          </w:tcPr>
          <w:p w:rsidR="009B6DB0" w:rsidRPr="006448F0" w:rsidRDefault="009B6DB0" w:rsidP="00BB35FA">
            <w:pPr>
              <w:pStyle w:val="Tabletext"/>
              <w:spacing w:before="40"/>
              <w:rPr>
                <w:sz w:val="20"/>
              </w:rPr>
            </w:pPr>
            <w:r w:rsidRPr="006448F0">
              <w:rPr>
                <w:sz w:val="20"/>
              </w:rPr>
              <w:t>2.2</w:t>
            </w:r>
          </w:p>
        </w:tc>
        <w:tc>
          <w:tcPr>
            <w:tcW w:w="2127" w:type="dxa"/>
            <w:tcBorders>
              <w:top w:val="single" w:sz="4" w:space="0" w:color="auto"/>
              <w:left w:val="single" w:sz="4" w:space="0" w:color="auto"/>
              <w:bottom w:val="single" w:sz="4" w:space="0" w:color="auto"/>
              <w:right w:val="single" w:sz="4" w:space="0" w:color="auto"/>
            </w:tcBorders>
            <w:shd w:val="clear" w:color="auto" w:fill="FBE4D5"/>
          </w:tcPr>
          <w:p w:rsidR="009B6DB0" w:rsidRPr="006448F0" w:rsidRDefault="00B120D3" w:rsidP="00BB35FA">
            <w:pPr>
              <w:pStyle w:val="Tabletext"/>
              <w:spacing w:before="40"/>
              <w:rPr>
                <w:sz w:val="20"/>
              </w:rPr>
            </w:pPr>
            <w:r w:rsidRPr="006448F0">
              <w:rPr>
                <w:sz w:val="20"/>
              </w:rPr>
              <w:t>Modelo de liderazgo efectivo, inclusiv</w:t>
            </w:r>
            <w:r w:rsidR="0027044C" w:rsidRPr="006448F0">
              <w:rPr>
                <w:sz w:val="20"/>
              </w:rPr>
              <w:t>o</w:t>
            </w:r>
            <w:r w:rsidRPr="006448F0">
              <w:rPr>
                <w:sz w:val="20"/>
              </w:rPr>
              <w:t xml:space="preserve"> e inductiv</w:t>
            </w:r>
            <w:r w:rsidR="0027044C" w:rsidRPr="006448F0">
              <w:rPr>
                <w:sz w:val="20"/>
              </w:rPr>
              <w:t>o</w:t>
            </w:r>
            <w:r w:rsidR="00366CD7" w:rsidRPr="006448F0">
              <w:rPr>
                <w:sz w:val="20"/>
              </w:rPr>
              <w:t>.</w:t>
            </w:r>
          </w:p>
        </w:tc>
        <w:tc>
          <w:tcPr>
            <w:tcW w:w="4252" w:type="dxa"/>
            <w:tcBorders>
              <w:left w:val="single" w:sz="4" w:space="0" w:color="auto"/>
            </w:tcBorders>
            <w:shd w:val="clear" w:color="auto" w:fill="FBE4D5"/>
          </w:tcPr>
          <w:p w:rsidR="009B6DB0" w:rsidRPr="006448F0" w:rsidRDefault="009B6DB0" w:rsidP="00BB35FA">
            <w:pPr>
              <w:pStyle w:val="Tabletext"/>
              <w:spacing w:before="40"/>
              <w:rPr>
                <w:sz w:val="20"/>
              </w:rPr>
            </w:pPr>
            <w:r w:rsidRPr="006448F0">
              <w:rPr>
                <w:sz w:val="20"/>
              </w:rPr>
              <w:t>D</w:t>
            </w:r>
            <w:r w:rsidR="00CD3F88" w:rsidRPr="006448F0">
              <w:rPr>
                <w:sz w:val="20"/>
              </w:rPr>
              <w:t>iseño de un nuevo modelo de liderazgo (más horizontal, colaborativo y respons</w:t>
            </w:r>
            <w:r w:rsidR="0027044C" w:rsidRPr="006448F0">
              <w:rPr>
                <w:sz w:val="20"/>
              </w:rPr>
              <w:t>a</w:t>
            </w:r>
            <w:r w:rsidR="00CD3F88" w:rsidRPr="006448F0">
              <w:rPr>
                <w:sz w:val="20"/>
              </w:rPr>
              <w:t>ble)</w:t>
            </w:r>
            <w:r w:rsidR="0027044C" w:rsidRPr="006448F0">
              <w:rPr>
                <w:sz w:val="20"/>
              </w:rPr>
              <w:t xml:space="preserve"> fomentado a través del programa de formación en gestión y liderazgo, basado en el </w:t>
            </w:r>
            <w:r w:rsidR="00366CD7" w:rsidRPr="006448F0">
              <w:rPr>
                <w:sz w:val="20"/>
              </w:rPr>
              <w:t>"</w:t>
            </w:r>
            <w:r w:rsidR="0027044C" w:rsidRPr="006448F0">
              <w:rPr>
                <w:sz w:val="20"/>
              </w:rPr>
              <w:t>Nuevo marco de l</w:t>
            </w:r>
            <w:r w:rsidR="00366CD7" w:rsidRPr="006448F0">
              <w:rPr>
                <w:sz w:val="20"/>
              </w:rPr>
              <w:t>iderazgo de las Naciones Unidas"</w:t>
            </w:r>
            <w:r w:rsidR="0027044C" w:rsidRPr="006448F0">
              <w:rPr>
                <w:sz w:val="20"/>
              </w:rPr>
              <w:t xml:space="preserve"> para reforzar el liderazgo en la UIT. El marco afirma que un liderazgo transformador necesita centrarse en la redefinición de los métodos de creación de asociaciones y en el diseño de las estrategias y los sistemas. Se basa fundamentalmente en la modificación de las actitudes y comportamientos mediante el desarrollo de las capacidades de liderazgo y las perspectivas y la voluntad de cambio</w:t>
            </w:r>
            <w:r w:rsidRPr="006448F0">
              <w:rPr>
                <w:sz w:val="20"/>
              </w:rPr>
              <w:t>.</w:t>
            </w:r>
          </w:p>
        </w:tc>
        <w:tc>
          <w:tcPr>
            <w:tcW w:w="3969" w:type="dxa"/>
            <w:shd w:val="clear" w:color="auto" w:fill="FBE4D5"/>
          </w:tcPr>
          <w:p w:rsidR="009B6DB0" w:rsidRPr="006448F0" w:rsidRDefault="009B6DB0" w:rsidP="00BB35FA">
            <w:pPr>
              <w:pStyle w:val="Tabletext"/>
              <w:spacing w:before="40"/>
              <w:rPr>
                <w:sz w:val="20"/>
              </w:rPr>
            </w:pPr>
            <w:r w:rsidRPr="006448F0">
              <w:rPr>
                <w:sz w:val="20"/>
              </w:rPr>
              <w:t>N</w:t>
            </w:r>
            <w:r w:rsidR="0027044C" w:rsidRPr="006448F0">
              <w:rPr>
                <w:sz w:val="20"/>
              </w:rPr>
              <w:t>úmero de participantes en el programa de gestión y liderazgo/año (por sede, sector, grado y género</w:t>
            </w:r>
            <w:r w:rsidRPr="006448F0">
              <w:rPr>
                <w:sz w:val="20"/>
              </w:rPr>
              <w:t>)</w:t>
            </w:r>
            <w:r w:rsidR="00366CD7" w:rsidRPr="006448F0">
              <w:rPr>
                <w:sz w:val="20"/>
              </w:rPr>
              <w:t>.</w:t>
            </w:r>
          </w:p>
          <w:p w:rsidR="009B6DB0" w:rsidRPr="006448F0" w:rsidRDefault="0027044C" w:rsidP="00BB35FA">
            <w:pPr>
              <w:pStyle w:val="Tabletext"/>
              <w:spacing w:before="40"/>
              <w:rPr>
                <w:sz w:val="20"/>
              </w:rPr>
            </w:pPr>
            <w:r w:rsidRPr="006448F0">
              <w:rPr>
                <w:sz w:val="20"/>
              </w:rPr>
              <w:t xml:space="preserve">Medición cualitativa de los resultados mediante encuestas y rentabilidad para la UIT (en fase de diseño), incluido el porcentaje de participantes satisfechos y la medición de los cambios comportamentales mediante </w:t>
            </w:r>
            <w:r w:rsidR="009B6DB0" w:rsidRPr="006448F0">
              <w:rPr>
                <w:sz w:val="20"/>
              </w:rPr>
              <w:t>PMDS</w:t>
            </w:r>
            <w:r w:rsidRPr="006448F0">
              <w:rPr>
                <w:sz w:val="20"/>
              </w:rPr>
              <w:t xml:space="preserve"> satisfactorio en materia de competencias de gestión y liderazgo</w:t>
            </w:r>
            <w:r w:rsidR="00366CD7" w:rsidRPr="006448F0">
              <w:rPr>
                <w:sz w:val="20"/>
              </w:rPr>
              <w:t>.</w:t>
            </w:r>
          </w:p>
        </w:tc>
        <w:tc>
          <w:tcPr>
            <w:tcW w:w="1701" w:type="dxa"/>
            <w:shd w:val="clear" w:color="auto" w:fill="FBE4D5"/>
          </w:tcPr>
          <w:p w:rsidR="009B6DB0" w:rsidRPr="006448F0" w:rsidRDefault="009B6DB0" w:rsidP="00BB35FA">
            <w:pPr>
              <w:pStyle w:val="Tabletext"/>
              <w:spacing w:before="40"/>
              <w:rPr>
                <w:sz w:val="20"/>
              </w:rPr>
            </w:pPr>
          </w:p>
        </w:tc>
        <w:tc>
          <w:tcPr>
            <w:tcW w:w="851" w:type="dxa"/>
            <w:shd w:val="clear" w:color="auto" w:fill="FBE4D5"/>
          </w:tcPr>
          <w:p w:rsidR="009B6DB0" w:rsidRPr="006448F0" w:rsidRDefault="009B6DB0" w:rsidP="00BB35FA">
            <w:pPr>
              <w:pStyle w:val="Tabletext"/>
              <w:spacing w:before="40"/>
              <w:rPr>
                <w:sz w:val="20"/>
              </w:rPr>
            </w:pPr>
          </w:p>
        </w:tc>
        <w:tc>
          <w:tcPr>
            <w:tcW w:w="1843" w:type="dxa"/>
            <w:shd w:val="clear" w:color="auto" w:fill="FBE4D5"/>
          </w:tcPr>
          <w:p w:rsidR="009B6DB0" w:rsidRPr="008848D4" w:rsidRDefault="009B6DB0" w:rsidP="00BB35FA">
            <w:pPr>
              <w:pStyle w:val="Tabletext"/>
              <w:spacing w:before="40"/>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FBE4D5"/>
          </w:tcPr>
          <w:p w:rsidR="009B6DB0" w:rsidRPr="006448F0" w:rsidRDefault="009B6DB0" w:rsidP="00BB35FA">
            <w:pPr>
              <w:pStyle w:val="Tabletext"/>
              <w:spacing w:before="40"/>
              <w:rPr>
                <w:sz w:val="20"/>
              </w:rPr>
            </w:pPr>
            <w:r w:rsidRPr="006448F0">
              <w:rPr>
                <w:sz w:val="20"/>
              </w:rPr>
              <w:t>2.3</w:t>
            </w:r>
          </w:p>
        </w:tc>
        <w:tc>
          <w:tcPr>
            <w:tcW w:w="2127" w:type="dxa"/>
            <w:tcBorders>
              <w:top w:val="single" w:sz="4" w:space="0" w:color="auto"/>
              <w:left w:val="single" w:sz="4" w:space="0" w:color="auto"/>
              <w:bottom w:val="nil"/>
              <w:right w:val="single" w:sz="4" w:space="0" w:color="auto"/>
            </w:tcBorders>
            <w:shd w:val="clear" w:color="auto" w:fill="FBE4D5"/>
          </w:tcPr>
          <w:p w:rsidR="009B6DB0" w:rsidRPr="006448F0" w:rsidRDefault="0027044C" w:rsidP="00BB35FA">
            <w:pPr>
              <w:pStyle w:val="Tabletext"/>
              <w:spacing w:before="40"/>
              <w:rPr>
                <w:sz w:val="20"/>
              </w:rPr>
            </w:pPr>
            <w:r w:rsidRPr="006448F0">
              <w:rPr>
                <w:sz w:val="20"/>
              </w:rPr>
              <w:t>Base común para las competencias y destrezas necesarias</w:t>
            </w:r>
            <w:r w:rsidR="00366CD7" w:rsidRPr="006448F0">
              <w:rPr>
                <w:sz w:val="20"/>
              </w:rPr>
              <w:t>.</w:t>
            </w:r>
          </w:p>
        </w:tc>
        <w:tc>
          <w:tcPr>
            <w:tcW w:w="4252" w:type="dxa"/>
            <w:tcBorders>
              <w:left w:val="single" w:sz="4" w:space="0" w:color="auto"/>
            </w:tcBorders>
            <w:shd w:val="clear" w:color="auto" w:fill="FBE4D5"/>
          </w:tcPr>
          <w:p w:rsidR="009B6DB0" w:rsidRPr="006448F0" w:rsidRDefault="009B6DB0" w:rsidP="00BB35FA">
            <w:pPr>
              <w:pStyle w:val="Tabletext"/>
              <w:spacing w:before="40"/>
              <w:rPr>
                <w:sz w:val="20"/>
              </w:rPr>
            </w:pPr>
            <w:r w:rsidRPr="006448F0">
              <w:rPr>
                <w:sz w:val="20"/>
              </w:rPr>
              <w:t>1. D</w:t>
            </w:r>
            <w:r w:rsidR="00D77E77" w:rsidRPr="006448F0">
              <w:rPr>
                <w:sz w:val="20"/>
              </w:rPr>
              <w:t>iseño y puesta en marcha del Pilar 3 del Marco de competencias de la UIT (competencias técnicas, Orden de Servicio</w:t>
            </w:r>
            <w:r w:rsidRPr="006448F0">
              <w:rPr>
                <w:sz w:val="20"/>
              </w:rPr>
              <w:t xml:space="preserve"> 18/03), </w:t>
            </w:r>
            <w:r w:rsidR="00D77E77" w:rsidRPr="006448F0">
              <w:rPr>
                <w:sz w:val="20"/>
              </w:rPr>
              <w:t>de acuerdo también con los nuevos Planes Estratégico y Operacional de la UIT</w:t>
            </w:r>
            <w:r w:rsidRPr="006448F0">
              <w:rPr>
                <w:sz w:val="20"/>
              </w:rPr>
              <w:t xml:space="preserve"> (PP-18)</w:t>
            </w:r>
            <w:r w:rsidR="00366CD7" w:rsidRPr="006448F0">
              <w:rPr>
                <w:sz w:val="20"/>
              </w:rPr>
              <w:t>.</w:t>
            </w:r>
          </w:p>
        </w:tc>
        <w:tc>
          <w:tcPr>
            <w:tcW w:w="3969" w:type="dxa"/>
            <w:shd w:val="clear" w:color="auto" w:fill="FBE4D5"/>
          </w:tcPr>
          <w:p w:rsidR="009B6DB0" w:rsidRPr="006448F0" w:rsidRDefault="009B6DB0" w:rsidP="00BB35FA">
            <w:pPr>
              <w:pStyle w:val="Tabletext"/>
              <w:spacing w:before="40"/>
              <w:rPr>
                <w:sz w:val="20"/>
              </w:rPr>
            </w:pPr>
            <w:r w:rsidRPr="006448F0">
              <w:rPr>
                <w:sz w:val="20"/>
              </w:rPr>
              <w:t>Pilar 3 integra</w:t>
            </w:r>
            <w:r w:rsidR="00D77E77" w:rsidRPr="006448F0">
              <w:rPr>
                <w:sz w:val="20"/>
              </w:rPr>
              <w:t>do en el Marco de competencias de la UIT y el</w:t>
            </w:r>
            <w:r w:rsidRPr="006448F0">
              <w:rPr>
                <w:sz w:val="20"/>
              </w:rPr>
              <w:t xml:space="preserve"> PMDS; </w:t>
            </w:r>
            <w:r w:rsidR="00D77E77" w:rsidRPr="006448F0">
              <w:rPr>
                <w:sz w:val="20"/>
              </w:rPr>
              <w:t>porcentaje de personal cuya evaluación de estas competencias es satisfactoria</w:t>
            </w:r>
            <w:r w:rsidR="00366CD7" w:rsidRPr="006448F0">
              <w:rPr>
                <w:sz w:val="20"/>
              </w:rPr>
              <w:t>.</w:t>
            </w:r>
          </w:p>
        </w:tc>
        <w:tc>
          <w:tcPr>
            <w:tcW w:w="1701" w:type="dxa"/>
            <w:shd w:val="clear" w:color="auto" w:fill="FBE4D5"/>
          </w:tcPr>
          <w:p w:rsidR="009B6DB0" w:rsidRPr="006448F0" w:rsidRDefault="009B6DB0" w:rsidP="00BB35FA">
            <w:pPr>
              <w:pStyle w:val="Tabletext"/>
              <w:spacing w:before="40"/>
              <w:rPr>
                <w:sz w:val="20"/>
              </w:rPr>
            </w:pPr>
          </w:p>
        </w:tc>
        <w:tc>
          <w:tcPr>
            <w:tcW w:w="851" w:type="dxa"/>
            <w:shd w:val="clear" w:color="auto" w:fill="FBE4D5"/>
          </w:tcPr>
          <w:p w:rsidR="009B6DB0" w:rsidRPr="006448F0" w:rsidRDefault="009B6DB0" w:rsidP="00BB35FA">
            <w:pPr>
              <w:pStyle w:val="Tabletext"/>
              <w:spacing w:before="40"/>
              <w:rPr>
                <w:sz w:val="20"/>
              </w:rPr>
            </w:pPr>
          </w:p>
        </w:tc>
        <w:tc>
          <w:tcPr>
            <w:tcW w:w="1843" w:type="dxa"/>
            <w:shd w:val="clear" w:color="auto" w:fill="FBE4D5"/>
          </w:tcPr>
          <w:p w:rsidR="009B6DB0" w:rsidRPr="008848D4" w:rsidRDefault="009B6DB0" w:rsidP="00BB35FA">
            <w:pPr>
              <w:pStyle w:val="Tabletext"/>
              <w:spacing w:before="40"/>
            </w:pPr>
          </w:p>
        </w:tc>
      </w:tr>
      <w:tr w:rsidR="009B6DB0" w:rsidRPr="008848D4" w:rsidTr="005852CF">
        <w:tc>
          <w:tcPr>
            <w:tcW w:w="638" w:type="dxa"/>
            <w:tcBorders>
              <w:top w:val="nil"/>
              <w:left w:val="single" w:sz="4" w:space="0" w:color="auto"/>
              <w:bottom w:val="nil"/>
              <w:right w:val="single" w:sz="4" w:space="0" w:color="auto"/>
            </w:tcBorders>
            <w:shd w:val="clear" w:color="auto" w:fill="FBE4D5"/>
          </w:tcPr>
          <w:p w:rsidR="009B6DB0" w:rsidRPr="006448F0" w:rsidRDefault="009B6DB0" w:rsidP="00BB35FA">
            <w:pPr>
              <w:pStyle w:val="Tabletext"/>
              <w:spacing w:before="40"/>
              <w:rPr>
                <w:sz w:val="20"/>
              </w:rPr>
            </w:pPr>
          </w:p>
        </w:tc>
        <w:tc>
          <w:tcPr>
            <w:tcW w:w="2127" w:type="dxa"/>
            <w:tcBorders>
              <w:top w:val="nil"/>
              <w:left w:val="single" w:sz="4" w:space="0" w:color="auto"/>
              <w:bottom w:val="nil"/>
              <w:right w:val="single" w:sz="4" w:space="0" w:color="auto"/>
            </w:tcBorders>
            <w:shd w:val="clear" w:color="auto" w:fill="FBE4D5"/>
          </w:tcPr>
          <w:p w:rsidR="009B6DB0" w:rsidRPr="006448F0" w:rsidRDefault="009B6DB0" w:rsidP="00BB35FA">
            <w:pPr>
              <w:pStyle w:val="Tabletext"/>
              <w:spacing w:before="40"/>
              <w:rPr>
                <w:sz w:val="20"/>
              </w:rPr>
            </w:pPr>
          </w:p>
        </w:tc>
        <w:tc>
          <w:tcPr>
            <w:tcW w:w="4252" w:type="dxa"/>
            <w:tcBorders>
              <w:left w:val="single" w:sz="4" w:space="0" w:color="auto"/>
            </w:tcBorders>
            <w:shd w:val="clear" w:color="auto" w:fill="FBE4D5"/>
          </w:tcPr>
          <w:p w:rsidR="009B6DB0" w:rsidRPr="006448F0" w:rsidRDefault="009B6DB0" w:rsidP="00BB35FA">
            <w:pPr>
              <w:pStyle w:val="Tabletext"/>
              <w:spacing w:before="40"/>
              <w:rPr>
                <w:sz w:val="20"/>
              </w:rPr>
            </w:pPr>
            <w:r w:rsidRPr="006448F0">
              <w:rPr>
                <w:sz w:val="20"/>
              </w:rPr>
              <w:t xml:space="preserve">2. </w:t>
            </w:r>
            <w:r w:rsidR="00D77E77" w:rsidRPr="006448F0">
              <w:rPr>
                <w:sz w:val="20"/>
              </w:rPr>
              <w:t>Efectuar evaluaciones de carencias de compet</w:t>
            </w:r>
            <w:r w:rsidR="00F22D23" w:rsidRPr="006448F0">
              <w:rPr>
                <w:sz w:val="20"/>
              </w:rPr>
              <w:t>encias y destrezas por Oficinas</w:t>
            </w:r>
            <w:r w:rsidR="00D77E77" w:rsidRPr="006448F0">
              <w:rPr>
                <w:sz w:val="20"/>
              </w:rPr>
              <w:t>/Departamentos de la SG, también para aumentar la movilidad (geográfica, funcional y a corto plazo) como medio de adquirir, mejorar y aportar nuevas competencias y destrezas en las unidades orgánicas</w:t>
            </w:r>
            <w:r w:rsidR="00E60DB8" w:rsidRPr="006448F0">
              <w:rPr>
                <w:sz w:val="20"/>
              </w:rPr>
              <w:t xml:space="preserve"> y las Oficinas en el terreno</w:t>
            </w:r>
            <w:r w:rsidR="00D77E77" w:rsidRPr="006448F0">
              <w:rPr>
                <w:sz w:val="20"/>
              </w:rPr>
              <w:t>.</w:t>
            </w:r>
          </w:p>
        </w:tc>
        <w:tc>
          <w:tcPr>
            <w:tcW w:w="3969" w:type="dxa"/>
            <w:shd w:val="clear" w:color="auto" w:fill="FBE4D5"/>
          </w:tcPr>
          <w:p w:rsidR="009B6DB0" w:rsidRPr="006448F0" w:rsidRDefault="009B6DB0" w:rsidP="00BB35FA">
            <w:pPr>
              <w:pStyle w:val="Tabletext"/>
              <w:spacing w:before="40"/>
              <w:rPr>
                <w:sz w:val="20"/>
              </w:rPr>
            </w:pPr>
            <w:r w:rsidRPr="006448F0">
              <w:rPr>
                <w:sz w:val="20"/>
              </w:rPr>
              <w:t>N</w:t>
            </w:r>
            <w:r w:rsidR="00D77E77" w:rsidRPr="006448F0">
              <w:rPr>
                <w:sz w:val="20"/>
              </w:rPr>
              <w:t>úmero de traslados internos, número de traslados a corto plazo transformados en traslados a largo plazo</w:t>
            </w:r>
            <w:r w:rsidR="00366CD7" w:rsidRPr="006448F0">
              <w:rPr>
                <w:sz w:val="20"/>
              </w:rPr>
              <w:t>.</w:t>
            </w:r>
          </w:p>
        </w:tc>
        <w:tc>
          <w:tcPr>
            <w:tcW w:w="1701" w:type="dxa"/>
            <w:shd w:val="clear" w:color="auto" w:fill="FBE4D5"/>
          </w:tcPr>
          <w:p w:rsidR="009B6DB0" w:rsidRPr="006448F0" w:rsidRDefault="009B6DB0" w:rsidP="00BB35FA">
            <w:pPr>
              <w:pStyle w:val="Tabletext"/>
              <w:spacing w:before="40"/>
              <w:rPr>
                <w:sz w:val="20"/>
              </w:rPr>
            </w:pPr>
          </w:p>
        </w:tc>
        <w:tc>
          <w:tcPr>
            <w:tcW w:w="851" w:type="dxa"/>
            <w:shd w:val="clear" w:color="auto" w:fill="FBE4D5"/>
          </w:tcPr>
          <w:p w:rsidR="009B6DB0" w:rsidRPr="006448F0" w:rsidRDefault="009B6DB0" w:rsidP="00BB35FA">
            <w:pPr>
              <w:pStyle w:val="Tabletext"/>
              <w:spacing w:before="40"/>
              <w:rPr>
                <w:sz w:val="20"/>
              </w:rPr>
            </w:pPr>
          </w:p>
        </w:tc>
        <w:tc>
          <w:tcPr>
            <w:tcW w:w="1843" w:type="dxa"/>
            <w:shd w:val="clear" w:color="auto" w:fill="FBE4D5"/>
          </w:tcPr>
          <w:p w:rsidR="009B6DB0" w:rsidRPr="008848D4" w:rsidRDefault="009B6DB0" w:rsidP="00BB35FA">
            <w:pPr>
              <w:pStyle w:val="Tabletext"/>
              <w:spacing w:before="40"/>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B35FA">
            <w:pPr>
              <w:pStyle w:val="Tabletext"/>
              <w:spacing w:before="40"/>
              <w:rPr>
                <w:sz w:val="20"/>
              </w:rPr>
            </w:pPr>
          </w:p>
        </w:tc>
        <w:tc>
          <w:tcPr>
            <w:tcW w:w="2127"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B35FA">
            <w:pPr>
              <w:pStyle w:val="Tabletext"/>
              <w:spacing w:before="40"/>
              <w:rPr>
                <w:sz w:val="20"/>
              </w:rPr>
            </w:pPr>
          </w:p>
        </w:tc>
        <w:tc>
          <w:tcPr>
            <w:tcW w:w="4252" w:type="dxa"/>
            <w:tcBorders>
              <w:left w:val="single" w:sz="4" w:space="0" w:color="auto"/>
            </w:tcBorders>
            <w:shd w:val="clear" w:color="auto" w:fill="FBE4D5"/>
          </w:tcPr>
          <w:p w:rsidR="009B6DB0" w:rsidRPr="006448F0" w:rsidRDefault="009B6DB0" w:rsidP="00BB35FA">
            <w:pPr>
              <w:pStyle w:val="Tabletext"/>
              <w:spacing w:before="40"/>
              <w:rPr>
                <w:sz w:val="20"/>
              </w:rPr>
            </w:pPr>
            <w:r w:rsidRPr="006448F0">
              <w:rPr>
                <w:sz w:val="20"/>
              </w:rPr>
              <w:t>3. D</w:t>
            </w:r>
            <w:r w:rsidR="00D77E77" w:rsidRPr="006448F0">
              <w:rPr>
                <w:sz w:val="20"/>
              </w:rPr>
              <w:t>iseño y ejecución de planes de formación para colmar las carencias, según proceda</w:t>
            </w:r>
            <w:r w:rsidR="00366CD7" w:rsidRPr="006448F0">
              <w:rPr>
                <w:sz w:val="20"/>
              </w:rPr>
              <w:t>.</w:t>
            </w:r>
          </w:p>
        </w:tc>
        <w:tc>
          <w:tcPr>
            <w:tcW w:w="3969" w:type="dxa"/>
            <w:shd w:val="clear" w:color="auto" w:fill="FBE4D5"/>
          </w:tcPr>
          <w:p w:rsidR="009B6DB0" w:rsidRPr="006448F0" w:rsidRDefault="00D77E77" w:rsidP="00BB35FA">
            <w:pPr>
              <w:pStyle w:val="Tabletext"/>
              <w:spacing w:before="40"/>
              <w:rPr>
                <w:sz w:val="20"/>
              </w:rPr>
            </w:pPr>
            <w:r w:rsidRPr="006448F0">
              <w:rPr>
                <w:sz w:val="20"/>
              </w:rPr>
              <w:t>Análisis cuantitativo y cualitativo de las actividades de formación vinculadas a las necesidades identificadas y los recursos presupuestarios</w:t>
            </w:r>
            <w:r w:rsidR="00366CD7" w:rsidRPr="006448F0">
              <w:rPr>
                <w:sz w:val="20"/>
              </w:rPr>
              <w:t>.</w:t>
            </w:r>
          </w:p>
        </w:tc>
        <w:tc>
          <w:tcPr>
            <w:tcW w:w="1701" w:type="dxa"/>
            <w:shd w:val="clear" w:color="auto" w:fill="FBE4D5"/>
          </w:tcPr>
          <w:p w:rsidR="009B6DB0" w:rsidRPr="006448F0" w:rsidRDefault="009B6DB0" w:rsidP="00BB35FA">
            <w:pPr>
              <w:pStyle w:val="Tabletext"/>
              <w:spacing w:before="40"/>
              <w:rPr>
                <w:sz w:val="20"/>
              </w:rPr>
            </w:pPr>
          </w:p>
        </w:tc>
        <w:tc>
          <w:tcPr>
            <w:tcW w:w="851" w:type="dxa"/>
            <w:shd w:val="clear" w:color="auto" w:fill="FBE4D5"/>
          </w:tcPr>
          <w:p w:rsidR="009B6DB0" w:rsidRPr="006448F0" w:rsidRDefault="009B6DB0" w:rsidP="00BB35FA">
            <w:pPr>
              <w:pStyle w:val="Tabletext"/>
              <w:spacing w:before="40"/>
              <w:rPr>
                <w:sz w:val="20"/>
              </w:rPr>
            </w:pPr>
          </w:p>
        </w:tc>
        <w:tc>
          <w:tcPr>
            <w:tcW w:w="1843" w:type="dxa"/>
            <w:shd w:val="clear" w:color="auto" w:fill="FBE4D5"/>
          </w:tcPr>
          <w:p w:rsidR="009B6DB0" w:rsidRPr="008848D4" w:rsidRDefault="009B6DB0" w:rsidP="00BB35FA">
            <w:pPr>
              <w:pStyle w:val="Tabletext"/>
              <w:spacing w:before="40"/>
            </w:pPr>
          </w:p>
        </w:tc>
      </w:tr>
      <w:tr w:rsidR="009B6DB0" w:rsidRPr="008848D4" w:rsidTr="005852CF">
        <w:trPr>
          <w:trHeight w:val="503"/>
        </w:trPr>
        <w:tc>
          <w:tcPr>
            <w:tcW w:w="638" w:type="dxa"/>
            <w:vMerge w:val="restart"/>
            <w:tcBorders>
              <w:top w:val="single" w:sz="4" w:space="0" w:color="auto"/>
              <w:left w:val="single" w:sz="4" w:space="0" w:color="auto"/>
              <w:bottom w:val="nil"/>
              <w:right w:val="single" w:sz="4" w:space="0" w:color="auto"/>
            </w:tcBorders>
            <w:shd w:val="clear" w:color="auto" w:fill="FBE4D5"/>
          </w:tcPr>
          <w:p w:rsidR="009B6DB0" w:rsidRPr="006448F0" w:rsidRDefault="009B6DB0" w:rsidP="00BB35FA">
            <w:pPr>
              <w:pStyle w:val="Tabletext"/>
              <w:keepNext/>
              <w:keepLines/>
              <w:spacing w:before="40"/>
              <w:rPr>
                <w:sz w:val="20"/>
              </w:rPr>
            </w:pPr>
            <w:r w:rsidRPr="006448F0">
              <w:rPr>
                <w:sz w:val="20"/>
              </w:rPr>
              <w:t>2.4</w:t>
            </w:r>
          </w:p>
        </w:tc>
        <w:tc>
          <w:tcPr>
            <w:tcW w:w="2127" w:type="dxa"/>
            <w:vMerge w:val="restart"/>
            <w:tcBorders>
              <w:top w:val="single" w:sz="4" w:space="0" w:color="auto"/>
              <w:left w:val="single" w:sz="4" w:space="0" w:color="auto"/>
              <w:bottom w:val="nil"/>
              <w:right w:val="single" w:sz="4" w:space="0" w:color="auto"/>
            </w:tcBorders>
            <w:shd w:val="clear" w:color="auto" w:fill="FBE4D5"/>
          </w:tcPr>
          <w:p w:rsidR="009B6DB0" w:rsidRPr="006448F0" w:rsidRDefault="00D77E77" w:rsidP="00BB35FA">
            <w:pPr>
              <w:pStyle w:val="Tabletext"/>
              <w:keepNext/>
              <w:keepLines/>
              <w:spacing w:before="40"/>
              <w:rPr>
                <w:sz w:val="20"/>
              </w:rPr>
            </w:pPr>
            <w:r w:rsidRPr="006448F0">
              <w:rPr>
                <w:sz w:val="20"/>
              </w:rPr>
              <w:t xml:space="preserve">Aprendizaje y desarrollo como medio esencial para garantizar el </w:t>
            </w:r>
            <w:r w:rsidRPr="006448F0">
              <w:rPr>
                <w:i/>
                <w:iCs/>
                <w:sz w:val="20"/>
              </w:rPr>
              <w:t>continuo desarrollo del personal de la UIT para alcanzar las metas de la organización</w:t>
            </w:r>
            <w:r w:rsidR="00366CD7" w:rsidRPr="006448F0">
              <w:rPr>
                <w:sz w:val="20"/>
              </w:rPr>
              <w:t>.</w:t>
            </w:r>
          </w:p>
        </w:tc>
        <w:tc>
          <w:tcPr>
            <w:tcW w:w="4252" w:type="dxa"/>
            <w:tcBorders>
              <w:left w:val="single" w:sz="4" w:space="0" w:color="auto"/>
            </w:tcBorders>
            <w:shd w:val="clear" w:color="auto" w:fill="FBE4D5"/>
          </w:tcPr>
          <w:p w:rsidR="009B6DB0" w:rsidRPr="006448F0" w:rsidRDefault="009B6DB0" w:rsidP="00BB35FA">
            <w:pPr>
              <w:pStyle w:val="Tabletext"/>
              <w:keepNext/>
              <w:keepLines/>
              <w:spacing w:before="40"/>
              <w:rPr>
                <w:sz w:val="20"/>
              </w:rPr>
            </w:pPr>
            <w:r w:rsidRPr="006448F0">
              <w:rPr>
                <w:sz w:val="20"/>
              </w:rPr>
              <w:t>1. Revis</w:t>
            </w:r>
            <w:r w:rsidR="00D77E77" w:rsidRPr="006448F0">
              <w:rPr>
                <w:sz w:val="20"/>
              </w:rPr>
              <w:t>ar la política de formación y desarrollo de la UIT, incluido un nuevo marco de liderazgo (más inclusivo, horizontal,</w:t>
            </w:r>
            <w:r w:rsidRPr="006448F0">
              <w:rPr>
                <w:sz w:val="20"/>
              </w:rPr>
              <w:t xml:space="preserve"> etc.) </w:t>
            </w:r>
            <w:r w:rsidR="00D77E77" w:rsidRPr="006448F0">
              <w:rPr>
                <w:sz w:val="20"/>
              </w:rPr>
              <w:t>y de aprendizaje por la experiencia</w:t>
            </w:r>
            <w:r w:rsidR="00366CD7" w:rsidRPr="006448F0">
              <w:rPr>
                <w:sz w:val="20"/>
              </w:rPr>
              <w:t>.</w:t>
            </w:r>
          </w:p>
        </w:tc>
        <w:tc>
          <w:tcPr>
            <w:tcW w:w="3969" w:type="dxa"/>
            <w:shd w:val="clear" w:color="auto" w:fill="FBE4D5"/>
          </w:tcPr>
          <w:p w:rsidR="009B6DB0" w:rsidRPr="006448F0" w:rsidRDefault="00D77E77" w:rsidP="00BB35FA">
            <w:pPr>
              <w:pStyle w:val="Tabletext"/>
              <w:keepNext/>
              <w:keepLines/>
              <w:spacing w:before="40"/>
              <w:rPr>
                <w:sz w:val="20"/>
              </w:rPr>
            </w:pPr>
            <w:r w:rsidRPr="006448F0">
              <w:rPr>
                <w:sz w:val="20"/>
              </w:rPr>
              <w:t>Política revisada e integrada en el sistema de gestión del rendimiento del personal de la UIT mediante objetivos de formación (corto plazo); porcentaje de objetivos de formación conformes con la política; porcentaje de solicitudes de formación presentadas a HRMD conformes con la política</w:t>
            </w:r>
            <w:r w:rsidR="00366CD7" w:rsidRPr="006448F0">
              <w:rPr>
                <w:sz w:val="20"/>
              </w:rPr>
              <w:t>.</w:t>
            </w:r>
          </w:p>
        </w:tc>
        <w:tc>
          <w:tcPr>
            <w:tcW w:w="1701" w:type="dxa"/>
            <w:shd w:val="clear" w:color="auto" w:fill="FBE4D5"/>
          </w:tcPr>
          <w:p w:rsidR="009B6DB0" w:rsidRPr="006448F0" w:rsidRDefault="009B6DB0" w:rsidP="00BB35FA">
            <w:pPr>
              <w:pStyle w:val="Tabletext"/>
              <w:keepNext/>
              <w:keepLines/>
              <w:spacing w:before="40"/>
              <w:rPr>
                <w:sz w:val="20"/>
              </w:rPr>
            </w:pPr>
          </w:p>
        </w:tc>
        <w:tc>
          <w:tcPr>
            <w:tcW w:w="851" w:type="dxa"/>
            <w:shd w:val="clear" w:color="auto" w:fill="FBE4D5"/>
          </w:tcPr>
          <w:p w:rsidR="009B6DB0" w:rsidRPr="006448F0" w:rsidRDefault="009B6DB0" w:rsidP="00BB35FA">
            <w:pPr>
              <w:pStyle w:val="Tabletext"/>
              <w:keepNext/>
              <w:keepLines/>
              <w:spacing w:before="40"/>
              <w:rPr>
                <w:sz w:val="20"/>
              </w:rPr>
            </w:pPr>
          </w:p>
        </w:tc>
        <w:tc>
          <w:tcPr>
            <w:tcW w:w="1843" w:type="dxa"/>
            <w:shd w:val="clear" w:color="auto" w:fill="FBE4D5"/>
          </w:tcPr>
          <w:p w:rsidR="009B6DB0" w:rsidRPr="008848D4" w:rsidRDefault="009B6DB0" w:rsidP="00BB35FA">
            <w:pPr>
              <w:pStyle w:val="Tabletext"/>
              <w:keepNext/>
              <w:keepLines/>
              <w:spacing w:before="40"/>
            </w:pPr>
          </w:p>
        </w:tc>
      </w:tr>
      <w:tr w:rsidR="009B6DB0" w:rsidRPr="008848D4" w:rsidTr="005852CF">
        <w:tc>
          <w:tcPr>
            <w:tcW w:w="638" w:type="dxa"/>
            <w:vMerge/>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2127" w:type="dxa"/>
            <w:vMerge/>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2. </w:t>
            </w:r>
            <w:r w:rsidR="00D77E77" w:rsidRPr="006448F0">
              <w:rPr>
                <w:sz w:val="20"/>
              </w:rPr>
              <w:t>Realizar una evaluación de la capacidad de los recursos existentes y necesarios para cumplir los planes de formación de la UIT anuales, a corto plazo y a largo plazo (véase la Decisión</w:t>
            </w:r>
            <w:r w:rsidRPr="006448F0">
              <w:rPr>
                <w:sz w:val="20"/>
              </w:rPr>
              <w:t xml:space="preserve"> 5 </w:t>
            </w:r>
            <w:r w:rsidR="00D77E77" w:rsidRPr="006448F0">
              <w:rPr>
                <w:sz w:val="20"/>
              </w:rPr>
              <w:t xml:space="preserve">sobre el </w:t>
            </w:r>
            <w:r w:rsidRPr="006448F0">
              <w:rPr>
                <w:sz w:val="20"/>
              </w:rPr>
              <w:t xml:space="preserve">3% </w:t>
            </w:r>
            <w:r w:rsidR="00D77E77" w:rsidRPr="006448F0">
              <w:rPr>
                <w:sz w:val="20"/>
              </w:rPr>
              <w:t>de los costes de personal</w:t>
            </w:r>
            <w:r w:rsidRPr="006448F0">
              <w:rPr>
                <w:sz w:val="20"/>
              </w:rPr>
              <w:t>)</w:t>
            </w:r>
            <w:r w:rsidR="00366CD7" w:rsidRPr="006448F0">
              <w:rPr>
                <w:sz w:val="20"/>
              </w:rPr>
              <w:t>.</w:t>
            </w:r>
          </w:p>
        </w:tc>
        <w:tc>
          <w:tcPr>
            <w:tcW w:w="3969" w:type="dxa"/>
            <w:shd w:val="clear" w:color="auto" w:fill="FBE4D5"/>
          </w:tcPr>
          <w:p w:rsidR="009B6DB0" w:rsidRPr="006448F0" w:rsidRDefault="00E60DB8" w:rsidP="00366CD7">
            <w:pPr>
              <w:pStyle w:val="Tabletext"/>
              <w:rPr>
                <w:sz w:val="20"/>
              </w:rPr>
            </w:pPr>
            <w:r w:rsidRPr="006448F0">
              <w:rPr>
                <w:sz w:val="20"/>
              </w:rPr>
              <w:t>Finalización del estudio económico de los recursos de formación para la composición del presupuesto bienal de formación</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vMerge/>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2127" w:type="dxa"/>
            <w:vMerge/>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3. </w:t>
            </w:r>
            <w:r w:rsidR="00E60DB8" w:rsidRPr="006448F0">
              <w:rPr>
                <w:sz w:val="20"/>
              </w:rPr>
              <w:t>Nuevo diseño del presupuesto institucional mediante la centralización de los gastos de formación para formaciones en el servicio en toda la UIT, también como medio para garantizar la distribución equitativa de oportunidades (Sede y Oficinas en el terreno</w:t>
            </w:r>
            <w:r w:rsidRPr="006448F0">
              <w:rPr>
                <w:sz w:val="20"/>
              </w:rPr>
              <w:t>)</w:t>
            </w:r>
            <w:r w:rsidR="00366CD7" w:rsidRPr="006448F0">
              <w:rPr>
                <w:sz w:val="20"/>
              </w:rPr>
              <w:t>.</w:t>
            </w:r>
          </w:p>
        </w:tc>
        <w:tc>
          <w:tcPr>
            <w:tcW w:w="3969" w:type="dxa"/>
            <w:shd w:val="clear" w:color="auto" w:fill="FBE4D5"/>
          </w:tcPr>
          <w:p w:rsidR="009B6DB0" w:rsidRPr="006448F0" w:rsidRDefault="00E60DB8" w:rsidP="00BE343D">
            <w:pPr>
              <w:pStyle w:val="Tabletext"/>
              <w:rPr>
                <w:sz w:val="20"/>
              </w:rPr>
            </w:pPr>
            <w:r w:rsidRPr="006448F0">
              <w:rPr>
                <w:sz w:val="20"/>
              </w:rPr>
              <w:t>Presupuesto de formación centralizado en</w:t>
            </w:r>
            <w:r w:rsidR="009B6DB0" w:rsidRPr="006448F0">
              <w:rPr>
                <w:sz w:val="20"/>
              </w:rPr>
              <w:t xml:space="preserve"> HRMD; r</w:t>
            </w:r>
            <w:r w:rsidRPr="006448F0">
              <w:rPr>
                <w:sz w:val="20"/>
              </w:rPr>
              <w:t>elación entre programas de formación en el servicio e institucionales; porcentaje de participantes de las Oficinas en el terreno que han beneficiado de programas de formación institucionales</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4. </w:t>
            </w:r>
            <w:r w:rsidR="00E60DB8" w:rsidRPr="006448F0">
              <w:rPr>
                <w:sz w:val="20"/>
              </w:rPr>
              <w:t>Desarrollo y aplicación de un marco de desarrollo laboral en la UIT que sirva de orientación a los directores y al personal, además de dejar claro al personal nuevo y a los posibles solicitantes, cuáles son las oportunidades que ofrece la organización y el marco administrativo en que se pueden conseguir</w:t>
            </w:r>
            <w:r w:rsidR="00366CD7" w:rsidRPr="006448F0">
              <w:rPr>
                <w:sz w:val="20"/>
              </w:rPr>
              <w:t>.</w:t>
            </w:r>
          </w:p>
        </w:tc>
        <w:tc>
          <w:tcPr>
            <w:tcW w:w="3969" w:type="dxa"/>
            <w:shd w:val="clear" w:color="auto" w:fill="FBE4D5"/>
          </w:tcPr>
          <w:p w:rsidR="009B6DB0" w:rsidRPr="006448F0" w:rsidRDefault="00E60DB8" w:rsidP="00BE343D">
            <w:pPr>
              <w:pStyle w:val="Tabletext"/>
              <w:rPr>
                <w:sz w:val="20"/>
              </w:rPr>
            </w:pPr>
            <w:r w:rsidRPr="006448F0">
              <w:rPr>
                <w:sz w:val="20"/>
              </w:rPr>
              <w:t>Marco de desarrollo laboral creado (informe cualitativo sobre los cambios a lo largo del tiempo) y proporción de directores y personal que han beneficiado de la información (encuesta</w:t>
            </w:r>
            <w:r w:rsidR="009B6DB0" w:rsidRPr="006448F0">
              <w:rPr>
                <w:sz w:val="20"/>
              </w:rPr>
              <w:t>)</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5. </w:t>
            </w:r>
            <w:r w:rsidR="00E60DB8" w:rsidRPr="006448F0">
              <w:rPr>
                <w:sz w:val="20"/>
              </w:rPr>
              <w:t>Aumentar las iniciativas de desarrollo laboral entre organismos para garantizar la visibilidad del personal dentro del sistema de Naciones Unidas</w:t>
            </w:r>
            <w:r w:rsidR="00366CD7" w:rsidRPr="006448F0">
              <w:rPr>
                <w:sz w:val="20"/>
              </w:rPr>
              <w:t>.</w:t>
            </w:r>
          </w:p>
        </w:tc>
        <w:tc>
          <w:tcPr>
            <w:tcW w:w="3969" w:type="dxa"/>
            <w:shd w:val="clear" w:color="auto" w:fill="FBE4D5"/>
          </w:tcPr>
          <w:p w:rsidR="009B6DB0" w:rsidRPr="006448F0" w:rsidRDefault="009B6DB0" w:rsidP="00BE343D">
            <w:pPr>
              <w:pStyle w:val="Tabletext"/>
              <w:rPr>
                <w:sz w:val="20"/>
              </w:rPr>
            </w:pPr>
            <w:r w:rsidRPr="006448F0">
              <w:rPr>
                <w:sz w:val="20"/>
              </w:rPr>
              <w:t>N</w:t>
            </w:r>
            <w:r w:rsidR="00E60DB8" w:rsidRPr="006448F0">
              <w:rPr>
                <w:sz w:val="20"/>
              </w:rPr>
              <w:t>úmero de iniciativas de formación entre organismos</w:t>
            </w:r>
            <w:r w:rsidRPr="006448F0">
              <w:rPr>
                <w:sz w:val="20"/>
              </w:rPr>
              <w:t xml:space="preserve"> (</w:t>
            </w:r>
            <w:r w:rsidR="00E60DB8" w:rsidRPr="006448F0">
              <w:rPr>
                <w:sz w:val="20"/>
              </w:rPr>
              <w:t>porcentaje de participación del personal de la UIT)/año</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6. D</w:t>
            </w:r>
            <w:r w:rsidR="00E60DB8" w:rsidRPr="006448F0">
              <w:rPr>
                <w:sz w:val="20"/>
              </w:rPr>
              <w:t>iseño y aplicación de trayectos de formación y carrera que definan las formaciones y aprendizajes necesarios para pasar de un puesto al siguiente (horizontal o vertical) dentro de la UIT</w:t>
            </w:r>
            <w:r w:rsidR="00366CD7" w:rsidRPr="006448F0">
              <w:rPr>
                <w:sz w:val="20"/>
              </w:rPr>
              <w:t>.</w:t>
            </w:r>
          </w:p>
        </w:tc>
        <w:tc>
          <w:tcPr>
            <w:tcW w:w="3969" w:type="dxa"/>
            <w:shd w:val="clear" w:color="auto" w:fill="FBE4D5"/>
          </w:tcPr>
          <w:p w:rsidR="009B6DB0" w:rsidRPr="006448F0" w:rsidRDefault="00E60DB8" w:rsidP="00BE343D">
            <w:pPr>
              <w:pStyle w:val="Tabletext"/>
              <w:rPr>
                <w:sz w:val="20"/>
              </w:rPr>
            </w:pPr>
            <w:r w:rsidRPr="006448F0">
              <w:rPr>
                <w:sz w:val="20"/>
              </w:rPr>
              <w:t>Trayectos de formación y carrera diseñados e integrados en</w:t>
            </w:r>
            <w:r w:rsidR="009B6DB0" w:rsidRPr="006448F0">
              <w:rPr>
                <w:sz w:val="20"/>
              </w:rPr>
              <w:t xml:space="preserve"> PMDS </w:t>
            </w:r>
            <w:r w:rsidRPr="006448F0">
              <w:rPr>
                <w:sz w:val="20"/>
              </w:rPr>
              <w:t>y</w:t>
            </w:r>
            <w:r w:rsidR="009B6DB0" w:rsidRPr="006448F0">
              <w:rPr>
                <w:sz w:val="20"/>
              </w:rPr>
              <w:t xml:space="preserve"> LMS</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r w:rsidRPr="006448F0">
              <w:rPr>
                <w:sz w:val="20"/>
              </w:rPr>
              <w:t>2.5</w:t>
            </w:r>
          </w:p>
        </w:tc>
        <w:tc>
          <w:tcPr>
            <w:tcW w:w="2127" w:type="dxa"/>
            <w:tcBorders>
              <w:top w:val="single" w:sz="4" w:space="0" w:color="auto"/>
              <w:left w:val="single" w:sz="4" w:space="0" w:color="auto"/>
              <w:bottom w:val="nil"/>
              <w:right w:val="single" w:sz="4" w:space="0" w:color="auto"/>
            </w:tcBorders>
            <w:shd w:val="clear" w:color="auto" w:fill="FBE4D5"/>
          </w:tcPr>
          <w:p w:rsidR="009B6DB0" w:rsidRPr="006448F0" w:rsidRDefault="00E60DB8" w:rsidP="00BE343D">
            <w:pPr>
              <w:pStyle w:val="Tabletext"/>
              <w:rPr>
                <w:sz w:val="20"/>
              </w:rPr>
            </w:pPr>
            <w:r w:rsidRPr="006448F0">
              <w:rPr>
                <w:sz w:val="20"/>
              </w:rPr>
              <w:t>Orientación, inducción y tutorado del personal</w:t>
            </w:r>
            <w:r w:rsidR="00366CD7" w:rsidRPr="006448F0">
              <w:rPr>
                <w:sz w:val="20"/>
              </w:rPr>
              <w:t>.</w:t>
            </w: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1. La</w:t>
            </w:r>
            <w:r w:rsidR="00A00931" w:rsidRPr="006448F0">
              <w:rPr>
                <w:sz w:val="20"/>
              </w:rPr>
              <w:t>nzar un programa de integración y salida de la UIT, que comprenda</w:t>
            </w:r>
            <w:r w:rsidR="00366CD7" w:rsidRPr="006448F0">
              <w:rPr>
                <w:sz w:val="20"/>
              </w:rPr>
              <w:t>:</w:t>
            </w:r>
          </w:p>
          <w:p w:rsidR="009B6DB0" w:rsidRPr="006448F0" w:rsidRDefault="00366CD7" w:rsidP="00366CD7">
            <w:pPr>
              <w:pStyle w:val="Tabletext"/>
              <w:ind w:left="459" w:hanging="459"/>
              <w:rPr>
                <w:sz w:val="20"/>
              </w:rPr>
            </w:pPr>
            <w:r w:rsidRPr="006448F0">
              <w:rPr>
                <w:sz w:val="20"/>
              </w:rPr>
              <w:t>a)</w:t>
            </w:r>
            <w:r w:rsidRPr="006448F0">
              <w:rPr>
                <w:sz w:val="20"/>
              </w:rPr>
              <w:tab/>
            </w:r>
            <w:r w:rsidR="009B6DB0" w:rsidRPr="006448F0">
              <w:rPr>
                <w:sz w:val="20"/>
              </w:rPr>
              <w:t>De</w:t>
            </w:r>
            <w:r w:rsidR="00A00931" w:rsidRPr="006448F0">
              <w:rPr>
                <w:sz w:val="20"/>
              </w:rPr>
              <w:t>sarrollo y aplicación de un programa de inducción a la formación para el personal recién contratado</w:t>
            </w:r>
            <w:r w:rsidRPr="006448F0">
              <w:rPr>
                <w:sz w:val="20"/>
              </w:rPr>
              <w:t>.</w:t>
            </w:r>
          </w:p>
          <w:p w:rsidR="009B6DB0" w:rsidRPr="006448F0" w:rsidRDefault="00366CD7" w:rsidP="00366CD7">
            <w:pPr>
              <w:pStyle w:val="Tabletext"/>
              <w:ind w:left="459" w:hanging="459"/>
              <w:rPr>
                <w:sz w:val="20"/>
              </w:rPr>
            </w:pPr>
            <w:r w:rsidRPr="006448F0">
              <w:rPr>
                <w:sz w:val="20"/>
              </w:rPr>
              <w:t>b)</w:t>
            </w:r>
            <w:r w:rsidRPr="006448F0">
              <w:rPr>
                <w:sz w:val="20"/>
              </w:rPr>
              <w:tab/>
            </w:r>
            <w:r w:rsidR="00A00931" w:rsidRPr="006448F0">
              <w:rPr>
                <w:sz w:val="20"/>
              </w:rPr>
              <w:t>Preparación de varios documentos sobre la inducción y la integración en la UIT para facilitar la transición del personal nuevo</w:t>
            </w:r>
            <w:r w:rsidRPr="006448F0">
              <w:rPr>
                <w:sz w:val="20"/>
              </w:rPr>
              <w:t>.</w:t>
            </w:r>
          </w:p>
          <w:p w:rsidR="009B6DB0" w:rsidRPr="006448F0" w:rsidRDefault="009B6DB0" w:rsidP="00366CD7">
            <w:pPr>
              <w:pStyle w:val="Tabletext"/>
              <w:ind w:left="459" w:hanging="459"/>
              <w:rPr>
                <w:sz w:val="20"/>
              </w:rPr>
            </w:pPr>
            <w:r w:rsidRPr="006448F0">
              <w:rPr>
                <w:sz w:val="20"/>
              </w:rPr>
              <w:t>c)</w:t>
            </w:r>
            <w:r w:rsidR="00366CD7" w:rsidRPr="006448F0">
              <w:rPr>
                <w:sz w:val="20"/>
              </w:rPr>
              <w:tab/>
            </w:r>
            <w:r w:rsidR="00A00931" w:rsidRPr="006448F0">
              <w:rPr>
                <w:sz w:val="20"/>
              </w:rPr>
              <w:t>Preparación de un cuestionario para el personal que deja la UIT y efectuar un seguimiento periódico de las principales conclusiones</w:t>
            </w:r>
            <w:r w:rsidR="00366CD7" w:rsidRPr="006448F0">
              <w:rPr>
                <w:sz w:val="20"/>
              </w:rPr>
              <w:t>.</w:t>
            </w:r>
          </w:p>
        </w:tc>
        <w:tc>
          <w:tcPr>
            <w:tcW w:w="3969" w:type="dxa"/>
            <w:shd w:val="clear" w:color="auto" w:fill="FBE4D5"/>
          </w:tcPr>
          <w:p w:rsidR="009B6DB0" w:rsidRPr="006448F0" w:rsidRDefault="009B6DB0" w:rsidP="00BE343D">
            <w:pPr>
              <w:pStyle w:val="Tabletext"/>
              <w:rPr>
                <w:sz w:val="20"/>
              </w:rPr>
            </w:pPr>
            <w:r w:rsidRPr="006448F0">
              <w:rPr>
                <w:sz w:val="20"/>
              </w:rPr>
              <w:t>N</w:t>
            </w:r>
            <w:r w:rsidR="00A00931" w:rsidRPr="006448F0">
              <w:rPr>
                <w:sz w:val="20"/>
              </w:rPr>
              <w:t>úmero de inducciones celebradas (porcentaje de personal nuevo participante)/año</w:t>
            </w:r>
            <w:r w:rsidR="00366CD7" w:rsidRPr="006448F0">
              <w:rPr>
                <w:sz w:val="20"/>
              </w:rPr>
              <w:t>.</w:t>
            </w:r>
          </w:p>
          <w:p w:rsidR="009B6DB0" w:rsidRPr="006448F0" w:rsidRDefault="00A00931" w:rsidP="00BE343D">
            <w:pPr>
              <w:pStyle w:val="Tabletext"/>
              <w:rPr>
                <w:sz w:val="20"/>
              </w:rPr>
            </w:pPr>
            <w:r w:rsidRPr="006448F0">
              <w:rPr>
                <w:sz w:val="20"/>
              </w:rPr>
              <w:t>Cuestionario de salida compartido con el personal que deja la UIT, respuestas analizadas y</w:t>
            </w:r>
            <w:r w:rsidR="009B6DB0" w:rsidRPr="006448F0">
              <w:rPr>
                <w:sz w:val="20"/>
              </w:rPr>
              <w:t xml:space="preserve"> SWOT (</w:t>
            </w:r>
            <w:r w:rsidRPr="006448F0">
              <w:rPr>
                <w:sz w:val="20"/>
              </w:rPr>
              <w:t>fortalezas, debilidades, oportunidades, amenazas)/planes de acción creados</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 xml:space="preserve">2. </w:t>
            </w:r>
            <w:r w:rsidR="00A00931" w:rsidRPr="006448F0">
              <w:rPr>
                <w:sz w:val="20"/>
              </w:rPr>
              <w:t>Preparar, fomentar y evaluar un programa de tutorado</w:t>
            </w:r>
            <w:r w:rsidR="00366CD7" w:rsidRPr="006448F0">
              <w:rPr>
                <w:sz w:val="20"/>
              </w:rPr>
              <w:t>.</w:t>
            </w:r>
          </w:p>
        </w:tc>
        <w:tc>
          <w:tcPr>
            <w:tcW w:w="3969" w:type="dxa"/>
            <w:shd w:val="clear" w:color="auto" w:fill="FBE4D5"/>
          </w:tcPr>
          <w:p w:rsidR="009B6DB0" w:rsidRPr="006448F0" w:rsidRDefault="009B6DB0" w:rsidP="00BE343D">
            <w:pPr>
              <w:pStyle w:val="Tabletext"/>
              <w:rPr>
                <w:sz w:val="20"/>
              </w:rPr>
            </w:pPr>
            <w:r w:rsidRPr="006448F0">
              <w:rPr>
                <w:sz w:val="20"/>
              </w:rPr>
              <w:t>N</w:t>
            </w:r>
            <w:r w:rsidR="00A00931" w:rsidRPr="006448F0">
              <w:rPr>
                <w:sz w:val="20"/>
              </w:rPr>
              <w:t xml:space="preserve">úmero de miembros del personal que ejerce de tutor y </w:t>
            </w:r>
            <w:r w:rsidR="00C55D78" w:rsidRPr="006448F0">
              <w:rPr>
                <w:sz w:val="20"/>
              </w:rPr>
              <w:t>número de tutorados. Evaluación del nivel de satisfacción</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single" w:sz="4" w:space="0" w:color="auto"/>
              <w:bottom w:val="single" w:sz="4" w:space="0" w:color="auto"/>
            </w:tcBorders>
            <w:shd w:val="clear" w:color="auto" w:fill="FBE4D5"/>
          </w:tcPr>
          <w:p w:rsidR="009B6DB0" w:rsidRPr="006448F0" w:rsidRDefault="009B6DB0" w:rsidP="00BE343D">
            <w:pPr>
              <w:pStyle w:val="Tabletext"/>
              <w:rPr>
                <w:sz w:val="20"/>
              </w:rPr>
            </w:pPr>
            <w:r w:rsidRPr="006448F0">
              <w:rPr>
                <w:sz w:val="20"/>
              </w:rPr>
              <w:t>2.6</w:t>
            </w:r>
          </w:p>
        </w:tc>
        <w:tc>
          <w:tcPr>
            <w:tcW w:w="2127" w:type="dxa"/>
            <w:tcBorders>
              <w:top w:val="single" w:sz="4" w:space="0" w:color="auto"/>
              <w:bottom w:val="single" w:sz="4" w:space="0" w:color="auto"/>
            </w:tcBorders>
            <w:shd w:val="clear" w:color="auto" w:fill="FBE4D5"/>
          </w:tcPr>
          <w:p w:rsidR="009B6DB0" w:rsidRPr="006448F0" w:rsidRDefault="00C55D78" w:rsidP="00BE343D">
            <w:pPr>
              <w:pStyle w:val="Tabletext"/>
              <w:rPr>
                <w:sz w:val="20"/>
              </w:rPr>
            </w:pPr>
            <w:r w:rsidRPr="006448F0">
              <w:rPr>
                <w:sz w:val="20"/>
              </w:rPr>
              <w:t>Programa institucional de recompensas</w:t>
            </w:r>
            <w:r w:rsidR="00366CD7" w:rsidRPr="006448F0">
              <w:rPr>
                <w:sz w:val="20"/>
              </w:rPr>
              <w:t>.</w:t>
            </w:r>
          </w:p>
        </w:tc>
        <w:tc>
          <w:tcPr>
            <w:tcW w:w="4252" w:type="dxa"/>
            <w:shd w:val="clear" w:color="auto" w:fill="FBE4D5"/>
          </w:tcPr>
          <w:p w:rsidR="009B6DB0" w:rsidRPr="006448F0" w:rsidRDefault="009B6DB0" w:rsidP="00BE343D">
            <w:pPr>
              <w:pStyle w:val="Tabletext"/>
              <w:rPr>
                <w:sz w:val="20"/>
              </w:rPr>
            </w:pPr>
            <w:r w:rsidRPr="006448F0">
              <w:rPr>
                <w:sz w:val="20"/>
              </w:rPr>
              <w:t>1. Re</w:t>
            </w:r>
            <w:r w:rsidR="00C55D78" w:rsidRPr="006448F0">
              <w:rPr>
                <w:sz w:val="20"/>
              </w:rPr>
              <w:t>cuperar el programa de recompensas de la UIT para garantizar el reconocimiento (trabajo diario) y la recompensa (logros excepcionales a título individual o colectivo</w:t>
            </w:r>
            <w:r w:rsidRPr="006448F0">
              <w:rPr>
                <w:sz w:val="20"/>
              </w:rPr>
              <w:t>)</w:t>
            </w:r>
            <w:r w:rsidR="00366CD7" w:rsidRPr="006448F0">
              <w:rPr>
                <w:sz w:val="20"/>
              </w:rPr>
              <w:t>.</w:t>
            </w:r>
          </w:p>
        </w:tc>
        <w:tc>
          <w:tcPr>
            <w:tcW w:w="3969" w:type="dxa"/>
            <w:shd w:val="clear" w:color="auto" w:fill="FBE4D5"/>
          </w:tcPr>
          <w:p w:rsidR="009B6DB0" w:rsidRPr="006448F0" w:rsidRDefault="00C55D78" w:rsidP="00BE343D">
            <w:pPr>
              <w:pStyle w:val="Tabletext"/>
              <w:rPr>
                <w:sz w:val="20"/>
              </w:rPr>
            </w:pPr>
            <w:r w:rsidRPr="006448F0">
              <w:rPr>
                <w:sz w:val="20"/>
              </w:rPr>
              <w:t>Programa de recompensas recuperado, número de premios/año</w:t>
            </w:r>
            <w:r w:rsidR="00366CD7" w:rsidRPr="006448F0">
              <w:rPr>
                <w:sz w:val="20"/>
              </w:rPr>
              <w:t>.</w:t>
            </w:r>
          </w:p>
          <w:p w:rsidR="009B6DB0" w:rsidRPr="006448F0" w:rsidRDefault="00C55D78" w:rsidP="00BE343D">
            <w:pPr>
              <w:pStyle w:val="Tabletext"/>
              <w:rPr>
                <w:sz w:val="20"/>
              </w:rPr>
            </w:pPr>
            <w:r w:rsidRPr="006448F0">
              <w:rPr>
                <w:sz w:val="20"/>
              </w:rPr>
              <w:t>Nueva política creada para medir los cambios en el reconocimiento a lo largo del tiempo</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FBE4D5"/>
          </w:tcPr>
          <w:p w:rsidR="009B6DB0" w:rsidRPr="006448F0" w:rsidRDefault="009B6DB0" w:rsidP="00BE343D">
            <w:pPr>
              <w:pStyle w:val="Tabletext"/>
              <w:rPr>
                <w:sz w:val="20"/>
              </w:rPr>
            </w:pPr>
            <w:r w:rsidRPr="006448F0">
              <w:rPr>
                <w:sz w:val="20"/>
              </w:rPr>
              <w:t>2.7</w:t>
            </w:r>
          </w:p>
        </w:tc>
        <w:tc>
          <w:tcPr>
            <w:tcW w:w="2127" w:type="dxa"/>
            <w:tcBorders>
              <w:top w:val="single" w:sz="4" w:space="0" w:color="auto"/>
              <w:left w:val="single" w:sz="4" w:space="0" w:color="auto"/>
              <w:bottom w:val="nil"/>
              <w:right w:val="single" w:sz="4" w:space="0" w:color="auto"/>
            </w:tcBorders>
            <w:shd w:val="clear" w:color="auto" w:fill="FBE4D5"/>
          </w:tcPr>
          <w:p w:rsidR="009B6DB0" w:rsidRPr="006448F0" w:rsidRDefault="00C55D78" w:rsidP="00BE343D">
            <w:pPr>
              <w:pStyle w:val="Tabletext"/>
              <w:rPr>
                <w:sz w:val="20"/>
              </w:rPr>
            </w:pPr>
            <w:r w:rsidRPr="006448F0">
              <w:rPr>
                <w:sz w:val="20"/>
              </w:rPr>
              <w:t>Planificación de la sucesión</w:t>
            </w:r>
            <w:r w:rsidR="00F22D23" w:rsidRPr="006448F0">
              <w:rPr>
                <w:sz w:val="20"/>
              </w:rPr>
              <w:t>.</w:t>
            </w:r>
          </w:p>
        </w:tc>
        <w:tc>
          <w:tcPr>
            <w:tcW w:w="4252" w:type="dxa"/>
            <w:tcBorders>
              <w:left w:val="single" w:sz="4" w:space="0" w:color="auto"/>
            </w:tcBorders>
            <w:shd w:val="clear" w:color="auto" w:fill="FBE4D5"/>
          </w:tcPr>
          <w:p w:rsidR="009B6DB0" w:rsidRPr="006448F0" w:rsidRDefault="009B6DB0" w:rsidP="00F22D23">
            <w:pPr>
              <w:pStyle w:val="Tabletext"/>
              <w:rPr>
                <w:sz w:val="20"/>
              </w:rPr>
            </w:pPr>
            <w:r w:rsidRPr="006448F0">
              <w:rPr>
                <w:sz w:val="20"/>
              </w:rPr>
              <w:t xml:space="preserve">1. </w:t>
            </w:r>
            <w:r w:rsidR="00F22D23" w:rsidRPr="006448F0">
              <w:rPr>
                <w:sz w:val="20"/>
              </w:rPr>
              <w:t>D</w:t>
            </w:r>
            <w:r w:rsidR="00C55D78" w:rsidRPr="006448F0">
              <w:rPr>
                <w:sz w:val="20"/>
              </w:rPr>
              <w:t xml:space="preserve">iseño y aplicación de un marco de planificación de la sucesión en la UIT como medio para anticipar las necesidades de la organización y los recursos humanos necesarios, </w:t>
            </w:r>
            <w:r w:rsidR="00C55D78" w:rsidRPr="006448F0">
              <w:rPr>
                <w:i/>
                <w:iCs/>
                <w:sz w:val="20"/>
              </w:rPr>
              <w:t>incluida la identificación de funciones esenciales/críticas (es decir, puestos sensibles), la proyección de jubilaciones,</w:t>
            </w:r>
            <w:r w:rsidRPr="006448F0">
              <w:rPr>
                <w:i/>
                <w:iCs/>
                <w:sz w:val="20"/>
              </w:rPr>
              <w:t xml:space="preserve"> etc., </w:t>
            </w:r>
            <w:r w:rsidR="00C55D78" w:rsidRPr="006448F0">
              <w:rPr>
                <w:i/>
                <w:iCs/>
                <w:sz w:val="20"/>
              </w:rPr>
              <w:t>la identificación de las necesidades institucionales y de personal y la formulación de estrategias, políticas y planes de RR.HH. a medio y largo plazo</w:t>
            </w:r>
            <w:r w:rsidRPr="006448F0">
              <w:rPr>
                <w:sz w:val="20"/>
              </w:rPr>
              <w:t>.</w:t>
            </w:r>
          </w:p>
          <w:p w:rsidR="009B6DB0" w:rsidRPr="006448F0" w:rsidRDefault="00C55D78" w:rsidP="00BE343D">
            <w:pPr>
              <w:pStyle w:val="Tabletext"/>
              <w:rPr>
                <w:sz w:val="20"/>
              </w:rPr>
            </w:pPr>
            <w:r w:rsidRPr="006448F0">
              <w:rPr>
                <w:sz w:val="20"/>
              </w:rPr>
              <w:t>La planificación de la sucesión integrará la nueva EJO (edad de jubilación obligatoria). Se elaborarán dos listas: personal que alarga hasta los 65 y personal que desea jubilarse antes (según sus derechos y con la aprobación del Secretario General</w:t>
            </w:r>
            <w:r w:rsidR="009B6DB0" w:rsidRPr="006448F0">
              <w:rPr>
                <w:sz w:val="20"/>
              </w:rPr>
              <w:t>)</w:t>
            </w:r>
            <w:r w:rsidR="00366CD7" w:rsidRPr="006448F0">
              <w:rPr>
                <w:sz w:val="20"/>
              </w:rPr>
              <w:t>.</w:t>
            </w:r>
          </w:p>
        </w:tc>
        <w:tc>
          <w:tcPr>
            <w:tcW w:w="3969" w:type="dxa"/>
            <w:shd w:val="clear" w:color="auto" w:fill="FBE4D5"/>
          </w:tcPr>
          <w:p w:rsidR="009B6DB0" w:rsidRPr="006448F0" w:rsidRDefault="00C55D78" w:rsidP="00BB35FA">
            <w:pPr>
              <w:pStyle w:val="Tabletext"/>
              <w:spacing w:before="1440"/>
              <w:rPr>
                <w:sz w:val="20"/>
              </w:rPr>
            </w:pPr>
            <w:r w:rsidRPr="006448F0">
              <w:rPr>
                <w:sz w:val="20"/>
              </w:rPr>
              <w:t>Marco de planificación de la sucesión integrado en el Informe anual de RR.HH.</w:t>
            </w:r>
            <w:r w:rsidR="000C762C" w:rsidRPr="006448F0">
              <w:rPr>
                <w:sz w:val="20"/>
              </w:rPr>
              <w:t xml:space="preserve"> </w:t>
            </w:r>
            <w:r w:rsidRPr="006448F0">
              <w:rPr>
                <w:sz w:val="20"/>
              </w:rPr>
              <w:t>y aplicado en la UIT; proporción de miembros del personal que abandonará el servicio en 5-10 años, por sede/sector/grado y grupo ocupacional</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FBE4D5"/>
          </w:tcPr>
          <w:p w:rsidR="009B6DB0" w:rsidRPr="006448F0" w:rsidRDefault="009B6DB0" w:rsidP="00BE343D">
            <w:pPr>
              <w:pStyle w:val="Tabletext"/>
              <w:rPr>
                <w:sz w:val="20"/>
              </w:rPr>
            </w:pPr>
          </w:p>
        </w:tc>
        <w:tc>
          <w:tcPr>
            <w:tcW w:w="4252" w:type="dxa"/>
            <w:tcBorders>
              <w:left w:val="single" w:sz="4" w:space="0" w:color="auto"/>
            </w:tcBorders>
            <w:shd w:val="clear" w:color="auto" w:fill="FBE4D5"/>
          </w:tcPr>
          <w:p w:rsidR="009B6DB0" w:rsidRPr="006448F0" w:rsidRDefault="009B6DB0" w:rsidP="00BE343D">
            <w:pPr>
              <w:pStyle w:val="Tabletext"/>
              <w:rPr>
                <w:sz w:val="20"/>
              </w:rPr>
            </w:pPr>
            <w:r w:rsidRPr="006448F0">
              <w:rPr>
                <w:sz w:val="20"/>
              </w:rPr>
              <w:t>2. Adopt</w:t>
            </w:r>
            <w:r w:rsidR="00EE7FD3" w:rsidRPr="006448F0">
              <w:rPr>
                <w:sz w:val="20"/>
              </w:rPr>
              <w:t>ar un programa de separación voluntaria con carácter permanente y un plan de comunicación</w:t>
            </w:r>
            <w:r w:rsidR="00366CD7" w:rsidRPr="006448F0">
              <w:rPr>
                <w:sz w:val="20"/>
              </w:rPr>
              <w:t>.</w:t>
            </w:r>
          </w:p>
        </w:tc>
        <w:tc>
          <w:tcPr>
            <w:tcW w:w="3969" w:type="dxa"/>
            <w:shd w:val="clear" w:color="auto" w:fill="FBE4D5"/>
          </w:tcPr>
          <w:p w:rsidR="009B6DB0" w:rsidRPr="006448F0" w:rsidRDefault="009B6DB0" w:rsidP="00BE343D">
            <w:pPr>
              <w:pStyle w:val="Tabletext"/>
              <w:rPr>
                <w:sz w:val="20"/>
              </w:rPr>
            </w:pPr>
            <w:r w:rsidRPr="006448F0">
              <w:rPr>
                <w:sz w:val="20"/>
              </w:rPr>
              <w:t>Propor</w:t>
            </w:r>
            <w:r w:rsidR="00EE7FD3" w:rsidRPr="006448F0">
              <w:rPr>
                <w:sz w:val="20"/>
              </w:rPr>
              <w:t>ción de miem</w:t>
            </w:r>
            <w:r w:rsidR="00F22D23" w:rsidRPr="006448F0">
              <w:rPr>
                <w:sz w:val="20"/>
              </w:rPr>
              <w:t>bros del personal que se acoge a</w:t>
            </w:r>
            <w:r w:rsidR="00EE7FD3" w:rsidRPr="006448F0">
              <w:rPr>
                <w:sz w:val="20"/>
              </w:rPr>
              <w:t>l programa de separación voluntaria.</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shd w:val="clear" w:color="auto" w:fill="FBE4D5"/>
          </w:tcPr>
          <w:p w:rsidR="009B6DB0" w:rsidRPr="006448F0" w:rsidRDefault="009B6DB0" w:rsidP="00BE343D">
            <w:pPr>
              <w:pStyle w:val="Tabletext"/>
              <w:rPr>
                <w:sz w:val="20"/>
              </w:rPr>
            </w:pPr>
            <w:r w:rsidRPr="006448F0">
              <w:rPr>
                <w:sz w:val="20"/>
              </w:rPr>
              <w:t>2.8</w:t>
            </w:r>
          </w:p>
        </w:tc>
        <w:tc>
          <w:tcPr>
            <w:tcW w:w="2127" w:type="dxa"/>
            <w:shd w:val="clear" w:color="auto" w:fill="FBE4D5"/>
          </w:tcPr>
          <w:p w:rsidR="009B6DB0" w:rsidRPr="006448F0" w:rsidRDefault="009B6DB0" w:rsidP="00BE343D">
            <w:pPr>
              <w:pStyle w:val="Tabletext"/>
              <w:rPr>
                <w:sz w:val="20"/>
              </w:rPr>
            </w:pPr>
            <w:r w:rsidRPr="006448F0">
              <w:rPr>
                <w:sz w:val="20"/>
              </w:rPr>
              <w:t>D</w:t>
            </w:r>
            <w:r w:rsidR="00371BEE" w:rsidRPr="006448F0">
              <w:rPr>
                <w:sz w:val="20"/>
              </w:rPr>
              <w:t>iseño de estrategias y planes de gestión de cambios y contratación</w:t>
            </w:r>
            <w:r w:rsidR="00366CD7" w:rsidRPr="006448F0">
              <w:rPr>
                <w:sz w:val="20"/>
              </w:rPr>
              <w:t>.</w:t>
            </w:r>
          </w:p>
        </w:tc>
        <w:tc>
          <w:tcPr>
            <w:tcW w:w="4252" w:type="dxa"/>
            <w:shd w:val="clear" w:color="auto" w:fill="FBE4D5"/>
          </w:tcPr>
          <w:p w:rsidR="009B6DB0" w:rsidRPr="006448F0" w:rsidRDefault="009B6DB0" w:rsidP="00BE343D">
            <w:pPr>
              <w:pStyle w:val="Tabletext"/>
              <w:rPr>
                <w:sz w:val="20"/>
              </w:rPr>
            </w:pPr>
            <w:r w:rsidRPr="006448F0">
              <w:rPr>
                <w:sz w:val="20"/>
              </w:rPr>
              <w:t>D</w:t>
            </w:r>
            <w:r w:rsidR="00371BEE" w:rsidRPr="006448F0">
              <w:rPr>
                <w:sz w:val="20"/>
              </w:rPr>
              <w:t xml:space="preserve">iseñar y llevar a cabo un plan de acción de gestión de cambios que acompañe la </w:t>
            </w:r>
            <w:r w:rsidR="000C762C" w:rsidRPr="006448F0">
              <w:rPr>
                <w:sz w:val="20"/>
              </w:rPr>
              <w:t>"</w:t>
            </w:r>
            <w:r w:rsidR="00371BEE" w:rsidRPr="006448F0">
              <w:rPr>
                <w:sz w:val="20"/>
              </w:rPr>
              <w:t>innovación y el cambio</w:t>
            </w:r>
            <w:r w:rsidR="000C762C" w:rsidRPr="006448F0">
              <w:rPr>
                <w:sz w:val="20"/>
              </w:rPr>
              <w:t>"</w:t>
            </w:r>
            <w:r w:rsidR="00371BEE" w:rsidRPr="006448F0">
              <w:rPr>
                <w:sz w:val="20"/>
              </w:rPr>
              <w:t xml:space="preserve"> en la UIT durante los próximos 4 años (nuevos planes estratégico y operacional, proyecto de nuevo edificio</w:t>
            </w:r>
            <w:r w:rsidRPr="006448F0">
              <w:rPr>
                <w:sz w:val="20"/>
              </w:rPr>
              <w:t>, etc.)</w:t>
            </w:r>
            <w:r w:rsidR="00366CD7" w:rsidRPr="006448F0">
              <w:rPr>
                <w:sz w:val="20"/>
              </w:rPr>
              <w:t>.</w:t>
            </w:r>
          </w:p>
        </w:tc>
        <w:tc>
          <w:tcPr>
            <w:tcW w:w="3969" w:type="dxa"/>
            <w:shd w:val="clear" w:color="auto" w:fill="FBE4D5"/>
          </w:tcPr>
          <w:p w:rsidR="009B6DB0" w:rsidRPr="006448F0" w:rsidRDefault="00371BEE" w:rsidP="00BE343D">
            <w:pPr>
              <w:pStyle w:val="Tabletext"/>
              <w:rPr>
                <w:sz w:val="20"/>
              </w:rPr>
            </w:pPr>
            <w:r w:rsidRPr="006448F0">
              <w:rPr>
                <w:sz w:val="20"/>
              </w:rPr>
              <w:t>Creación de un plan de acción centralizado en RR.HH. (informe cualitativo sobre los resultados y cuantitativo sobre el nivel de ejecución en porcentaje de actividades/total</w:t>
            </w:r>
            <w:r w:rsidR="009B6DB0" w:rsidRPr="006448F0">
              <w:rPr>
                <w:sz w:val="20"/>
              </w:rPr>
              <w:t>)</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shd w:val="clear" w:color="auto" w:fill="FBE4D5"/>
          </w:tcPr>
          <w:p w:rsidR="009B6DB0" w:rsidRPr="006448F0" w:rsidRDefault="009B6DB0" w:rsidP="00BE343D">
            <w:pPr>
              <w:pStyle w:val="Tabletext"/>
              <w:rPr>
                <w:sz w:val="20"/>
              </w:rPr>
            </w:pPr>
            <w:r w:rsidRPr="006448F0">
              <w:rPr>
                <w:sz w:val="20"/>
              </w:rPr>
              <w:t>2.9</w:t>
            </w:r>
          </w:p>
        </w:tc>
        <w:tc>
          <w:tcPr>
            <w:tcW w:w="2127" w:type="dxa"/>
            <w:shd w:val="clear" w:color="auto" w:fill="FBE4D5"/>
          </w:tcPr>
          <w:p w:rsidR="009B6DB0" w:rsidRPr="006448F0" w:rsidRDefault="00371BEE" w:rsidP="00BE343D">
            <w:pPr>
              <w:pStyle w:val="Tabletext"/>
              <w:rPr>
                <w:sz w:val="20"/>
              </w:rPr>
            </w:pPr>
            <w:r w:rsidRPr="006448F0">
              <w:rPr>
                <w:sz w:val="20"/>
              </w:rPr>
              <w:t>Recurso a la movilidad interna y externa</w:t>
            </w:r>
            <w:r w:rsidR="00366CD7" w:rsidRPr="006448F0">
              <w:rPr>
                <w:sz w:val="20"/>
              </w:rPr>
              <w:t>.</w:t>
            </w:r>
          </w:p>
        </w:tc>
        <w:tc>
          <w:tcPr>
            <w:tcW w:w="4252" w:type="dxa"/>
            <w:shd w:val="clear" w:color="auto" w:fill="FBE4D5"/>
          </w:tcPr>
          <w:p w:rsidR="009B6DB0" w:rsidRPr="006448F0" w:rsidRDefault="009B6DB0" w:rsidP="00BE343D">
            <w:pPr>
              <w:pStyle w:val="Tabletext"/>
              <w:rPr>
                <w:sz w:val="20"/>
              </w:rPr>
            </w:pPr>
            <w:r w:rsidRPr="006448F0">
              <w:rPr>
                <w:sz w:val="20"/>
              </w:rPr>
              <w:t>1. D</w:t>
            </w:r>
            <w:r w:rsidR="00371BEE" w:rsidRPr="006448F0">
              <w:rPr>
                <w:sz w:val="20"/>
              </w:rPr>
              <w:t>iseñar y aplicar un marco de movilidad en la UIT</w:t>
            </w:r>
            <w:r w:rsidR="00366CD7" w:rsidRPr="006448F0">
              <w:rPr>
                <w:sz w:val="20"/>
              </w:rPr>
              <w:t>.</w:t>
            </w:r>
          </w:p>
          <w:p w:rsidR="009B6DB0" w:rsidRPr="006448F0" w:rsidRDefault="009B6DB0" w:rsidP="00366CD7">
            <w:pPr>
              <w:pStyle w:val="Tabletext"/>
              <w:rPr>
                <w:sz w:val="20"/>
              </w:rPr>
            </w:pPr>
            <w:r w:rsidRPr="006448F0">
              <w:rPr>
                <w:sz w:val="20"/>
              </w:rPr>
              <w:lastRenderedPageBreak/>
              <w:t>2. D</w:t>
            </w:r>
            <w:r w:rsidR="00371BEE" w:rsidRPr="006448F0">
              <w:rPr>
                <w:sz w:val="20"/>
              </w:rPr>
              <w:t xml:space="preserve">iseñar y aplicar una </w:t>
            </w:r>
            <w:r w:rsidR="00366CD7" w:rsidRPr="006448F0">
              <w:rPr>
                <w:sz w:val="20"/>
              </w:rPr>
              <w:t>"</w:t>
            </w:r>
            <w:r w:rsidR="00371BEE" w:rsidRPr="006448F0">
              <w:rPr>
                <w:sz w:val="20"/>
              </w:rPr>
              <w:t>política de movilidad a corto plazo</w:t>
            </w:r>
            <w:r w:rsidR="00366CD7" w:rsidRPr="006448F0">
              <w:rPr>
                <w:sz w:val="20"/>
              </w:rPr>
              <w:t>"</w:t>
            </w:r>
            <w:r w:rsidR="00F22D23" w:rsidRPr="006448F0">
              <w:rPr>
                <w:sz w:val="20"/>
              </w:rPr>
              <w:t xml:space="preserve"> </w:t>
            </w:r>
            <w:r w:rsidR="00371BEE" w:rsidRPr="006448F0">
              <w:rPr>
                <w:sz w:val="20"/>
              </w:rPr>
              <w:t>como parte del marco</w:t>
            </w:r>
            <w:r w:rsidR="00366CD7" w:rsidRPr="006448F0">
              <w:rPr>
                <w:sz w:val="20"/>
              </w:rPr>
              <w:t>.</w:t>
            </w:r>
          </w:p>
        </w:tc>
        <w:tc>
          <w:tcPr>
            <w:tcW w:w="3969" w:type="dxa"/>
            <w:shd w:val="clear" w:color="auto" w:fill="FBE4D5"/>
          </w:tcPr>
          <w:p w:rsidR="009B6DB0" w:rsidRPr="006448F0" w:rsidRDefault="00371BEE" w:rsidP="00366CD7">
            <w:pPr>
              <w:pStyle w:val="Tabletext"/>
              <w:rPr>
                <w:sz w:val="20"/>
              </w:rPr>
            </w:pPr>
            <w:r w:rsidRPr="006448F0">
              <w:rPr>
                <w:sz w:val="20"/>
              </w:rPr>
              <w:lastRenderedPageBreak/>
              <w:t xml:space="preserve">Marco de movilidad diseñado y aplicado y nueva política de traslado a corto plazo </w:t>
            </w:r>
            <w:r w:rsidRPr="006448F0">
              <w:rPr>
                <w:sz w:val="20"/>
              </w:rPr>
              <w:lastRenderedPageBreak/>
              <w:t>creada; número de miembros del personal trasladados/año de acuerdo con la política</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shd w:val="clear" w:color="auto" w:fill="FBE4D5"/>
          </w:tcPr>
          <w:p w:rsidR="009B6DB0" w:rsidRPr="006448F0" w:rsidRDefault="009B6DB0" w:rsidP="00BE343D">
            <w:pPr>
              <w:pStyle w:val="Tabletext"/>
              <w:rPr>
                <w:sz w:val="20"/>
              </w:rPr>
            </w:pPr>
            <w:r w:rsidRPr="006448F0">
              <w:rPr>
                <w:sz w:val="20"/>
              </w:rPr>
              <w:t>2.10</w:t>
            </w:r>
          </w:p>
        </w:tc>
        <w:tc>
          <w:tcPr>
            <w:tcW w:w="2127" w:type="dxa"/>
            <w:shd w:val="clear" w:color="auto" w:fill="FBE4D5"/>
          </w:tcPr>
          <w:p w:rsidR="009B6DB0" w:rsidRPr="006448F0" w:rsidRDefault="00371BEE" w:rsidP="00BE343D">
            <w:pPr>
              <w:pStyle w:val="Tabletext"/>
              <w:rPr>
                <w:sz w:val="20"/>
              </w:rPr>
            </w:pPr>
            <w:r w:rsidRPr="006448F0">
              <w:rPr>
                <w:sz w:val="20"/>
              </w:rPr>
              <w:t>Realización de una evaluación del rendimiento significativa, que se traduzca en una gestión del rendimiento constructiva</w:t>
            </w:r>
            <w:r w:rsidR="00366CD7" w:rsidRPr="006448F0">
              <w:rPr>
                <w:sz w:val="20"/>
              </w:rPr>
              <w:t>.</w:t>
            </w:r>
          </w:p>
        </w:tc>
        <w:tc>
          <w:tcPr>
            <w:tcW w:w="4252" w:type="dxa"/>
            <w:shd w:val="clear" w:color="auto" w:fill="FBE4D5"/>
          </w:tcPr>
          <w:p w:rsidR="009B6DB0" w:rsidRPr="006448F0" w:rsidRDefault="009B6DB0" w:rsidP="00BE343D">
            <w:pPr>
              <w:pStyle w:val="Tabletext"/>
              <w:rPr>
                <w:sz w:val="20"/>
              </w:rPr>
            </w:pPr>
            <w:r w:rsidRPr="006448F0">
              <w:rPr>
                <w:sz w:val="20"/>
              </w:rPr>
              <w:t xml:space="preserve">1. </w:t>
            </w:r>
            <w:r w:rsidR="00371BEE" w:rsidRPr="006448F0">
              <w:rPr>
                <w:sz w:val="20"/>
              </w:rPr>
              <w:t>Seguir orientando al personal con formación y directrices, aplicando efectivamente la política y las herramientas PMDS</w:t>
            </w:r>
            <w:r w:rsidR="00366CD7" w:rsidRPr="006448F0">
              <w:rPr>
                <w:sz w:val="20"/>
              </w:rPr>
              <w:t>.</w:t>
            </w:r>
          </w:p>
          <w:p w:rsidR="009B6DB0" w:rsidRPr="006448F0" w:rsidRDefault="009B6DB0" w:rsidP="00BE343D">
            <w:pPr>
              <w:pStyle w:val="Tabletext"/>
              <w:rPr>
                <w:sz w:val="20"/>
              </w:rPr>
            </w:pPr>
            <w:r w:rsidRPr="006448F0">
              <w:rPr>
                <w:sz w:val="20"/>
              </w:rPr>
              <w:t xml:space="preserve">2. </w:t>
            </w:r>
            <w:r w:rsidR="00371BEE" w:rsidRPr="006448F0">
              <w:rPr>
                <w:sz w:val="20"/>
              </w:rPr>
              <w:t>Realizar periódicamente análisis de los resultados del</w:t>
            </w:r>
            <w:r w:rsidRPr="006448F0">
              <w:rPr>
                <w:sz w:val="20"/>
              </w:rPr>
              <w:t xml:space="preserve"> PMDS </w:t>
            </w:r>
            <w:r w:rsidR="00371BEE" w:rsidRPr="006448F0">
              <w:rPr>
                <w:sz w:val="20"/>
              </w:rPr>
              <w:t>y facilitar al personal y los directores información útil para la toma de decisiones sobre la evolución profesional del personal de la UIT y las oportunidades de formación</w:t>
            </w:r>
            <w:r w:rsidR="00366CD7" w:rsidRPr="006448F0">
              <w:rPr>
                <w:sz w:val="20"/>
              </w:rPr>
              <w:t>.</w:t>
            </w:r>
          </w:p>
        </w:tc>
        <w:tc>
          <w:tcPr>
            <w:tcW w:w="3969" w:type="dxa"/>
            <w:shd w:val="clear" w:color="auto" w:fill="FBE4D5"/>
          </w:tcPr>
          <w:p w:rsidR="009B6DB0" w:rsidRPr="006448F0" w:rsidRDefault="009B6DB0" w:rsidP="00BE343D">
            <w:pPr>
              <w:pStyle w:val="Tabletext"/>
              <w:rPr>
                <w:sz w:val="20"/>
              </w:rPr>
            </w:pPr>
            <w:r w:rsidRPr="006448F0">
              <w:rPr>
                <w:sz w:val="20"/>
              </w:rPr>
              <w:t>N</w:t>
            </w:r>
            <w:r w:rsidR="00371BEE" w:rsidRPr="006448F0">
              <w:rPr>
                <w:sz w:val="20"/>
              </w:rPr>
              <w:t>úmero de sesiones de información y comunicación celebradas; tasa de compleción por Sector; porcentaje de objetivos alcanzados por Sector, grado, etc.; porcentaje de competencias demostradas por grupo (fundamentales, funcionales, técnicas</w:t>
            </w:r>
            <w:r w:rsidRPr="006448F0">
              <w:rPr>
                <w:sz w:val="20"/>
              </w:rPr>
              <w:t>, etc.)</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shd w:val="clear" w:color="auto" w:fill="FBE4D5"/>
          </w:tcPr>
          <w:p w:rsidR="009B6DB0" w:rsidRPr="006448F0" w:rsidRDefault="009B6DB0" w:rsidP="00BE343D">
            <w:pPr>
              <w:pStyle w:val="Tabletext"/>
              <w:rPr>
                <w:sz w:val="20"/>
              </w:rPr>
            </w:pPr>
            <w:r w:rsidRPr="006448F0">
              <w:rPr>
                <w:sz w:val="20"/>
              </w:rPr>
              <w:t>2.11</w:t>
            </w:r>
          </w:p>
        </w:tc>
        <w:tc>
          <w:tcPr>
            <w:tcW w:w="2127" w:type="dxa"/>
            <w:shd w:val="clear" w:color="auto" w:fill="FBE4D5"/>
          </w:tcPr>
          <w:p w:rsidR="009B6DB0" w:rsidRPr="006448F0" w:rsidRDefault="00371BEE" w:rsidP="00BE343D">
            <w:pPr>
              <w:pStyle w:val="Tabletext"/>
              <w:rPr>
                <w:sz w:val="20"/>
              </w:rPr>
            </w:pPr>
            <w:r w:rsidRPr="006448F0">
              <w:rPr>
                <w:sz w:val="20"/>
              </w:rPr>
              <w:t>Fomento de una cultura de reconocimiento de los logros</w:t>
            </w:r>
            <w:r w:rsidR="00366CD7" w:rsidRPr="006448F0">
              <w:rPr>
                <w:sz w:val="20"/>
              </w:rPr>
              <w:t>.</w:t>
            </w:r>
          </w:p>
        </w:tc>
        <w:tc>
          <w:tcPr>
            <w:tcW w:w="4252" w:type="dxa"/>
            <w:shd w:val="clear" w:color="auto" w:fill="FBE4D5"/>
          </w:tcPr>
          <w:p w:rsidR="009B6DB0" w:rsidRPr="006448F0" w:rsidRDefault="00371BEE" w:rsidP="00BE343D">
            <w:pPr>
              <w:pStyle w:val="Tabletext"/>
              <w:rPr>
                <w:sz w:val="20"/>
              </w:rPr>
            </w:pPr>
            <w:r w:rsidRPr="006448F0">
              <w:rPr>
                <w:sz w:val="20"/>
              </w:rPr>
              <w:t xml:space="preserve">Capacitación interna mediante la </w:t>
            </w:r>
            <w:r w:rsidRPr="006448F0">
              <w:rPr>
                <w:i/>
                <w:iCs/>
                <w:sz w:val="20"/>
              </w:rPr>
              <w:t>comunicación interna a los directores, formaciones y sesiones de información</w:t>
            </w:r>
            <w:r w:rsidRPr="006448F0">
              <w:rPr>
                <w:sz w:val="20"/>
              </w:rPr>
              <w:t xml:space="preserve"> sobre la importancia de reconocer y recompensar al personal</w:t>
            </w:r>
            <w:r w:rsidR="00366CD7" w:rsidRPr="006448F0">
              <w:rPr>
                <w:sz w:val="20"/>
              </w:rPr>
              <w:t>.</w:t>
            </w:r>
          </w:p>
        </w:tc>
        <w:tc>
          <w:tcPr>
            <w:tcW w:w="3969" w:type="dxa"/>
            <w:shd w:val="clear" w:color="auto" w:fill="FBE4D5"/>
          </w:tcPr>
          <w:p w:rsidR="009B6DB0" w:rsidRPr="006448F0" w:rsidRDefault="009B6DB0" w:rsidP="00BE343D">
            <w:pPr>
              <w:pStyle w:val="Tabletext"/>
              <w:rPr>
                <w:sz w:val="20"/>
              </w:rPr>
            </w:pPr>
            <w:r w:rsidRPr="006448F0">
              <w:rPr>
                <w:sz w:val="20"/>
              </w:rPr>
              <w:t>N</w:t>
            </w:r>
            <w:r w:rsidR="00371BEE" w:rsidRPr="006448F0">
              <w:rPr>
                <w:sz w:val="20"/>
              </w:rPr>
              <w:t>úmero de comunicaciones formales/año</w:t>
            </w:r>
            <w:r w:rsidR="00366CD7" w:rsidRPr="006448F0">
              <w:rPr>
                <w:sz w:val="20"/>
              </w:rPr>
              <w:t>.</w:t>
            </w:r>
          </w:p>
        </w:tc>
        <w:tc>
          <w:tcPr>
            <w:tcW w:w="1701" w:type="dxa"/>
            <w:shd w:val="clear" w:color="auto" w:fill="FBE4D5"/>
          </w:tcPr>
          <w:p w:rsidR="009B6DB0" w:rsidRPr="006448F0" w:rsidRDefault="009B6DB0" w:rsidP="00BE343D">
            <w:pPr>
              <w:pStyle w:val="Tabletext"/>
              <w:rPr>
                <w:sz w:val="20"/>
              </w:rPr>
            </w:pPr>
          </w:p>
        </w:tc>
        <w:tc>
          <w:tcPr>
            <w:tcW w:w="851" w:type="dxa"/>
            <w:shd w:val="clear" w:color="auto" w:fill="FBE4D5"/>
          </w:tcPr>
          <w:p w:rsidR="009B6DB0" w:rsidRPr="006448F0" w:rsidRDefault="009B6DB0" w:rsidP="00BE343D">
            <w:pPr>
              <w:pStyle w:val="Tabletext"/>
              <w:rPr>
                <w:sz w:val="20"/>
              </w:rPr>
            </w:pPr>
          </w:p>
        </w:tc>
        <w:tc>
          <w:tcPr>
            <w:tcW w:w="1843" w:type="dxa"/>
            <w:shd w:val="clear" w:color="auto" w:fill="FBE4D5"/>
          </w:tcPr>
          <w:p w:rsidR="009B6DB0" w:rsidRPr="008848D4" w:rsidRDefault="009B6DB0" w:rsidP="00BE343D">
            <w:pPr>
              <w:pStyle w:val="Tabletext"/>
            </w:pPr>
          </w:p>
        </w:tc>
      </w:tr>
      <w:tr w:rsidR="009B6DB0" w:rsidRPr="008848D4" w:rsidTr="005852CF">
        <w:tc>
          <w:tcPr>
            <w:tcW w:w="638" w:type="dxa"/>
            <w:tcBorders>
              <w:bottom w:val="single" w:sz="4" w:space="0" w:color="auto"/>
            </w:tcBorders>
            <w:shd w:val="clear" w:color="auto" w:fill="FBE4D5"/>
          </w:tcPr>
          <w:p w:rsidR="009B6DB0" w:rsidRPr="006448F0" w:rsidRDefault="009B6DB0" w:rsidP="00BE343D">
            <w:pPr>
              <w:pStyle w:val="Tabletext"/>
              <w:rPr>
                <w:sz w:val="20"/>
              </w:rPr>
            </w:pPr>
            <w:r w:rsidRPr="006448F0">
              <w:rPr>
                <w:sz w:val="20"/>
              </w:rPr>
              <w:t>2.12</w:t>
            </w:r>
          </w:p>
        </w:tc>
        <w:tc>
          <w:tcPr>
            <w:tcW w:w="2127" w:type="dxa"/>
            <w:tcBorders>
              <w:bottom w:val="single" w:sz="4" w:space="0" w:color="auto"/>
            </w:tcBorders>
            <w:shd w:val="clear" w:color="auto" w:fill="FBE4D5"/>
          </w:tcPr>
          <w:p w:rsidR="009B6DB0" w:rsidRPr="006448F0" w:rsidRDefault="005F17F5" w:rsidP="00BE343D">
            <w:pPr>
              <w:pStyle w:val="Tabletext"/>
              <w:rPr>
                <w:sz w:val="20"/>
              </w:rPr>
            </w:pPr>
            <w:r w:rsidRPr="006448F0">
              <w:rPr>
                <w:sz w:val="20"/>
              </w:rPr>
              <w:t>Integración de la gestión del cambio en la gestión del talento</w:t>
            </w:r>
            <w:r w:rsidR="00512CD5" w:rsidRPr="006448F0">
              <w:rPr>
                <w:sz w:val="20"/>
              </w:rPr>
              <w:t>.</w:t>
            </w:r>
          </w:p>
        </w:tc>
        <w:tc>
          <w:tcPr>
            <w:tcW w:w="4252" w:type="dxa"/>
            <w:tcBorders>
              <w:bottom w:val="single" w:sz="4" w:space="0" w:color="auto"/>
            </w:tcBorders>
            <w:shd w:val="clear" w:color="auto" w:fill="FBE4D5"/>
          </w:tcPr>
          <w:p w:rsidR="009B6DB0" w:rsidRPr="006448F0" w:rsidRDefault="005F17F5" w:rsidP="00BE343D">
            <w:pPr>
              <w:pStyle w:val="Tabletext"/>
              <w:rPr>
                <w:sz w:val="20"/>
              </w:rPr>
            </w:pPr>
            <w:r w:rsidRPr="006448F0">
              <w:rPr>
                <w:sz w:val="20"/>
              </w:rPr>
              <w:t>Crear y fomentar una estrategia en la UIT para integrar la gestión del cambio en las iniciativas nuevas y existentes (plan de acción cuadrienal de gestión del cambio</w:t>
            </w:r>
            <w:r w:rsidR="009B6DB0" w:rsidRPr="006448F0">
              <w:rPr>
                <w:sz w:val="20"/>
              </w:rPr>
              <w:t>)</w:t>
            </w:r>
            <w:r w:rsidR="00512CD5" w:rsidRPr="006448F0">
              <w:rPr>
                <w:sz w:val="20"/>
              </w:rPr>
              <w:t>.</w:t>
            </w:r>
          </w:p>
        </w:tc>
        <w:tc>
          <w:tcPr>
            <w:tcW w:w="3969" w:type="dxa"/>
            <w:tcBorders>
              <w:bottom w:val="single" w:sz="4" w:space="0" w:color="auto"/>
            </w:tcBorders>
            <w:shd w:val="clear" w:color="auto" w:fill="FBE4D5"/>
          </w:tcPr>
          <w:p w:rsidR="009B6DB0" w:rsidRPr="006448F0" w:rsidRDefault="005F17F5" w:rsidP="00BE343D">
            <w:pPr>
              <w:pStyle w:val="Tabletext"/>
              <w:rPr>
                <w:sz w:val="20"/>
              </w:rPr>
            </w:pPr>
            <w:r w:rsidRPr="006448F0">
              <w:rPr>
                <w:sz w:val="20"/>
              </w:rPr>
              <w:t xml:space="preserve">Plan de acción creado; número de iniciativas y prácticas de gestión consideradas eficaces por el personal (encuesta y </w:t>
            </w:r>
            <w:proofErr w:type="spellStart"/>
            <w:r w:rsidRPr="006448F0">
              <w:rPr>
                <w:sz w:val="20"/>
              </w:rPr>
              <w:t>RoI</w:t>
            </w:r>
            <w:proofErr w:type="spellEnd"/>
            <w:r w:rsidRPr="006448F0">
              <w:rPr>
                <w:sz w:val="20"/>
              </w:rPr>
              <w:t>)/total de iniciativas</w:t>
            </w:r>
            <w:r w:rsidR="00512CD5" w:rsidRPr="006448F0">
              <w:rPr>
                <w:sz w:val="20"/>
              </w:rPr>
              <w:t>.</w:t>
            </w:r>
          </w:p>
        </w:tc>
        <w:tc>
          <w:tcPr>
            <w:tcW w:w="1701" w:type="dxa"/>
            <w:tcBorders>
              <w:bottom w:val="single" w:sz="4" w:space="0" w:color="auto"/>
            </w:tcBorders>
            <w:shd w:val="clear" w:color="auto" w:fill="FBE4D5"/>
          </w:tcPr>
          <w:p w:rsidR="009B6DB0" w:rsidRPr="006448F0" w:rsidRDefault="009B6DB0" w:rsidP="00BE343D">
            <w:pPr>
              <w:pStyle w:val="Tabletext"/>
              <w:rPr>
                <w:sz w:val="20"/>
              </w:rPr>
            </w:pPr>
          </w:p>
        </w:tc>
        <w:tc>
          <w:tcPr>
            <w:tcW w:w="851" w:type="dxa"/>
            <w:tcBorders>
              <w:bottom w:val="single" w:sz="4" w:space="0" w:color="auto"/>
            </w:tcBorders>
            <w:shd w:val="clear" w:color="auto" w:fill="FBE4D5"/>
          </w:tcPr>
          <w:p w:rsidR="009B6DB0" w:rsidRPr="006448F0" w:rsidRDefault="009B6DB0" w:rsidP="00BE343D">
            <w:pPr>
              <w:pStyle w:val="Tabletext"/>
              <w:rPr>
                <w:sz w:val="20"/>
              </w:rPr>
            </w:pPr>
          </w:p>
        </w:tc>
        <w:tc>
          <w:tcPr>
            <w:tcW w:w="1843" w:type="dxa"/>
            <w:tcBorders>
              <w:bottom w:val="single" w:sz="4" w:space="0" w:color="auto"/>
            </w:tcBorders>
            <w:shd w:val="clear" w:color="auto" w:fill="FBE4D5"/>
          </w:tcPr>
          <w:p w:rsidR="009B6DB0" w:rsidRPr="008848D4" w:rsidRDefault="009B6DB0" w:rsidP="00BE343D">
            <w:pPr>
              <w:pStyle w:val="Tabletext"/>
            </w:pPr>
          </w:p>
        </w:tc>
      </w:tr>
      <w:tr w:rsidR="009B6DB0" w:rsidRPr="008848D4" w:rsidTr="009B6DB0">
        <w:trPr>
          <w:trHeight w:val="288"/>
        </w:trPr>
        <w:tc>
          <w:tcPr>
            <w:tcW w:w="15381" w:type="dxa"/>
            <w:gridSpan w:val="7"/>
            <w:tcBorders>
              <w:bottom w:val="single" w:sz="4" w:space="0" w:color="auto"/>
            </w:tcBorders>
            <w:shd w:val="clear" w:color="auto" w:fill="FFE599"/>
            <w:vAlign w:val="center"/>
          </w:tcPr>
          <w:p w:rsidR="009B6DB0" w:rsidRPr="006448F0" w:rsidRDefault="00BE343D" w:rsidP="00BE343D">
            <w:pPr>
              <w:pStyle w:val="Tabletext"/>
              <w:rPr>
                <w:sz w:val="20"/>
              </w:rPr>
            </w:pPr>
            <w:r w:rsidRPr="006448F0">
              <w:rPr>
                <w:sz w:val="20"/>
              </w:rPr>
              <w:t>Pilar 3.</w:t>
            </w:r>
            <w:r w:rsidR="009B6DB0" w:rsidRPr="006448F0">
              <w:rPr>
                <w:sz w:val="20"/>
              </w:rPr>
              <w:t xml:space="preserve"> </w:t>
            </w:r>
            <w:r w:rsidR="005F17F5" w:rsidRPr="006448F0">
              <w:rPr>
                <w:sz w:val="20"/>
              </w:rPr>
              <w:t>Servicios de RR.HH. basados en la excelencia</w:t>
            </w:r>
            <w:r w:rsidR="00512CD5" w:rsidRPr="006448F0">
              <w:rPr>
                <w:sz w:val="20"/>
              </w:rPr>
              <w:t>.</w:t>
            </w:r>
          </w:p>
        </w:tc>
      </w:tr>
      <w:tr w:rsidR="009B6DB0" w:rsidRPr="008848D4" w:rsidTr="005852CF">
        <w:trPr>
          <w:trHeight w:val="1616"/>
        </w:trPr>
        <w:tc>
          <w:tcPr>
            <w:tcW w:w="638" w:type="dxa"/>
            <w:tcBorders>
              <w:top w:val="single" w:sz="4" w:space="0" w:color="auto"/>
            </w:tcBorders>
            <w:shd w:val="clear" w:color="auto" w:fill="FFE599"/>
          </w:tcPr>
          <w:p w:rsidR="009B6DB0" w:rsidRPr="006448F0" w:rsidRDefault="009B6DB0" w:rsidP="00BE343D">
            <w:pPr>
              <w:pStyle w:val="Tabletext"/>
              <w:rPr>
                <w:sz w:val="20"/>
              </w:rPr>
            </w:pPr>
            <w:r w:rsidRPr="006448F0">
              <w:rPr>
                <w:sz w:val="20"/>
              </w:rPr>
              <w:t>3.1</w:t>
            </w:r>
          </w:p>
        </w:tc>
        <w:tc>
          <w:tcPr>
            <w:tcW w:w="2127" w:type="dxa"/>
            <w:tcBorders>
              <w:top w:val="single" w:sz="4" w:space="0" w:color="auto"/>
            </w:tcBorders>
            <w:shd w:val="clear" w:color="auto" w:fill="FFE599"/>
          </w:tcPr>
          <w:p w:rsidR="009B6DB0" w:rsidRPr="006448F0" w:rsidRDefault="00DF7C89" w:rsidP="00BE343D">
            <w:pPr>
              <w:pStyle w:val="Tabletext"/>
              <w:rPr>
                <w:sz w:val="20"/>
              </w:rPr>
            </w:pPr>
            <w:r w:rsidRPr="006448F0">
              <w:rPr>
                <w:sz w:val="20"/>
              </w:rPr>
              <w:t>Departamento de Gestión de Recursos Humanos racionalizado – socio fiable y responsable basado en un modelo de RR.HH. global y basado en resultados</w:t>
            </w:r>
            <w:r w:rsidR="009B6DB0" w:rsidRPr="006448F0">
              <w:rPr>
                <w:sz w:val="20"/>
              </w:rPr>
              <w:t>.</w:t>
            </w:r>
          </w:p>
        </w:tc>
        <w:tc>
          <w:tcPr>
            <w:tcW w:w="4252" w:type="dxa"/>
            <w:tcBorders>
              <w:top w:val="single" w:sz="4" w:space="0" w:color="auto"/>
            </w:tcBorders>
            <w:shd w:val="clear" w:color="auto" w:fill="FFE599"/>
          </w:tcPr>
          <w:p w:rsidR="009B6DB0" w:rsidRPr="006448F0" w:rsidRDefault="009B6DB0" w:rsidP="00BE343D">
            <w:pPr>
              <w:pStyle w:val="Tabletext"/>
              <w:rPr>
                <w:sz w:val="20"/>
              </w:rPr>
            </w:pPr>
            <w:r w:rsidRPr="006448F0">
              <w:rPr>
                <w:sz w:val="20"/>
              </w:rPr>
              <w:t xml:space="preserve">1. </w:t>
            </w:r>
            <w:r w:rsidR="00384F6F" w:rsidRPr="006448F0">
              <w:rPr>
                <w:sz w:val="20"/>
              </w:rPr>
              <w:t>Realizar un análisis detallado de la eficacia y efectividad de los servicios de apoyo administrativo</w:t>
            </w:r>
            <w:r w:rsidR="00512CD5" w:rsidRPr="006448F0">
              <w:rPr>
                <w:sz w:val="20"/>
              </w:rPr>
              <w:t>.</w:t>
            </w:r>
          </w:p>
          <w:p w:rsidR="009B6DB0" w:rsidRPr="006448F0" w:rsidRDefault="009B6DB0" w:rsidP="00BE343D">
            <w:pPr>
              <w:pStyle w:val="Tabletext"/>
              <w:rPr>
                <w:sz w:val="20"/>
              </w:rPr>
            </w:pPr>
            <w:r w:rsidRPr="006448F0">
              <w:rPr>
                <w:sz w:val="20"/>
              </w:rPr>
              <w:t xml:space="preserve">2. </w:t>
            </w:r>
            <w:r w:rsidR="00384F6F" w:rsidRPr="006448F0">
              <w:rPr>
                <w:sz w:val="20"/>
              </w:rPr>
              <w:t>Implantar las medidas necesarias para racionalizar los flujos de almacenamiento y gestión de datos, invertir en recursos de TI, eliminar los procesos manuales en función de una lista preestablecida de prioridades y mejorar las funciones de pago de nóminas</w:t>
            </w:r>
            <w:r w:rsidR="00512CD5" w:rsidRPr="006448F0">
              <w:rPr>
                <w:sz w:val="20"/>
              </w:rPr>
              <w:t>.</w:t>
            </w:r>
          </w:p>
        </w:tc>
        <w:tc>
          <w:tcPr>
            <w:tcW w:w="3969" w:type="dxa"/>
            <w:tcBorders>
              <w:top w:val="single" w:sz="4" w:space="0" w:color="auto"/>
            </w:tcBorders>
            <w:shd w:val="clear" w:color="auto" w:fill="FFE599"/>
          </w:tcPr>
          <w:p w:rsidR="009B6DB0" w:rsidRPr="006448F0" w:rsidRDefault="00384F6F" w:rsidP="00BE343D">
            <w:pPr>
              <w:pStyle w:val="Tabletext"/>
              <w:rPr>
                <w:sz w:val="20"/>
              </w:rPr>
            </w:pPr>
            <w:r w:rsidRPr="006448F0">
              <w:rPr>
                <w:sz w:val="20"/>
              </w:rPr>
              <w:t>Análisis realizado y</w:t>
            </w:r>
            <w:r w:rsidR="009B6DB0" w:rsidRPr="006448F0">
              <w:rPr>
                <w:sz w:val="20"/>
              </w:rPr>
              <w:t xml:space="preserve"> SWOT finaliz</w:t>
            </w:r>
            <w:r w:rsidRPr="006448F0">
              <w:rPr>
                <w:sz w:val="20"/>
              </w:rPr>
              <w:t>ado con plan de acción creado (porcentaje de acciones completadas/año</w:t>
            </w:r>
            <w:r w:rsidR="009B6DB0" w:rsidRPr="006448F0">
              <w:rPr>
                <w:sz w:val="20"/>
              </w:rPr>
              <w:t>)</w:t>
            </w:r>
            <w:r w:rsidR="00512CD5" w:rsidRPr="006448F0">
              <w:rPr>
                <w:sz w:val="20"/>
              </w:rPr>
              <w:t>.</w:t>
            </w:r>
          </w:p>
        </w:tc>
        <w:tc>
          <w:tcPr>
            <w:tcW w:w="1701" w:type="dxa"/>
            <w:tcBorders>
              <w:top w:val="single" w:sz="4" w:space="0" w:color="auto"/>
            </w:tcBorders>
            <w:shd w:val="clear" w:color="auto" w:fill="FFE599"/>
          </w:tcPr>
          <w:p w:rsidR="009B6DB0" w:rsidRPr="006448F0" w:rsidRDefault="009B6DB0" w:rsidP="00BE343D">
            <w:pPr>
              <w:pStyle w:val="Tabletext"/>
              <w:rPr>
                <w:sz w:val="20"/>
              </w:rPr>
            </w:pPr>
          </w:p>
        </w:tc>
        <w:tc>
          <w:tcPr>
            <w:tcW w:w="851" w:type="dxa"/>
            <w:tcBorders>
              <w:top w:val="single" w:sz="4" w:space="0" w:color="auto"/>
            </w:tcBorders>
            <w:shd w:val="clear" w:color="auto" w:fill="FFE599"/>
          </w:tcPr>
          <w:p w:rsidR="009B6DB0" w:rsidRPr="006448F0" w:rsidRDefault="009B6DB0" w:rsidP="00BE343D">
            <w:pPr>
              <w:pStyle w:val="Tabletext"/>
              <w:rPr>
                <w:sz w:val="20"/>
              </w:rPr>
            </w:pPr>
          </w:p>
        </w:tc>
        <w:tc>
          <w:tcPr>
            <w:tcW w:w="1843" w:type="dxa"/>
            <w:tcBorders>
              <w:top w:val="single" w:sz="4" w:space="0" w:color="auto"/>
            </w:tcBorders>
            <w:shd w:val="clear" w:color="auto" w:fill="FFE599"/>
          </w:tcPr>
          <w:p w:rsidR="009B6DB0" w:rsidRPr="008848D4" w:rsidRDefault="009B6DB0" w:rsidP="00BE343D">
            <w:pPr>
              <w:pStyle w:val="Tabletext"/>
            </w:pPr>
          </w:p>
        </w:tc>
      </w:tr>
      <w:tr w:rsidR="009B6DB0" w:rsidRPr="008848D4" w:rsidTr="005852CF">
        <w:tc>
          <w:tcPr>
            <w:tcW w:w="638" w:type="dxa"/>
            <w:shd w:val="clear" w:color="auto" w:fill="FFE599"/>
          </w:tcPr>
          <w:p w:rsidR="009B6DB0" w:rsidRPr="006448F0" w:rsidRDefault="009B6DB0" w:rsidP="00BE343D">
            <w:pPr>
              <w:pStyle w:val="Tabletext"/>
              <w:rPr>
                <w:sz w:val="20"/>
              </w:rPr>
            </w:pPr>
            <w:r w:rsidRPr="006448F0">
              <w:rPr>
                <w:sz w:val="20"/>
              </w:rPr>
              <w:t>3.2</w:t>
            </w:r>
          </w:p>
        </w:tc>
        <w:tc>
          <w:tcPr>
            <w:tcW w:w="2127" w:type="dxa"/>
            <w:shd w:val="clear" w:color="auto" w:fill="FFE599"/>
          </w:tcPr>
          <w:p w:rsidR="009B6DB0" w:rsidRPr="006448F0" w:rsidRDefault="00384F6F" w:rsidP="00BE343D">
            <w:pPr>
              <w:pStyle w:val="Tabletext"/>
              <w:rPr>
                <w:sz w:val="20"/>
              </w:rPr>
            </w:pPr>
            <w:r w:rsidRPr="006448F0">
              <w:rPr>
                <w:sz w:val="20"/>
              </w:rPr>
              <w:t>PRE innovadores, racionalizados e integrados</w:t>
            </w:r>
            <w:r w:rsidR="00512CD5" w:rsidRPr="006448F0">
              <w:rPr>
                <w:sz w:val="20"/>
              </w:rPr>
              <w:t>.</w:t>
            </w:r>
          </w:p>
        </w:tc>
        <w:tc>
          <w:tcPr>
            <w:tcW w:w="4252" w:type="dxa"/>
            <w:shd w:val="clear" w:color="auto" w:fill="FFE599"/>
          </w:tcPr>
          <w:p w:rsidR="009B6DB0" w:rsidRPr="006448F0" w:rsidRDefault="009B6DB0" w:rsidP="00BE343D">
            <w:pPr>
              <w:pStyle w:val="Tabletext"/>
              <w:rPr>
                <w:sz w:val="20"/>
              </w:rPr>
            </w:pPr>
            <w:r w:rsidRPr="006448F0">
              <w:rPr>
                <w:sz w:val="20"/>
              </w:rPr>
              <w:t>1. Evalua</w:t>
            </w:r>
            <w:r w:rsidR="00384F6F" w:rsidRPr="006448F0">
              <w:rPr>
                <w:sz w:val="20"/>
              </w:rPr>
              <w:t>r la rentabilidad y las implicaciones de la digitalización de los expedient</w:t>
            </w:r>
            <w:r w:rsidR="00C3746A" w:rsidRPr="006448F0">
              <w:rPr>
                <w:sz w:val="20"/>
              </w:rPr>
              <w:t>e</w:t>
            </w:r>
            <w:r w:rsidR="00384F6F" w:rsidRPr="006448F0">
              <w:rPr>
                <w:sz w:val="20"/>
              </w:rPr>
              <w:t>s personales para garantizar la continuidad operacional (es decir, evitar que un accidente pueda causar la pérdida de datos esenciales) y ofrecer una interfaz directa a los expedientes personales con</w:t>
            </w:r>
            <w:r w:rsidRPr="006448F0">
              <w:rPr>
                <w:sz w:val="20"/>
              </w:rPr>
              <w:t xml:space="preserve"> </w:t>
            </w:r>
            <w:proofErr w:type="spellStart"/>
            <w:r w:rsidRPr="006448F0">
              <w:rPr>
                <w:sz w:val="20"/>
              </w:rPr>
              <w:t>Systems</w:t>
            </w:r>
            <w:proofErr w:type="spellEnd"/>
            <w:r w:rsidRPr="006448F0">
              <w:rPr>
                <w:sz w:val="20"/>
              </w:rPr>
              <w:t xml:space="preserve"> </w:t>
            </w:r>
            <w:proofErr w:type="spellStart"/>
            <w:r w:rsidRPr="006448F0">
              <w:rPr>
                <w:sz w:val="20"/>
              </w:rPr>
              <w:t>Applications</w:t>
            </w:r>
            <w:proofErr w:type="spellEnd"/>
            <w:r w:rsidRPr="006448F0">
              <w:rPr>
                <w:sz w:val="20"/>
              </w:rPr>
              <w:t xml:space="preserve"> and </w:t>
            </w:r>
            <w:proofErr w:type="spellStart"/>
            <w:r w:rsidRPr="006448F0">
              <w:rPr>
                <w:sz w:val="20"/>
              </w:rPr>
              <w:t>Products</w:t>
            </w:r>
            <w:proofErr w:type="spellEnd"/>
            <w:r w:rsidRPr="006448F0">
              <w:rPr>
                <w:sz w:val="20"/>
              </w:rPr>
              <w:t xml:space="preserve"> (SAP). </w:t>
            </w:r>
            <w:r w:rsidR="00384F6F" w:rsidRPr="006448F0">
              <w:rPr>
                <w:sz w:val="20"/>
              </w:rPr>
              <w:t xml:space="preserve">El proceso de digitalización permitirá no sólo automatizar las funciones de </w:t>
            </w:r>
            <w:r w:rsidR="003F1745" w:rsidRPr="006448F0">
              <w:rPr>
                <w:sz w:val="20"/>
              </w:rPr>
              <w:t>RR.HH.</w:t>
            </w:r>
            <w:r w:rsidR="00384F6F" w:rsidRPr="006448F0">
              <w:rPr>
                <w:sz w:val="20"/>
              </w:rPr>
              <w:t xml:space="preserve">, sino también utilizar más estratégicamente la información en el análisis del personal, la gestión de talentos, </w:t>
            </w:r>
            <w:r w:rsidRPr="006448F0">
              <w:rPr>
                <w:sz w:val="20"/>
              </w:rPr>
              <w:t xml:space="preserve">etc. </w:t>
            </w:r>
            <w:r w:rsidR="00384F6F" w:rsidRPr="006448F0">
              <w:rPr>
                <w:sz w:val="20"/>
              </w:rPr>
              <w:t>Por consiguiente:</w:t>
            </w:r>
          </w:p>
          <w:p w:rsidR="009B6DB0" w:rsidRPr="006448F0" w:rsidRDefault="00512CD5" w:rsidP="00512CD5">
            <w:pPr>
              <w:pStyle w:val="Tabletext"/>
              <w:ind w:left="459" w:hanging="459"/>
              <w:rPr>
                <w:sz w:val="20"/>
              </w:rPr>
            </w:pPr>
            <w:r w:rsidRPr="006448F0">
              <w:rPr>
                <w:sz w:val="20"/>
              </w:rPr>
              <w:t>a)</w:t>
            </w:r>
            <w:r w:rsidRPr="006448F0">
              <w:rPr>
                <w:sz w:val="20"/>
              </w:rPr>
              <w:tab/>
            </w:r>
            <w:r w:rsidR="00384F6F" w:rsidRPr="006448F0">
              <w:rPr>
                <w:sz w:val="20"/>
              </w:rPr>
              <w:t>Crear y aplicar un nuevo Sistema de gestión de la contratación</w:t>
            </w:r>
            <w:r w:rsidR="009B6DB0" w:rsidRPr="006448F0">
              <w:rPr>
                <w:sz w:val="20"/>
              </w:rPr>
              <w:t xml:space="preserve"> (RMS)</w:t>
            </w:r>
            <w:r w:rsidRPr="006448F0">
              <w:rPr>
                <w:sz w:val="20"/>
              </w:rPr>
              <w:t>.</w:t>
            </w:r>
          </w:p>
          <w:p w:rsidR="009B6DB0" w:rsidRPr="006448F0" w:rsidRDefault="00512CD5" w:rsidP="00512CD5">
            <w:pPr>
              <w:pStyle w:val="Tabletext"/>
              <w:ind w:left="459" w:hanging="459"/>
              <w:rPr>
                <w:sz w:val="20"/>
              </w:rPr>
            </w:pPr>
            <w:r w:rsidRPr="006448F0">
              <w:rPr>
                <w:sz w:val="20"/>
              </w:rPr>
              <w:t>b)</w:t>
            </w:r>
            <w:r w:rsidRPr="006448F0">
              <w:rPr>
                <w:sz w:val="20"/>
              </w:rPr>
              <w:tab/>
            </w:r>
            <w:r w:rsidR="00384F6F" w:rsidRPr="006448F0">
              <w:rPr>
                <w:sz w:val="20"/>
              </w:rPr>
              <w:t>Crear y aplicar un nuevo Sistema de gestión de la formación</w:t>
            </w:r>
            <w:r w:rsidR="009B6DB0" w:rsidRPr="006448F0">
              <w:rPr>
                <w:sz w:val="20"/>
              </w:rPr>
              <w:t xml:space="preserve"> (LMS)</w:t>
            </w:r>
            <w:r w:rsidRPr="006448F0">
              <w:rPr>
                <w:sz w:val="20"/>
              </w:rPr>
              <w:t>.</w:t>
            </w:r>
          </w:p>
          <w:p w:rsidR="009B6DB0" w:rsidRPr="006448F0" w:rsidRDefault="00512CD5" w:rsidP="00512CD5">
            <w:pPr>
              <w:pStyle w:val="Tabletext"/>
              <w:ind w:left="459" w:hanging="459"/>
              <w:rPr>
                <w:sz w:val="20"/>
              </w:rPr>
            </w:pPr>
            <w:r w:rsidRPr="006448F0">
              <w:rPr>
                <w:sz w:val="20"/>
              </w:rPr>
              <w:t>c)</w:t>
            </w:r>
            <w:r w:rsidRPr="006448F0">
              <w:rPr>
                <w:sz w:val="20"/>
              </w:rPr>
              <w:tab/>
            </w:r>
            <w:r w:rsidR="00384F6F" w:rsidRPr="006448F0">
              <w:rPr>
                <w:sz w:val="20"/>
              </w:rPr>
              <w:t>Actualizar la actual estrategia de tecnología de</w:t>
            </w:r>
            <w:r w:rsidR="00C3746A" w:rsidRPr="006448F0">
              <w:rPr>
                <w:sz w:val="20"/>
              </w:rPr>
              <w:t xml:space="preserve"> </w:t>
            </w:r>
            <w:r w:rsidR="00384F6F" w:rsidRPr="006448F0">
              <w:rPr>
                <w:sz w:val="20"/>
              </w:rPr>
              <w:t xml:space="preserve">la información y gestión de la información de </w:t>
            </w:r>
            <w:r w:rsidR="003F1745" w:rsidRPr="006448F0">
              <w:rPr>
                <w:sz w:val="20"/>
              </w:rPr>
              <w:t>RR.HH.</w:t>
            </w:r>
            <w:r w:rsidR="00384F6F" w:rsidRPr="006448F0">
              <w:rPr>
                <w:sz w:val="20"/>
              </w:rPr>
              <w:t xml:space="preserve"> </w:t>
            </w:r>
            <w:r w:rsidR="00C3746A" w:rsidRPr="006448F0">
              <w:rPr>
                <w:sz w:val="20"/>
              </w:rPr>
              <w:t>aunando todas las dimensiones de la gestión de la información (proyecto de expedientes el</w:t>
            </w:r>
            <w:r w:rsidR="00F22D23" w:rsidRPr="006448F0">
              <w:rPr>
                <w:sz w:val="20"/>
              </w:rPr>
              <w:t>ectrónicos) a fin de ofrecer un</w:t>
            </w:r>
            <w:r w:rsidR="00C3746A" w:rsidRPr="006448F0">
              <w:rPr>
                <w:sz w:val="20"/>
              </w:rPr>
              <w:t>a</w:t>
            </w:r>
            <w:r w:rsidR="00F22D23" w:rsidRPr="006448F0">
              <w:rPr>
                <w:sz w:val="20"/>
              </w:rPr>
              <w:t xml:space="preserve"> </w:t>
            </w:r>
            <w:r w:rsidR="00C3746A" w:rsidRPr="006448F0">
              <w:rPr>
                <w:sz w:val="20"/>
              </w:rPr>
              <w:t>gama de nuevas funcionalidades en pro de la eficacia de las operaciones y el abandono del papel</w:t>
            </w:r>
            <w:r w:rsidRPr="006448F0">
              <w:rPr>
                <w:sz w:val="20"/>
              </w:rPr>
              <w:t>.</w:t>
            </w:r>
          </w:p>
        </w:tc>
        <w:tc>
          <w:tcPr>
            <w:tcW w:w="3969" w:type="dxa"/>
            <w:shd w:val="clear" w:color="auto" w:fill="FFE599"/>
          </w:tcPr>
          <w:p w:rsidR="009B6DB0" w:rsidRPr="006448F0" w:rsidRDefault="00C3746A" w:rsidP="00BE343D">
            <w:pPr>
              <w:pStyle w:val="Tabletext"/>
              <w:rPr>
                <w:sz w:val="20"/>
              </w:rPr>
            </w:pPr>
            <w:r w:rsidRPr="006448F0">
              <w:rPr>
                <w:sz w:val="20"/>
              </w:rPr>
              <w:t>Estudio económico de la digitalización de los RR.HH. por área</w:t>
            </w:r>
            <w:r w:rsidR="009B6DB0" w:rsidRPr="006448F0">
              <w:rPr>
                <w:sz w:val="20"/>
              </w:rPr>
              <w:t xml:space="preserve"> (administra</w:t>
            </w:r>
            <w:r w:rsidRPr="006448F0">
              <w:rPr>
                <w:sz w:val="20"/>
              </w:rPr>
              <w:t>ción, contratación y desarrollo</w:t>
            </w:r>
            <w:r w:rsidR="00512CD5" w:rsidRPr="006448F0">
              <w:rPr>
                <w:sz w:val="20"/>
              </w:rPr>
              <w:t>).</w:t>
            </w:r>
          </w:p>
          <w:p w:rsidR="009B6DB0" w:rsidRPr="006448F0" w:rsidRDefault="009B6DB0" w:rsidP="00BE343D">
            <w:pPr>
              <w:pStyle w:val="Tabletext"/>
              <w:rPr>
                <w:sz w:val="20"/>
              </w:rPr>
            </w:pPr>
            <w:r w:rsidRPr="006448F0">
              <w:rPr>
                <w:sz w:val="20"/>
              </w:rPr>
              <w:t>Simplifica</w:t>
            </w:r>
            <w:r w:rsidR="00C3746A" w:rsidRPr="006448F0">
              <w:rPr>
                <w:sz w:val="20"/>
              </w:rPr>
              <w:t>ción y eficacia medidas cualitativamente y cuantitativamente mediante el diseño y la implantación de los proyectos de expedientes electrónicos</w:t>
            </w:r>
            <w:r w:rsidRPr="006448F0">
              <w:rPr>
                <w:sz w:val="20"/>
              </w:rPr>
              <w:t xml:space="preserve">, RMS </w:t>
            </w:r>
            <w:r w:rsidR="00C3746A" w:rsidRPr="006448F0">
              <w:rPr>
                <w:sz w:val="20"/>
              </w:rPr>
              <w:t>y</w:t>
            </w:r>
            <w:r w:rsidRPr="006448F0">
              <w:rPr>
                <w:sz w:val="20"/>
              </w:rPr>
              <w:t xml:space="preserve"> LMS</w:t>
            </w:r>
            <w:r w:rsidR="00512CD5" w:rsidRPr="006448F0">
              <w:rPr>
                <w:sz w:val="20"/>
              </w:rPr>
              <w:t>.</w:t>
            </w:r>
          </w:p>
        </w:tc>
        <w:tc>
          <w:tcPr>
            <w:tcW w:w="1701" w:type="dxa"/>
            <w:shd w:val="clear" w:color="auto" w:fill="FFE599"/>
          </w:tcPr>
          <w:p w:rsidR="009B6DB0" w:rsidRPr="006448F0" w:rsidRDefault="009B6DB0" w:rsidP="00BE343D">
            <w:pPr>
              <w:pStyle w:val="Tabletext"/>
              <w:rPr>
                <w:sz w:val="20"/>
              </w:rPr>
            </w:pPr>
          </w:p>
        </w:tc>
        <w:tc>
          <w:tcPr>
            <w:tcW w:w="851" w:type="dxa"/>
            <w:shd w:val="clear" w:color="auto" w:fill="FFE599"/>
          </w:tcPr>
          <w:p w:rsidR="009B6DB0" w:rsidRPr="006448F0" w:rsidRDefault="009B6DB0" w:rsidP="00BE343D">
            <w:pPr>
              <w:pStyle w:val="Tabletext"/>
              <w:rPr>
                <w:sz w:val="20"/>
              </w:rPr>
            </w:pPr>
          </w:p>
        </w:tc>
        <w:tc>
          <w:tcPr>
            <w:tcW w:w="1843" w:type="dxa"/>
            <w:shd w:val="clear" w:color="auto" w:fill="FFE599"/>
          </w:tcPr>
          <w:p w:rsidR="009B6DB0" w:rsidRPr="008848D4" w:rsidRDefault="009B6DB0" w:rsidP="00BE343D">
            <w:pPr>
              <w:pStyle w:val="Tabletext"/>
            </w:pPr>
          </w:p>
        </w:tc>
      </w:tr>
      <w:tr w:rsidR="009B6DB0" w:rsidRPr="008848D4" w:rsidTr="005852CF">
        <w:tc>
          <w:tcPr>
            <w:tcW w:w="638" w:type="dxa"/>
            <w:shd w:val="clear" w:color="auto" w:fill="FFE599"/>
          </w:tcPr>
          <w:p w:rsidR="009B6DB0" w:rsidRPr="006448F0" w:rsidRDefault="009B6DB0" w:rsidP="00BE343D">
            <w:pPr>
              <w:pStyle w:val="Tabletext"/>
              <w:rPr>
                <w:sz w:val="20"/>
              </w:rPr>
            </w:pPr>
            <w:r w:rsidRPr="006448F0">
              <w:rPr>
                <w:sz w:val="20"/>
              </w:rPr>
              <w:t>3.3</w:t>
            </w:r>
          </w:p>
        </w:tc>
        <w:tc>
          <w:tcPr>
            <w:tcW w:w="2127" w:type="dxa"/>
            <w:shd w:val="clear" w:color="auto" w:fill="FFE599"/>
          </w:tcPr>
          <w:p w:rsidR="009B6DB0" w:rsidRPr="006448F0" w:rsidRDefault="00C3746A" w:rsidP="00BE343D">
            <w:pPr>
              <w:pStyle w:val="Tabletext"/>
              <w:rPr>
                <w:sz w:val="20"/>
              </w:rPr>
            </w:pPr>
            <w:r w:rsidRPr="006448F0">
              <w:rPr>
                <w:sz w:val="20"/>
              </w:rPr>
              <w:t>Utilización eficaz de los datos y análisis de RR.HH.</w:t>
            </w:r>
          </w:p>
        </w:tc>
        <w:tc>
          <w:tcPr>
            <w:tcW w:w="4252" w:type="dxa"/>
            <w:shd w:val="clear" w:color="auto" w:fill="FFE599"/>
          </w:tcPr>
          <w:p w:rsidR="009B6DB0" w:rsidRPr="006448F0" w:rsidRDefault="00C3746A" w:rsidP="00BE343D">
            <w:pPr>
              <w:pStyle w:val="Tabletext"/>
              <w:rPr>
                <w:sz w:val="20"/>
              </w:rPr>
            </w:pPr>
            <w:r w:rsidRPr="006448F0">
              <w:rPr>
                <w:sz w:val="20"/>
              </w:rPr>
              <w:t>Hacer del Informe anual de RR.HH. un documento estratégico para argumentar las decisiones sobre el marco político de gobernanza y administración</w:t>
            </w:r>
            <w:r w:rsidR="00346B44" w:rsidRPr="006448F0">
              <w:rPr>
                <w:sz w:val="20"/>
              </w:rPr>
              <w:t>.</w:t>
            </w:r>
          </w:p>
        </w:tc>
        <w:tc>
          <w:tcPr>
            <w:tcW w:w="3969" w:type="dxa"/>
            <w:shd w:val="clear" w:color="auto" w:fill="FFE599"/>
          </w:tcPr>
          <w:p w:rsidR="009B6DB0" w:rsidRPr="006448F0" w:rsidRDefault="00C3746A" w:rsidP="00BE343D">
            <w:pPr>
              <w:pStyle w:val="Tabletext"/>
              <w:rPr>
                <w:sz w:val="20"/>
              </w:rPr>
            </w:pPr>
            <w:r w:rsidRPr="006448F0">
              <w:rPr>
                <w:sz w:val="20"/>
              </w:rPr>
              <w:t xml:space="preserve">Elaboración del Informe anual de RR.HH. de acuerdo con las recomendaciones del Consejo de años anteriores y estadísticas del Informe anual de </w:t>
            </w:r>
            <w:r w:rsidR="003F1745" w:rsidRPr="006448F0">
              <w:rPr>
                <w:sz w:val="20"/>
              </w:rPr>
              <w:t>RR.HH.</w:t>
            </w:r>
            <w:r w:rsidRPr="006448F0">
              <w:rPr>
                <w:sz w:val="20"/>
              </w:rPr>
              <w:t xml:space="preserve"> armonizadas con los IFR institucionales del PERH</w:t>
            </w:r>
            <w:r w:rsidR="00346B44" w:rsidRPr="006448F0">
              <w:rPr>
                <w:sz w:val="20"/>
              </w:rPr>
              <w:t>.</w:t>
            </w:r>
          </w:p>
        </w:tc>
        <w:tc>
          <w:tcPr>
            <w:tcW w:w="1701" w:type="dxa"/>
            <w:shd w:val="clear" w:color="auto" w:fill="FFE599"/>
          </w:tcPr>
          <w:p w:rsidR="009B6DB0" w:rsidRPr="006448F0" w:rsidRDefault="009B6DB0" w:rsidP="00BE343D">
            <w:pPr>
              <w:pStyle w:val="Tabletext"/>
              <w:rPr>
                <w:sz w:val="20"/>
              </w:rPr>
            </w:pPr>
          </w:p>
        </w:tc>
        <w:tc>
          <w:tcPr>
            <w:tcW w:w="851" w:type="dxa"/>
            <w:shd w:val="clear" w:color="auto" w:fill="FFE599"/>
          </w:tcPr>
          <w:p w:rsidR="009B6DB0" w:rsidRPr="006448F0" w:rsidRDefault="009B6DB0" w:rsidP="00BE343D">
            <w:pPr>
              <w:pStyle w:val="Tabletext"/>
              <w:rPr>
                <w:sz w:val="20"/>
              </w:rPr>
            </w:pPr>
          </w:p>
        </w:tc>
        <w:tc>
          <w:tcPr>
            <w:tcW w:w="1843" w:type="dxa"/>
            <w:shd w:val="clear" w:color="auto" w:fill="FFE599"/>
          </w:tcPr>
          <w:p w:rsidR="009B6DB0" w:rsidRPr="008848D4" w:rsidRDefault="009B6DB0" w:rsidP="00BE343D">
            <w:pPr>
              <w:pStyle w:val="Tabletext"/>
            </w:pPr>
          </w:p>
        </w:tc>
      </w:tr>
      <w:tr w:rsidR="009B6DB0" w:rsidRPr="008848D4" w:rsidTr="005852CF">
        <w:tc>
          <w:tcPr>
            <w:tcW w:w="638" w:type="dxa"/>
            <w:shd w:val="clear" w:color="auto" w:fill="FFE599"/>
          </w:tcPr>
          <w:p w:rsidR="009B6DB0" w:rsidRPr="006448F0" w:rsidRDefault="009B6DB0" w:rsidP="00BE343D">
            <w:pPr>
              <w:pStyle w:val="Tabletext"/>
              <w:rPr>
                <w:sz w:val="20"/>
              </w:rPr>
            </w:pPr>
            <w:r w:rsidRPr="006448F0">
              <w:rPr>
                <w:sz w:val="20"/>
              </w:rPr>
              <w:t>3.4</w:t>
            </w:r>
          </w:p>
        </w:tc>
        <w:tc>
          <w:tcPr>
            <w:tcW w:w="2127" w:type="dxa"/>
            <w:shd w:val="clear" w:color="auto" w:fill="FFE599"/>
          </w:tcPr>
          <w:p w:rsidR="009B6DB0" w:rsidRPr="006448F0" w:rsidRDefault="00C3746A" w:rsidP="00BE343D">
            <w:pPr>
              <w:pStyle w:val="Tabletext"/>
              <w:rPr>
                <w:sz w:val="20"/>
              </w:rPr>
            </w:pPr>
            <w:r w:rsidRPr="006448F0">
              <w:rPr>
                <w:sz w:val="20"/>
              </w:rPr>
              <w:t>Refuerzo de la cultura de comunicación interna a nivel de la organización</w:t>
            </w:r>
            <w:r w:rsidR="00346B44" w:rsidRPr="006448F0">
              <w:rPr>
                <w:sz w:val="20"/>
              </w:rPr>
              <w:t>.</w:t>
            </w:r>
          </w:p>
        </w:tc>
        <w:tc>
          <w:tcPr>
            <w:tcW w:w="4252" w:type="dxa"/>
            <w:shd w:val="clear" w:color="auto" w:fill="FFE599"/>
          </w:tcPr>
          <w:p w:rsidR="009B6DB0" w:rsidRPr="006448F0" w:rsidRDefault="009B6DB0" w:rsidP="00BE343D">
            <w:pPr>
              <w:pStyle w:val="Tabletext"/>
              <w:rPr>
                <w:sz w:val="20"/>
              </w:rPr>
            </w:pPr>
            <w:r w:rsidRPr="006448F0">
              <w:rPr>
                <w:sz w:val="20"/>
              </w:rPr>
              <w:t>Redefin</w:t>
            </w:r>
            <w:r w:rsidR="00C3746A" w:rsidRPr="006448F0">
              <w:rPr>
                <w:sz w:val="20"/>
              </w:rPr>
              <w:t xml:space="preserve">ir el servicio de comunicación interna de RR.HH. para garantizar la accesibilidad de la información </w:t>
            </w:r>
            <w:r w:rsidR="00F22D23" w:rsidRPr="006448F0">
              <w:rPr>
                <w:sz w:val="20"/>
              </w:rPr>
              <w:t xml:space="preserve">sobre eventos, proyectos, etc. </w:t>
            </w:r>
            <w:r w:rsidR="00F22D23" w:rsidRPr="006448F0">
              <w:rPr>
                <w:sz w:val="20"/>
              </w:rPr>
              <w:lastRenderedPageBreak/>
              <w:t>i</w:t>
            </w:r>
            <w:r w:rsidR="00C3746A" w:rsidRPr="006448F0">
              <w:rPr>
                <w:sz w:val="20"/>
              </w:rPr>
              <w:t>nstitucionales, así como sus consecuencias para el personal de la UIT.</w:t>
            </w:r>
          </w:p>
          <w:p w:rsidR="009B6DB0" w:rsidRPr="006448F0" w:rsidRDefault="00C3746A" w:rsidP="00346B44">
            <w:pPr>
              <w:pStyle w:val="Tabletext"/>
              <w:rPr>
                <w:sz w:val="20"/>
              </w:rPr>
            </w:pPr>
            <w:r w:rsidRPr="006448F0">
              <w:rPr>
                <w:sz w:val="20"/>
              </w:rPr>
              <w:t>Intensificar la comunicación interna con nuevas herramientas (por ejemplo, Manual de RR.HH.), sesiones de información</w:t>
            </w:r>
            <w:r w:rsidR="009B6DB0" w:rsidRPr="006448F0">
              <w:rPr>
                <w:sz w:val="20"/>
              </w:rPr>
              <w:t>, etc.</w:t>
            </w:r>
            <w:r w:rsidRPr="006448F0">
              <w:rPr>
                <w:sz w:val="20"/>
              </w:rPr>
              <w:t xml:space="preserve"> sobre los beneficios, los derechos, los deberes y las obligaciones.</w:t>
            </w:r>
          </w:p>
        </w:tc>
        <w:tc>
          <w:tcPr>
            <w:tcW w:w="3969" w:type="dxa"/>
            <w:vMerge w:val="restart"/>
            <w:shd w:val="clear" w:color="auto" w:fill="FFE599"/>
          </w:tcPr>
          <w:p w:rsidR="009B6DB0" w:rsidRPr="006448F0" w:rsidRDefault="00C3746A" w:rsidP="005852CF">
            <w:pPr>
              <w:pStyle w:val="Tabletext"/>
              <w:spacing w:before="1560"/>
              <w:rPr>
                <w:sz w:val="20"/>
              </w:rPr>
            </w:pPr>
            <w:r w:rsidRPr="006448F0">
              <w:rPr>
                <w:sz w:val="20"/>
              </w:rPr>
              <w:lastRenderedPageBreak/>
              <w:t xml:space="preserve">Aplicación del Manual de </w:t>
            </w:r>
            <w:r w:rsidR="003F1745" w:rsidRPr="006448F0">
              <w:rPr>
                <w:sz w:val="20"/>
              </w:rPr>
              <w:t>RR.HH.</w:t>
            </w:r>
            <w:r w:rsidR="009B6DB0" w:rsidRPr="006448F0">
              <w:rPr>
                <w:sz w:val="20"/>
              </w:rPr>
              <w:t xml:space="preserve">; </w:t>
            </w:r>
            <w:r w:rsidR="009B6DB0" w:rsidRPr="006448F0">
              <w:rPr>
                <w:sz w:val="20"/>
              </w:rPr>
              <w:br/>
            </w:r>
            <w:r w:rsidRPr="006448F0">
              <w:rPr>
                <w:sz w:val="20"/>
              </w:rPr>
              <w:t>porcentaje de políticas y documentos institucionales actualizados</w:t>
            </w:r>
            <w:r w:rsidR="00F22D23" w:rsidRPr="006448F0">
              <w:rPr>
                <w:sz w:val="20"/>
              </w:rPr>
              <w:t>/</w:t>
            </w:r>
            <w:r w:rsidR="00346B44" w:rsidRPr="006448F0">
              <w:rPr>
                <w:sz w:val="20"/>
              </w:rPr>
              <w:t>total.</w:t>
            </w:r>
          </w:p>
          <w:p w:rsidR="009B6DB0" w:rsidRPr="006448F0" w:rsidRDefault="00C3746A" w:rsidP="00346B44">
            <w:pPr>
              <w:pStyle w:val="Tabletext"/>
              <w:spacing w:before="840"/>
              <w:rPr>
                <w:sz w:val="20"/>
              </w:rPr>
            </w:pPr>
            <w:r w:rsidRPr="006448F0">
              <w:rPr>
                <w:sz w:val="20"/>
              </w:rPr>
              <w:t>Informe cualitativo sobre la utilización para medir los cambios a lo largo del tiempo.</w:t>
            </w:r>
          </w:p>
        </w:tc>
        <w:tc>
          <w:tcPr>
            <w:tcW w:w="1701" w:type="dxa"/>
            <w:shd w:val="clear" w:color="auto" w:fill="FFE599"/>
          </w:tcPr>
          <w:p w:rsidR="009B6DB0" w:rsidRPr="006448F0" w:rsidRDefault="009B6DB0" w:rsidP="00BE343D">
            <w:pPr>
              <w:pStyle w:val="Tabletext"/>
              <w:rPr>
                <w:sz w:val="20"/>
              </w:rPr>
            </w:pPr>
          </w:p>
        </w:tc>
        <w:tc>
          <w:tcPr>
            <w:tcW w:w="851" w:type="dxa"/>
            <w:shd w:val="clear" w:color="auto" w:fill="FFE599"/>
          </w:tcPr>
          <w:p w:rsidR="009B6DB0" w:rsidRPr="006448F0" w:rsidRDefault="009B6DB0" w:rsidP="00BE343D">
            <w:pPr>
              <w:pStyle w:val="Tabletext"/>
              <w:rPr>
                <w:sz w:val="20"/>
              </w:rPr>
            </w:pPr>
          </w:p>
        </w:tc>
        <w:tc>
          <w:tcPr>
            <w:tcW w:w="1843" w:type="dxa"/>
            <w:shd w:val="clear" w:color="auto" w:fill="FFE599"/>
          </w:tcPr>
          <w:p w:rsidR="009B6DB0" w:rsidRPr="008848D4" w:rsidRDefault="009B6DB0" w:rsidP="00BE343D">
            <w:pPr>
              <w:pStyle w:val="Tabletext"/>
            </w:pPr>
          </w:p>
        </w:tc>
      </w:tr>
      <w:tr w:rsidR="009B6DB0" w:rsidRPr="008848D4" w:rsidTr="005852CF">
        <w:tc>
          <w:tcPr>
            <w:tcW w:w="638" w:type="dxa"/>
            <w:tcBorders>
              <w:bottom w:val="single" w:sz="4" w:space="0" w:color="auto"/>
            </w:tcBorders>
            <w:shd w:val="clear" w:color="auto" w:fill="FFE599"/>
          </w:tcPr>
          <w:p w:rsidR="009B6DB0" w:rsidRPr="006448F0" w:rsidRDefault="009B6DB0" w:rsidP="00BE343D">
            <w:pPr>
              <w:pStyle w:val="Tabletext"/>
              <w:rPr>
                <w:sz w:val="20"/>
              </w:rPr>
            </w:pPr>
            <w:r w:rsidRPr="006448F0">
              <w:rPr>
                <w:sz w:val="20"/>
              </w:rPr>
              <w:t>3.5</w:t>
            </w:r>
          </w:p>
        </w:tc>
        <w:tc>
          <w:tcPr>
            <w:tcW w:w="2127" w:type="dxa"/>
            <w:tcBorders>
              <w:bottom w:val="single" w:sz="4" w:space="0" w:color="auto"/>
            </w:tcBorders>
            <w:shd w:val="clear" w:color="auto" w:fill="FFE599"/>
          </w:tcPr>
          <w:p w:rsidR="009B6DB0" w:rsidRPr="006448F0" w:rsidRDefault="00C3746A" w:rsidP="00BE343D">
            <w:pPr>
              <w:pStyle w:val="Tabletext"/>
              <w:rPr>
                <w:sz w:val="20"/>
              </w:rPr>
            </w:pPr>
            <w:r w:rsidRPr="006448F0">
              <w:rPr>
                <w:sz w:val="20"/>
              </w:rPr>
              <w:t>Revisión y actualización del marco reglamentario administrativ</w:t>
            </w:r>
            <w:r w:rsidR="00CE5DDB" w:rsidRPr="006448F0">
              <w:rPr>
                <w:sz w:val="20"/>
              </w:rPr>
              <w:t>o</w:t>
            </w:r>
            <w:r w:rsidRPr="006448F0">
              <w:rPr>
                <w:sz w:val="20"/>
              </w:rPr>
              <w:t xml:space="preserve"> y de RR.HH.</w:t>
            </w:r>
          </w:p>
        </w:tc>
        <w:tc>
          <w:tcPr>
            <w:tcW w:w="4252" w:type="dxa"/>
            <w:shd w:val="clear" w:color="auto" w:fill="FFE599"/>
          </w:tcPr>
          <w:p w:rsidR="009B6DB0" w:rsidRPr="006448F0" w:rsidRDefault="009B6DB0" w:rsidP="00BE343D">
            <w:pPr>
              <w:pStyle w:val="Tabletext"/>
              <w:rPr>
                <w:sz w:val="20"/>
              </w:rPr>
            </w:pPr>
            <w:r w:rsidRPr="006448F0">
              <w:rPr>
                <w:sz w:val="20"/>
              </w:rPr>
              <w:t xml:space="preserve">1. </w:t>
            </w:r>
            <w:r w:rsidR="00C3746A" w:rsidRPr="006448F0">
              <w:rPr>
                <w:sz w:val="20"/>
              </w:rPr>
              <w:t xml:space="preserve">Crear y publicar un nuevo Manual de </w:t>
            </w:r>
            <w:r w:rsidR="003F1745" w:rsidRPr="006448F0">
              <w:rPr>
                <w:sz w:val="20"/>
              </w:rPr>
              <w:t>RR.HH.</w:t>
            </w:r>
            <w:r w:rsidR="00C3746A" w:rsidRPr="006448F0">
              <w:rPr>
                <w:sz w:val="20"/>
              </w:rPr>
              <w:t xml:space="preserve"> electrónico que facilite la accesibilidad de la información al Marco administrativo y de </w:t>
            </w:r>
            <w:r w:rsidR="003F1745" w:rsidRPr="006448F0">
              <w:rPr>
                <w:sz w:val="20"/>
              </w:rPr>
              <w:t>RR.HH.</w:t>
            </w:r>
            <w:r w:rsidR="00C3746A" w:rsidRPr="006448F0">
              <w:rPr>
                <w:sz w:val="20"/>
              </w:rPr>
              <w:t xml:space="preserve"> de la UIT, incluido el marco contractual (personal </w:t>
            </w:r>
            <w:r w:rsidR="00CE5DDB" w:rsidRPr="006448F0">
              <w:rPr>
                <w:sz w:val="20"/>
              </w:rPr>
              <w:t>fijo y temporal</w:t>
            </w:r>
            <w:r w:rsidRPr="006448F0">
              <w:rPr>
                <w:sz w:val="20"/>
              </w:rPr>
              <w:t>)</w:t>
            </w:r>
            <w:r w:rsidR="00346B44" w:rsidRPr="006448F0">
              <w:rPr>
                <w:sz w:val="20"/>
              </w:rPr>
              <w:t>.</w:t>
            </w:r>
          </w:p>
        </w:tc>
        <w:tc>
          <w:tcPr>
            <w:tcW w:w="3969" w:type="dxa"/>
            <w:vMerge/>
            <w:shd w:val="clear" w:color="auto" w:fill="FFE599"/>
          </w:tcPr>
          <w:p w:rsidR="009B6DB0" w:rsidRPr="006448F0" w:rsidRDefault="009B6DB0" w:rsidP="00BE343D">
            <w:pPr>
              <w:pStyle w:val="Tabletext"/>
              <w:rPr>
                <w:sz w:val="20"/>
              </w:rPr>
            </w:pPr>
          </w:p>
        </w:tc>
        <w:tc>
          <w:tcPr>
            <w:tcW w:w="1701" w:type="dxa"/>
            <w:shd w:val="clear" w:color="auto" w:fill="FFE599"/>
          </w:tcPr>
          <w:p w:rsidR="009B6DB0" w:rsidRPr="006448F0" w:rsidRDefault="009B6DB0" w:rsidP="00BE343D">
            <w:pPr>
              <w:pStyle w:val="Tabletext"/>
              <w:rPr>
                <w:sz w:val="20"/>
              </w:rPr>
            </w:pPr>
          </w:p>
        </w:tc>
        <w:tc>
          <w:tcPr>
            <w:tcW w:w="851" w:type="dxa"/>
            <w:shd w:val="clear" w:color="auto" w:fill="FFE599"/>
          </w:tcPr>
          <w:p w:rsidR="009B6DB0" w:rsidRPr="006448F0" w:rsidRDefault="009B6DB0" w:rsidP="00BE343D">
            <w:pPr>
              <w:pStyle w:val="Tabletext"/>
              <w:rPr>
                <w:sz w:val="20"/>
              </w:rPr>
            </w:pPr>
          </w:p>
        </w:tc>
        <w:tc>
          <w:tcPr>
            <w:tcW w:w="1843" w:type="dxa"/>
            <w:shd w:val="clear" w:color="auto" w:fill="FFE599"/>
          </w:tcPr>
          <w:p w:rsidR="009B6DB0" w:rsidRPr="008848D4" w:rsidRDefault="009B6DB0" w:rsidP="00BE343D">
            <w:pPr>
              <w:pStyle w:val="Tabletext"/>
            </w:pPr>
          </w:p>
        </w:tc>
      </w:tr>
      <w:tr w:rsidR="009B6DB0" w:rsidRPr="008848D4" w:rsidTr="005852CF">
        <w:tc>
          <w:tcPr>
            <w:tcW w:w="638" w:type="dxa"/>
            <w:tcBorders>
              <w:bottom w:val="nil"/>
            </w:tcBorders>
            <w:shd w:val="clear" w:color="auto" w:fill="FFE599"/>
          </w:tcPr>
          <w:p w:rsidR="009B6DB0" w:rsidRPr="006448F0" w:rsidRDefault="009B6DB0" w:rsidP="00BE343D">
            <w:pPr>
              <w:pStyle w:val="Tabletext"/>
              <w:rPr>
                <w:sz w:val="20"/>
              </w:rPr>
            </w:pPr>
            <w:r w:rsidRPr="006448F0">
              <w:rPr>
                <w:sz w:val="20"/>
              </w:rPr>
              <w:t>3.6</w:t>
            </w:r>
          </w:p>
        </w:tc>
        <w:tc>
          <w:tcPr>
            <w:tcW w:w="2127" w:type="dxa"/>
            <w:tcBorders>
              <w:bottom w:val="nil"/>
            </w:tcBorders>
            <w:shd w:val="clear" w:color="auto" w:fill="FFE599"/>
          </w:tcPr>
          <w:p w:rsidR="009B6DB0" w:rsidRPr="006448F0" w:rsidRDefault="00CE5DDB" w:rsidP="00BE343D">
            <w:pPr>
              <w:pStyle w:val="Tabletext"/>
              <w:rPr>
                <w:sz w:val="20"/>
              </w:rPr>
            </w:pPr>
            <w:r w:rsidRPr="006448F0">
              <w:rPr>
                <w:sz w:val="20"/>
              </w:rPr>
              <w:t>Capacitación y empoderamiento de las Oficinas/Departamentos de la SG</w:t>
            </w:r>
            <w:r w:rsidR="00346B44" w:rsidRPr="006448F0">
              <w:rPr>
                <w:sz w:val="20"/>
              </w:rPr>
              <w:t>.</w:t>
            </w:r>
          </w:p>
          <w:p w:rsidR="005852CF" w:rsidRPr="006448F0" w:rsidRDefault="005852CF" w:rsidP="005852CF">
            <w:pPr>
              <w:pStyle w:val="Tabletext"/>
              <w:rPr>
                <w:sz w:val="20"/>
              </w:rPr>
            </w:pPr>
            <w:r w:rsidRPr="006448F0">
              <w:rPr>
                <w:sz w:val="20"/>
              </w:rPr>
              <w:t>Servicios de RR.HH. globales, racionalizados y basados en normas que sigan procedimientos y reglas claros.</w:t>
            </w:r>
          </w:p>
          <w:p w:rsidR="005852CF" w:rsidRPr="006448F0" w:rsidRDefault="005852CF" w:rsidP="005852CF">
            <w:pPr>
              <w:pStyle w:val="Tabletext"/>
              <w:rPr>
                <w:sz w:val="20"/>
              </w:rPr>
            </w:pPr>
            <w:r w:rsidRPr="006448F0">
              <w:rPr>
                <w:sz w:val="20"/>
              </w:rPr>
              <w:t>Aplicación inequívoca del Reglamento del Personal y las Reglas del Personal de manera justa y equitativa a todo el personal de la UIT.</w:t>
            </w:r>
          </w:p>
        </w:tc>
        <w:tc>
          <w:tcPr>
            <w:tcW w:w="4252" w:type="dxa"/>
            <w:shd w:val="clear" w:color="auto" w:fill="FFE599"/>
          </w:tcPr>
          <w:p w:rsidR="009B6DB0" w:rsidRPr="006448F0" w:rsidRDefault="009B6DB0" w:rsidP="00BE343D">
            <w:pPr>
              <w:pStyle w:val="Tabletext"/>
              <w:rPr>
                <w:sz w:val="20"/>
              </w:rPr>
            </w:pPr>
            <w:r w:rsidRPr="006448F0">
              <w:rPr>
                <w:sz w:val="20"/>
              </w:rPr>
              <w:t xml:space="preserve">1. </w:t>
            </w:r>
            <w:r w:rsidR="00CE5DDB" w:rsidRPr="006448F0">
              <w:rPr>
                <w:sz w:val="20"/>
              </w:rPr>
              <w:t>Publicar el Manual de RR.HH. electrónico y fomentar su utilización para acceder a la información y comprender los procedimientos.</w:t>
            </w:r>
          </w:p>
          <w:p w:rsidR="009B6DB0" w:rsidRPr="006448F0" w:rsidRDefault="009B6DB0" w:rsidP="00BE343D">
            <w:pPr>
              <w:pStyle w:val="Tabletext"/>
              <w:rPr>
                <w:sz w:val="20"/>
              </w:rPr>
            </w:pPr>
            <w:r w:rsidRPr="006448F0">
              <w:rPr>
                <w:sz w:val="20"/>
              </w:rPr>
              <w:t xml:space="preserve">2. </w:t>
            </w:r>
            <w:r w:rsidR="00CE5DDB" w:rsidRPr="006448F0">
              <w:rPr>
                <w:sz w:val="20"/>
              </w:rPr>
              <w:t>Garantizar la necesaria actualización de las políticas, reglas y reglamentos de RR.HH, también en el contexto y ámbito de aplicación del Manual de RR.HH. electrónico, de manera paulatina (plan para 2-4 años) y según proceda</w:t>
            </w:r>
            <w:r w:rsidR="00346B44" w:rsidRPr="006448F0">
              <w:rPr>
                <w:sz w:val="20"/>
              </w:rPr>
              <w:t>.</w:t>
            </w:r>
          </w:p>
        </w:tc>
        <w:tc>
          <w:tcPr>
            <w:tcW w:w="3969" w:type="dxa"/>
            <w:vMerge/>
            <w:shd w:val="clear" w:color="auto" w:fill="FFE599"/>
          </w:tcPr>
          <w:p w:rsidR="009B6DB0" w:rsidRPr="006448F0" w:rsidRDefault="009B6DB0" w:rsidP="00BE343D">
            <w:pPr>
              <w:pStyle w:val="Tabletext"/>
              <w:rPr>
                <w:sz w:val="20"/>
              </w:rPr>
            </w:pPr>
          </w:p>
        </w:tc>
        <w:tc>
          <w:tcPr>
            <w:tcW w:w="1701" w:type="dxa"/>
            <w:tcBorders>
              <w:bottom w:val="single" w:sz="4" w:space="0" w:color="auto"/>
            </w:tcBorders>
            <w:shd w:val="clear" w:color="auto" w:fill="FFE599"/>
          </w:tcPr>
          <w:p w:rsidR="009B6DB0" w:rsidRPr="006448F0" w:rsidRDefault="009B6DB0" w:rsidP="00BE343D">
            <w:pPr>
              <w:pStyle w:val="Tabletext"/>
              <w:rPr>
                <w:sz w:val="20"/>
              </w:rPr>
            </w:pPr>
          </w:p>
        </w:tc>
        <w:tc>
          <w:tcPr>
            <w:tcW w:w="851" w:type="dxa"/>
            <w:tcBorders>
              <w:bottom w:val="single" w:sz="4" w:space="0" w:color="auto"/>
            </w:tcBorders>
            <w:shd w:val="clear" w:color="auto" w:fill="FFE599"/>
          </w:tcPr>
          <w:p w:rsidR="009B6DB0" w:rsidRPr="006448F0" w:rsidRDefault="009B6DB0" w:rsidP="00BE343D">
            <w:pPr>
              <w:pStyle w:val="Tabletext"/>
              <w:rPr>
                <w:sz w:val="20"/>
              </w:rPr>
            </w:pPr>
          </w:p>
        </w:tc>
        <w:tc>
          <w:tcPr>
            <w:tcW w:w="1843" w:type="dxa"/>
            <w:tcBorders>
              <w:bottom w:val="single" w:sz="4" w:space="0" w:color="auto"/>
            </w:tcBorders>
            <w:shd w:val="clear" w:color="auto" w:fill="FFE599"/>
          </w:tcPr>
          <w:p w:rsidR="009B6DB0" w:rsidRPr="008848D4" w:rsidRDefault="009B6DB0" w:rsidP="00BE343D">
            <w:pPr>
              <w:pStyle w:val="Tabletext"/>
            </w:pPr>
          </w:p>
        </w:tc>
      </w:tr>
      <w:tr w:rsidR="009B6DB0" w:rsidRPr="008848D4" w:rsidTr="009B6DB0">
        <w:trPr>
          <w:trHeight w:val="288"/>
        </w:trPr>
        <w:tc>
          <w:tcPr>
            <w:tcW w:w="15381" w:type="dxa"/>
            <w:gridSpan w:val="7"/>
            <w:shd w:val="clear" w:color="auto" w:fill="C5E0B3"/>
            <w:vAlign w:val="center"/>
          </w:tcPr>
          <w:p w:rsidR="009B6DB0" w:rsidRPr="006448F0" w:rsidRDefault="009B6DB0" w:rsidP="00BE343D">
            <w:pPr>
              <w:pStyle w:val="Tabletext"/>
              <w:rPr>
                <w:sz w:val="20"/>
              </w:rPr>
            </w:pPr>
            <w:r w:rsidRPr="006448F0">
              <w:rPr>
                <w:sz w:val="20"/>
              </w:rPr>
              <w:t xml:space="preserve">Pilar 4. </w:t>
            </w:r>
            <w:r w:rsidR="00CE5DDB" w:rsidRPr="006448F0">
              <w:rPr>
                <w:sz w:val="20"/>
              </w:rPr>
              <w:t>Entorno laboral propicio</w:t>
            </w:r>
            <w:r w:rsidR="00346B44" w:rsidRPr="006448F0">
              <w:rPr>
                <w:sz w:val="20"/>
              </w:rPr>
              <w:t>.</w:t>
            </w: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r w:rsidRPr="006448F0">
              <w:rPr>
                <w:sz w:val="20"/>
              </w:rPr>
              <w:t>4.1</w:t>
            </w:r>
          </w:p>
        </w:tc>
        <w:tc>
          <w:tcPr>
            <w:tcW w:w="2127" w:type="dxa"/>
            <w:tcBorders>
              <w:top w:val="single" w:sz="4" w:space="0" w:color="auto"/>
              <w:left w:val="single" w:sz="4" w:space="0" w:color="auto"/>
              <w:bottom w:val="nil"/>
              <w:right w:val="single" w:sz="4" w:space="0" w:color="auto"/>
            </w:tcBorders>
            <w:shd w:val="clear" w:color="auto" w:fill="C5E0B3"/>
          </w:tcPr>
          <w:p w:rsidR="009B6DB0" w:rsidRPr="006448F0" w:rsidRDefault="00CE5DDB" w:rsidP="00BE343D">
            <w:pPr>
              <w:pStyle w:val="Tabletext"/>
              <w:rPr>
                <w:sz w:val="20"/>
              </w:rPr>
            </w:pPr>
            <w:r w:rsidRPr="006448F0">
              <w:rPr>
                <w:sz w:val="20"/>
              </w:rPr>
              <w:t>Lugar de trabajo saludable</w:t>
            </w:r>
            <w:r w:rsidR="00346B44" w:rsidRPr="006448F0">
              <w:rPr>
                <w:sz w:val="20"/>
              </w:rPr>
              <w:t>.</w:t>
            </w:r>
          </w:p>
        </w:tc>
        <w:tc>
          <w:tcPr>
            <w:tcW w:w="4252" w:type="dxa"/>
            <w:tcBorders>
              <w:left w:val="single" w:sz="4" w:space="0" w:color="auto"/>
            </w:tcBorders>
            <w:shd w:val="clear" w:color="auto" w:fill="C5E0B3"/>
          </w:tcPr>
          <w:p w:rsidR="009B6DB0" w:rsidRPr="006448F0" w:rsidRDefault="009B6DB0" w:rsidP="00346B44">
            <w:pPr>
              <w:pStyle w:val="Tabletext"/>
              <w:rPr>
                <w:sz w:val="20"/>
              </w:rPr>
            </w:pPr>
            <w:r w:rsidRPr="006448F0">
              <w:rPr>
                <w:sz w:val="20"/>
              </w:rPr>
              <w:t>1. D</w:t>
            </w:r>
            <w:r w:rsidR="00CE5DDB" w:rsidRPr="006448F0">
              <w:rPr>
                <w:sz w:val="20"/>
              </w:rPr>
              <w:t>iseñar y aplicar una política de la UIT sobre salud ocupacional, bienestar y seguridad</w:t>
            </w:r>
            <w:r w:rsidR="00346B44" w:rsidRPr="006448F0">
              <w:rPr>
                <w:sz w:val="20"/>
              </w:rPr>
              <w:t>.</w:t>
            </w:r>
          </w:p>
        </w:tc>
        <w:tc>
          <w:tcPr>
            <w:tcW w:w="3969" w:type="dxa"/>
            <w:shd w:val="clear" w:color="auto" w:fill="C5E0B3"/>
          </w:tcPr>
          <w:p w:rsidR="009B6DB0" w:rsidRPr="006448F0" w:rsidRDefault="00CE5DDB" w:rsidP="00BE343D">
            <w:pPr>
              <w:pStyle w:val="Tabletext"/>
              <w:rPr>
                <w:sz w:val="20"/>
              </w:rPr>
            </w:pPr>
            <w:r w:rsidRPr="006448F0">
              <w:rPr>
                <w:sz w:val="20"/>
              </w:rPr>
              <w:t>Creación de un comité de salud y bienestar</w:t>
            </w:r>
            <w:r w:rsidR="00346B44" w:rsidRPr="006448F0">
              <w:rPr>
                <w:sz w:val="20"/>
              </w:rPr>
              <w:t>.</w:t>
            </w:r>
          </w:p>
          <w:p w:rsidR="009B6DB0" w:rsidRPr="006448F0" w:rsidRDefault="00CE5DDB" w:rsidP="00BE343D">
            <w:pPr>
              <w:pStyle w:val="Tabletext"/>
              <w:rPr>
                <w:sz w:val="20"/>
              </w:rPr>
            </w:pPr>
            <w:r w:rsidRPr="006448F0">
              <w:rPr>
                <w:sz w:val="20"/>
              </w:rPr>
              <w:t>Promulgación de nuevas políticas y procedimientos</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2. D</w:t>
            </w:r>
            <w:r w:rsidR="00B13CA1" w:rsidRPr="006448F0">
              <w:rPr>
                <w:sz w:val="20"/>
              </w:rPr>
              <w:t>iseño y aplicación de programas de prevención y atención (salud ocupacional, bienestar y seguridad</w:t>
            </w:r>
            <w:r w:rsidRPr="006448F0">
              <w:rPr>
                <w:sz w:val="20"/>
              </w:rPr>
              <w:t>)</w:t>
            </w:r>
            <w:r w:rsidR="00346B44" w:rsidRPr="006448F0">
              <w:rPr>
                <w:sz w:val="20"/>
              </w:rPr>
              <w:t>.</w:t>
            </w:r>
          </w:p>
        </w:tc>
        <w:tc>
          <w:tcPr>
            <w:tcW w:w="3969" w:type="dxa"/>
            <w:shd w:val="clear" w:color="auto" w:fill="C5E0B3"/>
          </w:tcPr>
          <w:p w:rsidR="009B6DB0" w:rsidRPr="006448F0" w:rsidRDefault="009B6DB0" w:rsidP="00BE343D">
            <w:pPr>
              <w:pStyle w:val="Tabletext"/>
              <w:rPr>
                <w:sz w:val="20"/>
              </w:rPr>
            </w:pPr>
            <w:r w:rsidRPr="006448F0">
              <w:rPr>
                <w:sz w:val="20"/>
              </w:rPr>
              <w:t>Evalua</w:t>
            </w:r>
            <w:r w:rsidR="00B13CA1" w:rsidRPr="006448F0">
              <w:rPr>
                <w:sz w:val="20"/>
              </w:rPr>
              <w:t>ción del número y la eficacia de las acciones preventivas adoptadas</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 xml:space="preserve">3. </w:t>
            </w:r>
            <w:r w:rsidR="00804EAD" w:rsidRPr="006448F0">
              <w:rPr>
                <w:sz w:val="20"/>
              </w:rPr>
              <w:t>Refuerzo del Servicio Médico</w:t>
            </w:r>
            <w:r w:rsidR="00346B44" w:rsidRPr="006448F0">
              <w:rPr>
                <w:sz w:val="20"/>
              </w:rPr>
              <w:t>.</w:t>
            </w:r>
          </w:p>
        </w:tc>
        <w:tc>
          <w:tcPr>
            <w:tcW w:w="3969" w:type="dxa"/>
            <w:shd w:val="clear" w:color="auto" w:fill="C5E0B3"/>
          </w:tcPr>
          <w:p w:rsidR="009B6DB0" w:rsidRPr="006448F0" w:rsidRDefault="00804EAD" w:rsidP="00BE343D">
            <w:pPr>
              <w:pStyle w:val="Tabletext"/>
              <w:rPr>
                <w:sz w:val="20"/>
              </w:rPr>
            </w:pPr>
            <w:r w:rsidRPr="006448F0">
              <w:rPr>
                <w:sz w:val="20"/>
              </w:rPr>
              <w:t>Servicio Médico totalmente operativ</w:t>
            </w:r>
            <w:r w:rsidR="00653D56" w:rsidRPr="006448F0">
              <w:rPr>
                <w:sz w:val="20"/>
              </w:rPr>
              <w:t>o</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4.</w:t>
            </w:r>
            <w:r w:rsidR="00804EAD" w:rsidRPr="006448F0">
              <w:rPr>
                <w:sz w:val="20"/>
              </w:rPr>
              <w:t xml:space="preserve"> Examinar las bajas por enfermedad tanto a corto como a largo plazo para ajustar los programas de prevención y atención</w:t>
            </w:r>
            <w:r w:rsidRPr="006448F0">
              <w:rPr>
                <w:sz w:val="20"/>
              </w:rPr>
              <w:t>.</w:t>
            </w:r>
          </w:p>
        </w:tc>
        <w:tc>
          <w:tcPr>
            <w:tcW w:w="3969" w:type="dxa"/>
            <w:shd w:val="clear" w:color="auto" w:fill="C5E0B3"/>
          </w:tcPr>
          <w:p w:rsidR="009B6DB0" w:rsidRPr="006448F0" w:rsidRDefault="00804EAD" w:rsidP="00BE343D">
            <w:pPr>
              <w:pStyle w:val="Tabletext"/>
              <w:rPr>
                <w:sz w:val="20"/>
              </w:rPr>
            </w:pPr>
            <w:r w:rsidRPr="006448F0">
              <w:rPr>
                <w:sz w:val="20"/>
              </w:rPr>
              <w:t>Informe cualitativo y cuantitativo sobre los resultados.</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single" w:sz="4" w:space="0" w:color="auto"/>
            </w:tcBorders>
            <w:shd w:val="clear" w:color="auto" w:fill="C5E0B3"/>
          </w:tcPr>
          <w:p w:rsidR="009B6DB0" w:rsidRPr="006448F0" w:rsidRDefault="009B6DB0" w:rsidP="00BE343D">
            <w:pPr>
              <w:pStyle w:val="Tabletext"/>
              <w:rPr>
                <w:sz w:val="20"/>
              </w:rPr>
            </w:pPr>
            <w:r w:rsidRPr="006448F0">
              <w:rPr>
                <w:sz w:val="20"/>
              </w:rPr>
              <w:t>4.2</w:t>
            </w:r>
          </w:p>
        </w:tc>
        <w:tc>
          <w:tcPr>
            <w:tcW w:w="2127" w:type="dxa"/>
            <w:tcBorders>
              <w:top w:val="single" w:sz="4" w:space="0" w:color="auto"/>
            </w:tcBorders>
            <w:shd w:val="clear" w:color="auto" w:fill="C5E0B3"/>
          </w:tcPr>
          <w:p w:rsidR="009B6DB0" w:rsidRPr="006448F0" w:rsidRDefault="00804EAD" w:rsidP="00BE343D">
            <w:pPr>
              <w:pStyle w:val="Tabletext"/>
              <w:rPr>
                <w:sz w:val="20"/>
              </w:rPr>
            </w:pPr>
            <w:r w:rsidRPr="006448F0">
              <w:rPr>
                <w:sz w:val="20"/>
              </w:rPr>
              <w:t>Lugar de trabajo respetuoso y ético</w:t>
            </w:r>
            <w:r w:rsidR="00346B44" w:rsidRPr="006448F0">
              <w:rPr>
                <w:sz w:val="20"/>
              </w:rPr>
              <w:t>.</w:t>
            </w:r>
          </w:p>
        </w:tc>
        <w:tc>
          <w:tcPr>
            <w:tcW w:w="4252" w:type="dxa"/>
            <w:shd w:val="clear" w:color="auto" w:fill="C5E0B3"/>
          </w:tcPr>
          <w:p w:rsidR="009B6DB0" w:rsidRPr="006448F0" w:rsidRDefault="009B6DB0" w:rsidP="00BE343D">
            <w:pPr>
              <w:pStyle w:val="Tabletext"/>
              <w:rPr>
                <w:sz w:val="20"/>
              </w:rPr>
            </w:pPr>
            <w:r w:rsidRPr="006448F0">
              <w:rPr>
                <w:sz w:val="20"/>
              </w:rPr>
              <w:t xml:space="preserve">1. </w:t>
            </w:r>
            <w:r w:rsidR="00804EAD" w:rsidRPr="006448F0">
              <w:rPr>
                <w:sz w:val="20"/>
              </w:rPr>
              <w:t>Examinar la política sobre el acoso y el abuso de autoridad.</w:t>
            </w:r>
          </w:p>
          <w:p w:rsidR="009B6DB0" w:rsidRPr="006448F0" w:rsidRDefault="009B6DB0" w:rsidP="00BE343D">
            <w:pPr>
              <w:pStyle w:val="Tabletext"/>
              <w:rPr>
                <w:sz w:val="20"/>
              </w:rPr>
            </w:pPr>
            <w:r w:rsidRPr="006448F0">
              <w:rPr>
                <w:sz w:val="20"/>
              </w:rPr>
              <w:t xml:space="preserve">2. </w:t>
            </w:r>
            <w:r w:rsidR="00804EAD" w:rsidRPr="006448F0">
              <w:rPr>
                <w:sz w:val="20"/>
              </w:rPr>
              <w:t>Informar y dar cuenta de los progresos realizados en relación con el abuso y la explotación sexual, así como con el acoso sexual en el lugar de trabajo (política de tolerancia cero</w:t>
            </w:r>
            <w:r w:rsidRPr="006448F0">
              <w:rPr>
                <w:sz w:val="20"/>
              </w:rPr>
              <w:t>)</w:t>
            </w:r>
            <w:r w:rsidR="00346B44" w:rsidRPr="006448F0">
              <w:rPr>
                <w:sz w:val="20"/>
              </w:rPr>
              <w:t>.</w:t>
            </w:r>
          </w:p>
          <w:p w:rsidR="009B6DB0" w:rsidRPr="006448F0" w:rsidRDefault="009B6DB0" w:rsidP="00BE343D">
            <w:pPr>
              <w:pStyle w:val="Tabletext"/>
              <w:rPr>
                <w:sz w:val="20"/>
              </w:rPr>
            </w:pPr>
            <w:r w:rsidRPr="006448F0">
              <w:rPr>
                <w:sz w:val="20"/>
              </w:rPr>
              <w:t xml:space="preserve">3. </w:t>
            </w:r>
            <w:r w:rsidR="00804EAD" w:rsidRPr="006448F0">
              <w:rPr>
                <w:sz w:val="20"/>
              </w:rPr>
              <w:t>Oficina de Ética funcional y servicios disponibles</w:t>
            </w:r>
            <w:r w:rsidR="00346B44" w:rsidRPr="006448F0">
              <w:rPr>
                <w:sz w:val="20"/>
              </w:rPr>
              <w:t>.</w:t>
            </w:r>
          </w:p>
        </w:tc>
        <w:tc>
          <w:tcPr>
            <w:tcW w:w="3969" w:type="dxa"/>
            <w:shd w:val="clear" w:color="auto" w:fill="C5E0B3"/>
          </w:tcPr>
          <w:p w:rsidR="009B6DB0" w:rsidRPr="006448F0" w:rsidRDefault="00804EAD" w:rsidP="00BE343D">
            <w:pPr>
              <w:pStyle w:val="Tabletext"/>
              <w:rPr>
                <w:sz w:val="20"/>
              </w:rPr>
            </w:pPr>
            <w:r w:rsidRPr="006448F0">
              <w:rPr>
                <w:sz w:val="20"/>
              </w:rPr>
              <w:t>Política examinada e informes cualitativos y cuantitativos para medir los cambios a lo largo del tiempo (es decir, creación de procedimientos formales e informales, número de casos denunciados y número de casos resueltos, decisiones tomadas y medidas correctivas aplicadas</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bottom w:val="single" w:sz="4" w:space="0" w:color="auto"/>
            </w:tcBorders>
            <w:shd w:val="clear" w:color="auto" w:fill="C5E0B3"/>
          </w:tcPr>
          <w:p w:rsidR="009B6DB0" w:rsidRPr="006448F0" w:rsidRDefault="009B6DB0" w:rsidP="00BE343D">
            <w:pPr>
              <w:pStyle w:val="Tabletext"/>
              <w:rPr>
                <w:sz w:val="20"/>
              </w:rPr>
            </w:pPr>
            <w:r w:rsidRPr="006448F0">
              <w:rPr>
                <w:sz w:val="20"/>
              </w:rPr>
              <w:t>4.3</w:t>
            </w:r>
          </w:p>
        </w:tc>
        <w:tc>
          <w:tcPr>
            <w:tcW w:w="2127" w:type="dxa"/>
            <w:tcBorders>
              <w:bottom w:val="single" w:sz="4" w:space="0" w:color="auto"/>
            </w:tcBorders>
            <w:shd w:val="clear" w:color="auto" w:fill="C5E0B3"/>
          </w:tcPr>
          <w:p w:rsidR="009B6DB0" w:rsidRPr="006448F0" w:rsidRDefault="00804EAD" w:rsidP="00BE343D">
            <w:pPr>
              <w:pStyle w:val="Tabletext"/>
              <w:rPr>
                <w:sz w:val="20"/>
              </w:rPr>
            </w:pPr>
            <w:r w:rsidRPr="006448F0">
              <w:rPr>
                <w:sz w:val="20"/>
              </w:rPr>
              <w:t>Entorno laboral inclusiv</w:t>
            </w:r>
            <w:r w:rsidR="00653D56" w:rsidRPr="006448F0">
              <w:rPr>
                <w:sz w:val="20"/>
              </w:rPr>
              <w:t>o</w:t>
            </w:r>
            <w:r w:rsidR="00346B44" w:rsidRPr="006448F0">
              <w:rPr>
                <w:sz w:val="20"/>
              </w:rPr>
              <w:t>.</w:t>
            </w:r>
          </w:p>
        </w:tc>
        <w:tc>
          <w:tcPr>
            <w:tcW w:w="4252" w:type="dxa"/>
            <w:shd w:val="clear" w:color="auto" w:fill="C5E0B3"/>
          </w:tcPr>
          <w:p w:rsidR="009B6DB0" w:rsidRPr="006448F0" w:rsidRDefault="00804EAD" w:rsidP="00BE343D">
            <w:pPr>
              <w:pStyle w:val="Tabletext"/>
              <w:rPr>
                <w:sz w:val="20"/>
              </w:rPr>
            </w:pPr>
            <w:r w:rsidRPr="006448F0">
              <w:rPr>
                <w:sz w:val="20"/>
              </w:rPr>
              <w:t>Fomentar los eventos sociales y el acceso equitativo a todas las actividades de la UIT</w:t>
            </w:r>
            <w:r w:rsidR="00346B44" w:rsidRPr="006448F0">
              <w:rPr>
                <w:sz w:val="20"/>
              </w:rPr>
              <w:t>.</w:t>
            </w:r>
          </w:p>
        </w:tc>
        <w:tc>
          <w:tcPr>
            <w:tcW w:w="3969" w:type="dxa"/>
            <w:shd w:val="clear" w:color="auto" w:fill="C5E0B3"/>
          </w:tcPr>
          <w:p w:rsidR="009B6DB0" w:rsidRPr="006448F0" w:rsidRDefault="009B6DB0" w:rsidP="00BE343D">
            <w:pPr>
              <w:pStyle w:val="Tabletext"/>
              <w:rPr>
                <w:sz w:val="20"/>
              </w:rPr>
            </w:pPr>
            <w:r w:rsidRPr="006448F0">
              <w:rPr>
                <w:sz w:val="20"/>
              </w:rPr>
              <w:t>N</w:t>
            </w:r>
            <w:r w:rsidR="00804EAD" w:rsidRPr="006448F0">
              <w:rPr>
                <w:sz w:val="20"/>
              </w:rPr>
              <w:t>úmero de eventos y actividades celeb</w:t>
            </w:r>
            <w:r w:rsidR="005852CF" w:rsidRPr="006448F0">
              <w:rPr>
                <w:sz w:val="20"/>
              </w:rPr>
              <w:t>rados/año e informe cualitativo</w:t>
            </w:r>
            <w:r w:rsidR="00804EAD" w:rsidRPr="006448F0">
              <w:rPr>
                <w:sz w:val="20"/>
              </w:rPr>
              <w:t xml:space="preserve"> sobre los resultados y la participación del personal</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r w:rsidRPr="006448F0">
              <w:rPr>
                <w:sz w:val="20"/>
              </w:rPr>
              <w:t>4.4</w:t>
            </w:r>
          </w:p>
        </w:tc>
        <w:tc>
          <w:tcPr>
            <w:tcW w:w="2127" w:type="dxa"/>
            <w:tcBorders>
              <w:top w:val="single" w:sz="4" w:space="0" w:color="auto"/>
              <w:left w:val="single" w:sz="4" w:space="0" w:color="auto"/>
              <w:bottom w:val="nil"/>
              <w:right w:val="single" w:sz="4" w:space="0" w:color="auto"/>
            </w:tcBorders>
            <w:shd w:val="clear" w:color="auto" w:fill="C5E0B3"/>
          </w:tcPr>
          <w:p w:rsidR="009B6DB0" w:rsidRPr="006448F0" w:rsidRDefault="00804EAD" w:rsidP="00BE343D">
            <w:pPr>
              <w:pStyle w:val="Tabletext"/>
              <w:rPr>
                <w:sz w:val="20"/>
              </w:rPr>
            </w:pPr>
            <w:r w:rsidRPr="006448F0">
              <w:rPr>
                <w:sz w:val="20"/>
              </w:rPr>
              <w:t>Entorno laboral que permita un sano equilibrio entre vida privada y vida laboral, también mediante una organización flexible del trabajo</w:t>
            </w:r>
            <w:r w:rsidR="00346B44" w:rsidRPr="006448F0">
              <w:rPr>
                <w:sz w:val="20"/>
              </w:rPr>
              <w:t>.</w:t>
            </w: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 xml:space="preserve">1. </w:t>
            </w:r>
            <w:r w:rsidR="00804EAD" w:rsidRPr="006448F0">
              <w:rPr>
                <w:sz w:val="20"/>
              </w:rPr>
              <w:t>Garantizar la armonización entre las políticas familiares de la UIT y el contexto familiar actual</w:t>
            </w:r>
            <w:r w:rsidR="00346B44" w:rsidRPr="006448F0">
              <w:rPr>
                <w:sz w:val="20"/>
              </w:rPr>
              <w:t>.</w:t>
            </w:r>
          </w:p>
        </w:tc>
        <w:tc>
          <w:tcPr>
            <w:tcW w:w="3969" w:type="dxa"/>
            <w:shd w:val="clear" w:color="auto" w:fill="C5E0B3"/>
          </w:tcPr>
          <w:p w:rsidR="009B6DB0" w:rsidRPr="006448F0" w:rsidRDefault="00804EAD" w:rsidP="00BE343D">
            <w:pPr>
              <w:pStyle w:val="Tabletext"/>
              <w:rPr>
                <w:sz w:val="20"/>
              </w:rPr>
            </w:pPr>
            <w:r w:rsidRPr="006448F0">
              <w:rPr>
                <w:sz w:val="20"/>
              </w:rPr>
              <w:t>Revisión y armonización de las políticas de la UIT existentes</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9B6DB0" w:rsidP="00346B44">
            <w:pPr>
              <w:pStyle w:val="Tabletext"/>
              <w:rPr>
                <w:sz w:val="20"/>
              </w:rPr>
            </w:pPr>
            <w:r w:rsidRPr="006448F0">
              <w:rPr>
                <w:sz w:val="20"/>
              </w:rPr>
              <w:t>2. Revis</w:t>
            </w:r>
            <w:r w:rsidR="00804EAD" w:rsidRPr="006448F0">
              <w:rPr>
                <w:sz w:val="20"/>
              </w:rPr>
              <w:t xml:space="preserve">ar las políticas sobre organización flexible del trabajo y el teletrabajo y preparar y aplicar guías para armonizar la comprensión y utilización de la política de la UIT en vigor, además de acompañar al </w:t>
            </w:r>
            <w:r w:rsidR="00804EAD" w:rsidRPr="006448F0">
              <w:rPr>
                <w:sz w:val="20"/>
              </w:rPr>
              <w:lastRenderedPageBreak/>
              <w:t>personal de la UIT en un proceso de gestión de cambios (proyecto de nuevo edificio</w:t>
            </w:r>
            <w:r w:rsidRPr="006448F0">
              <w:rPr>
                <w:sz w:val="20"/>
              </w:rPr>
              <w:t>)</w:t>
            </w:r>
            <w:r w:rsidR="00346B44" w:rsidRPr="006448F0">
              <w:rPr>
                <w:sz w:val="20"/>
              </w:rPr>
              <w:t>.</w:t>
            </w:r>
          </w:p>
        </w:tc>
        <w:tc>
          <w:tcPr>
            <w:tcW w:w="3969" w:type="dxa"/>
            <w:shd w:val="clear" w:color="auto" w:fill="C5E0B3"/>
          </w:tcPr>
          <w:p w:rsidR="009B6DB0" w:rsidRPr="006448F0" w:rsidRDefault="00804EAD" w:rsidP="00BE343D">
            <w:pPr>
              <w:pStyle w:val="Tabletext"/>
              <w:rPr>
                <w:sz w:val="20"/>
              </w:rPr>
            </w:pPr>
            <w:r w:rsidRPr="006448F0">
              <w:rPr>
                <w:sz w:val="20"/>
              </w:rPr>
              <w:lastRenderedPageBreak/>
              <w:t>Revisión de políticas y creación de guías (informe cualitativo sobre las prácticas modificadas a lo largo del tiempo</w:t>
            </w:r>
            <w:r w:rsidR="009B6DB0" w:rsidRPr="006448F0">
              <w:rPr>
                <w:sz w:val="20"/>
              </w:rPr>
              <w:t>)</w:t>
            </w:r>
            <w:r w:rsidR="00346B44" w:rsidRPr="006448F0">
              <w:rPr>
                <w:sz w:val="20"/>
              </w:rPr>
              <w:t>.</w:t>
            </w:r>
          </w:p>
          <w:p w:rsidR="009B6DB0" w:rsidRPr="006448F0" w:rsidRDefault="00804EAD" w:rsidP="00BE343D">
            <w:pPr>
              <w:pStyle w:val="Tabletext"/>
              <w:rPr>
                <w:sz w:val="20"/>
              </w:rPr>
            </w:pPr>
            <w:r w:rsidRPr="006448F0">
              <w:rPr>
                <w:sz w:val="20"/>
              </w:rPr>
              <w:lastRenderedPageBreak/>
              <w:t>Estadísticas sobre la utilización de la flexibilidad y evaluación del nivel de satisfacción</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 xml:space="preserve">3. </w:t>
            </w:r>
            <w:r w:rsidR="0063457A" w:rsidRPr="006448F0">
              <w:rPr>
                <w:sz w:val="20"/>
              </w:rPr>
              <w:t>Promover iniciativas que ayuden y alienten al personal a lograr un equilibrio vida privada-vida laboral razonable</w:t>
            </w:r>
            <w:r w:rsidR="00346B44" w:rsidRPr="006448F0">
              <w:rPr>
                <w:sz w:val="20"/>
              </w:rPr>
              <w:t>.</w:t>
            </w:r>
          </w:p>
        </w:tc>
        <w:tc>
          <w:tcPr>
            <w:tcW w:w="3969" w:type="dxa"/>
            <w:shd w:val="clear" w:color="auto" w:fill="C5E0B3"/>
          </w:tcPr>
          <w:p w:rsidR="009B6DB0" w:rsidRPr="006448F0" w:rsidRDefault="0063457A" w:rsidP="00BE343D">
            <w:pPr>
              <w:pStyle w:val="Tabletext"/>
              <w:rPr>
                <w:sz w:val="20"/>
              </w:rPr>
            </w:pPr>
            <w:r w:rsidRPr="006448F0">
              <w:rPr>
                <w:sz w:val="20"/>
              </w:rPr>
              <w:t>Número de iniciativas ejecutadas/año</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shd w:val="clear" w:color="auto" w:fill="C5E0B3"/>
          </w:tcPr>
          <w:p w:rsidR="009B6DB0" w:rsidRPr="006448F0" w:rsidRDefault="009B6DB0" w:rsidP="00BE343D">
            <w:pPr>
              <w:pStyle w:val="Tabletext"/>
              <w:rPr>
                <w:sz w:val="20"/>
              </w:rPr>
            </w:pPr>
            <w:r w:rsidRPr="006448F0">
              <w:rPr>
                <w:sz w:val="20"/>
              </w:rPr>
              <w:t>4.5</w:t>
            </w:r>
          </w:p>
        </w:tc>
        <w:tc>
          <w:tcPr>
            <w:tcW w:w="2127" w:type="dxa"/>
            <w:shd w:val="clear" w:color="auto" w:fill="C5E0B3"/>
          </w:tcPr>
          <w:p w:rsidR="009B6DB0" w:rsidRPr="006448F0" w:rsidRDefault="0063457A" w:rsidP="00BE343D">
            <w:pPr>
              <w:pStyle w:val="Tabletext"/>
              <w:rPr>
                <w:sz w:val="20"/>
              </w:rPr>
            </w:pPr>
            <w:r w:rsidRPr="006448F0">
              <w:rPr>
                <w:sz w:val="20"/>
              </w:rPr>
              <w:t>Lugar de trabajo favorable</w:t>
            </w:r>
            <w:r w:rsidR="00346B44" w:rsidRPr="006448F0">
              <w:rPr>
                <w:sz w:val="20"/>
              </w:rPr>
              <w:t>.</w:t>
            </w:r>
          </w:p>
        </w:tc>
        <w:tc>
          <w:tcPr>
            <w:tcW w:w="4252" w:type="dxa"/>
            <w:shd w:val="clear" w:color="auto" w:fill="C5E0B3"/>
          </w:tcPr>
          <w:p w:rsidR="0082291D" w:rsidRPr="006448F0" w:rsidRDefault="0082291D" w:rsidP="00BE343D">
            <w:pPr>
              <w:pStyle w:val="Tabletext"/>
              <w:rPr>
                <w:sz w:val="20"/>
              </w:rPr>
            </w:pPr>
            <w:r w:rsidRPr="006448F0">
              <w:rPr>
                <w:sz w:val="20"/>
              </w:rPr>
              <w:t>Definir un código de conducta de los administradores, en particular con respecto a sus subalternos</w:t>
            </w:r>
            <w:r w:rsidR="00346B44" w:rsidRPr="006448F0">
              <w:rPr>
                <w:sz w:val="20"/>
              </w:rPr>
              <w:t>.</w:t>
            </w:r>
          </w:p>
        </w:tc>
        <w:tc>
          <w:tcPr>
            <w:tcW w:w="3969" w:type="dxa"/>
            <w:shd w:val="clear" w:color="auto" w:fill="C5E0B3"/>
          </w:tcPr>
          <w:p w:rsidR="009B6DB0" w:rsidRPr="006448F0" w:rsidRDefault="0063457A" w:rsidP="00BE343D">
            <w:pPr>
              <w:pStyle w:val="Tabletext"/>
              <w:rPr>
                <w:sz w:val="20"/>
              </w:rPr>
            </w:pPr>
            <w:r w:rsidRPr="006448F0">
              <w:rPr>
                <w:sz w:val="20"/>
              </w:rPr>
              <w:t>Código de conducta creado (informe cualitativo sobre los cambios a lo largo del tiempo e informe cuantitativo sobre conductas inadecuadas</w:t>
            </w:r>
            <w:r w:rsidR="009B6DB0" w:rsidRPr="006448F0">
              <w:rPr>
                <w:sz w:val="20"/>
              </w:rPr>
              <w:t>)</w:t>
            </w:r>
            <w:r w:rsidR="00346B44" w:rsidRPr="006448F0">
              <w:rPr>
                <w:sz w:val="20"/>
              </w:rPr>
              <w:t>.</w:t>
            </w:r>
          </w:p>
          <w:p w:rsidR="009B6DB0" w:rsidRPr="006448F0" w:rsidRDefault="0063457A" w:rsidP="00BE343D">
            <w:pPr>
              <w:pStyle w:val="Tabletext"/>
              <w:rPr>
                <w:sz w:val="20"/>
              </w:rPr>
            </w:pPr>
            <w:r w:rsidRPr="006448F0">
              <w:rPr>
                <w:sz w:val="20"/>
              </w:rPr>
              <w:t>Creación de una herramienta para evaluar el cumplimiento.</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shd w:val="clear" w:color="auto" w:fill="C5E0B3"/>
          </w:tcPr>
          <w:p w:rsidR="009B6DB0" w:rsidRPr="006448F0" w:rsidRDefault="009B6DB0" w:rsidP="00BE343D">
            <w:pPr>
              <w:pStyle w:val="Tabletext"/>
              <w:rPr>
                <w:sz w:val="20"/>
              </w:rPr>
            </w:pPr>
            <w:r w:rsidRPr="006448F0">
              <w:rPr>
                <w:sz w:val="20"/>
              </w:rPr>
              <w:t>4.6</w:t>
            </w:r>
          </w:p>
        </w:tc>
        <w:tc>
          <w:tcPr>
            <w:tcW w:w="2127" w:type="dxa"/>
            <w:shd w:val="clear" w:color="auto" w:fill="C5E0B3"/>
          </w:tcPr>
          <w:p w:rsidR="009B6DB0" w:rsidRPr="006448F0" w:rsidRDefault="00851E1A" w:rsidP="00BE343D">
            <w:pPr>
              <w:pStyle w:val="Tabletext"/>
              <w:rPr>
                <w:sz w:val="20"/>
              </w:rPr>
            </w:pPr>
            <w:r w:rsidRPr="006448F0">
              <w:rPr>
                <w:sz w:val="20"/>
              </w:rPr>
              <w:t>Decisiones sobre el personal más cercanas al personal</w:t>
            </w:r>
            <w:r w:rsidR="00346B44" w:rsidRPr="006448F0">
              <w:rPr>
                <w:sz w:val="20"/>
              </w:rPr>
              <w:t>.</w:t>
            </w:r>
          </w:p>
        </w:tc>
        <w:tc>
          <w:tcPr>
            <w:tcW w:w="4252" w:type="dxa"/>
            <w:shd w:val="clear" w:color="auto" w:fill="C5E0B3"/>
          </w:tcPr>
          <w:p w:rsidR="009B6DB0" w:rsidRPr="006448F0" w:rsidRDefault="00851E1A" w:rsidP="00BE343D">
            <w:pPr>
              <w:pStyle w:val="Tabletext"/>
              <w:rPr>
                <w:sz w:val="20"/>
              </w:rPr>
            </w:pPr>
            <w:r w:rsidRPr="006448F0">
              <w:rPr>
                <w:sz w:val="20"/>
              </w:rPr>
              <w:t>Examinar el marco de delegación de autoridad y de responsabilidad de los procesos de RR.HH. (gestión del rendimiento, etc.) para garantizar las necesarias eficacia y equidad</w:t>
            </w:r>
            <w:r w:rsidR="00346B44" w:rsidRPr="006448F0">
              <w:rPr>
                <w:sz w:val="20"/>
              </w:rPr>
              <w:t>.</w:t>
            </w:r>
          </w:p>
        </w:tc>
        <w:tc>
          <w:tcPr>
            <w:tcW w:w="3969" w:type="dxa"/>
            <w:shd w:val="clear" w:color="auto" w:fill="C5E0B3"/>
          </w:tcPr>
          <w:p w:rsidR="009B6DB0" w:rsidRPr="006448F0" w:rsidRDefault="00851E1A" w:rsidP="00BE343D">
            <w:pPr>
              <w:pStyle w:val="Tabletext"/>
              <w:rPr>
                <w:sz w:val="20"/>
              </w:rPr>
            </w:pPr>
            <w:r w:rsidRPr="006448F0">
              <w:rPr>
                <w:sz w:val="20"/>
              </w:rPr>
              <w:t>Examen del marco de delegación de autoridad mediante ejemplos concretos y en colaboración con el GAEM (informe cualitativo sobre los cambios a lo largo del tiempo</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rPr>
          <w:trHeight w:val="1645"/>
        </w:trPr>
        <w:tc>
          <w:tcPr>
            <w:tcW w:w="638" w:type="dxa"/>
            <w:tcBorders>
              <w:bottom w:val="single" w:sz="4" w:space="0" w:color="auto"/>
            </w:tcBorders>
            <w:shd w:val="clear" w:color="auto" w:fill="C5E0B3"/>
          </w:tcPr>
          <w:p w:rsidR="009B6DB0" w:rsidRPr="006448F0" w:rsidRDefault="009B6DB0" w:rsidP="00BE343D">
            <w:pPr>
              <w:pStyle w:val="Tabletext"/>
              <w:rPr>
                <w:sz w:val="20"/>
              </w:rPr>
            </w:pPr>
            <w:r w:rsidRPr="006448F0">
              <w:rPr>
                <w:sz w:val="20"/>
              </w:rPr>
              <w:t>4.7</w:t>
            </w:r>
          </w:p>
        </w:tc>
        <w:tc>
          <w:tcPr>
            <w:tcW w:w="2127" w:type="dxa"/>
            <w:shd w:val="clear" w:color="auto" w:fill="C5E0B3"/>
          </w:tcPr>
          <w:p w:rsidR="009B6DB0" w:rsidRPr="006448F0" w:rsidRDefault="00851E1A" w:rsidP="00BE343D">
            <w:pPr>
              <w:pStyle w:val="Tabletext"/>
              <w:rPr>
                <w:sz w:val="20"/>
              </w:rPr>
            </w:pPr>
            <w:r w:rsidRPr="006448F0">
              <w:rPr>
                <w:sz w:val="20"/>
              </w:rPr>
              <w:t>Una cultura de la responsabilidad basada en los resultados y las pruebas</w:t>
            </w:r>
            <w:r w:rsidR="00346B44" w:rsidRPr="006448F0">
              <w:rPr>
                <w:sz w:val="20"/>
              </w:rPr>
              <w:t>.</w:t>
            </w:r>
          </w:p>
        </w:tc>
        <w:tc>
          <w:tcPr>
            <w:tcW w:w="4252" w:type="dxa"/>
            <w:shd w:val="clear" w:color="auto" w:fill="C5E0B3"/>
          </w:tcPr>
          <w:p w:rsidR="009B6DB0" w:rsidRPr="006448F0" w:rsidRDefault="009B6DB0" w:rsidP="00BE343D">
            <w:pPr>
              <w:pStyle w:val="Tabletext"/>
              <w:rPr>
                <w:sz w:val="20"/>
              </w:rPr>
            </w:pPr>
            <w:r w:rsidRPr="006448F0">
              <w:rPr>
                <w:sz w:val="20"/>
              </w:rPr>
              <w:t xml:space="preserve">1. </w:t>
            </w:r>
            <w:r w:rsidR="00851E1A" w:rsidRPr="006448F0">
              <w:rPr>
                <w:sz w:val="20"/>
              </w:rPr>
              <w:t>Realizar periódicamente encuestas por temas y por grupos de población como base para abordar problemas concretos de RR.HH. y de la organización (por ejemplo, aprendizaje, formación en gestión, acoso sexual,</w:t>
            </w:r>
            <w:r w:rsidRPr="006448F0">
              <w:rPr>
                <w:sz w:val="20"/>
              </w:rPr>
              <w:t xml:space="preserve"> etc.)</w:t>
            </w:r>
            <w:r w:rsidR="00346B44" w:rsidRPr="006448F0">
              <w:rPr>
                <w:sz w:val="20"/>
              </w:rPr>
              <w:t>.</w:t>
            </w:r>
          </w:p>
          <w:p w:rsidR="009B6DB0" w:rsidRPr="006448F0" w:rsidRDefault="009B6DB0" w:rsidP="00BE343D">
            <w:pPr>
              <w:pStyle w:val="Tabletext"/>
              <w:rPr>
                <w:sz w:val="20"/>
              </w:rPr>
            </w:pPr>
            <w:r w:rsidRPr="006448F0">
              <w:rPr>
                <w:sz w:val="20"/>
              </w:rPr>
              <w:t>2. D</w:t>
            </w:r>
            <w:r w:rsidR="00851E1A" w:rsidRPr="006448F0">
              <w:rPr>
                <w:sz w:val="20"/>
              </w:rPr>
              <w:t>iseñar encuestas basadas en el</w:t>
            </w:r>
            <w:r w:rsidR="000C762C" w:rsidRPr="006448F0">
              <w:rPr>
                <w:sz w:val="20"/>
              </w:rPr>
              <w:t xml:space="preserve"> </w:t>
            </w:r>
            <w:r w:rsidR="00851E1A" w:rsidRPr="006448F0">
              <w:rPr>
                <w:sz w:val="20"/>
              </w:rPr>
              <w:t>análisis</w:t>
            </w:r>
            <w:r w:rsidRPr="006448F0">
              <w:rPr>
                <w:sz w:val="20"/>
              </w:rPr>
              <w:t xml:space="preserve"> SWOT</w:t>
            </w:r>
            <w:r w:rsidR="00851E1A" w:rsidRPr="006448F0">
              <w:rPr>
                <w:sz w:val="20"/>
              </w:rPr>
              <w:t xml:space="preserve"> y otras referencias y adoptar las medidas correspondientes a los resultados obtenidos.</w:t>
            </w:r>
          </w:p>
        </w:tc>
        <w:tc>
          <w:tcPr>
            <w:tcW w:w="3969" w:type="dxa"/>
            <w:tcBorders>
              <w:bottom w:val="single" w:sz="4" w:space="0" w:color="auto"/>
            </w:tcBorders>
            <w:shd w:val="clear" w:color="auto" w:fill="C5E0B3"/>
          </w:tcPr>
          <w:p w:rsidR="009B6DB0" w:rsidRPr="006448F0" w:rsidRDefault="009B6DB0" w:rsidP="00BE343D">
            <w:pPr>
              <w:pStyle w:val="Tabletext"/>
              <w:rPr>
                <w:sz w:val="20"/>
              </w:rPr>
            </w:pPr>
            <w:r w:rsidRPr="006448F0">
              <w:rPr>
                <w:sz w:val="20"/>
              </w:rPr>
              <w:t>N</w:t>
            </w:r>
            <w:r w:rsidR="00851E1A" w:rsidRPr="006448F0">
              <w:rPr>
                <w:sz w:val="20"/>
              </w:rPr>
              <w:t>úmero de encuestas realizadas e informes sobre los resultados, así como sobre la aplicación de los planes de acción.</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r w:rsidRPr="006448F0">
              <w:rPr>
                <w:sz w:val="20"/>
              </w:rPr>
              <w:t>4.8</w:t>
            </w:r>
          </w:p>
        </w:tc>
        <w:tc>
          <w:tcPr>
            <w:tcW w:w="2127" w:type="dxa"/>
            <w:tcBorders>
              <w:left w:val="single" w:sz="4" w:space="0" w:color="auto"/>
            </w:tcBorders>
            <w:shd w:val="clear" w:color="auto" w:fill="C5E0B3"/>
          </w:tcPr>
          <w:p w:rsidR="009B6DB0" w:rsidRPr="006448F0" w:rsidRDefault="00851E1A" w:rsidP="00BE343D">
            <w:pPr>
              <w:pStyle w:val="Tabletext"/>
              <w:rPr>
                <w:sz w:val="20"/>
              </w:rPr>
            </w:pPr>
            <w:r w:rsidRPr="006448F0">
              <w:rPr>
                <w:sz w:val="20"/>
              </w:rPr>
              <w:t>Una cultura del diálogo y la comprensión</w:t>
            </w:r>
            <w:r w:rsidR="00346B44" w:rsidRPr="006448F0">
              <w:rPr>
                <w:sz w:val="20"/>
              </w:rPr>
              <w:t>.</w:t>
            </w:r>
          </w:p>
        </w:tc>
        <w:tc>
          <w:tcPr>
            <w:tcW w:w="4252" w:type="dxa"/>
            <w:tcBorders>
              <w:right w:val="single" w:sz="4" w:space="0" w:color="auto"/>
            </w:tcBorders>
            <w:shd w:val="clear" w:color="auto" w:fill="C5E0B3"/>
          </w:tcPr>
          <w:p w:rsidR="009B6DB0" w:rsidRPr="006448F0" w:rsidRDefault="009B6DB0" w:rsidP="00BE343D">
            <w:pPr>
              <w:pStyle w:val="Tabletext"/>
              <w:rPr>
                <w:sz w:val="20"/>
              </w:rPr>
            </w:pPr>
            <w:r w:rsidRPr="006448F0">
              <w:rPr>
                <w:sz w:val="20"/>
              </w:rPr>
              <w:t xml:space="preserve">1. </w:t>
            </w:r>
            <w:r w:rsidR="00090BB5" w:rsidRPr="006448F0">
              <w:rPr>
                <w:sz w:val="20"/>
              </w:rPr>
              <w:t>Examinar los procedimientos oficiosos de resolución de conflictos</w:t>
            </w:r>
            <w:r w:rsidR="00346B44" w:rsidRPr="006448F0">
              <w:rPr>
                <w:sz w:val="20"/>
              </w:rPr>
              <w:t>.</w:t>
            </w:r>
          </w:p>
        </w:tc>
        <w:tc>
          <w:tcPr>
            <w:tcW w:w="3969" w:type="dxa"/>
            <w:vMerge w:val="restart"/>
            <w:tcBorders>
              <w:top w:val="single" w:sz="4" w:space="0" w:color="auto"/>
              <w:left w:val="single" w:sz="4" w:space="0" w:color="auto"/>
              <w:right w:val="single" w:sz="4" w:space="0" w:color="auto"/>
            </w:tcBorders>
            <w:shd w:val="clear" w:color="auto" w:fill="C5E0B3"/>
          </w:tcPr>
          <w:p w:rsidR="009B6DB0" w:rsidRPr="006448F0" w:rsidRDefault="00090BB5" w:rsidP="00BE343D">
            <w:pPr>
              <w:pStyle w:val="Tabletext"/>
              <w:rPr>
                <w:sz w:val="20"/>
              </w:rPr>
            </w:pPr>
            <w:r w:rsidRPr="006448F0">
              <w:rPr>
                <w:sz w:val="20"/>
              </w:rPr>
              <w:t>Examen de los procedimientos y revisión del protocolo (informe cualitativo sobre los cambios a lo largo del tiempo</w:t>
            </w:r>
            <w:r w:rsidR="009B6DB0" w:rsidRPr="006448F0">
              <w:rPr>
                <w:sz w:val="20"/>
              </w:rPr>
              <w:t>)</w:t>
            </w:r>
            <w:r w:rsidR="00346B44" w:rsidRPr="006448F0">
              <w:rPr>
                <w:sz w:val="20"/>
              </w:rPr>
              <w:t>.</w:t>
            </w:r>
          </w:p>
        </w:tc>
        <w:tc>
          <w:tcPr>
            <w:tcW w:w="1701" w:type="dxa"/>
            <w:tcBorders>
              <w:left w:val="single" w:sz="4" w:space="0" w:color="auto"/>
            </w:tcBorders>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2127" w:type="dxa"/>
            <w:tcBorders>
              <w:left w:val="single" w:sz="4" w:space="0" w:color="auto"/>
            </w:tcBorders>
            <w:shd w:val="clear" w:color="auto" w:fill="C5E0B3"/>
          </w:tcPr>
          <w:p w:rsidR="009B6DB0" w:rsidRPr="006448F0" w:rsidRDefault="009B6DB0" w:rsidP="00BE343D">
            <w:pPr>
              <w:pStyle w:val="Tabletext"/>
              <w:rPr>
                <w:sz w:val="20"/>
              </w:rPr>
            </w:pPr>
          </w:p>
        </w:tc>
        <w:tc>
          <w:tcPr>
            <w:tcW w:w="4252" w:type="dxa"/>
            <w:tcBorders>
              <w:right w:val="single" w:sz="4" w:space="0" w:color="auto"/>
            </w:tcBorders>
            <w:shd w:val="clear" w:color="auto" w:fill="C5E0B3"/>
          </w:tcPr>
          <w:p w:rsidR="009B6DB0" w:rsidRPr="006448F0" w:rsidRDefault="009B6DB0" w:rsidP="00BE343D">
            <w:pPr>
              <w:pStyle w:val="Tabletext"/>
              <w:rPr>
                <w:sz w:val="20"/>
              </w:rPr>
            </w:pPr>
            <w:r w:rsidRPr="006448F0">
              <w:rPr>
                <w:sz w:val="20"/>
              </w:rPr>
              <w:t>2. Revi</w:t>
            </w:r>
            <w:r w:rsidR="00090BB5" w:rsidRPr="006448F0">
              <w:rPr>
                <w:sz w:val="20"/>
              </w:rPr>
              <w:t>sar el protocolo de asesoramiento y presentación de quejas</w:t>
            </w:r>
            <w:r w:rsidR="00346B44" w:rsidRPr="006448F0">
              <w:rPr>
                <w:sz w:val="20"/>
              </w:rPr>
              <w:t>.</w:t>
            </w:r>
          </w:p>
        </w:tc>
        <w:tc>
          <w:tcPr>
            <w:tcW w:w="3969" w:type="dxa"/>
            <w:vMerge/>
            <w:tcBorders>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1701" w:type="dxa"/>
            <w:tcBorders>
              <w:left w:val="single" w:sz="4" w:space="0" w:color="auto"/>
            </w:tcBorders>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2127" w:type="dxa"/>
            <w:tcBorders>
              <w:left w:val="single" w:sz="4" w:space="0" w:color="auto"/>
            </w:tcBorders>
            <w:shd w:val="clear" w:color="auto" w:fill="C5E0B3"/>
          </w:tcPr>
          <w:p w:rsidR="009B6DB0" w:rsidRPr="006448F0" w:rsidRDefault="009B6DB0" w:rsidP="00BE343D">
            <w:pPr>
              <w:pStyle w:val="Tabletext"/>
              <w:rPr>
                <w:sz w:val="20"/>
              </w:rPr>
            </w:pPr>
          </w:p>
        </w:tc>
        <w:tc>
          <w:tcPr>
            <w:tcW w:w="4252" w:type="dxa"/>
            <w:shd w:val="clear" w:color="auto" w:fill="C5E0B3"/>
          </w:tcPr>
          <w:p w:rsidR="009B6DB0" w:rsidRPr="006448F0" w:rsidRDefault="009B6DB0" w:rsidP="00BE343D">
            <w:pPr>
              <w:pStyle w:val="Tabletext"/>
              <w:rPr>
                <w:sz w:val="20"/>
              </w:rPr>
            </w:pPr>
            <w:r w:rsidRPr="006448F0">
              <w:rPr>
                <w:sz w:val="20"/>
              </w:rPr>
              <w:t xml:space="preserve">3. </w:t>
            </w:r>
            <w:r w:rsidR="00090BB5" w:rsidRPr="006448F0">
              <w:rPr>
                <w:sz w:val="20"/>
              </w:rPr>
              <w:t>Analizar detalladamente la posibilidad de ampliar la actual función de mediación para convertirla en una función de Defensor</w:t>
            </w:r>
            <w:r w:rsidR="00346B44" w:rsidRPr="006448F0">
              <w:rPr>
                <w:sz w:val="20"/>
              </w:rPr>
              <w:t>.</w:t>
            </w:r>
          </w:p>
        </w:tc>
        <w:tc>
          <w:tcPr>
            <w:tcW w:w="3969" w:type="dxa"/>
            <w:tcBorders>
              <w:top w:val="single" w:sz="4" w:space="0" w:color="auto"/>
            </w:tcBorders>
            <w:shd w:val="clear" w:color="auto" w:fill="C5E0B3"/>
          </w:tcPr>
          <w:p w:rsidR="009B6DB0" w:rsidRPr="006448F0" w:rsidRDefault="00090BB5" w:rsidP="00BE343D">
            <w:pPr>
              <w:pStyle w:val="Tabletext"/>
              <w:rPr>
                <w:sz w:val="20"/>
              </w:rPr>
            </w:pPr>
            <w:r w:rsidRPr="006448F0">
              <w:rPr>
                <w:sz w:val="20"/>
              </w:rPr>
              <w:t>Estudio pormenorizado de la función de Defensor y adopción de una decisión al respecto.</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2127" w:type="dxa"/>
            <w:tcBorders>
              <w:left w:val="single" w:sz="4" w:space="0" w:color="auto"/>
            </w:tcBorders>
            <w:shd w:val="clear" w:color="auto" w:fill="C5E0B3"/>
          </w:tcPr>
          <w:p w:rsidR="009B6DB0" w:rsidRPr="006448F0" w:rsidRDefault="009B6DB0" w:rsidP="00BE343D">
            <w:pPr>
              <w:pStyle w:val="Tabletext"/>
              <w:rPr>
                <w:sz w:val="20"/>
              </w:rPr>
            </w:pPr>
          </w:p>
        </w:tc>
        <w:tc>
          <w:tcPr>
            <w:tcW w:w="4252" w:type="dxa"/>
            <w:shd w:val="clear" w:color="auto" w:fill="C5E0B3"/>
          </w:tcPr>
          <w:p w:rsidR="009B6DB0" w:rsidRPr="006448F0" w:rsidRDefault="009B6DB0" w:rsidP="005852CF">
            <w:pPr>
              <w:pStyle w:val="Tabletext"/>
              <w:rPr>
                <w:sz w:val="20"/>
              </w:rPr>
            </w:pPr>
            <w:r w:rsidRPr="006448F0">
              <w:rPr>
                <w:sz w:val="20"/>
              </w:rPr>
              <w:t xml:space="preserve">4. </w:t>
            </w:r>
            <w:r w:rsidR="005852CF" w:rsidRPr="006448F0">
              <w:rPr>
                <w:sz w:val="20"/>
              </w:rPr>
              <w:t>P</w:t>
            </w:r>
            <w:r w:rsidR="00090BB5" w:rsidRPr="006448F0">
              <w:rPr>
                <w:sz w:val="20"/>
              </w:rPr>
              <w:t>oner en conocimiento del personal los mecanismos existentes</w:t>
            </w:r>
            <w:r w:rsidR="00346B44" w:rsidRPr="006448F0">
              <w:rPr>
                <w:sz w:val="20"/>
              </w:rPr>
              <w:t>.</w:t>
            </w:r>
          </w:p>
        </w:tc>
        <w:tc>
          <w:tcPr>
            <w:tcW w:w="3969" w:type="dxa"/>
            <w:shd w:val="clear" w:color="auto" w:fill="C5E0B3"/>
          </w:tcPr>
          <w:p w:rsidR="009B6DB0" w:rsidRPr="006448F0" w:rsidRDefault="009B6DB0" w:rsidP="00BE343D">
            <w:pPr>
              <w:pStyle w:val="Tabletext"/>
              <w:rPr>
                <w:sz w:val="20"/>
              </w:rPr>
            </w:pPr>
            <w:r w:rsidRPr="006448F0">
              <w:rPr>
                <w:sz w:val="20"/>
              </w:rPr>
              <w:t>N</w:t>
            </w:r>
            <w:r w:rsidR="00090BB5" w:rsidRPr="006448F0">
              <w:rPr>
                <w:sz w:val="20"/>
              </w:rPr>
              <w:t>úmero de iniciativas, incluidas las sesiones de información y comunicación/año</w:t>
            </w:r>
            <w:r w:rsidR="00346B44" w:rsidRPr="006448F0">
              <w:rPr>
                <w:sz w:val="20"/>
              </w:rPr>
              <w:t>.</w:t>
            </w:r>
          </w:p>
          <w:p w:rsidR="009B6DB0" w:rsidRPr="006448F0" w:rsidRDefault="00090BB5" w:rsidP="00BE343D">
            <w:pPr>
              <w:pStyle w:val="Tabletext"/>
              <w:rPr>
                <w:sz w:val="20"/>
              </w:rPr>
            </w:pPr>
            <w:r w:rsidRPr="006448F0">
              <w:rPr>
                <w:sz w:val="20"/>
              </w:rPr>
              <w:t>Análisis cualitativo de los resultados (encuestas, informes de los mecanismos existentes</w:t>
            </w:r>
            <w:r w:rsidR="009B6DB0" w:rsidRPr="006448F0">
              <w:rPr>
                <w:sz w:val="20"/>
              </w:rPr>
              <w:t>)</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single" w:sz="4" w:space="0" w:color="auto"/>
            </w:tcBorders>
            <w:shd w:val="clear" w:color="auto" w:fill="C5E0B3"/>
          </w:tcPr>
          <w:p w:rsidR="009B6DB0" w:rsidRPr="006448F0" w:rsidRDefault="009B6DB0" w:rsidP="00BE343D">
            <w:pPr>
              <w:pStyle w:val="Tabletext"/>
              <w:rPr>
                <w:sz w:val="20"/>
              </w:rPr>
            </w:pPr>
            <w:r w:rsidRPr="006448F0">
              <w:rPr>
                <w:sz w:val="20"/>
              </w:rPr>
              <w:t>4.9</w:t>
            </w:r>
          </w:p>
        </w:tc>
        <w:tc>
          <w:tcPr>
            <w:tcW w:w="2127" w:type="dxa"/>
            <w:shd w:val="clear" w:color="auto" w:fill="C5E0B3"/>
          </w:tcPr>
          <w:p w:rsidR="009B6DB0" w:rsidRPr="006448F0" w:rsidRDefault="00090BB5" w:rsidP="00BE343D">
            <w:pPr>
              <w:pStyle w:val="Tabletext"/>
              <w:rPr>
                <w:sz w:val="20"/>
              </w:rPr>
            </w:pPr>
            <w:r w:rsidRPr="006448F0">
              <w:rPr>
                <w:sz w:val="20"/>
              </w:rPr>
              <w:t>Una cultura de apoyo a la innovación</w:t>
            </w:r>
            <w:r w:rsidR="00346B44" w:rsidRPr="006448F0">
              <w:rPr>
                <w:sz w:val="20"/>
              </w:rPr>
              <w:t>.</w:t>
            </w:r>
          </w:p>
        </w:tc>
        <w:tc>
          <w:tcPr>
            <w:tcW w:w="4252" w:type="dxa"/>
            <w:shd w:val="clear" w:color="auto" w:fill="C5E0B3"/>
          </w:tcPr>
          <w:p w:rsidR="009B6DB0" w:rsidRPr="006448F0" w:rsidRDefault="009B6DB0" w:rsidP="00BE343D">
            <w:pPr>
              <w:pStyle w:val="Tabletext"/>
              <w:rPr>
                <w:sz w:val="20"/>
              </w:rPr>
            </w:pPr>
            <w:r w:rsidRPr="006448F0">
              <w:rPr>
                <w:sz w:val="20"/>
              </w:rPr>
              <w:t xml:space="preserve">1. </w:t>
            </w:r>
            <w:r w:rsidR="00090BB5" w:rsidRPr="006448F0">
              <w:rPr>
                <w:sz w:val="20"/>
              </w:rPr>
              <w:t>Garantizar que el plan de acción de gestión del cambio comprende iniciativas de desarrollo y compromiso del personal; informar periódicamente de los resultados</w:t>
            </w:r>
            <w:r w:rsidR="00346B44" w:rsidRPr="006448F0">
              <w:rPr>
                <w:sz w:val="20"/>
              </w:rPr>
              <w:t>.</w:t>
            </w:r>
          </w:p>
          <w:p w:rsidR="009B6DB0" w:rsidRPr="006448F0" w:rsidRDefault="00346B44" w:rsidP="00BE343D">
            <w:pPr>
              <w:pStyle w:val="Tabletext"/>
              <w:rPr>
                <w:sz w:val="20"/>
              </w:rPr>
            </w:pPr>
            <w:r w:rsidRPr="006448F0">
              <w:rPr>
                <w:sz w:val="20"/>
              </w:rPr>
              <w:t xml:space="preserve">2. </w:t>
            </w:r>
            <w:r w:rsidR="00090BB5" w:rsidRPr="006448F0">
              <w:rPr>
                <w:sz w:val="20"/>
              </w:rPr>
              <w:t>Fomentar iniciativas intersectoriales y para toda la UIT</w:t>
            </w:r>
            <w:r w:rsidRPr="006448F0">
              <w:rPr>
                <w:sz w:val="20"/>
              </w:rPr>
              <w:t>.</w:t>
            </w:r>
          </w:p>
        </w:tc>
        <w:tc>
          <w:tcPr>
            <w:tcW w:w="3969" w:type="dxa"/>
            <w:shd w:val="clear" w:color="auto" w:fill="C5E0B3"/>
          </w:tcPr>
          <w:p w:rsidR="009B6DB0" w:rsidRPr="006448F0" w:rsidRDefault="009B6DB0" w:rsidP="00BE343D">
            <w:pPr>
              <w:pStyle w:val="Tabletext"/>
              <w:rPr>
                <w:sz w:val="20"/>
              </w:rPr>
            </w:pPr>
            <w:r w:rsidRPr="006448F0">
              <w:rPr>
                <w:sz w:val="20"/>
              </w:rPr>
              <w:t>D</w:t>
            </w:r>
            <w:r w:rsidR="00090BB5" w:rsidRPr="006448F0">
              <w:rPr>
                <w:sz w:val="20"/>
              </w:rPr>
              <w:t>iseño y aplicación del plan de acción de gestión de cambios (informe cualitativo sobre el diseño y cuantitativo sobre la aplicación</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shd w:val="clear" w:color="auto" w:fill="C5E0B3"/>
          </w:tcPr>
          <w:p w:rsidR="009B6DB0" w:rsidRPr="006448F0" w:rsidRDefault="009B6DB0" w:rsidP="00BE343D">
            <w:pPr>
              <w:pStyle w:val="Tabletext"/>
              <w:rPr>
                <w:sz w:val="20"/>
              </w:rPr>
            </w:pPr>
            <w:r w:rsidRPr="006448F0">
              <w:rPr>
                <w:sz w:val="20"/>
              </w:rPr>
              <w:t>4.10</w:t>
            </w:r>
          </w:p>
        </w:tc>
        <w:tc>
          <w:tcPr>
            <w:tcW w:w="2127" w:type="dxa"/>
            <w:shd w:val="clear" w:color="auto" w:fill="C5E0B3"/>
          </w:tcPr>
          <w:p w:rsidR="009B6DB0" w:rsidRPr="006448F0" w:rsidRDefault="00090BB5" w:rsidP="00BE343D">
            <w:pPr>
              <w:pStyle w:val="Tabletext"/>
              <w:rPr>
                <w:sz w:val="20"/>
              </w:rPr>
            </w:pPr>
            <w:r w:rsidRPr="006448F0">
              <w:rPr>
                <w:sz w:val="20"/>
              </w:rPr>
              <w:t xml:space="preserve">Garantía de que el personal dispone de los canales adecuados para dar cuenta de </w:t>
            </w:r>
            <w:r w:rsidRPr="00BB35FA">
              <w:rPr>
                <w:spacing w:val="-2"/>
                <w:sz w:val="20"/>
              </w:rPr>
              <w:t>conductas inapropiadas o</w:t>
            </w:r>
            <w:r w:rsidRPr="006448F0">
              <w:rPr>
                <w:sz w:val="20"/>
              </w:rPr>
              <w:t xml:space="preserve"> incorrectas con </w:t>
            </w:r>
            <w:r w:rsidRPr="00BB35FA">
              <w:rPr>
                <w:spacing w:val="-2"/>
                <w:sz w:val="20"/>
              </w:rPr>
              <w:t>protección activa de los</w:t>
            </w:r>
            <w:r w:rsidRPr="006448F0">
              <w:rPr>
                <w:sz w:val="20"/>
              </w:rPr>
              <w:t xml:space="preserve"> denunciantes y evitación de las represalias</w:t>
            </w:r>
            <w:r w:rsidR="00346B44" w:rsidRPr="006448F0">
              <w:rPr>
                <w:sz w:val="20"/>
              </w:rPr>
              <w:t>.</w:t>
            </w:r>
          </w:p>
        </w:tc>
        <w:tc>
          <w:tcPr>
            <w:tcW w:w="4252" w:type="dxa"/>
            <w:shd w:val="clear" w:color="auto" w:fill="C5E0B3"/>
          </w:tcPr>
          <w:p w:rsidR="009B6DB0" w:rsidRPr="006448F0" w:rsidRDefault="00090BB5" w:rsidP="00BE343D">
            <w:pPr>
              <w:pStyle w:val="Tabletext"/>
              <w:rPr>
                <w:sz w:val="20"/>
              </w:rPr>
            </w:pPr>
            <w:r w:rsidRPr="006448F0">
              <w:rPr>
                <w:sz w:val="20"/>
              </w:rPr>
              <w:t>Examinar el actual marco jurídico y administrativo para reforzar la gestión de conductas inapropiadas, represalias</w:t>
            </w:r>
            <w:r w:rsidR="00346B44" w:rsidRPr="006448F0">
              <w:rPr>
                <w:sz w:val="20"/>
              </w:rPr>
              <w:t>, etc.</w:t>
            </w:r>
          </w:p>
        </w:tc>
        <w:tc>
          <w:tcPr>
            <w:tcW w:w="3969" w:type="dxa"/>
            <w:shd w:val="clear" w:color="auto" w:fill="C5E0B3"/>
          </w:tcPr>
          <w:p w:rsidR="009B6DB0" w:rsidRPr="006448F0" w:rsidRDefault="009B6DB0" w:rsidP="00BE343D">
            <w:pPr>
              <w:pStyle w:val="Tabletext"/>
              <w:rPr>
                <w:sz w:val="20"/>
              </w:rPr>
            </w:pPr>
            <w:r w:rsidRPr="006448F0">
              <w:rPr>
                <w:sz w:val="20"/>
              </w:rPr>
              <w:t>Revisi</w:t>
            </w:r>
            <w:r w:rsidR="00090BB5" w:rsidRPr="006448F0">
              <w:rPr>
                <w:sz w:val="20"/>
              </w:rPr>
              <w:t>ón de los procedimientos existentes e informe del número total de casos denunciados para medir los cambios a lo largo del tiempo (cualitativo y cuantitativo</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r w:rsidRPr="006448F0">
              <w:rPr>
                <w:sz w:val="20"/>
              </w:rPr>
              <w:t>4.11</w:t>
            </w:r>
          </w:p>
        </w:tc>
        <w:tc>
          <w:tcPr>
            <w:tcW w:w="2127" w:type="dxa"/>
            <w:tcBorders>
              <w:top w:val="single" w:sz="4" w:space="0" w:color="auto"/>
              <w:left w:val="single" w:sz="4" w:space="0" w:color="auto"/>
              <w:bottom w:val="nil"/>
              <w:right w:val="single" w:sz="4" w:space="0" w:color="auto"/>
            </w:tcBorders>
            <w:shd w:val="clear" w:color="auto" w:fill="C5E0B3"/>
          </w:tcPr>
          <w:p w:rsidR="009B6DB0" w:rsidRPr="006448F0" w:rsidRDefault="00090BB5" w:rsidP="00BE343D">
            <w:pPr>
              <w:pStyle w:val="Tabletext"/>
              <w:rPr>
                <w:sz w:val="20"/>
              </w:rPr>
            </w:pPr>
            <w:r w:rsidRPr="006448F0">
              <w:rPr>
                <w:sz w:val="20"/>
              </w:rPr>
              <w:t xml:space="preserve">Garantía del adecuado deber de </w:t>
            </w:r>
            <w:r w:rsidR="00DC3908" w:rsidRPr="006448F0">
              <w:rPr>
                <w:sz w:val="20"/>
              </w:rPr>
              <w:t>atención</w:t>
            </w:r>
            <w:r w:rsidRPr="006448F0">
              <w:rPr>
                <w:sz w:val="20"/>
              </w:rPr>
              <w:t xml:space="preserve"> y revisión o creación de </w:t>
            </w:r>
            <w:r w:rsidRPr="00BB35FA">
              <w:rPr>
                <w:spacing w:val="-2"/>
                <w:sz w:val="20"/>
              </w:rPr>
              <w:t>reglas para la adecuada</w:t>
            </w:r>
            <w:r w:rsidRPr="006448F0">
              <w:rPr>
                <w:sz w:val="20"/>
              </w:rPr>
              <w:t xml:space="preserve"> compensación de todo daño, enfermedad, discapacidad o muerte atribuible al ejercicio de las funciones oficiales y para la gestión de los casos de deterioro de la </w:t>
            </w:r>
            <w:r w:rsidRPr="006448F0">
              <w:rPr>
                <w:sz w:val="20"/>
              </w:rPr>
              <w:lastRenderedPageBreak/>
              <w:t>salud (incluida la salud mental), las situaciones familiares difíciles y demás casos de precariedad, el acoso en todas sus variantes</w:t>
            </w:r>
            <w:r w:rsidR="00DC3908" w:rsidRPr="006448F0">
              <w:rPr>
                <w:sz w:val="20"/>
              </w:rPr>
              <w:t xml:space="preserve"> o las condiciones laborales desfavorables</w:t>
            </w:r>
            <w:r w:rsidR="00346B44" w:rsidRPr="006448F0">
              <w:rPr>
                <w:sz w:val="20"/>
              </w:rPr>
              <w:t>.</w:t>
            </w:r>
          </w:p>
        </w:tc>
        <w:tc>
          <w:tcPr>
            <w:tcW w:w="4252" w:type="dxa"/>
            <w:tcBorders>
              <w:left w:val="single" w:sz="4" w:space="0" w:color="auto"/>
            </w:tcBorders>
            <w:shd w:val="clear" w:color="auto" w:fill="C5E0B3"/>
          </w:tcPr>
          <w:p w:rsidR="00346B44" w:rsidRPr="006448F0" w:rsidRDefault="0023273E" w:rsidP="00346B44">
            <w:pPr>
              <w:pStyle w:val="Tabletext"/>
              <w:rPr>
                <w:sz w:val="20"/>
              </w:rPr>
            </w:pPr>
            <w:r w:rsidRPr="006448F0">
              <w:rPr>
                <w:sz w:val="20"/>
              </w:rPr>
              <w:lastRenderedPageBreak/>
              <w:t xml:space="preserve">1. </w:t>
            </w:r>
            <w:r w:rsidR="00DC3908" w:rsidRPr="006448F0">
              <w:rPr>
                <w:sz w:val="20"/>
              </w:rPr>
              <w:t xml:space="preserve">Crear y aplicar una estrategia de deber de atención de la UIT </w:t>
            </w:r>
            <w:r w:rsidR="005852CF" w:rsidRPr="006448F0">
              <w:rPr>
                <w:sz w:val="20"/>
              </w:rPr>
              <w:t>conforme con la Estrategia del s</w:t>
            </w:r>
            <w:r w:rsidR="00DC3908" w:rsidRPr="006448F0">
              <w:rPr>
                <w:sz w:val="20"/>
              </w:rPr>
              <w:t>istema de las Naciones Unidas, incluida una estrategia de salud mental</w:t>
            </w:r>
            <w:r w:rsidR="00346B44" w:rsidRPr="006448F0">
              <w:rPr>
                <w:sz w:val="20"/>
              </w:rPr>
              <w:t>.</w:t>
            </w:r>
          </w:p>
        </w:tc>
        <w:tc>
          <w:tcPr>
            <w:tcW w:w="3969" w:type="dxa"/>
            <w:shd w:val="clear" w:color="auto" w:fill="C5E0B3"/>
          </w:tcPr>
          <w:p w:rsidR="009B6DB0" w:rsidRPr="006448F0" w:rsidRDefault="00DC3908" w:rsidP="00346B44">
            <w:pPr>
              <w:pStyle w:val="Tabletext"/>
              <w:rPr>
                <w:sz w:val="20"/>
              </w:rPr>
            </w:pPr>
            <w:r w:rsidRPr="006448F0">
              <w:rPr>
                <w:sz w:val="20"/>
              </w:rPr>
              <w:t>Creación de estrategias de deber de atención y de salud mental (informe cualitativo sobre promoción, prevención e información e informe cuantitativo sobre la gestión de bajas por enfermedad y resultados</w:t>
            </w:r>
            <w:r w:rsidR="009B6DB0" w:rsidRPr="006448F0">
              <w:rPr>
                <w:sz w:val="20"/>
              </w:rPr>
              <w:t>)</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7830F6" w:rsidP="00BE343D">
            <w:pPr>
              <w:pStyle w:val="Tabletext"/>
              <w:rPr>
                <w:sz w:val="20"/>
              </w:rPr>
            </w:pPr>
            <w:r w:rsidRPr="006448F0">
              <w:rPr>
                <w:sz w:val="20"/>
              </w:rPr>
              <w:t xml:space="preserve">2. </w:t>
            </w:r>
            <w:r w:rsidR="009B6DB0" w:rsidRPr="006448F0">
              <w:rPr>
                <w:sz w:val="20"/>
              </w:rPr>
              <w:t>Revisi</w:t>
            </w:r>
            <w:r w:rsidR="00DC3908" w:rsidRPr="006448F0">
              <w:rPr>
                <w:sz w:val="20"/>
              </w:rPr>
              <w:t>ón de los servicios e instalaciones para el personal con discapacidad (gestión de instalaciones</w:t>
            </w:r>
            <w:r w:rsidR="009B6DB0" w:rsidRPr="006448F0">
              <w:rPr>
                <w:sz w:val="20"/>
              </w:rPr>
              <w:t>)</w:t>
            </w:r>
            <w:r w:rsidR="00346B44" w:rsidRPr="006448F0">
              <w:rPr>
                <w:sz w:val="20"/>
              </w:rPr>
              <w:t>.</w:t>
            </w:r>
          </w:p>
        </w:tc>
        <w:tc>
          <w:tcPr>
            <w:tcW w:w="3969" w:type="dxa"/>
            <w:shd w:val="clear" w:color="auto" w:fill="C5E0B3"/>
          </w:tcPr>
          <w:p w:rsidR="009B6DB0" w:rsidRPr="006448F0" w:rsidRDefault="00DC3908" w:rsidP="00BE343D">
            <w:pPr>
              <w:pStyle w:val="Tabletext"/>
              <w:rPr>
                <w:sz w:val="20"/>
              </w:rPr>
            </w:pPr>
            <w:r w:rsidRPr="006448F0">
              <w:rPr>
                <w:sz w:val="20"/>
              </w:rPr>
              <w:t xml:space="preserve">Informes cualitativo y </w:t>
            </w:r>
            <w:r w:rsidR="00653D56" w:rsidRPr="006448F0">
              <w:rPr>
                <w:sz w:val="20"/>
              </w:rPr>
              <w:t>cuantitativo</w:t>
            </w:r>
            <w:r w:rsidRPr="006448F0">
              <w:rPr>
                <w:sz w:val="20"/>
              </w:rPr>
              <w:t xml:space="preserve"> sobre las instalaciones nuevas y existentes para medir los cambios a lo largo del tiempo</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single" w:sz="4" w:space="0" w:color="auto"/>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r w:rsidRPr="006448F0">
              <w:rPr>
                <w:sz w:val="20"/>
              </w:rPr>
              <w:t>4.12</w:t>
            </w:r>
          </w:p>
        </w:tc>
        <w:tc>
          <w:tcPr>
            <w:tcW w:w="2127" w:type="dxa"/>
            <w:tcBorders>
              <w:top w:val="single" w:sz="4" w:space="0" w:color="auto"/>
              <w:left w:val="single" w:sz="4" w:space="0" w:color="auto"/>
              <w:bottom w:val="nil"/>
              <w:right w:val="single" w:sz="4" w:space="0" w:color="auto"/>
            </w:tcBorders>
            <w:shd w:val="clear" w:color="auto" w:fill="C5E0B3"/>
          </w:tcPr>
          <w:p w:rsidR="009B6DB0" w:rsidRPr="006448F0" w:rsidRDefault="00DC3908" w:rsidP="00BE343D">
            <w:pPr>
              <w:pStyle w:val="Tabletext"/>
              <w:rPr>
                <w:sz w:val="20"/>
              </w:rPr>
            </w:pPr>
            <w:r w:rsidRPr="006448F0">
              <w:rPr>
                <w:sz w:val="20"/>
              </w:rPr>
              <w:t>Garantía de imparcialidad absoluta en los procesos de contratación, retención y evaluación y, en general, en la UIT</w:t>
            </w:r>
            <w:r w:rsidR="00346B44" w:rsidRPr="006448F0">
              <w:rPr>
                <w:sz w:val="20"/>
              </w:rPr>
              <w:t>.</w:t>
            </w: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 xml:space="preserve">1. </w:t>
            </w:r>
            <w:r w:rsidR="00DC3908" w:rsidRPr="006448F0">
              <w:rPr>
                <w:sz w:val="20"/>
              </w:rPr>
              <w:t>Aumentar el diálogo entre HRMD y los gestores y el personal, en tanto que clientes de los servicios de RR.HH., para garantizar la aplicación coherente de las reglas y procedimientos</w:t>
            </w:r>
            <w:r w:rsidR="00346B44" w:rsidRPr="006448F0">
              <w:rPr>
                <w:sz w:val="20"/>
              </w:rPr>
              <w:t>.</w:t>
            </w:r>
          </w:p>
        </w:tc>
        <w:tc>
          <w:tcPr>
            <w:tcW w:w="3969" w:type="dxa"/>
            <w:shd w:val="clear" w:color="auto" w:fill="C5E0B3"/>
          </w:tcPr>
          <w:p w:rsidR="009B6DB0" w:rsidRPr="006448F0" w:rsidRDefault="009B6DB0" w:rsidP="00BE343D">
            <w:pPr>
              <w:pStyle w:val="Tabletext"/>
              <w:rPr>
                <w:sz w:val="20"/>
              </w:rPr>
            </w:pPr>
            <w:r w:rsidRPr="006448F0">
              <w:rPr>
                <w:sz w:val="20"/>
              </w:rPr>
              <w:t>N</w:t>
            </w:r>
            <w:r w:rsidR="00DC3908" w:rsidRPr="006448F0">
              <w:rPr>
                <w:sz w:val="20"/>
              </w:rPr>
              <w:t>úmero de solicitudes de personal procesadas/año (proporción de solicitudes de personal completas presentadas por los clientes</w:t>
            </w:r>
            <w:r w:rsidRPr="006448F0">
              <w:rPr>
                <w:sz w:val="20"/>
              </w:rPr>
              <w:t>)</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nil"/>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 xml:space="preserve">2. </w:t>
            </w:r>
            <w:r w:rsidR="00DC3908" w:rsidRPr="006448F0">
              <w:rPr>
                <w:sz w:val="20"/>
              </w:rPr>
              <w:t xml:space="preserve">Trabajar con los gestores y el personal para garantizar que las decisiones sobre contratación, </w:t>
            </w:r>
            <w:r w:rsidR="00DC3908" w:rsidRPr="00BB35FA">
              <w:rPr>
                <w:spacing w:val="-2"/>
                <w:sz w:val="20"/>
              </w:rPr>
              <w:t>gestión del rendimiento, etc. se basan en pruebas,</w:t>
            </w:r>
            <w:r w:rsidR="00DC3908" w:rsidRPr="006448F0">
              <w:rPr>
                <w:sz w:val="20"/>
              </w:rPr>
              <w:t xml:space="preserve"> haciendo referencia a los análisis institucionales (por ejemplo, Informe anual de RR.HH.</w:t>
            </w:r>
            <w:r w:rsidRPr="006448F0">
              <w:rPr>
                <w:sz w:val="20"/>
              </w:rPr>
              <w:t>)</w:t>
            </w:r>
            <w:r w:rsidR="00346B44" w:rsidRPr="006448F0">
              <w:rPr>
                <w:sz w:val="20"/>
              </w:rPr>
              <w:t>.</w:t>
            </w:r>
          </w:p>
        </w:tc>
        <w:tc>
          <w:tcPr>
            <w:tcW w:w="3969" w:type="dxa"/>
            <w:shd w:val="clear" w:color="auto" w:fill="C5E0B3"/>
          </w:tcPr>
          <w:p w:rsidR="009B6DB0" w:rsidRPr="006448F0" w:rsidRDefault="009B6DB0" w:rsidP="00BE343D">
            <w:pPr>
              <w:pStyle w:val="Tabletext"/>
              <w:rPr>
                <w:sz w:val="20"/>
              </w:rPr>
            </w:pPr>
            <w:r w:rsidRPr="006448F0">
              <w:rPr>
                <w:sz w:val="20"/>
              </w:rPr>
              <w:t>N</w:t>
            </w:r>
            <w:r w:rsidR="00DC3908" w:rsidRPr="006448F0">
              <w:rPr>
                <w:sz w:val="20"/>
              </w:rPr>
              <w:t>úmero de sesiones de información y comunicación impartidas a los clientes sobre la aplicabilidad de las reglas y procedimientos e informes cualitativos sobre los principales resultados</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r w:rsidR="009B6DB0" w:rsidRPr="008848D4" w:rsidTr="005852CF">
        <w:tc>
          <w:tcPr>
            <w:tcW w:w="638"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2127" w:type="dxa"/>
            <w:tcBorders>
              <w:top w:val="nil"/>
              <w:left w:val="single" w:sz="4" w:space="0" w:color="auto"/>
              <w:bottom w:val="single" w:sz="4" w:space="0" w:color="auto"/>
              <w:right w:val="single" w:sz="4" w:space="0" w:color="auto"/>
            </w:tcBorders>
            <w:shd w:val="clear" w:color="auto" w:fill="C5E0B3"/>
          </w:tcPr>
          <w:p w:rsidR="009B6DB0" w:rsidRPr="006448F0" w:rsidRDefault="009B6DB0" w:rsidP="00BE343D">
            <w:pPr>
              <w:pStyle w:val="Tabletext"/>
              <w:rPr>
                <w:sz w:val="20"/>
              </w:rPr>
            </w:pPr>
          </w:p>
        </w:tc>
        <w:tc>
          <w:tcPr>
            <w:tcW w:w="4252" w:type="dxa"/>
            <w:tcBorders>
              <w:left w:val="single" w:sz="4" w:space="0" w:color="auto"/>
            </w:tcBorders>
            <w:shd w:val="clear" w:color="auto" w:fill="C5E0B3"/>
          </w:tcPr>
          <w:p w:rsidR="009B6DB0" w:rsidRPr="006448F0" w:rsidRDefault="009B6DB0" w:rsidP="00BE343D">
            <w:pPr>
              <w:pStyle w:val="Tabletext"/>
              <w:rPr>
                <w:sz w:val="20"/>
              </w:rPr>
            </w:pPr>
            <w:r w:rsidRPr="006448F0">
              <w:rPr>
                <w:sz w:val="20"/>
              </w:rPr>
              <w:t xml:space="preserve">3. </w:t>
            </w:r>
            <w:r w:rsidR="001064DF" w:rsidRPr="006448F0">
              <w:rPr>
                <w:sz w:val="20"/>
              </w:rPr>
              <w:t>Realizar un análisis de la coherencia y la armonización del conjunto integral de la remuneración del personal de la UIT con el del sistema de las Naciones Unidas a fin de optimizar las prácticas, el presupuesto y los recursos de la organización</w:t>
            </w:r>
            <w:r w:rsidR="00346B44" w:rsidRPr="006448F0">
              <w:rPr>
                <w:sz w:val="20"/>
              </w:rPr>
              <w:t>.</w:t>
            </w:r>
          </w:p>
        </w:tc>
        <w:tc>
          <w:tcPr>
            <w:tcW w:w="3969" w:type="dxa"/>
            <w:shd w:val="clear" w:color="auto" w:fill="C5E0B3"/>
          </w:tcPr>
          <w:p w:rsidR="009B6DB0" w:rsidRPr="006448F0" w:rsidRDefault="001064DF" w:rsidP="00BE343D">
            <w:pPr>
              <w:pStyle w:val="Tabletext"/>
              <w:rPr>
                <w:sz w:val="20"/>
              </w:rPr>
            </w:pPr>
            <w:r w:rsidRPr="006448F0">
              <w:rPr>
                <w:sz w:val="20"/>
              </w:rPr>
              <w:t>Revisión del conjunto integral de la remuneración del personal de la UIT integrado en el PRE y aplicación coherente (análisis cualitativo</w:t>
            </w:r>
            <w:r w:rsidR="009B6DB0" w:rsidRPr="006448F0">
              <w:rPr>
                <w:sz w:val="20"/>
              </w:rPr>
              <w:t>)</w:t>
            </w:r>
            <w:r w:rsidR="00346B44" w:rsidRPr="006448F0">
              <w:rPr>
                <w:sz w:val="20"/>
              </w:rPr>
              <w:t>.</w:t>
            </w:r>
          </w:p>
        </w:tc>
        <w:tc>
          <w:tcPr>
            <w:tcW w:w="1701" w:type="dxa"/>
            <w:shd w:val="clear" w:color="auto" w:fill="C5E0B3"/>
          </w:tcPr>
          <w:p w:rsidR="009B6DB0" w:rsidRPr="006448F0" w:rsidRDefault="009B6DB0" w:rsidP="00BE343D">
            <w:pPr>
              <w:pStyle w:val="Tabletext"/>
              <w:rPr>
                <w:sz w:val="20"/>
              </w:rPr>
            </w:pPr>
          </w:p>
        </w:tc>
        <w:tc>
          <w:tcPr>
            <w:tcW w:w="851" w:type="dxa"/>
            <w:shd w:val="clear" w:color="auto" w:fill="C5E0B3"/>
          </w:tcPr>
          <w:p w:rsidR="009B6DB0" w:rsidRPr="006448F0" w:rsidRDefault="009B6DB0" w:rsidP="00BE343D">
            <w:pPr>
              <w:pStyle w:val="Tabletext"/>
              <w:rPr>
                <w:sz w:val="20"/>
              </w:rPr>
            </w:pPr>
          </w:p>
        </w:tc>
        <w:tc>
          <w:tcPr>
            <w:tcW w:w="1843" w:type="dxa"/>
            <w:shd w:val="clear" w:color="auto" w:fill="C5E0B3"/>
          </w:tcPr>
          <w:p w:rsidR="009B6DB0" w:rsidRPr="008848D4" w:rsidRDefault="009B6DB0" w:rsidP="00BE343D">
            <w:pPr>
              <w:pStyle w:val="Tabletext"/>
            </w:pPr>
          </w:p>
        </w:tc>
      </w:tr>
    </w:tbl>
    <w:p w:rsidR="009B6DB0" w:rsidRPr="008848D4" w:rsidRDefault="009B6DB0" w:rsidP="009B6DB0">
      <w:pPr>
        <w:pStyle w:val="Heading1"/>
        <w:ind w:left="0" w:firstLine="0"/>
        <w:rPr>
          <w:rFonts w:asciiTheme="minorHAnsi" w:hAnsiTheme="minorHAnsi"/>
        </w:rPr>
        <w:sectPr w:rsidR="009B6DB0" w:rsidRPr="008848D4" w:rsidSect="009B6DB0">
          <w:headerReference w:type="default" r:id="rId14"/>
          <w:footerReference w:type="default" r:id="rId15"/>
          <w:pgSz w:w="16838" w:h="11906" w:orient="landscape" w:code="9"/>
          <w:pgMar w:top="1440" w:right="1440" w:bottom="1440" w:left="1440" w:header="680" w:footer="680" w:gutter="0"/>
          <w:cols w:space="708"/>
          <w:docGrid w:linePitch="360"/>
        </w:sectPr>
      </w:pPr>
    </w:p>
    <w:p w:rsidR="009B6DB0" w:rsidRPr="008848D4" w:rsidRDefault="00022376" w:rsidP="001E1169">
      <w:pPr>
        <w:pStyle w:val="Heading1"/>
        <w:ind w:left="0" w:firstLine="0"/>
        <w:jc w:val="center"/>
        <w:rPr>
          <w:rFonts w:asciiTheme="minorHAnsi" w:hAnsiTheme="minorHAnsi"/>
          <w:i/>
        </w:rPr>
      </w:pPr>
      <w:r w:rsidRPr="008848D4">
        <w:rPr>
          <w:rFonts w:asciiTheme="minorHAnsi" w:hAnsiTheme="minorHAnsi"/>
        </w:rPr>
        <w:lastRenderedPageBreak/>
        <w:t xml:space="preserve">Riesgos estratégicos en el Plan </w:t>
      </w:r>
      <w:r w:rsidR="00653D56" w:rsidRPr="008848D4">
        <w:rPr>
          <w:rFonts w:asciiTheme="minorHAnsi" w:hAnsiTheme="minorHAnsi"/>
        </w:rPr>
        <w:t>Estratégico</w:t>
      </w:r>
      <w:r w:rsidRPr="008848D4">
        <w:rPr>
          <w:rFonts w:asciiTheme="minorHAnsi" w:hAnsiTheme="minorHAnsi"/>
        </w:rPr>
        <w:t xml:space="preserve"> de la UIT para</w:t>
      </w:r>
      <w:r w:rsidR="009B6DB0" w:rsidRPr="008848D4">
        <w:rPr>
          <w:rFonts w:asciiTheme="minorHAnsi" w:hAnsiTheme="minorHAnsi"/>
        </w:rPr>
        <w:t xml:space="preserve"> 2020-2023</w:t>
      </w:r>
      <w:r w:rsidR="008848D4" w:rsidRPr="008848D4">
        <w:rPr>
          <w:rFonts w:asciiTheme="minorHAnsi" w:hAnsiTheme="minorHAnsi"/>
        </w:rPr>
        <w:br/>
      </w:r>
      <w:r w:rsidR="001E1169" w:rsidRPr="008848D4">
        <w:rPr>
          <w:rFonts w:asciiTheme="minorHAnsi" w:hAnsiTheme="minorHAnsi"/>
        </w:rPr>
        <w:br/>
      </w:r>
      <w:r w:rsidR="009B6DB0" w:rsidRPr="008848D4">
        <w:rPr>
          <w:rFonts w:asciiTheme="minorHAnsi" w:hAnsiTheme="minorHAnsi"/>
          <w:i/>
        </w:rPr>
        <w:t>(</w:t>
      </w:r>
      <w:r w:rsidRPr="008848D4">
        <w:rPr>
          <w:rFonts w:asciiTheme="minorHAnsi" w:hAnsiTheme="minorHAnsi"/>
          <w:i/>
        </w:rPr>
        <w:t xml:space="preserve">del Anexo 1 a la Resolución </w:t>
      </w:r>
      <w:r w:rsidR="009B6DB0" w:rsidRPr="008848D4">
        <w:rPr>
          <w:rFonts w:asciiTheme="minorHAnsi" w:hAnsiTheme="minorHAnsi"/>
          <w:i/>
        </w:rPr>
        <w:t>71 (Rev. Dub</w:t>
      </w:r>
      <w:r w:rsidRPr="008848D4">
        <w:rPr>
          <w:rFonts w:asciiTheme="minorHAnsi" w:hAnsiTheme="minorHAnsi"/>
          <w:i/>
        </w:rPr>
        <w:t>á</w:t>
      </w:r>
      <w:r w:rsidR="009B6DB0" w:rsidRPr="008848D4">
        <w:rPr>
          <w:rFonts w:asciiTheme="minorHAnsi" w:hAnsiTheme="minorHAnsi"/>
          <w:i/>
        </w:rPr>
        <w:t xml:space="preserve">i, 2018) – </w:t>
      </w:r>
      <w:r w:rsidRPr="008848D4">
        <w:rPr>
          <w:rFonts w:asciiTheme="minorHAnsi" w:hAnsiTheme="minorHAnsi"/>
          <w:i/>
        </w:rPr>
        <w:t>Plan Estratégico de la Unión para</w:t>
      </w:r>
      <w:r w:rsidR="009B6DB0" w:rsidRPr="008848D4">
        <w:rPr>
          <w:rFonts w:asciiTheme="minorHAnsi" w:hAnsiTheme="minorHAnsi"/>
          <w:i/>
        </w:rPr>
        <w:t xml:space="preserve"> 2020-2023)</w:t>
      </w:r>
    </w:p>
    <w:p w:rsidR="009B6DB0" w:rsidRPr="008848D4" w:rsidRDefault="002C1D7A" w:rsidP="00346B44">
      <w:pPr>
        <w:pStyle w:val="Table"/>
        <w:rPr>
          <w:lang w:val="es-ES_tradnl"/>
        </w:rPr>
      </w:pPr>
      <w:r w:rsidRPr="008848D4">
        <w:rPr>
          <w:lang w:val="es-ES_tradnl"/>
        </w:rPr>
        <w:t>Cuadro 2: Riesgos estratégicos y estrategias de mitigación</w:t>
      </w:r>
    </w:p>
    <w:tbl>
      <w:tblPr>
        <w:tblW w:w="9781" w:type="dxa"/>
        <w:tblBorders>
          <w:top w:val="single" w:sz="4" w:space="0" w:color="auto"/>
          <w:bottom w:val="single" w:sz="4" w:space="0" w:color="auto"/>
          <w:insideH w:val="single" w:sz="4" w:space="0" w:color="auto"/>
        </w:tblBorders>
        <w:tblLook w:val="0680" w:firstRow="0" w:lastRow="0" w:firstColumn="1" w:lastColumn="0" w:noHBand="1" w:noVBand="1"/>
      </w:tblPr>
      <w:tblGrid>
        <w:gridCol w:w="4678"/>
        <w:gridCol w:w="5103"/>
      </w:tblGrid>
      <w:tr w:rsidR="002C1D7A" w:rsidRPr="008848D4" w:rsidTr="00ED36E2">
        <w:trPr>
          <w:cantSplit/>
          <w:tblHeader/>
        </w:trPr>
        <w:tc>
          <w:tcPr>
            <w:tcW w:w="4678" w:type="dxa"/>
            <w:shd w:val="clear" w:color="auto" w:fill="auto"/>
          </w:tcPr>
          <w:p w:rsidR="002C1D7A" w:rsidRPr="008848D4" w:rsidRDefault="002C1D7A" w:rsidP="00BE343D">
            <w:pPr>
              <w:pStyle w:val="Tablehead"/>
              <w:rPr>
                <w:rFonts w:eastAsia="Calibri"/>
              </w:rPr>
            </w:pPr>
            <w:r w:rsidRPr="008848D4">
              <w:t>Riesgo</w:t>
            </w:r>
          </w:p>
        </w:tc>
        <w:tc>
          <w:tcPr>
            <w:tcW w:w="5103" w:type="dxa"/>
            <w:shd w:val="clear" w:color="auto" w:fill="auto"/>
          </w:tcPr>
          <w:p w:rsidR="002C1D7A" w:rsidRPr="008848D4" w:rsidRDefault="002C1D7A" w:rsidP="00BE343D">
            <w:pPr>
              <w:pStyle w:val="Tablehead"/>
            </w:pPr>
            <w:r w:rsidRPr="008848D4">
              <w:t>Estrategia de mitigación</w:t>
            </w:r>
          </w:p>
        </w:tc>
      </w:tr>
      <w:tr w:rsidR="002C1D7A" w:rsidRPr="008848D4" w:rsidTr="00ED36E2">
        <w:trPr>
          <w:cantSplit/>
        </w:trPr>
        <w:tc>
          <w:tcPr>
            <w:tcW w:w="4678" w:type="dxa"/>
            <w:shd w:val="clear" w:color="auto" w:fill="auto"/>
          </w:tcPr>
          <w:p w:rsidR="002C1D7A" w:rsidRPr="008848D4" w:rsidRDefault="002C1D7A" w:rsidP="00BE343D">
            <w:pPr>
              <w:pStyle w:val="Tabletext"/>
              <w:ind w:left="601" w:hanging="601"/>
              <w:rPr>
                <w:b/>
                <w:bCs/>
              </w:rPr>
            </w:pPr>
            <w:r w:rsidRPr="008848D4">
              <w:rPr>
                <w:b/>
                <w:bCs/>
              </w:rPr>
              <w:t>1</w:t>
            </w:r>
            <w:r w:rsidRPr="008848D4">
              <w:rPr>
                <w:b/>
                <w:bCs/>
              </w:rPr>
              <w:tab/>
              <w:t>Disminución de la pertinencia y la capacidad para demostrar un claro valor añadido</w:t>
            </w:r>
          </w:p>
          <w:p w:rsidR="002C1D7A" w:rsidRPr="008848D4" w:rsidRDefault="002C1D7A" w:rsidP="00BE343D">
            <w:pPr>
              <w:pStyle w:val="Tabletext"/>
              <w:ind w:left="601" w:hanging="601"/>
            </w:pPr>
            <w:r w:rsidRPr="008848D4">
              <w:t>–</w:t>
            </w:r>
            <w:r w:rsidRPr="008848D4">
              <w:tab/>
              <w:t>Riesgo de incoherencia y duplicación de actividades en el seno de la organización, lo que repercute en su capacidad para demostrar el valor añadido</w:t>
            </w:r>
            <w:r w:rsidR="001E1169" w:rsidRPr="008848D4">
              <w:t>.</w:t>
            </w:r>
          </w:p>
          <w:p w:rsidR="002C1D7A" w:rsidRPr="008848D4" w:rsidRDefault="002C1D7A" w:rsidP="00BE343D">
            <w:pPr>
              <w:pStyle w:val="Tabletext"/>
              <w:ind w:left="601" w:hanging="601"/>
            </w:pPr>
            <w:r w:rsidRPr="008848D4">
              <w:t>–</w:t>
            </w:r>
            <w:r w:rsidRPr="008848D4">
              <w:tab/>
              <w:t>Riesgo de conflictos de actividades, incoherencias y competencia con otras organizaciones y entidades pertinentes, lo que desvirtúa la percepción del mandato, la misión y el papel de la UIT</w:t>
            </w:r>
            <w:r w:rsidR="00CA7FC2" w:rsidRPr="008848D4">
              <w:t>.</w:t>
            </w:r>
          </w:p>
        </w:tc>
        <w:tc>
          <w:tcPr>
            <w:tcW w:w="5103" w:type="dxa"/>
            <w:shd w:val="clear" w:color="auto" w:fill="auto"/>
          </w:tcPr>
          <w:p w:rsidR="002C1D7A" w:rsidRPr="008848D4" w:rsidRDefault="002C1D7A" w:rsidP="00320391">
            <w:pPr>
              <w:pStyle w:val="Tabletext"/>
              <w:ind w:left="601" w:hanging="601"/>
            </w:pPr>
            <w:r w:rsidRPr="008848D4">
              <w:t>–</w:t>
            </w:r>
            <w:r w:rsidRPr="008848D4">
              <w:tab/>
              <w:t xml:space="preserve">Evitar el riesgo: otorgando a cada estructura un </w:t>
            </w:r>
            <w:r w:rsidRPr="008848D4">
              <w:rPr>
                <w:b/>
                <w:bCs/>
              </w:rPr>
              <w:t>mandato</w:t>
            </w:r>
            <w:r w:rsidRPr="008848D4">
              <w:t xml:space="preserve"> claro y una </w:t>
            </w:r>
            <w:r w:rsidRPr="008848D4">
              <w:rPr>
                <w:b/>
                <w:bCs/>
              </w:rPr>
              <w:t>función en el marco de la Unión</w:t>
            </w:r>
            <w:r w:rsidR="00CA7FC2" w:rsidRPr="008848D4">
              <w:t>.</w:t>
            </w:r>
          </w:p>
          <w:p w:rsidR="002C1D7A" w:rsidRPr="008848D4" w:rsidRDefault="002C1D7A" w:rsidP="00CA7FC2">
            <w:pPr>
              <w:pStyle w:val="Tabletext"/>
              <w:ind w:left="601" w:hanging="601"/>
            </w:pPr>
            <w:r w:rsidRPr="008848D4">
              <w:t>–</w:t>
            </w:r>
            <w:r w:rsidRPr="008848D4">
              <w:tab/>
              <w:t>Limitar el riesgo</w:t>
            </w:r>
            <w:r w:rsidRPr="008848D4">
              <w:rPr>
                <w:b/>
                <w:bCs/>
              </w:rPr>
              <w:t>: mejorando el marco de cooperación</w:t>
            </w:r>
            <w:r w:rsidR="00CA7FC2" w:rsidRPr="008848D4">
              <w:t>.</w:t>
            </w:r>
          </w:p>
          <w:p w:rsidR="002C1D7A" w:rsidRPr="008848D4" w:rsidRDefault="002C1D7A" w:rsidP="00320391">
            <w:pPr>
              <w:pStyle w:val="Tabletext"/>
              <w:ind w:left="601" w:hanging="601"/>
            </w:pPr>
            <w:r w:rsidRPr="008848D4">
              <w:t>–</w:t>
            </w:r>
            <w:r w:rsidRPr="008848D4">
              <w:tab/>
              <w:t xml:space="preserve">Evitar el riesgo: identificando </w:t>
            </w:r>
            <w:r w:rsidRPr="008848D4">
              <w:rPr>
                <w:b/>
                <w:bCs/>
              </w:rPr>
              <w:t>los ámbitos que comportan un claro valor añadido</w:t>
            </w:r>
            <w:r w:rsidRPr="008848D4">
              <w:t xml:space="preserve"> y concediéndoles </w:t>
            </w:r>
            <w:r w:rsidRPr="008848D4">
              <w:rPr>
                <w:b/>
                <w:bCs/>
              </w:rPr>
              <w:t>prioridad</w:t>
            </w:r>
            <w:r w:rsidR="00CA7FC2" w:rsidRPr="008848D4">
              <w:t>.</w:t>
            </w:r>
          </w:p>
          <w:p w:rsidR="002C1D7A" w:rsidRPr="008848D4" w:rsidRDefault="002C1D7A" w:rsidP="00320391">
            <w:pPr>
              <w:pStyle w:val="Tabletext"/>
              <w:ind w:left="601" w:hanging="601"/>
            </w:pPr>
            <w:r w:rsidRPr="008848D4">
              <w:t>–</w:t>
            </w:r>
            <w:r w:rsidRPr="008848D4">
              <w:tab/>
              <w:t xml:space="preserve">Transferir el riesgo: forjando </w:t>
            </w:r>
            <w:r w:rsidRPr="008848D4">
              <w:rPr>
                <w:b/>
                <w:bCs/>
              </w:rPr>
              <w:t>asociaciones a largo plazo</w:t>
            </w:r>
            <w:r w:rsidR="00CA7FC2" w:rsidRPr="008848D4">
              <w:t>.</w:t>
            </w:r>
          </w:p>
          <w:p w:rsidR="002C1D7A" w:rsidRPr="008848D4" w:rsidRDefault="002C1D7A" w:rsidP="00320391">
            <w:pPr>
              <w:pStyle w:val="Tabletext"/>
              <w:ind w:left="601" w:hanging="601"/>
            </w:pPr>
            <w:r w:rsidRPr="008848D4">
              <w:t>–</w:t>
            </w:r>
            <w:r w:rsidRPr="008848D4">
              <w:tab/>
              <w:t xml:space="preserve">Limitar el riesgo: elaborando </w:t>
            </w:r>
            <w:r w:rsidRPr="008848D4">
              <w:rPr>
                <w:b/>
                <w:bCs/>
              </w:rPr>
              <w:t xml:space="preserve">una estrategia de comunicación </w:t>
            </w:r>
            <w:r w:rsidRPr="008848D4">
              <w:t>(</w:t>
            </w:r>
            <w:r w:rsidRPr="008848D4">
              <w:rPr>
                <w:b/>
                <w:bCs/>
              </w:rPr>
              <w:t>interna y externa</w:t>
            </w:r>
            <w:r w:rsidRPr="008848D4">
              <w:t>) adecuada y coherente</w:t>
            </w:r>
            <w:r w:rsidR="00CA7FC2" w:rsidRPr="008848D4">
              <w:t>.</w:t>
            </w:r>
          </w:p>
        </w:tc>
      </w:tr>
      <w:tr w:rsidR="002C1D7A" w:rsidRPr="008848D4" w:rsidTr="00ED36E2">
        <w:trPr>
          <w:cantSplit/>
        </w:trPr>
        <w:tc>
          <w:tcPr>
            <w:tcW w:w="4678" w:type="dxa"/>
            <w:shd w:val="clear" w:color="auto" w:fill="auto"/>
          </w:tcPr>
          <w:p w:rsidR="002C1D7A" w:rsidRPr="008848D4" w:rsidRDefault="002C1D7A" w:rsidP="00BE343D">
            <w:pPr>
              <w:pStyle w:val="Tabletext"/>
              <w:ind w:left="601" w:hanging="601"/>
              <w:rPr>
                <w:b/>
                <w:bCs/>
              </w:rPr>
            </w:pPr>
            <w:r w:rsidRPr="008848D4">
              <w:rPr>
                <w:b/>
                <w:bCs/>
              </w:rPr>
              <w:t>2</w:t>
            </w:r>
            <w:r w:rsidRPr="008848D4">
              <w:rPr>
                <w:b/>
                <w:bCs/>
              </w:rPr>
              <w:tab/>
              <w:t>Dispersión excesiva de esfuerzos</w:t>
            </w:r>
          </w:p>
          <w:p w:rsidR="002C1D7A" w:rsidRPr="008848D4" w:rsidRDefault="002C1D7A" w:rsidP="00BE343D">
            <w:pPr>
              <w:pStyle w:val="Tabletext"/>
              <w:ind w:left="601" w:hanging="601"/>
            </w:pPr>
            <w:r w:rsidRPr="008848D4">
              <w:t>–</w:t>
            </w:r>
            <w:r w:rsidRPr="008848D4">
              <w:tab/>
              <w:t>Riesgo de dilución de la misión y negligencia del mandato central de la organización</w:t>
            </w:r>
            <w:r w:rsidR="00CA7FC2" w:rsidRPr="008848D4">
              <w:t>.</w:t>
            </w:r>
          </w:p>
        </w:tc>
        <w:tc>
          <w:tcPr>
            <w:tcW w:w="5103" w:type="dxa"/>
            <w:shd w:val="clear" w:color="auto" w:fill="auto"/>
          </w:tcPr>
          <w:p w:rsidR="002C1D7A" w:rsidRPr="008848D4" w:rsidRDefault="002C1D7A" w:rsidP="00CA7FC2">
            <w:pPr>
              <w:pStyle w:val="Tabletext"/>
              <w:ind w:left="601" w:hanging="601"/>
            </w:pPr>
            <w:r w:rsidRPr="008848D4">
              <w:t>–</w:t>
            </w:r>
            <w:r w:rsidRPr="008848D4">
              <w:tab/>
              <w:t xml:space="preserve">Evitar el riesgo: </w:t>
            </w:r>
            <w:r w:rsidRPr="008848D4">
              <w:rPr>
                <w:b/>
                <w:bCs/>
              </w:rPr>
              <w:t>partiendo de los puntos</w:t>
            </w:r>
            <w:r w:rsidRPr="008848D4">
              <w:t xml:space="preserve"> </w:t>
            </w:r>
            <w:r w:rsidRPr="008848D4">
              <w:rPr>
                <w:b/>
                <w:bCs/>
              </w:rPr>
              <w:t>fuertes</w:t>
            </w:r>
            <w:r w:rsidRPr="008848D4">
              <w:t xml:space="preserve"> de la Unión, </w:t>
            </w:r>
            <w:r w:rsidRPr="008848D4">
              <w:rPr>
                <w:b/>
                <w:bCs/>
              </w:rPr>
              <w:t>focalizándose</w:t>
            </w:r>
            <w:r w:rsidRPr="008848D4">
              <w:t xml:space="preserve"> en ellos y concediéndoles </w:t>
            </w:r>
            <w:r w:rsidRPr="008848D4">
              <w:rPr>
                <w:b/>
                <w:bCs/>
              </w:rPr>
              <w:t>prioridad</w:t>
            </w:r>
            <w:r w:rsidR="00CA7FC2" w:rsidRPr="008848D4">
              <w:t>.</w:t>
            </w:r>
          </w:p>
          <w:p w:rsidR="002C1D7A" w:rsidRPr="008848D4" w:rsidRDefault="002C1D7A" w:rsidP="00320391">
            <w:pPr>
              <w:pStyle w:val="Tabletext"/>
              <w:ind w:left="601" w:hanging="601"/>
            </w:pPr>
            <w:r w:rsidRPr="008848D4">
              <w:t>–</w:t>
            </w:r>
            <w:r w:rsidRPr="008848D4">
              <w:tab/>
              <w:t xml:space="preserve">Limitar el riesgo: garantizando la </w:t>
            </w:r>
            <w:r w:rsidRPr="008848D4">
              <w:rPr>
                <w:b/>
                <w:bCs/>
              </w:rPr>
              <w:t>coherencia</w:t>
            </w:r>
            <w:r w:rsidRPr="008848D4">
              <w:t xml:space="preserve"> de las actividades de la UIT y/o </w:t>
            </w:r>
            <w:r w:rsidRPr="008848D4">
              <w:rPr>
                <w:b/>
                <w:bCs/>
              </w:rPr>
              <w:t>evitando el trabajo en compartimentos estancos</w:t>
            </w:r>
            <w:r w:rsidR="00CA7FC2" w:rsidRPr="008848D4">
              <w:t>.</w:t>
            </w:r>
          </w:p>
        </w:tc>
      </w:tr>
      <w:tr w:rsidR="002C1D7A" w:rsidRPr="008848D4" w:rsidTr="00ED36E2">
        <w:trPr>
          <w:cantSplit/>
        </w:trPr>
        <w:tc>
          <w:tcPr>
            <w:tcW w:w="4678" w:type="dxa"/>
            <w:shd w:val="clear" w:color="auto" w:fill="auto"/>
          </w:tcPr>
          <w:p w:rsidR="002C1D7A" w:rsidRPr="008848D4" w:rsidRDefault="002C1D7A" w:rsidP="00BE343D">
            <w:pPr>
              <w:pStyle w:val="Tabletext"/>
              <w:ind w:left="601" w:hanging="601"/>
              <w:rPr>
                <w:b/>
                <w:bCs/>
              </w:rPr>
            </w:pPr>
            <w:r w:rsidRPr="008848D4">
              <w:rPr>
                <w:b/>
                <w:bCs/>
              </w:rPr>
              <w:t>3</w:t>
            </w:r>
            <w:r w:rsidRPr="008848D4">
              <w:rPr>
                <w:b/>
                <w:bCs/>
              </w:rPr>
              <w:tab/>
              <w:t>Incapacidad para innovar y responder a las necesidades emergentes con suficiente rapidez, sin dejar de proporcionar productos de alta calidad</w:t>
            </w:r>
          </w:p>
          <w:p w:rsidR="002C1D7A" w:rsidRPr="008848D4" w:rsidRDefault="002C1D7A" w:rsidP="00BE343D">
            <w:pPr>
              <w:pStyle w:val="Tabletext"/>
              <w:ind w:left="601" w:hanging="601"/>
            </w:pPr>
            <w:r w:rsidRPr="008848D4">
              <w:t>–</w:t>
            </w:r>
            <w:r w:rsidRPr="008848D4">
              <w:tab/>
              <w:t>Riesgo de falta de reacción, lo que desalienta la participación de los miembros y otras partes interesadas</w:t>
            </w:r>
            <w:r w:rsidR="00CA7FC2" w:rsidRPr="008848D4">
              <w:t>.</w:t>
            </w:r>
          </w:p>
          <w:p w:rsidR="002C1D7A" w:rsidRPr="008848D4" w:rsidRDefault="002C1D7A" w:rsidP="00BE343D">
            <w:pPr>
              <w:pStyle w:val="Tabletext"/>
              <w:ind w:left="601" w:hanging="601"/>
            </w:pPr>
            <w:r w:rsidRPr="008848D4">
              <w:t>–</w:t>
            </w:r>
            <w:r w:rsidRPr="008848D4">
              <w:tab/>
              <w:t>Riesgo de quedarse a la zaga</w:t>
            </w:r>
            <w:r w:rsidR="00CA7FC2" w:rsidRPr="008848D4">
              <w:t>.</w:t>
            </w:r>
          </w:p>
          <w:p w:rsidR="002C1D7A" w:rsidRPr="008848D4" w:rsidRDefault="002C1D7A" w:rsidP="00BE343D">
            <w:pPr>
              <w:pStyle w:val="Tabletext"/>
              <w:ind w:left="601" w:hanging="601"/>
            </w:pPr>
            <w:r w:rsidRPr="008848D4">
              <w:t>–</w:t>
            </w:r>
            <w:r w:rsidRPr="008848D4">
              <w:tab/>
              <w:t>Riesgo de productos de menor calidad</w:t>
            </w:r>
            <w:r w:rsidR="00CA7FC2" w:rsidRPr="008848D4">
              <w:t>.</w:t>
            </w:r>
          </w:p>
        </w:tc>
        <w:tc>
          <w:tcPr>
            <w:tcW w:w="5103" w:type="dxa"/>
            <w:shd w:val="clear" w:color="auto" w:fill="auto"/>
          </w:tcPr>
          <w:p w:rsidR="002C1D7A" w:rsidRPr="008848D4" w:rsidRDefault="002C1D7A" w:rsidP="00320391">
            <w:pPr>
              <w:pStyle w:val="Tabletext"/>
              <w:ind w:left="601" w:hanging="601"/>
            </w:pPr>
            <w:r w:rsidRPr="008848D4">
              <w:t>–</w:t>
            </w:r>
            <w:r w:rsidRPr="008848D4">
              <w:tab/>
              <w:t xml:space="preserve">Evitar el riesgo: elaborando un </w:t>
            </w:r>
            <w:r w:rsidRPr="008848D4">
              <w:rPr>
                <w:b/>
                <w:bCs/>
              </w:rPr>
              <w:t>plan de futuro</w:t>
            </w:r>
            <w:r w:rsidRPr="008848D4">
              <w:t xml:space="preserve"> y conservando una actitud </w:t>
            </w:r>
            <w:r w:rsidRPr="008848D4">
              <w:rPr>
                <w:b/>
                <w:bCs/>
              </w:rPr>
              <w:t>ágil</w:t>
            </w:r>
            <w:r w:rsidRPr="008848D4">
              <w:t xml:space="preserve">, </w:t>
            </w:r>
            <w:r w:rsidRPr="008848D4">
              <w:rPr>
                <w:b/>
                <w:bCs/>
              </w:rPr>
              <w:t>reactiva</w:t>
            </w:r>
            <w:r w:rsidRPr="008848D4">
              <w:t xml:space="preserve"> e </w:t>
            </w:r>
            <w:r w:rsidRPr="008848D4">
              <w:rPr>
                <w:b/>
                <w:bCs/>
              </w:rPr>
              <w:t>innovadora</w:t>
            </w:r>
            <w:r w:rsidRPr="008848D4">
              <w:t>; focalizarse en actividades y mandatos fundamentales</w:t>
            </w:r>
            <w:r w:rsidR="00CA7FC2" w:rsidRPr="008848D4">
              <w:t>.</w:t>
            </w:r>
          </w:p>
          <w:p w:rsidR="002C1D7A" w:rsidRPr="008848D4" w:rsidRDefault="002C1D7A" w:rsidP="00320391">
            <w:pPr>
              <w:pStyle w:val="Tabletext"/>
              <w:ind w:left="601" w:hanging="601"/>
            </w:pPr>
            <w:r w:rsidRPr="008848D4">
              <w:t>–</w:t>
            </w:r>
            <w:r w:rsidRPr="008848D4">
              <w:tab/>
              <w:t xml:space="preserve">Limitar el riesgo: definiendo, promoviendo y llevando a la práctica una </w:t>
            </w:r>
            <w:r w:rsidRPr="008848D4">
              <w:rPr>
                <w:b/>
                <w:bCs/>
              </w:rPr>
              <w:t>cultura institucional adaptada</w:t>
            </w:r>
            <w:r w:rsidR="00CA7FC2" w:rsidRPr="008848D4">
              <w:t>.</w:t>
            </w:r>
          </w:p>
          <w:p w:rsidR="002C1D7A" w:rsidRPr="008848D4" w:rsidRDefault="002C1D7A" w:rsidP="00320391">
            <w:pPr>
              <w:pStyle w:val="Tabletext"/>
              <w:ind w:left="601" w:hanging="601"/>
            </w:pPr>
            <w:r w:rsidRPr="008848D4">
              <w:t>–</w:t>
            </w:r>
            <w:r w:rsidRPr="008848D4">
              <w:tab/>
              <w:t xml:space="preserve">Transferir el riesgo: </w:t>
            </w:r>
            <w:r w:rsidRPr="008848D4">
              <w:rPr>
                <w:b/>
                <w:bCs/>
              </w:rPr>
              <w:t>colaborando</w:t>
            </w:r>
            <w:r w:rsidRPr="008848D4">
              <w:t xml:space="preserve"> activamente con los </w:t>
            </w:r>
            <w:r w:rsidRPr="008848D4">
              <w:rPr>
                <w:b/>
                <w:bCs/>
              </w:rPr>
              <w:t>interesados</w:t>
            </w:r>
            <w:r w:rsidR="00CA7FC2" w:rsidRPr="008848D4">
              <w:t>.</w:t>
            </w:r>
          </w:p>
        </w:tc>
      </w:tr>
      <w:tr w:rsidR="002C1D7A" w:rsidRPr="008848D4" w:rsidTr="00ED36E2">
        <w:trPr>
          <w:cantSplit/>
        </w:trPr>
        <w:tc>
          <w:tcPr>
            <w:tcW w:w="4678" w:type="dxa"/>
            <w:shd w:val="clear" w:color="auto" w:fill="auto"/>
          </w:tcPr>
          <w:p w:rsidR="002C1D7A" w:rsidRPr="008848D4" w:rsidRDefault="002C1D7A" w:rsidP="00BE343D">
            <w:pPr>
              <w:pStyle w:val="Tabletext"/>
              <w:ind w:left="601" w:hanging="601"/>
              <w:rPr>
                <w:b/>
                <w:bCs/>
              </w:rPr>
            </w:pPr>
            <w:r w:rsidRPr="008848D4">
              <w:rPr>
                <w:b/>
                <w:bCs/>
              </w:rPr>
              <w:t>4</w:t>
            </w:r>
            <w:r w:rsidRPr="008848D4">
              <w:rPr>
                <w:b/>
                <w:bCs/>
              </w:rPr>
              <w:tab/>
              <w:t>Problemas relacionados con la confianza</w:t>
            </w:r>
          </w:p>
          <w:p w:rsidR="002C1D7A" w:rsidRPr="008848D4" w:rsidRDefault="002C1D7A" w:rsidP="00BE343D">
            <w:pPr>
              <w:pStyle w:val="Tabletext"/>
              <w:ind w:left="601" w:hanging="601"/>
            </w:pPr>
            <w:r w:rsidRPr="008848D4">
              <w:t>–</w:t>
            </w:r>
            <w:r w:rsidRPr="008848D4">
              <w:tab/>
              <w:t>Riesgo de aumento de los problemas relacionados con la confianza de los miembros y las partes interesadas</w:t>
            </w:r>
            <w:r w:rsidR="00CA7FC2" w:rsidRPr="008848D4">
              <w:t>.</w:t>
            </w:r>
          </w:p>
          <w:p w:rsidR="002C1D7A" w:rsidRPr="008848D4" w:rsidRDefault="002C1D7A" w:rsidP="00BE343D">
            <w:pPr>
              <w:pStyle w:val="Tabletext"/>
              <w:ind w:left="601" w:hanging="601"/>
            </w:pPr>
            <w:r w:rsidRPr="008848D4">
              <w:t>–</w:t>
            </w:r>
            <w:r w:rsidRPr="008848D4">
              <w:tab/>
              <w:t>Riesgo de aumento de los problemas relacionados con la confianza entre los miembros</w:t>
            </w:r>
            <w:r w:rsidR="00CA7FC2" w:rsidRPr="008848D4">
              <w:t>.</w:t>
            </w:r>
          </w:p>
        </w:tc>
        <w:tc>
          <w:tcPr>
            <w:tcW w:w="5103" w:type="dxa"/>
            <w:shd w:val="clear" w:color="auto" w:fill="auto"/>
          </w:tcPr>
          <w:p w:rsidR="002C1D7A" w:rsidRPr="008848D4" w:rsidRDefault="002C1D7A" w:rsidP="00320391">
            <w:pPr>
              <w:pStyle w:val="Tabletext"/>
              <w:ind w:left="601" w:hanging="601"/>
            </w:pPr>
            <w:r w:rsidRPr="008848D4">
              <w:t>–</w:t>
            </w:r>
            <w:r w:rsidRPr="008848D4">
              <w:tab/>
              <w:t xml:space="preserve">Evitar el riesgo: </w:t>
            </w:r>
            <w:r w:rsidRPr="008848D4">
              <w:rPr>
                <w:b/>
                <w:bCs/>
              </w:rPr>
              <w:t>adoptando y aplicando valores comunes</w:t>
            </w:r>
            <w:r w:rsidRPr="008848D4">
              <w:t xml:space="preserve"> – ajustando todas las iniciativas a los valores adoptados</w:t>
            </w:r>
            <w:r w:rsidR="00CA7FC2" w:rsidRPr="008848D4">
              <w:t>.</w:t>
            </w:r>
          </w:p>
          <w:p w:rsidR="002C1D7A" w:rsidRPr="008848D4" w:rsidRDefault="002C1D7A" w:rsidP="00320391">
            <w:pPr>
              <w:pStyle w:val="Tabletext"/>
              <w:ind w:left="601" w:hanging="601"/>
            </w:pPr>
            <w:r w:rsidRPr="008848D4">
              <w:t>–</w:t>
            </w:r>
            <w:r w:rsidRPr="008848D4">
              <w:tab/>
              <w:t xml:space="preserve">Limitar el riesgo: </w:t>
            </w:r>
            <w:r w:rsidRPr="008848D4">
              <w:rPr>
                <w:b/>
                <w:bCs/>
              </w:rPr>
              <w:t>colaborando con los miembros</w:t>
            </w:r>
            <w:r w:rsidRPr="008848D4">
              <w:t xml:space="preserve"> y otras partes interesadas, </w:t>
            </w:r>
            <w:r w:rsidRPr="008848D4">
              <w:rPr>
                <w:b/>
                <w:bCs/>
              </w:rPr>
              <w:t>mejorando la comunicación</w:t>
            </w:r>
            <w:r w:rsidRPr="008848D4">
              <w:rPr>
                <w:rFonts w:eastAsia="Calibri"/>
              </w:rPr>
              <w:t xml:space="preserve"> </w:t>
            </w:r>
            <w:r w:rsidRPr="008848D4">
              <w:t xml:space="preserve">y </w:t>
            </w:r>
            <w:r w:rsidRPr="008848D4">
              <w:rPr>
                <w:b/>
                <w:bCs/>
              </w:rPr>
              <w:t>la transparencia</w:t>
            </w:r>
            <w:r w:rsidRPr="008848D4">
              <w:t xml:space="preserve">, </w:t>
            </w:r>
            <w:r w:rsidRPr="008848D4">
              <w:rPr>
                <w:b/>
                <w:bCs/>
              </w:rPr>
              <w:t>observando los valores</w:t>
            </w:r>
            <w:r w:rsidRPr="008848D4">
              <w:t xml:space="preserve"> y </w:t>
            </w:r>
            <w:r w:rsidRPr="008848D4">
              <w:rPr>
                <w:b/>
                <w:bCs/>
              </w:rPr>
              <w:t>promoviendo la implicación en las iniciativas estratégicas; ajustarse a la misión, las metas y los procedimientos orgánicos fundamentales</w:t>
            </w:r>
            <w:r w:rsidR="00CA7FC2" w:rsidRPr="008848D4">
              <w:t>.</w:t>
            </w:r>
          </w:p>
        </w:tc>
      </w:tr>
      <w:tr w:rsidR="002C1D7A" w:rsidRPr="008848D4" w:rsidTr="00ED36E2">
        <w:trPr>
          <w:cantSplit/>
        </w:trPr>
        <w:tc>
          <w:tcPr>
            <w:tcW w:w="4678" w:type="dxa"/>
            <w:shd w:val="clear" w:color="auto" w:fill="auto"/>
          </w:tcPr>
          <w:p w:rsidR="002C1D7A" w:rsidRPr="008848D4" w:rsidRDefault="002C1D7A" w:rsidP="00BE343D">
            <w:pPr>
              <w:pStyle w:val="Tabletext"/>
              <w:ind w:left="601" w:hanging="601"/>
              <w:rPr>
                <w:b/>
                <w:bCs/>
              </w:rPr>
            </w:pPr>
            <w:r w:rsidRPr="008848D4">
              <w:rPr>
                <w:b/>
                <w:bCs/>
              </w:rPr>
              <w:lastRenderedPageBreak/>
              <w:t>5</w:t>
            </w:r>
            <w:r w:rsidRPr="008848D4">
              <w:rPr>
                <w:b/>
                <w:bCs/>
              </w:rPr>
              <w:tab/>
              <w:t>Estructuras, instrumentos, metodologías y procesos internos inadecuados</w:t>
            </w:r>
          </w:p>
          <w:p w:rsidR="002C1D7A" w:rsidRPr="008848D4" w:rsidRDefault="002C1D7A" w:rsidP="00BE343D">
            <w:pPr>
              <w:pStyle w:val="Tabletext"/>
              <w:ind w:left="601" w:hanging="601"/>
            </w:pPr>
            <w:r w:rsidRPr="008848D4">
              <w:t>–</w:t>
            </w:r>
            <w:r w:rsidRPr="008848D4">
              <w:tab/>
              <w:t>Riesgo de menoscabo de la idoneidad y la eficacia de los métodos, estructuras e instrumentos</w:t>
            </w:r>
            <w:r w:rsidR="00CA7FC2" w:rsidRPr="008848D4">
              <w:t>.</w:t>
            </w:r>
          </w:p>
        </w:tc>
        <w:tc>
          <w:tcPr>
            <w:tcW w:w="5103" w:type="dxa"/>
            <w:shd w:val="clear" w:color="auto" w:fill="auto"/>
          </w:tcPr>
          <w:p w:rsidR="002C1D7A" w:rsidRPr="008848D4" w:rsidRDefault="002C1D7A" w:rsidP="00320391">
            <w:pPr>
              <w:pStyle w:val="Tabletext"/>
              <w:ind w:left="601" w:hanging="601"/>
            </w:pPr>
            <w:r w:rsidRPr="008848D4">
              <w:t>–</w:t>
            </w:r>
            <w:r w:rsidRPr="008848D4">
              <w:tab/>
              <w:t xml:space="preserve">Limitar el riesgo: optimizando estructuras internas y </w:t>
            </w:r>
            <w:r w:rsidRPr="008848D4">
              <w:rPr>
                <w:b/>
                <w:bCs/>
              </w:rPr>
              <w:t>mejorando los procesos</w:t>
            </w:r>
            <w:r w:rsidRPr="008848D4">
              <w:t xml:space="preserve">, </w:t>
            </w:r>
            <w:r w:rsidRPr="008848D4">
              <w:rPr>
                <w:b/>
                <w:bCs/>
              </w:rPr>
              <w:t>instrumentos</w:t>
            </w:r>
            <w:r w:rsidRPr="008848D4">
              <w:t xml:space="preserve"> y </w:t>
            </w:r>
            <w:r w:rsidRPr="008848D4">
              <w:rPr>
                <w:b/>
                <w:bCs/>
              </w:rPr>
              <w:t>metodologías</w:t>
            </w:r>
            <w:r w:rsidR="00CA7FC2" w:rsidRPr="008848D4">
              <w:t>.</w:t>
            </w:r>
          </w:p>
          <w:p w:rsidR="002C1D7A" w:rsidRPr="008848D4" w:rsidRDefault="002C1D7A" w:rsidP="00320391">
            <w:pPr>
              <w:pStyle w:val="Tabletext"/>
              <w:ind w:left="601" w:hanging="601"/>
            </w:pPr>
            <w:r w:rsidRPr="008848D4">
              <w:t>–</w:t>
            </w:r>
            <w:r w:rsidRPr="008848D4">
              <w:tab/>
              <w:t xml:space="preserve">Transferir el riesgo: emprendiendo procesos de </w:t>
            </w:r>
            <w:r w:rsidRPr="008848D4">
              <w:rPr>
                <w:b/>
                <w:bCs/>
              </w:rPr>
              <w:t>control de la calidad</w:t>
            </w:r>
            <w:r w:rsidR="00CA7FC2" w:rsidRPr="008848D4">
              <w:t>.</w:t>
            </w:r>
          </w:p>
          <w:p w:rsidR="002C1D7A" w:rsidRPr="008848D4" w:rsidRDefault="002C1D7A" w:rsidP="00320391">
            <w:pPr>
              <w:pStyle w:val="Tabletext"/>
              <w:ind w:left="601" w:hanging="601"/>
            </w:pPr>
            <w:r w:rsidRPr="008848D4">
              <w:t>–</w:t>
            </w:r>
            <w:r w:rsidRPr="008848D4">
              <w:tab/>
              <w:t xml:space="preserve">Limitar el riesgo: mejorando la </w:t>
            </w:r>
            <w:r w:rsidRPr="008848D4">
              <w:rPr>
                <w:b/>
                <w:bCs/>
              </w:rPr>
              <w:t>comunicación interna</w:t>
            </w:r>
            <w:r w:rsidRPr="008848D4">
              <w:t xml:space="preserve"> y </w:t>
            </w:r>
            <w:r w:rsidRPr="008848D4">
              <w:rPr>
                <w:b/>
                <w:bCs/>
              </w:rPr>
              <w:t>externa</w:t>
            </w:r>
            <w:r w:rsidR="00CA7FC2" w:rsidRPr="008848D4">
              <w:t>.</w:t>
            </w:r>
          </w:p>
        </w:tc>
      </w:tr>
      <w:tr w:rsidR="002C1D7A" w:rsidRPr="008848D4" w:rsidTr="00ED36E2">
        <w:trPr>
          <w:cantSplit/>
        </w:trPr>
        <w:tc>
          <w:tcPr>
            <w:tcW w:w="4678" w:type="dxa"/>
            <w:shd w:val="clear" w:color="auto" w:fill="auto"/>
          </w:tcPr>
          <w:p w:rsidR="002C1D7A" w:rsidRPr="008848D4" w:rsidRDefault="002C1D7A" w:rsidP="00BE343D">
            <w:pPr>
              <w:pStyle w:val="Tabletext"/>
              <w:ind w:left="601" w:hanging="601"/>
              <w:rPr>
                <w:b/>
                <w:bCs/>
              </w:rPr>
            </w:pPr>
            <w:r w:rsidRPr="008848D4">
              <w:rPr>
                <w:b/>
                <w:bCs/>
              </w:rPr>
              <w:t>6</w:t>
            </w:r>
            <w:r w:rsidRPr="008848D4">
              <w:rPr>
                <w:b/>
                <w:bCs/>
              </w:rPr>
              <w:tab/>
              <w:t>Escasez de apoyo financiero</w:t>
            </w:r>
          </w:p>
          <w:p w:rsidR="002C1D7A" w:rsidRPr="008848D4" w:rsidRDefault="002C1D7A" w:rsidP="00BE343D">
            <w:pPr>
              <w:pStyle w:val="Tabletext"/>
              <w:ind w:left="601" w:hanging="601"/>
            </w:pPr>
            <w:r w:rsidRPr="008848D4">
              <w:t>–</w:t>
            </w:r>
            <w:r w:rsidRPr="008848D4">
              <w:tab/>
              <w:t>Riesgo de reducción de las contribuciones financieras y las fuentes de ingresos</w:t>
            </w:r>
            <w:r w:rsidR="00CA7FC2" w:rsidRPr="008848D4">
              <w:t>.</w:t>
            </w:r>
          </w:p>
        </w:tc>
        <w:tc>
          <w:tcPr>
            <w:tcW w:w="5103" w:type="dxa"/>
            <w:shd w:val="clear" w:color="auto" w:fill="auto"/>
          </w:tcPr>
          <w:p w:rsidR="002C1D7A" w:rsidRPr="008848D4" w:rsidRDefault="002C1D7A" w:rsidP="00320391">
            <w:pPr>
              <w:pStyle w:val="Tabletext"/>
              <w:ind w:left="601" w:hanging="601"/>
            </w:pPr>
            <w:r w:rsidRPr="008848D4">
              <w:t>–</w:t>
            </w:r>
            <w:r w:rsidRPr="008848D4">
              <w:tab/>
              <w:t xml:space="preserve">Limitar el riesgo: concediendo prioridad a </w:t>
            </w:r>
            <w:r w:rsidRPr="008848D4">
              <w:rPr>
                <w:b/>
                <w:bCs/>
              </w:rPr>
              <w:t>nuevos mercados</w:t>
            </w:r>
            <w:r w:rsidRPr="008848D4">
              <w:t xml:space="preserve"> y</w:t>
            </w:r>
            <w:r w:rsidRPr="008848D4">
              <w:rPr>
                <w:b/>
                <w:bCs/>
              </w:rPr>
              <w:t xml:space="preserve"> actores; priorización de actividades fundamentales</w:t>
            </w:r>
            <w:r w:rsidR="00CA7FC2" w:rsidRPr="008848D4">
              <w:t>.</w:t>
            </w:r>
          </w:p>
          <w:p w:rsidR="002C1D7A" w:rsidRPr="008848D4" w:rsidRDefault="002C1D7A" w:rsidP="00320391">
            <w:pPr>
              <w:pStyle w:val="Tabletext"/>
              <w:ind w:left="601" w:hanging="601"/>
            </w:pPr>
            <w:r w:rsidRPr="008848D4">
              <w:t>–</w:t>
            </w:r>
            <w:r w:rsidRPr="008848D4">
              <w:tab/>
              <w:t xml:space="preserve">Limitar el riesgo: garantizando una </w:t>
            </w:r>
            <w:r w:rsidRPr="008848D4">
              <w:rPr>
                <w:b/>
                <w:bCs/>
              </w:rPr>
              <w:t>planificación financiera eficaz</w:t>
            </w:r>
            <w:r w:rsidR="00CA7FC2" w:rsidRPr="008848D4">
              <w:t>.</w:t>
            </w:r>
          </w:p>
          <w:p w:rsidR="002C1D7A" w:rsidRPr="008848D4" w:rsidRDefault="002C1D7A" w:rsidP="00320391">
            <w:pPr>
              <w:pStyle w:val="Tabletext"/>
              <w:ind w:left="601" w:hanging="601"/>
            </w:pPr>
            <w:r w:rsidRPr="008848D4">
              <w:t>–</w:t>
            </w:r>
            <w:r w:rsidRPr="008848D4">
              <w:tab/>
              <w:t xml:space="preserve">Limitar el riesgo: elaborando </w:t>
            </w:r>
            <w:r w:rsidRPr="008848D4">
              <w:rPr>
                <w:b/>
                <w:bCs/>
              </w:rPr>
              <w:t>estrategias encaminadas a fomentar la participación</w:t>
            </w:r>
            <w:r w:rsidRPr="008848D4">
              <w:t xml:space="preserve"> de los miembros</w:t>
            </w:r>
            <w:r w:rsidR="00CA7FC2" w:rsidRPr="008848D4">
              <w:t>.</w:t>
            </w:r>
          </w:p>
          <w:p w:rsidR="002C1D7A" w:rsidRPr="008848D4" w:rsidRDefault="002C1D7A" w:rsidP="00320391">
            <w:pPr>
              <w:pStyle w:val="Tabletext"/>
              <w:ind w:left="601" w:hanging="601"/>
            </w:pPr>
            <w:r w:rsidRPr="008848D4">
              <w:t>–</w:t>
            </w:r>
            <w:r w:rsidRPr="008848D4">
              <w:tab/>
              <w:t xml:space="preserve">Transferir el riesgo: dotando a las </w:t>
            </w:r>
            <w:r w:rsidRPr="008848D4">
              <w:rPr>
                <w:b/>
                <w:bCs/>
              </w:rPr>
              <w:t>actividades de la UIT de una mayor relevancia</w:t>
            </w:r>
            <w:r w:rsidR="00CA7FC2" w:rsidRPr="008848D4">
              <w:t>.</w:t>
            </w:r>
          </w:p>
        </w:tc>
      </w:tr>
    </w:tbl>
    <w:p w:rsidR="00351912" w:rsidRPr="008848D4" w:rsidRDefault="00351912" w:rsidP="00ED36E2">
      <w:pPr>
        <w:pStyle w:val="Reasons"/>
      </w:pPr>
    </w:p>
    <w:p w:rsidR="00351912" w:rsidRPr="008848D4" w:rsidRDefault="00351912">
      <w:pPr>
        <w:jc w:val="center"/>
      </w:pPr>
      <w:r w:rsidRPr="008848D4">
        <w:t>______________</w:t>
      </w:r>
    </w:p>
    <w:sectPr w:rsidR="00351912" w:rsidRPr="008848D4" w:rsidSect="006710F6">
      <w:headerReference w:type="default" r:id="rId16"/>
      <w:footerReference w:type="default" r:id="rId17"/>
      <w:headerReference w:type="firs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8F0" w:rsidRDefault="006448F0">
      <w:r>
        <w:separator/>
      </w:r>
    </w:p>
  </w:endnote>
  <w:endnote w:type="continuationSeparator" w:id="0">
    <w:p w:rsidR="006448F0" w:rsidRDefault="0064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Pr="0027206B" w:rsidRDefault="006448F0" w:rsidP="00BD26A0">
    <w:pPr>
      <w:pStyle w:val="Footer"/>
      <w:rPr>
        <w:color w:val="D9D9D9" w:themeColor="background1" w:themeShade="D9"/>
        <w:lang w:val="fr-CH"/>
      </w:rPr>
    </w:pPr>
    <w:r w:rsidRPr="0027206B">
      <w:rPr>
        <w:noProof w:val="0"/>
        <w:color w:val="D9D9D9" w:themeColor="background1" w:themeShade="D9"/>
        <w:sz w:val="24"/>
      </w:rPr>
      <w:fldChar w:fldCharType="begin"/>
    </w:r>
    <w:r w:rsidRPr="0027206B">
      <w:rPr>
        <w:color w:val="D9D9D9" w:themeColor="background1" w:themeShade="D9"/>
        <w:lang w:val="fr-CH"/>
      </w:rPr>
      <w:instrText xml:space="preserve"> FILENAME \p  \* MERGEFORMAT </w:instrText>
    </w:r>
    <w:r w:rsidRPr="0027206B">
      <w:rPr>
        <w:noProof w:val="0"/>
        <w:color w:val="D9D9D9" w:themeColor="background1" w:themeShade="D9"/>
        <w:sz w:val="24"/>
      </w:rPr>
      <w:fldChar w:fldCharType="separate"/>
    </w:r>
    <w:r w:rsidRPr="0027206B">
      <w:rPr>
        <w:color w:val="D9D9D9" w:themeColor="background1" w:themeShade="D9"/>
        <w:lang w:val="fr-CH"/>
      </w:rPr>
      <w:t>P:\ESP\SG\CONSEIL\C19\000\057S.docx</w:t>
    </w:r>
    <w:r w:rsidRPr="0027206B">
      <w:rPr>
        <w:color w:val="D9D9D9" w:themeColor="background1" w:themeShade="D9"/>
      </w:rPr>
      <w:fldChar w:fldCharType="end"/>
    </w:r>
    <w:r w:rsidRPr="0027206B">
      <w:rPr>
        <w:color w:val="D9D9D9" w:themeColor="background1" w:themeShade="D9"/>
        <w:lang w:val="fr-CH"/>
      </w:rPr>
      <w:t xml:space="preserve"> (454397)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Pr="004D6DD6" w:rsidRDefault="006448F0" w:rsidP="004D6DD6">
    <w:pPr>
      <w:tabs>
        <w:tab w:val="left" w:pos="3270"/>
        <w:tab w:val="center" w:pos="4819"/>
      </w:tabs>
      <w:spacing w:after="120"/>
      <w:jc w:val="center"/>
      <w:rPr>
        <w:lang w:val="en-GB"/>
      </w:rPr>
    </w:pPr>
    <w:r w:rsidRPr="004D6DD6">
      <w:rPr>
        <w:lang w:val="en-GB"/>
      </w:rPr>
      <w:t xml:space="preserve">• </w:t>
    </w:r>
    <w:hyperlink r:id="rId1" w:history="1">
      <w:r w:rsidRPr="004D6DD6">
        <w:rPr>
          <w:rStyle w:val="Hyperlink"/>
          <w:lang w:val="en-GB"/>
        </w:rPr>
        <w:t>http://www.itu.int/council</w:t>
      </w:r>
    </w:hyperlink>
    <w:r w:rsidRPr="004D6DD6">
      <w:rPr>
        <w:lang w:val="en-GB"/>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Pr="0027206B" w:rsidRDefault="006448F0" w:rsidP="00351912">
    <w:pPr>
      <w:pStyle w:val="Footer"/>
      <w:rPr>
        <w:color w:val="D9D9D9" w:themeColor="background1" w:themeShade="D9"/>
        <w:lang w:val="fr-CH"/>
      </w:rPr>
    </w:pPr>
    <w:r w:rsidRPr="0027206B">
      <w:rPr>
        <w:noProof w:val="0"/>
        <w:color w:val="D9D9D9" w:themeColor="background1" w:themeShade="D9"/>
        <w:sz w:val="24"/>
      </w:rPr>
      <w:fldChar w:fldCharType="begin"/>
    </w:r>
    <w:r w:rsidRPr="0027206B">
      <w:rPr>
        <w:color w:val="D9D9D9" w:themeColor="background1" w:themeShade="D9"/>
        <w:lang w:val="fr-CH"/>
      </w:rPr>
      <w:instrText xml:space="preserve"> FILENAME \p  \* MERGEFORMAT </w:instrText>
    </w:r>
    <w:r w:rsidRPr="0027206B">
      <w:rPr>
        <w:noProof w:val="0"/>
        <w:color w:val="D9D9D9" w:themeColor="background1" w:themeShade="D9"/>
        <w:sz w:val="24"/>
      </w:rPr>
      <w:fldChar w:fldCharType="separate"/>
    </w:r>
    <w:r w:rsidRPr="0027206B">
      <w:rPr>
        <w:color w:val="D9D9D9" w:themeColor="background1" w:themeShade="D9"/>
        <w:lang w:val="fr-CH"/>
      </w:rPr>
      <w:t>P:\ESP\SG\CONSEIL\C19\000\057S.docx</w:t>
    </w:r>
    <w:r w:rsidRPr="0027206B">
      <w:rPr>
        <w:color w:val="D9D9D9" w:themeColor="background1" w:themeShade="D9"/>
      </w:rPr>
      <w:fldChar w:fldCharType="end"/>
    </w:r>
    <w:r w:rsidRPr="0027206B">
      <w:rPr>
        <w:color w:val="D9D9D9" w:themeColor="background1" w:themeShade="D9"/>
        <w:lang w:val="fr-CH"/>
      </w:rPr>
      <w:t xml:space="preserve"> (454397)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Pr="00BB787F" w:rsidRDefault="006448F0" w:rsidP="00351912">
    <w:pPr>
      <w:pStyle w:val="Footer"/>
      <w:rPr>
        <w:lang w:val="fr-CH"/>
      </w:rPr>
    </w:pPr>
    <w:r>
      <w:fldChar w:fldCharType="begin"/>
    </w:r>
    <w:r w:rsidRPr="00BB787F">
      <w:rPr>
        <w:lang w:val="fr-CH"/>
      </w:rPr>
      <w:instrText xml:space="preserve"> FILENAME \p \* MERGEFORMAT </w:instrText>
    </w:r>
    <w:r>
      <w:fldChar w:fldCharType="separate"/>
    </w:r>
    <w:r>
      <w:rPr>
        <w:lang w:val="fr-CH"/>
      </w:rPr>
      <w:t>P:\ESP\SG\CONSEIL\C19\000\057S.docx</w:t>
    </w:r>
    <w:r>
      <w:rPr>
        <w:lang w:val="en-US"/>
      </w:rPr>
      <w:fldChar w:fldCharType="end"/>
    </w:r>
    <w:r w:rsidRPr="00BB787F">
      <w:rPr>
        <w:lang w:val="fr-CH"/>
      </w:rPr>
      <w:t xml:space="preserve"> (454397)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Pr="0027206B" w:rsidRDefault="006448F0" w:rsidP="00351912">
    <w:pPr>
      <w:pStyle w:val="Footer"/>
      <w:rPr>
        <w:color w:val="D9D9D9" w:themeColor="background1" w:themeShade="D9"/>
        <w:lang w:val="fr-CH"/>
      </w:rPr>
    </w:pPr>
    <w:r w:rsidRPr="0027206B">
      <w:rPr>
        <w:noProof w:val="0"/>
        <w:color w:val="D9D9D9" w:themeColor="background1" w:themeShade="D9"/>
        <w:sz w:val="24"/>
      </w:rPr>
      <w:fldChar w:fldCharType="begin"/>
    </w:r>
    <w:r w:rsidRPr="0027206B">
      <w:rPr>
        <w:color w:val="D9D9D9" w:themeColor="background1" w:themeShade="D9"/>
        <w:lang w:val="fr-CH"/>
      </w:rPr>
      <w:instrText xml:space="preserve"> FILENAME \p  \* MERGEFORMAT </w:instrText>
    </w:r>
    <w:r w:rsidRPr="0027206B">
      <w:rPr>
        <w:noProof w:val="0"/>
        <w:color w:val="D9D9D9" w:themeColor="background1" w:themeShade="D9"/>
        <w:sz w:val="24"/>
      </w:rPr>
      <w:fldChar w:fldCharType="separate"/>
    </w:r>
    <w:r w:rsidRPr="0027206B">
      <w:rPr>
        <w:color w:val="D9D9D9" w:themeColor="background1" w:themeShade="D9"/>
        <w:lang w:val="fr-CH"/>
      </w:rPr>
      <w:t>P:\ESP\SG\CONSEIL\C19\000\057S.docx</w:t>
    </w:r>
    <w:r w:rsidRPr="0027206B">
      <w:rPr>
        <w:color w:val="D9D9D9" w:themeColor="background1" w:themeShade="D9"/>
      </w:rPr>
      <w:fldChar w:fldCharType="end"/>
    </w:r>
    <w:r w:rsidRPr="0027206B">
      <w:rPr>
        <w:color w:val="D9D9D9" w:themeColor="background1" w:themeShade="D9"/>
        <w:lang w:val="fr-CH"/>
      </w:rPr>
      <w:t xml:space="preserve"> (454397)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8F0" w:rsidRDefault="006448F0">
      <w:r>
        <w:t>____________________</w:t>
      </w:r>
    </w:p>
  </w:footnote>
  <w:footnote w:type="continuationSeparator" w:id="0">
    <w:p w:rsidR="006448F0" w:rsidRDefault="006448F0">
      <w:r>
        <w:continuationSeparator/>
      </w:r>
    </w:p>
  </w:footnote>
  <w:footnote w:id="1">
    <w:p w:rsidR="006448F0" w:rsidRPr="00BE343D" w:rsidRDefault="006448F0" w:rsidP="000C762C">
      <w:pPr>
        <w:pStyle w:val="FootnoteText"/>
        <w:snapToGrid w:val="0"/>
        <w:spacing w:before="60" w:after="60"/>
        <w:ind w:left="255" w:hanging="255"/>
        <w:jc w:val="both"/>
        <w:rPr>
          <w:rStyle w:val="FootnoteReference"/>
        </w:rPr>
      </w:pPr>
      <w:r w:rsidRPr="00BE343D">
        <w:rPr>
          <w:rStyle w:val="FootnoteReference"/>
        </w:rPr>
        <w:footnoteRef/>
      </w:r>
      <w:r w:rsidRPr="00BE343D">
        <w:rPr>
          <w:rStyle w:val="FootnoteReference"/>
        </w:rPr>
        <w:tab/>
      </w:r>
      <w:hyperlink r:id="rId1" w:history="1">
        <w:r w:rsidRPr="006448F0">
          <w:rPr>
            <w:rStyle w:val="Hyperlink"/>
            <w:position w:val="6"/>
            <w:sz w:val="16"/>
          </w:rPr>
          <w:t>Resolución 1299</w:t>
        </w:r>
      </w:hyperlink>
      <w:r w:rsidRPr="00BE343D">
        <w:rPr>
          <w:rStyle w:val="FootnoteReference"/>
        </w:rPr>
        <w:t xml:space="preserve"> (2008) del Consejo, que encarga al Secretario General que prepare, en colaboración con el Consejo de Personal de la UIT, un plan estratégico completo de recursos humanos.</w:t>
      </w:r>
    </w:p>
  </w:footnote>
  <w:footnote w:id="2">
    <w:p w:rsidR="006448F0" w:rsidRPr="000C762C" w:rsidRDefault="006448F0">
      <w:pPr>
        <w:pStyle w:val="FootnoteText"/>
        <w:rPr>
          <w:lang w:val="es-ES"/>
        </w:rPr>
      </w:pPr>
      <w:r>
        <w:rPr>
          <w:rStyle w:val="FootnoteReference"/>
        </w:rPr>
        <w:footnoteRef/>
      </w:r>
      <w:r>
        <w:tab/>
      </w:r>
      <w:r w:rsidRPr="00BE343D">
        <w:rPr>
          <w:rStyle w:val="FootnoteReference"/>
        </w:rPr>
        <w:t>Resolución 72/266 B de la Asamblea General de las Naciones Unidas, Cambiar el paradigma de gestión en las Naciones Unidas: implementar una nueva estructura de gestión para aumentar la eficacia y fortalecer la rendición de cuentas.</w:t>
      </w:r>
    </w:p>
  </w:footnote>
  <w:footnote w:id="3">
    <w:p w:rsidR="006448F0" w:rsidRPr="000C762C" w:rsidRDefault="006448F0">
      <w:pPr>
        <w:pStyle w:val="FootnoteText"/>
        <w:rPr>
          <w:lang w:val="es-ES"/>
        </w:rPr>
      </w:pPr>
      <w:r>
        <w:rPr>
          <w:rStyle w:val="FootnoteReference"/>
        </w:rPr>
        <w:footnoteRef/>
      </w:r>
      <w:r>
        <w:tab/>
      </w:r>
      <w:r w:rsidRPr="00BE343D">
        <w:rPr>
          <w:rStyle w:val="FootnoteReference"/>
        </w:rPr>
        <w:t>Resolución 48 (Rev. Dubái, 2018).</w:t>
      </w:r>
    </w:p>
  </w:footnote>
  <w:footnote w:id="4">
    <w:p w:rsidR="006448F0" w:rsidRPr="000C762C" w:rsidRDefault="006448F0">
      <w:pPr>
        <w:pStyle w:val="FootnoteText"/>
        <w:rPr>
          <w:lang w:val="es-ES"/>
        </w:rPr>
      </w:pPr>
      <w:r>
        <w:rPr>
          <w:rStyle w:val="FootnoteReference"/>
        </w:rPr>
        <w:footnoteRef/>
      </w:r>
      <w:r>
        <w:tab/>
      </w:r>
      <w:r w:rsidRPr="00BE343D">
        <w:rPr>
          <w:rStyle w:val="FootnoteReference"/>
        </w:rPr>
        <w:t xml:space="preserve">Se presentó a la reunión de 2009 del Consejo un proyecto de Plan estratégico de recursos humanos en el Documento C09/56. El Grupo Tripartito sobre Gestión de Recursos Humanos formuló observaciones al respecto (véase el Documento C09/25). El Comité Permanente de Administración y Gestión formula comentarios al respecto y recomendó la aprobación de la Estrategia (véase el Documento C09/104 (párr. 17). La Plenaria aprobó la recomendación del Comité Permanente (Documento C09/121 (párr. 3.23)) de elaborar el Plan Estratégico de Recursos Humanos para el periodo 2015-2018. En el Plan Estratégico de Recursos Humanos para el periodo 2015-2018 se define una serie de principios que orientan los servicios de RH y se basan en los siguientes valores: </w:t>
      </w:r>
      <w:r w:rsidRPr="00320391">
        <w:rPr>
          <w:rStyle w:val="FootnoteReference"/>
          <w:i/>
          <w:iCs/>
        </w:rPr>
        <w:t>transparencia de políticas, procesos y prácticas; competencia; rendimiento; respeto de la dignidad del personal y de sus derechos, como la confidencialidad</w:t>
      </w:r>
      <w:r w:rsidRPr="00BE343D">
        <w:rPr>
          <w:rStyle w:val="FootnoteReference"/>
        </w:rPr>
        <w:t xml:space="preserve">. En el mismo documento se indica </w:t>
      </w:r>
      <w:r w:rsidRPr="00320391">
        <w:rPr>
          <w:rStyle w:val="FootnoteReference"/>
          <w:i/>
          <w:iCs/>
        </w:rPr>
        <w:t>que, en las estrategias de recursos humanos de la UIT, debe insistirse en la importancia del mantenimiento de una plantilla competente, con procedencia geográfica equitativa y equilibrio de género, teniendo en cuenta las limitaciones presupuestarias.</w:t>
      </w:r>
    </w:p>
  </w:footnote>
  <w:footnote w:id="5">
    <w:p w:rsidR="006448F0" w:rsidRPr="000C762C" w:rsidRDefault="006448F0">
      <w:pPr>
        <w:pStyle w:val="FootnoteText"/>
        <w:rPr>
          <w:lang w:val="es-ES"/>
        </w:rPr>
      </w:pPr>
      <w:r>
        <w:rPr>
          <w:rStyle w:val="FootnoteReference"/>
        </w:rPr>
        <w:footnoteRef/>
      </w:r>
      <w:r>
        <w:tab/>
      </w:r>
      <w:r>
        <w:rPr>
          <w:rStyle w:val="FootnoteReference"/>
        </w:rPr>
        <w:t>Ref. JIU/REP/2016/1.</w:t>
      </w:r>
    </w:p>
  </w:footnote>
  <w:footnote w:id="6">
    <w:p w:rsidR="006448F0" w:rsidRPr="000C762C" w:rsidRDefault="006448F0">
      <w:pPr>
        <w:pStyle w:val="FootnoteText"/>
        <w:rPr>
          <w:lang w:val="es-ES"/>
        </w:rPr>
      </w:pPr>
      <w:r>
        <w:rPr>
          <w:rStyle w:val="FootnoteReference"/>
        </w:rPr>
        <w:footnoteRef/>
      </w:r>
      <w:r>
        <w:tab/>
      </w:r>
      <w:r w:rsidRPr="00BE343D">
        <w:rPr>
          <w:rStyle w:val="FootnoteReference"/>
        </w:rPr>
        <w:t>Ref. Marco de Gestión de Recursos Humanos de la CAPI (</w:t>
      </w:r>
      <w:hyperlink r:id="rId2" w:history="1">
        <w:r w:rsidRPr="00AD76FB">
          <w:rPr>
            <w:rStyle w:val="Hyperlink"/>
            <w:position w:val="6"/>
            <w:sz w:val="16"/>
          </w:rPr>
          <w:t>http://commonsystem.org/hrframework/</w:t>
        </w:r>
      </w:hyperlink>
      <w:r>
        <w:rPr>
          <w:rStyle w:val="FootnoteReference"/>
        </w:rPr>
        <w:t>)</w:t>
      </w:r>
      <w:r w:rsidRPr="00BE343D">
        <w:rPr>
          <w:rStyle w:val="FootnoteReference"/>
        </w:rPr>
        <w:t>.</w:t>
      </w:r>
    </w:p>
  </w:footnote>
  <w:footnote w:id="7">
    <w:p w:rsidR="006448F0" w:rsidRPr="000C762C" w:rsidRDefault="006448F0">
      <w:pPr>
        <w:pStyle w:val="FootnoteText"/>
        <w:rPr>
          <w:lang w:val="es-ES"/>
        </w:rPr>
      </w:pPr>
      <w:r>
        <w:rPr>
          <w:rStyle w:val="FootnoteReference"/>
        </w:rPr>
        <w:footnoteRef/>
      </w:r>
      <w:r>
        <w:tab/>
      </w:r>
      <w:r w:rsidRPr="00BE343D">
        <w:rPr>
          <w:rStyle w:val="FootnoteReference"/>
        </w:rPr>
        <w:t>El proceso consultivo con la Oficina de Desarrollo de las Telecomunicaciones incluyó a las Oficinas Regiona</w:t>
      </w:r>
      <w:r>
        <w:rPr>
          <w:rStyle w:val="FootnoteReference"/>
        </w:rPr>
        <w:t>les.</w:t>
      </w:r>
    </w:p>
  </w:footnote>
  <w:footnote w:id="8">
    <w:p w:rsidR="006448F0" w:rsidRPr="000C762C" w:rsidRDefault="006448F0">
      <w:pPr>
        <w:pStyle w:val="FootnoteText"/>
        <w:rPr>
          <w:lang w:val="es-ES"/>
        </w:rPr>
      </w:pPr>
      <w:r>
        <w:rPr>
          <w:rStyle w:val="FootnoteReference"/>
        </w:rPr>
        <w:footnoteRef/>
      </w:r>
      <w:r>
        <w:tab/>
      </w:r>
      <w:r w:rsidRPr="00BE343D">
        <w:rPr>
          <w:rStyle w:val="FootnoteReference"/>
        </w:rPr>
        <w:t>A/72/492 Cambiar el paradigma de gestión en las Naciones Unidas: asegurar un futuro mejor para todos.</w:t>
      </w:r>
    </w:p>
  </w:footnote>
  <w:footnote w:id="9">
    <w:p w:rsidR="006448F0" w:rsidRPr="000C762C" w:rsidRDefault="006448F0">
      <w:pPr>
        <w:pStyle w:val="FootnoteText"/>
        <w:rPr>
          <w:lang w:val="es-ES"/>
        </w:rPr>
      </w:pPr>
      <w:r>
        <w:rPr>
          <w:rStyle w:val="FootnoteReference"/>
        </w:rPr>
        <w:footnoteRef/>
      </w:r>
      <w:r>
        <w:tab/>
      </w:r>
      <w:r w:rsidRPr="00BE343D">
        <w:rPr>
          <w:rStyle w:val="FootnoteReference"/>
        </w:rPr>
        <w:t>Los planes de trabajo de los servicios HRMD y los miembros del personal se basarán en el PERH a fin de garantizar la efectividad del marco de rendición de cuentas de la gestión de recursos humanos</w:t>
      </w:r>
      <w:r>
        <w:rPr>
          <w:rStyle w:val="FootnoteReferenc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Default="006448F0" w:rsidP="00BD26A0">
    <w:pPr>
      <w:pStyle w:val="Header"/>
    </w:pPr>
    <w:r>
      <w:fldChar w:fldCharType="begin"/>
    </w:r>
    <w:r>
      <w:instrText>PAGE</w:instrText>
    </w:r>
    <w:r>
      <w:fldChar w:fldCharType="separate"/>
    </w:r>
    <w:r w:rsidR="0027206B">
      <w:rPr>
        <w:noProof/>
      </w:rPr>
      <w:t>10</w:t>
    </w:r>
    <w:r>
      <w:rPr>
        <w:noProof/>
      </w:rPr>
      <w:fldChar w:fldCharType="end"/>
    </w:r>
  </w:p>
  <w:p w:rsidR="006448F0" w:rsidRDefault="006448F0" w:rsidP="00BD26A0">
    <w:pPr>
      <w:pStyle w:val="Header"/>
      <w:spacing w:after="120"/>
    </w:pPr>
    <w:r>
      <w:rPr>
        <w:bCs/>
      </w:rPr>
      <w:t>C19/57</w:t>
    </w:r>
    <w:r w:rsidRPr="00623AE3">
      <w:rPr>
        <w:bCs/>
      </w:rPr>
      <w:t>-</w:t>
    </w:r>
    <w:r>
      <w:rPr>
        <w:bCs/>
      </w:rPr>
      <w: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Default="006448F0" w:rsidP="002A6E8E">
    <w:pPr>
      <w:pStyle w:val="Header"/>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Default="006448F0" w:rsidP="009B6DB0">
    <w:pPr>
      <w:pStyle w:val="Header"/>
    </w:pPr>
    <w:r>
      <w:fldChar w:fldCharType="begin"/>
    </w:r>
    <w:r>
      <w:instrText>PAGE</w:instrText>
    </w:r>
    <w:r>
      <w:fldChar w:fldCharType="separate"/>
    </w:r>
    <w:r w:rsidR="0027206B">
      <w:rPr>
        <w:noProof/>
      </w:rPr>
      <w:t>21</w:t>
    </w:r>
    <w:r>
      <w:rPr>
        <w:noProof/>
      </w:rPr>
      <w:fldChar w:fldCharType="end"/>
    </w:r>
  </w:p>
  <w:p w:rsidR="006448F0" w:rsidRDefault="006448F0" w:rsidP="002A6E8E">
    <w:pPr>
      <w:pStyle w:val="Header"/>
      <w:spacing w:after="120"/>
    </w:pPr>
    <w:r>
      <w:rPr>
        <w:bCs/>
      </w:rPr>
      <w:t>C19/57</w:t>
    </w:r>
    <w:r w:rsidRPr="00623AE3">
      <w:rPr>
        <w:bCs/>
      </w:rPr>
      <w:t>-</w:t>
    </w:r>
    <w:r>
      <w:rPr>
        <w:bCs/>
      </w:rPr>
      <w: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Default="006448F0" w:rsidP="002A6E8E">
    <w:pPr>
      <w:pStyle w:val="Header"/>
    </w:pPr>
    <w:r>
      <w:fldChar w:fldCharType="begin"/>
    </w:r>
    <w:r>
      <w:instrText>PAGE</w:instrText>
    </w:r>
    <w:r>
      <w:fldChar w:fldCharType="separate"/>
    </w:r>
    <w:r w:rsidR="0027206B">
      <w:rPr>
        <w:noProof/>
      </w:rPr>
      <w:t>30</w:t>
    </w:r>
    <w:r>
      <w:rPr>
        <w:noProof/>
      </w:rPr>
      <w:fldChar w:fldCharType="end"/>
    </w:r>
  </w:p>
  <w:p w:rsidR="006448F0" w:rsidRPr="002A6E8E" w:rsidRDefault="006448F0" w:rsidP="002A6E8E">
    <w:pPr>
      <w:pStyle w:val="Header"/>
      <w:spacing w:after="120"/>
    </w:pPr>
    <w:r>
      <w:rPr>
        <w:bCs/>
      </w:rPr>
      <w:t>C19/57</w:t>
    </w:r>
    <w:r w:rsidRPr="00623AE3">
      <w:rPr>
        <w:bCs/>
      </w:rPr>
      <w:t>-</w:t>
    </w:r>
    <w:r>
      <w:rPr>
        <w:bCs/>
      </w:rPr>
      <w: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8F0" w:rsidRDefault="006448F0" w:rsidP="002A6E8E">
    <w:pPr>
      <w:pStyle w:val="Header"/>
    </w:pPr>
    <w:r>
      <w:fldChar w:fldCharType="begin"/>
    </w:r>
    <w:r>
      <w:instrText>PAGE</w:instrText>
    </w:r>
    <w:r>
      <w:fldChar w:fldCharType="separate"/>
    </w:r>
    <w:r w:rsidR="0027206B">
      <w:rPr>
        <w:noProof/>
      </w:rPr>
      <w:t>29</w:t>
    </w:r>
    <w:r>
      <w:rPr>
        <w:noProof/>
      </w:rPr>
      <w:fldChar w:fldCharType="end"/>
    </w:r>
  </w:p>
  <w:p w:rsidR="006448F0" w:rsidRDefault="006448F0" w:rsidP="002A6E8E">
    <w:pPr>
      <w:pStyle w:val="Header"/>
      <w:spacing w:after="120"/>
    </w:pPr>
    <w:r>
      <w:rPr>
        <w:bCs/>
      </w:rPr>
      <w:t>C19/57</w:t>
    </w:r>
    <w:r w:rsidRPr="00623AE3">
      <w:rPr>
        <w:bCs/>
      </w:rPr>
      <w:t>-</w:t>
    </w:r>
    <w:r>
      <w:rPr>
        <w:bCs/>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424AD"/>
    <w:multiLevelType w:val="hybridMultilevel"/>
    <w:tmpl w:val="F0440A3C"/>
    <w:lvl w:ilvl="0" w:tplc="20AA877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53528"/>
    <w:multiLevelType w:val="hybridMultilevel"/>
    <w:tmpl w:val="E0BC4F58"/>
    <w:lvl w:ilvl="0" w:tplc="57B29C42">
      <w:start w:val="1"/>
      <w:numFmt w:val="bullet"/>
      <w:lvlText w:val="•"/>
      <w:lvlJc w:val="left"/>
      <w:pPr>
        <w:tabs>
          <w:tab w:val="num" w:pos="720"/>
        </w:tabs>
        <w:ind w:left="720" w:hanging="360"/>
      </w:pPr>
      <w:rPr>
        <w:rFonts w:ascii="Arial" w:hAnsi="Arial" w:hint="default"/>
      </w:rPr>
    </w:lvl>
    <w:lvl w:ilvl="1" w:tplc="2D86BEB6" w:tentative="1">
      <w:start w:val="1"/>
      <w:numFmt w:val="bullet"/>
      <w:lvlText w:val="•"/>
      <w:lvlJc w:val="left"/>
      <w:pPr>
        <w:tabs>
          <w:tab w:val="num" w:pos="1440"/>
        </w:tabs>
        <w:ind w:left="1440" w:hanging="360"/>
      </w:pPr>
      <w:rPr>
        <w:rFonts w:ascii="Arial" w:hAnsi="Arial" w:hint="default"/>
      </w:rPr>
    </w:lvl>
    <w:lvl w:ilvl="2" w:tplc="C3A8879A" w:tentative="1">
      <w:start w:val="1"/>
      <w:numFmt w:val="bullet"/>
      <w:lvlText w:val="•"/>
      <w:lvlJc w:val="left"/>
      <w:pPr>
        <w:tabs>
          <w:tab w:val="num" w:pos="2160"/>
        </w:tabs>
        <w:ind w:left="2160" w:hanging="360"/>
      </w:pPr>
      <w:rPr>
        <w:rFonts w:ascii="Arial" w:hAnsi="Arial" w:hint="default"/>
      </w:rPr>
    </w:lvl>
    <w:lvl w:ilvl="3" w:tplc="C300706E" w:tentative="1">
      <w:start w:val="1"/>
      <w:numFmt w:val="bullet"/>
      <w:lvlText w:val="•"/>
      <w:lvlJc w:val="left"/>
      <w:pPr>
        <w:tabs>
          <w:tab w:val="num" w:pos="2880"/>
        </w:tabs>
        <w:ind w:left="2880" w:hanging="360"/>
      </w:pPr>
      <w:rPr>
        <w:rFonts w:ascii="Arial" w:hAnsi="Arial" w:hint="default"/>
      </w:rPr>
    </w:lvl>
    <w:lvl w:ilvl="4" w:tplc="AC7E07A4" w:tentative="1">
      <w:start w:val="1"/>
      <w:numFmt w:val="bullet"/>
      <w:lvlText w:val="•"/>
      <w:lvlJc w:val="left"/>
      <w:pPr>
        <w:tabs>
          <w:tab w:val="num" w:pos="3600"/>
        </w:tabs>
        <w:ind w:left="3600" w:hanging="360"/>
      </w:pPr>
      <w:rPr>
        <w:rFonts w:ascii="Arial" w:hAnsi="Arial" w:hint="default"/>
      </w:rPr>
    </w:lvl>
    <w:lvl w:ilvl="5" w:tplc="774C0762" w:tentative="1">
      <w:start w:val="1"/>
      <w:numFmt w:val="bullet"/>
      <w:lvlText w:val="•"/>
      <w:lvlJc w:val="left"/>
      <w:pPr>
        <w:tabs>
          <w:tab w:val="num" w:pos="4320"/>
        </w:tabs>
        <w:ind w:left="4320" w:hanging="360"/>
      </w:pPr>
      <w:rPr>
        <w:rFonts w:ascii="Arial" w:hAnsi="Arial" w:hint="default"/>
      </w:rPr>
    </w:lvl>
    <w:lvl w:ilvl="6" w:tplc="8A9CE6C0" w:tentative="1">
      <w:start w:val="1"/>
      <w:numFmt w:val="bullet"/>
      <w:lvlText w:val="•"/>
      <w:lvlJc w:val="left"/>
      <w:pPr>
        <w:tabs>
          <w:tab w:val="num" w:pos="5040"/>
        </w:tabs>
        <w:ind w:left="5040" w:hanging="360"/>
      </w:pPr>
      <w:rPr>
        <w:rFonts w:ascii="Arial" w:hAnsi="Arial" w:hint="default"/>
      </w:rPr>
    </w:lvl>
    <w:lvl w:ilvl="7" w:tplc="0A966E2A" w:tentative="1">
      <w:start w:val="1"/>
      <w:numFmt w:val="bullet"/>
      <w:lvlText w:val="•"/>
      <w:lvlJc w:val="left"/>
      <w:pPr>
        <w:tabs>
          <w:tab w:val="num" w:pos="5760"/>
        </w:tabs>
        <w:ind w:left="5760" w:hanging="360"/>
      </w:pPr>
      <w:rPr>
        <w:rFonts w:ascii="Arial" w:hAnsi="Arial" w:hint="default"/>
      </w:rPr>
    </w:lvl>
    <w:lvl w:ilvl="8" w:tplc="DA7A047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4B60D0"/>
    <w:multiLevelType w:val="hybridMultilevel"/>
    <w:tmpl w:val="ABF0C61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2A140C83"/>
    <w:multiLevelType w:val="hybridMultilevel"/>
    <w:tmpl w:val="4DECB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B25A0"/>
    <w:multiLevelType w:val="hybridMultilevel"/>
    <w:tmpl w:val="2E4C6A96"/>
    <w:lvl w:ilvl="0" w:tplc="C778FF72">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B61FEC"/>
    <w:multiLevelType w:val="hybridMultilevel"/>
    <w:tmpl w:val="C7742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27200C"/>
    <w:multiLevelType w:val="hybridMultilevel"/>
    <w:tmpl w:val="876CA9F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66DB2C23"/>
    <w:multiLevelType w:val="hybridMultilevel"/>
    <w:tmpl w:val="D62A9F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9" w15:restartNumberingAfterBreak="0">
    <w:nsid w:val="68723AAE"/>
    <w:multiLevelType w:val="hybridMultilevel"/>
    <w:tmpl w:val="3714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97F23"/>
    <w:multiLevelType w:val="hybridMultilevel"/>
    <w:tmpl w:val="88B4C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1B093C"/>
    <w:multiLevelType w:val="multilevel"/>
    <w:tmpl w:val="BA221C1C"/>
    <w:lvl w:ilvl="0">
      <w:start w:val="1"/>
      <w:numFmt w:val="upperRoman"/>
      <w:lvlText w:val="%1."/>
      <w:lvlJc w:val="left"/>
      <w:pPr>
        <w:ind w:left="1080" w:hanging="720"/>
      </w:pPr>
      <w:rPr>
        <w:rFonts w:eastAsiaTheme="majorEastAsia" w:hAnsiTheme="majorHAnsi" w:cstheme="majorBidi" w:hint="default"/>
        <w:w w:val="105"/>
      </w:rPr>
    </w:lvl>
    <w:lvl w:ilvl="1">
      <w:start w:val="4"/>
      <w:numFmt w:val="decimal"/>
      <w:isLgl/>
      <w:lvlText w:val="%1.%2"/>
      <w:lvlJc w:val="left"/>
      <w:pPr>
        <w:ind w:left="825" w:hanging="465"/>
      </w:pPr>
      <w:rPr>
        <w:rFonts w:hint="default"/>
        <w:color w:val="548DD4" w:themeColor="text2" w:themeTint="99"/>
      </w:rPr>
    </w:lvl>
    <w:lvl w:ilvl="2">
      <w:start w:val="1"/>
      <w:numFmt w:val="decimal"/>
      <w:isLgl/>
      <w:lvlText w:val="%1.%2.%3"/>
      <w:lvlJc w:val="left"/>
      <w:pPr>
        <w:ind w:left="1080" w:hanging="720"/>
      </w:pPr>
      <w:rPr>
        <w:rFonts w:hint="default"/>
        <w:color w:val="548DD4" w:themeColor="text2" w:themeTint="99"/>
      </w:rPr>
    </w:lvl>
    <w:lvl w:ilvl="3">
      <w:start w:val="1"/>
      <w:numFmt w:val="decimal"/>
      <w:isLgl/>
      <w:lvlText w:val="%1.%2.%3.%4"/>
      <w:lvlJc w:val="left"/>
      <w:pPr>
        <w:ind w:left="1080" w:hanging="720"/>
      </w:pPr>
      <w:rPr>
        <w:rFonts w:hint="default"/>
        <w:color w:val="548DD4" w:themeColor="text2" w:themeTint="99"/>
      </w:rPr>
    </w:lvl>
    <w:lvl w:ilvl="4">
      <w:start w:val="1"/>
      <w:numFmt w:val="decimal"/>
      <w:isLgl/>
      <w:lvlText w:val="%1.%2.%3.%4.%5"/>
      <w:lvlJc w:val="left"/>
      <w:pPr>
        <w:ind w:left="1440" w:hanging="1080"/>
      </w:pPr>
      <w:rPr>
        <w:rFonts w:hint="default"/>
        <w:color w:val="548DD4" w:themeColor="text2" w:themeTint="99"/>
      </w:rPr>
    </w:lvl>
    <w:lvl w:ilvl="5">
      <w:start w:val="1"/>
      <w:numFmt w:val="decimal"/>
      <w:isLgl/>
      <w:lvlText w:val="%1.%2.%3.%4.%5.%6"/>
      <w:lvlJc w:val="left"/>
      <w:pPr>
        <w:ind w:left="1440" w:hanging="1080"/>
      </w:pPr>
      <w:rPr>
        <w:rFonts w:hint="default"/>
        <w:color w:val="548DD4" w:themeColor="text2" w:themeTint="99"/>
      </w:rPr>
    </w:lvl>
    <w:lvl w:ilvl="6">
      <w:start w:val="1"/>
      <w:numFmt w:val="decimal"/>
      <w:isLgl/>
      <w:lvlText w:val="%1.%2.%3.%4.%5.%6.%7"/>
      <w:lvlJc w:val="left"/>
      <w:pPr>
        <w:ind w:left="1800" w:hanging="1440"/>
      </w:pPr>
      <w:rPr>
        <w:rFonts w:hint="default"/>
        <w:color w:val="548DD4" w:themeColor="text2" w:themeTint="99"/>
      </w:rPr>
    </w:lvl>
    <w:lvl w:ilvl="7">
      <w:start w:val="1"/>
      <w:numFmt w:val="decimal"/>
      <w:isLgl/>
      <w:lvlText w:val="%1.%2.%3.%4.%5.%6.%7.%8"/>
      <w:lvlJc w:val="left"/>
      <w:pPr>
        <w:ind w:left="1800" w:hanging="1440"/>
      </w:pPr>
      <w:rPr>
        <w:rFonts w:hint="default"/>
        <w:color w:val="548DD4" w:themeColor="text2" w:themeTint="99"/>
      </w:rPr>
    </w:lvl>
    <w:lvl w:ilvl="8">
      <w:start w:val="1"/>
      <w:numFmt w:val="decimal"/>
      <w:isLgl/>
      <w:lvlText w:val="%1.%2.%3.%4.%5.%6.%7.%8.%9"/>
      <w:lvlJc w:val="left"/>
      <w:pPr>
        <w:ind w:left="2160" w:hanging="1800"/>
      </w:pPr>
      <w:rPr>
        <w:rFonts w:hint="default"/>
        <w:color w:val="548DD4" w:themeColor="text2" w:themeTint="99"/>
      </w:rPr>
    </w:lvl>
  </w:abstractNum>
  <w:num w:numId="1">
    <w:abstractNumId w:val="0"/>
  </w:num>
  <w:num w:numId="2">
    <w:abstractNumId w:val="7"/>
  </w:num>
  <w:num w:numId="3">
    <w:abstractNumId w:val="4"/>
  </w:num>
  <w:num w:numId="4">
    <w:abstractNumId w:val="2"/>
  </w:num>
  <w:num w:numId="5">
    <w:abstractNumId w:val="9"/>
  </w:num>
  <w:num w:numId="6">
    <w:abstractNumId w:val="3"/>
  </w:num>
  <w:num w:numId="7">
    <w:abstractNumId w:val="10"/>
  </w:num>
  <w:num w:numId="8">
    <w:abstractNumId w:val="6"/>
  </w:num>
  <w:num w:numId="9">
    <w:abstractNumId w:val="8"/>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FC"/>
    <w:rsid w:val="00022376"/>
    <w:rsid w:val="000418ED"/>
    <w:rsid w:val="00090BB5"/>
    <w:rsid w:val="00093EEB"/>
    <w:rsid w:val="000A04D7"/>
    <w:rsid w:val="000B0D00"/>
    <w:rsid w:val="000B7C15"/>
    <w:rsid w:val="000C762C"/>
    <w:rsid w:val="000D1D0F"/>
    <w:rsid w:val="000F3D35"/>
    <w:rsid w:val="000F5290"/>
    <w:rsid w:val="0010165C"/>
    <w:rsid w:val="001064DF"/>
    <w:rsid w:val="0012304D"/>
    <w:rsid w:val="00130A1F"/>
    <w:rsid w:val="00146BFB"/>
    <w:rsid w:val="00153198"/>
    <w:rsid w:val="001625D8"/>
    <w:rsid w:val="00172DEB"/>
    <w:rsid w:val="001A503C"/>
    <w:rsid w:val="001A5D28"/>
    <w:rsid w:val="001E1169"/>
    <w:rsid w:val="001F14A2"/>
    <w:rsid w:val="0021132A"/>
    <w:rsid w:val="0023273E"/>
    <w:rsid w:val="00254D48"/>
    <w:rsid w:val="0027044C"/>
    <w:rsid w:val="0027206B"/>
    <w:rsid w:val="002801AA"/>
    <w:rsid w:val="00285E7B"/>
    <w:rsid w:val="002A6E8E"/>
    <w:rsid w:val="002C1D7A"/>
    <w:rsid w:val="002C4676"/>
    <w:rsid w:val="002C70B0"/>
    <w:rsid w:val="002E462E"/>
    <w:rsid w:val="002F3CC4"/>
    <w:rsid w:val="00310CA4"/>
    <w:rsid w:val="00320391"/>
    <w:rsid w:val="00327C06"/>
    <w:rsid w:val="00340ABA"/>
    <w:rsid w:val="00344E13"/>
    <w:rsid w:val="00346B44"/>
    <w:rsid w:val="00351912"/>
    <w:rsid w:val="00361255"/>
    <w:rsid w:val="00366CD7"/>
    <w:rsid w:val="00371BEE"/>
    <w:rsid w:val="00384F6F"/>
    <w:rsid w:val="00396F85"/>
    <w:rsid w:val="003A271D"/>
    <w:rsid w:val="003F1745"/>
    <w:rsid w:val="004067A2"/>
    <w:rsid w:val="0043175D"/>
    <w:rsid w:val="004454AE"/>
    <w:rsid w:val="00487D94"/>
    <w:rsid w:val="004A223C"/>
    <w:rsid w:val="004D2FEB"/>
    <w:rsid w:val="004D6DD6"/>
    <w:rsid w:val="004E4771"/>
    <w:rsid w:val="004F0E33"/>
    <w:rsid w:val="004F5693"/>
    <w:rsid w:val="00501AD5"/>
    <w:rsid w:val="00512CD5"/>
    <w:rsid w:val="00513630"/>
    <w:rsid w:val="00530780"/>
    <w:rsid w:val="0055219A"/>
    <w:rsid w:val="00560125"/>
    <w:rsid w:val="005852CF"/>
    <w:rsid w:val="00585553"/>
    <w:rsid w:val="005B34D9"/>
    <w:rsid w:val="005C5032"/>
    <w:rsid w:val="005D0CCF"/>
    <w:rsid w:val="005F17F5"/>
    <w:rsid w:val="005F3BCB"/>
    <w:rsid w:val="005F410F"/>
    <w:rsid w:val="0060149A"/>
    <w:rsid w:val="00601924"/>
    <w:rsid w:val="00607FD5"/>
    <w:rsid w:val="00632482"/>
    <w:rsid w:val="0063457A"/>
    <w:rsid w:val="006444F7"/>
    <w:rsid w:val="006447EA"/>
    <w:rsid w:val="006448F0"/>
    <w:rsid w:val="0064731F"/>
    <w:rsid w:val="00653D56"/>
    <w:rsid w:val="006710F6"/>
    <w:rsid w:val="006745B8"/>
    <w:rsid w:val="00687468"/>
    <w:rsid w:val="006C1B56"/>
    <w:rsid w:val="006D4761"/>
    <w:rsid w:val="006E4DFD"/>
    <w:rsid w:val="00707EFC"/>
    <w:rsid w:val="00726872"/>
    <w:rsid w:val="00760F1C"/>
    <w:rsid w:val="00762364"/>
    <w:rsid w:val="007657F0"/>
    <w:rsid w:val="00766C17"/>
    <w:rsid w:val="0077252D"/>
    <w:rsid w:val="007830F6"/>
    <w:rsid w:val="007D1757"/>
    <w:rsid w:val="007E5DD3"/>
    <w:rsid w:val="007F09A7"/>
    <w:rsid w:val="007F2565"/>
    <w:rsid w:val="007F350B"/>
    <w:rsid w:val="00804EAD"/>
    <w:rsid w:val="0081401C"/>
    <w:rsid w:val="00820BE4"/>
    <w:rsid w:val="00820C22"/>
    <w:rsid w:val="0082149D"/>
    <w:rsid w:val="0082291D"/>
    <w:rsid w:val="008451E8"/>
    <w:rsid w:val="00850A12"/>
    <w:rsid w:val="00851E1A"/>
    <w:rsid w:val="008720BB"/>
    <w:rsid w:val="008848D4"/>
    <w:rsid w:val="008C6511"/>
    <w:rsid w:val="00913B9C"/>
    <w:rsid w:val="00922C3B"/>
    <w:rsid w:val="00955FF1"/>
    <w:rsid w:val="00956E77"/>
    <w:rsid w:val="00996E7C"/>
    <w:rsid w:val="009B6DB0"/>
    <w:rsid w:val="009F4811"/>
    <w:rsid w:val="00A00931"/>
    <w:rsid w:val="00A05149"/>
    <w:rsid w:val="00A21B7B"/>
    <w:rsid w:val="00AA390C"/>
    <w:rsid w:val="00AB1CAE"/>
    <w:rsid w:val="00AB7E87"/>
    <w:rsid w:val="00AE1AA2"/>
    <w:rsid w:val="00B0200A"/>
    <w:rsid w:val="00B11726"/>
    <w:rsid w:val="00B120D3"/>
    <w:rsid w:val="00B13CA1"/>
    <w:rsid w:val="00B255B2"/>
    <w:rsid w:val="00B27CA9"/>
    <w:rsid w:val="00B53C6E"/>
    <w:rsid w:val="00B574DB"/>
    <w:rsid w:val="00B826C2"/>
    <w:rsid w:val="00B8298E"/>
    <w:rsid w:val="00BB35FA"/>
    <w:rsid w:val="00BB787F"/>
    <w:rsid w:val="00BD0723"/>
    <w:rsid w:val="00BD2518"/>
    <w:rsid w:val="00BD26A0"/>
    <w:rsid w:val="00BE2CA0"/>
    <w:rsid w:val="00BE343D"/>
    <w:rsid w:val="00BF1D1C"/>
    <w:rsid w:val="00BF25FF"/>
    <w:rsid w:val="00C20C59"/>
    <w:rsid w:val="00C2727F"/>
    <w:rsid w:val="00C3746A"/>
    <w:rsid w:val="00C468E7"/>
    <w:rsid w:val="00C55B1F"/>
    <w:rsid w:val="00C55D78"/>
    <w:rsid w:val="00CA7FC2"/>
    <w:rsid w:val="00CC7B23"/>
    <w:rsid w:val="00CD3F88"/>
    <w:rsid w:val="00CE5DDB"/>
    <w:rsid w:val="00CF1A67"/>
    <w:rsid w:val="00D1455D"/>
    <w:rsid w:val="00D2750E"/>
    <w:rsid w:val="00D51150"/>
    <w:rsid w:val="00D5216E"/>
    <w:rsid w:val="00D61CB7"/>
    <w:rsid w:val="00D62446"/>
    <w:rsid w:val="00D77E77"/>
    <w:rsid w:val="00D93E08"/>
    <w:rsid w:val="00DA4EA2"/>
    <w:rsid w:val="00DC3908"/>
    <w:rsid w:val="00DC3D3E"/>
    <w:rsid w:val="00DE2C90"/>
    <w:rsid w:val="00DE3B24"/>
    <w:rsid w:val="00DF7C89"/>
    <w:rsid w:val="00E06947"/>
    <w:rsid w:val="00E14067"/>
    <w:rsid w:val="00E3592D"/>
    <w:rsid w:val="00E438B2"/>
    <w:rsid w:val="00E60DB8"/>
    <w:rsid w:val="00E65382"/>
    <w:rsid w:val="00E66541"/>
    <w:rsid w:val="00E92DE8"/>
    <w:rsid w:val="00EB1212"/>
    <w:rsid w:val="00ED0875"/>
    <w:rsid w:val="00ED36E2"/>
    <w:rsid w:val="00ED65AB"/>
    <w:rsid w:val="00EE64A7"/>
    <w:rsid w:val="00EE7A08"/>
    <w:rsid w:val="00EE7FD3"/>
    <w:rsid w:val="00F0681E"/>
    <w:rsid w:val="00F12850"/>
    <w:rsid w:val="00F22D23"/>
    <w:rsid w:val="00F33BF4"/>
    <w:rsid w:val="00F7105E"/>
    <w:rsid w:val="00F75F57"/>
    <w:rsid w:val="00F82FEE"/>
    <w:rsid w:val="00F90311"/>
    <w:rsid w:val="00FB32CC"/>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C2E18A4-4310-4DF9-8B5C-038647EB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aliases w:val="encabezado"/>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0B0D00"/>
    <w:rPr>
      <w:position w:val="6"/>
      <w:sz w:val="16"/>
    </w:rPr>
  </w:style>
  <w:style w:type="paragraph" w:styleId="FootnoteText">
    <w:name w:val="footnote text"/>
    <w:basedOn w:val="Normal"/>
    <w:link w:val="FootnoteTextChar"/>
    <w:uiPriority w:val="99"/>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Object">
    <w:name w:val="Object"/>
    <w:basedOn w:val="Subject"/>
    <w:next w:val="Subject"/>
    <w:rsid w:val="009B6DB0"/>
    <w:pPr>
      <w:tabs>
        <w:tab w:val="clear" w:pos="709"/>
      </w:tabs>
      <w:ind w:left="1134" w:hanging="1134"/>
    </w:pPr>
    <w:rPr>
      <w:lang w:val="en-GB"/>
    </w:rPr>
  </w:style>
  <w:style w:type="character" w:customStyle="1" w:styleId="FootnoteTextChar">
    <w:name w:val="Footnote Text Char"/>
    <w:basedOn w:val="DefaultParagraphFont"/>
    <w:link w:val="FootnoteText"/>
    <w:uiPriority w:val="99"/>
    <w:locked/>
    <w:rsid w:val="009B6DB0"/>
    <w:rPr>
      <w:rFonts w:ascii="Calibri" w:hAnsi="Calibri"/>
      <w:sz w:val="24"/>
      <w:lang w:val="es-ES_tradnl" w:eastAsia="en-US"/>
    </w:rPr>
  </w:style>
  <w:style w:type="paragraph" w:styleId="ListParagraph">
    <w:name w:val="List Paragraph"/>
    <w:aliases w:val="Bullet List,FooterText,numbered,Paragraphe de liste1,列出段落,列出段落1,Bulletr List Paragraph,List Paragraph2,List Paragraph21,Párrafo de lista1,Parágrafo da Lista1,リスト段落1,Listeafsnit1,Plan,Colorful List Accent 1,Dot pt,Premier,L"/>
    <w:basedOn w:val="Normal"/>
    <w:link w:val="ListParagraphChar"/>
    <w:uiPriority w:val="34"/>
    <w:qFormat/>
    <w:rsid w:val="009B6DB0"/>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ListParagraphChar">
    <w:name w:val="List Paragraph Char"/>
    <w:aliases w:val="Bullet List Char,FooterText Char,numbered Char,Paragraphe de liste1 Char,列出段落 Char,列出段落1 Char,Bulletr List Paragraph Char,List Paragraph2 Char,List Paragraph21 Char,Párrafo de lista1 Char,Parágrafo da Lista1 Char,リスト段落1 Char,L Char"/>
    <w:basedOn w:val="DefaultParagraphFont"/>
    <w:link w:val="ListParagraph"/>
    <w:uiPriority w:val="34"/>
    <w:qFormat/>
    <w:rsid w:val="009B6DB0"/>
    <w:rPr>
      <w:rFonts w:asciiTheme="minorHAnsi" w:eastAsiaTheme="minorEastAsia" w:hAnsiTheme="minorHAnsi" w:cstheme="minorBidi"/>
      <w:sz w:val="22"/>
      <w:szCs w:val="22"/>
    </w:rPr>
  </w:style>
  <w:style w:type="paragraph" w:styleId="NormalWeb">
    <w:name w:val="Normal (Web)"/>
    <w:basedOn w:val="Normal"/>
    <w:link w:val="NormalWebChar"/>
    <w:uiPriority w:val="99"/>
    <w:rsid w:val="009B6DB0"/>
    <w:pPr>
      <w:tabs>
        <w:tab w:val="clear" w:pos="567"/>
        <w:tab w:val="clear" w:pos="1134"/>
        <w:tab w:val="clear" w:pos="1701"/>
        <w:tab w:val="clear" w:pos="2268"/>
        <w:tab w:val="clear" w:pos="2835"/>
      </w:tabs>
      <w:overflowPunct/>
      <w:autoSpaceDE/>
      <w:autoSpaceDN/>
      <w:adjustRightInd/>
      <w:spacing w:before="100" w:beforeAutospacing="1" w:after="100" w:afterAutospacing="1" w:line="259" w:lineRule="auto"/>
      <w:textAlignment w:val="auto"/>
    </w:pPr>
    <w:rPr>
      <w:rFonts w:ascii="Times New Roman" w:eastAsia="SimSun" w:hAnsi="Times New Roman"/>
      <w:szCs w:val="24"/>
      <w:lang w:val="en-US" w:eastAsia="zh-CN"/>
    </w:rPr>
  </w:style>
  <w:style w:type="character" w:customStyle="1" w:styleId="NormalWebChar">
    <w:name w:val="Normal (Web) Char"/>
    <w:link w:val="NormalWeb"/>
    <w:uiPriority w:val="99"/>
    <w:locked/>
    <w:rsid w:val="009B6DB0"/>
    <w:rPr>
      <w:rFonts w:ascii="Times New Roman" w:eastAsia="SimSun" w:hAnsi="Times New Roman"/>
      <w:sz w:val="24"/>
      <w:szCs w:val="24"/>
    </w:rPr>
  </w:style>
  <w:style w:type="character" w:customStyle="1" w:styleId="FooterChar">
    <w:name w:val="Footer Char"/>
    <w:basedOn w:val="DefaultParagraphFont"/>
    <w:link w:val="Footer"/>
    <w:uiPriority w:val="99"/>
    <w:locked/>
    <w:rsid w:val="009B6DB0"/>
    <w:rPr>
      <w:rFonts w:ascii="Calibri" w:hAnsi="Calibri"/>
      <w:caps/>
      <w:noProof/>
      <w:sz w:val="16"/>
      <w:lang w:val="es-ES_tradnl" w:eastAsia="en-US"/>
    </w:rPr>
  </w:style>
  <w:style w:type="character" w:customStyle="1" w:styleId="HeaderChar">
    <w:name w:val="Header Char"/>
    <w:aliases w:val="encabezado Char"/>
    <w:basedOn w:val="DefaultParagraphFont"/>
    <w:link w:val="Header"/>
    <w:uiPriority w:val="99"/>
    <w:locked/>
    <w:rsid w:val="009B6DB0"/>
    <w:rPr>
      <w:rFonts w:ascii="Calibri" w:hAnsi="Calibri"/>
      <w:sz w:val="18"/>
      <w:lang w:val="es-ES_tradnl" w:eastAsia="en-US"/>
    </w:rPr>
  </w:style>
  <w:style w:type="paragraph" w:styleId="BodyText">
    <w:name w:val="Body Text"/>
    <w:basedOn w:val="Normal"/>
    <w:link w:val="BodyTextChar"/>
    <w:uiPriority w:val="99"/>
    <w:rsid w:val="009B6DB0"/>
    <w:pPr>
      <w:tabs>
        <w:tab w:val="clear" w:pos="1134"/>
        <w:tab w:val="clear" w:pos="1701"/>
        <w:tab w:val="clear" w:pos="2268"/>
        <w:tab w:val="clear" w:pos="2835"/>
      </w:tabs>
      <w:overflowPunct/>
      <w:autoSpaceDE/>
      <w:autoSpaceDN/>
      <w:adjustRightInd/>
      <w:spacing w:before="0" w:after="160" w:line="259" w:lineRule="auto"/>
      <w:textAlignment w:val="auto"/>
    </w:pPr>
    <w:rPr>
      <w:rFonts w:ascii="Arial" w:eastAsia="SimSun" w:hAnsi="Arial"/>
      <w:sz w:val="20"/>
      <w:szCs w:val="24"/>
      <w:lang w:val="en-US"/>
    </w:rPr>
  </w:style>
  <w:style w:type="character" w:customStyle="1" w:styleId="BodyTextChar">
    <w:name w:val="Body Text Char"/>
    <w:basedOn w:val="DefaultParagraphFont"/>
    <w:link w:val="BodyText"/>
    <w:uiPriority w:val="99"/>
    <w:rsid w:val="009B6DB0"/>
    <w:rPr>
      <w:rFonts w:ascii="Arial" w:eastAsia="SimSun" w:hAnsi="Arial"/>
      <w:szCs w:val="24"/>
      <w:lang w:eastAsia="en-US"/>
    </w:rPr>
  </w:style>
  <w:style w:type="paragraph" w:styleId="NoSpacing">
    <w:name w:val="No Spacing"/>
    <w:basedOn w:val="Normal"/>
    <w:uiPriority w:val="1"/>
    <w:qFormat/>
    <w:rsid w:val="009B6DB0"/>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sz w:val="22"/>
      <w:szCs w:val="22"/>
      <w:lang w:val="en-GB" w:eastAsia="zh-CN"/>
    </w:rPr>
  </w:style>
  <w:style w:type="paragraph" w:styleId="Caption">
    <w:name w:val="caption"/>
    <w:basedOn w:val="Normal"/>
    <w:next w:val="Normal"/>
    <w:uiPriority w:val="35"/>
    <w:unhideWhenUsed/>
    <w:qFormat/>
    <w:rsid w:val="009B6DB0"/>
    <w:pPr>
      <w:keepNext/>
      <w:tabs>
        <w:tab w:val="clear" w:pos="567"/>
        <w:tab w:val="clear" w:pos="1134"/>
        <w:tab w:val="clear" w:pos="1701"/>
        <w:tab w:val="clear" w:pos="2268"/>
        <w:tab w:val="clear" w:pos="2835"/>
      </w:tabs>
      <w:overflowPunct/>
      <w:autoSpaceDE/>
      <w:autoSpaceDN/>
      <w:adjustRightInd/>
      <w:spacing w:before="180" w:after="60"/>
      <w:jc w:val="both"/>
      <w:textAlignment w:val="auto"/>
    </w:pPr>
    <w:rPr>
      <w:rFonts w:asciiTheme="minorHAnsi" w:eastAsiaTheme="minorHAnsi" w:hAnsiTheme="minorHAnsi" w:cstheme="minorBidi"/>
      <w:b/>
      <w:iCs/>
      <w:sz w:val="22"/>
      <w:szCs w:val="18"/>
      <w:lang w:val="en-US"/>
    </w:rPr>
  </w:style>
  <w:style w:type="paragraph" w:styleId="BalloonText">
    <w:name w:val="Balloon Text"/>
    <w:basedOn w:val="Normal"/>
    <w:link w:val="BalloonTextChar"/>
    <w:semiHidden/>
    <w:unhideWhenUsed/>
    <w:rsid w:val="009B6DB0"/>
    <w:pPr>
      <w:spacing w:before="0"/>
    </w:pPr>
    <w:rPr>
      <w:rFonts w:ascii="Segoe UI" w:hAnsi="Segoe UI" w:cs="Segoe UI"/>
      <w:sz w:val="18"/>
      <w:szCs w:val="18"/>
      <w:lang w:val="en-GB"/>
    </w:rPr>
  </w:style>
  <w:style w:type="character" w:customStyle="1" w:styleId="BalloonTextChar">
    <w:name w:val="Balloon Text Char"/>
    <w:basedOn w:val="DefaultParagraphFont"/>
    <w:link w:val="BalloonText"/>
    <w:semiHidden/>
    <w:rsid w:val="009B6DB0"/>
    <w:rPr>
      <w:rFonts w:ascii="Segoe UI" w:hAnsi="Segoe UI" w:cs="Segoe UI"/>
      <w:sz w:val="18"/>
      <w:szCs w:val="18"/>
      <w:lang w:val="en-GB" w:eastAsia="en-US"/>
    </w:rPr>
  </w:style>
  <w:style w:type="table" w:styleId="GridTable1Light-Accent1">
    <w:name w:val="Grid Table 1 Light Accent 1"/>
    <w:basedOn w:val="TableNormal"/>
    <w:uiPriority w:val="46"/>
    <w:rsid w:val="009B6DB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E4771"/>
    <w:rPr>
      <w:b/>
      <w:bCs/>
    </w:rPr>
  </w:style>
  <w:style w:type="paragraph" w:styleId="EndnoteText">
    <w:name w:val="endnote text"/>
    <w:basedOn w:val="Normal"/>
    <w:link w:val="EndnoteTextChar"/>
    <w:semiHidden/>
    <w:unhideWhenUsed/>
    <w:rsid w:val="00766C17"/>
    <w:pPr>
      <w:spacing w:before="0"/>
    </w:pPr>
    <w:rPr>
      <w:sz w:val="20"/>
    </w:rPr>
  </w:style>
  <w:style w:type="character" w:customStyle="1" w:styleId="EndnoteTextChar">
    <w:name w:val="Endnote Text Char"/>
    <w:basedOn w:val="DefaultParagraphFont"/>
    <w:link w:val="EndnoteText"/>
    <w:semiHidden/>
    <w:rsid w:val="00766C17"/>
    <w:rPr>
      <w:rFonts w:ascii="Calibri" w:hAnsi="Calibri"/>
      <w:lang w:val="es-ES_tradnl" w:eastAsia="en-US"/>
    </w:rPr>
  </w:style>
  <w:style w:type="character" w:styleId="EndnoteReference">
    <w:name w:val="endnote reference"/>
    <w:basedOn w:val="DefaultParagraphFont"/>
    <w:semiHidden/>
    <w:unhideWhenUsed/>
    <w:rsid w:val="00766C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096598">
      <w:bodyDiv w:val="1"/>
      <w:marLeft w:val="0"/>
      <w:marRight w:val="0"/>
      <w:marTop w:val="0"/>
      <w:marBottom w:val="0"/>
      <w:divBdr>
        <w:top w:val="none" w:sz="0" w:space="0" w:color="auto"/>
        <w:left w:val="none" w:sz="0" w:space="0" w:color="auto"/>
        <w:bottom w:val="none" w:sz="0" w:space="0" w:color="auto"/>
        <w:right w:val="none" w:sz="0" w:space="0" w:color="auto"/>
      </w:divBdr>
    </w:div>
    <w:div w:id="186982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s://www.itu.int/en/council/Documents/basic-texts/RES-048-S.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commonsystem.org/hrframework/" TargetMode="External"/><Relationship Id="rId1" Type="http://schemas.openxmlformats.org/officeDocument/2006/relationships/hyperlink" Target="https://www.itu.int/md/S08-CL-C-0100/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DF186-A04E-403E-8307-229B956A7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PS_C19.dotx</Template>
  <TotalTime>1</TotalTime>
  <Pages>30</Pages>
  <Words>9226</Words>
  <Characters>51349</Characters>
  <Application>Microsoft Office Word</Application>
  <DocSecurity>4</DocSecurity>
  <Lines>427</Lines>
  <Paragraphs>120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60455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relativa al personal y plan estratégico de recursos humanos (PERH) de la UIT para el periodo 2020-2023</dc:title>
  <dc:subject>Consejo 2019</dc:subject>
  <dc:creator>Spanish</dc:creator>
  <cp:keywords>C2019, C19</cp:keywords>
  <dc:description/>
  <cp:lastModifiedBy>Brouard, Ricarda</cp:lastModifiedBy>
  <cp:revision>2</cp:revision>
  <cp:lastPrinted>2019-05-22T09:17:00Z</cp:lastPrinted>
  <dcterms:created xsi:type="dcterms:W3CDTF">2019-05-24T08:15:00Z</dcterms:created>
  <dcterms:modified xsi:type="dcterms:W3CDTF">2019-05-24T08:15:00Z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