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35567">
        <w:trPr>
          <w:cantSplit/>
        </w:trPr>
        <w:tc>
          <w:tcPr>
            <w:tcW w:w="6911" w:type="dxa"/>
          </w:tcPr>
          <w:p w:rsidR="00BC7BC0" w:rsidRPr="00335567" w:rsidRDefault="000569B4" w:rsidP="00E3481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3556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3556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35567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3556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3556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35567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35567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35567">
              <w:rPr>
                <w:b/>
                <w:bCs/>
                <w:lang w:val="ru-RU"/>
              </w:rPr>
              <w:t xml:space="preserve"> </w:t>
            </w:r>
            <w:r w:rsidR="00225368" w:rsidRPr="00335567">
              <w:rPr>
                <w:b/>
                <w:bCs/>
                <w:lang w:val="ru-RU"/>
              </w:rPr>
              <w:t>201</w:t>
            </w:r>
            <w:r w:rsidR="005B3DEC" w:rsidRPr="00335567">
              <w:rPr>
                <w:b/>
                <w:bCs/>
                <w:lang w:val="ru-RU"/>
              </w:rPr>
              <w:t>9</w:t>
            </w:r>
            <w:r w:rsidR="00225368" w:rsidRPr="0033556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3556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35567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3556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3556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3556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556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3556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3556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556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35567" w:rsidRDefault="00BC7BC0" w:rsidP="00903650">
            <w:pPr>
              <w:tabs>
                <w:tab w:val="left" w:pos="851"/>
                <w:tab w:val="left" w:pos="3544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3556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3556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03650" w:rsidRPr="00335567">
              <w:rPr>
                <w:b/>
                <w:bCs/>
                <w:caps/>
                <w:color w:val="000000"/>
                <w:szCs w:val="22"/>
                <w:lang w:val="ru-RU"/>
              </w:rPr>
              <w:t>ADM 28</w:t>
            </w:r>
          </w:p>
        </w:tc>
        <w:tc>
          <w:tcPr>
            <w:tcW w:w="3120" w:type="dxa"/>
          </w:tcPr>
          <w:p w:rsidR="00BC7BC0" w:rsidRPr="00335567" w:rsidRDefault="00BC7BC0" w:rsidP="00E3481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35567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35567">
              <w:rPr>
                <w:b/>
                <w:bCs/>
                <w:szCs w:val="22"/>
                <w:lang w:val="ru-RU"/>
              </w:rPr>
              <w:t>1</w:t>
            </w:r>
            <w:r w:rsidR="005B3DEC" w:rsidRPr="00335567">
              <w:rPr>
                <w:b/>
                <w:bCs/>
                <w:szCs w:val="22"/>
                <w:lang w:val="ru-RU"/>
              </w:rPr>
              <w:t>9</w:t>
            </w:r>
            <w:r w:rsidRPr="00335567">
              <w:rPr>
                <w:b/>
                <w:bCs/>
                <w:szCs w:val="22"/>
                <w:lang w:val="ru-RU"/>
              </w:rPr>
              <w:t>/</w:t>
            </w:r>
            <w:r w:rsidR="00E3481B" w:rsidRPr="00335567">
              <w:rPr>
                <w:b/>
                <w:bCs/>
                <w:szCs w:val="22"/>
                <w:lang w:val="ru-RU"/>
              </w:rPr>
              <w:t>56</w:t>
            </w:r>
            <w:r w:rsidRPr="0033556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35567">
        <w:trPr>
          <w:cantSplit/>
          <w:trHeight w:val="23"/>
        </w:trPr>
        <w:tc>
          <w:tcPr>
            <w:tcW w:w="6911" w:type="dxa"/>
            <w:vMerge/>
          </w:tcPr>
          <w:p w:rsidR="00BC7BC0" w:rsidRPr="0033556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5567" w:rsidRDefault="002B340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5567">
              <w:rPr>
                <w:b/>
                <w:bCs/>
                <w:szCs w:val="22"/>
                <w:lang w:val="ru-RU"/>
              </w:rPr>
              <w:t>6 мая</w:t>
            </w:r>
            <w:r w:rsidR="00EB4FCB" w:rsidRPr="0033556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35567">
              <w:rPr>
                <w:b/>
                <w:bCs/>
                <w:szCs w:val="22"/>
                <w:lang w:val="ru-RU"/>
              </w:rPr>
              <w:t>20</w:t>
            </w:r>
            <w:r w:rsidR="003F099E" w:rsidRPr="00335567">
              <w:rPr>
                <w:b/>
                <w:bCs/>
                <w:szCs w:val="22"/>
                <w:lang w:val="ru-RU"/>
              </w:rPr>
              <w:t>1</w:t>
            </w:r>
            <w:r w:rsidR="005B3DEC" w:rsidRPr="00335567">
              <w:rPr>
                <w:b/>
                <w:bCs/>
                <w:szCs w:val="22"/>
                <w:lang w:val="ru-RU"/>
              </w:rPr>
              <w:t>9</w:t>
            </w:r>
            <w:r w:rsidR="00BC7BC0" w:rsidRPr="0033556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35567">
        <w:trPr>
          <w:cantSplit/>
          <w:trHeight w:val="23"/>
        </w:trPr>
        <w:tc>
          <w:tcPr>
            <w:tcW w:w="6911" w:type="dxa"/>
            <w:vMerge/>
          </w:tcPr>
          <w:p w:rsidR="00BC7BC0" w:rsidRPr="0033556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556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556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35567">
        <w:trPr>
          <w:cantSplit/>
        </w:trPr>
        <w:tc>
          <w:tcPr>
            <w:tcW w:w="10031" w:type="dxa"/>
            <w:gridSpan w:val="2"/>
          </w:tcPr>
          <w:p w:rsidR="00BC7BC0" w:rsidRPr="00335567" w:rsidRDefault="00BC7BC0" w:rsidP="0070607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35567">
              <w:rPr>
                <w:lang w:val="ru-RU"/>
              </w:rPr>
              <w:t>Отчет Генерального секретаря</w:t>
            </w:r>
          </w:p>
        </w:tc>
      </w:tr>
      <w:tr w:rsidR="00BC7BC0" w:rsidRPr="000554C8">
        <w:trPr>
          <w:cantSplit/>
        </w:trPr>
        <w:tc>
          <w:tcPr>
            <w:tcW w:w="10031" w:type="dxa"/>
            <w:gridSpan w:val="2"/>
          </w:tcPr>
          <w:p w:rsidR="00BC7BC0" w:rsidRPr="00335567" w:rsidRDefault="0070607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35567">
              <w:rPr>
                <w:lang w:val="ru-RU"/>
              </w:rPr>
              <w:t>Выполнение новой Резолюции ПК-18 об участии МСП в деятельности МСЭ</w:t>
            </w:r>
          </w:p>
        </w:tc>
      </w:tr>
      <w:bookmarkEnd w:id="2"/>
    </w:tbl>
    <w:p w:rsidR="002D2F57" w:rsidRPr="0033556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554C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35567" w:rsidRDefault="002D2F57">
            <w:pPr>
              <w:pStyle w:val="Headingb"/>
              <w:rPr>
                <w:szCs w:val="22"/>
                <w:lang w:val="ru-RU"/>
              </w:rPr>
            </w:pPr>
            <w:r w:rsidRPr="00335567">
              <w:rPr>
                <w:szCs w:val="22"/>
                <w:lang w:val="ru-RU"/>
              </w:rPr>
              <w:t>Резюме</w:t>
            </w:r>
          </w:p>
          <w:p w:rsidR="002D2F57" w:rsidRPr="00335567" w:rsidRDefault="0057393D" w:rsidP="00335567">
            <w:pPr>
              <w:rPr>
                <w:szCs w:val="22"/>
                <w:lang w:val="ru-RU"/>
              </w:rPr>
            </w:pPr>
            <w:r w:rsidRPr="00335567">
              <w:rPr>
                <w:szCs w:val="22"/>
                <w:lang w:val="ru-RU"/>
              </w:rPr>
              <w:t xml:space="preserve">После начала осуществления </w:t>
            </w:r>
            <w:r w:rsidR="00B85DCB" w:rsidRPr="00335567">
              <w:rPr>
                <w:szCs w:val="22"/>
                <w:lang w:val="ru-RU"/>
              </w:rPr>
              <w:t>пилот</w:t>
            </w:r>
            <w:r w:rsidRPr="00335567">
              <w:rPr>
                <w:szCs w:val="22"/>
                <w:lang w:val="ru-RU"/>
              </w:rPr>
              <w:t xml:space="preserve">ного проекта </w:t>
            </w:r>
            <w:r w:rsidR="00335567" w:rsidRPr="00335567">
              <w:rPr>
                <w:szCs w:val="22"/>
                <w:lang w:val="ru-RU"/>
              </w:rPr>
              <w:t xml:space="preserve">по </w:t>
            </w:r>
            <w:r w:rsidRPr="00335567">
              <w:rPr>
                <w:szCs w:val="22"/>
                <w:lang w:val="ru-RU"/>
              </w:rPr>
              <w:t>МСП</w:t>
            </w:r>
            <w:r w:rsidR="00AF16ED" w:rsidRPr="00335567">
              <w:rPr>
                <w:szCs w:val="22"/>
                <w:lang w:val="ru-RU"/>
              </w:rPr>
              <w:t xml:space="preserve"> </w:t>
            </w:r>
            <w:r w:rsidR="00335567" w:rsidRPr="00335567">
              <w:rPr>
                <w:szCs w:val="22"/>
                <w:lang w:val="ru-RU"/>
              </w:rPr>
              <w:t>на основании</w:t>
            </w:r>
            <w:r w:rsidR="00AF16ED" w:rsidRPr="00335567">
              <w:rPr>
                <w:szCs w:val="22"/>
                <w:lang w:val="ru-RU"/>
              </w:rPr>
              <w:t xml:space="preserve"> решени</w:t>
            </w:r>
            <w:r w:rsidR="00335567" w:rsidRPr="00335567">
              <w:rPr>
                <w:szCs w:val="22"/>
                <w:lang w:val="ru-RU"/>
              </w:rPr>
              <w:t>я</w:t>
            </w:r>
            <w:r w:rsidR="00AF16ED" w:rsidRPr="00335567">
              <w:rPr>
                <w:szCs w:val="22"/>
                <w:lang w:val="ru-RU"/>
              </w:rPr>
              <w:t xml:space="preserve"> сессии Совета 2017 года Полномочная конференция 2018 года (ПК</w:t>
            </w:r>
            <w:r w:rsidR="00AF16ED" w:rsidRPr="00335567">
              <w:rPr>
                <w:szCs w:val="22"/>
                <w:lang w:val="ru-RU"/>
              </w:rPr>
              <w:noBreakHyphen/>
              <w:t>18) приняла Резолюцию </w:t>
            </w:r>
            <w:r w:rsidR="0070607B" w:rsidRPr="00335567">
              <w:rPr>
                <w:szCs w:val="22"/>
                <w:lang w:val="ru-RU"/>
              </w:rPr>
              <w:t>209 (</w:t>
            </w:r>
            <w:r w:rsidR="00AF16ED" w:rsidRPr="00335567">
              <w:rPr>
                <w:szCs w:val="22"/>
                <w:lang w:val="ru-RU"/>
              </w:rPr>
              <w:t>Дубай</w:t>
            </w:r>
            <w:r w:rsidR="0070607B" w:rsidRPr="00335567">
              <w:rPr>
                <w:szCs w:val="22"/>
                <w:lang w:val="ru-RU"/>
              </w:rPr>
              <w:t>, 2018</w:t>
            </w:r>
            <w:r w:rsidR="00AF16ED" w:rsidRPr="00335567">
              <w:rPr>
                <w:szCs w:val="22"/>
                <w:lang w:val="ru-RU"/>
              </w:rPr>
              <w:t> г.</w:t>
            </w:r>
            <w:r w:rsidR="0070607B" w:rsidRPr="00335567">
              <w:rPr>
                <w:szCs w:val="22"/>
                <w:lang w:val="ru-RU"/>
              </w:rPr>
              <w:t xml:space="preserve">), </w:t>
            </w:r>
            <w:r w:rsidR="00AF16ED" w:rsidRPr="00335567">
              <w:rPr>
                <w:szCs w:val="22"/>
                <w:lang w:val="ru-RU"/>
              </w:rPr>
              <w:t xml:space="preserve">в которой </w:t>
            </w:r>
            <w:r w:rsidR="00AF16ED" w:rsidRPr="00335567">
              <w:rPr>
                <w:lang w:val="ru-RU"/>
              </w:rPr>
              <w:t>поощряется участие МСП в работе Секторов Союза в качестве Ассоциированных членов путем введения пониженных размеров взносов</w:t>
            </w:r>
            <w:r w:rsidR="0070607B" w:rsidRPr="00335567">
              <w:rPr>
                <w:szCs w:val="22"/>
                <w:lang w:val="ru-RU"/>
              </w:rPr>
              <w:t xml:space="preserve">. </w:t>
            </w:r>
            <w:r w:rsidR="00AF16ED" w:rsidRPr="00335567">
              <w:rPr>
                <w:szCs w:val="22"/>
                <w:lang w:val="ru-RU"/>
              </w:rPr>
              <w:t>ПК</w:t>
            </w:r>
            <w:r w:rsidR="0070607B" w:rsidRPr="00335567">
              <w:rPr>
                <w:szCs w:val="22"/>
                <w:lang w:val="ru-RU"/>
              </w:rPr>
              <w:t xml:space="preserve">-18 </w:t>
            </w:r>
            <w:r w:rsidR="00910E40" w:rsidRPr="00335567">
              <w:rPr>
                <w:szCs w:val="22"/>
                <w:lang w:val="ru-RU"/>
              </w:rPr>
              <w:t xml:space="preserve">поручила Совету </w:t>
            </w:r>
            <w:r w:rsidR="007D4170" w:rsidRPr="00335567">
              <w:rPr>
                <w:szCs w:val="22"/>
                <w:lang w:val="ru-RU"/>
              </w:rPr>
              <w:t xml:space="preserve">определить </w:t>
            </w:r>
            <w:r w:rsidR="00DE4063" w:rsidRPr="00335567">
              <w:rPr>
                <w:szCs w:val="22"/>
                <w:lang w:val="ru-RU"/>
              </w:rPr>
              <w:t xml:space="preserve">максимальный </w:t>
            </w:r>
            <w:r w:rsidR="007D4170" w:rsidRPr="00335567">
              <w:rPr>
                <w:szCs w:val="22"/>
                <w:lang w:val="ru-RU"/>
              </w:rPr>
              <w:t>размер дохода, который может иметь МСП, чтобы пользоваться этими пониженными взносами</w:t>
            </w:r>
            <w:r w:rsidR="0070607B" w:rsidRPr="00335567">
              <w:rPr>
                <w:szCs w:val="22"/>
                <w:lang w:val="ru-RU"/>
              </w:rPr>
              <w:t>.</w:t>
            </w:r>
            <w:r w:rsidR="00B85DCB" w:rsidRPr="00335567">
              <w:rPr>
                <w:szCs w:val="22"/>
                <w:lang w:val="ru-RU"/>
              </w:rPr>
              <w:t xml:space="preserve"> На своей сессии в январе 2019 года Рабочая группа Совета по финансовым и людским ресурсам (РГС-ФЛР) рассмотрела различные варианты и в заключение просила секретариат проанализировать два возможных пороговых значения, чтобы помочь Совету определить надлежащий уровень</w:t>
            </w:r>
            <w:r w:rsidR="0070607B" w:rsidRPr="00335567">
              <w:rPr>
                <w:szCs w:val="22"/>
                <w:lang w:val="ru-RU"/>
              </w:rPr>
              <w:t xml:space="preserve">. </w:t>
            </w:r>
            <w:r w:rsidR="00B85DCB" w:rsidRPr="00335567">
              <w:rPr>
                <w:szCs w:val="22"/>
                <w:lang w:val="ru-RU"/>
              </w:rPr>
              <w:t xml:space="preserve">В отчете своего Председателя </w:t>
            </w:r>
            <w:r w:rsidR="00B85DCB" w:rsidRPr="00335567">
              <w:rPr>
                <w:lang w:val="ru-RU"/>
              </w:rPr>
              <w:t>РГС-ФЛР также рекомендует Совету продлить реализуемый пилотный проект по МСП до 31 января 2020 года, чтобы упростить переход к выполнению новой Резолюции</w:t>
            </w:r>
            <w:r w:rsidR="0070607B" w:rsidRPr="00335567">
              <w:rPr>
                <w:szCs w:val="22"/>
                <w:lang w:val="ru-RU"/>
              </w:rPr>
              <w:t>.</w:t>
            </w:r>
          </w:p>
          <w:p w:rsidR="002D2F57" w:rsidRPr="00335567" w:rsidRDefault="002D2F57" w:rsidP="00E55121">
            <w:pPr>
              <w:pStyle w:val="Headingb"/>
              <w:rPr>
                <w:lang w:val="ru-RU"/>
              </w:rPr>
            </w:pPr>
            <w:r w:rsidRPr="00335567">
              <w:rPr>
                <w:lang w:val="ru-RU"/>
              </w:rPr>
              <w:t xml:space="preserve">Необходимые </w:t>
            </w:r>
            <w:r w:rsidR="00F5225B" w:rsidRPr="00335567">
              <w:rPr>
                <w:lang w:val="ru-RU"/>
              </w:rPr>
              <w:t>действия</w:t>
            </w:r>
          </w:p>
          <w:p w:rsidR="002D2F57" w:rsidRPr="00335567" w:rsidRDefault="00B85DCB" w:rsidP="00ED0C61">
            <w:pPr>
              <w:rPr>
                <w:szCs w:val="22"/>
                <w:lang w:val="ru-RU"/>
              </w:rPr>
            </w:pPr>
            <w:r w:rsidRPr="00335567">
              <w:rPr>
                <w:szCs w:val="22"/>
                <w:lang w:val="ru-RU"/>
              </w:rPr>
              <w:t xml:space="preserve">Совету предлагается </w:t>
            </w:r>
            <w:r w:rsidRPr="00335567">
              <w:rPr>
                <w:b/>
                <w:bCs/>
                <w:szCs w:val="22"/>
                <w:lang w:val="ru-RU"/>
              </w:rPr>
              <w:t xml:space="preserve">рассмотреть </w:t>
            </w:r>
            <w:r w:rsidRPr="00335567">
              <w:rPr>
                <w:szCs w:val="22"/>
                <w:lang w:val="ru-RU"/>
              </w:rPr>
              <w:t>анализ и рекомендации Генерального секретаря, касающиеся выполнения этой новой Резолюции</w:t>
            </w:r>
            <w:r w:rsidR="0070607B" w:rsidRPr="00335567">
              <w:rPr>
                <w:szCs w:val="22"/>
                <w:lang w:val="ru-RU"/>
              </w:rPr>
              <w:t>.</w:t>
            </w:r>
          </w:p>
          <w:p w:rsidR="002D2F57" w:rsidRPr="0033556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35567">
              <w:rPr>
                <w:caps/>
                <w:szCs w:val="22"/>
                <w:lang w:val="ru-RU"/>
              </w:rPr>
              <w:t>____________</w:t>
            </w:r>
          </w:p>
          <w:p w:rsidR="002D2F57" w:rsidRPr="00335567" w:rsidRDefault="002D2F57">
            <w:pPr>
              <w:pStyle w:val="Headingb"/>
              <w:rPr>
                <w:szCs w:val="22"/>
                <w:lang w:val="ru-RU"/>
              </w:rPr>
            </w:pPr>
            <w:r w:rsidRPr="00335567">
              <w:rPr>
                <w:szCs w:val="22"/>
                <w:lang w:val="ru-RU"/>
              </w:rPr>
              <w:t>Справочные материалы</w:t>
            </w:r>
          </w:p>
          <w:p w:rsidR="002D2F57" w:rsidRPr="00335567" w:rsidRDefault="000554C8" w:rsidP="0070607B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70607B" w:rsidRPr="00335567">
                <w:rPr>
                  <w:rStyle w:val="Hyperlink"/>
                  <w:i/>
                  <w:iCs/>
                  <w:lang w:val="ru-RU"/>
                </w:rPr>
                <w:t>Резолюция 209 (Дубай, 2018 г.)</w:t>
              </w:r>
            </w:hyperlink>
            <w:r w:rsidR="0070607B" w:rsidRPr="00335567">
              <w:rPr>
                <w:i/>
                <w:iCs/>
                <w:lang w:val="ru-RU"/>
              </w:rPr>
              <w:t xml:space="preserve">; Документ </w:t>
            </w:r>
            <w:hyperlink r:id="rId10" w:history="1">
              <w:r w:rsidR="0070607B" w:rsidRPr="00335567">
                <w:rPr>
                  <w:rStyle w:val="Hyperlink"/>
                  <w:i/>
                  <w:iCs/>
                  <w:lang w:val="ru-RU"/>
                </w:rPr>
                <w:t>PP-18/52</w:t>
              </w:r>
            </w:hyperlink>
            <w:r w:rsidR="0070607B" w:rsidRPr="00335567">
              <w:rPr>
                <w:i/>
                <w:iCs/>
                <w:lang w:val="ru-RU"/>
              </w:rPr>
              <w:t xml:space="preserve">, Документ </w:t>
            </w:r>
            <w:hyperlink r:id="rId11" w:history="1">
              <w:r w:rsidR="0070607B" w:rsidRPr="00335567">
                <w:rPr>
                  <w:rStyle w:val="Hyperlink"/>
                  <w:i/>
                  <w:iCs/>
                  <w:lang w:val="ru-RU"/>
                </w:rPr>
                <w:t>C17/120</w:t>
              </w:r>
            </w:hyperlink>
            <w:r w:rsidR="0070607B" w:rsidRPr="00335567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70607B" w:rsidRPr="00335567" w:rsidRDefault="0070607B" w:rsidP="0070607B">
      <w:pPr>
        <w:pStyle w:val="Heading1"/>
        <w:rPr>
          <w:lang w:val="ru-RU"/>
        </w:rPr>
      </w:pPr>
      <w:r w:rsidRPr="00335567">
        <w:rPr>
          <w:lang w:val="ru-RU"/>
        </w:rPr>
        <w:t>1</w:t>
      </w:r>
      <w:r w:rsidRPr="00335567">
        <w:rPr>
          <w:lang w:val="ru-RU"/>
        </w:rPr>
        <w:tab/>
        <w:t>Введение</w:t>
      </w:r>
    </w:p>
    <w:p w:rsidR="0070607B" w:rsidRPr="00335567" w:rsidRDefault="0070607B" w:rsidP="0070607B">
      <w:pPr>
        <w:rPr>
          <w:lang w:val="ru-RU"/>
        </w:rPr>
      </w:pPr>
      <w:r w:rsidRPr="00335567">
        <w:rPr>
          <w:lang w:val="ru-RU"/>
        </w:rPr>
        <w:t>1.1</w:t>
      </w:r>
      <w:r w:rsidRPr="00335567">
        <w:rPr>
          <w:lang w:val="ru-RU"/>
        </w:rPr>
        <w:tab/>
        <w:t>Совет 2017 года принял решение начать осуществление пил</w:t>
      </w:r>
      <w:r w:rsidR="00335567" w:rsidRPr="00335567">
        <w:rPr>
          <w:lang w:val="ru-RU"/>
        </w:rPr>
        <w:t>отного проекта по участию МСП в </w:t>
      </w:r>
      <w:r w:rsidRPr="00335567">
        <w:rPr>
          <w:lang w:val="ru-RU"/>
        </w:rPr>
        <w:t>заинтересованных исследовательских комиссиях МСЭ-Т и МСЭ</w:t>
      </w:r>
      <w:r w:rsidRPr="00335567">
        <w:rPr>
          <w:lang w:val="ru-RU"/>
        </w:rPr>
        <w:noBreakHyphen/>
        <w:t xml:space="preserve">D, в рамках которого МСП смогут участвовать в полном объеме в собраниях участвующих исследовательских комиссий без выполнения каких-либо функций по принятию </w:t>
      </w:r>
      <w:r w:rsidRPr="00335567">
        <w:rPr>
          <w:lang w:val="ru-RU"/>
        </w:rPr>
        <w:lastRenderedPageBreak/>
        <w:t xml:space="preserve">решений, включая руководящие функции и функции по принятию резолюций или рекомендаций. Полный круг ведения пилотного проекта размещен </w:t>
      </w:r>
      <w:hyperlink r:id="rId12" w:history="1">
        <w:r w:rsidRPr="00335567">
          <w:rPr>
            <w:rStyle w:val="Hyperlink"/>
            <w:rFonts w:asciiTheme="minorHAnsi" w:hAnsiTheme="minorHAnsi" w:cstheme="minorHAnsi"/>
            <w:szCs w:val="22"/>
            <w:lang w:val="ru-RU"/>
          </w:rPr>
          <w:t>здесь</w:t>
        </w:r>
      </w:hyperlink>
      <w:r w:rsidRPr="00335567">
        <w:rPr>
          <w:rStyle w:val="FootnoteReference"/>
          <w:lang w:val="ru-RU"/>
        </w:rPr>
        <w:footnoteReference w:id="1"/>
      </w:r>
      <w:r w:rsidRPr="00335567">
        <w:rPr>
          <w:color w:val="000000"/>
          <w:lang w:val="ru-RU"/>
        </w:rPr>
        <w:t>.</w:t>
      </w:r>
    </w:p>
    <w:p w:rsidR="0070607B" w:rsidRPr="00335567" w:rsidRDefault="0070607B" w:rsidP="0070607B">
      <w:pPr>
        <w:rPr>
          <w:color w:val="000000"/>
          <w:lang w:val="ru-RU"/>
        </w:rPr>
      </w:pPr>
      <w:r w:rsidRPr="00335567">
        <w:rPr>
          <w:lang w:val="ru-RU"/>
        </w:rPr>
        <w:t>1.2</w:t>
      </w:r>
      <w:r w:rsidRPr="00335567">
        <w:rPr>
          <w:lang w:val="ru-RU"/>
        </w:rPr>
        <w:tab/>
        <w:t xml:space="preserve">Для того чтобы принять участие в пилотном проекте, МСП </w:t>
      </w:r>
      <w:r w:rsidRPr="00335567">
        <w:rPr>
          <w:color w:val="000000"/>
          <w:lang w:val="ru-RU"/>
        </w:rPr>
        <w:t xml:space="preserve">должны быть утверждены </w:t>
      </w:r>
      <w:r w:rsidRPr="00335567">
        <w:rPr>
          <w:lang w:val="ru-RU"/>
        </w:rPr>
        <w:t>соответствующей</w:t>
      </w:r>
      <w:r w:rsidRPr="00335567">
        <w:rPr>
          <w:color w:val="000000"/>
          <w:lang w:val="ru-RU"/>
        </w:rPr>
        <w:t xml:space="preserve"> государственной администрацией согласно национальному определению МСП.</w:t>
      </w:r>
    </w:p>
    <w:p w:rsidR="0070607B" w:rsidRPr="00335567" w:rsidRDefault="0070607B" w:rsidP="00502D91">
      <w:pPr>
        <w:rPr>
          <w:lang w:val="ru-RU"/>
        </w:rPr>
      </w:pPr>
      <w:r w:rsidRPr="00335567">
        <w:rPr>
          <w:color w:val="000000"/>
          <w:lang w:val="ru-RU"/>
        </w:rPr>
        <w:t>1.3</w:t>
      </w:r>
      <w:r w:rsidRPr="00335567">
        <w:rPr>
          <w:color w:val="000000"/>
          <w:lang w:val="ru-RU"/>
        </w:rPr>
        <w:tab/>
      </w:r>
      <w:r w:rsidRPr="00335567">
        <w:rPr>
          <w:lang w:val="ru-RU"/>
        </w:rPr>
        <w:t>Пилотному проекту оказ</w:t>
      </w:r>
      <w:r w:rsidR="00502D91" w:rsidRPr="00335567">
        <w:rPr>
          <w:lang w:val="ru-RU"/>
        </w:rPr>
        <w:t>ывается</w:t>
      </w:r>
      <w:r w:rsidRPr="00335567">
        <w:rPr>
          <w:lang w:val="ru-RU"/>
        </w:rPr>
        <w:t xml:space="preserve"> содействие со стороны Бюро, региональных организаций, администраций, а также региональных и зональных отделений МСЭ на основе контактов с МСП и ассоциациями МСП.</w:t>
      </w:r>
    </w:p>
    <w:p w:rsidR="0070607B" w:rsidRPr="00335567" w:rsidRDefault="0070607B" w:rsidP="00502D91">
      <w:pPr>
        <w:rPr>
          <w:color w:val="000000"/>
          <w:lang w:val="ru-RU"/>
        </w:rPr>
      </w:pPr>
      <w:r w:rsidRPr="00335567">
        <w:rPr>
          <w:color w:val="000000"/>
          <w:lang w:val="ru-RU"/>
        </w:rPr>
        <w:t>1.4</w:t>
      </w:r>
      <w:r w:rsidRPr="00335567">
        <w:rPr>
          <w:color w:val="000000"/>
          <w:lang w:val="ru-RU"/>
        </w:rPr>
        <w:tab/>
      </w:r>
      <w:r w:rsidR="00502D91" w:rsidRPr="00335567">
        <w:rPr>
          <w:color w:val="000000"/>
          <w:lang w:val="ru-RU"/>
        </w:rPr>
        <w:t xml:space="preserve">В соответствии с поручением </w:t>
      </w:r>
      <w:r w:rsidRPr="00335567">
        <w:rPr>
          <w:color w:val="000000"/>
          <w:lang w:val="ru-RU"/>
        </w:rPr>
        <w:t>Совет</w:t>
      </w:r>
      <w:r w:rsidR="00502D91" w:rsidRPr="00335567">
        <w:rPr>
          <w:color w:val="000000"/>
          <w:lang w:val="ru-RU"/>
        </w:rPr>
        <w:t>а</w:t>
      </w:r>
      <w:r w:rsidR="00502D91" w:rsidRPr="00335567">
        <w:rPr>
          <w:color w:val="000000"/>
          <w:lang w:val="ru-RU"/>
        </w:rPr>
        <w:noBreakHyphen/>
        <w:t>17</w:t>
      </w:r>
      <w:r w:rsidRPr="00335567">
        <w:rPr>
          <w:color w:val="000000"/>
          <w:lang w:val="ru-RU"/>
        </w:rPr>
        <w:t xml:space="preserve"> Секретариат представи</w:t>
      </w:r>
      <w:r w:rsidR="00502D91" w:rsidRPr="00335567">
        <w:rPr>
          <w:color w:val="000000"/>
          <w:lang w:val="ru-RU"/>
        </w:rPr>
        <w:t>л</w:t>
      </w:r>
      <w:r w:rsidRPr="00335567">
        <w:rPr>
          <w:color w:val="000000"/>
          <w:lang w:val="ru-RU"/>
        </w:rPr>
        <w:t xml:space="preserve"> </w:t>
      </w:r>
      <w:r w:rsidRPr="00335567">
        <w:rPr>
          <w:lang w:val="ru-RU"/>
        </w:rPr>
        <w:t>Совету</w:t>
      </w:r>
      <w:r w:rsidR="00502D91" w:rsidRPr="00335567">
        <w:rPr>
          <w:lang w:val="ru-RU"/>
        </w:rPr>
        <w:noBreakHyphen/>
        <w:t>18</w:t>
      </w:r>
      <w:r w:rsidRPr="00335567">
        <w:rPr>
          <w:lang w:val="ru-RU"/>
        </w:rPr>
        <w:t xml:space="preserve"> отчет о ходе осуществления этого проекта, а также представи</w:t>
      </w:r>
      <w:r w:rsidR="00502D91" w:rsidRPr="00335567">
        <w:rPr>
          <w:lang w:val="ru-RU"/>
        </w:rPr>
        <w:t>л</w:t>
      </w:r>
      <w:r w:rsidRPr="00335567">
        <w:rPr>
          <w:lang w:val="ru-RU"/>
        </w:rPr>
        <w:t xml:space="preserve"> ПК-18 более полный отчет о результатах</w:t>
      </w:r>
      <w:r w:rsidR="00502D91" w:rsidRPr="00335567">
        <w:rPr>
          <w:lang w:val="ru-RU"/>
        </w:rPr>
        <w:t xml:space="preserve">, который размещен </w:t>
      </w:r>
      <w:hyperlink r:id="rId13" w:history="1">
        <w:r w:rsidR="00502D91" w:rsidRPr="00335567">
          <w:rPr>
            <w:rStyle w:val="Hyperlink"/>
            <w:lang w:val="ru-RU"/>
          </w:rPr>
          <w:t>здесь</w:t>
        </w:r>
      </w:hyperlink>
      <w:r w:rsidRPr="00335567">
        <w:rPr>
          <w:lang w:val="ru-RU"/>
        </w:rPr>
        <w:t>.</w:t>
      </w:r>
    </w:p>
    <w:p w:rsidR="0070607B" w:rsidRPr="00335567" w:rsidRDefault="0070607B" w:rsidP="00502D91">
      <w:pPr>
        <w:pStyle w:val="Heading1"/>
        <w:rPr>
          <w:lang w:val="ru-RU"/>
        </w:rPr>
      </w:pPr>
      <w:r w:rsidRPr="00335567">
        <w:rPr>
          <w:lang w:val="ru-RU"/>
        </w:rPr>
        <w:t>2</w:t>
      </w:r>
      <w:r w:rsidRPr="00335567">
        <w:rPr>
          <w:lang w:val="ru-RU"/>
        </w:rPr>
        <w:tab/>
      </w:r>
      <w:r w:rsidR="00502D91" w:rsidRPr="00335567">
        <w:rPr>
          <w:lang w:val="ru-RU"/>
        </w:rPr>
        <w:t>Результаты ПК</w:t>
      </w:r>
      <w:r w:rsidRPr="00335567">
        <w:rPr>
          <w:lang w:val="ru-RU"/>
        </w:rPr>
        <w:t>-18</w:t>
      </w:r>
    </w:p>
    <w:p w:rsidR="0070607B" w:rsidRPr="00335567" w:rsidRDefault="0070607B" w:rsidP="00A64D66">
      <w:pPr>
        <w:rPr>
          <w:rFonts w:eastAsia="Calibri" w:cs="Calibri"/>
          <w:lang w:val="ru-RU"/>
        </w:rPr>
      </w:pPr>
      <w:r w:rsidRPr="00335567">
        <w:rPr>
          <w:rFonts w:eastAsia="Calibri" w:cs="Calibri"/>
          <w:lang w:val="ru-RU"/>
        </w:rPr>
        <w:t>2.1</w:t>
      </w:r>
      <w:r w:rsidRPr="00335567">
        <w:rPr>
          <w:rFonts w:eastAsia="Calibri" w:cs="Calibri"/>
          <w:lang w:val="ru-RU"/>
        </w:rPr>
        <w:tab/>
      </w:r>
      <w:r w:rsidR="00502D91" w:rsidRPr="00335567">
        <w:rPr>
          <w:rFonts w:eastAsia="Calibri" w:cs="Calibri"/>
          <w:lang w:val="ru-RU"/>
        </w:rPr>
        <w:t>На основании пилотного проекта ПК</w:t>
      </w:r>
      <w:r w:rsidR="00502D91" w:rsidRPr="00335567">
        <w:rPr>
          <w:rFonts w:eastAsia="Calibri" w:cs="Calibri"/>
          <w:lang w:val="ru-RU"/>
        </w:rPr>
        <w:noBreakHyphen/>
      </w:r>
      <w:r w:rsidRPr="00335567">
        <w:rPr>
          <w:rFonts w:eastAsia="Calibri" w:cs="Calibri"/>
          <w:lang w:val="ru-RU"/>
        </w:rPr>
        <w:t xml:space="preserve">18 </w:t>
      </w:r>
      <w:r w:rsidR="00502D91" w:rsidRPr="00335567">
        <w:rPr>
          <w:rFonts w:eastAsia="Calibri" w:cs="Calibri"/>
          <w:lang w:val="ru-RU"/>
        </w:rPr>
        <w:t>приняла Резолюцию </w:t>
      </w:r>
      <w:r w:rsidRPr="00335567">
        <w:rPr>
          <w:rFonts w:eastAsia="Calibri" w:cs="Calibri"/>
          <w:lang w:val="ru-RU"/>
        </w:rPr>
        <w:t>209 (</w:t>
      </w:r>
      <w:r w:rsidR="00502D91" w:rsidRPr="00335567">
        <w:rPr>
          <w:rFonts w:eastAsia="Calibri" w:cs="Calibri"/>
          <w:lang w:val="ru-RU"/>
        </w:rPr>
        <w:t>Дубай</w:t>
      </w:r>
      <w:r w:rsidRPr="00335567">
        <w:rPr>
          <w:rFonts w:eastAsia="Calibri" w:cs="Calibri"/>
          <w:lang w:val="ru-RU"/>
        </w:rPr>
        <w:t>, 2018</w:t>
      </w:r>
      <w:r w:rsidR="00502D91" w:rsidRPr="00335567">
        <w:rPr>
          <w:rFonts w:eastAsia="Calibri" w:cs="Calibri"/>
          <w:lang w:val="ru-RU"/>
        </w:rPr>
        <w:t> г.</w:t>
      </w:r>
      <w:r w:rsidRPr="00335567">
        <w:rPr>
          <w:rFonts w:eastAsia="Calibri" w:cs="Calibri"/>
          <w:lang w:val="ru-RU"/>
        </w:rPr>
        <w:t>)</w:t>
      </w:r>
      <w:r w:rsidR="00502D91" w:rsidRPr="00335567">
        <w:rPr>
          <w:rFonts w:eastAsia="Calibri" w:cs="Calibri"/>
          <w:lang w:val="ru-RU"/>
        </w:rPr>
        <w:t xml:space="preserve">, </w:t>
      </w:r>
      <w:r w:rsidR="00502D91" w:rsidRPr="00335567">
        <w:rPr>
          <w:szCs w:val="22"/>
          <w:lang w:val="ru-RU"/>
        </w:rPr>
        <w:t xml:space="preserve">в которой </w:t>
      </w:r>
      <w:r w:rsidR="00502D91" w:rsidRPr="00335567">
        <w:rPr>
          <w:lang w:val="ru-RU"/>
        </w:rPr>
        <w:t>поощряется участие МСП в работе Секторов Союза в качестве Ассоциированных членов путем введения пониженных размеров взносов для таких объединений</w:t>
      </w:r>
      <w:r w:rsidRPr="00335567">
        <w:rPr>
          <w:lang w:val="ru-RU"/>
        </w:rPr>
        <w:t xml:space="preserve">. </w:t>
      </w:r>
      <w:r w:rsidR="00F837D4" w:rsidRPr="00335567">
        <w:rPr>
          <w:lang w:val="ru-RU"/>
        </w:rPr>
        <w:t>Взносы были установлены в размере</w:t>
      </w:r>
      <w:r w:rsidR="00A64D66" w:rsidRPr="00335567">
        <w:rPr>
          <w:lang w:val="ru-RU"/>
        </w:rPr>
        <w:t xml:space="preserve"> </w:t>
      </w:r>
      <w:r w:rsidR="002B340B" w:rsidRPr="00335567">
        <w:rPr>
          <w:lang w:val="ru-RU"/>
        </w:rPr>
        <w:t>3</w:t>
      </w:r>
      <w:r w:rsidRPr="00335567">
        <w:rPr>
          <w:lang w:val="ru-RU"/>
        </w:rPr>
        <w:t>975</w:t>
      </w:r>
      <w:r w:rsidR="002B340B" w:rsidRPr="00335567">
        <w:rPr>
          <w:lang w:val="ru-RU"/>
        </w:rPr>
        <w:t> швейцарских франков</w:t>
      </w:r>
      <w:r w:rsidR="00F837D4" w:rsidRPr="00335567">
        <w:rPr>
          <w:lang w:val="ru-RU"/>
        </w:rPr>
        <w:t xml:space="preserve"> в случае МСП из развитых стран и в размере </w:t>
      </w:r>
      <w:r w:rsidRPr="00335567">
        <w:rPr>
          <w:lang w:val="ru-RU"/>
        </w:rPr>
        <w:t>1987</w:t>
      </w:r>
      <w:r w:rsidR="00F837D4" w:rsidRPr="00335567">
        <w:rPr>
          <w:lang w:val="ru-RU"/>
        </w:rPr>
        <w:t>,</w:t>
      </w:r>
      <w:r w:rsidRPr="00335567">
        <w:rPr>
          <w:lang w:val="ru-RU"/>
        </w:rPr>
        <w:t>50</w:t>
      </w:r>
      <w:r w:rsidR="00F837D4" w:rsidRPr="00335567">
        <w:rPr>
          <w:lang w:val="ru-RU"/>
        </w:rPr>
        <w:t> швейцарск</w:t>
      </w:r>
      <w:r w:rsidR="00A64D66" w:rsidRPr="00335567">
        <w:rPr>
          <w:lang w:val="ru-RU"/>
        </w:rPr>
        <w:t>ого</w:t>
      </w:r>
      <w:r w:rsidR="00F837D4" w:rsidRPr="00335567">
        <w:rPr>
          <w:lang w:val="ru-RU"/>
        </w:rPr>
        <w:t xml:space="preserve"> франк</w:t>
      </w:r>
      <w:r w:rsidR="00A64D66" w:rsidRPr="00335567">
        <w:rPr>
          <w:lang w:val="ru-RU"/>
        </w:rPr>
        <w:t>а</w:t>
      </w:r>
      <w:r w:rsidR="00F837D4" w:rsidRPr="00335567">
        <w:rPr>
          <w:lang w:val="ru-RU"/>
        </w:rPr>
        <w:t xml:space="preserve"> в случае МСП из развивающихся стран </w:t>
      </w:r>
      <w:r w:rsidR="00F837D4" w:rsidRPr="00335567">
        <w:rPr>
          <w:color w:val="000000"/>
          <w:lang w:val="ru-RU"/>
        </w:rPr>
        <w:t>при условии постоянного рассмотрения Советом</w:t>
      </w:r>
      <w:r w:rsidRPr="00335567">
        <w:rPr>
          <w:lang w:val="ru-RU"/>
        </w:rPr>
        <w:t xml:space="preserve">. </w:t>
      </w:r>
      <w:r w:rsidR="00F837D4" w:rsidRPr="00335567">
        <w:rPr>
          <w:lang w:val="ru-RU"/>
        </w:rPr>
        <w:t>Ассоциированные члены имеют право участвовать в работе одной исследовательской комиссии в данном Секторе</w:t>
      </w:r>
      <w:r w:rsidRPr="00335567">
        <w:rPr>
          <w:lang w:val="ru-RU"/>
        </w:rPr>
        <w:t xml:space="preserve">. </w:t>
      </w:r>
    </w:p>
    <w:p w:rsidR="0070607B" w:rsidRPr="00335567" w:rsidRDefault="0070607B" w:rsidP="00A64D66">
      <w:pPr>
        <w:rPr>
          <w:szCs w:val="24"/>
          <w:lang w:val="ru-RU"/>
        </w:rPr>
      </w:pPr>
      <w:r w:rsidRPr="00335567">
        <w:rPr>
          <w:szCs w:val="24"/>
          <w:lang w:val="ru-RU"/>
        </w:rPr>
        <w:t>2.2</w:t>
      </w:r>
      <w:r w:rsidRPr="00335567">
        <w:rPr>
          <w:szCs w:val="24"/>
          <w:lang w:val="ru-RU"/>
        </w:rPr>
        <w:tab/>
      </w:r>
      <w:bookmarkStart w:id="4" w:name="lt_pId040"/>
      <w:r w:rsidR="00F837D4" w:rsidRPr="00335567">
        <w:rPr>
          <w:szCs w:val="24"/>
          <w:lang w:val="ru-RU"/>
        </w:rPr>
        <w:t>ПК</w:t>
      </w:r>
      <w:r w:rsidRPr="00335567">
        <w:rPr>
          <w:szCs w:val="24"/>
          <w:lang w:val="ru-RU"/>
        </w:rPr>
        <w:t xml:space="preserve">-18 </w:t>
      </w:r>
      <w:r w:rsidR="00F837D4" w:rsidRPr="00335567">
        <w:rPr>
          <w:szCs w:val="24"/>
          <w:lang w:val="ru-RU"/>
        </w:rPr>
        <w:t xml:space="preserve">решила, что </w:t>
      </w:r>
      <w:r w:rsidR="002906B4" w:rsidRPr="00335567">
        <w:rPr>
          <w:lang w:val="ru-RU"/>
        </w:rPr>
        <w:t>заявки на такое участие должны приниматься только при наличии поддержки (т. е. утверждения) Государства-Члена, к которому относятся эти организации, и подтверждения, что заявитель является МСП в соответствии с определением страны</w:t>
      </w:r>
      <w:r w:rsidRPr="00335567">
        <w:rPr>
          <w:szCs w:val="24"/>
          <w:lang w:val="ru-RU"/>
        </w:rPr>
        <w:t>.</w:t>
      </w:r>
      <w:bookmarkEnd w:id="4"/>
      <w:r w:rsidRPr="00335567">
        <w:rPr>
          <w:szCs w:val="24"/>
          <w:lang w:val="ru-RU"/>
        </w:rPr>
        <w:t xml:space="preserve"> Если такая организация утверждается соответствующим Государством-Членом как отвечающая национальным критериям, предъявляемым к МСП, для того чтобы иметь право на пониженный размер взносов для МСП, она должна также иметь штат, не превышающий по численности 250 сотрудников, а также годовой доход ниже максимума, установленного Советом. Дочернее предприятие или филиал компании, которая не отвечает требованиям для понижения размера взносов в соответствии с настоящей Резолюцией, ни в коем случае не могут быть представлены в качестве МСП</w:t>
      </w:r>
      <w:r w:rsidR="00A64D66" w:rsidRPr="00335567">
        <w:rPr>
          <w:szCs w:val="24"/>
          <w:lang w:val="ru-RU"/>
        </w:rPr>
        <w:t>.</w:t>
      </w:r>
    </w:p>
    <w:p w:rsidR="0070607B" w:rsidRPr="00335567" w:rsidRDefault="0070607B" w:rsidP="00C34EDD">
      <w:pPr>
        <w:rPr>
          <w:lang w:val="ru-RU"/>
        </w:rPr>
      </w:pPr>
      <w:r w:rsidRPr="00335567">
        <w:rPr>
          <w:szCs w:val="24"/>
          <w:lang w:val="ru-RU"/>
        </w:rPr>
        <w:t>2.3</w:t>
      </w:r>
      <w:r w:rsidRPr="00335567">
        <w:rPr>
          <w:szCs w:val="24"/>
          <w:lang w:val="ru-RU"/>
        </w:rPr>
        <w:tab/>
      </w:r>
      <w:r w:rsidR="002906B4" w:rsidRPr="00335567">
        <w:rPr>
          <w:szCs w:val="24"/>
          <w:lang w:val="ru-RU"/>
        </w:rPr>
        <w:t>ПК</w:t>
      </w:r>
      <w:r w:rsidRPr="00335567">
        <w:rPr>
          <w:szCs w:val="24"/>
          <w:lang w:val="ru-RU"/>
        </w:rPr>
        <w:t>-18</w:t>
      </w:r>
      <w:r w:rsidR="002906B4" w:rsidRPr="00335567">
        <w:rPr>
          <w:szCs w:val="24"/>
          <w:lang w:val="ru-RU"/>
        </w:rPr>
        <w:t xml:space="preserve"> поручила Совету </w:t>
      </w:r>
      <w:r w:rsidR="002906B4" w:rsidRPr="00335567">
        <w:rPr>
          <w:lang w:val="ru-RU"/>
        </w:rPr>
        <w:t>добавить любые целесообразные дополнительные разъяснения в целях содействия осуществлению этой Резолюции и представить следующей Полномочной конференции отчет о ее осуществлении</w:t>
      </w:r>
      <w:r w:rsidRPr="00335567">
        <w:rPr>
          <w:lang w:val="ru-RU"/>
        </w:rPr>
        <w:t xml:space="preserve">. </w:t>
      </w:r>
      <w:r w:rsidR="00C34EDD" w:rsidRPr="00335567">
        <w:rPr>
          <w:lang w:val="ru-RU"/>
        </w:rPr>
        <w:t>ПК</w:t>
      </w:r>
      <w:r w:rsidRPr="00335567">
        <w:rPr>
          <w:lang w:val="ru-RU"/>
        </w:rPr>
        <w:t xml:space="preserve">-18 </w:t>
      </w:r>
      <w:r w:rsidR="00C34EDD" w:rsidRPr="00335567">
        <w:rPr>
          <w:lang w:val="ru-RU"/>
        </w:rPr>
        <w:t xml:space="preserve">далее поручила Генеральному секретарю и Директорам трех Бюро принять необходимые и </w:t>
      </w:r>
      <w:r w:rsidR="00C34EDD" w:rsidRPr="00335567">
        <w:rPr>
          <w:lang w:val="ru-RU"/>
        </w:rPr>
        <w:lastRenderedPageBreak/>
        <w:t>целесообразные меры для выполнения этой Резолюции и продолжать содействовать участию МСП в соответствующих видах деятельности Союза</w:t>
      </w:r>
      <w:r w:rsidRPr="00335567">
        <w:rPr>
          <w:lang w:val="ru-RU"/>
        </w:rPr>
        <w:t xml:space="preserve">. </w:t>
      </w:r>
      <w:r w:rsidR="00C34EDD" w:rsidRPr="00335567">
        <w:rPr>
          <w:lang w:val="ru-RU"/>
        </w:rPr>
        <w:t>В заключение ПК</w:t>
      </w:r>
      <w:r w:rsidR="00C34EDD" w:rsidRPr="00335567">
        <w:rPr>
          <w:lang w:val="ru-RU"/>
        </w:rPr>
        <w:noBreakHyphen/>
      </w:r>
      <w:r w:rsidRPr="00335567">
        <w:rPr>
          <w:lang w:val="ru-RU"/>
        </w:rPr>
        <w:t xml:space="preserve">18 </w:t>
      </w:r>
      <w:r w:rsidR="00C34EDD" w:rsidRPr="00335567">
        <w:rPr>
          <w:lang w:val="ru-RU"/>
        </w:rPr>
        <w:t>предложила Государствам – Членам МСЭ информировать МСП об этой Резолюции, а также поддерживать и поощрять их в вопросе присоединения к МСЭ и участия в его деятельности</w:t>
      </w:r>
      <w:r w:rsidRPr="00335567">
        <w:rPr>
          <w:lang w:val="ru-RU"/>
        </w:rPr>
        <w:t xml:space="preserve">. </w:t>
      </w:r>
    </w:p>
    <w:p w:rsidR="0070607B" w:rsidRPr="00335567" w:rsidRDefault="0070607B" w:rsidP="00C34EDD">
      <w:pPr>
        <w:pStyle w:val="Heading1"/>
        <w:rPr>
          <w:lang w:val="ru-RU"/>
        </w:rPr>
      </w:pPr>
      <w:r w:rsidRPr="00335567">
        <w:rPr>
          <w:lang w:val="ru-RU"/>
        </w:rPr>
        <w:t>3</w:t>
      </w:r>
      <w:r w:rsidRPr="00335567">
        <w:rPr>
          <w:lang w:val="ru-RU"/>
        </w:rPr>
        <w:tab/>
      </w:r>
      <w:r w:rsidR="00C34EDD" w:rsidRPr="00335567">
        <w:rPr>
          <w:lang w:val="ru-RU"/>
        </w:rPr>
        <w:t>Выполнение новой Резолюции</w:t>
      </w:r>
    </w:p>
    <w:p w:rsidR="0070607B" w:rsidRPr="00335567" w:rsidRDefault="0070607B" w:rsidP="00E74339">
      <w:pPr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3.1</w:t>
      </w:r>
      <w:r w:rsidRPr="00335567">
        <w:rPr>
          <w:rFonts w:eastAsia="Calibri"/>
          <w:lang w:val="ru-RU"/>
        </w:rPr>
        <w:tab/>
      </w:r>
      <w:r w:rsidR="00E74339" w:rsidRPr="00335567">
        <w:rPr>
          <w:rFonts w:eastAsia="Calibri"/>
          <w:lang w:val="ru-RU"/>
        </w:rPr>
        <w:t>Новая Резолюция по МСП вступила в силу сразу же после ее принятия на ПК</w:t>
      </w:r>
      <w:r w:rsidR="00E74339" w:rsidRPr="00335567">
        <w:rPr>
          <w:rFonts w:eastAsia="Calibri"/>
          <w:lang w:val="ru-RU"/>
        </w:rPr>
        <w:noBreakHyphen/>
        <w:t>18. Вместе с тем в практическом отношении необходимы изменения административных систем МСЭ для поддержки надлежащего выполнения этой новой Резолюции</w:t>
      </w:r>
      <w:r w:rsidRPr="00335567">
        <w:rPr>
          <w:rFonts w:eastAsia="Calibri"/>
          <w:lang w:val="ru-RU"/>
        </w:rPr>
        <w:t xml:space="preserve">. </w:t>
      </w:r>
    </w:p>
    <w:p w:rsidR="0070607B" w:rsidRPr="00335567" w:rsidRDefault="0070607B" w:rsidP="00171917">
      <w:pPr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3.2</w:t>
      </w:r>
      <w:r w:rsidRPr="00335567">
        <w:rPr>
          <w:rFonts w:eastAsia="Calibri"/>
          <w:lang w:val="ru-RU"/>
        </w:rPr>
        <w:tab/>
      </w:r>
      <w:r w:rsidR="00E74339" w:rsidRPr="00335567">
        <w:rPr>
          <w:rFonts w:eastAsia="Calibri"/>
          <w:lang w:val="ru-RU"/>
        </w:rPr>
        <w:t>Как сообщалось на ПК</w:t>
      </w:r>
      <w:r w:rsidR="00E74339" w:rsidRPr="00335567">
        <w:rPr>
          <w:rFonts w:eastAsia="Calibri"/>
          <w:lang w:val="ru-RU"/>
        </w:rPr>
        <w:noBreakHyphen/>
        <w:t>18, в настоящее время в пилотном проекте</w:t>
      </w:r>
      <w:r w:rsidR="00325DE6" w:rsidRPr="00335567">
        <w:rPr>
          <w:rFonts w:eastAsia="Calibri"/>
          <w:lang w:val="ru-RU"/>
        </w:rPr>
        <w:t>, реализация которого началась по решению Совета в 2017 году, участвуют около 20 МСП</w:t>
      </w:r>
      <w:r w:rsidRPr="00335567">
        <w:rPr>
          <w:rFonts w:eastAsia="Calibri"/>
          <w:lang w:val="ru-RU"/>
        </w:rPr>
        <w:t xml:space="preserve">. </w:t>
      </w:r>
      <w:r w:rsidR="00325DE6" w:rsidRPr="00335567">
        <w:rPr>
          <w:rFonts w:eastAsia="Calibri"/>
          <w:lang w:val="ru-RU"/>
        </w:rPr>
        <w:t>Результаты положительные, но многие из этих объединений имели возможность участвовать только в одном или двух собраниях</w:t>
      </w:r>
      <w:r w:rsidRPr="00335567">
        <w:rPr>
          <w:rFonts w:eastAsia="Calibri"/>
          <w:lang w:val="ru-RU"/>
        </w:rPr>
        <w:t xml:space="preserve">. </w:t>
      </w:r>
      <w:r w:rsidR="00A64D66" w:rsidRPr="00335567">
        <w:rPr>
          <w:rFonts w:eastAsia="Calibri"/>
          <w:lang w:val="ru-RU"/>
        </w:rPr>
        <w:t>С </w:t>
      </w:r>
      <w:r w:rsidR="00325DE6" w:rsidRPr="00335567">
        <w:rPr>
          <w:rFonts w:eastAsia="Calibri"/>
          <w:lang w:val="ru-RU"/>
        </w:rPr>
        <w:t xml:space="preserve">целью максимального увеличения числа МСП, которые захотят вступить в МСЭ в качестве Ассоциированных членов в соответствии с новой Резолюцией, при пониженных взносах, было бы разумно </w:t>
      </w:r>
      <w:r w:rsidR="00ED0C61" w:rsidRPr="00335567">
        <w:rPr>
          <w:rFonts w:eastAsia="Calibri"/>
          <w:lang w:val="ru-RU"/>
        </w:rPr>
        <w:t>ввести поэтапный переход</w:t>
      </w:r>
      <w:r w:rsidRPr="00335567">
        <w:rPr>
          <w:rFonts w:eastAsia="Calibri"/>
          <w:lang w:val="ru-RU"/>
        </w:rPr>
        <w:t xml:space="preserve">. </w:t>
      </w:r>
      <w:r w:rsidR="00ED0C61" w:rsidRPr="00335567">
        <w:rPr>
          <w:rFonts w:eastAsia="Calibri"/>
          <w:lang w:val="ru-RU"/>
        </w:rPr>
        <w:t>Наконец, ПК</w:t>
      </w:r>
      <w:r w:rsidR="00ED0C61" w:rsidRPr="00335567">
        <w:rPr>
          <w:rFonts w:eastAsia="Calibri"/>
          <w:lang w:val="ru-RU"/>
        </w:rPr>
        <w:noBreakHyphen/>
        <w:t xml:space="preserve">18 оставила один ключевой критерий </w:t>
      </w:r>
      <w:r w:rsidR="0066167E" w:rsidRPr="00335567">
        <w:rPr>
          <w:rFonts w:eastAsia="Calibri"/>
          <w:lang w:val="ru-RU"/>
        </w:rPr>
        <w:t>на окончательное решение Совету: размер максимального дохода, которые может иметь МСП</w:t>
      </w:r>
      <w:r w:rsidRPr="00335567">
        <w:rPr>
          <w:rFonts w:eastAsia="Calibri"/>
          <w:lang w:val="ru-RU"/>
        </w:rPr>
        <w:t xml:space="preserve"> </w:t>
      </w:r>
      <w:r w:rsidR="0066167E" w:rsidRPr="00335567">
        <w:rPr>
          <w:rFonts w:eastAsia="Calibri"/>
          <w:lang w:val="ru-RU"/>
        </w:rPr>
        <w:t xml:space="preserve">– Ассоциированный член, чтобы иметь право на эти пониженные </w:t>
      </w:r>
      <w:r w:rsidR="00171917" w:rsidRPr="00335567">
        <w:rPr>
          <w:rFonts w:eastAsia="Calibri"/>
          <w:lang w:val="ru-RU"/>
        </w:rPr>
        <w:t>взносы</w:t>
      </w:r>
      <w:r w:rsidRPr="00335567">
        <w:rPr>
          <w:rFonts w:eastAsia="Calibri"/>
          <w:lang w:val="ru-RU"/>
        </w:rPr>
        <w:t xml:space="preserve">. </w:t>
      </w:r>
    </w:p>
    <w:p w:rsidR="0070607B" w:rsidRPr="00335567" w:rsidRDefault="0070607B" w:rsidP="00171917">
      <w:pPr>
        <w:rPr>
          <w:szCs w:val="24"/>
          <w:lang w:val="ru-RU" w:eastAsia="zh-CN"/>
        </w:rPr>
      </w:pPr>
      <w:r w:rsidRPr="00335567">
        <w:rPr>
          <w:rFonts w:eastAsia="Calibri"/>
          <w:lang w:val="ru-RU"/>
        </w:rPr>
        <w:t>3.3</w:t>
      </w:r>
      <w:r w:rsidRPr="00335567">
        <w:rPr>
          <w:rFonts w:eastAsia="Calibri"/>
          <w:lang w:val="ru-RU"/>
        </w:rPr>
        <w:tab/>
      </w:r>
      <w:r w:rsidR="00171917" w:rsidRPr="00335567">
        <w:rPr>
          <w:rFonts w:eastAsia="Calibri"/>
          <w:lang w:val="ru-RU"/>
        </w:rPr>
        <w:t>Учитывая эти аспекты, РГС-ФЛР рекомендует в своем отчете</w:t>
      </w:r>
      <w:r w:rsidRPr="00335567">
        <w:rPr>
          <w:szCs w:val="24"/>
          <w:lang w:val="ru-RU"/>
        </w:rPr>
        <w:t xml:space="preserve"> (</w:t>
      </w:r>
      <w:hyperlink r:id="rId14" w:history="1">
        <w:r w:rsidRPr="00335567">
          <w:rPr>
            <w:rStyle w:val="Hyperlink"/>
            <w:szCs w:val="24"/>
            <w:lang w:val="ru-RU"/>
          </w:rPr>
          <w:t>C19/50</w:t>
        </w:r>
      </w:hyperlink>
      <w:r w:rsidRPr="00335567">
        <w:rPr>
          <w:szCs w:val="24"/>
          <w:lang w:val="ru-RU"/>
        </w:rPr>
        <w:t>)</w:t>
      </w:r>
      <w:r w:rsidR="00171917" w:rsidRPr="00335567">
        <w:rPr>
          <w:szCs w:val="24"/>
          <w:lang w:val="ru-RU"/>
        </w:rPr>
        <w:t>, чтобы Совет продлил действующий проект по МСП до 31 января 2020 года, чтобы упростить переход к выполнению новой Резолюции</w:t>
      </w:r>
      <w:r w:rsidRPr="00335567">
        <w:rPr>
          <w:szCs w:val="24"/>
          <w:lang w:val="ru-RU"/>
        </w:rPr>
        <w:t>.</w:t>
      </w:r>
      <w:r w:rsidRPr="00335567">
        <w:rPr>
          <w:lang w:val="ru-RU"/>
        </w:rPr>
        <w:t xml:space="preserve"> </w:t>
      </w:r>
    </w:p>
    <w:p w:rsidR="0070607B" w:rsidRPr="00335567" w:rsidRDefault="0070607B" w:rsidP="00503D00">
      <w:pPr>
        <w:rPr>
          <w:lang w:val="ru-RU"/>
        </w:rPr>
      </w:pPr>
      <w:r w:rsidRPr="00335567">
        <w:rPr>
          <w:szCs w:val="24"/>
          <w:lang w:val="ru-RU"/>
        </w:rPr>
        <w:t>3.4</w:t>
      </w:r>
      <w:r w:rsidRPr="00335567">
        <w:rPr>
          <w:szCs w:val="24"/>
          <w:lang w:val="ru-RU"/>
        </w:rPr>
        <w:tab/>
      </w:r>
      <w:r w:rsidR="00171917" w:rsidRPr="00335567">
        <w:rPr>
          <w:szCs w:val="24"/>
          <w:lang w:val="ru-RU"/>
        </w:rPr>
        <w:t>Наряду с этим для помощи Совету в определении максимального уровня годовых доходов на январской сессии РГС-ФЛР обсуждались различные национальные и международные определения</w:t>
      </w:r>
      <w:r w:rsidRPr="00335567">
        <w:rPr>
          <w:lang w:val="ru-RU"/>
        </w:rPr>
        <w:t xml:space="preserve">. </w:t>
      </w:r>
      <w:r w:rsidR="00171917" w:rsidRPr="00335567">
        <w:rPr>
          <w:lang w:val="ru-RU"/>
        </w:rPr>
        <w:t>После исследований и консультаций с другими учреждениями системы Организации Объединенных Наций (ООН) секретариат сообщил</w:t>
      </w:r>
      <w:r w:rsidR="00503D00" w:rsidRPr="00335567">
        <w:rPr>
          <w:lang w:val="ru-RU"/>
        </w:rPr>
        <w:t>, что какое-либо общесистемное принятое или официальное определение МСП в ООН отсутствует</w:t>
      </w:r>
      <w:r w:rsidRPr="00335567">
        <w:rPr>
          <w:lang w:val="ru-RU"/>
        </w:rPr>
        <w:t xml:space="preserve">. </w:t>
      </w:r>
      <w:r w:rsidR="00503D00" w:rsidRPr="00335567">
        <w:rPr>
          <w:lang w:val="ru-RU"/>
        </w:rPr>
        <w:t>Чаще всего приводятся международные определения Всемирного банка и Европейского союза</w:t>
      </w:r>
      <w:r w:rsidRPr="00335567">
        <w:rPr>
          <w:lang w:val="ru-RU"/>
        </w:rPr>
        <w:t>.</w:t>
      </w:r>
    </w:p>
    <w:p w:rsidR="0070607B" w:rsidRPr="00335567" w:rsidRDefault="0070607B" w:rsidP="00AC221D">
      <w:pPr>
        <w:rPr>
          <w:b/>
          <w:szCs w:val="24"/>
          <w:lang w:val="ru-RU"/>
        </w:rPr>
      </w:pPr>
      <w:r w:rsidRPr="00335567">
        <w:rPr>
          <w:lang w:val="ru-RU"/>
        </w:rPr>
        <w:t>3.5</w:t>
      </w:r>
      <w:r w:rsidRPr="00335567">
        <w:rPr>
          <w:lang w:val="ru-RU"/>
        </w:rPr>
        <w:tab/>
      </w:r>
      <w:r w:rsidR="00AC221D" w:rsidRPr="00335567">
        <w:rPr>
          <w:lang w:val="ru-RU"/>
        </w:rPr>
        <w:t xml:space="preserve">С учетом существенных расхождений между национальными определениями и отсутствием принятого в системе ООН определения РГС-ФЛР просила секретариат проанализировать финансовые последствия двух возможных пороговых значений: </w:t>
      </w:r>
      <w:r w:rsidRPr="00335567">
        <w:rPr>
          <w:szCs w:val="24"/>
          <w:lang w:val="ru-RU"/>
        </w:rPr>
        <w:t>15</w:t>
      </w:r>
      <w:r w:rsidR="002B340B" w:rsidRPr="00335567">
        <w:rPr>
          <w:szCs w:val="24"/>
          <w:lang w:val="ru-RU"/>
        </w:rPr>
        <w:t> </w:t>
      </w:r>
      <w:r w:rsidR="002B340B" w:rsidRPr="00335567">
        <w:rPr>
          <w:rFonts w:eastAsia="Calibri" w:cs="Calibri"/>
          <w:color w:val="000000" w:themeColor="text1"/>
          <w:lang w:val="ru-RU"/>
        </w:rPr>
        <w:t>млн. швейцарских франков</w:t>
      </w:r>
      <w:r w:rsidR="002B340B" w:rsidRPr="00335567">
        <w:rPr>
          <w:szCs w:val="24"/>
          <w:lang w:val="ru-RU"/>
        </w:rPr>
        <w:t xml:space="preserve"> и</w:t>
      </w:r>
      <w:r w:rsidRPr="00335567">
        <w:rPr>
          <w:szCs w:val="24"/>
          <w:lang w:val="ru-RU"/>
        </w:rPr>
        <w:t xml:space="preserve"> 50 </w:t>
      </w:r>
      <w:r w:rsidR="002B340B" w:rsidRPr="00335567">
        <w:rPr>
          <w:rFonts w:eastAsia="Calibri" w:cs="Calibri"/>
          <w:color w:val="000000" w:themeColor="text1"/>
          <w:lang w:val="ru-RU"/>
        </w:rPr>
        <w:t>млн. швейцарских франков</w:t>
      </w:r>
      <w:r w:rsidRPr="00335567">
        <w:rPr>
          <w:szCs w:val="24"/>
          <w:lang w:val="ru-RU"/>
        </w:rPr>
        <w:t xml:space="preserve">, </w:t>
      </w:r>
      <w:r w:rsidR="00AC221D" w:rsidRPr="00335567">
        <w:rPr>
          <w:szCs w:val="24"/>
          <w:lang w:val="ru-RU"/>
        </w:rPr>
        <w:t>на основании существующих международных показателей, соответственно, Всемирного банка и Европейского союза</w:t>
      </w:r>
      <w:r w:rsidRPr="00335567">
        <w:rPr>
          <w:szCs w:val="24"/>
          <w:lang w:val="ru-RU"/>
        </w:rPr>
        <w:t xml:space="preserve">. </w:t>
      </w:r>
    </w:p>
    <w:p w:rsidR="0070607B" w:rsidRPr="00335567" w:rsidRDefault="0070607B" w:rsidP="00AC221D">
      <w:pPr>
        <w:pStyle w:val="Heading1"/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4</w:t>
      </w:r>
      <w:r w:rsidRPr="00335567">
        <w:rPr>
          <w:rFonts w:eastAsia="Calibri"/>
          <w:szCs w:val="24"/>
          <w:lang w:val="ru-RU"/>
        </w:rPr>
        <w:tab/>
      </w:r>
      <w:r w:rsidR="00AC221D" w:rsidRPr="00335567">
        <w:rPr>
          <w:rFonts w:eastAsia="Calibri"/>
          <w:szCs w:val="24"/>
          <w:lang w:val="ru-RU"/>
        </w:rPr>
        <w:t>Потенциальный максимальный уровень доходов для МСП</w:t>
      </w:r>
    </w:p>
    <w:p w:rsidR="0070607B" w:rsidRPr="00335567" w:rsidRDefault="0070607B" w:rsidP="00A64D66">
      <w:pPr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4.1</w:t>
      </w:r>
      <w:r w:rsidRPr="00335567">
        <w:rPr>
          <w:rFonts w:eastAsia="Calibri"/>
          <w:lang w:val="ru-RU"/>
        </w:rPr>
        <w:tab/>
      </w:r>
      <w:r w:rsidR="00AC221D" w:rsidRPr="00335567">
        <w:rPr>
          <w:rFonts w:eastAsia="Calibri"/>
          <w:lang w:val="ru-RU"/>
        </w:rPr>
        <w:t xml:space="preserve">Ниже приводится анализ </w:t>
      </w:r>
      <w:r w:rsidR="001F4480" w:rsidRPr="00335567">
        <w:rPr>
          <w:rFonts w:eastAsia="Calibri"/>
          <w:lang w:val="ru-RU"/>
        </w:rPr>
        <w:t>потенциальных последствий рекомендованных РГС-ФЛР двух вариантов</w:t>
      </w:r>
      <w:r w:rsidRPr="00335567">
        <w:rPr>
          <w:rFonts w:eastAsia="Calibri"/>
          <w:lang w:val="ru-RU"/>
        </w:rPr>
        <w:t xml:space="preserve">: </w:t>
      </w:r>
      <w:r w:rsidRPr="00335567">
        <w:rPr>
          <w:rFonts w:eastAsia="Calibri"/>
          <w:b/>
          <w:bCs/>
          <w:lang w:val="ru-RU"/>
        </w:rPr>
        <w:t xml:space="preserve">15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млн. швейцарских франков</w:t>
      </w:r>
      <w:r w:rsidRPr="00335567">
        <w:rPr>
          <w:rFonts w:eastAsia="Calibri"/>
          <w:lang w:val="ru-RU"/>
        </w:rPr>
        <w:t xml:space="preserve"> и </w:t>
      </w:r>
      <w:r w:rsidRPr="00335567">
        <w:rPr>
          <w:rFonts w:eastAsia="Calibri"/>
          <w:b/>
          <w:bCs/>
          <w:lang w:val="ru-RU"/>
        </w:rPr>
        <w:t xml:space="preserve">50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млн. швейцарских франков</w:t>
      </w:r>
      <w:r w:rsidRPr="00335567">
        <w:rPr>
          <w:rFonts w:eastAsia="Calibri"/>
          <w:lang w:val="ru-RU"/>
        </w:rPr>
        <w:t xml:space="preserve">. </w:t>
      </w:r>
    </w:p>
    <w:p w:rsidR="0070607B" w:rsidRPr="00335567" w:rsidRDefault="001F4480" w:rsidP="001F4480">
      <w:pPr>
        <w:pStyle w:val="Headingi"/>
        <w:rPr>
          <w:rFonts w:eastAsia="Calibri"/>
          <w:b/>
          <w:bCs/>
          <w:lang w:val="ru-RU"/>
        </w:rPr>
      </w:pPr>
      <w:r w:rsidRPr="00335567">
        <w:rPr>
          <w:rFonts w:eastAsia="Calibri"/>
          <w:b/>
          <w:bCs/>
          <w:lang w:val="ru-RU"/>
        </w:rPr>
        <w:lastRenderedPageBreak/>
        <w:t>Обследование Членов Секторов и Ассоциированных членов</w:t>
      </w:r>
    </w:p>
    <w:p w:rsidR="0070607B" w:rsidRPr="00335567" w:rsidRDefault="0070607B" w:rsidP="00A64D66">
      <w:pPr>
        <w:rPr>
          <w:rFonts w:eastAsia="Calibri" w:cs="Calibri"/>
          <w:color w:val="000000" w:themeColor="text1"/>
          <w:szCs w:val="24"/>
          <w:lang w:val="ru-RU"/>
        </w:rPr>
      </w:pPr>
      <w:r w:rsidRPr="00335567">
        <w:rPr>
          <w:rFonts w:eastAsia="Calibri" w:cs="Calibri"/>
          <w:color w:val="000000" w:themeColor="text1"/>
          <w:szCs w:val="24"/>
          <w:lang w:val="ru-RU"/>
        </w:rPr>
        <w:t>4.2</w:t>
      </w:r>
      <w:r w:rsidRPr="00335567">
        <w:rPr>
          <w:rFonts w:eastAsia="Calibri" w:cs="Calibri"/>
          <w:color w:val="000000" w:themeColor="text1"/>
          <w:szCs w:val="24"/>
          <w:lang w:val="ru-RU"/>
        </w:rPr>
        <w:tab/>
      </w:r>
      <w:r w:rsidR="001F4480" w:rsidRPr="00335567">
        <w:rPr>
          <w:rFonts w:eastAsia="Calibri" w:cs="Calibri"/>
          <w:color w:val="000000" w:themeColor="text1"/>
          <w:szCs w:val="24"/>
          <w:lang w:val="ru-RU"/>
        </w:rPr>
        <w:t xml:space="preserve">Поскольку доходы МСП, как правило, не являются общеизвестными, Генеральный секретариат направил в феврале 2019 года </w:t>
      </w:r>
      <w:r w:rsidR="00A64D66" w:rsidRPr="00335567">
        <w:rPr>
          <w:rFonts w:eastAsia="Calibri" w:cs="Calibri"/>
          <w:color w:val="000000" w:themeColor="text1"/>
          <w:szCs w:val="24"/>
          <w:lang w:val="ru-RU"/>
        </w:rPr>
        <w:t>вопросник</w:t>
      </w:r>
      <w:r w:rsidR="001F4480" w:rsidRPr="00335567">
        <w:rPr>
          <w:rFonts w:eastAsia="Calibri" w:cs="Calibri"/>
          <w:color w:val="000000" w:themeColor="text1"/>
          <w:szCs w:val="24"/>
          <w:lang w:val="ru-RU"/>
        </w:rPr>
        <w:t xml:space="preserve"> всем выплачивающим взносы </w:t>
      </w:r>
      <w:r w:rsidR="0034342C" w:rsidRPr="00335567">
        <w:rPr>
          <w:rFonts w:eastAsia="Calibri" w:cs="Calibri"/>
          <w:color w:val="000000" w:themeColor="text1"/>
          <w:szCs w:val="24"/>
          <w:lang w:val="ru-RU"/>
        </w:rPr>
        <w:t>Членам Секторов и Ассоциированным членам, чтобы получить информацию о размерах компаний</w:t>
      </w:r>
      <w:r w:rsidRPr="00335567">
        <w:rPr>
          <w:rFonts w:eastAsia="Calibri" w:cs="Calibri"/>
          <w:color w:val="000000" w:themeColor="text1"/>
          <w:szCs w:val="24"/>
          <w:lang w:val="ru-RU"/>
        </w:rPr>
        <w:t xml:space="preserve">. </w:t>
      </w:r>
      <w:r w:rsidR="0034342C" w:rsidRPr="00335567">
        <w:rPr>
          <w:rFonts w:eastAsia="Calibri" w:cs="Calibri"/>
          <w:color w:val="000000" w:themeColor="text1"/>
          <w:szCs w:val="24"/>
          <w:lang w:val="ru-RU"/>
        </w:rPr>
        <w:t xml:space="preserve">На </w:t>
      </w:r>
      <w:r w:rsidR="00A64D66" w:rsidRPr="00335567">
        <w:rPr>
          <w:rFonts w:eastAsia="Calibri" w:cs="Calibri"/>
          <w:color w:val="000000" w:themeColor="text1"/>
          <w:szCs w:val="24"/>
          <w:lang w:val="ru-RU"/>
        </w:rPr>
        <w:t>вопросник</w:t>
      </w:r>
      <w:r w:rsidR="0034342C" w:rsidRPr="00335567">
        <w:rPr>
          <w:rFonts w:eastAsia="Calibri" w:cs="Calibri"/>
          <w:color w:val="000000" w:themeColor="text1"/>
          <w:szCs w:val="24"/>
          <w:lang w:val="ru-RU"/>
        </w:rPr>
        <w:t xml:space="preserve"> ответили почти 100 компаний – около 15% от общего числа</w:t>
      </w:r>
      <w:r w:rsidRPr="00335567">
        <w:rPr>
          <w:rFonts w:eastAsia="Calibri" w:cs="Calibri"/>
          <w:color w:val="000000" w:themeColor="text1"/>
          <w:szCs w:val="24"/>
          <w:lang w:val="ru-RU"/>
        </w:rPr>
        <w:t xml:space="preserve">. </w:t>
      </w:r>
    </w:p>
    <w:p w:rsidR="0070607B" w:rsidRPr="00335567" w:rsidRDefault="0034342C" w:rsidP="0034342C">
      <w:pPr>
        <w:pStyle w:val="Headingi"/>
        <w:rPr>
          <w:rFonts w:eastAsia="Calibri"/>
          <w:b/>
          <w:bCs/>
          <w:lang w:val="ru-RU"/>
        </w:rPr>
      </w:pPr>
      <w:r w:rsidRPr="00335567">
        <w:rPr>
          <w:rFonts w:eastAsia="Calibri"/>
          <w:b/>
          <w:bCs/>
          <w:lang w:val="ru-RU"/>
        </w:rPr>
        <w:t>Оценочное число МСП среди Членов на текущий момент</w:t>
      </w:r>
    </w:p>
    <w:p w:rsidR="0070607B" w:rsidRPr="00335567" w:rsidDel="00B7751F" w:rsidRDefault="0070607B" w:rsidP="0034342C">
      <w:pPr>
        <w:rPr>
          <w:rFonts w:eastAsia="Calibri" w:cs="Calibri"/>
          <w:color w:val="000000" w:themeColor="text1"/>
          <w:lang w:val="ru-RU"/>
        </w:rPr>
      </w:pPr>
      <w:r w:rsidRPr="00335567">
        <w:rPr>
          <w:rFonts w:eastAsia="Calibri" w:cs="Calibri"/>
          <w:color w:val="000000" w:themeColor="text1"/>
          <w:lang w:val="ru-RU"/>
        </w:rPr>
        <w:t>4.3</w:t>
      </w:r>
      <w:r w:rsidRPr="00335567">
        <w:rPr>
          <w:rFonts w:eastAsia="Calibri" w:cs="Calibri"/>
          <w:color w:val="000000" w:themeColor="text1"/>
          <w:szCs w:val="24"/>
          <w:lang w:val="ru-RU"/>
        </w:rPr>
        <w:tab/>
      </w:r>
      <w:r w:rsidR="0034342C" w:rsidRPr="00335567">
        <w:rPr>
          <w:rFonts w:eastAsia="Calibri" w:cs="Calibri"/>
          <w:color w:val="000000" w:themeColor="text1"/>
          <w:szCs w:val="24"/>
          <w:lang w:val="ru-RU"/>
        </w:rPr>
        <w:t>Если считать, что эти данные представительны для членского состава в целом</w:t>
      </w:r>
      <w:r w:rsidRPr="00335567">
        <w:rPr>
          <w:rFonts w:eastAsia="Calibri" w:cs="Calibri"/>
          <w:color w:val="000000" w:themeColor="text1"/>
          <w:lang w:val="ru-RU"/>
        </w:rPr>
        <w:t xml:space="preserve">, </w:t>
      </w:r>
      <w:r w:rsidR="0034342C" w:rsidRPr="00335567">
        <w:rPr>
          <w:rFonts w:eastAsia="Calibri" w:cs="Calibri"/>
          <w:color w:val="000000" w:themeColor="text1"/>
          <w:lang w:val="ru-RU"/>
        </w:rPr>
        <w:t>то</w:t>
      </w:r>
      <w:r w:rsidRPr="00335567">
        <w:rPr>
          <w:rFonts w:eastAsia="Calibri" w:cs="Calibri"/>
          <w:color w:val="000000" w:themeColor="text1"/>
          <w:lang w:val="ru-RU"/>
        </w:rPr>
        <w:t xml:space="preserve"> 20% </w:t>
      </w:r>
      <w:r w:rsidR="0034342C" w:rsidRPr="00335567">
        <w:rPr>
          <w:rFonts w:eastAsia="Calibri" w:cs="Calibri"/>
          <w:color w:val="000000" w:themeColor="text1"/>
          <w:lang w:val="ru-RU"/>
        </w:rPr>
        <w:t>Членов</w:t>
      </w:r>
      <w:r w:rsidRPr="00335567">
        <w:rPr>
          <w:rFonts w:eastAsia="Calibri" w:cs="Calibri"/>
          <w:color w:val="000000" w:themeColor="text1"/>
          <w:lang w:val="ru-RU"/>
        </w:rPr>
        <w:t xml:space="preserve"> (13% </w:t>
      </w:r>
      <w:r w:rsidR="0034342C" w:rsidRPr="00335567">
        <w:rPr>
          <w:rFonts w:eastAsia="Calibri" w:cs="Calibri"/>
          <w:color w:val="000000" w:themeColor="text1"/>
          <w:lang w:val="ru-RU"/>
        </w:rPr>
        <w:t>Членов Секторов и</w:t>
      </w:r>
      <w:r w:rsidRPr="00335567">
        <w:rPr>
          <w:rFonts w:eastAsia="Calibri" w:cs="Calibri"/>
          <w:color w:val="000000" w:themeColor="text1"/>
          <w:lang w:val="ru-RU"/>
        </w:rPr>
        <w:t xml:space="preserve"> 33% </w:t>
      </w:r>
      <w:r w:rsidR="0034342C" w:rsidRPr="00335567">
        <w:rPr>
          <w:rFonts w:eastAsia="Calibri" w:cs="Calibri"/>
          <w:color w:val="000000" w:themeColor="text1"/>
          <w:lang w:val="ru-RU"/>
        </w:rPr>
        <w:t>Ассоциированных членов</w:t>
      </w:r>
      <w:r w:rsidRPr="00335567">
        <w:rPr>
          <w:rFonts w:eastAsia="Calibri" w:cs="Calibri"/>
          <w:color w:val="000000" w:themeColor="text1"/>
          <w:lang w:val="ru-RU"/>
        </w:rPr>
        <w:t xml:space="preserve">) </w:t>
      </w:r>
      <w:r w:rsidR="0034342C" w:rsidRPr="00335567">
        <w:rPr>
          <w:rFonts w:eastAsia="Calibri" w:cs="Calibri"/>
          <w:color w:val="000000" w:themeColor="text1"/>
          <w:lang w:val="ru-RU"/>
        </w:rPr>
        <w:t>потенциально являются МСП, при наиболее широком определении – менее</w:t>
      </w:r>
      <w:r w:rsidRPr="00335567">
        <w:rPr>
          <w:rFonts w:eastAsia="Calibri" w:cs="Calibri"/>
          <w:color w:val="000000" w:themeColor="text1"/>
          <w:lang w:val="ru-RU"/>
        </w:rPr>
        <w:t xml:space="preserve"> 250</w:t>
      </w:r>
      <w:r w:rsidR="0034342C" w:rsidRPr="00335567">
        <w:rPr>
          <w:rFonts w:eastAsia="Calibri" w:cs="Calibri"/>
          <w:color w:val="000000" w:themeColor="text1"/>
          <w:lang w:val="ru-RU"/>
        </w:rPr>
        <w:t> работников и доходы ниже</w:t>
      </w:r>
      <w:r w:rsidRPr="00335567">
        <w:rPr>
          <w:rFonts w:eastAsia="Calibri" w:cs="Calibri"/>
          <w:color w:val="000000" w:themeColor="text1"/>
          <w:lang w:val="ru-RU"/>
        </w:rPr>
        <w:t xml:space="preserve"> 50</w:t>
      </w:r>
      <w:r w:rsidR="0034342C" w:rsidRPr="00335567">
        <w:rPr>
          <w:rFonts w:eastAsia="Calibri" w:cs="Calibri"/>
          <w:color w:val="000000" w:themeColor="text1"/>
          <w:lang w:val="ru-RU"/>
        </w:rPr>
        <w:t> </w:t>
      </w:r>
      <w:r w:rsidRPr="00335567">
        <w:rPr>
          <w:rFonts w:eastAsia="Calibri" w:cs="Calibri"/>
          <w:color w:val="000000" w:themeColor="text1"/>
          <w:lang w:val="ru-RU"/>
        </w:rPr>
        <w:t xml:space="preserve">млн. швейцарских франков. </w:t>
      </w:r>
      <w:r w:rsidR="0034342C" w:rsidRPr="00335567">
        <w:rPr>
          <w:rFonts w:eastAsia="Calibri" w:cs="Calibri"/>
          <w:color w:val="000000" w:themeColor="text1"/>
          <w:lang w:val="ru-RU"/>
        </w:rPr>
        <w:t>Из</w:t>
      </w:r>
      <w:r w:rsidR="00A64D66" w:rsidRPr="00335567">
        <w:rPr>
          <w:rFonts w:eastAsia="Calibri" w:cs="Calibri"/>
          <w:color w:val="000000" w:themeColor="text1"/>
          <w:lang w:val="ru-RU"/>
        </w:rPr>
        <w:t> </w:t>
      </w:r>
      <w:r w:rsidR="0034342C" w:rsidRPr="00335567">
        <w:rPr>
          <w:rFonts w:eastAsia="Calibri" w:cs="Calibri"/>
          <w:color w:val="000000" w:themeColor="text1"/>
          <w:lang w:val="ru-RU"/>
        </w:rPr>
        <w:t xml:space="preserve">этих респондентов </w:t>
      </w:r>
      <w:r w:rsidRPr="00335567">
        <w:rPr>
          <w:rFonts w:eastAsia="Calibri" w:cs="Calibri"/>
          <w:color w:val="000000" w:themeColor="text1"/>
          <w:lang w:val="ru-RU"/>
        </w:rPr>
        <w:t xml:space="preserve">70% </w:t>
      </w:r>
      <w:r w:rsidR="0034342C" w:rsidRPr="00335567">
        <w:rPr>
          <w:rFonts w:eastAsia="Calibri" w:cs="Calibri"/>
          <w:color w:val="000000" w:themeColor="text1"/>
          <w:lang w:val="ru-RU"/>
        </w:rPr>
        <w:t>из развитых стран и 30% – из развивающихся стран</w:t>
      </w:r>
      <w:r w:rsidRPr="00335567">
        <w:rPr>
          <w:rFonts w:eastAsia="Calibri" w:cs="Calibri"/>
          <w:color w:val="000000" w:themeColor="text1"/>
          <w:lang w:val="ru-RU"/>
        </w:rPr>
        <w:t xml:space="preserve">. </w:t>
      </w:r>
    </w:p>
    <w:p w:rsidR="0070607B" w:rsidRPr="00335567" w:rsidRDefault="0034342C" w:rsidP="0034342C">
      <w:pPr>
        <w:pStyle w:val="Headingi"/>
        <w:rPr>
          <w:rFonts w:eastAsia="Calibri"/>
          <w:b/>
          <w:bCs/>
          <w:lang w:val="ru-RU"/>
        </w:rPr>
      </w:pPr>
      <w:r w:rsidRPr="00335567">
        <w:rPr>
          <w:rFonts w:eastAsia="Calibri"/>
          <w:b/>
          <w:bCs/>
          <w:lang w:val="ru-RU"/>
        </w:rPr>
        <w:t>Оценка дохода, подвергающегося риску</w:t>
      </w:r>
    </w:p>
    <w:p w:rsidR="0070607B" w:rsidRPr="00335567" w:rsidDel="00B7751F" w:rsidRDefault="0070607B" w:rsidP="00D026ED">
      <w:pPr>
        <w:rPr>
          <w:rFonts w:eastAsia="Calibri" w:cs="Calibri"/>
          <w:color w:val="000000" w:themeColor="text1"/>
          <w:lang w:val="ru-RU"/>
        </w:rPr>
      </w:pPr>
      <w:r w:rsidRPr="00335567">
        <w:rPr>
          <w:rFonts w:eastAsia="Calibri" w:cs="Calibri"/>
          <w:color w:val="000000" w:themeColor="text1"/>
          <w:lang w:val="ru-RU"/>
        </w:rPr>
        <w:t>4.4</w:t>
      </w:r>
      <w:r w:rsidRPr="00335567">
        <w:rPr>
          <w:rFonts w:eastAsia="Calibri" w:cs="Calibri"/>
          <w:color w:val="000000" w:themeColor="text1"/>
          <w:lang w:val="ru-RU"/>
        </w:rPr>
        <w:tab/>
      </w:r>
      <w:r w:rsidR="00D026ED" w:rsidRPr="00335567">
        <w:rPr>
          <w:rFonts w:eastAsia="Calibri" w:cs="Calibri"/>
          <w:color w:val="000000" w:themeColor="text1"/>
          <w:lang w:val="ru-RU"/>
        </w:rPr>
        <w:t>Поскольку пониженные взносы для МСП будут применяться только к категории Ассоциированных членов, в следующих оценках учитываются имеющиеся данные по Ассоциированным членам, а не Членам Секторов</w:t>
      </w:r>
      <w:r w:rsidRPr="00335567">
        <w:rPr>
          <w:rFonts w:eastAsia="Calibri" w:cs="Calibri"/>
          <w:color w:val="000000" w:themeColor="text1"/>
          <w:lang w:val="ru-RU"/>
        </w:rPr>
        <w:t>.</w:t>
      </w:r>
    </w:p>
    <w:p w:rsidR="0070607B" w:rsidRPr="00335567" w:rsidDel="00B7751F" w:rsidRDefault="0070607B" w:rsidP="00C22245">
      <w:pPr>
        <w:rPr>
          <w:rFonts w:eastAsia="Calibri" w:cs="Calibri"/>
          <w:color w:val="000000" w:themeColor="text1"/>
          <w:lang w:val="ru-RU"/>
        </w:rPr>
      </w:pPr>
      <w:r w:rsidRPr="00335567">
        <w:rPr>
          <w:rFonts w:eastAsia="Calibri" w:cs="Calibri"/>
          <w:color w:val="000000" w:themeColor="text1"/>
          <w:lang w:val="ru-RU"/>
        </w:rPr>
        <w:t>4.5</w:t>
      </w:r>
      <w:r w:rsidRPr="00335567">
        <w:rPr>
          <w:rFonts w:eastAsia="Calibri" w:cs="Calibri"/>
          <w:color w:val="000000" w:themeColor="text1"/>
          <w:lang w:val="ru-RU"/>
        </w:rPr>
        <w:tab/>
      </w:r>
      <w:r w:rsidR="00D026ED" w:rsidRPr="00335567">
        <w:rPr>
          <w:rFonts w:eastAsia="Calibri" w:cs="Calibri"/>
          <w:color w:val="000000" w:themeColor="text1"/>
          <w:lang w:val="ru-RU"/>
        </w:rPr>
        <w:t>По результатам обследования, если рассматривать только Ассоциированных членов с менее чем 250 работниками</w:t>
      </w:r>
      <w:r w:rsidRPr="00335567">
        <w:rPr>
          <w:rFonts w:eastAsia="Calibri" w:cs="Calibri"/>
          <w:color w:val="000000" w:themeColor="text1"/>
          <w:lang w:val="ru-RU"/>
        </w:rPr>
        <w:t xml:space="preserve">,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 xml:space="preserve">90% </w:t>
      </w:r>
      <w:r w:rsidR="00C22245" w:rsidRPr="00335567">
        <w:rPr>
          <w:rFonts w:eastAsia="Calibri" w:cs="Calibri"/>
          <w:color w:val="000000" w:themeColor="text1"/>
          <w:lang w:val="ru-RU"/>
        </w:rPr>
        <w:t>попадают в категорию с годовыми доходами менее</w:t>
      </w:r>
      <w:r w:rsidRPr="00335567">
        <w:rPr>
          <w:rFonts w:eastAsia="Calibri" w:cs="Calibri"/>
          <w:color w:val="000000" w:themeColor="text1"/>
          <w:lang w:val="ru-RU"/>
        </w:rPr>
        <w:t xml:space="preserve">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50 млн. швейцарских франков</w:t>
      </w:r>
      <w:r w:rsidRPr="00335567">
        <w:rPr>
          <w:rFonts w:eastAsia="Calibri" w:cs="Calibri"/>
          <w:color w:val="000000" w:themeColor="text1"/>
          <w:lang w:val="ru-RU"/>
        </w:rPr>
        <w:t xml:space="preserve">. </w:t>
      </w:r>
      <w:r w:rsidR="00C22245" w:rsidRPr="00335567">
        <w:rPr>
          <w:rFonts w:eastAsia="Calibri" w:cs="Calibri"/>
          <w:color w:val="000000" w:themeColor="text1"/>
          <w:lang w:val="ru-RU"/>
        </w:rPr>
        <w:t xml:space="preserve">На этой основе подвергающиеся риску доходы </w:t>
      </w:r>
      <w:r w:rsidR="00335567" w:rsidRPr="00335567">
        <w:rPr>
          <w:rFonts w:eastAsia="Calibri" w:cs="Calibri"/>
          <w:color w:val="000000" w:themeColor="text1"/>
          <w:lang w:val="ru-RU"/>
        </w:rPr>
        <w:t xml:space="preserve">от </w:t>
      </w:r>
      <w:r w:rsidR="00C22245" w:rsidRPr="00335567">
        <w:rPr>
          <w:rFonts w:eastAsia="Calibri" w:cs="Calibri"/>
          <w:color w:val="000000" w:themeColor="text1"/>
          <w:lang w:val="ru-RU"/>
        </w:rPr>
        <w:t>имеющихся Ассоциированных членов, переходящих на вариант пониженных взносов, оцениваются примерно в</w:t>
      </w:r>
      <w:r w:rsidRPr="00335567">
        <w:rPr>
          <w:rFonts w:eastAsia="Calibri" w:cs="Calibri"/>
          <w:color w:val="000000" w:themeColor="text1"/>
          <w:lang w:val="ru-RU"/>
        </w:rPr>
        <w:t xml:space="preserve">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425 </w:t>
      </w:r>
      <w:r w:rsidR="002B340B" w:rsidRPr="00335567">
        <w:rPr>
          <w:rFonts w:eastAsia="Calibri" w:cs="Calibri"/>
          <w:b/>
          <w:bCs/>
          <w:color w:val="000000" w:themeColor="text1"/>
          <w:lang w:val="ru-RU"/>
        </w:rPr>
        <w:t>000 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швейцарских франков в год</w:t>
      </w:r>
      <w:r w:rsidRPr="00335567">
        <w:rPr>
          <w:rFonts w:eastAsia="Calibri" w:cs="Calibri"/>
          <w:color w:val="000000" w:themeColor="text1"/>
          <w:lang w:val="ru-RU"/>
        </w:rPr>
        <w:t xml:space="preserve">. </w:t>
      </w:r>
    </w:p>
    <w:p w:rsidR="0070607B" w:rsidRPr="00335567" w:rsidDel="00B7751F" w:rsidRDefault="0070607B" w:rsidP="00335567">
      <w:pPr>
        <w:rPr>
          <w:rFonts w:eastAsia="Calibri" w:cs="Calibri"/>
          <w:color w:val="000000" w:themeColor="text1"/>
          <w:lang w:val="ru-RU"/>
        </w:rPr>
      </w:pPr>
      <w:r w:rsidRPr="00335567">
        <w:rPr>
          <w:rFonts w:eastAsia="Calibri" w:cs="Calibri"/>
          <w:color w:val="000000" w:themeColor="text1"/>
          <w:lang w:val="ru-RU"/>
        </w:rPr>
        <w:t>4.6</w:t>
      </w:r>
      <w:r w:rsidRPr="00335567">
        <w:rPr>
          <w:rFonts w:eastAsia="Calibri" w:cs="Calibri"/>
          <w:color w:val="000000" w:themeColor="text1"/>
          <w:lang w:val="ru-RU"/>
        </w:rPr>
        <w:tab/>
      </w:r>
      <w:r w:rsidR="00C22245" w:rsidRPr="00335567">
        <w:rPr>
          <w:rFonts w:eastAsia="Calibri" w:cs="Calibri"/>
          <w:color w:val="000000" w:themeColor="text1"/>
          <w:lang w:val="ru-RU"/>
        </w:rPr>
        <w:t>Если рассматривать то же число для порогового значения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 xml:space="preserve"> 15 млн. швейцарских франков</w:t>
      </w:r>
      <w:r w:rsidRPr="00335567">
        <w:rPr>
          <w:rFonts w:eastAsia="Calibri" w:cs="Calibri"/>
          <w:color w:val="000000" w:themeColor="text1"/>
          <w:lang w:val="ru-RU"/>
        </w:rPr>
        <w:t xml:space="preserve">, </w:t>
      </w:r>
      <w:r w:rsidR="00C22245" w:rsidRPr="00335567">
        <w:rPr>
          <w:rFonts w:eastAsia="Calibri" w:cs="Calibri"/>
          <w:color w:val="000000" w:themeColor="text1"/>
          <w:lang w:val="ru-RU"/>
        </w:rPr>
        <w:t xml:space="preserve">затрагиваемая группа сокращается примерно до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80%</w:t>
      </w:r>
      <w:r w:rsidRPr="00335567">
        <w:rPr>
          <w:rFonts w:eastAsia="Calibri" w:cs="Calibri"/>
          <w:color w:val="000000" w:themeColor="text1"/>
          <w:lang w:val="ru-RU"/>
        </w:rPr>
        <w:t xml:space="preserve">, </w:t>
      </w:r>
      <w:r w:rsidR="00335567" w:rsidRPr="00335567">
        <w:rPr>
          <w:rFonts w:eastAsia="Calibri" w:cs="Calibri"/>
          <w:color w:val="000000" w:themeColor="text1"/>
          <w:lang w:val="ru-RU"/>
        </w:rPr>
        <w:t>снижая</w:t>
      </w:r>
      <w:r w:rsidR="00C22245" w:rsidRPr="00335567">
        <w:rPr>
          <w:rFonts w:eastAsia="Calibri" w:cs="Calibri"/>
          <w:color w:val="000000" w:themeColor="text1"/>
          <w:lang w:val="ru-RU"/>
        </w:rPr>
        <w:t xml:space="preserve"> оценку доходов, подвергающихся риску, до примерно</w:t>
      </w:r>
      <w:r w:rsidRPr="00335567">
        <w:rPr>
          <w:rFonts w:eastAsia="Calibri" w:cs="Calibri"/>
          <w:color w:val="000000" w:themeColor="text1"/>
          <w:lang w:val="ru-RU"/>
        </w:rPr>
        <w:t xml:space="preserve">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365 000 швейцарских франков в год</w:t>
      </w:r>
      <w:r w:rsidRPr="00335567">
        <w:rPr>
          <w:rFonts w:eastAsia="Calibri" w:cs="Calibri"/>
          <w:color w:val="000000" w:themeColor="text1"/>
          <w:lang w:val="ru-RU"/>
        </w:rPr>
        <w:t>.</w:t>
      </w:r>
    </w:p>
    <w:p w:rsidR="0070607B" w:rsidRPr="00335567" w:rsidRDefault="0070607B" w:rsidP="00335567">
      <w:pPr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4.7</w:t>
      </w:r>
      <w:r w:rsidRPr="00335567">
        <w:rPr>
          <w:rFonts w:eastAsia="Calibri"/>
          <w:lang w:val="ru-RU"/>
        </w:rPr>
        <w:tab/>
      </w:r>
      <w:r w:rsidR="00C22245" w:rsidRPr="00335567">
        <w:rPr>
          <w:rFonts w:eastAsia="Calibri"/>
          <w:lang w:val="ru-RU"/>
        </w:rPr>
        <w:t>Имеющиеся данные не показывают большой разницы в подвергающихся риску доходах между двумя потенциальными пороговыми значениями, но возможна значительная погрешность с учетом размеров выборки</w:t>
      </w:r>
      <w:r w:rsidRPr="00335567">
        <w:rPr>
          <w:rFonts w:eastAsia="Calibri"/>
          <w:lang w:val="ru-RU"/>
        </w:rPr>
        <w:t xml:space="preserve">. </w:t>
      </w:r>
      <w:r w:rsidR="00C22245" w:rsidRPr="00335567">
        <w:rPr>
          <w:rFonts w:eastAsia="Calibri"/>
          <w:lang w:val="ru-RU"/>
        </w:rPr>
        <w:t xml:space="preserve">Это означает, что фактически подвергающиеся риску доходы </w:t>
      </w:r>
      <w:r w:rsidR="00335567" w:rsidRPr="00335567">
        <w:rPr>
          <w:rFonts w:eastAsia="Calibri"/>
          <w:lang w:val="ru-RU"/>
        </w:rPr>
        <w:t>от всех</w:t>
      </w:r>
      <w:r w:rsidR="00C22245" w:rsidRPr="00335567">
        <w:rPr>
          <w:rFonts w:eastAsia="Calibri"/>
          <w:lang w:val="ru-RU"/>
        </w:rPr>
        <w:t xml:space="preserve"> имеющихся Членов</w:t>
      </w:r>
      <w:r w:rsidR="00AE0E14" w:rsidRPr="00335567">
        <w:rPr>
          <w:rFonts w:eastAsia="Calibri"/>
          <w:lang w:val="ru-RU"/>
        </w:rPr>
        <w:t xml:space="preserve"> могут быть выше или ниже, чем прогнозы на основании имеющихся данных</w:t>
      </w:r>
      <w:r w:rsidRPr="00335567">
        <w:rPr>
          <w:rFonts w:eastAsia="Calibri"/>
          <w:lang w:val="ru-RU"/>
        </w:rPr>
        <w:t xml:space="preserve">. </w:t>
      </w:r>
    </w:p>
    <w:p w:rsidR="0070607B" w:rsidRPr="00335567" w:rsidRDefault="0070607B" w:rsidP="00A64D66">
      <w:pPr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4.8</w:t>
      </w:r>
      <w:r w:rsidRPr="00335567">
        <w:rPr>
          <w:rFonts w:eastAsia="Calibri"/>
          <w:lang w:val="ru-RU"/>
        </w:rPr>
        <w:tab/>
      </w:r>
      <w:r w:rsidR="00AE0E14" w:rsidRPr="00335567">
        <w:rPr>
          <w:rFonts w:eastAsia="Calibri"/>
          <w:lang w:val="ru-RU"/>
        </w:rPr>
        <w:t>Кроме того, приведенные выше оценки не учитывают возможност</w:t>
      </w:r>
      <w:r w:rsidR="00A64D66" w:rsidRPr="00335567">
        <w:rPr>
          <w:rFonts w:eastAsia="Calibri"/>
          <w:lang w:val="ru-RU"/>
        </w:rPr>
        <w:t>и</w:t>
      </w:r>
      <w:r w:rsidR="00AE0E14" w:rsidRPr="00335567">
        <w:rPr>
          <w:rFonts w:eastAsia="Calibri"/>
          <w:lang w:val="ru-RU"/>
        </w:rPr>
        <w:t xml:space="preserve"> того, что какой-нибудь из имеющихся Членов Секторов, относящийся к МСП, может выбрать вариант пониженных взносов и понизить класс своего членства</w:t>
      </w:r>
      <w:r w:rsidRPr="00335567">
        <w:rPr>
          <w:rFonts w:eastAsia="Calibri"/>
          <w:lang w:val="ru-RU"/>
        </w:rPr>
        <w:t>.</w:t>
      </w:r>
    </w:p>
    <w:p w:rsidR="0070607B" w:rsidRPr="00335567" w:rsidRDefault="0070607B" w:rsidP="00DB59C7">
      <w:pPr>
        <w:pStyle w:val="Heading1"/>
        <w:rPr>
          <w:rFonts w:eastAsia="Calibri"/>
          <w:lang w:val="ru-RU"/>
        </w:rPr>
      </w:pPr>
      <w:r w:rsidRPr="00335567">
        <w:rPr>
          <w:rFonts w:eastAsia="Calibri"/>
          <w:lang w:val="ru-RU"/>
        </w:rPr>
        <w:t>5</w:t>
      </w:r>
      <w:r w:rsidRPr="00335567">
        <w:rPr>
          <w:rFonts w:eastAsia="Calibri"/>
          <w:lang w:val="ru-RU"/>
        </w:rPr>
        <w:tab/>
      </w:r>
      <w:r w:rsidR="00DB59C7" w:rsidRPr="00335567">
        <w:rPr>
          <w:rFonts w:eastAsia="Calibri"/>
          <w:lang w:val="ru-RU"/>
        </w:rPr>
        <w:t>Рекомендации</w:t>
      </w:r>
    </w:p>
    <w:p w:rsidR="0070607B" w:rsidRPr="00335567" w:rsidRDefault="00DB59C7" w:rsidP="00DB59C7">
      <w:pPr>
        <w:rPr>
          <w:rFonts w:eastAsia="Calibri" w:cs="Calibri"/>
          <w:lang w:val="ru-RU"/>
        </w:rPr>
      </w:pPr>
      <w:r w:rsidRPr="00335567">
        <w:rPr>
          <w:rFonts w:eastAsia="Calibri" w:cs="Calibri"/>
          <w:lang w:val="ru-RU"/>
        </w:rPr>
        <w:t>Принимая во внимание вышеизложенное, рекомендуется следующее</w:t>
      </w:r>
      <w:r w:rsidR="0070607B" w:rsidRPr="00335567">
        <w:rPr>
          <w:rFonts w:eastAsia="Calibri" w:cs="Calibri"/>
          <w:lang w:val="ru-RU"/>
        </w:rPr>
        <w:t>:</w:t>
      </w:r>
    </w:p>
    <w:p w:rsidR="0070607B" w:rsidRPr="00335567" w:rsidRDefault="0070607B" w:rsidP="00DB59C7">
      <w:pPr>
        <w:rPr>
          <w:rFonts w:asciiTheme="minorHAnsi" w:hAnsiTheme="minorHAnsi"/>
          <w:color w:val="000000" w:themeColor="text1"/>
          <w:lang w:val="ru-RU"/>
        </w:rPr>
      </w:pPr>
      <w:r w:rsidRPr="00335567">
        <w:rPr>
          <w:rFonts w:asciiTheme="minorHAnsi" w:hAnsiTheme="minorHAnsi"/>
          <w:color w:val="000000"/>
          <w:lang w:val="ru-RU"/>
        </w:rPr>
        <w:lastRenderedPageBreak/>
        <w:t>5.1</w:t>
      </w:r>
      <w:r w:rsidRPr="00335567">
        <w:rPr>
          <w:rFonts w:asciiTheme="minorHAnsi" w:hAnsiTheme="minorHAnsi"/>
          <w:color w:val="000000"/>
          <w:lang w:val="ru-RU"/>
        </w:rPr>
        <w:tab/>
      </w:r>
      <w:r w:rsidR="00DB59C7" w:rsidRPr="00335567">
        <w:rPr>
          <w:rFonts w:asciiTheme="minorHAnsi" w:hAnsiTheme="minorHAnsi"/>
          <w:color w:val="000000"/>
          <w:lang w:val="ru-RU"/>
        </w:rPr>
        <w:t>Внедрять новый вариант пониженных взносов для МСП, установленный в Резолюции </w:t>
      </w:r>
      <w:r w:rsidRPr="00335567">
        <w:rPr>
          <w:rFonts w:asciiTheme="minorHAnsi" w:hAnsiTheme="minorHAnsi"/>
          <w:color w:val="000000"/>
          <w:lang w:val="ru-RU"/>
        </w:rPr>
        <w:t>209 (</w:t>
      </w:r>
      <w:r w:rsidR="00DB59C7" w:rsidRPr="00335567">
        <w:rPr>
          <w:rFonts w:asciiTheme="minorHAnsi" w:hAnsiTheme="minorHAnsi"/>
          <w:color w:val="000000"/>
          <w:lang w:val="ru-RU"/>
        </w:rPr>
        <w:t>Дубай</w:t>
      </w:r>
      <w:r w:rsidRPr="00335567">
        <w:rPr>
          <w:rFonts w:asciiTheme="minorHAnsi" w:hAnsiTheme="minorHAnsi"/>
          <w:color w:val="000000"/>
          <w:lang w:val="ru-RU"/>
        </w:rPr>
        <w:t>, 2018</w:t>
      </w:r>
      <w:r w:rsidR="00DB59C7" w:rsidRPr="00335567">
        <w:rPr>
          <w:rFonts w:asciiTheme="minorHAnsi" w:hAnsiTheme="minorHAnsi"/>
          <w:color w:val="000000"/>
          <w:lang w:val="ru-RU"/>
        </w:rPr>
        <w:t> г.</w:t>
      </w:r>
      <w:r w:rsidRPr="00335567">
        <w:rPr>
          <w:rFonts w:asciiTheme="minorHAnsi" w:hAnsiTheme="minorHAnsi"/>
          <w:color w:val="000000"/>
          <w:lang w:val="ru-RU"/>
        </w:rPr>
        <w:t>)</w:t>
      </w:r>
      <w:r w:rsidR="00DB59C7" w:rsidRPr="00335567">
        <w:rPr>
          <w:rFonts w:asciiTheme="minorHAnsi" w:hAnsiTheme="minorHAnsi"/>
          <w:color w:val="000000"/>
          <w:lang w:val="ru-RU"/>
        </w:rPr>
        <w:t xml:space="preserve">, с </w:t>
      </w:r>
      <w:r w:rsidRPr="00335567">
        <w:rPr>
          <w:rFonts w:asciiTheme="minorHAnsi" w:hAnsiTheme="minorHAnsi"/>
          <w:color w:val="000000"/>
          <w:lang w:val="ru-RU"/>
        </w:rPr>
        <w:t>31</w:t>
      </w:r>
      <w:r w:rsidR="00DB59C7" w:rsidRPr="00335567">
        <w:rPr>
          <w:rFonts w:asciiTheme="minorHAnsi" w:hAnsiTheme="minorHAnsi"/>
          <w:color w:val="000000"/>
          <w:lang w:val="ru-RU"/>
        </w:rPr>
        <w:t> января</w:t>
      </w:r>
      <w:r w:rsidRPr="00335567">
        <w:rPr>
          <w:rFonts w:asciiTheme="minorHAnsi" w:hAnsiTheme="minorHAnsi"/>
          <w:color w:val="000000"/>
          <w:lang w:val="ru-RU"/>
        </w:rPr>
        <w:t xml:space="preserve"> 2020</w:t>
      </w:r>
      <w:r w:rsidR="00DB59C7" w:rsidRPr="00335567">
        <w:rPr>
          <w:rFonts w:asciiTheme="minorHAnsi" w:hAnsiTheme="minorHAnsi"/>
          <w:color w:val="000000"/>
          <w:lang w:val="ru-RU"/>
        </w:rPr>
        <w:t> года, чтобы дать время для упорядоченного перехода, как рекомендует РГС-ФЛР</w:t>
      </w:r>
      <w:r w:rsidRPr="00335567">
        <w:rPr>
          <w:rFonts w:asciiTheme="minorHAnsi" w:hAnsiTheme="minorHAnsi"/>
          <w:color w:val="000000"/>
          <w:lang w:val="ru-RU"/>
        </w:rPr>
        <w:t>.</w:t>
      </w:r>
    </w:p>
    <w:p w:rsidR="0070607B" w:rsidRPr="00335567" w:rsidRDefault="0070607B" w:rsidP="00477748">
      <w:pPr>
        <w:rPr>
          <w:rFonts w:asciiTheme="minorHAnsi" w:hAnsiTheme="minorHAnsi"/>
          <w:lang w:val="ru-RU"/>
        </w:rPr>
      </w:pPr>
      <w:r w:rsidRPr="00335567">
        <w:rPr>
          <w:rFonts w:asciiTheme="minorHAnsi" w:hAnsiTheme="minorHAnsi"/>
          <w:color w:val="000000"/>
          <w:lang w:val="ru-RU"/>
        </w:rPr>
        <w:t xml:space="preserve">5.2 </w:t>
      </w:r>
      <w:r w:rsidRPr="00335567">
        <w:rPr>
          <w:rFonts w:asciiTheme="minorHAnsi" w:hAnsiTheme="minorHAnsi"/>
          <w:color w:val="000000"/>
          <w:lang w:val="ru-RU"/>
        </w:rPr>
        <w:tab/>
      </w:r>
      <w:r w:rsidR="00DB59C7" w:rsidRPr="00335567">
        <w:rPr>
          <w:rFonts w:asciiTheme="minorHAnsi" w:hAnsiTheme="minorHAnsi"/>
          <w:color w:val="000000"/>
          <w:lang w:val="ru-RU"/>
        </w:rPr>
        <w:t>Продолжать реализацию пилотного проекта</w:t>
      </w:r>
      <w:r w:rsidR="00477748" w:rsidRPr="00335567">
        <w:rPr>
          <w:rFonts w:asciiTheme="minorHAnsi" w:hAnsiTheme="minorHAnsi"/>
          <w:color w:val="000000"/>
          <w:lang w:val="ru-RU"/>
        </w:rPr>
        <w:t>, разработанного Советом</w:t>
      </w:r>
      <w:r w:rsidR="00477748" w:rsidRPr="00335567">
        <w:rPr>
          <w:rFonts w:asciiTheme="minorHAnsi" w:hAnsiTheme="minorHAnsi"/>
          <w:color w:val="000000"/>
          <w:lang w:val="ru-RU"/>
        </w:rPr>
        <w:noBreakHyphen/>
        <w:t>17, до внедрения новой категории участия для МСП – Ассоциированных членов</w:t>
      </w:r>
      <w:r w:rsidRPr="00335567">
        <w:rPr>
          <w:rFonts w:asciiTheme="minorHAnsi" w:hAnsiTheme="minorHAnsi"/>
          <w:color w:val="000000"/>
          <w:lang w:val="ru-RU"/>
        </w:rPr>
        <w:t xml:space="preserve">. </w:t>
      </w:r>
      <w:r w:rsidR="00477748" w:rsidRPr="00335567">
        <w:rPr>
          <w:rFonts w:asciiTheme="minorHAnsi" w:hAnsiTheme="minorHAnsi"/>
          <w:color w:val="000000"/>
          <w:lang w:val="ru-RU"/>
        </w:rPr>
        <w:t>Имеющиеся участники смогут продолжать, а новые участники могут допускаться до участия в пилотном проекте бесплатно, согласно критериям и условиям, установленным Советом</w:t>
      </w:r>
      <w:r w:rsidR="00477748" w:rsidRPr="00335567">
        <w:rPr>
          <w:rFonts w:asciiTheme="minorHAnsi" w:hAnsiTheme="minorHAnsi"/>
          <w:color w:val="000000"/>
          <w:lang w:val="ru-RU"/>
        </w:rPr>
        <w:noBreakHyphen/>
        <w:t>17</w:t>
      </w:r>
      <w:r w:rsidRPr="00335567">
        <w:rPr>
          <w:rFonts w:asciiTheme="minorHAnsi" w:hAnsiTheme="minorHAnsi"/>
          <w:color w:val="000000"/>
          <w:lang w:val="ru-RU"/>
        </w:rPr>
        <w:t>.</w:t>
      </w:r>
    </w:p>
    <w:p w:rsidR="0070607B" w:rsidRPr="00335567" w:rsidRDefault="0070607B" w:rsidP="00477748">
      <w:pPr>
        <w:rPr>
          <w:rFonts w:asciiTheme="minorHAnsi" w:hAnsiTheme="minorHAnsi"/>
          <w:color w:val="000000"/>
          <w:lang w:val="ru-RU"/>
        </w:rPr>
      </w:pPr>
      <w:r w:rsidRPr="00335567">
        <w:rPr>
          <w:rFonts w:asciiTheme="minorHAnsi" w:hAnsiTheme="minorHAnsi"/>
          <w:color w:val="000000"/>
          <w:lang w:val="ru-RU"/>
        </w:rPr>
        <w:t>5.3</w:t>
      </w:r>
      <w:r w:rsidRPr="00335567">
        <w:rPr>
          <w:rFonts w:asciiTheme="minorHAnsi" w:hAnsiTheme="minorHAnsi"/>
          <w:color w:val="000000"/>
          <w:lang w:val="ru-RU"/>
        </w:rPr>
        <w:tab/>
      </w:r>
      <w:r w:rsidR="00477748" w:rsidRPr="00335567">
        <w:rPr>
          <w:rFonts w:asciiTheme="minorHAnsi" w:hAnsiTheme="minorHAnsi"/>
          <w:color w:val="000000"/>
          <w:lang w:val="ru-RU"/>
        </w:rPr>
        <w:t>Совету следует принять максимальный уровень годовых доходов</w:t>
      </w:r>
      <w:r w:rsidRPr="00335567">
        <w:rPr>
          <w:rFonts w:asciiTheme="minorHAnsi" w:hAnsiTheme="minorHAnsi"/>
          <w:color w:val="000000"/>
          <w:lang w:val="ru-RU"/>
        </w:rPr>
        <w:t xml:space="preserve"> </w:t>
      </w:r>
      <w:r w:rsidRPr="00335567">
        <w:rPr>
          <w:rFonts w:asciiTheme="minorHAnsi" w:hAnsiTheme="minorHAnsi"/>
          <w:b/>
          <w:bCs/>
          <w:color w:val="000000"/>
          <w:lang w:val="ru-RU"/>
        </w:rPr>
        <w:t xml:space="preserve">15 </w:t>
      </w:r>
      <w:r w:rsidRPr="00335567">
        <w:rPr>
          <w:rFonts w:eastAsia="Calibri" w:cs="Calibri"/>
          <w:b/>
          <w:bCs/>
          <w:color w:val="000000" w:themeColor="text1"/>
          <w:lang w:val="ru-RU"/>
        </w:rPr>
        <w:t>млн. швейцарских франков</w:t>
      </w:r>
      <w:r w:rsidRPr="00335567">
        <w:rPr>
          <w:rFonts w:asciiTheme="minorHAnsi" w:hAnsiTheme="minorHAnsi"/>
          <w:color w:val="000000"/>
          <w:lang w:val="ru-RU"/>
        </w:rPr>
        <w:t xml:space="preserve"> </w:t>
      </w:r>
      <w:r w:rsidR="00477748" w:rsidRPr="00335567">
        <w:rPr>
          <w:rFonts w:asciiTheme="minorHAnsi" w:hAnsiTheme="minorHAnsi"/>
          <w:color w:val="000000"/>
          <w:lang w:val="ru-RU"/>
        </w:rPr>
        <w:t xml:space="preserve">для выполнения поручения, данного в пункте 3 раздела </w:t>
      </w:r>
      <w:r w:rsidR="00477748" w:rsidRPr="00335567">
        <w:rPr>
          <w:rFonts w:asciiTheme="minorHAnsi" w:hAnsiTheme="minorHAnsi"/>
          <w:i/>
          <w:iCs/>
          <w:color w:val="000000"/>
          <w:lang w:val="ru-RU"/>
        </w:rPr>
        <w:t xml:space="preserve">решает </w:t>
      </w:r>
      <w:r w:rsidR="00477748" w:rsidRPr="00335567">
        <w:rPr>
          <w:rFonts w:asciiTheme="minorHAnsi" w:hAnsiTheme="minorHAnsi"/>
          <w:color w:val="000000"/>
          <w:lang w:val="ru-RU"/>
        </w:rPr>
        <w:t>новой Резолюции по МСП</w:t>
      </w:r>
      <w:r w:rsidRPr="00335567">
        <w:rPr>
          <w:rFonts w:asciiTheme="minorHAnsi" w:hAnsiTheme="minorHAnsi"/>
          <w:color w:val="000000"/>
          <w:lang w:val="ru-RU"/>
        </w:rPr>
        <w:t>.</w:t>
      </w:r>
    </w:p>
    <w:p w:rsidR="0070607B" w:rsidRPr="00335567" w:rsidRDefault="0070607B" w:rsidP="00335567">
      <w:pPr>
        <w:rPr>
          <w:rFonts w:asciiTheme="minorHAnsi" w:hAnsiTheme="minorHAnsi"/>
          <w:lang w:val="ru-RU"/>
        </w:rPr>
      </w:pPr>
      <w:r w:rsidRPr="00335567">
        <w:rPr>
          <w:rFonts w:asciiTheme="minorHAnsi" w:hAnsiTheme="minorHAnsi"/>
          <w:lang w:val="ru-RU"/>
        </w:rPr>
        <w:t>5.4</w:t>
      </w:r>
      <w:r w:rsidRPr="00335567">
        <w:rPr>
          <w:rFonts w:asciiTheme="minorHAnsi" w:hAnsiTheme="minorHAnsi"/>
          <w:lang w:val="ru-RU"/>
        </w:rPr>
        <w:tab/>
      </w:r>
      <w:r w:rsidR="00477748" w:rsidRPr="00335567">
        <w:rPr>
          <w:rFonts w:asciiTheme="minorHAnsi" w:hAnsiTheme="minorHAnsi"/>
          <w:lang w:val="ru-RU"/>
        </w:rPr>
        <w:t>Государствам-Членам следует рассматривать свои списки участ</w:t>
      </w:r>
      <w:r w:rsidR="00335567" w:rsidRPr="00335567">
        <w:rPr>
          <w:rFonts w:asciiTheme="minorHAnsi" w:hAnsiTheme="minorHAnsi"/>
          <w:lang w:val="ru-RU"/>
        </w:rPr>
        <w:t xml:space="preserve">вующих </w:t>
      </w:r>
      <w:r w:rsidR="00477748" w:rsidRPr="00335567">
        <w:rPr>
          <w:rFonts w:asciiTheme="minorHAnsi" w:hAnsiTheme="minorHAnsi"/>
          <w:lang w:val="ru-RU"/>
        </w:rPr>
        <w:t>МСП перед каждой полномочной конференцией, чтобы подтверждать постоянное соблюдение такими объединениями национальных критериев МСП</w:t>
      </w:r>
      <w:r w:rsidRPr="00335567">
        <w:rPr>
          <w:rFonts w:asciiTheme="minorHAnsi" w:eastAsia="SimSun" w:hAnsiTheme="minorHAnsi"/>
          <w:szCs w:val="24"/>
          <w:lang w:val="ru-RU" w:eastAsia="en-AU"/>
        </w:rPr>
        <w:t xml:space="preserve">. </w:t>
      </w:r>
      <w:r w:rsidR="00477748" w:rsidRPr="00335567">
        <w:rPr>
          <w:rFonts w:asciiTheme="minorHAnsi" w:eastAsia="SimSun" w:hAnsiTheme="minorHAnsi"/>
          <w:szCs w:val="24"/>
          <w:lang w:val="ru-RU" w:eastAsia="en-AU"/>
        </w:rPr>
        <w:t>Секретариат должен делать то же самое для обеспечения</w:t>
      </w:r>
      <w:r w:rsidR="00DE4063" w:rsidRPr="00335567">
        <w:rPr>
          <w:rFonts w:asciiTheme="minorHAnsi" w:eastAsia="SimSun" w:hAnsiTheme="minorHAnsi"/>
          <w:szCs w:val="24"/>
          <w:lang w:val="ru-RU" w:eastAsia="en-AU"/>
        </w:rPr>
        <w:t xml:space="preserve"> того, чтобы все участвующие МСП продолжали выполнять критерии и условия Резолюции 209 (Дубай, 2018 г.)</w:t>
      </w:r>
      <w:r w:rsidRPr="00335567">
        <w:rPr>
          <w:rFonts w:asciiTheme="minorHAnsi" w:eastAsia="SimSun" w:hAnsiTheme="minorHAnsi"/>
          <w:szCs w:val="24"/>
          <w:lang w:val="ru-RU" w:eastAsia="en-AU"/>
        </w:rPr>
        <w:t xml:space="preserve">. </w:t>
      </w:r>
      <w:r w:rsidR="00DE4063" w:rsidRPr="00335567">
        <w:rPr>
          <w:rFonts w:asciiTheme="minorHAnsi" w:eastAsia="SimSun" w:hAnsiTheme="minorHAnsi"/>
          <w:szCs w:val="24"/>
          <w:lang w:val="ru-RU" w:eastAsia="en-AU"/>
        </w:rPr>
        <w:t xml:space="preserve">Объединениям, которые более не выполняют требования этой Резолюции, будет предлагаться вступить в МСЭ на стандартных условиях </w:t>
      </w:r>
      <w:r w:rsidR="00335567" w:rsidRPr="00335567">
        <w:rPr>
          <w:rFonts w:asciiTheme="minorHAnsi" w:eastAsia="SimSun" w:hAnsiTheme="minorHAnsi"/>
          <w:szCs w:val="24"/>
          <w:lang w:val="ru-RU" w:eastAsia="en-AU"/>
        </w:rPr>
        <w:t>для</w:t>
      </w:r>
      <w:r w:rsidR="00DE4063" w:rsidRPr="00335567">
        <w:rPr>
          <w:rFonts w:asciiTheme="minorHAnsi" w:eastAsia="SimSun" w:hAnsiTheme="minorHAnsi"/>
          <w:szCs w:val="24"/>
          <w:lang w:val="ru-RU" w:eastAsia="en-AU"/>
        </w:rPr>
        <w:t xml:space="preserve"> Член</w:t>
      </w:r>
      <w:r w:rsidR="00335567" w:rsidRPr="00335567">
        <w:rPr>
          <w:rFonts w:asciiTheme="minorHAnsi" w:eastAsia="SimSun" w:hAnsiTheme="minorHAnsi"/>
          <w:szCs w:val="24"/>
          <w:lang w:val="ru-RU" w:eastAsia="en-AU"/>
        </w:rPr>
        <w:t>ов</w:t>
      </w:r>
      <w:r w:rsidR="00DE4063" w:rsidRPr="00335567">
        <w:rPr>
          <w:rFonts w:asciiTheme="minorHAnsi" w:eastAsia="SimSun" w:hAnsiTheme="minorHAnsi"/>
          <w:szCs w:val="24"/>
          <w:lang w:val="ru-RU" w:eastAsia="en-AU"/>
        </w:rPr>
        <w:t xml:space="preserve"> Секторов или Ассоциированны</w:t>
      </w:r>
      <w:r w:rsidR="00335567" w:rsidRPr="00335567">
        <w:rPr>
          <w:rFonts w:asciiTheme="minorHAnsi" w:eastAsia="SimSun" w:hAnsiTheme="minorHAnsi"/>
          <w:szCs w:val="24"/>
          <w:lang w:val="ru-RU" w:eastAsia="en-AU"/>
        </w:rPr>
        <w:t>х</w:t>
      </w:r>
      <w:r w:rsidR="00DE4063" w:rsidRPr="00335567">
        <w:rPr>
          <w:rFonts w:asciiTheme="minorHAnsi" w:eastAsia="SimSun" w:hAnsiTheme="minorHAnsi"/>
          <w:szCs w:val="24"/>
          <w:lang w:val="ru-RU" w:eastAsia="en-AU"/>
        </w:rPr>
        <w:t xml:space="preserve"> член</w:t>
      </w:r>
      <w:r w:rsidR="00335567" w:rsidRPr="00335567">
        <w:rPr>
          <w:rFonts w:asciiTheme="minorHAnsi" w:eastAsia="SimSun" w:hAnsiTheme="minorHAnsi"/>
          <w:szCs w:val="24"/>
          <w:lang w:val="ru-RU" w:eastAsia="en-AU"/>
        </w:rPr>
        <w:t>ов</w:t>
      </w:r>
      <w:r w:rsidRPr="00335567">
        <w:rPr>
          <w:rFonts w:asciiTheme="minorHAnsi" w:hAnsiTheme="minorHAnsi"/>
          <w:lang w:val="ru-RU"/>
        </w:rPr>
        <w:t>.</w:t>
      </w:r>
    </w:p>
    <w:p w:rsidR="002D2F57" w:rsidRPr="00335567" w:rsidRDefault="0070607B" w:rsidP="0070607B">
      <w:pPr>
        <w:spacing w:before="480"/>
        <w:jc w:val="center"/>
        <w:rPr>
          <w:lang w:val="ru-RU"/>
        </w:rPr>
      </w:pPr>
      <w:r w:rsidRPr="00335567">
        <w:rPr>
          <w:lang w:val="ru-RU"/>
        </w:rPr>
        <w:t>______________</w:t>
      </w:r>
    </w:p>
    <w:sectPr w:rsidR="002D2F57" w:rsidRPr="00335567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C7" w:rsidRDefault="00DB59C7">
      <w:r>
        <w:separator/>
      </w:r>
    </w:p>
  </w:endnote>
  <w:endnote w:type="continuationSeparator" w:id="0">
    <w:p w:rsidR="00DB59C7" w:rsidRDefault="00DB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C7" w:rsidRPr="000554C8" w:rsidRDefault="00DB59C7" w:rsidP="00E3481B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0554C8">
      <w:rPr>
        <w:color w:val="D9D9D9" w:themeColor="background1" w:themeShade="D9"/>
        <w:lang w:val="en-US"/>
      </w:rPr>
      <w:fldChar w:fldCharType="begin"/>
    </w:r>
    <w:r w:rsidRPr="000554C8">
      <w:rPr>
        <w:color w:val="D9D9D9" w:themeColor="background1" w:themeShade="D9"/>
      </w:rPr>
      <w:instrText xml:space="preserve"> FILENAME \p  \* MERGEFORMAT </w:instrText>
    </w:r>
    <w:r w:rsidRPr="000554C8">
      <w:rPr>
        <w:color w:val="D9D9D9" w:themeColor="background1" w:themeShade="D9"/>
        <w:lang w:val="en-US"/>
      </w:rPr>
      <w:fldChar w:fldCharType="separate"/>
    </w:r>
    <w:r w:rsidRPr="000554C8">
      <w:rPr>
        <w:color w:val="D9D9D9" w:themeColor="background1" w:themeShade="D9"/>
      </w:rPr>
      <w:t>P:\RUS\SG\CONSEIL\C19\000\056R.docx</w:t>
    </w:r>
    <w:r w:rsidRPr="000554C8">
      <w:rPr>
        <w:color w:val="D9D9D9" w:themeColor="background1" w:themeShade="D9"/>
        <w:lang w:val="en-US"/>
      </w:rPr>
      <w:fldChar w:fldCharType="end"/>
    </w:r>
    <w:r w:rsidRPr="000554C8">
      <w:rPr>
        <w:color w:val="D9D9D9" w:themeColor="background1" w:themeShade="D9"/>
      </w:rPr>
      <w:t xml:space="preserve"> (454056)</w:t>
    </w:r>
    <w:r w:rsidRPr="000554C8">
      <w:rPr>
        <w:color w:val="D9D9D9" w:themeColor="background1" w:themeShade="D9"/>
      </w:rPr>
      <w:tab/>
    </w:r>
    <w:r w:rsidRPr="000554C8">
      <w:rPr>
        <w:color w:val="D9D9D9" w:themeColor="background1" w:themeShade="D9"/>
      </w:rPr>
      <w:fldChar w:fldCharType="begin"/>
    </w:r>
    <w:r w:rsidRPr="000554C8">
      <w:rPr>
        <w:color w:val="D9D9D9" w:themeColor="background1" w:themeShade="D9"/>
      </w:rPr>
      <w:instrText xml:space="preserve"> SAVEDATE \@ DD.MM.YY </w:instrText>
    </w:r>
    <w:r w:rsidRPr="000554C8">
      <w:rPr>
        <w:color w:val="D9D9D9" w:themeColor="background1" w:themeShade="D9"/>
      </w:rPr>
      <w:fldChar w:fldCharType="separate"/>
    </w:r>
    <w:r w:rsidR="000554C8" w:rsidRPr="000554C8">
      <w:rPr>
        <w:color w:val="D9D9D9" w:themeColor="background1" w:themeShade="D9"/>
      </w:rPr>
      <w:t>20.05.19</w:t>
    </w:r>
    <w:r w:rsidRPr="000554C8">
      <w:rPr>
        <w:color w:val="D9D9D9" w:themeColor="background1" w:themeShade="D9"/>
      </w:rPr>
      <w:fldChar w:fldCharType="end"/>
    </w:r>
    <w:r w:rsidRPr="000554C8">
      <w:rPr>
        <w:color w:val="D9D9D9" w:themeColor="background1" w:themeShade="D9"/>
      </w:rPr>
      <w:tab/>
    </w:r>
    <w:r w:rsidRPr="000554C8">
      <w:rPr>
        <w:color w:val="D9D9D9" w:themeColor="background1" w:themeShade="D9"/>
      </w:rPr>
      <w:fldChar w:fldCharType="begin"/>
    </w:r>
    <w:r w:rsidRPr="000554C8">
      <w:rPr>
        <w:color w:val="D9D9D9" w:themeColor="background1" w:themeShade="D9"/>
      </w:rPr>
      <w:instrText xml:space="preserve"> PRINTDATE \@ DD.MM.YY </w:instrText>
    </w:r>
    <w:r w:rsidRPr="000554C8">
      <w:rPr>
        <w:color w:val="D9D9D9" w:themeColor="background1" w:themeShade="D9"/>
      </w:rPr>
      <w:fldChar w:fldCharType="separate"/>
    </w:r>
    <w:r w:rsidRPr="000554C8">
      <w:rPr>
        <w:color w:val="D9D9D9" w:themeColor="background1" w:themeShade="D9"/>
      </w:rPr>
      <w:t>28.03.06</w:t>
    </w:r>
    <w:r w:rsidRPr="000554C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C7" w:rsidRDefault="00DB59C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B59C7" w:rsidRPr="000554C8" w:rsidRDefault="00DB59C7" w:rsidP="00E3481B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0554C8">
      <w:rPr>
        <w:color w:val="D9D9D9" w:themeColor="background1" w:themeShade="D9"/>
        <w:lang w:val="en-US"/>
      </w:rPr>
      <w:fldChar w:fldCharType="begin"/>
    </w:r>
    <w:r w:rsidRPr="000554C8">
      <w:rPr>
        <w:color w:val="D9D9D9" w:themeColor="background1" w:themeShade="D9"/>
      </w:rPr>
      <w:instrText xml:space="preserve"> FILENAME \p  \* MERGEFORMAT </w:instrText>
    </w:r>
    <w:r w:rsidRPr="000554C8">
      <w:rPr>
        <w:color w:val="D9D9D9" w:themeColor="background1" w:themeShade="D9"/>
        <w:lang w:val="en-US"/>
      </w:rPr>
      <w:fldChar w:fldCharType="separate"/>
    </w:r>
    <w:r w:rsidRPr="000554C8">
      <w:rPr>
        <w:color w:val="D9D9D9" w:themeColor="background1" w:themeShade="D9"/>
      </w:rPr>
      <w:t>P:\RUS\SG\CONSEIL\C19\000\056R.docx</w:t>
    </w:r>
    <w:r w:rsidRPr="000554C8">
      <w:rPr>
        <w:color w:val="D9D9D9" w:themeColor="background1" w:themeShade="D9"/>
        <w:lang w:val="en-US"/>
      </w:rPr>
      <w:fldChar w:fldCharType="end"/>
    </w:r>
    <w:r w:rsidRPr="000554C8">
      <w:rPr>
        <w:color w:val="D9D9D9" w:themeColor="background1" w:themeShade="D9"/>
      </w:rPr>
      <w:t xml:space="preserve"> (454056)</w:t>
    </w:r>
    <w:r w:rsidRPr="000554C8">
      <w:rPr>
        <w:color w:val="D9D9D9" w:themeColor="background1" w:themeShade="D9"/>
      </w:rPr>
      <w:tab/>
    </w:r>
    <w:r w:rsidRPr="000554C8">
      <w:rPr>
        <w:color w:val="D9D9D9" w:themeColor="background1" w:themeShade="D9"/>
      </w:rPr>
      <w:fldChar w:fldCharType="begin"/>
    </w:r>
    <w:r w:rsidRPr="000554C8">
      <w:rPr>
        <w:color w:val="D9D9D9" w:themeColor="background1" w:themeShade="D9"/>
      </w:rPr>
      <w:instrText xml:space="preserve"> SAVEDATE \@ DD.MM.YY </w:instrText>
    </w:r>
    <w:r w:rsidRPr="000554C8">
      <w:rPr>
        <w:color w:val="D9D9D9" w:themeColor="background1" w:themeShade="D9"/>
      </w:rPr>
      <w:fldChar w:fldCharType="separate"/>
    </w:r>
    <w:r w:rsidR="000554C8" w:rsidRPr="000554C8">
      <w:rPr>
        <w:color w:val="D9D9D9" w:themeColor="background1" w:themeShade="D9"/>
      </w:rPr>
      <w:t>20.05.19</w:t>
    </w:r>
    <w:r w:rsidRPr="000554C8">
      <w:rPr>
        <w:color w:val="D9D9D9" w:themeColor="background1" w:themeShade="D9"/>
      </w:rPr>
      <w:fldChar w:fldCharType="end"/>
    </w:r>
    <w:r w:rsidRPr="000554C8">
      <w:rPr>
        <w:color w:val="D9D9D9" w:themeColor="background1" w:themeShade="D9"/>
      </w:rPr>
      <w:tab/>
    </w:r>
    <w:r w:rsidRPr="000554C8">
      <w:rPr>
        <w:color w:val="D9D9D9" w:themeColor="background1" w:themeShade="D9"/>
      </w:rPr>
      <w:fldChar w:fldCharType="begin"/>
    </w:r>
    <w:r w:rsidRPr="000554C8">
      <w:rPr>
        <w:color w:val="D9D9D9" w:themeColor="background1" w:themeShade="D9"/>
      </w:rPr>
      <w:instrText xml:space="preserve"> PRINTDATE \@ DD.MM.YY </w:instrText>
    </w:r>
    <w:r w:rsidRPr="000554C8">
      <w:rPr>
        <w:color w:val="D9D9D9" w:themeColor="background1" w:themeShade="D9"/>
      </w:rPr>
      <w:fldChar w:fldCharType="separate"/>
    </w:r>
    <w:r w:rsidRPr="000554C8">
      <w:rPr>
        <w:color w:val="D9D9D9" w:themeColor="background1" w:themeShade="D9"/>
      </w:rPr>
      <w:t>28.03.06</w:t>
    </w:r>
    <w:r w:rsidRPr="000554C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C7" w:rsidRDefault="00DB59C7">
      <w:r>
        <w:t>____________________</w:t>
      </w:r>
    </w:p>
  </w:footnote>
  <w:footnote w:type="continuationSeparator" w:id="0">
    <w:p w:rsidR="00DB59C7" w:rsidRDefault="00DB59C7">
      <w:r>
        <w:continuationSeparator/>
      </w:r>
    </w:p>
  </w:footnote>
  <w:footnote w:id="1">
    <w:p w:rsidR="00DB59C7" w:rsidRPr="00A944CD" w:rsidRDefault="00DB59C7" w:rsidP="0070607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Отчет председателя РГС-ФЛР Совету 2017 года, пункт 48 (стр. 53); круг ведения приведен в Приложении К, стр. 93</w:t>
      </w:r>
      <w:r w:rsidRPr="003479C3">
        <w:rPr>
          <w:rFonts w:ascii="Segoe UI" w:hAnsi="Segoe UI" w:cs="Segoe UI"/>
          <w:color w:val="000000"/>
          <w:sz w:val="18"/>
          <w:lang w:val="ru-RU"/>
        </w:rPr>
        <w:t>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C7" w:rsidRDefault="00DB59C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554C8">
      <w:rPr>
        <w:noProof/>
      </w:rPr>
      <w:t>2</w:t>
    </w:r>
    <w:r>
      <w:rPr>
        <w:noProof/>
      </w:rPr>
      <w:fldChar w:fldCharType="end"/>
    </w:r>
  </w:p>
  <w:p w:rsidR="00DB59C7" w:rsidRDefault="00DB59C7" w:rsidP="00E3481B">
    <w:pPr>
      <w:pStyle w:val="Header"/>
      <w:spacing w:after="480"/>
    </w:pPr>
    <w:r>
      <w:t>C19/56-R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43"/>
    <w:rsid w:val="0002183E"/>
    <w:rsid w:val="000554C8"/>
    <w:rsid w:val="000569B4"/>
    <w:rsid w:val="00080E82"/>
    <w:rsid w:val="000E568E"/>
    <w:rsid w:val="0014734F"/>
    <w:rsid w:val="0015710D"/>
    <w:rsid w:val="00163A32"/>
    <w:rsid w:val="00171917"/>
    <w:rsid w:val="00192B41"/>
    <w:rsid w:val="001B7B09"/>
    <w:rsid w:val="001E6719"/>
    <w:rsid w:val="001F4480"/>
    <w:rsid w:val="00225368"/>
    <w:rsid w:val="00227FF0"/>
    <w:rsid w:val="002906B4"/>
    <w:rsid w:val="00291EB6"/>
    <w:rsid w:val="002B340B"/>
    <w:rsid w:val="002D2F57"/>
    <w:rsid w:val="002D48C5"/>
    <w:rsid w:val="00325DE6"/>
    <w:rsid w:val="00335567"/>
    <w:rsid w:val="0034342C"/>
    <w:rsid w:val="003F099E"/>
    <w:rsid w:val="003F235E"/>
    <w:rsid w:val="004023E0"/>
    <w:rsid w:val="00403DD8"/>
    <w:rsid w:val="0045686C"/>
    <w:rsid w:val="00477748"/>
    <w:rsid w:val="004918C4"/>
    <w:rsid w:val="00497703"/>
    <w:rsid w:val="004A0374"/>
    <w:rsid w:val="004A45B5"/>
    <w:rsid w:val="004D0129"/>
    <w:rsid w:val="00502D91"/>
    <w:rsid w:val="00503D00"/>
    <w:rsid w:val="005522BE"/>
    <w:rsid w:val="0057393D"/>
    <w:rsid w:val="005A64D5"/>
    <w:rsid w:val="005B3DEC"/>
    <w:rsid w:val="00601994"/>
    <w:rsid w:val="0066167E"/>
    <w:rsid w:val="006E2D42"/>
    <w:rsid w:val="00703676"/>
    <w:rsid w:val="0070607B"/>
    <w:rsid w:val="00707304"/>
    <w:rsid w:val="00732269"/>
    <w:rsid w:val="00785ABD"/>
    <w:rsid w:val="007A2DD4"/>
    <w:rsid w:val="007D38B5"/>
    <w:rsid w:val="007D4170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3650"/>
    <w:rsid w:val="00910E40"/>
    <w:rsid w:val="00940E96"/>
    <w:rsid w:val="009B0BAE"/>
    <w:rsid w:val="009C1C89"/>
    <w:rsid w:val="009F3448"/>
    <w:rsid w:val="00A01CF9"/>
    <w:rsid w:val="00A64D66"/>
    <w:rsid w:val="00A71773"/>
    <w:rsid w:val="00AC221D"/>
    <w:rsid w:val="00AE0E14"/>
    <w:rsid w:val="00AE2C85"/>
    <w:rsid w:val="00AF16ED"/>
    <w:rsid w:val="00B12A37"/>
    <w:rsid w:val="00B63EF2"/>
    <w:rsid w:val="00B85DCB"/>
    <w:rsid w:val="00BA7D89"/>
    <w:rsid w:val="00BC0D39"/>
    <w:rsid w:val="00BC7BC0"/>
    <w:rsid w:val="00BD57B7"/>
    <w:rsid w:val="00BE63E2"/>
    <w:rsid w:val="00C22245"/>
    <w:rsid w:val="00C34EDD"/>
    <w:rsid w:val="00CD2009"/>
    <w:rsid w:val="00CF629C"/>
    <w:rsid w:val="00D026ED"/>
    <w:rsid w:val="00D66843"/>
    <w:rsid w:val="00D92EEA"/>
    <w:rsid w:val="00DA5D4E"/>
    <w:rsid w:val="00DB59C7"/>
    <w:rsid w:val="00DE4063"/>
    <w:rsid w:val="00E176BA"/>
    <w:rsid w:val="00E3481B"/>
    <w:rsid w:val="00E423EC"/>
    <w:rsid w:val="00E55121"/>
    <w:rsid w:val="00E74339"/>
    <w:rsid w:val="00EB4FCB"/>
    <w:rsid w:val="00EC0EE8"/>
    <w:rsid w:val="00EC6BC5"/>
    <w:rsid w:val="00ED0C61"/>
    <w:rsid w:val="00F35898"/>
    <w:rsid w:val="00F5225B"/>
    <w:rsid w:val="00F837D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C1D5915-0880-4299-9EDF-F066FA0B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0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0607B"/>
    <w:pPr>
      <w:spacing w:before="160"/>
    </w:pPr>
    <w:rPr>
      <w:rFonts w:asciiTheme="minorHAnsi" w:hAnsiTheme="minorHAns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5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2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2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PP-C-005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209-R.pdf" TargetMode="External"/><Relationship Id="rId14" Type="http://schemas.openxmlformats.org/officeDocument/2006/relationships/hyperlink" Target="https://www.itu.int/md/S19-CL-C-005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ACAE-D938-4AD7-A2F0-59A07ACD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4</Pages>
  <Words>1333</Words>
  <Characters>9127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new PP-18 resolution on SME participation in ITU</dc:title>
  <dc:subject>Council 2019</dc:subject>
  <dc:creator>Antipina, Nadezda</dc:creator>
  <cp:keywords>C2019, C19</cp:keywords>
  <dc:description/>
  <cp:lastModifiedBy>Brouard, Ricarda</cp:lastModifiedBy>
  <cp:revision>2</cp:revision>
  <cp:lastPrinted>2006-03-28T16:12:00Z</cp:lastPrinted>
  <dcterms:created xsi:type="dcterms:W3CDTF">2019-05-22T09:24:00Z</dcterms:created>
  <dcterms:modified xsi:type="dcterms:W3CDTF">2019-05-22T09:24:00Z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