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F41C96" w:rsidP="0082358A">
            <w:pPr>
              <w:spacing w:before="160"/>
              <w:jc w:val="left"/>
              <w:rPr>
                <w:b/>
                <w:bCs/>
                <w:rtl/>
                <w:lang w:bidi="ar-EG"/>
              </w:rPr>
            </w:pPr>
            <w:r>
              <w:rPr>
                <w:rFonts w:hint="cs"/>
                <w:b/>
                <w:bCs/>
                <w:w w:val="110"/>
                <w:sz w:val="32"/>
                <w:szCs w:val="44"/>
                <w:rtl/>
                <w:lang w:bidi="ar-EG"/>
              </w:rPr>
              <w:t>المجلس</w:t>
            </w:r>
            <w:r w:rsidR="00290728" w:rsidRPr="00290728">
              <w:rPr>
                <w:rFonts w:hint="cs"/>
                <w:b/>
                <w:bCs/>
                <w:w w:val="110"/>
                <w:sz w:val="32"/>
                <w:szCs w:val="44"/>
                <w:rtl/>
                <w:lang w:bidi="ar-EG"/>
              </w:rPr>
              <w:t xml:space="preserve"> </w:t>
            </w:r>
            <w:r w:rsidR="00FE7FCA">
              <w:rPr>
                <w:b/>
                <w:bCs/>
                <w:w w:val="110"/>
                <w:sz w:val="32"/>
                <w:szCs w:val="44"/>
                <w:lang w:bidi="ar-SY"/>
              </w:rPr>
              <w:t>201</w:t>
            </w:r>
            <w:r w:rsidR="00D10CCF">
              <w:rPr>
                <w:b/>
                <w:bCs/>
                <w:w w:val="110"/>
                <w:sz w:val="32"/>
                <w:szCs w:val="44"/>
                <w:lang w:bidi="ar-SY"/>
              </w:rPr>
              <w:t>9</w:t>
            </w:r>
            <w:r w:rsidR="00C002DE">
              <w:rPr>
                <w:b/>
                <w:bCs/>
                <w:w w:val="110"/>
                <w:sz w:val="32"/>
                <w:szCs w:val="44"/>
                <w:rtl/>
                <w:lang w:bidi="ar-SY"/>
              </w:rPr>
              <w:br/>
            </w:r>
            <w:r w:rsidR="00290728" w:rsidRPr="00290728">
              <w:rPr>
                <w:rFonts w:hint="cs"/>
                <w:b/>
                <w:bCs/>
                <w:sz w:val="24"/>
                <w:szCs w:val="32"/>
                <w:rtl/>
                <w:lang w:bidi="ar-EG"/>
              </w:rPr>
              <w:t xml:space="preserve">جنيف، </w:t>
            </w:r>
            <w:r w:rsidR="0082358A">
              <w:rPr>
                <w:b/>
                <w:bCs/>
                <w:sz w:val="24"/>
                <w:szCs w:val="32"/>
                <w:lang w:bidi="ar-SY"/>
              </w:rPr>
              <w:t>20</w:t>
            </w:r>
            <w:r w:rsidR="00FE7FCA">
              <w:rPr>
                <w:b/>
                <w:bCs/>
                <w:sz w:val="24"/>
                <w:szCs w:val="32"/>
                <w:lang w:bidi="ar-SY"/>
              </w:rPr>
              <w:t>-</w:t>
            </w:r>
            <w:r w:rsidR="0082358A">
              <w:rPr>
                <w:b/>
                <w:bCs/>
                <w:sz w:val="24"/>
                <w:szCs w:val="32"/>
                <w:lang w:bidi="ar-SY"/>
              </w:rPr>
              <w:t>10</w:t>
            </w:r>
            <w:r w:rsidR="00DC1E02">
              <w:rPr>
                <w:rFonts w:hint="cs"/>
                <w:b/>
                <w:bCs/>
                <w:sz w:val="24"/>
                <w:szCs w:val="32"/>
                <w:rtl/>
                <w:lang w:bidi="ar-EG"/>
              </w:rPr>
              <w:t xml:space="preserve"> </w:t>
            </w:r>
            <w:r w:rsidR="0082358A">
              <w:rPr>
                <w:rFonts w:hint="cs"/>
                <w:b/>
                <w:bCs/>
                <w:sz w:val="24"/>
                <w:szCs w:val="32"/>
                <w:rtl/>
                <w:lang w:bidi="ar-EG"/>
              </w:rPr>
              <w:t>يونيو</w:t>
            </w:r>
            <w:r w:rsidR="00DC1E02">
              <w:rPr>
                <w:rFonts w:hint="cs"/>
                <w:b/>
                <w:bCs/>
                <w:sz w:val="24"/>
                <w:szCs w:val="32"/>
                <w:rtl/>
                <w:lang w:bidi="ar-EG"/>
              </w:rPr>
              <w:t xml:space="preserve"> </w:t>
            </w:r>
            <w:r w:rsidR="00FE7FCA">
              <w:rPr>
                <w:b/>
                <w:bCs/>
                <w:sz w:val="24"/>
                <w:szCs w:val="32"/>
                <w:lang w:bidi="ar-EG"/>
              </w:rPr>
              <w:t>201</w:t>
            </w:r>
            <w:r w:rsidR="00D10CCF">
              <w:rPr>
                <w:b/>
                <w:bCs/>
                <w:sz w:val="24"/>
                <w:szCs w:val="32"/>
                <w:lang w:bidi="ar-EG"/>
              </w:rPr>
              <w:t>9</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lang w:val="en-GB"/>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5A3170" w:rsidRDefault="00C002DE" w:rsidP="005A4A41">
            <w:pPr>
              <w:spacing w:before="20" w:after="20" w:line="340" w:lineRule="exact"/>
              <w:rPr>
                <w:b/>
                <w:bCs/>
                <w:highlight w:val="yellow"/>
                <w:rtl/>
                <w:lang w:bidi="ar-EG"/>
              </w:rPr>
            </w:pPr>
            <w:r w:rsidRPr="00334924">
              <w:rPr>
                <w:rFonts w:hint="cs"/>
                <w:b/>
                <w:bCs/>
                <w:rtl/>
                <w:lang w:bidi="ar-EG"/>
              </w:rPr>
              <w:t>بند جدول الأعمال</w:t>
            </w:r>
            <w:r w:rsidR="00810B7B" w:rsidRPr="00334924">
              <w:rPr>
                <w:rFonts w:hint="cs"/>
                <w:b/>
                <w:bCs/>
                <w:rtl/>
                <w:lang w:bidi="ar-EG"/>
              </w:rPr>
              <w:t xml:space="preserve">: </w:t>
            </w:r>
            <w:r w:rsidR="001D55F9" w:rsidRPr="007568DA">
              <w:rPr>
                <w:b/>
                <w:bCs/>
                <w:lang w:bidi="ar-EG"/>
              </w:rPr>
              <w:t>ADM</w:t>
            </w:r>
            <w:r w:rsidR="005A4A41">
              <w:rPr>
                <w:b/>
                <w:bCs/>
                <w:lang w:bidi="ar-EG"/>
              </w:rPr>
              <w:t> </w:t>
            </w:r>
            <w:r w:rsidR="001D55F9" w:rsidRPr="007568DA">
              <w:rPr>
                <w:b/>
                <w:bCs/>
                <w:lang w:bidi="ar-EG"/>
              </w:rPr>
              <w:t>2</w:t>
            </w:r>
            <w:r w:rsidR="001D55F9">
              <w:rPr>
                <w:b/>
                <w:bCs/>
                <w:lang w:bidi="ar-EG"/>
              </w:rPr>
              <w:t>8</w:t>
            </w:r>
          </w:p>
        </w:tc>
        <w:tc>
          <w:tcPr>
            <w:tcW w:w="3052" w:type="dxa"/>
            <w:vAlign w:val="center"/>
          </w:tcPr>
          <w:p w:rsidR="00290728" w:rsidRPr="00290728" w:rsidRDefault="00290728" w:rsidP="001D55F9">
            <w:pPr>
              <w:spacing w:before="20" w:after="20" w:line="340" w:lineRule="exact"/>
              <w:rPr>
                <w:b/>
                <w:bCs/>
                <w:lang w:bidi="ar-SY"/>
              </w:rPr>
            </w:pPr>
            <w:r w:rsidRPr="00290728">
              <w:rPr>
                <w:rFonts w:hint="cs"/>
                <w:b/>
                <w:bCs/>
                <w:rtl/>
                <w:lang w:bidi="ar-EG"/>
              </w:rPr>
              <w:t xml:space="preserve">الوثيقة </w:t>
            </w:r>
            <w:r w:rsidRPr="00290728">
              <w:rPr>
                <w:b/>
                <w:bCs/>
                <w:lang w:bidi="ar-SY"/>
              </w:rPr>
              <w:t>C1</w:t>
            </w:r>
            <w:r w:rsidR="00D10CCF">
              <w:rPr>
                <w:b/>
                <w:bCs/>
                <w:lang w:bidi="ar-SY"/>
              </w:rPr>
              <w:t>9</w:t>
            </w:r>
            <w:r w:rsidRPr="00290728">
              <w:rPr>
                <w:b/>
                <w:bCs/>
                <w:lang w:bidi="ar-SY"/>
              </w:rPr>
              <w:t>/</w:t>
            </w:r>
            <w:r w:rsidR="001D55F9">
              <w:rPr>
                <w:b/>
                <w:bCs/>
                <w:lang w:bidi="ar-SY"/>
              </w:rPr>
              <w:t>56</w:t>
            </w:r>
            <w:r w:rsidRPr="00290728">
              <w:rPr>
                <w:b/>
                <w:bCs/>
                <w:lang w:bidi="ar-SY"/>
              </w:rPr>
              <w:t>-A</w:t>
            </w:r>
          </w:p>
        </w:tc>
      </w:tr>
      <w:tr w:rsidR="00290728" w:rsidRPr="00290728" w:rsidTr="009F66A8">
        <w:trPr>
          <w:cantSplit/>
        </w:trPr>
        <w:tc>
          <w:tcPr>
            <w:tcW w:w="6620" w:type="dxa"/>
          </w:tcPr>
          <w:p w:rsidR="00290728" w:rsidRPr="00290728" w:rsidRDefault="00290728" w:rsidP="00592EA5">
            <w:pPr>
              <w:spacing w:before="20" w:after="20" w:line="340" w:lineRule="exact"/>
              <w:rPr>
                <w:b/>
                <w:bCs/>
                <w:lang w:bidi="ar-SY"/>
              </w:rPr>
            </w:pPr>
          </w:p>
        </w:tc>
        <w:tc>
          <w:tcPr>
            <w:tcW w:w="3052" w:type="dxa"/>
            <w:vAlign w:val="center"/>
          </w:tcPr>
          <w:p w:rsidR="00290728" w:rsidRPr="00290728" w:rsidRDefault="001D55F9" w:rsidP="001D55F9">
            <w:pPr>
              <w:spacing w:before="20" w:after="20" w:line="340" w:lineRule="exact"/>
              <w:rPr>
                <w:b/>
                <w:bCs/>
                <w:rtl/>
                <w:lang w:bidi="ar-EG"/>
              </w:rPr>
            </w:pPr>
            <w:r w:rsidRPr="001D55F9">
              <w:rPr>
                <w:b/>
                <w:bCs/>
                <w:lang w:bidi="ar-SY"/>
              </w:rPr>
              <w:t>6</w:t>
            </w:r>
            <w:r w:rsidR="00290728" w:rsidRPr="001D55F9">
              <w:rPr>
                <w:rFonts w:hint="cs"/>
                <w:b/>
                <w:bCs/>
                <w:rtl/>
                <w:lang w:bidi="ar-EG"/>
              </w:rPr>
              <w:t xml:space="preserve"> </w:t>
            </w:r>
            <w:r w:rsidRPr="001D55F9">
              <w:rPr>
                <w:rFonts w:hint="cs"/>
                <w:b/>
                <w:bCs/>
                <w:rtl/>
                <w:lang w:bidi="ar-EG"/>
              </w:rPr>
              <w:t>مايو</w:t>
            </w:r>
            <w:r w:rsidR="00290728" w:rsidRPr="00290728">
              <w:rPr>
                <w:rFonts w:hint="cs"/>
                <w:b/>
                <w:bCs/>
                <w:rtl/>
                <w:lang w:bidi="ar-EG"/>
              </w:rPr>
              <w:t xml:space="preserve"> </w:t>
            </w:r>
            <w:r w:rsidR="00FE7FCA">
              <w:rPr>
                <w:b/>
                <w:bCs/>
                <w:lang w:bidi="ar-SY"/>
              </w:rPr>
              <w:t>201</w:t>
            </w:r>
            <w:r w:rsidR="00D10CCF">
              <w:rPr>
                <w:b/>
                <w:bCs/>
                <w:lang w:bidi="ar-SY"/>
              </w:rPr>
              <w:t>9</w:t>
            </w:r>
          </w:p>
        </w:tc>
      </w:tr>
      <w:tr w:rsidR="00290728" w:rsidRPr="00290728" w:rsidTr="009F66A8">
        <w:trPr>
          <w:cantSplit/>
        </w:trPr>
        <w:tc>
          <w:tcPr>
            <w:tcW w:w="6620" w:type="dxa"/>
          </w:tcPr>
          <w:p w:rsidR="00290728" w:rsidRPr="0069200F" w:rsidRDefault="00290728" w:rsidP="00592EA5">
            <w:pPr>
              <w:spacing w:before="20" w:after="20" w:line="340" w:lineRule="exact"/>
              <w:rPr>
                <w:b/>
                <w:bCs/>
                <w:lang w:bidi="ar-EG"/>
              </w:rPr>
            </w:pPr>
          </w:p>
        </w:tc>
        <w:tc>
          <w:tcPr>
            <w:tcW w:w="3052" w:type="dxa"/>
            <w:vAlign w:val="center"/>
          </w:tcPr>
          <w:p w:rsidR="00290728" w:rsidRPr="00290728" w:rsidRDefault="00290728" w:rsidP="00592EA5">
            <w:pPr>
              <w:spacing w:before="20" w:after="20" w:line="340" w:lineRule="exact"/>
              <w:rPr>
                <w:b/>
                <w:bCs/>
                <w:lang w:bidi="ar-SY"/>
              </w:rPr>
            </w:pPr>
            <w:r w:rsidRPr="00290728">
              <w:rPr>
                <w:b/>
                <w:bCs/>
                <w:rtl/>
                <w:lang w:bidi="ar-EG"/>
              </w:rPr>
              <w:t xml:space="preserve">الأصل: </w:t>
            </w:r>
            <w:r w:rsidR="001D55F9">
              <w:rPr>
                <w:rFonts w:hint="cs"/>
                <w:b/>
                <w:bCs/>
                <w:rtl/>
                <w:lang w:bidi="ar-EG"/>
              </w:rPr>
              <w:t>بالإنكليزية</w:t>
            </w:r>
          </w:p>
        </w:tc>
      </w:tr>
      <w:tr w:rsidR="00290728" w:rsidRPr="00290728" w:rsidTr="009F66A8">
        <w:trPr>
          <w:cantSplit/>
        </w:trPr>
        <w:tc>
          <w:tcPr>
            <w:tcW w:w="9672" w:type="dxa"/>
            <w:gridSpan w:val="2"/>
          </w:tcPr>
          <w:p w:rsidR="00290728" w:rsidRPr="00290728" w:rsidRDefault="001D55F9" w:rsidP="00290728">
            <w:pPr>
              <w:pStyle w:val="Source"/>
              <w:rPr>
                <w:rtl/>
                <w:lang w:bidi="ar-SY"/>
              </w:rPr>
            </w:pPr>
            <w:r w:rsidRPr="00EA5E8C">
              <w:rPr>
                <w:rFonts w:hint="cs"/>
                <w:rtl/>
                <w:lang w:bidi="ar-SY"/>
              </w:rPr>
              <w:t>تقرير من الأمين العام</w:t>
            </w:r>
          </w:p>
        </w:tc>
      </w:tr>
      <w:tr w:rsidR="00290728" w:rsidRPr="00290728" w:rsidTr="009F66A8">
        <w:trPr>
          <w:cantSplit/>
        </w:trPr>
        <w:tc>
          <w:tcPr>
            <w:tcW w:w="9672" w:type="dxa"/>
            <w:gridSpan w:val="2"/>
          </w:tcPr>
          <w:p w:rsidR="00290728" w:rsidRPr="00383829" w:rsidRDefault="001D55F9" w:rsidP="005A4A41">
            <w:pPr>
              <w:pStyle w:val="Title1"/>
              <w:rPr>
                <w:rtl/>
              </w:rPr>
            </w:pPr>
            <w:r w:rsidRPr="00C76ECF">
              <w:rPr>
                <w:rtl/>
                <w:lang w:bidi="ar-EG"/>
              </w:rPr>
              <w:t>تنفيذ القرار الجديد</w:t>
            </w:r>
            <w:r w:rsidRPr="00C76ECF">
              <w:rPr>
                <w:rFonts w:hint="cs"/>
                <w:rtl/>
                <w:lang w:bidi="ar-EG"/>
              </w:rPr>
              <w:t xml:space="preserve"> الصادر عن مؤتمر المندوبين المفوضين لعام</w:t>
            </w:r>
            <w:r w:rsidR="00C35459">
              <w:rPr>
                <w:rFonts w:hint="eastAsia"/>
                <w:rtl/>
                <w:lang w:bidi="ar-EG"/>
              </w:rPr>
              <w:t> </w:t>
            </w:r>
            <w:r w:rsidRPr="00C76ECF">
              <w:rPr>
                <w:lang w:bidi="ar-EG"/>
              </w:rPr>
              <w:t>2018</w:t>
            </w:r>
            <w:r w:rsidR="00C35459">
              <w:rPr>
                <w:rFonts w:hint="eastAsia"/>
                <w:rtl/>
                <w:lang w:bidi="ar-EG"/>
              </w:rPr>
              <w:t> </w:t>
            </w:r>
            <w:r w:rsidRPr="00C76ECF">
              <w:rPr>
                <w:lang w:bidi="ar-EG"/>
              </w:rPr>
              <w:t>(PP-18)</w:t>
            </w:r>
            <w:r w:rsidR="00C35459">
              <w:rPr>
                <w:rtl/>
                <w:lang w:bidi="ar-EG"/>
              </w:rPr>
              <w:br/>
            </w:r>
            <w:r w:rsidR="00C412F1">
              <w:rPr>
                <w:rFonts w:hint="cs"/>
                <w:rtl/>
                <w:lang w:bidi="ar-EG"/>
              </w:rPr>
              <w:t>بشأن</w:t>
            </w:r>
            <w:r w:rsidRPr="00C76ECF">
              <w:rPr>
                <w:rtl/>
                <w:lang w:bidi="ar-EG"/>
              </w:rPr>
              <w:t xml:space="preserve"> مشاركة </w:t>
            </w:r>
            <w:r w:rsidR="005A4A41">
              <w:rPr>
                <w:rFonts w:hint="cs"/>
                <w:rtl/>
                <w:lang w:bidi="ar-EG"/>
              </w:rPr>
              <w:t>الشركات</w:t>
            </w:r>
            <w:r w:rsidRPr="00C76ECF">
              <w:rPr>
                <w:rtl/>
                <w:lang w:bidi="ar-EG"/>
              </w:rPr>
              <w:t xml:space="preserve"> الصغيرة والمتوسطة في</w:t>
            </w:r>
            <w:r w:rsidR="00C412F1">
              <w:rPr>
                <w:rFonts w:hint="eastAsia"/>
                <w:rtl/>
                <w:lang w:bidi="ar-EG"/>
              </w:rPr>
              <w:t> </w:t>
            </w:r>
            <w:r w:rsidRPr="00C76ECF">
              <w:rPr>
                <w:rFonts w:hint="cs"/>
                <w:rtl/>
                <w:lang w:bidi="ar-EG"/>
              </w:rPr>
              <w:t xml:space="preserve">أعمال </w:t>
            </w:r>
            <w:r w:rsidRPr="00C76ECF">
              <w:rPr>
                <w:rtl/>
                <w:lang w:bidi="ar-EG"/>
              </w:rPr>
              <w:t>الاتحاد</w:t>
            </w:r>
          </w:p>
        </w:tc>
      </w:tr>
      <w:tr w:rsidR="00A6683B" w:rsidRPr="00290728" w:rsidTr="009F66A8">
        <w:trPr>
          <w:cantSplit/>
        </w:trPr>
        <w:tc>
          <w:tcPr>
            <w:tcW w:w="9672" w:type="dxa"/>
            <w:gridSpan w:val="2"/>
          </w:tcPr>
          <w:p w:rsidR="00A6683B" w:rsidRPr="00383829" w:rsidRDefault="00A6683B" w:rsidP="00383829">
            <w:pPr>
              <w:pStyle w:val="Title2"/>
              <w:framePr w:hSpace="0" w:wrap="auto" w:yAlign="inline"/>
              <w:rPr>
                <w:rtl/>
                <w:lang w:bidi="ar-EG"/>
              </w:rPr>
            </w:pPr>
          </w:p>
        </w:tc>
      </w:tr>
    </w:tbl>
    <w:p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rsidTr="00952F86">
        <w:trPr>
          <w:jc w:val="center"/>
        </w:trPr>
        <w:tc>
          <w:tcPr>
            <w:tcW w:w="8080" w:type="dxa"/>
          </w:tcPr>
          <w:p w:rsidR="00290728" w:rsidRPr="00290728" w:rsidRDefault="00290728" w:rsidP="00706D7A">
            <w:pPr>
              <w:rPr>
                <w:b/>
                <w:bCs/>
                <w:rtl/>
                <w:lang w:bidi="ar-SY"/>
              </w:rPr>
            </w:pPr>
            <w:r w:rsidRPr="00290728">
              <w:rPr>
                <w:rFonts w:hint="cs"/>
                <w:b/>
                <w:bCs/>
                <w:rtl/>
                <w:lang w:bidi="ar-SY"/>
              </w:rPr>
              <w:t>ملخص</w:t>
            </w:r>
          </w:p>
          <w:p w:rsidR="00290728" w:rsidRDefault="001D55F9" w:rsidP="00C35459">
            <w:pPr>
              <w:rPr>
                <w:rtl/>
                <w:lang w:bidi="ar-SY"/>
              </w:rPr>
            </w:pPr>
            <w:r>
              <w:rPr>
                <w:rFonts w:hint="cs"/>
                <w:rtl/>
                <w:lang w:bidi="ar-SY"/>
              </w:rPr>
              <w:t>في أعقاب</w:t>
            </w:r>
            <w:r w:rsidRPr="00206B05">
              <w:rPr>
                <w:rtl/>
                <w:lang w:bidi="ar-EG"/>
              </w:rPr>
              <w:t xml:space="preserve"> المشروع </w:t>
            </w:r>
            <w:r>
              <w:rPr>
                <w:rFonts w:hint="cs"/>
                <w:rtl/>
                <w:lang w:bidi="ar-EG"/>
              </w:rPr>
              <w:t>التجريبي بشأن</w:t>
            </w:r>
            <w:r w:rsidRPr="00206B05">
              <w:rPr>
                <w:rtl/>
                <w:lang w:bidi="ar-EG"/>
              </w:rPr>
              <w:t xml:space="preserve"> </w:t>
            </w:r>
            <w:r>
              <w:rPr>
                <w:rFonts w:hint="cs"/>
                <w:rtl/>
                <w:lang w:bidi="ar-EG"/>
              </w:rPr>
              <w:t>الشركات</w:t>
            </w:r>
            <w:r w:rsidRPr="00206B05">
              <w:rPr>
                <w:rtl/>
                <w:lang w:bidi="ar-EG"/>
              </w:rPr>
              <w:t xml:space="preserve"> الصغيرة والمتوسطة الذي أطلقه المجلس</w:t>
            </w:r>
            <w:r>
              <w:rPr>
                <w:rFonts w:hint="cs"/>
                <w:rtl/>
                <w:lang w:bidi="ar-EG"/>
              </w:rPr>
              <w:t xml:space="preserve"> في دورته لعام</w:t>
            </w:r>
            <w:r w:rsidR="00C35459">
              <w:rPr>
                <w:rFonts w:hint="cs"/>
                <w:rtl/>
                <w:lang w:bidi="ar-EG"/>
              </w:rPr>
              <w:t> </w:t>
            </w:r>
            <w:r>
              <w:rPr>
                <w:lang w:bidi="ar-EG"/>
              </w:rPr>
              <w:t>2017</w:t>
            </w:r>
            <w:r>
              <w:rPr>
                <w:rtl/>
                <w:lang w:bidi="ar-EG"/>
              </w:rPr>
              <w:t>،</w:t>
            </w:r>
            <w:r w:rsidRPr="00206B05">
              <w:rPr>
                <w:rtl/>
                <w:lang w:bidi="ar-EG"/>
              </w:rPr>
              <w:t xml:space="preserve"> اعتمد</w:t>
            </w:r>
            <w:r>
              <w:rPr>
                <w:rFonts w:hint="cs"/>
                <w:rtl/>
                <w:lang w:bidi="ar-EG"/>
              </w:rPr>
              <w:t xml:space="preserve"> </w:t>
            </w:r>
            <w:r>
              <w:rPr>
                <w:rFonts w:hint="cs"/>
                <w:sz w:val="24"/>
                <w:szCs w:val="32"/>
                <w:rtl/>
                <w:lang w:bidi="ar-EG"/>
              </w:rPr>
              <w:t>مؤتمر المندوبين المفوضين لعام</w:t>
            </w:r>
            <w:r>
              <w:rPr>
                <w:rFonts w:hint="eastAsia"/>
                <w:sz w:val="24"/>
                <w:szCs w:val="32"/>
                <w:rtl/>
                <w:lang w:bidi="ar-EG"/>
              </w:rPr>
              <w:t> </w:t>
            </w:r>
            <w:r>
              <w:rPr>
                <w:sz w:val="24"/>
                <w:szCs w:val="32"/>
                <w:lang w:bidi="ar-EG"/>
              </w:rPr>
              <w:t>2018</w:t>
            </w:r>
            <w:r>
              <w:rPr>
                <w:rFonts w:hint="cs"/>
                <w:sz w:val="24"/>
                <w:szCs w:val="32"/>
                <w:rtl/>
                <w:lang w:bidi="ar-EG"/>
              </w:rPr>
              <w:t xml:space="preserve"> </w:t>
            </w:r>
            <w:r w:rsidRPr="00206B05">
              <w:rPr>
                <w:rtl/>
                <w:lang w:bidi="ar-EG"/>
              </w:rPr>
              <w:t>القرار</w:t>
            </w:r>
            <w:r w:rsidR="00C35459">
              <w:rPr>
                <w:rFonts w:hint="cs"/>
                <w:rtl/>
                <w:lang w:bidi="ar-EG"/>
              </w:rPr>
              <w:t> </w:t>
            </w:r>
            <w:r>
              <w:rPr>
                <w:lang w:val="en-GB" w:bidi="ar-SY"/>
              </w:rPr>
              <w:t>209</w:t>
            </w:r>
            <w:r w:rsidRPr="00206B05">
              <w:rPr>
                <w:rtl/>
                <w:lang w:bidi="ar-EG"/>
              </w:rPr>
              <w:t xml:space="preserve"> (دبي</w:t>
            </w:r>
            <w:r>
              <w:rPr>
                <w:rtl/>
                <w:lang w:bidi="ar-EG"/>
              </w:rPr>
              <w:t>،</w:t>
            </w:r>
            <w:r>
              <w:rPr>
                <w:rFonts w:hint="cs"/>
                <w:rtl/>
                <w:lang w:bidi="ar-EG"/>
              </w:rPr>
              <w:t> </w:t>
            </w:r>
            <w:r>
              <w:rPr>
                <w:lang w:bidi="ar-EG"/>
              </w:rPr>
              <w:t>2018</w:t>
            </w:r>
            <w:r w:rsidRPr="00206B05">
              <w:rPr>
                <w:rtl/>
                <w:lang w:bidi="ar-EG"/>
              </w:rPr>
              <w:t>)</w:t>
            </w:r>
            <w:r>
              <w:rPr>
                <w:rtl/>
                <w:lang w:bidi="ar-EG"/>
              </w:rPr>
              <w:t>،</w:t>
            </w:r>
            <w:r w:rsidRPr="00206B05">
              <w:rPr>
                <w:rtl/>
                <w:lang w:bidi="ar-EG"/>
              </w:rPr>
              <w:t xml:space="preserve"> الذي يشجع </w:t>
            </w:r>
            <w:r>
              <w:rPr>
                <w:rFonts w:hint="cs"/>
                <w:rtl/>
                <w:lang w:bidi="ar-EG"/>
              </w:rPr>
              <w:t>الشركات</w:t>
            </w:r>
            <w:r w:rsidRPr="00206B05">
              <w:rPr>
                <w:rtl/>
                <w:lang w:bidi="ar-EG"/>
              </w:rPr>
              <w:t xml:space="preserve"> الصغيرة والمتوسطة على المشاركة</w:t>
            </w:r>
            <w:r>
              <w:rPr>
                <w:rFonts w:hint="cs"/>
                <w:rtl/>
                <w:lang w:bidi="ar-EG"/>
              </w:rPr>
              <w:t xml:space="preserve"> بصفة </w:t>
            </w:r>
            <w:r w:rsidRPr="00206B05">
              <w:rPr>
                <w:rtl/>
                <w:lang w:bidi="ar-EG"/>
              </w:rPr>
              <w:t>منتسبين في قطاعات الاتحاد</w:t>
            </w:r>
            <w:r>
              <w:rPr>
                <w:rtl/>
                <w:lang w:bidi="ar-EG"/>
              </w:rPr>
              <w:t>،</w:t>
            </w:r>
            <w:r w:rsidRPr="00206B05">
              <w:rPr>
                <w:rtl/>
                <w:lang w:bidi="ar-EG"/>
              </w:rPr>
              <w:t xml:space="preserve"> </w:t>
            </w:r>
            <w:r>
              <w:rPr>
                <w:rFonts w:hint="cs"/>
                <w:rtl/>
                <w:lang w:bidi="ar-EG"/>
              </w:rPr>
              <w:t>على أساس</w:t>
            </w:r>
            <w:r w:rsidRPr="00206B05">
              <w:rPr>
                <w:rtl/>
                <w:lang w:bidi="ar-EG"/>
              </w:rPr>
              <w:t xml:space="preserve"> رسوم مخفضة</w:t>
            </w:r>
            <w:r>
              <w:rPr>
                <w:rFonts w:hint="cs"/>
                <w:rtl/>
                <w:lang w:bidi="ar-SY"/>
              </w:rPr>
              <w:t>. وكلف مؤتمر المندوبين المفوضين لعام</w:t>
            </w:r>
            <w:r w:rsidR="00C35459">
              <w:rPr>
                <w:rFonts w:hint="eastAsia"/>
                <w:rtl/>
                <w:lang w:bidi="ar-SY"/>
              </w:rPr>
              <w:t> </w:t>
            </w:r>
            <w:r>
              <w:rPr>
                <w:lang w:bidi="ar-SY"/>
              </w:rPr>
              <w:t>2018</w:t>
            </w:r>
            <w:r>
              <w:rPr>
                <w:rFonts w:hint="cs"/>
                <w:rtl/>
              </w:rPr>
              <w:t xml:space="preserve"> المجلس بتحديد الحد الأقصى للإيرادات التي يمكن أن تحققها شركة صغيرة أو</w:t>
            </w:r>
            <w:r w:rsidR="00C35459">
              <w:rPr>
                <w:rFonts w:hint="eastAsia"/>
                <w:rtl/>
              </w:rPr>
              <w:t> </w:t>
            </w:r>
            <w:r>
              <w:rPr>
                <w:rFonts w:hint="cs"/>
                <w:rtl/>
              </w:rPr>
              <w:t>متوسطة للاستفادة من هذه الرسوم المخفضة. وفي دورة المجلس لعام</w:t>
            </w:r>
            <w:r w:rsidR="00C35459">
              <w:rPr>
                <w:rFonts w:hint="eastAsia"/>
                <w:rtl/>
              </w:rPr>
              <w:t> </w:t>
            </w:r>
            <w:r>
              <w:t>2019</w:t>
            </w:r>
            <w:r>
              <w:rPr>
                <w:rFonts w:hint="cs"/>
                <w:rtl/>
              </w:rPr>
              <w:t xml:space="preserve">، استعرض فريق العمل التابع للمجلس </w:t>
            </w:r>
            <w:r>
              <w:rPr>
                <w:color w:val="000000"/>
                <w:rtl/>
              </w:rPr>
              <w:t>والمعني بالموارد المالية والبشرية</w:t>
            </w:r>
            <w:r w:rsidR="00C35459">
              <w:rPr>
                <w:rFonts w:hint="eastAsia"/>
                <w:rtl/>
              </w:rPr>
              <w:t> </w:t>
            </w:r>
            <w:r>
              <w:t>(</w:t>
            </w:r>
            <w:r w:rsidRPr="00B52DB0">
              <w:t>CWG-FHR</w:t>
            </w:r>
            <w:r>
              <w:t>)</w:t>
            </w:r>
            <w:r>
              <w:rPr>
                <w:rFonts w:hint="cs"/>
                <w:rtl/>
              </w:rPr>
              <w:t xml:space="preserve"> عدة خيارات وفي الختام طلب من الأمانة أن تحلل عتبتين محتملتين لمساعدة المجلس في تحديد مستوى مناسب. كما يوصي الفريق في تقرير رئيسه </w:t>
            </w:r>
            <w:r>
              <w:rPr>
                <w:rFonts w:hint="cs"/>
                <w:color w:val="000000"/>
                <w:rtl/>
              </w:rPr>
              <w:t>بأن يمدد</w:t>
            </w:r>
            <w:r>
              <w:rPr>
                <w:color w:val="000000"/>
                <w:rtl/>
              </w:rPr>
              <w:t xml:space="preserve"> المجلس</w:t>
            </w:r>
            <w:r>
              <w:rPr>
                <w:rFonts w:hint="cs"/>
                <w:color w:val="000000"/>
                <w:rtl/>
              </w:rPr>
              <w:t xml:space="preserve"> مدة</w:t>
            </w:r>
            <w:r>
              <w:rPr>
                <w:color w:val="000000"/>
                <w:rtl/>
              </w:rPr>
              <w:t xml:space="preserve"> المشروع التجريبي الحالي الخاص بالشركات الصغيرة والمتوسطة حتى </w:t>
            </w:r>
            <w:r>
              <w:rPr>
                <w:color w:val="000000"/>
              </w:rPr>
              <w:t>31</w:t>
            </w:r>
            <w:r w:rsidR="00C35459">
              <w:rPr>
                <w:rFonts w:hint="cs"/>
                <w:color w:val="000000"/>
                <w:rtl/>
              </w:rPr>
              <w:t> </w:t>
            </w:r>
            <w:r>
              <w:rPr>
                <w:color w:val="000000"/>
                <w:rtl/>
              </w:rPr>
              <w:t>يناير</w:t>
            </w:r>
            <w:r w:rsidR="00C35459">
              <w:rPr>
                <w:rFonts w:hint="cs"/>
                <w:color w:val="000000"/>
                <w:rtl/>
              </w:rPr>
              <w:t> </w:t>
            </w:r>
            <w:r>
              <w:rPr>
                <w:color w:val="000000"/>
              </w:rPr>
              <w:t>2020</w:t>
            </w:r>
            <w:r>
              <w:rPr>
                <w:color w:val="000000"/>
                <w:rtl/>
              </w:rPr>
              <w:t xml:space="preserve"> لتيسير الانتقال نحو تنفيذ القرار الجديد</w:t>
            </w:r>
            <w:r>
              <w:rPr>
                <w:rFonts w:hint="cs"/>
                <w:rtl/>
              </w:rPr>
              <w:t>.</w:t>
            </w:r>
          </w:p>
          <w:p w:rsidR="00290728" w:rsidRPr="00290728" w:rsidRDefault="00290728" w:rsidP="00706D7A">
            <w:pPr>
              <w:rPr>
                <w:b/>
                <w:bCs/>
                <w:rtl/>
                <w:lang w:bidi="ar-SY"/>
              </w:rPr>
            </w:pPr>
            <w:r w:rsidRPr="00290728">
              <w:rPr>
                <w:rFonts w:hint="cs"/>
                <w:b/>
                <w:bCs/>
                <w:rtl/>
                <w:lang w:bidi="ar-SY"/>
              </w:rPr>
              <w:t>الإجراء المطلوب</w:t>
            </w:r>
          </w:p>
          <w:p w:rsidR="00290728" w:rsidRDefault="001D55F9" w:rsidP="00706D7A">
            <w:pPr>
              <w:rPr>
                <w:rtl/>
                <w:lang w:bidi="ar-SY"/>
              </w:rPr>
            </w:pPr>
            <w:r>
              <w:rPr>
                <w:rFonts w:hint="cs"/>
                <w:rtl/>
                <w:lang w:bidi="ar-SY"/>
              </w:rPr>
              <w:t xml:space="preserve">يُدعى المجلس إلى </w:t>
            </w:r>
            <w:r w:rsidRPr="0072134B">
              <w:rPr>
                <w:rFonts w:hint="cs"/>
                <w:b/>
                <w:bCs/>
                <w:rtl/>
                <w:lang w:bidi="ar-SY"/>
              </w:rPr>
              <w:t>النظر</w:t>
            </w:r>
            <w:r>
              <w:rPr>
                <w:rFonts w:hint="cs"/>
                <w:rtl/>
                <w:lang w:bidi="ar-SY"/>
              </w:rPr>
              <w:t xml:space="preserve"> في تحليل وتوصيات الأمين العام بشأن تنفيذ هذا القرار الجديد.</w:t>
            </w:r>
          </w:p>
          <w:p w:rsidR="00290728" w:rsidRDefault="00290728" w:rsidP="00290728">
            <w:pPr>
              <w:jc w:val="center"/>
              <w:rPr>
                <w:rtl/>
                <w:lang w:bidi="ar-SY"/>
              </w:rPr>
            </w:pPr>
            <w:r>
              <w:rPr>
                <w:rFonts w:hint="cs"/>
                <w:rtl/>
                <w:lang w:bidi="ar-SY"/>
              </w:rPr>
              <w:t>_________</w:t>
            </w:r>
          </w:p>
          <w:p w:rsidR="00290728" w:rsidRPr="00290728" w:rsidRDefault="00290728" w:rsidP="00290728">
            <w:pPr>
              <w:rPr>
                <w:b/>
                <w:bCs/>
                <w:rtl/>
                <w:lang w:bidi="ar-SY"/>
              </w:rPr>
            </w:pPr>
            <w:r w:rsidRPr="00290728">
              <w:rPr>
                <w:rFonts w:hint="cs"/>
                <w:b/>
                <w:bCs/>
                <w:rtl/>
                <w:lang w:bidi="ar-SY"/>
              </w:rPr>
              <w:t>المراجع</w:t>
            </w:r>
          </w:p>
          <w:p w:rsidR="00290728" w:rsidRPr="00C35459" w:rsidRDefault="00C83555" w:rsidP="00C35459">
            <w:pPr>
              <w:spacing w:after="120"/>
              <w:jc w:val="left"/>
              <w:rPr>
                <w:i/>
                <w:iCs/>
                <w:rtl/>
                <w:lang w:bidi="ar-SY"/>
              </w:rPr>
            </w:pPr>
            <w:hyperlink r:id="rId9" w:history="1">
              <w:r w:rsidR="001D55F9" w:rsidRPr="00C35459">
                <w:rPr>
                  <w:rStyle w:val="Hyperlink"/>
                  <w:rFonts w:hint="cs"/>
                  <w:i/>
                  <w:iCs/>
                  <w:rtl/>
                  <w:lang w:bidi="ar-SY"/>
                </w:rPr>
                <w:t xml:space="preserve">القرار </w:t>
              </w:r>
              <w:r w:rsidR="001D55F9" w:rsidRPr="00C35459">
                <w:rPr>
                  <w:rStyle w:val="Hyperlink"/>
                  <w:i/>
                  <w:iCs/>
                  <w:lang w:bidi="ar-SY"/>
                </w:rPr>
                <w:t>209</w:t>
              </w:r>
              <w:r w:rsidR="001D55F9" w:rsidRPr="00C35459">
                <w:rPr>
                  <w:rStyle w:val="Hyperlink"/>
                  <w:rFonts w:hint="cs"/>
                  <w:i/>
                  <w:iCs/>
                  <w:rtl/>
                </w:rPr>
                <w:t xml:space="preserve"> (دبي، </w:t>
              </w:r>
              <w:r w:rsidR="001D55F9" w:rsidRPr="00C35459">
                <w:rPr>
                  <w:rStyle w:val="Hyperlink"/>
                  <w:i/>
                  <w:iCs/>
                </w:rPr>
                <w:t>2018</w:t>
              </w:r>
              <w:r w:rsidR="001D55F9" w:rsidRPr="00C35459">
                <w:rPr>
                  <w:rStyle w:val="Hyperlink"/>
                  <w:rFonts w:hint="cs"/>
                  <w:i/>
                  <w:iCs/>
                  <w:rtl/>
                </w:rPr>
                <w:t>)</w:t>
              </w:r>
            </w:hyperlink>
            <w:bookmarkStart w:id="1" w:name="_GoBack"/>
            <w:bookmarkEnd w:id="1"/>
            <w:r w:rsidR="001D55F9" w:rsidRPr="00C35459">
              <w:rPr>
                <w:rFonts w:hint="cs"/>
                <w:i/>
                <w:iCs/>
                <w:rtl/>
              </w:rPr>
              <w:t xml:space="preserve">؛ </w:t>
            </w:r>
            <w:r w:rsidR="00C35459" w:rsidRPr="00C35459">
              <w:rPr>
                <w:rFonts w:hint="cs"/>
                <w:i/>
                <w:iCs/>
                <w:rtl/>
              </w:rPr>
              <w:t>ا</w:t>
            </w:r>
            <w:r w:rsidR="001D55F9" w:rsidRPr="00C35459">
              <w:rPr>
                <w:rFonts w:hint="cs"/>
                <w:i/>
                <w:iCs/>
                <w:rtl/>
              </w:rPr>
              <w:t xml:space="preserve">لوثيقة </w:t>
            </w:r>
            <w:hyperlink r:id="rId10" w:history="1">
              <w:r w:rsidR="001D55F9" w:rsidRPr="00C35459">
                <w:rPr>
                  <w:rStyle w:val="Hyperlink"/>
                  <w:i/>
                  <w:iCs/>
                  <w:lang w:val="fr-CH"/>
                </w:rPr>
                <w:t>PP-18/52</w:t>
              </w:r>
            </w:hyperlink>
            <w:r w:rsidR="001D55F9" w:rsidRPr="00C35459">
              <w:rPr>
                <w:rFonts w:hint="cs"/>
                <w:i/>
                <w:iCs/>
                <w:rtl/>
              </w:rPr>
              <w:t xml:space="preserve">، وثيقة المجلس </w:t>
            </w:r>
            <w:hyperlink r:id="rId11" w:history="1">
              <w:r w:rsidR="001D55F9" w:rsidRPr="00C35459">
                <w:rPr>
                  <w:rStyle w:val="Hyperlink"/>
                  <w:i/>
                  <w:iCs/>
                  <w:lang w:val="fr-CH"/>
                </w:rPr>
                <w:t>C17/120</w:t>
              </w:r>
            </w:hyperlink>
          </w:p>
        </w:tc>
      </w:tr>
    </w:tbl>
    <w:p w:rsidR="004E11DC" w:rsidRDefault="004E11DC" w:rsidP="004E11DC">
      <w:pPr>
        <w:rPr>
          <w:rtl/>
          <w:lang w:bidi="ar-SY"/>
        </w:rPr>
      </w:pPr>
    </w:p>
    <w:p w:rsidR="00290728" w:rsidRDefault="00290728" w:rsidP="00290728">
      <w:pPr>
        <w:rPr>
          <w:rtl/>
          <w:lang w:bidi="ar-EG"/>
        </w:rPr>
      </w:pPr>
      <w:r>
        <w:rPr>
          <w:rtl/>
          <w:lang w:bidi="ar-SY"/>
        </w:rPr>
        <w:br w:type="page"/>
      </w:r>
    </w:p>
    <w:p w:rsidR="001D55F9" w:rsidRDefault="001D55F9" w:rsidP="00F41C96">
      <w:pPr>
        <w:pStyle w:val="Heading1"/>
      </w:pPr>
      <w:r>
        <w:lastRenderedPageBreak/>
        <w:t>1</w:t>
      </w:r>
      <w:r>
        <w:rPr>
          <w:rFonts w:hint="cs"/>
          <w:rtl/>
        </w:rPr>
        <w:tab/>
        <w:t>خلفية</w:t>
      </w:r>
    </w:p>
    <w:p w:rsidR="001D55F9" w:rsidRDefault="001D55F9" w:rsidP="00C35459">
      <w:pPr>
        <w:rPr>
          <w:rtl/>
          <w:lang w:bidi="ar"/>
        </w:rPr>
      </w:pPr>
      <w:r>
        <w:rPr>
          <w:lang w:bidi="ar-EG"/>
        </w:rPr>
        <w:t>1.1</w:t>
      </w:r>
      <w:r>
        <w:rPr>
          <w:rtl/>
        </w:rPr>
        <w:tab/>
      </w:r>
      <w:r>
        <w:rPr>
          <w:rFonts w:hint="cs"/>
          <w:rtl/>
          <w:lang w:bidi="ar"/>
        </w:rPr>
        <w:t xml:space="preserve">قرر </w:t>
      </w:r>
      <w:r>
        <w:rPr>
          <w:rFonts w:hint="cs"/>
          <w:rtl/>
          <w:lang w:bidi="ar-EG"/>
        </w:rPr>
        <w:t>المجلس في دورته لعام</w:t>
      </w:r>
      <w:r w:rsidR="00C35459">
        <w:rPr>
          <w:rFonts w:hint="eastAsia"/>
          <w:rtl/>
          <w:lang w:bidi="ar-EG"/>
        </w:rPr>
        <w:t> </w:t>
      </w:r>
      <w:r>
        <w:rPr>
          <w:lang w:bidi="ar-EG"/>
        </w:rPr>
        <w:t>2017</w:t>
      </w:r>
      <w:r>
        <w:rPr>
          <w:rFonts w:hint="cs"/>
          <w:rtl/>
          <w:lang w:bidi="ar-EG"/>
        </w:rPr>
        <w:t xml:space="preserve"> إطلاق مشروع تجريبي بشأن مشاركة الشركات الصغيرة والمتوسطة في أعمال لجان الدراسات المعنية في قطاعيْ تقييس الاتصالات وتنمية الاتصالات </w:t>
      </w:r>
      <w:r>
        <w:rPr>
          <w:rFonts w:hint="cs"/>
          <w:rtl/>
          <w:lang w:bidi="ar"/>
        </w:rPr>
        <w:t>يجوز بموجبه للشركات الصغيرة والمتوسطة أن تشارك مشاركة كاملة في اجتماعات لجان الدراس</w:t>
      </w:r>
      <w:r w:rsidR="00941A45">
        <w:rPr>
          <w:rFonts w:hint="cs"/>
          <w:rtl/>
          <w:lang w:bidi="ar"/>
        </w:rPr>
        <w:t>ات المشارِكة دون أن يكون لها أي</w:t>
      </w:r>
      <w:r>
        <w:rPr>
          <w:rFonts w:hint="cs"/>
          <w:rtl/>
          <w:lang w:bidi="ar"/>
        </w:rPr>
        <w:t xml:space="preserve"> دور في صنع القرار، بما</w:t>
      </w:r>
      <w:r w:rsidR="00C35459">
        <w:rPr>
          <w:rFonts w:hint="eastAsia"/>
          <w:rtl/>
          <w:lang w:bidi="ar"/>
        </w:rPr>
        <w:t> </w:t>
      </w:r>
      <w:r>
        <w:rPr>
          <w:rFonts w:hint="cs"/>
          <w:rtl/>
          <w:lang w:bidi="ar"/>
        </w:rPr>
        <w:t>في</w:t>
      </w:r>
      <w:r w:rsidR="00C35459">
        <w:rPr>
          <w:rFonts w:hint="eastAsia"/>
          <w:rtl/>
          <w:lang w:bidi="ar"/>
        </w:rPr>
        <w:t> </w:t>
      </w:r>
      <w:r>
        <w:rPr>
          <w:rFonts w:hint="cs"/>
          <w:rtl/>
          <w:lang w:bidi="ar"/>
        </w:rPr>
        <w:t>ذلك الأدوار القيادية واعتماد قرارات أو</w:t>
      </w:r>
      <w:r w:rsidR="00C35459">
        <w:rPr>
          <w:rFonts w:hint="eastAsia"/>
          <w:rtl/>
          <w:lang w:bidi="ar"/>
        </w:rPr>
        <w:t> </w:t>
      </w:r>
      <w:r>
        <w:rPr>
          <w:rFonts w:hint="cs"/>
          <w:rtl/>
          <w:lang w:bidi="ar"/>
        </w:rPr>
        <w:t>توصيات.</w:t>
      </w:r>
      <w:r w:rsidRPr="009D0A61">
        <w:rPr>
          <w:rtl/>
        </w:rPr>
        <w:t xml:space="preserve"> </w:t>
      </w:r>
      <w:r w:rsidRPr="009D0A61">
        <w:rPr>
          <w:rtl/>
          <w:lang w:bidi="ar"/>
        </w:rPr>
        <w:t xml:space="preserve">والاختصاصات الكاملة </w:t>
      </w:r>
      <w:r>
        <w:rPr>
          <w:rFonts w:hint="cs"/>
          <w:rtl/>
          <w:lang w:bidi="ar"/>
        </w:rPr>
        <w:t>ذات</w:t>
      </w:r>
      <w:r w:rsidR="00C35459">
        <w:rPr>
          <w:rFonts w:hint="eastAsia"/>
          <w:rtl/>
          <w:lang w:bidi="ar"/>
        </w:rPr>
        <w:t> </w:t>
      </w:r>
      <w:r>
        <w:rPr>
          <w:rFonts w:hint="cs"/>
          <w:rtl/>
          <w:lang w:bidi="ar"/>
        </w:rPr>
        <w:t>الصلة بالمشروع</w:t>
      </w:r>
      <w:r>
        <w:rPr>
          <w:rtl/>
          <w:lang w:bidi="ar"/>
        </w:rPr>
        <w:t xml:space="preserve"> التجريبي متاح</w:t>
      </w:r>
      <w:r>
        <w:rPr>
          <w:rFonts w:hint="cs"/>
          <w:rtl/>
          <w:lang w:bidi="ar"/>
        </w:rPr>
        <w:t>ة</w:t>
      </w:r>
      <w:r w:rsidRPr="009D0A61">
        <w:rPr>
          <w:rtl/>
          <w:lang w:bidi="ar"/>
        </w:rPr>
        <w:t xml:space="preserve"> </w:t>
      </w:r>
      <w:hyperlink r:id="rId12" w:history="1">
        <w:r w:rsidRPr="008F5F15">
          <w:rPr>
            <w:rStyle w:val="Hyperlink"/>
            <w:rFonts w:hint="cs"/>
            <w:rtl/>
            <w:lang w:bidi="ar"/>
          </w:rPr>
          <w:t>هنا</w:t>
        </w:r>
      </w:hyperlink>
      <w:r w:rsidR="00941A45" w:rsidRPr="00941A45">
        <w:rPr>
          <w:rFonts w:hint="cs"/>
          <w:rtl/>
        </w:rPr>
        <w:t>.</w:t>
      </w:r>
      <w:r>
        <w:rPr>
          <w:rStyle w:val="FootnoteReference"/>
          <w:rtl/>
          <w:lang w:bidi="ar"/>
        </w:rPr>
        <w:footnoteReference w:id="1"/>
      </w:r>
    </w:p>
    <w:p w:rsidR="001D55F9" w:rsidRDefault="001D55F9" w:rsidP="001D55F9">
      <w:pPr>
        <w:rPr>
          <w:rtl/>
          <w:lang w:bidi="ar"/>
        </w:rPr>
      </w:pPr>
      <w:r>
        <w:rPr>
          <w:lang w:bidi="ar"/>
        </w:rPr>
        <w:t>2.1</w:t>
      </w:r>
      <w:r>
        <w:rPr>
          <w:rFonts w:hint="cs"/>
          <w:rtl/>
          <w:lang w:bidi="ar-EG"/>
        </w:rPr>
        <w:tab/>
        <w:t>ولكي تتمكن الشركات الصغيرة والمتوسطة من المشاركة، يتعي</w:t>
      </w:r>
      <w:r w:rsidR="00C35459">
        <w:rPr>
          <w:rFonts w:hint="cs"/>
          <w:rtl/>
          <w:lang w:bidi="ar-EG"/>
        </w:rPr>
        <w:t>ّ</w:t>
      </w:r>
      <w:r>
        <w:rPr>
          <w:rFonts w:hint="cs"/>
          <w:rtl/>
          <w:lang w:bidi="ar-EG"/>
        </w:rPr>
        <w:t>ن عليها الحصول على موافقة من إداراتها الحكومية ذات الصلة، طبقاً للتعاريف الوطنية للشركات الصغيرة والمتوسطة</w:t>
      </w:r>
      <w:r>
        <w:rPr>
          <w:rFonts w:hint="cs"/>
          <w:rtl/>
          <w:lang w:bidi="ar"/>
        </w:rPr>
        <w:t>.</w:t>
      </w:r>
    </w:p>
    <w:p w:rsidR="001D55F9" w:rsidRDefault="001D55F9" w:rsidP="001D55F9">
      <w:pPr>
        <w:rPr>
          <w:rtl/>
          <w:lang w:bidi="ar"/>
        </w:rPr>
      </w:pPr>
      <w:r>
        <w:rPr>
          <w:lang w:bidi="ar-EG"/>
        </w:rPr>
        <w:t>3.1</w:t>
      </w:r>
      <w:r>
        <w:rPr>
          <w:rFonts w:hint="cs"/>
          <w:rtl/>
          <w:lang w:bidi="ar-EG"/>
        </w:rPr>
        <w:tab/>
        <w:t>ويُروّج</w:t>
      </w:r>
      <w:r>
        <w:rPr>
          <w:rFonts w:hint="cs"/>
          <w:rtl/>
          <w:lang w:bidi="ar"/>
        </w:rPr>
        <w:t xml:space="preserve"> للمشروع التجريبي مع المكاتب والمنظمات الإقليمية والإدارات والمكاتب الإقليمية ومكاتب المناطق التابعة للاتحاد من خلال التواصل مع الشركات الصغيرة والمتوسطة وجمعياتها.</w:t>
      </w:r>
    </w:p>
    <w:p w:rsidR="001D55F9" w:rsidRDefault="001D55F9" w:rsidP="0035058A">
      <w:pPr>
        <w:rPr>
          <w:rtl/>
          <w:lang w:bidi="ar-EG"/>
        </w:rPr>
      </w:pPr>
      <w:r>
        <w:rPr>
          <w:lang w:bidi="ar-EG"/>
        </w:rPr>
        <w:t>4.1</w:t>
      </w:r>
      <w:r>
        <w:rPr>
          <w:rFonts w:hint="cs"/>
          <w:rtl/>
          <w:lang w:bidi="ar-EG"/>
        </w:rPr>
        <w:tab/>
        <w:t>و</w:t>
      </w:r>
      <w:r>
        <w:rPr>
          <w:color w:val="000000"/>
          <w:rtl/>
        </w:rPr>
        <w:t>حسب تعليمات المجلس</w:t>
      </w:r>
      <w:r>
        <w:rPr>
          <w:rFonts w:hint="cs"/>
          <w:color w:val="000000"/>
          <w:rtl/>
        </w:rPr>
        <w:t xml:space="preserve"> في دورته لعام</w:t>
      </w:r>
      <w:r w:rsidR="0035058A">
        <w:rPr>
          <w:rFonts w:hint="eastAsia"/>
          <w:color w:val="000000"/>
          <w:rtl/>
        </w:rPr>
        <w:t> </w:t>
      </w:r>
      <w:r>
        <w:rPr>
          <w:color w:val="000000"/>
        </w:rPr>
        <w:t>2017</w:t>
      </w:r>
      <w:r>
        <w:rPr>
          <w:color w:val="000000"/>
          <w:rtl/>
        </w:rPr>
        <w:t xml:space="preserve">، </w:t>
      </w:r>
      <w:r>
        <w:rPr>
          <w:rFonts w:hint="cs"/>
          <w:rtl/>
          <w:lang w:bidi="ar-EG"/>
        </w:rPr>
        <w:t>قد</w:t>
      </w:r>
      <w:r w:rsidR="0035058A">
        <w:rPr>
          <w:rFonts w:hint="cs"/>
          <w:rtl/>
          <w:lang w:bidi="ar-EG"/>
        </w:rPr>
        <w:t>ّ</w:t>
      </w:r>
      <w:r>
        <w:rPr>
          <w:rFonts w:hint="cs"/>
          <w:rtl/>
          <w:lang w:bidi="ar-EG"/>
        </w:rPr>
        <w:t xml:space="preserve">مت </w:t>
      </w:r>
      <w:r w:rsidRPr="006C0EBF">
        <w:rPr>
          <w:rFonts w:hint="cs"/>
          <w:rtl/>
          <w:lang w:bidi="ar-EG"/>
        </w:rPr>
        <w:t xml:space="preserve">الأمانة </w:t>
      </w:r>
      <w:r>
        <w:rPr>
          <w:rFonts w:hint="cs"/>
          <w:rtl/>
          <w:lang w:bidi="ar-EG"/>
        </w:rPr>
        <w:t xml:space="preserve">تقريراً مرحلياً للمجلس </w:t>
      </w:r>
      <w:r w:rsidRPr="006C0EBF">
        <w:rPr>
          <w:rFonts w:hint="cs"/>
          <w:rtl/>
          <w:lang w:bidi="ar-EG"/>
        </w:rPr>
        <w:t>في دورته لعام</w:t>
      </w:r>
      <w:r w:rsidR="0035058A">
        <w:rPr>
          <w:rFonts w:hint="eastAsia"/>
          <w:rtl/>
          <w:lang w:bidi="ar-EG"/>
        </w:rPr>
        <w:t> </w:t>
      </w:r>
      <w:r w:rsidRPr="008F5F15">
        <w:rPr>
          <w:lang w:bidi="ar-EG"/>
        </w:rPr>
        <w:t>201</w:t>
      </w:r>
      <w:r>
        <w:rPr>
          <w:lang w:bidi="ar-EG"/>
        </w:rPr>
        <w:t>8</w:t>
      </w:r>
      <w:r>
        <w:rPr>
          <w:rFonts w:hint="cs"/>
          <w:rtl/>
          <w:lang w:bidi="ar-EG"/>
        </w:rPr>
        <w:t xml:space="preserve"> وتقريراً أوفى بشأن النتائج إلى مؤتمر المندوبين المفوضين لعام </w:t>
      </w:r>
      <w:r>
        <w:rPr>
          <w:lang w:bidi="ar-EG"/>
        </w:rPr>
        <w:t>2018</w:t>
      </w:r>
      <w:r>
        <w:rPr>
          <w:rFonts w:hint="cs"/>
          <w:rtl/>
          <w:lang w:bidi="ar-EG"/>
        </w:rPr>
        <w:t xml:space="preserve"> وهو متاح </w:t>
      </w:r>
      <w:hyperlink r:id="rId13" w:history="1">
        <w:r w:rsidRPr="0035058A">
          <w:rPr>
            <w:rStyle w:val="Hyperlink"/>
            <w:rFonts w:hint="cs"/>
            <w:rtl/>
            <w:lang w:bidi="ar-EG"/>
          </w:rPr>
          <w:t>هنا</w:t>
        </w:r>
      </w:hyperlink>
      <w:r>
        <w:rPr>
          <w:rFonts w:hint="cs"/>
          <w:rtl/>
          <w:lang w:bidi="ar-EG"/>
        </w:rPr>
        <w:t>.</w:t>
      </w:r>
    </w:p>
    <w:p w:rsidR="001D55F9" w:rsidRPr="0042245A" w:rsidRDefault="001D55F9" w:rsidP="00F41C96">
      <w:pPr>
        <w:pStyle w:val="Heading1"/>
        <w:rPr>
          <w:rtl/>
        </w:rPr>
      </w:pPr>
      <w:r w:rsidRPr="0042245A">
        <w:rPr>
          <w:lang w:bidi="ar-EG"/>
        </w:rPr>
        <w:t>2</w:t>
      </w:r>
      <w:r w:rsidRPr="0042245A">
        <w:rPr>
          <w:rtl/>
          <w:lang w:bidi="ar-EG"/>
        </w:rPr>
        <w:tab/>
      </w:r>
      <w:r w:rsidRPr="0042245A">
        <w:rPr>
          <w:rFonts w:hint="cs"/>
          <w:rtl/>
          <w:lang w:bidi="ar-EG"/>
        </w:rPr>
        <w:t xml:space="preserve">نتائج مؤتمر المندوبين المفوضين لعام </w:t>
      </w:r>
      <w:r w:rsidRPr="0042245A">
        <w:rPr>
          <w:lang w:bidi="ar-EG"/>
        </w:rPr>
        <w:t>2018</w:t>
      </w:r>
    </w:p>
    <w:p w:rsidR="001D55F9" w:rsidRPr="007A21F6" w:rsidRDefault="001D55F9" w:rsidP="00C412F1">
      <w:pPr>
        <w:rPr>
          <w:rtl/>
        </w:rPr>
      </w:pPr>
      <w:r>
        <w:t>1.2</w:t>
      </w:r>
      <w:r>
        <w:tab/>
      </w:r>
      <w:r>
        <w:rPr>
          <w:rFonts w:hint="cs"/>
          <w:rtl/>
        </w:rPr>
        <w:t>بناءً على المشروع التجريبي، اعتمد مؤتمر المندوبين المفوضين لعام</w:t>
      </w:r>
      <w:r w:rsidR="0035058A">
        <w:rPr>
          <w:rFonts w:hint="eastAsia"/>
          <w:rtl/>
        </w:rPr>
        <w:t> </w:t>
      </w:r>
      <w:r>
        <w:t>2018</w:t>
      </w:r>
      <w:r>
        <w:rPr>
          <w:rFonts w:hint="cs"/>
          <w:rtl/>
        </w:rPr>
        <w:t xml:space="preserve"> القرار</w:t>
      </w:r>
      <w:r w:rsidR="0035058A">
        <w:rPr>
          <w:rFonts w:hint="eastAsia"/>
          <w:rtl/>
        </w:rPr>
        <w:t> </w:t>
      </w:r>
      <w:r>
        <w:t>209</w:t>
      </w:r>
      <w:r>
        <w:rPr>
          <w:rFonts w:hint="cs"/>
          <w:rtl/>
        </w:rPr>
        <w:t xml:space="preserve"> (دبي،</w:t>
      </w:r>
      <w:r w:rsidR="0035058A">
        <w:rPr>
          <w:rFonts w:hint="eastAsia"/>
          <w:rtl/>
        </w:rPr>
        <w:t> </w:t>
      </w:r>
      <w:r>
        <w:t>2018</w:t>
      </w:r>
      <w:r>
        <w:rPr>
          <w:rFonts w:hint="cs"/>
          <w:rtl/>
        </w:rPr>
        <w:t xml:space="preserve">) لتشجيع مشاركة الشركات الصغيرة والمتوسطة بصفة </w:t>
      </w:r>
      <w:r w:rsidRPr="00206B05">
        <w:rPr>
          <w:rtl/>
          <w:lang w:bidi="ar-EG"/>
        </w:rPr>
        <w:t>منتسبين في قطاعات الاتحاد</w:t>
      </w:r>
      <w:r>
        <w:rPr>
          <w:rtl/>
          <w:lang w:bidi="ar-EG"/>
        </w:rPr>
        <w:t>،</w:t>
      </w:r>
      <w:r w:rsidRPr="00206B05">
        <w:rPr>
          <w:rtl/>
          <w:lang w:bidi="ar-EG"/>
        </w:rPr>
        <w:t xml:space="preserve"> </w:t>
      </w:r>
      <w:r>
        <w:rPr>
          <w:rFonts w:hint="cs"/>
          <w:rtl/>
          <w:lang w:bidi="ar-EG"/>
        </w:rPr>
        <w:t xml:space="preserve">من خلال تطبيق </w:t>
      </w:r>
      <w:r w:rsidRPr="00206B05">
        <w:rPr>
          <w:rtl/>
          <w:lang w:bidi="ar-EG"/>
        </w:rPr>
        <w:t>رسوم مخفضة</w:t>
      </w:r>
      <w:r>
        <w:rPr>
          <w:rFonts w:hint="cs"/>
          <w:rtl/>
          <w:lang w:bidi="ar-EG"/>
        </w:rPr>
        <w:t xml:space="preserve"> بالنسبة لهذه الكيانات. وحُددت الرسوم بمبلغ </w:t>
      </w:r>
      <w:r>
        <w:rPr>
          <w:lang w:bidi="ar-EG"/>
        </w:rPr>
        <w:t>3 975</w:t>
      </w:r>
      <w:r>
        <w:rPr>
          <w:rFonts w:hint="cs"/>
          <w:rtl/>
        </w:rPr>
        <w:t xml:space="preserve"> فرنكاً سويسرياً في حالات الشركات الصغيرة والمتوسطة من البلدان المتقدمة وبمبلغ </w:t>
      </w:r>
      <w:r>
        <w:t>1 987,50</w:t>
      </w:r>
      <w:r>
        <w:rPr>
          <w:rFonts w:hint="cs"/>
          <w:rtl/>
        </w:rPr>
        <w:t xml:space="preserve"> فرنكاً سويسرياً في</w:t>
      </w:r>
      <w:r w:rsidR="00C412F1">
        <w:rPr>
          <w:rFonts w:hint="eastAsia"/>
          <w:rtl/>
        </w:rPr>
        <w:t> </w:t>
      </w:r>
      <w:r>
        <w:rPr>
          <w:rFonts w:hint="cs"/>
          <w:rtl/>
        </w:rPr>
        <w:t xml:space="preserve">حالة الشركات الصغيرة والمتوسطة من البلدان النامية، </w:t>
      </w:r>
      <w:r w:rsidRPr="007A21F6">
        <w:rPr>
          <w:rtl/>
        </w:rPr>
        <w:t>رهنا</w:t>
      </w:r>
      <w:r>
        <w:rPr>
          <w:rFonts w:hint="cs"/>
          <w:rtl/>
        </w:rPr>
        <w:t>ً</w:t>
      </w:r>
      <w:r w:rsidRPr="007A21F6">
        <w:rPr>
          <w:rtl/>
        </w:rPr>
        <w:t xml:space="preserve"> </w:t>
      </w:r>
      <w:r>
        <w:rPr>
          <w:rFonts w:hint="cs"/>
          <w:rtl/>
        </w:rPr>
        <w:t>باستعراض المجلس لها استعراضاً مستمراً</w:t>
      </w:r>
      <w:r w:rsidRPr="007A21F6">
        <w:rPr>
          <w:rtl/>
        </w:rPr>
        <w:t>.</w:t>
      </w:r>
      <w:r>
        <w:rPr>
          <w:rFonts w:hint="cs"/>
          <w:rtl/>
        </w:rPr>
        <w:t xml:space="preserve"> ويحق</w:t>
      </w:r>
      <w:r w:rsidRPr="007A21F6">
        <w:rPr>
          <w:rtl/>
        </w:rPr>
        <w:t xml:space="preserve"> </w:t>
      </w:r>
      <w:r>
        <w:rPr>
          <w:rFonts w:hint="cs"/>
          <w:rtl/>
        </w:rPr>
        <w:t>ل</w:t>
      </w:r>
      <w:r w:rsidRPr="007A21F6">
        <w:rPr>
          <w:rtl/>
        </w:rPr>
        <w:t>لمنتسبين المشاركة في</w:t>
      </w:r>
      <w:r w:rsidR="0035058A">
        <w:rPr>
          <w:rFonts w:hint="cs"/>
          <w:rtl/>
        </w:rPr>
        <w:t> </w:t>
      </w:r>
      <w:r>
        <w:rPr>
          <w:rFonts w:hint="cs"/>
          <w:rtl/>
        </w:rPr>
        <w:t>لجنة دراسات</w:t>
      </w:r>
      <w:r w:rsidRPr="007A21F6">
        <w:rPr>
          <w:rtl/>
        </w:rPr>
        <w:t xml:space="preserve"> واحدة في قطاع معين</w:t>
      </w:r>
      <w:r>
        <w:rPr>
          <w:rFonts w:hint="cs"/>
          <w:rtl/>
        </w:rPr>
        <w:t>.</w:t>
      </w:r>
    </w:p>
    <w:p w:rsidR="001D55F9" w:rsidRDefault="001D55F9" w:rsidP="00435380">
      <w:pPr>
        <w:rPr>
          <w:rtl/>
        </w:rPr>
      </w:pPr>
      <w:r>
        <w:t>2.2</w:t>
      </w:r>
      <w:r>
        <w:rPr>
          <w:rtl/>
        </w:rPr>
        <w:tab/>
      </w:r>
      <w:r>
        <w:rPr>
          <w:rFonts w:hint="cs"/>
          <w:rtl/>
        </w:rPr>
        <w:t>قرر مؤتمر المندوبين المفوضين لعام</w:t>
      </w:r>
      <w:r w:rsidR="00936228">
        <w:rPr>
          <w:rFonts w:hint="eastAsia"/>
          <w:rtl/>
        </w:rPr>
        <w:t> </w:t>
      </w:r>
      <w:r>
        <w:t>2018</w:t>
      </w:r>
      <w:r>
        <w:rPr>
          <w:rFonts w:hint="cs"/>
          <w:rtl/>
        </w:rPr>
        <w:t xml:space="preserve"> </w:t>
      </w:r>
      <w:r>
        <w:rPr>
          <w:color w:val="000000"/>
          <w:rtl/>
        </w:rPr>
        <w:t xml:space="preserve">أن يُشترط في قبول طلبات المشاركة، </w:t>
      </w:r>
      <w:r>
        <w:rPr>
          <w:rFonts w:hint="cs"/>
          <w:color w:val="000000"/>
          <w:rtl/>
        </w:rPr>
        <w:t>أن تؤيدها (توافق</w:t>
      </w:r>
      <w:r w:rsidR="00435380">
        <w:rPr>
          <w:rFonts w:hint="eastAsia"/>
          <w:color w:val="000000"/>
          <w:rtl/>
        </w:rPr>
        <w:t> </w:t>
      </w:r>
      <w:r w:rsidR="00936228">
        <w:rPr>
          <w:rFonts w:hint="cs"/>
          <w:color w:val="000000"/>
          <w:rtl/>
        </w:rPr>
        <w:t>علي</w:t>
      </w:r>
      <w:r>
        <w:rPr>
          <w:rFonts w:hint="cs"/>
          <w:color w:val="000000"/>
          <w:rtl/>
        </w:rPr>
        <w:t>ها)</w:t>
      </w:r>
      <w:r>
        <w:rPr>
          <w:color w:val="000000"/>
          <w:rtl/>
        </w:rPr>
        <w:t xml:space="preserve"> الدول الأعضاء في الاتحاد التي تتبع لها هذه الهيئات، وأن تشهد على أن مقد</w:t>
      </w:r>
      <w:r w:rsidR="00435380">
        <w:rPr>
          <w:rFonts w:hint="cs"/>
          <w:color w:val="000000"/>
          <w:rtl/>
        </w:rPr>
        <w:t>ِّ</w:t>
      </w:r>
      <w:r>
        <w:rPr>
          <w:color w:val="000000"/>
          <w:rtl/>
        </w:rPr>
        <w:t>م الطلب هو شركة صغيرة أو</w:t>
      </w:r>
      <w:r w:rsidR="00435380">
        <w:rPr>
          <w:rFonts w:hint="cs"/>
          <w:color w:val="000000"/>
          <w:rtl/>
        </w:rPr>
        <w:t> </w:t>
      </w:r>
      <w:r>
        <w:rPr>
          <w:color w:val="000000"/>
          <w:rtl/>
        </w:rPr>
        <w:t>متوسطة وفقاً لتعريف البلد</w:t>
      </w:r>
      <w:r>
        <w:rPr>
          <w:color w:val="000000"/>
        </w:rPr>
        <w:t>.</w:t>
      </w:r>
      <w:r>
        <w:rPr>
          <w:rFonts w:hint="cs"/>
          <w:rtl/>
        </w:rPr>
        <w:t xml:space="preserve"> </w:t>
      </w:r>
      <w:r>
        <w:rPr>
          <w:color w:val="000000"/>
          <w:rtl/>
        </w:rPr>
        <w:t xml:space="preserve">وإذا وافقت الدولة العضو المعنية على أن مثل هذا الكيان يستوفي المعايير الوطنية للشركات الصغيرة والمتوسطة، فإن أهلية الحصول على رسوم مخفضة </w:t>
      </w:r>
      <w:r>
        <w:rPr>
          <w:rFonts w:hint="cs"/>
          <w:color w:val="000000"/>
          <w:rtl/>
        </w:rPr>
        <w:t>للشركات</w:t>
      </w:r>
      <w:r>
        <w:rPr>
          <w:color w:val="000000"/>
          <w:rtl/>
        </w:rPr>
        <w:t xml:space="preserve"> الصغيرة والمتوسطة مشروطة بأن يكون لديه</w:t>
      </w:r>
      <w:r>
        <w:rPr>
          <w:rFonts w:hint="cs"/>
          <w:color w:val="000000"/>
          <w:rtl/>
        </w:rPr>
        <w:t>ا</w:t>
      </w:r>
      <w:r>
        <w:rPr>
          <w:color w:val="000000"/>
          <w:rtl/>
        </w:rPr>
        <w:t xml:space="preserve"> أقل من </w:t>
      </w:r>
      <w:r>
        <w:rPr>
          <w:color w:val="000000"/>
        </w:rPr>
        <w:t>250</w:t>
      </w:r>
      <w:r w:rsidR="00435380">
        <w:rPr>
          <w:rFonts w:hint="cs"/>
          <w:color w:val="000000"/>
          <w:rtl/>
        </w:rPr>
        <w:t> </w:t>
      </w:r>
      <w:r>
        <w:rPr>
          <w:color w:val="000000"/>
          <w:rtl/>
        </w:rPr>
        <w:t>موظفاً بالإضافة إلى إيرادات سنوية تقل عن الحد الأقصى الذي يحدده المجلس</w:t>
      </w:r>
      <w:r>
        <w:rPr>
          <w:rFonts w:hint="cs"/>
          <w:color w:val="000000"/>
          <w:rtl/>
        </w:rPr>
        <w:t>. و</w:t>
      </w:r>
      <w:r>
        <w:rPr>
          <w:color w:val="000000"/>
          <w:rtl/>
        </w:rPr>
        <w:t>لا</w:t>
      </w:r>
      <w:r w:rsidR="00435380">
        <w:rPr>
          <w:rFonts w:hint="cs"/>
          <w:color w:val="000000"/>
          <w:rtl/>
        </w:rPr>
        <w:t> </w:t>
      </w:r>
      <w:r>
        <w:rPr>
          <w:color w:val="000000"/>
          <w:rtl/>
        </w:rPr>
        <w:t>يجوز في أي حال من الأحو</w:t>
      </w:r>
      <w:r>
        <w:rPr>
          <w:rFonts w:hint="cs"/>
          <w:color w:val="000000"/>
          <w:rtl/>
        </w:rPr>
        <w:t>ا</w:t>
      </w:r>
      <w:r>
        <w:rPr>
          <w:color w:val="000000"/>
          <w:rtl/>
        </w:rPr>
        <w:t>ل أن تُقدَّم شركة فرعية أو</w:t>
      </w:r>
      <w:r w:rsidR="00435380">
        <w:rPr>
          <w:rFonts w:hint="cs"/>
          <w:color w:val="000000"/>
          <w:rtl/>
        </w:rPr>
        <w:t> </w:t>
      </w:r>
      <w:r>
        <w:rPr>
          <w:color w:val="000000"/>
          <w:rtl/>
        </w:rPr>
        <w:t>تابعة لشركة غير أهل للحصول على رسوم مخفضة بموجب هذا القرار على أنها شركة صغيرة أو</w:t>
      </w:r>
      <w:r w:rsidR="00435380">
        <w:rPr>
          <w:rFonts w:hint="cs"/>
          <w:color w:val="000000"/>
          <w:rtl/>
        </w:rPr>
        <w:t> </w:t>
      </w:r>
      <w:r>
        <w:rPr>
          <w:color w:val="000000"/>
          <w:rtl/>
        </w:rPr>
        <w:t>متوسطة</w:t>
      </w:r>
      <w:r>
        <w:rPr>
          <w:rFonts w:hint="cs"/>
          <w:color w:val="000000"/>
          <w:rtl/>
        </w:rPr>
        <w:t>.</w:t>
      </w:r>
    </w:p>
    <w:p w:rsidR="001D55F9" w:rsidRDefault="001D55F9" w:rsidP="00435380">
      <w:pPr>
        <w:rPr>
          <w:rtl/>
        </w:rPr>
      </w:pPr>
      <w:r>
        <w:rPr>
          <w:lang w:bidi="ar-EG"/>
        </w:rPr>
        <w:t>3.2</w:t>
      </w:r>
      <w:r>
        <w:rPr>
          <w:rtl/>
          <w:lang w:bidi="ar-EG"/>
        </w:rPr>
        <w:tab/>
      </w:r>
      <w:r>
        <w:rPr>
          <w:rFonts w:hint="cs"/>
          <w:rtl/>
          <w:lang w:bidi="ar-EG"/>
        </w:rPr>
        <w:t>كلف مؤتمر المندوبين المفوضين لعام</w:t>
      </w:r>
      <w:r w:rsidR="00435380">
        <w:rPr>
          <w:rFonts w:hint="eastAsia"/>
          <w:rtl/>
          <w:lang w:bidi="ar-EG"/>
        </w:rPr>
        <w:t> </w:t>
      </w:r>
      <w:r>
        <w:rPr>
          <w:lang w:bidi="ar-EG"/>
        </w:rPr>
        <w:t>2018</w:t>
      </w:r>
      <w:r>
        <w:rPr>
          <w:rFonts w:hint="cs"/>
          <w:rtl/>
        </w:rPr>
        <w:t xml:space="preserve"> المجلس بإضافة أي توضيحات أخرى مناسبة لدعم تنفيذ هذا القرار وتقديم تقرير مرحلي بشأن تنفيذه إلى المؤتمر المقبل للمندوبين المفوضين. وكلف هذا المؤتمر أيضاً الأمين العام ومديري المكاتب الثلاثة باتخاذ الإجراءات اللازمة والمناسبة لتنفيذ هذا القرار ومواصلة تشجيع </w:t>
      </w:r>
      <w:r>
        <w:rPr>
          <w:rFonts w:hint="cs"/>
          <w:rtl/>
        </w:rPr>
        <w:lastRenderedPageBreak/>
        <w:t>مشاركة الشركات الصغيرة والمتوسطة في أنشطة الاتحاد ذات</w:t>
      </w:r>
      <w:r w:rsidR="00435380">
        <w:rPr>
          <w:rFonts w:hint="eastAsia"/>
          <w:rtl/>
        </w:rPr>
        <w:t> </w:t>
      </w:r>
      <w:r>
        <w:rPr>
          <w:rFonts w:hint="cs"/>
          <w:rtl/>
        </w:rPr>
        <w:t xml:space="preserve">الصلة. وأخيراً، دعا هذا المؤتمر الدول الأعضاء في الاتحاد </w:t>
      </w:r>
      <w:r>
        <w:rPr>
          <w:color w:val="000000"/>
          <w:rtl/>
        </w:rPr>
        <w:t xml:space="preserve">إلى إحاطة الشركات الصغيرة والمتوسطة علماً بهذا القرار ودعمها </w:t>
      </w:r>
      <w:r>
        <w:rPr>
          <w:rFonts w:hint="cs"/>
          <w:color w:val="000000"/>
          <w:rtl/>
        </w:rPr>
        <w:t>وتشجيعها على الانضمام إلى الاتحاد و</w:t>
      </w:r>
      <w:r>
        <w:rPr>
          <w:color w:val="000000"/>
          <w:rtl/>
        </w:rPr>
        <w:t xml:space="preserve">المشاركة في </w:t>
      </w:r>
      <w:r>
        <w:rPr>
          <w:rFonts w:hint="cs"/>
          <w:color w:val="000000"/>
          <w:rtl/>
        </w:rPr>
        <w:t>أنشطته.</w:t>
      </w:r>
    </w:p>
    <w:p w:rsidR="001D55F9" w:rsidRPr="000E3F2C" w:rsidRDefault="001D55F9" w:rsidP="00435380">
      <w:pPr>
        <w:pStyle w:val="Heading1"/>
        <w:rPr>
          <w:rtl/>
          <w:lang w:bidi="ar-EG"/>
        </w:rPr>
      </w:pPr>
      <w:r w:rsidRPr="000E3F2C">
        <w:rPr>
          <w:lang w:bidi="ar-EG"/>
        </w:rPr>
        <w:t>3</w:t>
      </w:r>
      <w:r w:rsidRPr="000E3F2C">
        <w:rPr>
          <w:rtl/>
          <w:lang w:bidi="ar-EG"/>
        </w:rPr>
        <w:tab/>
      </w:r>
      <w:r w:rsidRPr="000E3F2C">
        <w:rPr>
          <w:rFonts w:hint="cs"/>
          <w:rtl/>
          <w:lang w:bidi="ar-EG"/>
        </w:rPr>
        <w:t>تنفيذ القرار الجديد</w:t>
      </w:r>
    </w:p>
    <w:p w:rsidR="001D55F9" w:rsidRPr="00C5225F" w:rsidRDefault="001D55F9" w:rsidP="00631995">
      <w:pPr>
        <w:rPr>
          <w:rtl/>
        </w:rPr>
      </w:pPr>
      <w:r>
        <w:rPr>
          <w:lang w:bidi="ar-EG"/>
        </w:rPr>
        <w:t>1.3</w:t>
      </w:r>
      <w:r>
        <w:rPr>
          <w:rtl/>
        </w:rPr>
        <w:tab/>
      </w:r>
      <w:r>
        <w:rPr>
          <w:rFonts w:hint="cs"/>
          <w:rtl/>
        </w:rPr>
        <w:t>بدأ نفاذ القرار الجديد بشأن الشركات الصغيرة والمتوسطة بعد اعتماده في مؤتمر المندوبين المفوضين لعام</w:t>
      </w:r>
      <w:r w:rsidR="00435380">
        <w:rPr>
          <w:rFonts w:hint="eastAsia"/>
          <w:rtl/>
        </w:rPr>
        <w:t> </w:t>
      </w:r>
      <w:r>
        <w:t>2018</w:t>
      </w:r>
      <w:r>
        <w:rPr>
          <w:rFonts w:hint="cs"/>
          <w:rtl/>
        </w:rPr>
        <w:t xml:space="preserve"> مباشرة. ومع ذلك، يلزم، من الناحية العملية، إدخال تغييرات على الأنظمة الإدارية للاتحاد لدعم التنفيذ السليم لهذا القرار الجديد.</w:t>
      </w:r>
    </w:p>
    <w:p w:rsidR="001D55F9" w:rsidRPr="00C16134" w:rsidRDefault="00F41C96" w:rsidP="00903446">
      <w:pPr>
        <w:rPr>
          <w:rtl/>
        </w:rPr>
      </w:pPr>
      <w:r>
        <w:rPr>
          <w:lang w:bidi="ar-EG"/>
        </w:rPr>
        <w:t>2.3</w:t>
      </w:r>
      <w:r w:rsidR="001D55F9">
        <w:rPr>
          <w:rtl/>
          <w:lang w:bidi="ar-EG"/>
        </w:rPr>
        <w:tab/>
      </w:r>
      <w:r w:rsidR="001D55F9">
        <w:rPr>
          <w:rFonts w:hint="cs"/>
          <w:rtl/>
          <w:lang w:bidi="ar-EG"/>
        </w:rPr>
        <w:t>ووفقاً لما</w:t>
      </w:r>
      <w:r w:rsidR="00FA1C20">
        <w:rPr>
          <w:rFonts w:hint="eastAsia"/>
          <w:rtl/>
          <w:lang w:bidi="ar-EG"/>
        </w:rPr>
        <w:t> </w:t>
      </w:r>
      <w:r w:rsidR="001D55F9">
        <w:rPr>
          <w:rFonts w:hint="cs"/>
          <w:rtl/>
          <w:lang w:bidi="ar-EG"/>
        </w:rPr>
        <w:t>أُبلغ به مؤتمر المندوبين المفوضين لعام</w:t>
      </w:r>
      <w:r w:rsidR="00435380">
        <w:rPr>
          <w:rFonts w:hint="eastAsia"/>
          <w:rtl/>
          <w:lang w:bidi="ar-EG"/>
        </w:rPr>
        <w:t> </w:t>
      </w:r>
      <w:r w:rsidR="001D55F9">
        <w:rPr>
          <w:lang w:bidi="ar-EG"/>
        </w:rPr>
        <w:t>2018</w:t>
      </w:r>
      <w:r w:rsidR="001D55F9">
        <w:rPr>
          <w:rFonts w:hint="cs"/>
          <w:rtl/>
        </w:rPr>
        <w:t>، تشارك حالياً</w:t>
      </w:r>
      <w:r w:rsidR="00435380">
        <w:rPr>
          <w:rFonts w:hint="cs"/>
          <w:rtl/>
        </w:rPr>
        <w:t xml:space="preserve"> </w:t>
      </w:r>
      <w:r w:rsidR="001D55F9">
        <w:t>20</w:t>
      </w:r>
      <w:r w:rsidR="00435380">
        <w:rPr>
          <w:rFonts w:hint="eastAsia"/>
          <w:rtl/>
        </w:rPr>
        <w:t> </w:t>
      </w:r>
      <w:r w:rsidR="001D55F9">
        <w:rPr>
          <w:rFonts w:hint="cs"/>
          <w:rtl/>
        </w:rPr>
        <w:t>شركة صغيرة ومتوسطة في المشروع التجريبي الذي أطلقه المجلس في دورته لعام</w:t>
      </w:r>
      <w:r w:rsidR="00435380">
        <w:rPr>
          <w:rFonts w:hint="eastAsia"/>
          <w:rtl/>
        </w:rPr>
        <w:t> </w:t>
      </w:r>
      <w:r w:rsidR="001D55F9">
        <w:t>2017</w:t>
      </w:r>
      <w:r w:rsidR="001D55F9">
        <w:rPr>
          <w:rFonts w:hint="cs"/>
          <w:rtl/>
        </w:rPr>
        <w:t>. والنتائج إيجابية ولكن لم</w:t>
      </w:r>
      <w:r w:rsidR="00435380">
        <w:rPr>
          <w:rFonts w:hint="eastAsia"/>
          <w:rtl/>
        </w:rPr>
        <w:t> </w:t>
      </w:r>
      <w:r w:rsidR="001D55F9">
        <w:rPr>
          <w:rFonts w:hint="cs"/>
          <w:rtl/>
        </w:rPr>
        <w:t>تتح الفرصة</w:t>
      </w:r>
      <w:r w:rsidR="001D55F9" w:rsidRPr="00163609">
        <w:rPr>
          <w:rFonts w:hint="cs"/>
          <w:rtl/>
        </w:rPr>
        <w:t xml:space="preserve"> </w:t>
      </w:r>
      <w:r w:rsidR="001D55F9">
        <w:rPr>
          <w:rFonts w:hint="cs"/>
          <w:rtl/>
        </w:rPr>
        <w:t>للعديد من هذه الكيانات إلا</w:t>
      </w:r>
      <w:r w:rsidR="00435380">
        <w:rPr>
          <w:rFonts w:hint="eastAsia"/>
          <w:rtl/>
        </w:rPr>
        <w:t> </w:t>
      </w:r>
      <w:r w:rsidR="001D55F9">
        <w:rPr>
          <w:rFonts w:hint="cs"/>
          <w:rtl/>
        </w:rPr>
        <w:t>للمشاركة في اجتماع واحد أو</w:t>
      </w:r>
      <w:r w:rsidR="00435380">
        <w:rPr>
          <w:rFonts w:hint="eastAsia"/>
          <w:rtl/>
        </w:rPr>
        <w:t> </w:t>
      </w:r>
      <w:r w:rsidR="001D55F9">
        <w:rPr>
          <w:rFonts w:hint="cs"/>
          <w:rtl/>
        </w:rPr>
        <w:t>اجتماعين. ولتحقيق أقصى زيادة في عدد الشركات الصغيرة والمتوسطة التي ستختار الانضمام إلى الاتحاد بصفة منتسب وفقاً للقرار الجديد، على أساس رسوم مخفضة، سيكون من الحكمة تطبيق انتقال تدريجي. وأخيراً، ترك مؤتمر المندوبين المفوضين لعام</w:t>
      </w:r>
      <w:r w:rsidR="00435380">
        <w:rPr>
          <w:rFonts w:hint="eastAsia"/>
          <w:rtl/>
        </w:rPr>
        <w:t> </w:t>
      </w:r>
      <w:r w:rsidR="001D55F9">
        <w:t>2018</w:t>
      </w:r>
      <w:r w:rsidR="001D55F9">
        <w:rPr>
          <w:rFonts w:hint="cs"/>
          <w:rtl/>
        </w:rPr>
        <w:t xml:space="preserve"> معياراً رئيسياً واحداً لكي يبت فيه المجلس</w:t>
      </w:r>
      <w:r w:rsidR="001D55F9" w:rsidRPr="00C822E1">
        <w:rPr>
          <w:rFonts w:hint="cs"/>
          <w:rtl/>
        </w:rPr>
        <w:t xml:space="preserve"> </w:t>
      </w:r>
      <w:r w:rsidR="001D55F9">
        <w:rPr>
          <w:rFonts w:hint="cs"/>
          <w:rtl/>
        </w:rPr>
        <w:t xml:space="preserve">بشكل نهائي وهو تحديد الحد الأقصى للإيرادات الذي يمكن أن يكون لأحد المنتسبين من </w:t>
      </w:r>
      <w:r w:rsidR="00903446">
        <w:rPr>
          <w:rFonts w:hint="cs"/>
          <w:rtl/>
        </w:rPr>
        <w:t>الشركات</w:t>
      </w:r>
      <w:r w:rsidR="001D55F9">
        <w:rPr>
          <w:rFonts w:hint="cs"/>
          <w:rtl/>
        </w:rPr>
        <w:t xml:space="preserve"> الصغيرة والمتوسطة ليحق له الاستفادة من الرسوم المخفضة.</w:t>
      </w:r>
    </w:p>
    <w:p w:rsidR="001D55F9" w:rsidRDefault="001D55F9" w:rsidP="00941A45">
      <w:pPr>
        <w:rPr>
          <w:rtl/>
        </w:rPr>
      </w:pPr>
      <w:r>
        <w:rPr>
          <w:lang w:bidi="ar-EG"/>
        </w:rPr>
        <w:t>3.3</w:t>
      </w:r>
      <w:r>
        <w:rPr>
          <w:rtl/>
          <w:lang w:bidi="ar-EG"/>
        </w:rPr>
        <w:tab/>
      </w:r>
      <w:r>
        <w:rPr>
          <w:rFonts w:hint="cs"/>
          <w:rtl/>
        </w:rPr>
        <w:t xml:space="preserve">ومراعاةً لهذه الاعتبارات، </w:t>
      </w:r>
      <w:r>
        <w:rPr>
          <w:color w:val="000000"/>
          <w:rtl/>
        </w:rPr>
        <w:t xml:space="preserve">يوصي </w:t>
      </w:r>
      <w:r>
        <w:rPr>
          <w:rFonts w:hint="cs"/>
          <w:color w:val="000000"/>
          <w:rtl/>
        </w:rPr>
        <w:t>الفريق</w:t>
      </w:r>
      <w:r w:rsidR="00435380">
        <w:rPr>
          <w:rFonts w:hint="eastAsia"/>
          <w:color w:val="000000"/>
          <w:rtl/>
        </w:rPr>
        <w:t> </w:t>
      </w:r>
      <w:r>
        <w:rPr>
          <w:color w:val="000000"/>
        </w:rPr>
        <w:t>CWG-FHR</w:t>
      </w:r>
      <w:r>
        <w:rPr>
          <w:rFonts w:hint="cs"/>
          <w:color w:val="000000"/>
          <w:rtl/>
        </w:rPr>
        <w:t xml:space="preserve"> </w:t>
      </w:r>
      <w:r>
        <w:rPr>
          <w:color w:val="000000"/>
          <w:rtl/>
        </w:rPr>
        <w:t xml:space="preserve">المجلس </w:t>
      </w:r>
      <w:r>
        <w:rPr>
          <w:rFonts w:hint="cs"/>
          <w:color w:val="000000"/>
          <w:rtl/>
        </w:rPr>
        <w:t xml:space="preserve">في تقريره </w:t>
      </w:r>
      <w:r w:rsidR="00941A45" w:rsidRPr="00941A45">
        <w:rPr>
          <w:rFonts w:hint="cs"/>
          <w:rtl/>
        </w:rPr>
        <w:t>(الوثيقة</w:t>
      </w:r>
      <w:r w:rsidR="00941A45">
        <w:rPr>
          <w:rFonts w:hint="cs"/>
          <w:szCs w:val="24"/>
          <w:rtl/>
        </w:rPr>
        <w:t> </w:t>
      </w:r>
      <w:hyperlink r:id="rId14" w:history="1">
        <w:r w:rsidRPr="007A13EC">
          <w:rPr>
            <w:rStyle w:val="Hyperlink"/>
            <w:szCs w:val="24"/>
          </w:rPr>
          <w:t>C19/50</w:t>
        </w:r>
      </w:hyperlink>
      <w:r w:rsidR="00941A45" w:rsidRPr="00941A45">
        <w:rPr>
          <w:rFonts w:hint="cs"/>
          <w:rtl/>
        </w:rPr>
        <w:t>)</w:t>
      </w:r>
      <w:r>
        <w:rPr>
          <w:rFonts w:hint="cs"/>
          <w:color w:val="000000"/>
          <w:rtl/>
        </w:rPr>
        <w:t xml:space="preserve"> </w:t>
      </w:r>
      <w:r>
        <w:rPr>
          <w:color w:val="000000"/>
          <w:rtl/>
        </w:rPr>
        <w:t xml:space="preserve">بتمديد فترة المشروع الحالي </w:t>
      </w:r>
      <w:r>
        <w:rPr>
          <w:rFonts w:hint="cs"/>
          <w:color w:val="000000"/>
          <w:rtl/>
        </w:rPr>
        <w:t>للشركات</w:t>
      </w:r>
      <w:r>
        <w:rPr>
          <w:color w:val="000000"/>
          <w:rtl/>
        </w:rPr>
        <w:t xml:space="preserve"> الصغيرة والمتوسطة حتى </w:t>
      </w:r>
      <w:r>
        <w:rPr>
          <w:color w:val="000000"/>
        </w:rPr>
        <w:t>31</w:t>
      </w:r>
      <w:r w:rsidR="00435380">
        <w:rPr>
          <w:rFonts w:hint="cs"/>
          <w:color w:val="000000"/>
          <w:rtl/>
        </w:rPr>
        <w:t> </w:t>
      </w:r>
      <w:r>
        <w:rPr>
          <w:color w:val="000000"/>
          <w:rtl/>
        </w:rPr>
        <w:t>يناير</w:t>
      </w:r>
      <w:r w:rsidR="00435380">
        <w:rPr>
          <w:rFonts w:hint="cs"/>
          <w:color w:val="000000"/>
          <w:rtl/>
        </w:rPr>
        <w:t> </w:t>
      </w:r>
      <w:r>
        <w:rPr>
          <w:color w:val="000000"/>
        </w:rPr>
        <w:t>2020</w:t>
      </w:r>
      <w:r>
        <w:rPr>
          <w:color w:val="000000"/>
          <w:rtl/>
        </w:rPr>
        <w:t>، وذلك لتيسير الانتقال إلى تنفيذ القرار الجديد</w:t>
      </w:r>
      <w:r>
        <w:rPr>
          <w:color w:val="000000"/>
        </w:rPr>
        <w:t>.</w:t>
      </w:r>
    </w:p>
    <w:p w:rsidR="001D55F9" w:rsidRPr="006847FD" w:rsidRDefault="005221D2" w:rsidP="00435380">
      <w:pPr>
        <w:rPr>
          <w:rtl/>
        </w:rPr>
      </w:pPr>
      <w:r>
        <w:rPr>
          <w:lang w:bidi="ar-EG"/>
        </w:rPr>
        <w:t>4.3</w:t>
      </w:r>
      <w:r w:rsidR="001D55F9">
        <w:rPr>
          <w:rtl/>
        </w:rPr>
        <w:tab/>
      </w:r>
      <w:r w:rsidR="001D55F9">
        <w:rPr>
          <w:rFonts w:hint="cs"/>
          <w:rtl/>
        </w:rPr>
        <w:t>وعلاوة</w:t>
      </w:r>
      <w:r w:rsidR="00435380">
        <w:rPr>
          <w:rFonts w:hint="cs"/>
          <w:rtl/>
        </w:rPr>
        <w:t>ً</w:t>
      </w:r>
      <w:r w:rsidR="001D55F9">
        <w:rPr>
          <w:rFonts w:hint="cs"/>
          <w:rtl/>
        </w:rPr>
        <w:t xml:space="preserve"> على ذلك، بغية مساعدة المجلس لعام</w:t>
      </w:r>
      <w:r w:rsidR="00435380">
        <w:rPr>
          <w:rFonts w:hint="eastAsia"/>
          <w:rtl/>
        </w:rPr>
        <w:t> </w:t>
      </w:r>
      <w:r w:rsidR="001D55F9">
        <w:t>2019</w:t>
      </w:r>
      <w:r w:rsidR="001D55F9">
        <w:rPr>
          <w:rFonts w:hint="cs"/>
          <w:rtl/>
        </w:rPr>
        <w:t xml:space="preserve"> في تحديد الحد الأقصى لمستوى الإيرادات السنوية، ناقش الفريق</w:t>
      </w:r>
      <w:r w:rsidR="00435380">
        <w:rPr>
          <w:rFonts w:hint="eastAsia"/>
          <w:rtl/>
        </w:rPr>
        <w:t> </w:t>
      </w:r>
      <w:r w:rsidR="001D55F9" w:rsidRPr="001B5A02">
        <w:rPr>
          <w:szCs w:val="24"/>
        </w:rPr>
        <w:t>CWG</w:t>
      </w:r>
      <w:r w:rsidR="00435380">
        <w:rPr>
          <w:szCs w:val="24"/>
        </w:rPr>
        <w:noBreakHyphen/>
      </w:r>
      <w:r w:rsidR="001D55F9" w:rsidRPr="001B5A02">
        <w:rPr>
          <w:szCs w:val="24"/>
        </w:rPr>
        <w:t>FHR</w:t>
      </w:r>
      <w:r w:rsidR="001D55F9">
        <w:rPr>
          <w:rFonts w:hint="cs"/>
          <w:rtl/>
        </w:rPr>
        <w:t xml:space="preserve"> في جلسة يناير مختلف التعاريف الوطنية والدولية. وبعد إجراء بحوث ومشاورات</w:t>
      </w:r>
      <w:r w:rsidR="001D55F9" w:rsidRPr="000B61AC">
        <w:rPr>
          <w:rtl/>
        </w:rPr>
        <w:t xml:space="preserve"> مع </w:t>
      </w:r>
      <w:r w:rsidR="001D55F9">
        <w:rPr>
          <w:rFonts w:hint="cs"/>
          <w:rtl/>
        </w:rPr>
        <w:t>هيئات الأمم المتحدة</w:t>
      </w:r>
      <w:r w:rsidR="00941A45">
        <w:rPr>
          <w:rFonts w:hint="eastAsia"/>
          <w:rtl/>
        </w:rPr>
        <w:t> </w:t>
      </w:r>
      <w:r w:rsidR="00941A45">
        <w:t>(UN)</w:t>
      </w:r>
      <w:r w:rsidR="001D55F9">
        <w:rPr>
          <w:rFonts w:hint="cs"/>
          <w:rtl/>
        </w:rPr>
        <w:t xml:space="preserve"> الأخرى</w:t>
      </w:r>
      <w:r w:rsidR="001D55F9" w:rsidRPr="000B61AC">
        <w:rPr>
          <w:rtl/>
        </w:rPr>
        <w:t xml:space="preserve">، </w:t>
      </w:r>
      <w:r w:rsidR="001D55F9">
        <w:rPr>
          <w:rFonts w:hint="cs"/>
          <w:rtl/>
        </w:rPr>
        <w:t>أفادت</w:t>
      </w:r>
      <w:r w:rsidR="001D55F9" w:rsidRPr="000B61AC">
        <w:rPr>
          <w:rtl/>
        </w:rPr>
        <w:t xml:space="preserve"> الأمانة </w:t>
      </w:r>
      <w:r w:rsidR="001D55F9">
        <w:rPr>
          <w:rFonts w:hint="cs"/>
          <w:rtl/>
        </w:rPr>
        <w:t>بعدم وجود</w:t>
      </w:r>
      <w:r w:rsidR="001D55F9" w:rsidRPr="000B61AC">
        <w:rPr>
          <w:rtl/>
        </w:rPr>
        <w:t xml:space="preserve"> </w:t>
      </w:r>
      <w:r w:rsidR="001D55F9">
        <w:rPr>
          <w:rFonts w:hint="cs"/>
          <w:rtl/>
        </w:rPr>
        <w:t xml:space="preserve">تعريف مقبول على مستوى منظومة </w:t>
      </w:r>
      <w:r w:rsidR="001D55F9" w:rsidRPr="000B61AC">
        <w:rPr>
          <w:rtl/>
        </w:rPr>
        <w:t>الأمم المتحدة أو</w:t>
      </w:r>
      <w:r w:rsidR="00435380">
        <w:rPr>
          <w:rFonts w:hint="cs"/>
          <w:rtl/>
        </w:rPr>
        <w:t> </w:t>
      </w:r>
      <w:r w:rsidR="001D55F9">
        <w:rPr>
          <w:rFonts w:hint="cs"/>
          <w:rtl/>
        </w:rPr>
        <w:t>تعريف رسمي</w:t>
      </w:r>
      <w:r w:rsidR="001D55F9" w:rsidRPr="000B61AC">
        <w:rPr>
          <w:rtl/>
        </w:rPr>
        <w:t xml:space="preserve"> </w:t>
      </w:r>
      <w:r w:rsidR="001D55F9">
        <w:rPr>
          <w:rFonts w:hint="cs"/>
          <w:rtl/>
        </w:rPr>
        <w:t>للشركات</w:t>
      </w:r>
      <w:r w:rsidR="001D55F9" w:rsidRPr="000B61AC">
        <w:rPr>
          <w:rtl/>
        </w:rPr>
        <w:t xml:space="preserve"> الصغيرة والمتوسطة. والتعاريف الدولية الأكثر شيوعاً </w:t>
      </w:r>
      <w:r w:rsidR="001D55F9">
        <w:rPr>
          <w:rFonts w:hint="cs"/>
          <w:rtl/>
        </w:rPr>
        <w:t>هي تلك الخاصة</w:t>
      </w:r>
      <w:r w:rsidR="001D55F9" w:rsidRPr="000B61AC">
        <w:rPr>
          <w:rtl/>
        </w:rPr>
        <w:t xml:space="preserve"> </w:t>
      </w:r>
      <w:r w:rsidR="001D55F9">
        <w:rPr>
          <w:rFonts w:hint="cs"/>
          <w:rtl/>
        </w:rPr>
        <w:t>ب</w:t>
      </w:r>
      <w:r w:rsidR="001D55F9" w:rsidRPr="000B61AC">
        <w:rPr>
          <w:rtl/>
        </w:rPr>
        <w:t>البنك الدولي والاتحاد الأوروبي.</w:t>
      </w:r>
    </w:p>
    <w:p w:rsidR="001D55F9" w:rsidRDefault="001D55F9" w:rsidP="005221D2">
      <w:pPr>
        <w:rPr>
          <w:rtl/>
        </w:rPr>
      </w:pPr>
      <w:r>
        <w:rPr>
          <w:lang w:bidi="ar-EG"/>
        </w:rPr>
        <w:t>5.3</w:t>
      </w:r>
      <w:r>
        <w:rPr>
          <w:rtl/>
        </w:rPr>
        <w:tab/>
      </w:r>
      <w:r>
        <w:rPr>
          <w:rFonts w:hint="cs"/>
          <w:rtl/>
        </w:rPr>
        <w:t xml:space="preserve">ونظراً للتفاوت الكبير بين التعاريف الوطنية وعدم وجود تعريف مقبول على مستوى منظومة الأمم المتحدة، </w:t>
      </w:r>
      <w:r>
        <w:rPr>
          <w:color w:val="000000"/>
          <w:rtl/>
        </w:rPr>
        <w:t>طلب الفريق</w:t>
      </w:r>
      <w:r w:rsidR="005221D2">
        <w:rPr>
          <w:rFonts w:hint="eastAsia"/>
          <w:color w:val="000000"/>
          <w:rtl/>
          <w:lang w:bidi="ar-EG"/>
        </w:rPr>
        <w:t> </w:t>
      </w:r>
      <w:r>
        <w:rPr>
          <w:color w:val="000000"/>
        </w:rPr>
        <w:t>CWG</w:t>
      </w:r>
      <w:r w:rsidR="005221D2">
        <w:rPr>
          <w:color w:val="000000"/>
        </w:rPr>
        <w:noBreakHyphen/>
      </w:r>
      <w:r>
        <w:rPr>
          <w:color w:val="000000"/>
        </w:rPr>
        <w:t>FHR</w:t>
      </w:r>
      <w:r>
        <w:rPr>
          <w:rFonts w:hint="cs"/>
          <w:color w:val="000000"/>
          <w:rtl/>
        </w:rPr>
        <w:t xml:space="preserve"> </w:t>
      </w:r>
      <w:r>
        <w:rPr>
          <w:color w:val="000000"/>
          <w:rtl/>
        </w:rPr>
        <w:t xml:space="preserve">من الأمانة تحليل الأثر المالي لعتبتين محتملتين، هما </w:t>
      </w:r>
      <w:r>
        <w:rPr>
          <w:color w:val="000000"/>
        </w:rPr>
        <w:t>15</w:t>
      </w:r>
      <w:r w:rsidR="005221D2">
        <w:rPr>
          <w:rFonts w:hint="cs"/>
          <w:color w:val="000000"/>
          <w:rtl/>
        </w:rPr>
        <w:t> </w:t>
      </w:r>
      <w:r>
        <w:rPr>
          <w:color w:val="000000"/>
          <w:rtl/>
        </w:rPr>
        <w:t xml:space="preserve">مليون فرنك سويسري </w:t>
      </w:r>
      <w:r>
        <w:rPr>
          <w:rFonts w:hint="cs"/>
          <w:color w:val="000000"/>
          <w:rtl/>
        </w:rPr>
        <w:t>و</w:t>
      </w:r>
      <w:r>
        <w:rPr>
          <w:color w:val="000000"/>
        </w:rPr>
        <w:t>50</w:t>
      </w:r>
      <w:r w:rsidR="005221D2">
        <w:rPr>
          <w:rFonts w:hint="cs"/>
          <w:color w:val="000000"/>
          <w:rtl/>
        </w:rPr>
        <w:t> </w:t>
      </w:r>
      <w:r>
        <w:rPr>
          <w:color w:val="000000"/>
          <w:rtl/>
        </w:rPr>
        <w:t xml:space="preserve">مليون فرنك سويسري، استناداً إلى المؤشرات الدولية </w:t>
      </w:r>
      <w:r>
        <w:rPr>
          <w:rFonts w:hint="cs"/>
          <w:color w:val="000000"/>
          <w:rtl/>
        </w:rPr>
        <w:t>الحالية المتاحة من البنك الدولي والاتحاد الأوروبي على التوالي.</w:t>
      </w:r>
    </w:p>
    <w:p w:rsidR="001D55F9" w:rsidRPr="002D30D7" w:rsidRDefault="005221D2" w:rsidP="00F41C96">
      <w:pPr>
        <w:pStyle w:val="Heading1"/>
        <w:rPr>
          <w:rtl/>
        </w:rPr>
      </w:pPr>
      <w:r>
        <w:t>4</w:t>
      </w:r>
      <w:r w:rsidR="001D55F9" w:rsidRPr="002D30D7">
        <w:rPr>
          <w:rtl/>
        </w:rPr>
        <w:tab/>
      </w:r>
      <w:r w:rsidR="001D55F9">
        <w:rPr>
          <w:rFonts w:hint="cs"/>
          <w:rtl/>
        </w:rPr>
        <w:t>الحد الأقصى المحتمل لمستوى</w:t>
      </w:r>
      <w:r w:rsidR="001D55F9" w:rsidRPr="002D30D7">
        <w:rPr>
          <w:rFonts w:hint="cs"/>
          <w:rtl/>
        </w:rPr>
        <w:t xml:space="preserve"> </w:t>
      </w:r>
      <w:r w:rsidR="001D55F9">
        <w:rPr>
          <w:rFonts w:hint="cs"/>
          <w:rtl/>
        </w:rPr>
        <w:t>ا</w:t>
      </w:r>
      <w:r w:rsidR="001D55F9" w:rsidRPr="002D30D7">
        <w:rPr>
          <w:rFonts w:hint="cs"/>
          <w:rtl/>
        </w:rPr>
        <w:t>لإيرادات السنوية</w:t>
      </w:r>
      <w:r w:rsidR="001D55F9">
        <w:rPr>
          <w:rFonts w:hint="cs"/>
          <w:rtl/>
        </w:rPr>
        <w:t xml:space="preserve"> </w:t>
      </w:r>
      <w:r w:rsidR="001D55F9" w:rsidRPr="002D30D7">
        <w:rPr>
          <w:rFonts w:hint="cs"/>
          <w:rtl/>
        </w:rPr>
        <w:t>للشركات الصغيرة والمتوسطة</w:t>
      </w:r>
    </w:p>
    <w:p w:rsidR="001D55F9" w:rsidRDefault="001D55F9" w:rsidP="005221D2">
      <w:pPr>
        <w:rPr>
          <w:b/>
          <w:bCs/>
          <w:rtl/>
          <w:lang w:bidi="ar-EG"/>
        </w:rPr>
      </w:pPr>
      <w:r>
        <w:t>1.4</w:t>
      </w:r>
      <w:r>
        <w:rPr>
          <w:rtl/>
        </w:rPr>
        <w:tab/>
      </w:r>
      <w:r>
        <w:rPr>
          <w:rFonts w:hint="cs"/>
          <w:rtl/>
        </w:rPr>
        <w:t>فيما</w:t>
      </w:r>
      <w:r w:rsidR="005221D2">
        <w:rPr>
          <w:rFonts w:hint="eastAsia"/>
          <w:rtl/>
        </w:rPr>
        <w:t> </w:t>
      </w:r>
      <w:r>
        <w:rPr>
          <w:rFonts w:hint="cs"/>
          <w:rtl/>
        </w:rPr>
        <w:t>يلي تحليل الأثر المحتمل للخيارين اللذين أوصى بهما الفريق</w:t>
      </w:r>
      <w:r w:rsidR="005221D2">
        <w:rPr>
          <w:rFonts w:hint="eastAsia"/>
          <w:rtl/>
        </w:rPr>
        <w:t> </w:t>
      </w:r>
      <w:r>
        <w:rPr>
          <w:color w:val="000000"/>
        </w:rPr>
        <w:t>CWG-FHR</w:t>
      </w:r>
      <w:r>
        <w:rPr>
          <w:rFonts w:hint="cs"/>
          <w:rtl/>
        </w:rPr>
        <w:t xml:space="preserve">: </w:t>
      </w:r>
      <w:r w:rsidRPr="002D30D7">
        <w:rPr>
          <w:b/>
          <w:bCs/>
          <w:color w:val="000000"/>
        </w:rPr>
        <w:t>15</w:t>
      </w:r>
      <w:r w:rsidR="005221D2">
        <w:rPr>
          <w:rFonts w:hint="cs"/>
          <w:b/>
          <w:bCs/>
          <w:color w:val="000000"/>
          <w:rtl/>
        </w:rPr>
        <w:t> </w:t>
      </w:r>
      <w:r w:rsidRPr="002D30D7">
        <w:rPr>
          <w:b/>
          <w:bCs/>
          <w:color w:val="000000"/>
          <w:rtl/>
        </w:rPr>
        <w:t>مليون فرنك سويسري</w:t>
      </w:r>
      <w:r>
        <w:rPr>
          <w:color w:val="000000"/>
          <w:rtl/>
        </w:rPr>
        <w:t xml:space="preserve"> </w:t>
      </w:r>
      <w:r w:rsidRPr="002D30D7">
        <w:rPr>
          <w:rFonts w:hint="cs"/>
          <w:b/>
          <w:bCs/>
          <w:color w:val="000000"/>
          <w:rtl/>
        </w:rPr>
        <w:t>و</w:t>
      </w:r>
      <w:r w:rsidRPr="002D30D7">
        <w:rPr>
          <w:b/>
          <w:bCs/>
          <w:color w:val="000000"/>
        </w:rPr>
        <w:t>50</w:t>
      </w:r>
      <w:r w:rsidR="005221D2">
        <w:rPr>
          <w:rFonts w:hint="cs"/>
          <w:b/>
          <w:bCs/>
          <w:color w:val="000000"/>
          <w:rtl/>
        </w:rPr>
        <w:t> </w:t>
      </w:r>
      <w:r w:rsidRPr="002D30D7">
        <w:rPr>
          <w:b/>
          <w:bCs/>
          <w:color w:val="000000"/>
          <w:rtl/>
        </w:rPr>
        <w:t>مليون فرنك سويسري</w:t>
      </w:r>
      <w:r>
        <w:rPr>
          <w:rFonts w:hint="cs"/>
          <w:b/>
          <w:bCs/>
          <w:rtl/>
        </w:rPr>
        <w:t>.</w:t>
      </w:r>
    </w:p>
    <w:p w:rsidR="001D55F9" w:rsidRPr="00F41C96" w:rsidRDefault="001D55F9" w:rsidP="00F41C96">
      <w:pPr>
        <w:pStyle w:val="Headingb"/>
        <w:rPr>
          <w:i/>
          <w:iCs/>
          <w:rtl/>
        </w:rPr>
      </w:pPr>
      <w:r w:rsidRPr="00F41C96">
        <w:rPr>
          <w:rFonts w:hint="cs"/>
          <w:i/>
          <w:iCs/>
          <w:rtl/>
        </w:rPr>
        <w:lastRenderedPageBreak/>
        <w:t>استقصاء بشأن أعضاء القطاعات والمنتسبين</w:t>
      </w:r>
    </w:p>
    <w:p w:rsidR="001D55F9" w:rsidRDefault="001D55F9" w:rsidP="00FA1C20">
      <w:pPr>
        <w:rPr>
          <w:rtl/>
        </w:rPr>
      </w:pPr>
      <w:r w:rsidRPr="00DF6228">
        <w:t>2.4</w:t>
      </w:r>
      <w:r w:rsidRPr="00DF6228">
        <w:rPr>
          <w:rtl/>
        </w:rPr>
        <w:tab/>
      </w:r>
      <w:r>
        <w:rPr>
          <w:rFonts w:hint="cs"/>
          <w:rtl/>
        </w:rPr>
        <w:t>بما</w:t>
      </w:r>
      <w:r w:rsidR="009E6C77">
        <w:rPr>
          <w:rFonts w:hint="eastAsia"/>
          <w:rtl/>
        </w:rPr>
        <w:t> </w:t>
      </w:r>
      <w:r>
        <w:rPr>
          <w:rFonts w:hint="cs"/>
          <w:rtl/>
        </w:rPr>
        <w:t>أن إيرادات الشركات الصغيرة والمتوسطة ليست متاحة للعموم، أرسلت الأمانة العامة استقصاءً في فبراير</w:t>
      </w:r>
      <w:r w:rsidR="009E6C77">
        <w:rPr>
          <w:rFonts w:hint="eastAsia"/>
          <w:rtl/>
        </w:rPr>
        <w:t> </w:t>
      </w:r>
      <w:r>
        <w:t>2019</w:t>
      </w:r>
      <w:r>
        <w:rPr>
          <w:rFonts w:hint="cs"/>
          <w:rtl/>
        </w:rPr>
        <w:t xml:space="preserve"> إلى جميع أعضاء القطاعات والمنتسبين الذين يدفعون رسوماً من أجل جمع معلومات عن حجم الشركات. وأجابت على هذا الاستقصاء </w:t>
      </w:r>
      <w:r>
        <w:t>100</w:t>
      </w:r>
      <w:r w:rsidR="00FA1C20">
        <w:rPr>
          <w:rFonts w:hint="eastAsia"/>
          <w:rtl/>
        </w:rPr>
        <w:t> </w:t>
      </w:r>
      <w:r>
        <w:rPr>
          <w:rFonts w:hint="cs"/>
          <w:rtl/>
        </w:rPr>
        <w:t xml:space="preserve">شركة تقريباً أي حوالي </w:t>
      </w:r>
      <w:r>
        <w:t>%15</w:t>
      </w:r>
      <w:r>
        <w:rPr>
          <w:rFonts w:hint="cs"/>
          <w:rtl/>
        </w:rPr>
        <w:t xml:space="preserve"> من المجموع.</w:t>
      </w:r>
    </w:p>
    <w:p w:rsidR="001D55F9" w:rsidRPr="00F41C96" w:rsidRDefault="001D55F9" w:rsidP="00F41C96">
      <w:pPr>
        <w:pStyle w:val="Headingb"/>
        <w:rPr>
          <w:i/>
          <w:iCs/>
          <w:rtl/>
        </w:rPr>
      </w:pPr>
      <w:r w:rsidRPr="00F41C96">
        <w:rPr>
          <w:rFonts w:hint="cs"/>
          <w:i/>
          <w:iCs/>
          <w:rtl/>
        </w:rPr>
        <w:t>العدد المقدر للشركات الصغيرة والمتوسطة ضمن الأعضاء الحاليين</w:t>
      </w:r>
    </w:p>
    <w:p w:rsidR="001D55F9" w:rsidRPr="0093323D" w:rsidRDefault="001D55F9" w:rsidP="009E6C77">
      <w:pPr>
        <w:rPr>
          <w:rtl/>
        </w:rPr>
      </w:pPr>
      <w:r w:rsidRPr="0093323D">
        <w:t>3.4</w:t>
      </w:r>
      <w:r w:rsidRPr="0093323D">
        <w:rPr>
          <w:rtl/>
        </w:rPr>
        <w:tab/>
        <w:t xml:space="preserve">إذا </w:t>
      </w:r>
      <w:r w:rsidRPr="0093323D">
        <w:rPr>
          <w:rFonts w:hint="cs"/>
          <w:rtl/>
        </w:rPr>
        <w:t xml:space="preserve">افتُرض أن </w:t>
      </w:r>
      <w:r w:rsidRPr="0093323D">
        <w:rPr>
          <w:rtl/>
        </w:rPr>
        <w:t xml:space="preserve">مجموعة البيانات هذه </w:t>
      </w:r>
      <w:r w:rsidRPr="0093323D">
        <w:rPr>
          <w:rFonts w:hint="cs"/>
          <w:rtl/>
        </w:rPr>
        <w:t>تمثل</w:t>
      </w:r>
      <w:r w:rsidRPr="0093323D">
        <w:rPr>
          <w:rtl/>
        </w:rPr>
        <w:t xml:space="preserve"> </w:t>
      </w:r>
      <w:r w:rsidRPr="0093323D">
        <w:rPr>
          <w:rFonts w:hint="cs"/>
          <w:rtl/>
        </w:rPr>
        <w:t>الأعضاء</w:t>
      </w:r>
      <w:r w:rsidRPr="0093323D">
        <w:rPr>
          <w:rtl/>
        </w:rPr>
        <w:t xml:space="preserve"> ككل، </w:t>
      </w:r>
      <w:r w:rsidRPr="0093323D">
        <w:rPr>
          <w:rFonts w:hint="cs"/>
          <w:rtl/>
        </w:rPr>
        <w:t>عندئذ، يُحتمل أن يكون</w:t>
      </w:r>
      <w:r w:rsidRPr="0093323D">
        <w:rPr>
          <w:rtl/>
        </w:rPr>
        <w:t xml:space="preserve"> </w:t>
      </w:r>
      <w:r w:rsidRPr="0093323D">
        <w:t>%20</w:t>
      </w:r>
      <w:r w:rsidRPr="0093323D">
        <w:rPr>
          <w:rtl/>
        </w:rPr>
        <w:t xml:space="preserve"> </w:t>
      </w:r>
      <w:r w:rsidRPr="0093323D">
        <w:rPr>
          <w:rFonts w:hint="cs"/>
          <w:rtl/>
        </w:rPr>
        <w:t>من ال</w:t>
      </w:r>
      <w:r w:rsidRPr="0093323D">
        <w:rPr>
          <w:rtl/>
        </w:rPr>
        <w:t>أعضاء (</w:t>
      </w:r>
      <w:r w:rsidRPr="0093323D">
        <w:t>%13</w:t>
      </w:r>
      <w:r w:rsidRPr="0093323D">
        <w:rPr>
          <w:rFonts w:hint="cs"/>
          <w:rtl/>
        </w:rPr>
        <w:t xml:space="preserve"> </w:t>
      </w:r>
      <w:r w:rsidRPr="0093323D">
        <w:rPr>
          <w:rtl/>
        </w:rPr>
        <w:t>من أعضاء القطاع</w:t>
      </w:r>
      <w:r w:rsidRPr="0093323D">
        <w:rPr>
          <w:rFonts w:hint="cs"/>
          <w:rtl/>
        </w:rPr>
        <w:t>ات</w:t>
      </w:r>
      <w:r w:rsidRPr="0093323D">
        <w:rPr>
          <w:rtl/>
        </w:rPr>
        <w:t xml:space="preserve"> و</w:t>
      </w:r>
      <w:r w:rsidRPr="0093323D">
        <w:t>%33</w:t>
      </w:r>
      <w:r w:rsidRPr="0093323D">
        <w:rPr>
          <w:rFonts w:hint="cs"/>
          <w:rtl/>
        </w:rPr>
        <w:t xml:space="preserve"> من </w:t>
      </w:r>
      <w:r w:rsidRPr="0093323D">
        <w:rPr>
          <w:rtl/>
        </w:rPr>
        <w:t xml:space="preserve">المنتسبين) </w:t>
      </w:r>
      <w:r w:rsidRPr="0093323D">
        <w:rPr>
          <w:rFonts w:hint="cs"/>
          <w:rtl/>
        </w:rPr>
        <w:t>شركات صغيرة أو</w:t>
      </w:r>
      <w:r w:rsidR="009E6C77" w:rsidRPr="0093323D">
        <w:rPr>
          <w:rFonts w:hint="eastAsia"/>
          <w:rtl/>
        </w:rPr>
        <w:t> </w:t>
      </w:r>
      <w:r w:rsidRPr="0093323D">
        <w:rPr>
          <w:rFonts w:hint="cs"/>
          <w:rtl/>
        </w:rPr>
        <w:t>متوسطة</w:t>
      </w:r>
      <w:r w:rsidRPr="0093323D">
        <w:rPr>
          <w:rtl/>
        </w:rPr>
        <w:t xml:space="preserve">، </w:t>
      </w:r>
      <w:r w:rsidRPr="0093323D">
        <w:rPr>
          <w:rFonts w:hint="cs"/>
          <w:rtl/>
        </w:rPr>
        <w:t>باتباع</w:t>
      </w:r>
      <w:r w:rsidRPr="0093323D">
        <w:rPr>
          <w:rtl/>
        </w:rPr>
        <w:t xml:space="preserve"> </w:t>
      </w:r>
      <w:r w:rsidRPr="0093323D">
        <w:rPr>
          <w:rFonts w:hint="cs"/>
          <w:rtl/>
        </w:rPr>
        <w:t xml:space="preserve">أوسع تعريف، أي </w:t>
      </w:r>
      <w:r w:rsidRPr="0093323D">
        <w:rPr>
          <w:rtl/>
        </w:rPr>
        <w:t xml:space="preserve">أقل من </w:t>
      </w:r>
      <w:r w:rsidRPr="0093323D">
        <w:t>250</w:t>
      </w:r>
      <w:r w:rsidR="009E6C77" w:rsidRPr="0093323D">
        <w:rPr>
          <w:rFonts w:hint="cs"/>
          <w:rtl/>
        </w:rPr>
        <w:t> </w:t>
      </w:r>
      <w:r w:rsidRPr="0093323D">
        <w:rPr>
          <w:rtl/>
        </w:rPr>
        <w:t>موظف</w:t>
      </w:r>
      <w:r w:rsidRPr="0093323D">
        <w:rPr>
          <w:rFonts w:hint="cs"/>
          <w:rtl/>
        </w:rPr>
        <w:t>اً</w:t>
      </w:r>
      <w:r w:rsidRPr="0093323D">
        <w:rPr>
          <w:rtl/>
        </w:rPr>
        <w:t xml:space="preserve"> </w:t>
      </w:r>
      <w:r w:rsidR="00941A45" w:rsidRPr="0093323D">
        <w:rPr>
          <w:rFonts w:hint="cs"/>
          <w:rtl/>
        </w:rPr>
        <w:t>و</w:t>
      </w:r>
      <w:r w:rsidRPr="0093323D">
        <w:rPr>
          <w:rFonts w:hint="cs"/>
          <w:rtl/>
        </w:rPr>
        <w:t xml:space="preserve">إيرادات تقل عن </w:t>
      </w:r>
      <w:r w:rsidRPr="0093323D">
        <w:t>50</w:t>
      </w:r>
      <w:r w:rsidR="009E6C77" w:rsidRPr="0093323D">
        <w:rPr>
          <w:rFonts w:hint="cs"/>
          <w:rtl/>
        </w:rPr>
        <w:t> </w:t>
      </w:r>
      <w:r w:rsidRPr="0093323D">
        <w:rPr>
          <w:rtl/>
        </w:rPr>
        <w:t>مليون فرنك سويسري.</w:t>
      </w:r>
      <w:r w:rsidRPr="0093323D">
        <w:rPr>
          <w:rFonts w:hint="cs"/>
          <w:rtl/>
        </w:rPr>
        <w:t xml:space="preserve"> وكانت </w:t>
      </w:r>
      <w:r w:rsidRPr="0093323D">
        <w:t>%70</w:t>
      </w:r>
      <w:r w:rsidRPr="0093323D">
        <w:rPr>
          <w:rFonts w:hint="cs"/>
          <w:rtl/>
        </w:rPr>
        <w:t xml:space="preserve"> من بين هذه الجهات التي أجابت من البلدان المتقدمة و </w:t>
      </w:r>
      <w:r w:rsidRPr="0093323D">
        <w:t>%30</w:t>
      </w:r>
      <w:r w:rsidR="009E6C77" w:rsidRPr="0093323D">
        <w:rPr>
          <w:rFonts w:hint="cs"/>
          <w:rtl/>
        </w:rPr>
        <w:t xml:space="preserve"> من البلدان النامية.</w:t>
      </w:r>
    </w:p>
    <w:p w:rsidR="001D55F9" w:rsidRPr="00F41C96" w:rsidRDefault="001D55F9" w:rsidP="009E6C77">
      <w:pPr>
        <w:pStyle w:val="Headingb"/>
        <w:keepLines/>
        <w:rPr>
          <w:i/>
          <w:iCs/>
          <w:rtl/>
        </w:rPr>
      </w:pPr>
      <w:r w:rsidRPr="00F41C96">
        <w:rPr>
          <w:rFonts w:hint="cs"/>
          <w:i/>
          <w:iCs/>
          <w:rtl/>
        </w:rPr>
        <w:t>تقدير الإيرادات المعرضة للخطر</w:t>
      </w:r>
    </w:p>
    <w:p w:rsidR="001D55F9" w:rsidRDefault="001D55F9" w:rsidP="009E6C77">
      <w:pPr>
        <w:keepNext/>
        <w:keepLines/>
        <w:rPr>
          <w:rtl/>
        </w:rPr>
      </w:pPr>
      <w:r>
        <w:t>4.4</w:t>
      </w:r>
      <w:r>
        <w:rPr>
          <w:rtl/>
        </w:rPr>
        <w:tab/>
      </w:r>
      <w:r>
        <w:rPr>
          <w:rFonts w:hint="cs"/>
          <w:rtl/>
        </w:rPr>
        <w:t>نظراً إلى أن الرسوم المخفضة للشركات الصغيرة والمتوسطة ستنطبق على فئة المنتسبين فقط، فإن التقديرات التالية تأخذ بالحسبان البيانات المتاحة فيما يتعلق بالمنتسبين وليس بأعضاء القطاعات.</w:t>
      </w:r>
    </w:p>
    <w:p w:rsidR="001D55F9" w:rsidRDefault="001D55F9" w:rsidP="003A5E95">
      <w:pPr>
        <w:rPr>
          <w:rtl/>
        </w:rPr>
      </w:pPr>
      <w:r>
        <w:t>5.4</w:t>
      </w:r>
      <w:r>
        <w:rPr>
          <w:rtl/>
        </w:rPr>
        <w:tab/>
      </w:r>
      <w:r>
        <w:rPr>
          <w:rFonts w:hint="cs"/>
          <w:rtl/>
        </w:rPr>
        <w:t xml:space="preserve">وانطلاقاً من الاستقصاء، وبالنظر فقط إلى المنتسبين الذين لديهم أقل من </w:t>
      </w:r>
      <w:r>
        <w:t>250</w:t>
      </w:r>
      <w:r w:rsidR="003A5E95">
        <w:rPr>
          <w:rFonts w:hint="eastAsia"/>
          <w:rtl/>
        </w:rPr>
        <w:t> </w:t>
      </w:r>
      <w:r>
        <w:rPr>
          <w:rFonts w:hint="cs"/>
          <w:rtl/>
        </w:rPr>
        <w:t xml:space="preserve">موظفاً، تقع نسبة </w:t>
      </w:r>
      <w:r w:rsidRPr="001D417E">
        <w:rPr>
          <w:b/>
          <w:bCs/>
        </w:rPr>
        <w:t>%90</w:t>
      </w:r>
      <w:r>
        <w:rPr>
          <w:rFonts w:hint="cs"/>
          <w:rtl/>
        </w:rPr>
        <w:t xml:space="preserve"> في فئة الإيرادات السنوية التي تقل عن </w:t>
      </w:r>
      <w:r w:rsidRPr="00DD3B6F">
        <w:rPr>
          <w:b/>
          <w:bCs/>
        </w:rPr>
        <w:t>50</w:t>
      </w:r>
      <w:r w:rsidR="003A5E95">
        <w:rPr>
          <w:rFonts w:hint="eastAsia"/>
          <w:b/>
          <w:bCs/>
          <w:rtl/>
        </w:rPr>
        <w:t> </w:t>
      </w:r>
      <w:r w:rsidRPr="00DD3B6F">
        <w:rPr>
          <w:rFonts w:hint="cs"/>
          <w:b/>
          <w:bCs/>
          <w:rtl/>
        </w:rPr>
        <w:t>مليون</w:t>
      </w:r>
      <w:r>
        <w:rPr>
          <w:rFonts w:hint="cs"/>
          <w:rtl/>
        </w:rPr>
        <w:t xml:space="preserve"> </w:t>
      </w:r>
      <w:r w:rsidRPr="00DD3B6F">
        <w:rPr>
          <w:rFonts w:hint="cs"/>
          <w:b/>
          <w:bCs/>
          <w:rtl/>
        </w:rPr>
        <w:t>فرنك سويسري</w:t>
      </w:r>
      <w:r>
        <w:rPr>
          <w:rFonts w:hint="cs"/>
          <w:rtl/>
        </w:rPr>
        <w:t xml:space="preserve">. وعلى هذا الأساس، تُقدر الإيرادات المعرضة للخطر بسبب تحول المنتسبين الحاليين إلى خيار الرسوم المخفضة بحوالي </w:t>
      </w:r>
      <w:r w:rsidRPr="000F39AD">
        <w:rPr>
          <w:b/>
          <w:bCs/>
        </w:rPr>
        <w:t>425 000</w:t>
      </w:r>
      <w:r w:rsidR="003A5E95">
        <w:rPr>
          <w:rFonts w:hint="eastAsia"/>
          <w:b/>
          <w:bCs/>
          <w:rtl/>
        </w:rPr>
        <w:t> </w:t>
      </w:r>
      <w:r w:rsidRPr="000F39AD">
        <w:rPr>
          <w:rFonts w:hint="cs"/>
          <w:b/>
          <w:bCs/>
          <w:rtl/>
        </w:rPr>
        <w:t>فرنك سويسري في السنة</w:t>
      </w:r>
      <w:r>
        <w:rPr>
          <w:rFonts w:hint="cs"/>
          <w:rtl/>
        </w:rPr>
        <w:t>.</w:t>
      </w:r>
    </w:p>
    <w:p w:rsidR="001D55F9" w:rsidRDefault="001D55F9" w:rsidP="003A5E95">
      <w:pPr>
        <w:rPr>
          <w:rtl/>
        </w:rPr>
      </w:pPr>
      <w:r>
        <w:t>6.4</w:t>
      </w:r>
      <w:r>
        <w:rPr>
          <w:rtl/>
        </w:rPr>
        <w:tab/>
      </w:r>
      <w:r>
        <w:rPr>
          <w:rFonts w:hint="cs"/>
          <w:rtl/>
        </w:rPr>
        <w:t>وبالنظر إلى نفس الأرقام فيما يتعلق بعتبة قدرها</w:t>
      </w:r>
      <w:r w:rsidR="003A5E95" w:rsidRPr="003A5E95">
        <w:rPr>
          <w:rFonts w:hint="cs"/>
          <w:rtl/>
        </w:rPr>
        <w:t xml:space="preserve"> </w:t>
      </w:r>
      <w:r w:rsidRPr="009518DD">
        <w:rPr>
          <w:b/>
          <w:bCs/>
        </w:rPr>
        <w:t>15</w:t>
      </w:r>
      <w:r w:rsidR="003A5E95">
        <w:rPr>
          <w:rFonts w:hint="eastAsia"/>
          <w:b/>
          <w:bCs/>
          <w:rtl/>
        </w:rPr>
        <w:t> </w:t>
      </w:r>
      <w:r w:rsidRPr="009518DD">
        <w:rPr>
          <w:rFonts w:hint="cs"/>
          <w:b/>
          <w:bCs/>
          <w:rtl/>
        </w:rPr>
        <w:t>مليون فرنك سويسري</w:t>
      </w:r>
      <w:r>
        <w:rPr>
          <w:rFonts w:hint="cs"/>
          <w:rtl/>
        </w:rPr>
        <w:t xml:space="preserve">، تنخفض المجموعة المتأثرة إلى حوالي </w:t>
      </w:r>
      <w:r w:rsidRPr="009B52D5">
        <w:rPr>
          <w:b/>
          <w:bCs/>
        </w:rPr>
        <w:t>%80</w:t>
      </w:r>
      <w:r>
        <w:rPr>
          <w:rFonts w:hint="cs"/>
          <w:rtl/>
        </w:rPr>
        <w:t>، مما</w:t>
      </w:r>
      <w:r w:rsidR="003A5E95">
        <w:rPr>
          <w:rFonts w:hint="eastAsia"/>
          <w:rtl/>
        </w:rPr>
        <w:t> </w:t>
      </w:r>
      <w:r>
        <w:rPr>
          <w:rFonts w:hint="cs"/>
          <w:rtl/>
        </w:rPr>
        <w:t xml:space="preserve">يخفض الإيرادات المقدرة المعرضة للخطر إلى حوالي </w:t>
      </w:r>
      <w:r w:rsidRPr="00A04529">
        <w:rPr>
          <w:b/>
          <w:bCs/>
        </w:rPr>
        <w:t>365 000</w:t>
      </w:r>
      <w:r w:rsidRPr="00A04529">
        <w:rPr>
          <w:rFonts w:hint="cs"/>
          <w:b/>
          <w:bCs/>
          <w:rtl/>
        </w:rPr>
        <w:t xml:space="preserve"> فرنك سويسري في السنة</w:t>
      </w:r>
      <w:r>
        <w:rPr>
          <w:rFonts w:hint="cs"/>
          <w:rtl/>
        </w:rPr>
        <w:t>.</w:t>
      </w:r>
    </w:p>
    <w:p w:rsidR="001D55F9" w:rsidRDefault="001D55F9" w:rsidP="00C412F1">
      <w:pPr>
        <w:rPr>
          <w:rtl/>
        </w:rPr>
      </w:pPr>
      <w:r>
        <w:t>7.4</w:t>
      </w:r>
      <w:r>
        <w:rPr>
          <w:rtl/>
        </w:rPr>
        <w:tab/>
      </w:r>
      <w:r>
        <w:rPr>
          <w:rFonts w:hint="cs"/>
          <w:rtl/>
        </w:rPr>
        <w:t>وعلى الرغم من عدم إظهار البيانات المتاحة لتفاوت كبير في الإيرادات المعرضة للخطر بين العتبتين المحتملتين، يُحتمل</w:t>
      </w:r>
      <w:r w:rsidRPr="00B42B5C">
        <w:rPr>
          <w:rtl/>
        </w:rPr>
        <w:t xml:space="preserve"> أن </w:t>
      </w:r>
      <w:r>
        <w:rPr>
          <w:rFonts w:hint="cs"/>
          <w:rtl/>
        </w:rPr>
        <w:t>ي</w:t>
      </w:r>
      <w:r w:rsidRPr="00B42B5C">
        <w:rPr>
          <w:rtl/>
        </w:rPr>
        <w:t xml:space="preserve">كون هناك هامش كبير للخطأ نظراً لحجم العينة. وهذا يعني أن الإيرادات الفعلية المعرضة للخطر </w:t>
      </w:r>
      <w:r>
        <w:rPr>
          <w:rFonts w:hint="cs"/>
          <w:rtl/>
        </w:rPr>
        <w:t>ضمن</w:t>
      </w:r>
      <w:r w:rsidRPr="00B42B5C">
        <w:rPr>
          <w:rtl/>
        </w:rPr>
        <w:t xml:space="preserve"> الأعضاء الحاليين يمكن أن تكون أعلى أو</w:t>
      </w:r>
      <w:r w:rsidR="00C412F1">
        <w:rPr>
          <w:rFonts w:hint="cs"/>
          <w:rtl/>
        </w:rPr>
        <w:t> </w:t>
      </w:r>
      <w:r w:rsidRPr="00B42B5C">
        <w:rPr>
          <w:rtl/>
        </w:rPr>
        <w:t xml:space="preserve">أقل </w:t>
      </w:r>
      <w:r>
        <w:rPr>
          <w:rFonts w:hint="cs"/>
          <w:rtl/>
        </w:rPr>
        <w:t>مما</w:t>
      </w:r>
      <w:r w:rsidR="001F0134">
        <w:rPr>
          <w:rFonts w:hint="cs"/>
          <w:rtl/>
        </w:rPr>
        <w:t> </w:t>
      </w:r>
      <w:r w:rsidRPr="00B42B5C">
        <w:rPr>
          <w:rtl/>
        </w:rPr>
        <w:t xml:space="preserve">يمكن التنبؤ به على أساس البيانات </w:t>
      </w:r>
      <w:r>
        <w:rPr>
          <w:rFonts w:hint="cs"/>
          <w:rtl/>
        </w:rPr>
        <w:t>الحالية.</w:t>
      </w:r>
    </w:p>
    <w:p w:rsidR="001D55F9" w:rsidRDefault="001D55F9" w:rsidP="001F0134">
      <w:pPr>
        <w:rPr>
          <w:rtl/>
        </w:rPr>
      </w:pPr>
      <w:r>
        <w:t>8.4</w:t>
      </w:r>
      <w:r>
        <w:rPr>
          <w:rtl/>
        </w:rPr>
        <w:tab/>
      </w:r>
      <w:r>
        <w:rPr>
          <w:rFonts w:hint="cs"/>
          <w:rtl/>
        </w:rPr>
        <w:t>وكذلك، لا</w:t>
      </w:r>
      <w:r w:rsidR="001F0134">
        <w:rPr>
          <w:rFonts w:hint="eastAsia"/>
          <w:rtl/>
        </w:rPr>
        <w:t> </w:t>
      </w:r>
      <w:r>
        <w:rPr>
          <w:rFonts w:hint="cs"/>
          <w:rtl/>
        </w:rPr>
        <w:t>تراعي التقديرات المذكورة أعلاه إمكانية قيام بعض أعضاء القطاعات الحاليين الذين تنطبق عليهم صفة شركة صغيرة أو</w:t>
      </w:r>
      <w:r w:rsidR="001F0134">
        <w:rPr>
          <w:rFonts w:hint="eastAsia"/>
          <w:rtl/>
        </w:rPr>
        <w:t> </w:t>
      </w:r>
      <w:r>
        <w:rPr>
          <w:rFonts w:hint="cs"/>
          <w:rtl/>
        </w:rPr>
        <w:t>متوسطة، بانتقاء خيار الرسوم المخفضة وتنزيل مستوى عضوتيهم.</w:t>
      </w:r>
    </w:p>
    <w:p w:rsidR="001D55F9" w:rsidRPr="00562D18" w:rsidRDefault="001D55F9" w:rsidP="00F41C96">
      <w:pPr>
        <w:pStyle w:val="Heading1"/>
        <w:rPr>
          <w:rtl/>
        </w:rPr>
      </w:pPr>
      <w:r w:rsidRPr="00562D18">
        <w:t>5</w:t>
      </w:r>
      <w:r w:rsidRPr="00562D18">
        <w:rPr>
          <w:rtl/>
        </w:rPr>
        <w:tab/>
      </w:r>
      <w:r w:rsidRPr="00562D18">
        <w:rPr>
          <w:rFonts w:hint="cs"/>
          <w:rtl/>
        </w:rPr>
        <w:t>التوصيات</w:t>
      </w:r>
    </w:p>
    <w:p w:rsidR="001D55F9" w:rsidRDefault="001D55F9" w:rsidP="001F0134">
      <w:pPr>
        <w:rPr>
          <w:rtl/>
        </w:rPr>
      </w:pPr>
      <w:r>
        <w:rPr>
          <w:rFonts w:hint="cs"/>
          <w:rtl/>
        </w:rPr>
        <w:t>مراعاةً لما</w:t>
      </w:r>
      <w:r w:rsidR="001F0134">
        <w:rPr>
          <w:rFonts w:hint="eastAsia"/>
          <w:rtl/>
        </w:rPr>
        <w:t> </w:t>
      </w:r>
      <w:r>
        <w:rPr>
          <w:rFonts w:hint="cs"/>
          <w:rtl/>
        </w:rPr>
        <w:t>ورد أعلاه، يوصى بما</w:t>
      </w:r>
      <w:r w:rsidR="001F0134">
        <w:rPr>
          <w:rFonts w:hint="eastAsia"/>
          <w:rtl/>
        </w:rPr>
        <w:t> </w:t>
      </w:r>
      <w:r>
        <w:rPr>
          <w:rFonts w:hint="cs"/>
          <w:rtl/>
        </w:rPr>
        <w:t>يلي:</w:t>
      </w:r>
    </w:p>
    <w:p w:rsidR="001D55F9" w:rsidRDefault="001D55F9" w:rsidP="00C412F1">
      <w:pPr>
        <w:rPr>
          <w:rtl/>
        </w:rPr>
      </w:pPr>
      <w:r>
        <w:t>1.5</w:t>
      </w:r>
      <w:r>
        <w:rPr>
          <w:rtl/>
        </w:rPr>
        <w:tab/>
      </w:r>
      <w:r>
        <w:rPr>
          <w:rFonts w:hint="cs"/>
          <w:rtl/>
        </w:rPr>
        <w:t>أن يُنفذ خيار الرسوم المخفضة الجديد للشركات الصغيرة والمتوسطة الذي وُضع بموجب القرار</w:t>
      </w:r>
      <w:r w:rsidR="00C412F1">
        <w:rPr>
          <w:rFonts w:hint="eastAsia"/>
          <w:rtl/>
        </w:rPr>
        <w:t> </w:t>
      </w:r>
      <w:r>
        <w:t>209</w:t>
      </w:r>
      <w:r>
        <w:rPr>
          <w:rFonts w:hint="cs"/>
          <w:rtl/>
        </w:rPr>
        <w:t xml:space="preserve"> (دبي،</w:t>
      </w:r>
      <w:r w:rsidR="00C412F1">
        <w:rPr>
          <w:rFonts w:hint="eastAsia"/>
          <w:rtl/>
        </w:rPr>
        <w:t> </w:t>
      </w:r>
      <w:r>
        <w:t>2018</w:t>
      </w:r>
      <w:r>
        <w:rPr>
          <w:rFonts w:hint="cs"/>
          <w:rtl/>
        </w:rPr>
        <w:t xml:space="preserve">) اعتباراً من </w:t>
      </w:r>
      <w:r>
        <w:t>31</w:t>
      </w:r>
      <w:r w:rsidR="00C412F1">
        <w:rPr>
          <w:rFonts w:hint="eastAsia"/>
          <w:rtl/>
        </w:rPr>
        <w:t> </w:t>
      </w:r>
      <w:r>
        <w:rPr>
          <w:rFonts w:hint="cs"/>
          <w:rtl/>
        </w:rPr>
        <w:t>يناير</w:t>
      </w:r>
      <w:r w:rsidR="00C412F1">
        <w:rPr>
          <w:rFonts w:hint="eastAsia"/>
          <w:rtl/>
        </w:rPr>
        <w:t> </w:t>
      </w:r>
      <w:r>
        <w:t>2020</w:t>
      </w:r>
      <w:r>
        <w:rPr>
          <w:rFonts w:hint="cs"/>
          <w:rtl/>
        </w:rPr>
        <w:t xml:space="preserve"> لإتاحة الوقت لانتقال منظم وفقاً لما</w:t>
      </w:r>
      <w:r w:rsidR="00C412F1">
        <w:rPr>
          <w:rFonts w:hint="eastAsia"/>
          <w:rtl/>
        </w:rPr>
        <w:t> </w:t>
      </w:r>
      <w:r>
        <w:rPr>
          <w:rFonts w:hint="cs"/>
          <w:rtl/>
        </w:rPr>
        <w:t xml:space="preserve">أوصى به الفريق </w:t>
      </w:r>
      <w:r>
        <w:rPr>
          <w:rFonts w:asciiTheme="minorHAnsi" w:hAnsiTheme="minorHAnsi"/>
          <w:color w:val="000000"/>
        </w:rPr>
        <w:t>CWG-FHR</w:t>
      </w:r>
      <w:r>
        <w:rPr>
          <w:rFonts w:hint="cs"/>
          <w:rtl/>
        </w:rPr>
        <w:t>.</w:t>
      </w:r>
    </w:p>
    <w:p w:rsidR="001D55F9" w:rsidRDefault="001D55F9" w:rsidP="00C412F1">
      <w:pPr>
        <w:rPr>
          <w:rtl/>
        </w:rPr>
      </w:pPr>
      <w:r>
        <w:t>2.5</w:t>
      </w:r>
      <w:r>
        <w:rPr>
          <w:rtl/>
        </w:rPr>
        <w:tab/>
      </w:r>
      <w:r>
        <w:rPr>
          <w:rFonts w:hint="cs"/>
          <w:rtl/>
        </w:rPr>
        <w:t>أن يستمر المشروع التجريبي الخاص بالشركات الصغيرة والمتوسطة الذي وضعه المجلس في دورته لعام</w:t>
      </w:r>
      <w:r w:rsidR="00C412F1">
        <w:rPr>
          <w:rFonts w:hint="eastAsia"/>
          <w:rtl/>
        </w:rPr>
        <w:t> </w:t>
      </w:r>
      <w:r>
        <w:t>2017</w:t>
      </w:r>
      <w:r>
        <w:rPr>
          <w:rFonts w:hint="cs"/>
          <w:rtl/>
        </w:rPr>
        <w:t xml:space="preserve"> إلى حين تنفيذ ال</w:t>
      </w:r>
      <w:r>
        <w:rPr>
          <w:color w:val="000000"/>
          <w:rtl/>
        </w:rPr>
        <w:t xml:space="preserve">فئة </w:t>
      </w:r>
      <w:r w:rsidR="00F41C96">
        <w:rPr>
          <w:rFonts w:hint="cs"/>
          <w:color w:val="000000"/>
          <w:rtl/>
        </w:rPr>
        <w:t>ال</w:t>
      </w:r>
      <w:r>
        <w:rPr>
          <w:color w:val="000000"/>
          <w:rtl/>
        </w:rPr>
        <w:t xml:space="preserve">جديدة </w:t>
      </w:r>
      <w:r>
        <w:rPr>
          <w:rFonts w:hint="cs"/>
          <w:color w:val="000000"/>
          <w:rtl/>
        </w:rPr>
        <w:t>ل</w:t>
      </w:r>
      <w:r>
        <w:rPr>
          <w:color w:val="000000"/>
          <w:rtl/>
        </w:rPr>
        <w:t>لمشاركة</w:t>
      </w:r>
      <w:r>
        <w:rPr>
          <w:rFonts w:hint="cs"/>
          <w:color w:val="000000"/>
          <w:rtl/>
        </w:rPr>
        <w:t xml:space="preserve"> من أجل</w:t>
      </w:r>
      <w:r>
        <w:rPr>
          <w:color w:val="000000"/>
          <w:rtl/>
        </w:rPr>
        <w:t xml:space="preserve"> المنتسبين من الشركات الصغيرة والمتوسطة</w:t>
      </w:r>
      <w:r>
        <w:rPr>
          <w:rFonts w:hint="cs"/>
          <w:rtl/>
        </w:rPr>
        <w:t xml:space="preserve">. وسيكون </w:t>
      </w:r>
      <w:r>
        <w:rPr>
          <w:rFonts w:hint="cs"/>
          <w:rtl/>
        </w:rPr>
        <w:lastRenderedPageBreak/>
        <w:t>بإمكان المشاركين الحاليين الاستمرار في</w:t>
      </w:r>
      <w:r w:rsidR="00C412F1">
        <w:rPr>
          <w:rFonts w:hint="eastAsia"/>
          <w:rtl/>
        </w:rPr>
        <w:t> </w:t>
      </w:r>
      <w:r>
        <w:rPr>
          <w:rFonts w:hint="cs"/>
          <w:rtl/>
        </w:rPr>
        <w:t>المشاركة ويمكن قبول مشاركين جدد للمشاركة في المشروع التجريبي مجاناً وفقاً للمعايير والشروط التي حددها المجلس في</w:t>
      </w:r>
      <w:r w:rsidR="00C412F1">
        <w:rPr>
          <w:rFonts w:hint="eastAsia"/>
          <w:rtl/>
        </w:rPr>
        <w:t> </w:t>
      </w:r>
      <w:r>
        <w:t>2017</w:t>
      </w:r>
      <w:r>
        <w:rPr>
          <w:rFonts w:hint="cs"/>
          <w:rtl/>
        </w:rPr>
        <w:t>.</w:t>
      </w:r>
    </w:p>
    <w:p w:rsidR="001D55F9" w:rsidRDefault="001D55F9" w:rsidP="00C412F1">
      <w:r>
        <w:t>3.5</w:t>
      </w:r>
      <w:r>
        <w:rPr>
          <w:rtl/>
        </w:rPr>
        <w:tab/>
      </w:r>
      <w:r>
        <w:rPr>
          <w:rFonts w:hint="cs"/>
          <w:rtl/>
        </w:rPr>
        <w:t xml:space="preserve">أن يعتمد المجلس مستوى أقصى للإيرادات السنوية بمبلغ </w:t>
      </w:r>
      <w:r w:rsidRPr="0008520C">
        <w:rPr>
          <w:b/>
          <w:bCs/>
        </w:rPr>
        <w:t>15</w:t>
      </w:r>
      <w:r w:rsidR="00C412F1">
        <w:rPr>
          <w:rFonts w:hint="eastAsia"/>
          <w:b/>
          <w:bCs/>
          <w:rtl/>
        </w:rPr>
        <w:t> </w:t>
      </w:r>
      <w:r w:rsidRPr="0008520C">
        <w:rPr>
          <w:rFonts w:hint="cs"/>
          <w:b/>
          <w:bCs/>
          <w:rtl/>
        </w:rPr>
        <w:t>مليون فرنك سويسري</w:t>
      </w:r>
      <w:r>
        <w:rPr>
          <w:rFonts w:hint="cs"/>
          <w:rtl/>
        </w:rPr>
        <w:t xml:space="preserve"> لتنفيذ التعليمات المنصوص عليها في</w:t>
      </w:r>
      <w:r w:rsidR="00C412F1">
        <w:rPr>
          <w:rFonts w:hint="eastAsia"/>
          <w:rtl/>
        </w:rPr>
        <w:t> </w:t>
      </w:r>
      <w:r>
        <w:rPr>
          <w:rFonts w:hint="cs"/>
          <w:rtl/>
        </w:rPr>
        <w:t>الفقرة يقرر</w:t>
      </w:r>
      <w:r w:rsidR="00C412F1">
        <w:rPr>
          <w:rFonts w:hint="eastAsia"/>
          <w:rtl/>
        </w:rPr>
        <w:t> </w:t>
      </w:r>
      <w:r>
        <w:t>3</w:t>
      </w:r>
      <w:r>
        <w:rPr>
          <w:rFonts w:hint="cs"/>
          <w:rtl/>
        </w:rPr>
        <w:t xml:space="preserve"> من القرار الجديد بشأن الشركات الصغيرة والمتوسطة.</w:t>
      </w:r>
    </w:p>
    <w:p w:rsidR="001D55F9" w:rsidRPr="00380E24" w:rsidRDefault="001D55F9" w:rsidP="00C412F1">
      <w:r w:rsidRPr="00380E24">
        <w:t>4.5</w:t>
      </w:r>
      <w:r w:rsidRPr="00380E24">
        <w:rPr>
          <w:rtl/>
        </w:rPr>
        <w:tab/>
      </w:r>
      <w:r w:rsidRPr="00380E24">
        <w:rPr>
          <w:rFonts w:hint="cs"/>
          <w:rtl/>
        </w:rPr>
        <w:t>أن تستعرض الدول الأعضاء القائمة الخاصة بها للمشاركين من الشركات الصغيرة والمتوسطة قبل كل مؤتمر للمندوبين المفوضين لتأكيد ما إذا كانت هذه الكيانات تستمر في الوفاء بالمعايير الوطنية للشركات الصغيرة والمتوسطة.</w:t>
      </w:r>
      <w:r w:rsidRPr="00380E24">
        <w:rPr>
          <w:rtl/>
        </w:rPr>
        <w:t xml:space="preserve"> </w:t>
      </w:r>
      <w:r w:rsidRPr="00380E24">
        <w:rPr>
          <w:rFonts w:hint="cs"/>
          <w:rtl/>
        </w:rPr>
        <w:t>وستفعل الأمانة</w:t>
      </w:r>
      <w:r w:rsidRPr="00380E24">
        <w:rPr>
          <w:rtl/>
        </w:rPr>
        <w:t xml:space="preserve"> الشيء </w:t>
      </w:r>
      <w:r w:rsidRPr="00380E24">
        <w:rPr>
          <w:rFonts w:hint="cs"/>
          <w:rtl/>
        </w:rPr>
        <w:t>نفسه للتأكد من استمرار جميع الشركات</w:t>
      </w:r>
      <w:r w:rsidRPr="00380E24">
        <w:rPr>
          <w:rtl/>
        </w:rPr>
        <w:t xml:space="preserve"> الصغيرة والمتوسطة المشاركة في الوفاء </w:t>
      </w:r>
      <w:r w:rsidRPr="00380E24">
        <w:rPr>
          <w:rFonts w:hint="cs"/>
          <w:rtl/>
        </w:rPr>
        <w:t>بالمعايير والشروط المنصوص عليها في</w:t>
      </w:r>
      <w:r w:rsidR="00C412F1" w:rsidRPr="00380E24">
        <w:rPr>
          <w:rFonts w:hint="eastAsia"/>
          <w:rtl/>
        </w:rPr>
        <w:t> </w:t>
      </w:r>
      <w:r w:rsidRPr="00380E24">
        <w:rPr>
          <w:rFonts w:hint="cs"/>
          <w:rtl/>
        </w:rPr>
        <w:t>القرار</w:t>
      </w:r>
      <w:r w:rsidR="00C412F1" w:rsidRPr="00380E24">
        <w:rPr>
          <w:rFonts w:hint="eastAsia"/>
          <w:rtl/>
        </w:rPr>
        <w:t> </w:t>
      </w:r>
      <w:r w:rsidRPr="00380E24">
        <w:t>209</w:t>
      </w:r>
      <w:r w:rsidR="00C412F1" w:rsidRPr="00380E24">
        <w:rPr>
          <w:rFonts w:hint="eastAsia"/>
          <w:rtl/>
        </w:rPr>
        <w:t> </w:t>
      </w:r>
      <w:r w:rsidRPr="00380E24">
        <w:rPr>
          <w:rFonts w:hint="cs"/>
          <w:rtl/>
        </w:rPr>
        <w:t>(دبي،</w:t>
      </w:r>
      <w:r w:rsidR="00C412F1" w:rsidRPr="00380E24">
        <w:rPr>
          <w:rFonts w:hint="eastAsia"/>
          <w:rtl/>
        </w:rPr>
        <w:t> </w:t>
      </w:r>
      <w:r w:rsidRPr="00380E24">
        <w:t>2018</w:t>
      </w:r>
      <w:r w:rsidRPr="00380E24">
        <w:rPr>
          <w:rFonts w:hint="cs"/>
          <w:rtl/>
        </w:rPr>
        <w:t>). وستُدعى الكيانات التي لم</w:t>
      </w:r>
      <w:r w:rsidR="00C412F1" w:rsidRPr="00380E24">
        <w:rPr>
          <w:rFonts w:hint="eastAsia"/>
          <w:rtl/>
        </w:rPr>
        <w:t> </w:t>
      </w:r>
      <w:r w:rsidRPr="00380E24">
        <w:rPr>
          <w:rFonts w:hint="cs"/>
          <w:rtl/>
        </w:rPr>
        <w:t>تعد تفي بمتطلبات هذا القرار إلى الانضمام إلى الاتحاد بموجب الشروط الموحدة المتعلقة بمشاركة أعضاء القطاعات أو</w:t>
      </w:r>
      <w:r w:rsidR="00C412F1" w:rsidRPr="00380E24">
        <w:rPr>
          <w:rFonts w:hint="eastAsia"/>
          <w:rtl/>
        </w:rPr>
        <w:t> </w:t>
      </w:r>
      <w:r w:rsidRPr="00380E24">
        <w:rPr>
          <w:rFonts w:hint="cs"/>
          <w:rtl/>
        </w:rPr>
        <w:t>المنتسبين.</w:t>
      </w:r>
    </w:p>
    <w:p w:rsidR="001D55F9" w:rsidRPr="00924ADE" w:rsidRDefault="001D55F9" w:rsidP="00F41C96">
      <w:pPr>
        <w:spacing w:before="600"/>
        <w:jc w:val="center"/>
        <w:rPr>
          <w:rtl/>
        </w:rPr>
      </w:pPr>
      <w:r>
        <w:rPr>
          <w:rFonts w:hint="cs"/>
          <w:rtl/>
        </w:rPr>
        <w:t>____________</w:t>
      </w:r>
    </w:p>
    <w:sectPr w:rsidR="001D55F9" w:rsidRPr="00924ADE" w:rsidSect="006C3242">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396" w:rsidRDefault="00C97396" w:rsidP="006C3242">
      <w:pPr>
        <w:spacing w:before="0" w:line="240" w:lineRule="auto"/>
      </w:pPr>
      <w:r>
        <w:separator/>
      </w:r>
    </w:p>
  </w:endnote>
  <w:endnote w:type="continuationSeparator" w:id="0">
    <w:p w:rsidR="00C97396" w:rsidRDefault="00C9739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1D55F9">
    <w:pPr>
      <w:pStyle w:val="Footer"/>
      <w:tabs>
        <w:tab w:val="clear" w:pos="4153"/>
        <w:tab w:val="clear" w:pos="8306"/>
        <w:tab w:val="center" w:pos="5103"/>
        <w:tab w:val="right" w:pos="9639"/>
      </w:tabs>
      <w:spacing w:before="120"/>
      <w:rPr>
        <w:rFonts w:ascii="Calibri" w:hAnsi="Calibri" w:cs="Calibri"/>
        <w:sz w:val="16"/>
        <w:szCs w:val="16"/>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396" w:rsidRDefault="00C97396" w:rsidP="006C3242">
      <w:pPr>
        <w:spacing w:before="0" w:line="240" w:lineRule="auto"/>
      </w:pPr>
      <w:r>
        <w:separator/>
      </w:r>
    </w:p>
  </w:footnote>
  <w:footnote w:type="continuationSeparator" w:id="0">
    <w:p w:rsidR="00C97396" w:rsidRDefault="00C97396" w:rsidP="006C3242">
      <w:pPr>
        <w:spacing w:before="0" w:line="240" w:lineRule="auto"/>
      </w:pPr>
      <w:r>
        <w:continuationSeparator/>
      </w:r>
    </w:p>
  </w:footnote>
  <w:footnote w:id="1">
    <w:p w:rsidR="001D55F9" w:rsidRDefault="001D55F9" w:rsidP="001D55F9">
      <w:pPr>
        <w:pStyle w:val="FootnoteText"/>
        <w:tabs>
          <w:tab w:val="clear" w:pos="794"/>
          <w:tab w:val="left" w:pos="442"/>
        </w:tabs>
        <w:rPr>
          <w:rtl/>
          <w:lang w:bidi="ar-SY"/>
        </w:rPr>
      </w:pPr>
      <w:r>
        <w:rPr>
          <w:rStyle w:val="FootnoteReference"/>
        </w:rPr>
        <w:footnoteRef/>
      </w:r>
      <w:r>
        <w:rPr>
          <w:rtl/>
        </w:rPr>
        <w:tab/>
      </w:r>
      <w:r>
        <w:rPr>
          <w:rFonts w:hint="cs"/>
          <w:rtl/>
        </w:rPr>
        <w:t xml:space="preserve">تقرير رئيس الفريق </w:t>
      </w:r>
      <w:r w:rsidRPr="00D9633B">
        <w:rPr>
          <w:rFonts w:ascii="Segoe UI" w:hAnsi="Segoe UI" w:cs="Segoe UI"/>
          <w:color w:val="000000"/>
          <w:sz w:val="18"/>
        </w:rPr>
        <w:t>CWG-FHR</w:t>
      </w:r>
      <w:r>
        <w:rPr>
          <w:rFonts w:hint="cs"/>
          <w:rtl/>
        </w:rPr>
        <w:t xml:space="preserve"> المقدم إلى المجلس في دورته </w:t>
      </w:r>
      <w:r>
        <w:rPr>
          <w:rFonts w:hint="cs"/>
          <w:rtl/>
          <w:lang w:bidi="ar-SY"/>
        </w:rPr>
        <w:t xml:space="preserve">لعام </w:t>
      </w:r>
      <w:r>
        <w:rPr>
          <w:lang w:bidi="ar-SY"/>
        </w:rPr>
        <w:t>2017</w:t>
      </w:r>
      <w:r>
        <w:rPr>
          <w:rFonts w:hint="cs"/>
          <w:rtl/>
          <w:lang w:bidi="ar-SY"/>
        </w:rPr>
        <w:t xml:space="preserve">، البند </w:t>
      </w:r>
      <w:r>
        <w:rPr>
          <w:lang w:bidi="ar-SY"/>
        </w:rPr>
        <w:t>48</w:t>
      </w:r>
      <w:r>
        <w:rPr>
          <w:rFonts w:hint="cs"/>
          <w:rtl/>
          <w:lang w:bidi="ar-SY"/>
        </w:rPr>
        <w:t xml:space="preserve"> (الصفحة </w:t>
      </w:r>
      <w:r>
        <w:rPr>
          <w:lang w:bidi="ar-SY"/>
        </w:rPr>
        <w:t>53</w:t>
      </w:r>
      <w:r>
        <w:rPr>
          <w:rFonts w:hint="cs"/>
          <w:rtl/>
          <w:lang w:bidi="ar-SY"/>
        </w:rPr>
        <w:t xml:space="preserve">)؛ وترد الاختصاصات في الملحق </w:t>
      </w:r>
      <w:r>
        <w:rPr>
          <w:lang w:bidi="ar-SY"/>
        </w:rPr>
        <w:t>k</w:t>
      </w:r>
      <w:r>
        <w:rPr>
          <w:rFonts w:hint="cs"/>
          <w:rtl/>
          <w:lang w:bidi="ar-SY"/>
        </w:rPr>
        <w:t>، الصفحة</w:t>
      </w:r>
      <w:r>
        <w:rPr>
          <w:rFonts w:hint="eastAsia"/>
          <w:rtl/>
          <w:lang w:bidi="ar-SY"/>
        </w:rPr>
        <w:t> </w:t>
      </w:r>
      <w:r>
        <w:rPr>
          <w:lang w:bidi="ar-SY"/>
        </w:rPr>
        <w:t>93</w:t>
      </w:r>
      <w:r>
        <w:rPr>
          <w:rFonts w:hint="cs"/>
          <w:rtl/>
          <w:lang w:bidi="ar-SY"/>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C83555" w:rsidP="001D55F9">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3</w:t>
        </w:r>
        <w:r w:rsidR="00447F32" w:rsidRPr="00447F32">
          <w:rPr>
            <w:rFonts w:cs="Calibri"/>
            <w:noProof/>
            <w:sz w:val="20"/>
            <w:szCs w:val="20"/>
          </w:rPr>
          <w:fldChar w:fldCharType="end"/>
        </w:r>
        <w:r w:rsidR="00447F32" w:rsidRPr="00447F32">
          <w:rPr>
            <w:rFonts w:cs="Calibri"/>
            <w:noProof/>
            <w:sz w:val="20"/>
            <w:szCs w:val="20"/>
          </w:rPr>
          <w:br/>
          <w:t>C1</w:t>
        </w:r>
        <w:r w:rsidR="00D10CCF">
          <w:rPr>
            <w:rFonts w:cs="Calibri"/>
            <w:noProof/>
            <w:sz w:val="20"/>
            <w:szCs w:val="20"/>
          </w:rPr>
          <w:t>9</w:t>
        </w:r>
        <w:r w:rsidR="00447F32" w:rsidRPr="00447F32">
          <w:rPr>
            <w:rFonts w:cs="Calibri"/>
            <w:noProof/>
            <w:sz w:val="20"/>
            <w:szCs w:val="20"/>
          </w:rPr>
          <w:t>/</w:t>
        </w:r>
        <w:r w:rsidR="001D55F9">
          <w:rPr>
            <w:rFonts w:cs="Calibri"/>
            <w:noProof/>
            <w:sz w:val="20"/>
            <w:szCs w:val="20"/>
          </w:rPr>
          <w:t>56</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396"/>
    <w:rsid w:val="00090574"/>
    <w:rsid w:val="000C1C0E"/>
    <w:rsid w:val="000C548A"/>
    <w:rsid w:val="001C0169"/>
    <w:rsid w:val="001D1D50"/>
    <w:rsid w:val="001D55F9"/>
    <w:rsid w:val="001E446E"/>
    <w:rsid w:val="001F0134"/>
    <w:rsid w:val="00212460"/>
    <w:rsid w:val="002154EE"/>
    <w:rsid w:val="002276D2"/>
    <w:rsid w:val="0023283D"/>
    <w:rsid w:val="00271C43"/>
    <w:rsid w:val="00290728"/>
    <w:rsid w:val="002978F4"/>
    <w:rsid w:val="002B028D"/>
    <w:rsid w:val="002E6541"/>
    <w:rsid w:val="00334924"/>
    <w:rsid w:val="003409BC"/>
    <w:rsid w:val="0035058A"/>
    <w:rsid w:val="00357185"/>
    <w:rsid w:val="00380E24"/>
    <w:rsid w:val="00383829"/>
    <w:rsid w:val="003A5E95"/>
    <w:rsid w:val="003A64BE"/>
    <w:rsid w:val="003F4B29"/>
    <w:rsid w:val="0042686F"/>
    <w:rsid w:val="004317D8"/>
    <w:rsid w:val="00434183"/>
    <w:rsid w:val="00435380"/>
    <w:rsid w:val="00443869"/>
    <w:rsid w:val="00447F32"/>
    <w:rsid w:val="004E11DC"/>
    <w:rsid w:val="004F2B23"/>
    <w:rsid w:val="005221D2"/>
    <w:rsid w:val="005409AC"/>
    <w:rsid w:val="0055516A"/>
    <w:rsid w:val="0058491B"/>
    <w:rsid w:val="00592EA5"/>
    <w:rsid w:val="005A3170"/>
    <w:rsid w:val="005A4A41"/>
    <w:rsid w:val="00631995"/>
    <w:rsid w:val="00677396"/>
    <w:rsid w:val="0069200F"/>
    <w:rsid w:val="006A65CB"/>
    <w:rsid w:val="006C3242"/>
    <w:rsid w:val="006C7CC0"/>
    <w:rsid w:val="006F63F7"/>
    <w:rsid w:val="007025C7"/>
    <w:rsid w:val="00706D7A"/>
    <w:rsid w:val="00722F0D"/>
    <w:rsid w:val="0074420E"/>
    <w:rsid w:val="00783E26"/>
    <w:rsid w:val="007A082D"/>
    <w:rsid w:val="007C3BC7"/>
    <w:rsid w:val="007D4ACF"/>
    <w:rsid w:val="007F0787"/>
    <w:rsid w:val="00810B7B"/>
    <w:rsid w:val="0082358A"/>
    <w:rsid w:val="008235CD"/>
    <w:rsid w:val="008247DE"/>
    <w:rsid w:val="0083198E"/>
    <w:rsid w:val="00840B10"/>
    <w:rsid w:val="008513CB"/>
    <w:rsid w:val="00903446"/>
    <w:rsid w:val="00923B0C"/>
    <w:rsid w:val="0093323D"/>
    <w:rsid w:val="00936228"/>
    <w:rsid w:val="0094021C"/>
    <w:rsid w:val="00941A45"/>
    <w:rsid w:val="00952F86"/>
    <w:rsid w:val="00982B28"/>
    <w:rsid w:val="009D313F"/>
    <w:rsid w:val="009E6C77"/>
    <w:rsid w:val="00A47A5A"/>
    <w:rsid w:val="00A6683B"/>
    <w:rsid w:val="00A97F94"/>
    <w:rsid w:val="00B05BC8"/>
    <w:rsid w:val="00B64B47"/>
    <w:rsid w:val="00C002DE"/>
    <w:rsid w:val="00C35459"/>
    <w:rsid w:val="00C412F1"/>
    <w:rsid w:val="00C53BF8"/>
    <w:rsid w:val="00C66157"/>
    <w:rsid w:val="00C674FE"/>
    <w:rsid w:val="00C67501"/>
    <w:rsid w:val="00C75633"/>
    <w:rsid w:val="00C83555"/>
    <w:rsid w:val="00C97396"/>
    <w:rsid w:val="00CE2EE1"/>
    <w:rsid w:val="00CE3349"/>
    <w:rsid w:val="00CF3FFD"/>
    <w:rsid w:val="00D10CCF"/>
    <w:rsid w:val="00D77D0F"/>
    <w:rsid w:val="00DA1CF0"/>
    <w:rsid w:val="00DC1E02"/>
    <w:rsid w:val="00DC24B4"/>
    <w:rsid w:val="00DF16DC"/>
    <w:rsid w:val="00E45211"/>
    <w:rsid w:val="00E92863"/>
    <w:rsid w:val="00EB796D"/>
    <w:rsid w:val="00F058DC"/>
    <w:rsid w:val="00F24FC4"/>
    <w:rsid w:val="00F2676C"/>
    <w:rsid w:val="00F41C96"/>
    <w:rsid w:val="00F84366"/>
    <w:rsid w:val="00F85089"/>
    <w:rsid w:val="00FA1C20"/>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20FBF79E-FFAB-484B-A383-2C16EA30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96"/>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FE5872"/>
    <w:pPr>
      <w:spacing w:before="80"/>
      <w:ind w:left="1134" w:hanging="1134"/>
      <w:outlineLvl w:val="0"/>
    </w:pPr>
    <w:rPr>
      <w:lang w:bidi="ar-SY"/>
    </w:rPr>
  </w:style>
  <w:style w:type="paragraph" w:customStyle="1" w:styleId="enumlev2">
    <w:name w:val="enumlev 2"/>
    <w:basedOn w:val="Normal"/>
    <w:next w:val="enumlev1"/>
    <w:qFormat/>
    <w:rsid w:val="00FE5872"/>
    <w:pPr>
      <w:spacing w:before="80"/>
      <w:ind w:left="2268" w:hanging="1134"/>
      <w:outlineLvl w:val="1"/>
    </w:pPr>
  </w:style>
  <w:style w:type="paragraph" w:customStyle="1" w:styleId="enumlev3">
    <w:name w:val="enumlev 3"/>
    <w:basedOn w:val="Normal"/>
    <w:qFormat/>
    <w:rsid w:val="00FE5872"/>
    <w:pPr>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8-PP-C-0052/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7-CL-C-0120/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C-0120/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S18-PP-C-0052/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Documents/basic-texts/RES-209-A.pdf" TargetMode="External"/><Relationship Id="rId14" Type="http://schemas.openxmlformats.org/officeDocument/2006/relationships/hyperlink" Target="https://www.itu.int/md/S19-CL-C-0050/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B65C0-3851-4F92-8BDA-368B8977B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dc:title>
  <dc:subject/>
  <dc:creator>Alnatoor, Ehsan</dc:creator>
  <cp:keywords>C2019, C19</cp:keywords>
  <dc:description/>
  <cp:lastModifiedBy>Janin, Patricia</cp:lastModifiedBy>
  <cp:revision>4</cp:revision>
  <dcterms:created xsi:type="dcterms:W3CDTF">2019-05-27T11:28:00Z</dcterms:created>
  <dcterms:modified xsi:type="dcterms:W3CDTF">2019-05-27T11:29:00Z</dcterms:modified>
</cp:coreProperties>
</file>