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 w14:paraId="7F83A43B" w14:textId="77777777">
        <w:trPr>
          <w:cantSplit/>
        </w:trPr>
        <w:tc>
          <w:tcPr>
            <w:tcW w:w="6912" w:type="dxa"/>
          </w:tcPr>
          <w:p w14:paraId="755CA6E9" w14:textId="77777777" w:rsidR="00520F36" w:rsidRPr="0092392D" w:rsidRDefault="00520F36" w:rsidP="00FC7CF1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106B19">
              <w:rPr>
                <w:b/>
                <w:bCs/>
                <w:szCs w:val="24"/>
                <w:lang w:val="fr-CH"/>
              </w:rPr>
              <w:t>10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106B19">
              <w:rPr>
                <w:b/>
                <w:bCs/>
                <w:szCs w:val="24"/>
                <w:lang w:val="fr-CH"/>
              </w:rPr>
              <w:t>20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106B19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14:paraId="7E7C3ED6" w14:textId="77777777" w:rsidR="00520F36" w:rsidRPr="0092392D" w:rsidRDefault="00520F36" w:rsidP="00FC7CF1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0FEE1B3E" wp14:editId="3C97DDEF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14:paraId="4216EE6B" w14:textId="77777777" w:rsidTr="003D680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78405B73" w14:textId="77777777" w:rsidR="00520F36" w:rsidRPr="00361350" w:rsidRDefault="00520F36" w:rsidP="00FC7CF1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580139E5" w14:textId="77777777" w:rsidR="00520F36" w:rsidRPr="0092392D" w:rsidRDefault="00520F36" w:rsidP="00FC7CF1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7F7A02AF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04C54BC0" w14:textId="77777777" w:rsidR="00520F36" w:rsidRPr="0092392D" w:rsidRDefault="00520F36" w:rsidP="00FC7CF1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1FF7C62A" w14:textId="77777777" w:rsidR="00520F36" w:rsidRPr="0092392D" w:rsidRDefault="00520F36" w:rsidP="00FC7CF1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49D0668E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06C5F414" w14:textId="7C8190FB" w:rsidR="00520F36" w:rsidRPr="00520F36" w:rsidRDefault="00FF295A" w:rsidP="00FC7CF1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FF295A">
              <w:rPr>
                <w:rFonts w:cs="Times"/>
                <w:b/>
                <w:bCs/>
                <w:szCs w:val="24"/>
                <w:lang w:val="fr-CH"/>
              </w:rPr>
              <w:t>Point de l'ordre du jour</w:t>
            </w:r>
            <w:r w:rsidRPr="00FF295A">
              <w:rPr>
                <w:rFonts w:cs="Times"/>
                <w:b/>
                <w:bCs/>
                <w:szCs w:val="24"/>
              </w:rPr>
              <w:t>: PL 2.1</w:t>
            </w:r>
            <w:r w:rsidR="003D680D">
              <w:rPr>
                <w:rFonts w:cs="Times"/>
                <w:b/>
                <w:bCs/>
                <w:szCs w:val="24"/>
              </w:rPr>
              <w:t>0</w:t>
            </w:r>
          </w:p>
        </w:tc>
        <w:tc>
          <w:tcPr>
            <w:tcW w:w="3261" w:type="dxa"/>
          </w:tcPr>
          <w:p w14:paraId="73316A85" w14:textId="77777777" w:rsidR="00520F36" w:rsidRPr="00520F36" w:rsidRDefault="00520F36" w:rsidP="00FC7CF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106B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FF295A">
              <w:rPr>
                <w:b/>
                <w:bCs/>
              </w:rPr>
              <w:t>55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 w14:paraId="3EAD7F03" w14:textId="77777777">
        <w:trPr>
          <w:cantSplit/>
          <w:trHeight w:val="20"/>
        </w:trPr>
        <w:tc>
          <w:tcPr>
            <w:tcW w:w="6912" w:type="dxa"/>
            <w:vMerge/>
          </w:tcPr>
          <w:p w14:paraId="5AFB2156" w14:textId="77777777" w:rsidR="00520F36" w:rsidRPr="0092392D" w:rsidRDefault="00520F36" w:rsidP="00FC7CF1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6F3AD295" w14:textId="77777777" w:rsidR="00520F36" w:rsidRPr="00520F36" w:rsidRDefault="003D680D" w:rsidP="00FC7CF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18 avril</w:t>
            </w:r>
            <w:r w:rsidR="00520F36">
              <w:rPr>
                <w:b/>
                <w:bCs/>
              </w:rPr>
              <w:t xml:space="preserve"> 201</w:t>
            </w:r>
            <w:r w:rsidR="00106B19">
              <w:rPr>
                <w:b/>
                <w:bCs/>
              </w:rPr>
              <w:t>9</w:t>
            </w:r>
          </w:p>
        </w:tc>
      </w:tr>
      <w:tr w:rsidR="00520F36" w:rsidRPr="0092392D" w14:paraId="3AFE3065" w14:textId="77777777">
        <w:trPr>
          <w:cantSplit/>
          <w:trHeight w:val="20"/>
        </w:trPr>
        <w:tc>
          <w:tcPr>
            <w:tcW w:w="6912" w:type="dxa"/>
            <w:vMerge/>
          </w:tcPr>
          <w:p w14:paraId="20EE6AB0" w14:textId="77777777" w:rsidR="00520F36" w:rsidRPr="0092392D" w:rsidRDefault="00520F36" w:rsidP="00FC7CF1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757F982F" w14:textId="77777777" w:rsidR="00520F36" w:rsidRPr="00520F36" w:rsidRDefault="00520F36" w:rsidP="00FC7CF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  <w:bookmarkStart w:id="6" w:name="_GoBack"/>
            <w:bookmarkEnd w:id="6"/>
          </w:p>
        </w:tc>
      </w:tr>
      <w:tr w:rsidR="00520F36" w:rsidRPr="0092392D" w14:paraId="66CE6E0B" w14:textId="77777777">
        <w:trPr>
          <w:cantSplit/>
        </w:trPr>
        <w:tc>
          <w:tcPr>
            <w:tcW w:w="10173" w:type="dxa"/>
            <w:gridSpan w:val="2"/>
          </w:tcPr>
          <w:p w14:paraId="44936D21" w14:textId="3A3346AD" w:rsidR="00520F36" w:rsidRPr="0092392D" w:rsidRDefault="000932FE" w:rsidP="00412D86">
            <w:pPr>
              <w:pStyle w:val="Source"/>
            </w:pPr>
            <w:bookmarkStart w:id="7" w:name="dsource" w:colFirst="0" w:colLast="0"/>
            <w:bookmarkEnd w:id="5"/>
            <w:r>
              <w:t>Rapport</w:t>
            </w:r>
            <w:r w:rsidRPr="00FF295A">
              <w:t xml:space="preserve"> </w:t>
            </w:r>
            <w:r w:rsidR="00FF295A" w:rsidRPr="00FF295A">
              <w:t>du Secrétaire général</w:t>
            </w:r>
          </w:p>
        </w:tc>
      </w:tr>
      <w:tr w:rsidR="00520F36" w:rsidRPr="0092392D" w14:paraId="48531BE1" w14:textId="77777777">
        <w:trPr>
          <w:cantSplit/>
        </w:trPr>
        <w:tc>
          <w:tcPr>
            <w:tcW w:w="10173" w:type="dxa"/>
            <w:gridSpan w:val="2"/>
          </w:tcPr>
          <w:p w14:paraId="18607AC8" w14:textId="5D3CBA41" w:rsidR="00520F36" w:rsidRPr="0092392D" w:rsidRDefault="00FF295A" w:rsidP="00412D86">
            <w:pPr>
              <w:pStyle w:val="Title1"/>
            </w:pPr>
            <w:bookmarkStart w:id="8" w:name="dtitle1" w:colFirst="0" w:colLast="0"/>
            <w:bookmarkEnd w:id="7"/>
            <w:r w:rsidRPr="00FF295A">
              <w:t xml:space="preserve">lieu de la </w:t>
            </w:r>
            <w:r w:rsidR="00AC3D59" w:rsidRPr="00FF295A">
              <w:t>conf</w:t>
            </w:r>
            <w:r w:rsidR="00AC3D59">
              <w:t>É</w:t>
            </w:r>
            <w:r w:rsidR="00AC3D59" w:rsidRPr="00FF295A">
              <w:t xml:space="preserve">rence </w:t>
            </w:r>
            <w:r w:rsidRPr="00FF295A">
              <w:t>de pl</w:t>
            </w:r>
            <w:r w:rsidR="00AC3D59">
              <w:t>É</w:t>
            </w:r>
            <w:r w:rsidRPr="00FF295A">
              <w:t xml:space="preserve">nipotentiaires de </w:t>
            </w:r>
            <w:r w:rsidR="003D680D">
              <w:t>2022</w:t>
            </w:r>
          </w:p>
        </w:tc>
      </w:tr>
      <w:bookmarkEnd w:id="8"/>
    </w:tbl>
    <w:p w14:paraId="37615CAF" w14:textId="77777777" w:rsidR="00520F36" w:rsidRPr="0092392D" w:rsidRDefault="00520F36" w:rsidP="00FC7CF1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 w14:paraId="669BBFFC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D662A" w14:textId="77777777" w:rsidR="00520F36" w:rsidRPr="0092392D" w:rsidRDefault="00520F36" w:rsidP="00FC7CF1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14:paraId="41B522C3" w14:textId="5E2F1E00" w:rsidR="00FF295A" w:rsidRPr="00FF295A" w:rsidRDefault="00FF295A" w:rsidP="007F3DFA">
            <w:pPr>
              <w:rPr>
                <w:lang w:val="fr-CH"/>
              </w:rPr>
            </w:pPr>
            <w:r w:rsidRPr="00FF295A">
              <w:rPr>
                <w:lang w:val="fr-CH"/>
              </w:rPr>
              <w:t xml:space="preserve">Selon le numéro 2 de la Convention, le Conseil sera appelé à déterminer le lieu précis et les dates exactes de la prochaine Conférence de plénipotentiaires, avec l'accord de la majorité des </w:t>
            </w:r>
            <w:r w:rsidR="00AC3D59">
              <w:rPr>
                <w:lang w:val="fr-CH"/>
              </w:rPr>
              <w:t>É</w:t>
            </w:r>
            <w:r w:rsidR="00AC3D59" w:rsidRPr="00FF295A">
              <w:rPr>
                <w:lang w:val="fr-CH"/>
              </w:rPr>
              <w:t xml:space="preserve">tats </w:t>
            </w:r>
            <w:r w:rsidRPr="00FF295A">
              <w:rPr>
                <w:lang w:val="fr-CH"/>
              </w:rPr>
              <w:t>Membres.</w:t>
            </w:r>
          </w:p>
          <w:p w14:paraId="5D0373F2" w14:textId="54E81082" w:rsidR="00520F36" w:rsidRPr="0092392D" w:rsidRDefault="00FF295A" w:rsidP="007F3DFA">
            <w:pPr>
              <w:rPr>
                <w:lang w:val="fr-CH"/>
              </w:rPr>
            </w:pPr>
            <w:r w:rsidRPr="00FF295A">
              <w:rPr>
                <w:lang w:val="fr-CH"/>
              </w:rPr>
              <w:t>Le présent document fait part</w:t>
            </w:r>
            <w:r w:rsidR="00AC3D59">
              <w:rPr>
                <w:lang w:val="fr-CH"/>
              </w:rPr>
              <w:t xml:space="preserve"> aux </w:t>
            </w:r>
            <w:r w:rsidR="00041EDB">
              <w:rPr>
                <w:lang w:val="fr-CH"/>
              </w:rPr>
              <w:t xml:space="preserve">conseillers </w:t>
            </w:r>
            <w:r w:rsidRPr="00FF295A">
              <w:rPr>
                <w:lang w:val="fr-CH"/>
              </w:rPr>
              <w:t xml:space="preserve">de l'invitation reçue du Gouvernement de la </w:t>
            </w:r>
            <w:r w:rsidR="000932FE">
              <w:rPr>
                <w:lang w:val="fr-CH"/>
              </w:rPr>
              <w:t>Roumanie</w:t>
            </w:r>
            <w:r w:rsidRPr="00FF295A">
              <w:rPr>
                <w:lang w:val="fr-CH"/>
              </w:rPr>
              <w:t xml:space="preserve"> pour tenir la prochaine Conférence de plénipotentiaires à </w:t>
            </w:r>
            <w:r w:rsidR="000932FE">
              <w:rPr>
                <w:lang w:val="fr-CH"/>
              </w:rPr>
              <w:t>Bucarest</w:t>
            </w:r>
            <w:r w:rsidRPr="00FF295A">
              <w:rPr>
                <w:lang w:val="fr-CH"/>
              </w:rPr>
              <w:t>.</w:t>
            </w:r>
          </w:p>
          <w:p w14:paraId="6883F456" w14:textId="77777777" w:rsidR="00520F36" w:rsidRPr="0092392D" w:rsidRDefault="00520F36" w:rsidP="00FC7CF1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14:paraId="294176E3" w14:textId="6DD1571F" w:rsidR="00FF295A" w:rsidRPr="0065627E" w:rsidRDefault="00FF295A" w:rsidP="007F3DFA">
            <w:pPr>
              <w:rPr>
                <w:lang w:val="fr-CH"/>
              </w:rPr>
            </w:pPr>
            <w:r w:rsidRPr="0065627E">
              <w:rPr>
                <w:lang w:val="fr-CH"/>
              </w:rPr>
              <w:t>Le Conseil est invité à</w:t>
            </w:r>
            <w:r w:rsidR="00826943">
              <w:rPr>
                <w:lang w:val="fr-CH"/>
              </w:rPr>
              <w:t xml:space="preserve"> </w:t>
            </w:r>
            <w:r w:rsidRPr="00CC055C">
              <w:rPr>
                <w:b/>
                <w:bCs/>
                <w:lang w:val="fr-CH"/>
              </w:rPr>
              <w:t>arrêter</w:t>
            </w:r>
            <w:r w:rsidRPr="0065627E">
              <w:rPr>
                <w:lang w:val="fr-CH"/>
              </w:rPr>
              <w:t xml:space="preserve"> le lieu de la tenue de la prochaine Conférence de plénipotentiaires</w:t>
            </w:r>
            <w:r w:rsidR="000932FE" w:rsidRPr="00182770">
              <w:rPr>
                <w:lang w:val="fr-CH"/>
              </w:rPr>
              <w:t>, étant entendu que les dates seront arr</w:t>
            </w:r>
            <w:r w:rsidR="000932FE">
              <w:rPr>
                <w:lang w:val="fr-CH"/>
              </w:rPr>
              <w:t xml:space="preserve">êtées </w:t>
            </w:r>
            <w:r w:rsidR="00015692">
              <w:rPr>
                <w:lang w:val="fr-CH"/>
              </w:rPr>
              <w:t>à la prochaine session du Conseil</w:t>
            </w:r>
            <w:r w:rsidR="00B3150C">
              <w:rPr>
                <w:lang w:val="fr-CH"/>
              </w:rPr>
              <w:t xml:space="preserve"> et que suite à cela,</w:t>
            </w:r>
            <w:r w:rsidR="000932FE">
              <w:rPr>
                <w:lang w:val="fr-CH"/>
              </w:rPr>
              <w:t xml:space="preserve"> tous les États Membres seront consultés </w:t>
            </w:r>
            <w:r w:rsidR="00015692">
              <w:rPr>
                <w:lang w:val="fr-CH"/>
              </w:rPr>
              <w:t>au sujet des</w:t>
            </w:r>
            <w:r w:rsidR="000932FE">
              <w:rPr>
                <w:lang w:val="fr-CH"/>
              </w:rPr>
              <w:t xml:space="preserve"> dates et </w:t>
            </w:r>
            <w:r w:rsidR="00015692">
              <w:rPr>
                <w:lang w:val="fr-CH"/>
              </w:rPr>
              <w:t xml:space="preserve">du </w:t>
            </w:r>
            <w:r w:rsidR="000932FE">
              <w:rPr>
                <w:lang w:val="fr-CH"/>
              </w:rPr>
              <w:t>lieu.</w:t>
            </w:r>
          </w:p>
          <w:p w14:paraId="4F7AAEAB" w14:textId="3F2AC091" w:rsidR="00520F36" w:rsidRPr="0092392D" w:rsidRDefault="00FF295A" w:rsidP="007F3DFA">
            <w:pPr>
              <w:rPr>
                <w:lang w:val="fr-CH"/>
              </w:rPr>
            </w:pPr>
            <w:r w:rsidRPr="00FF295A">
              <w:rPr>
                <w:lang w:val="fr-CH"/>
              </w:rPr>
              <w:t xml:space="preserve">Le Conseil est également invité à </w:t>
            </w:r>
            <w:r w:rsidRPr="00FF295A">
              <w:rPr>
                <w:b/>
                <w:lang w:val="fr-CH"/>
              </w:rPr>
              <w:t>adopter</w:t>
            </w:r>
            <w:r w:rsidRPr="00FF295A">
              <w:rPr>
                <w:lang w:val="fr-CH"/>
              </w:rPr>
              <w:t xml:space="preserve"> le projet de décision figurant </w:t>
            </w:r>
            <w:r w:rsidR="000202DD">
              <w:rPr>
                <w:lang w:val="fr-CH"/>
              </w:rPr>
              <w:t>dans</w:t>
            </w:r>
            <w:r w:rsidRPr="00FF295A">
              <w:rPr>
                <w:lang w:val="fr-CH"/>
              </w:rPr>
              <w:t xml:space="preserve"> l'Annexe </w:t>
            </w:r>
            <w:r w:rsidR="00826943">
              <w:rPr>
                <w:lang w:val="fr-CH"/>
              </w:rPr>
              <w:t>B</w:t>
            </w:r>
            <w:r w:rsidR="00826943" w:rsidRPr="00FF295A">
              <w:rPr>
                <w:lang w:val="fr-CH"/>
              </w:rPr>
              <w:t xml:space="preserve"> </w:t>
            </w:r>
            <w:r w:rsidRPr="00FF295A">
              <w:rPr>
                <w:lang w:val="fr-CH"/>
              </w:rPr>
              <w:t>du présent document.</w:t>
            </w:r>
          </w:p>
          <w:p w14:paraId="308BA58C" w14:textId="77777777" w:rsidR="00520F36" w:rsidRPr="0092392D" w:rsidRDefault="00520F36" w:rsidP="00FC7CF1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14:paraId="785AB403" w14:textId="77777777" w:rsidR="00520F36" w:rsidRPr="0092392D" w:rsidRDefault="00520F36" w:rsidP="00FC7CF1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14:paraId="2FB24F5F" w14:textId="756FAB7D" w:rsidR="00520F36" w:rsidRPr="0092392D" w:rsidRDefault="007F3DFA" w:rsidP="00CC055C">
            <w:pPr>
              <w:spacing w:after="120"/>
              <w:rPr>
                <w:i/>
                <w:iCs/>
                <w:lang w:val="fr-CH"/>
              </w:rPr>
            </w:pPr>
            <w:hyperlink r:id="rId7" w:history="1">
              <w:r w:rsidR="00CC055C" w:rsidRPr="00CC055C">
                <w:rPr>
                  <w:rStyle w:val="Hyperlink"/>
                  <w:i/>
                  <w:iCs/>
                  <w:lang w:val="fr-CH"/>
                </w:rPr>
                <w:t>Numéro 2 de la Convention</w:t>
              </w:r>
            </w:hyperlink>
            <w:r w:rsidR="00FF295A" w:rsidRPr="007F3DFA">
              <w:rPr>
                <w:i/>
                <w:iCs/>
              </w:rPr>
              <w:t xml:space="preserve">; </w:t>
            </w:r>
            <w:hyperlink r:id="rId8" w:history="1">
              <w:r w:rsidR="00FF295A" w:rsidRPr="00182770">
                <w:rPr>
                  <w:rStyle w:val="Hyperlink"/>
                  <w:i/>
                  <w:iCs/>
                </w:rPr>
                <w:t>Rés</w:t>
              </w:r>
              <w:r w:rsidR="00826943" w:rsidRPr="00182770">
                <w:rPr>
                  <w:rStyle w:val="Hyperlink"/>
                  <w:i/>
                  <w:iCs/>
                </w:rPr>
                <w:t>olution</w:t>
              </w:r>
              <w:r w:rsidR="00FF295A" w:rsidRPr="00182770">
                <w:rPr>
                  <w:rStyle w:val="Hyperlink"/>
                  <w:i/>
                  <w:iCs/>
                </w:rPr>
                <w:t xml:space="preserve"> 77 (</w:t>
              </w:r>
              <w:proofErr w:type="spellStart"/>
              <w:r w:rsidR="00FF295A" w:rsidRPr="00182770">
                <w:rPr>
                  <w:rStyle w:val="Hyperlink"/>
                  <w:i/>
                  <w:iCs/>
                </w:rPr>
                <w:t>Rév</w:t>
              </w:r>
              <w:proofErr w:type="spellEnd"/>
              <w:r w:rsidR="00FF295A" w:rsidRPr="00182770">
                <w:rPr>
                  <w:rStyle w:val="Hyperlink"/>
                  <w:i/>
                  <w:iCs/>
                </w:rPr>
                <w:t xml:space="preserve">. </w:t>
              </w:r>
              <w:r w:rsidR="00274506" w:rsidRPr="00182770">
                <w:rPr>
                  <w:rStyle w:val="Hyperlink"/>
                  <w:i/>
                  <w:iCs/>
                </w:rPr>
                <w:t>Dubaï, 2018</w:t>
              </w:r>
              <w:r w:rsidR="00FF295A" w:rsidRPr="00182770">
                <w:rPr>
                  <w:rStyle w:val="Hyperlink"/>
                  <w:i/>
                  <w:iCs/>
                </w:rPr>
                <w:t>)</w:t>
              </w:r>
            </w:hyperlink>
            <w:r w:rsidR="006C76EF" w:rsidRPr="007F3DFA">
              <w:rPr>
                <w:i/>
                <w:iCs/>
                <w:lang w:val="fr-CH"/>
              </w:rPr>
              <w:t xml:space="preserve"> </w:t>
            </w:r>
            <w:r w:rsidR="00826943" w:rsidRPr="007F3DFA">
              <w:rPr>
                <w:i/>
                <w:iCs/>
                <w:lang w:val="fr-CH"/>
              </w:rPr>
              <w:t>de la Conférence de plénipotentiaires</w:t>
            </w:r>
          </w:p>
        </w:tc>
      </w:tr>
    </w:tbl>
    <w:p w14:paraId="0D916235" w14:textId="77777777" w:rsidR="00FF295A" w:rsidRPr="00F22103" w:rsidRDefault="00FF295A" w:rsidP="00FC7CF1">
      <w:pPr>
        <w:pStyle w:val="Heading1"/>
      </w:pPr>
      <w:r w:rsidRPr="00F22103">
        <w:t>1</w:t>
      </w:r>
      <w:r w:rsidRPr="00F22103">
        <w:tab/>
      </w:r>
      <w:r w:rsidRPr="00FF295A">
        <w:t>Rappel</w:t>
      </w:r>
    </w:p>
    <w:p w14:paraId="1D715104" w14:textId="761DC0EC" w:rsidR="00FF295A" w:rsidRPr="00F22103" w:rsidRDefault="00FF295A" w:rsidP="00FC7CF1">
      <w:r w:rsidRPr="00F22103">
        <w:t>1.1</w:t>
      </w:r>
      <w:r w:rsidRPr="00F22103">
        <w:tab/>
      </w:r>
      <w:r>
        <w:t xml:space="preserve">Le </w:t>
      </w:r>
      <w:r w:rsidR="00362825">
        <w:t xml:space="preserve">point </w:t>
      </w:r>
      <w:r w:rsidR="001B6373">
        <w:t>4.6</w:t>
      </w:r>
      <w:r>
        <w:t xml:space="preserve"> du </w:t>
      </w:r>
      <w:r>
        <w:rPr>
          <w:i/>
          <w:iCs/>
        </w:rPr>
        <w:t>décide</w:t>
      </w:r>
      <w:r w:rsidRPr="00B71C40">
        <w:t xml:space="preserve"> </w:t>
      </w:r>
      <w:r>
        <w:t>de l</w:t>
      </w:r>
      <w:r w:rsidRPr="002E457E">
        <w:t xml:space="preserve">a Résolution 77 (Rév. </w:t>
      </w:r>
      <w:r w:rsidR="001B6373">
        <w:t>Dubaï, 2018</w:t>
      </w:r>
      <w:r w:rsidRPr="002E457E">
        <w:t xml:space="preserve">) </w:t>
      </w:r>
      <w:r>
        <w:t>de la Conférence de plénipotentiaires prévoit que</w:t>
      </w:r>
      <w:r w:rsidRPr="002E457E">
        <w:t xml:space="preserve"> la prochaine Conférence de plénipotentiaires (PP) se tiendra </w:t>
      </w:r>
      <w:r w:rsidR="00BC0F43">
        <w:t>pendant le dernier trimestre de 2022</w:t>
      </w:r>
      <w:r w:rsidRPr="002E457E">
        <w:t>.</w:t>
      </w:r>
    </w:p>
    <w:p w14:paraId="1F3DCC6B" w14:textId="6E7F0D00" w:rsidR="00FF295A" w:rsidRPr="00F22103" w:rsidRDefault="00FF295A" w:rsidP="00FC7CF1">
      <w:r w:rsidRPr="00F22103">
        <w:t>1.2</w:t>
      </w:r>
      <w:r w:rsidRPr="00F22103">
        <w:tab/>
      </w:r>
      <w:r w:rsidRPr="00607FB0">
        <w:t xml:space="preserve">En vertu du numéro 2 de la Convention, dans le cas où le lieu précis et les dates exactes d'une </w:t>
      </w:r>
      <w:r>
        <w:t>Conférence de plénipotentiaires</w:t>
      </w:r>
      <w:r w:rsidRPr="00607FB0">
        <w:t xml:space="preserve"> n'ont pas pu être fixés par la </w:t>
      </w:r>
      <w:r>
        <w:t>Conférence</w:t>
      </w:r>
      <w:r w:rsidRPr="00607FB0">
        <w:t xml:space="preserve"> </w:t>
      </w:r>
      <w:r>
        <w:t xml:space="preserve">de plénipotentiaires </w:t>
      </w:r>
      <w:r w:rsidRPr="00607FB0">
        <w:t xml:space="preserve">précédente, ce lieu et ces dates sont déterminés par le Conseil, avec l'accord de la majorité des </w:t>
      </w:r>
      <w:r w:rsidR="000202DD">
        <w:t>É</w:t>
      </w:r>
      <w:r w:rsidRPr="00607FB0">
        <w:t>tats Membres</w:t>
      </w:r>
      <w:r>
        <w:t>.</w:t>
      </w:r>
    </w:p>
    <w:p w14:paraId="1881873C" w14:textId="6BCD02E8" w:rsidR="00FF295A" w:rsidRPr="00182770" w:rsidRDefault="00FF295A" w:rsidP="00FC7CF1">
      <w:r w:rsidRPr="00F22103">
        <w:lastRenderedPageBreak/>
        <w:t>1</w:t>
      </w:r>
      <w:r w:rsidR="001B6373">
        <w:t>.3</w:t>
      </w:r>
      <w:r w:rsidRPr="00F22103">
        <w:tab/>
      </w:r>
      <w:r>
        <w:t xml:space="preserve">Le </w:t>
      </w:r>
      <w:r w:rsidR="00DC2288">
        <w:t>8 avril 2019</w:t>
      </w:r>
      <w:r>
        <w:t xml:space="preserve">, </w:t>
      </w:r>
      <w:r w:rsidR="00FD20EC">
        <w:t xml:space="preserve">le Ministère </w:t>
      </w:r>
      <w:r w:rsidR="002644C2">
        <w:t xml:space="preserve">roumain </w:t>
      </w:r>
      <w:r w:rsidR="00FD20EC">
        <w:t xml:space="preserve">des communications et de la société de l'information et </w:t>
      </w:r>
      <w:r w:rsidR="005A03A5">
        <w:t>l'</w:t>
      </w:r>
      <w:r w:rsidR="009B08D6">
        <w:t xml:space="preserve">Autorité nationale </w:t>
      </w:r>
      <w:r w:rsidR="002644C2">
        <w:t xml:space="preserve">de gestion et de régulation des communications (ANCOM) de la Roumanie </w:t>
      </w:r>
      <w:r w:rsidR="005A03A5">
        <w:t xml:space="preserve">ont officiellement informé le Secrétaire général </w:t>
      </w:r>
      <w:r w:rsidR="00265DA3">
        <w:t xml:space="preserve">que la Roumanie souhaiterait </w:t>
      </w:r>
      <w:r w:rsidR="00F47512">
        <w:t xml:space="preserve">accueillir </w:t>
      </w:r>
      <w:r w:rsidR="00207AFB">
        <w:t xml:space="preserve">à Bucarest </w:t>
      </w:r>
      <w:r w:rsidR="00F47512">
        <w:t xml:space="preserve">la prochaine PP, qui se tiendra en 2022 </w:t>
      </w:r>
      <w:r>
        <w:t>(voir</w:t>
      </w:r>
      <w:r w:rsidRPr="00182770">
        <w:t xml:space="preserve"> l'Annexe A).</w:t>
      </w:r>
    </w:p>
    <w:p w14:paraId="14EB5754" w14:textId="46160EA4" w:rsidR="00FF295A" w:rsidRPr="00F22103" w:rsidRDefault="00D46164" w:rsidP="00FC7CF1">
      <w:pPr>
        <w:pStyle w:val="Heading1"/>
      </w:pPr>
      <w:r>
        <w:t>2</w:t>
      </w:r>
      <w:r w:rsidR="00FF295A" w:rsidRPr="00F22103">
        <w:tab/>
        <w:t>Propos</w:t>
      </w:r>
      <w:r w:rsidR="00FF295A">
        <w:t>ition</w:t>
      </w:r>
    </w:p>
    <w:p w14:paraId="2381FCBF" w14:textId="5F8A27F4" w:rsidR="00FF295A" w:rsidRPr="00182770" w:rsidRDefault="00D46164" w:rsidP="00FC7CF1">
      <w:r>
        <w:t>2.1</w:t>
      </w:r>
      <w:r w:rsidR="00FF295A" w:rsidRPr="00F22103">
        <w:tab/>
      </w:r>
      <w:r w:rsidR="00FF295A">
        <w:t xml:space="preserve">Le Conseil est invité à examiner </w:t>
      </w:r>
      <w:r w:rsidR="008D4F61">
        <w:t>l'invitation reçue</w:t>
      </w:r>
      <w:r w:rsidR="002C3A2E">
        <w:t xml:space="preserve"> de la Roumanie </w:t>
      </w:r>
      <w:r w:rsidR="008D4F61">
        <w:t>pour tenir</w:t>
      </w:r>
      <w:r w:rsidR="002C3A2E">
        <w:t xml:space="preserve"> la PP-22 à Bucarest</w:t>
      </w:r>
      <w:r w:rsidR="00FF295A">
        <w:t xml:space="preserve"> et à décider du lieu précis où aura lieu la Conférence de plénipotentiaires de </w:t>
      </w:r>
      <w:r w:rsidR="002C3A2E">
        <w:t xml:space="preserve">2022 </w:t>
      </w:r>
      <w:r w:rsidR="00FF295A">
        <w:t>en adoptant le projet de décision figurant dans l'</w:t>
      </w:r>
      <w:r w:rsidR="00FF295A" w:rsidRPr="00826D72">
        <w:rPr>
          <w:u w:val="single"/>
        </w:rPr>
        <w:t>Annexe </w:t>
      </w:r>
      <w:r w:rsidRPr="00826D72">
        <w:rPr>
          <w:u w:val="single"/>
        </w:rPr>
        <w:t>B</w:t>
      </w:r>
      <w:r w:rsidR="00FF295A">
        <w:t>.</w:t>
      </w:r>
    </w:p>
    <w:p w14:paraId="4CC9ECF3" w14:textId="12CD1C5F" w:rsidR="00BE6DF7" w:rsidRPr="00182770" w:rsidRDefault="00D46164" w:rsidP="00FC7CF1">
      <w:r w:rsidRPr="00182770">
        <w:t>2.2</w:t>
      </w:r>
      <w:r w:rsidR="00BE6DF7" w:rsidRPr="00182770">
        <w:tab/>
      </w:r>
      <w:r w:rsidR="002C3A2E" w:rsidRPr="00182770">
        <w:t xml:space="preserve">Le secrétariat entreprendra une mission </w:t>
      </w:r>
      <w:r w:rsidR="00706B7E" w:rsidRPr="00182770">
        <w:t xml:space="preserve">à Bucarest </w:t>
      </w:r>
      <w:r w:rsidR="002C3A2E" w:rsidRPr="00182770">
        <w:t xml:space="preserve">en Roumanie </w:t>
      </w:r>
      <w:r w:rsidR="00706B7E" w:rsidRPr="00182770">
        <w:t xml:space="preserve">afin d'évaluer divers sites pour la tenue de la Conférence et fera rapport </w:t>
      </w:r>
      <w:r w:rsidR="008D4F61" w:rsidRPr="00182770">
        <w:t>au Conseil à s</w:t>
      </w:r>
      <w:r w:rsidR="00706B7E" w:rsidRPr="00182770">
        <w:t>a prochaine session</w:t>
      </w:r>
      <w:r w:rsidR="00BE6DF7" w:rsidRPr="00182770">
        <w:t>.</w:t>
      </w:r>
    </w:p>
    <w:p w14:paraId="7993FDA4" w14:textId="61C625E0" w:rsidR="00BE6DF7" w:rsidRPr="00182770" w:rsidRDefault="00BE6DF7" w:rsidP="00FC7CF1">
      <w:r w:rsidRPr="00182770">
        <w:t>2.3</w:t>
      </w:r>
      <w:r w:rsidRPr="00182770">
        <w:tab/>
      </w:r>
      <w:r w:rsidR="00495126" w:rsidRPr="00182770">
        <w:t>Le Conseil arrêtera les dates exactes</w:t>
      </w:r>
      <w:r w:rsidR="0065627E" w:rsidRPr="00182770">
        <w:t xml:space="preserve"> à sa prochaine session et modifiera la Décision en conséquence</w:t>
      </w:r>
      <w:r w:rsidRPr="00182770">
        <w:t>.</w:t>
      </w:r>
    </w:p>
    <w:p w14:paraId="3D7674D7" w14:textId="33C0C8B3" w:rsidR="00D46164" w:rsidRPr="00F22103" w:rsidRDefault="00B26870" w:rsidP="00FC7CF1">
      <w:r w:rsidRPr="00182770">
        <w:t>2.4</w:t>
      </w:r>
      <w:r w:rsidR="00FF295A" w:rsidRPr="00182770">
        <w:tab/>
      </w:r>
      <w:r w:rsidR="00207AFB">
        <w:t xml:space="preserve">Les États Membres </w:t>
      </w:r>
      <w:r w:rsidR="00041EDB">
        <w:t xml:space="preserve">de l'UIT </w:t>
      </w:r>
      <w:r w:rsidR="00207AFB">
        <w:t>seront ensuite consultés</w:t>
      </w:r>
      <w:r w:rsidR="00FF295A">
        <w:t xml:space="preserve"> en vue d'obtenir leur accord au sujet </w:t>
      </w:r>
      <w:r w:rsidR="002A3B98">
        <w:t>du</w:t>
      </w:r>
      <w:r w:rsidR="00FF295A">
        <w:t xml:space="preserve"> lieu</w:t>
      </w:r>
      <w:r w:rsidR="002A3B98">
        <w:t xml:space="preserve"> et des dates exactes</w:t>
      </w:r>
      <w:r w:rsidR="00FF295A">
        <w:t>, conformément au numéro 2 de la Convention de l'UIT.</w:t>
      </w:r>
    </w:p>
    <w:p w14:paraId="6A0F355D" w14:textId="77777777" w:rsidR="00FF295A" w:rsidRPr="00313DAE" w:rsidRDefault="00FF295A" w:rsidP="00FC7CF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80"/>
        <w:rPr>
          <w:lang w:val="fr-CH"/>
        </w:rPr>
      </w:pPr>
      <w:r w:rsidRPr="00313DAE">
        <w:rPr>
          <w:lang w:val="fr-CH"/>
        </w:rPr>
        <w:br w:type="page"/>
      </w:r>
    </w:p>
    <w:p w14:paraId="060CE073" w14:textId="3674219F" w:rsidR="00207AFB" w:rsidRPr="00182770" w:rsidRDefault="00FF295A" w:rsidP="00AE33C4">
      <w:pPr>
        <w:pStyle w:val="Annextitle"/>
        <w:spacing w:after="360"/>
        <w:rPr>
          <w:sz w:val="20"/>
        </w:rPr>
      </w:pPr>
      <w:r w:rsidRPr="00352757">
        <w:rPr>
          <w:b w:val="0"/>
          <w:bCs/>
        </w:rPr>
        <w:lastRenderedPageBreak/>
        <w:t>ANNEXE 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51"/>
      </w:tblGrid>
      <w:tr w:rsidR="00563AA5" w14:paraId="5D782798" w14:textId="77777777" w:rsidTr="00563AA5">
        <w:tc>
          <w:tcPr>
            <w:tcW w:w="4678" w:type="dxa"/>
          </w:tcPr>
          <w:p w14:paraId="5CB25560" w14:textId="6B3896C8" w:rsidR="00563AA5" w:rsidRDefault="00563AA5" w:rsidP="004B516B">
            <w:pPr>
              <w:pStyle w:val="NoSpacing"/>
              <w:rPr>
                <w:szCs w:val="24"/>
              </w:rPr>
            </w:pPr>
            <w:r w:rsidRPr="00182770">
              <w:rPr>
                <w:szCs w:val="24"/>
              </w:rPr>
              <w:t xml:space="preserve">Ministère des communications </w:t>
            </w:r>
            <w:r>
              <w:rPr>
                <w:szCs w:val="24"/>
              </w:rPr>
              <w:br/>
            </w:r>
            <w:r w:rsidRPr="00182770">
              <w:rPr>
                <w:szCs w:val="24"/>
              </w:rPr>
              <w:t>et de la société de l'information</w:t>
            </w:r>
          </w:p>
        </w:tc>
        <w:tc>
          <w:tcPr>
            <w:tcW w:w="4951" w:type="dxa"/>
          </w:tcPr>
          <w:p w14:paraId="40822FFF" w14:textId="5CE07297" w:rsidR="00563AA5" w:rsidRDefault="00563AA5" w:rsidP="00AE33C4">
            <w:pPr>
              <w:pStyle w:val="NoSpacing"/>
              <w:jc w:val="right"/>
              <w:rPr>
                <w:szCs w:val="24"/>
              </w:rPr>
            </w:pPr>
            <w:r w:rsidRPr="00182770">
              <w:rPr>
                <w:szCs w:val="24"/>
              </w:rPr>
              <w:t>ANCOM</w:t>
            </w:r>
            <w:r>
              <w:rPr>
                <w:szCs w:val="24"/>
              </w:rPr>
              <w:br/>
            </w:r>
            <w:r w:rsidRPr="00AE33C4">
              <w:rPr>
                <w:sz w:val="20"/>
              </w:rPr>
              <w:t>Autorité nationale de gestion et de</w:t>
            </w:r>
            <w:r w:rsidR="00AE33C4">
              <w:rPr>
                <w:sz w:val="20"/>
              </w:rPr>
              <w:t xml:space="preserve"> </w:t>
            </w:r>
            <w:r w:rsidRPr="00AE33C4">
              <w:rPr>
                <w:sz w:val="20"/>
              </w:rPr>
              <w:t xml:space="preserve">régulation </w:t>
            </w:r>
            <w:r w:rsidR="00AE33C4">
              <w:rPr>
                <w:sz w:val="20"/>
              </w:rPr>
              <w:br/>
            </w:r>
            <w:r w:rsidRPr="00AE33C4">
              <w:rPr>
                <w:sz w:val="20"/>
              </w:rPr>
              <w:t>des communications de la Roumanie</w:t>
            </w:r>
          </w:p>
        </w:tc>
      </w:tr>
    </w:tbl>
    <w:p w14:paraId="668AE10B" w14:textId="15DD5CDA" w:rsidR="00207AFB" w:rsidRPr="00182770" w:rsidRDefault="008270D0" w:rsidP="00563AA5">
      <w:pPr>
        <w:spacing w:before="600" w:after="240"/>
        <w:rPr>
          <w:noProof/>
          <w:szCs w:val="24"/>
          <w:lang w:eastAsia="zh-CN"/>
        </w:rPr>
      </w:pPr>
      <w:r w:rsidRPr="00B46C5B">
        <w:rPr>
          <w:b/>
          <w:bCs/>
        </w:rPr>
        <w:t xml:space="preserve">À l'intention de </w:t>
      </w:r>
      <w:r w:rsidR="00207AFB" w:rsidRPr="00B46C5B">
        <w:rPr>
          <w:b/>
          <w:bCs/>
        </w:rPr>
        <w:t>M. Houlin ZHAO</w:t>
      </w:r>
      <w:r w:rsidR="00207AFB" w:rsidRPr="00412D86">
        <w:t>, Secrétaire général de l'UIT</w:t>
      </w:r>
      <w:r w:rsidR="004B516B">
        <w:rPr>
          <w:b/>
          <w:bCs/>
        </w:rPr>
        <w:br/>
      </w:r>
      <w:r w:rsidR="00207AFB" w:rsidRPr="00182770">
        <w:rPr>
          <w:noProof/>
          <w:szCs w:val="24"/>
          <w:lang w:eastAsia="zh-CN"/>
        </w:rPr>
        <w:t>Place des Nat</w:t>
      </w:r>
      <w:r w:rsidR="00B46C5B">
        <w:rPr>
          <w:noProof/>
          <w:szCs w:val="24"/>
          <w:lang w:eastAsia="zh-CN"/>
        </w:rPr>
        <w:t>ions, CH-1211 Genève 20, Suisse</w:t>
      </w:r>
    </w:p>
    <w:p w14:paraId="608AB91A" w14:textId="77777777" w:rsidR="00207AFB" w:rsidRPr="00182770" w:rsidRDefault="00207AFB" w:rsidP="00B46C5B">
      <w:pPr>
        <w:pStyle w:val="NoSpacing"/>
        <w:spacing w:after="240"/>
        <w:rPr>
          <w:b/>
          <w:bCs/>
          <w:noProof/>
          <w:szCs w:val="24"/>
          <w:lang w:eastAsia="zh-CN"/>
        </w:rPr>
      </w:pPr>
      <w:r w:rsidRPr="00182770">
        <w:rPr>
          <w:b/>
          <w:bCs/>
          <w:noProof/>
          <w:szCs w:val="24"/>
          <w:lang w:eastAsia="zh-CN"/>
        </w:rPr>
        <w:t>Objet: Conférence de plénipotentiaires de l'UIT de 2022 (PP-22)</w:t>
      </w:r>
    </w:p>
    <w:p w14:paraId="5E81FA30" w14:textId="537264E2" w:rsidR="00877C1B" w:rsidRPr="00182770" w:rsidRDefault="00207AFB" w:rsidP="00B46C5B">
      <w:pPr>
        <w:rPr>
          <w:noProof/>
          <w:lang w:eastAsia="zh-CN"/>
        </w:rPr>
      </w:pPr>
      <w:r w:rsidRPr="00182770">
        <w:rPr>
          <w:noProof/>
          <w:lang w:eastAsia="zh-CN"/>
        </w:rPr>
        <w:t xml:space="preserve">Monsieur le Secrétaire général, </w:t>
      </w:r>
    </w:p>
    <w:p w14:paraId="6253D094" w14:textId="74882046" w:rsidR="00DD1BE9" w:rsidRPr="00182770" w:rsidRDefault="00877C1B" w:rsidP="007A61E6">
      <w:pPr>
        <w:rPr>
          <w:noProof/>
          <w:lang w:eastAsia="zh-CN"/>
        </w:rPr>
      </w:pPr>
      <w:r w:rsidRPr="00182770">
        <w:rPr>
          <w:noProof/>
          <w:lang w:eastAsia="zh-CN"/>
        </w:rPr>
        <w:t>Suite aux lettres que nous avons échangé</w:t>
      </w:r>
      <w:r w:rsidR="007A61E6">
        <w:rPr>
          <w:noProof/>
          <w:lang w:eastAsia="zh-CN"/>
        </w:rPr>
        <w:t>es</w:t>
      </w:r>
      <w:r w:rsidRPr="00182770">
        <w:rPr>
          <w:noProof/>
          <w:lang w:eastAsia="zh-CN"/>
        </w:rPr>
        <w:t xml:space="preserve">, nous avons l'honneur de vous faire part officiellement </w:t>
      </w:r>
      <w:r w:rsidR="00DD1BE9" w:rsidRPr="00182770">
        <w:rPr>
          <w:noProof/>
          <w:lang w:eastAsia="zh-CN"/>
        </w:rPr>
        <w:t>de l'intention</w:t>
      </w:r>
      <w:r w:rsidRPr="00182770">
        <w:rPr>
          <w:noProof/>
          <w:lang w:eastAsia="zh-CN"/>
        </w:rPr>
        <w:t xml:space="preserve"> de la Roumanie d'accueillir la 21ème Conférence de plénipotentiaires de l'UIT</w:t>
      </w:r>
      <w:r w:rsidR="00117998" w:rsidRPr="00182770">
        <w:rPr>
          <w:noProof/>
          <w:lang w:eastAsia="zh-CN"/>
        </w:rPr>
        <w:t xml:space="preserve">. </w:t>
      </w:r>
      <w:r w:rsidR="007A61E6">
        <w:rPr>
          <w:noProof/>
          <w:lang w:eastAsia="zh-CN"/>
        </w:rPr>
        <w:t>À cet égard, n</w:t>
      </w:r>
      <w:r w:rsidR="00DD1BE9" w:rsidRPr="00182770">
        <w:rPr>
          <w:noProof/>
          <w:lang w:eastAsia="zh-CN"/>
        </w:rPr>
        <w:t>ous bénéficions</w:t>
      </w:r>
      <w:r w:rsidR="007A61E6">
        <w:rPr>
          <w:noProof/>
          <w:lang w:eastAsia="zh-CN"/>
        </w:rPr>
        <w:t xml:space="preserve"> </w:t>
      </w:r>
      <w:r w:rsidR="00DD1BE9" w:rsidRPr="00182770">
        <w:rPr>
          <w:noProof/>
          <w:lang w:eastAsia="zh-CN"/>
        </w:rPr>
        <w:t>du plein soutien du Gouvernement de la Roumanie, comme en témoigne le mémorandum adopté le 4 avril. Nous serions honorés, Monsieur le Secrétaire général, que vous appuyiez notre proposition auprès du Conseil lors de la session de cette année, qui se tiendra en juin.</w:t>
      </w:r>
    </w:p>
    <w:p w14:paraId="53F375A9" w14:textId="77777777" w:rsidR="003A426B" w:rsidRPr="00182770" w:rsidRDefault="00DD1BE9" w:rsidP="00B46C5B">
      <w:pPr>
        <w:rPr>
          <w:noProof/>
          <w:szCs w:val="24"/>
          <w:lang w:eastAsia="zh-CN"/>
        </w:rPr>
      </w:pPr>
      <w:r w:rsidRPr="00182770">
        <w:rPr>
          <w:noProof/>
          <w:szCs w:val="24"/>
          <w:lang w:eastAsia="zh-CN"/>
        </w:rPr>
        <w:t xml:space="preserve">Nous estimons que </w:t>
      </w:r>
      <w:r w:rsidRPr="00B46C5B">
        <w:rPr>
          <w:noProof/>
          <w:lang w:eastAsia="zh-CN"/>
        </w:rPr>
        <w:t>l'expérience</w:t>
      </w:r>
      <w:r w:rsidRPr="00182770">
        <w:rPr>
          <w:noProof/>
          <w:szCs w:val="24"/>
          <w:lang w:eastAsia="zh-CN"/>
        </w:rPr>
        <w:t xml:space="preserve"> riche et positive de la Roumanie </w:t>
      </w:r>
      <w:r w:rsidR="00DA5EDB" w:rsidRPr="00182770">
        <w:rPr>
          <w:noProof/>
          <w:szCs w:val="24"/>
          <w:lang w:eastAsia="zh-CN"/>
        </w:rPr>
        <w:t>dans la tenue de conférences internationales et régionales, y compris de réunions de l'UIT, parle d'elle-même. Aussi, le fait que nous assurion</w:t>
      </w:r>
      <w:r w:rsidR="00013903" w:rsidRPr="00182770">
        <w:rPr>
          <w:noProof/>
          <w:szCs w:val="24"/>
          <w:lang w:eastAsia="zh-CN"/>
        </w:rPr>
        <w:t xml:space="preserve">s actuellement la présidence tournante du Conseil de l'Union européenne sera très utile et pertinent aux travaux préparatoires en vue de la PP-22, </w:t>
      </w:r>
      <w:r w:rsidR="003A426B" w:rsidRPr="00182770">
        <w:rPr>
          <w:noProof/>
          <w:szCs w:val="24"/>
          <w:lang w:eastAsia="zh-CN"/>
        </w:rPr>
        <w:t>si toutefois le Conseil de l'UIT approuve notre proposition.</w:t>
      </w:r>
    </w:p>
    <w:p w14:paraId="2BB5CF02" w14:textId="4CB39BC4" w:rsidR="003A426B" w:rsidRPr="00182770" w:rsidRDefault="003A426B" w:rsidP="00B46C5B">
      <w:pPr>
        <w:rPr>
          <w:noProof/>
          <w:szCs w:val="24"/>
          <w:lang w:eastAsia="zh-CN"/>
        </w:rPr>
      </w:pPr>
      <w:r w:rsidRPr="00182770">
        <w:rPr>
          <w:noProof/>
          <w:szCs w:val="24"/>
          <w:lang w:eastAsia="zh-CN"/>
        </w:rPr>
        <w:t xml:space="preserve">Soyez assuré </w:t>
      </w:r>
      <w:r w:rsidR="00362825">
        <w:rPr>
          <w:noProof/>
          <w:szCs w:val="24"/>
          <w:lang w:eastAsia="zh-CN"/>
        </w:rPr>
        <w:t>que n</w:t>
      </w:r>
      <w:r w:rsidRPr="00182770">
        <w:rPr>
          <w:noProof/>
          <w:szCs w:val="24"/>
          <w:lang w:eastAsia="zh-CN"/>
        </w:rPr>
        <w:t xml:space="preserve">otre administration </w:t>
      </w:r>
      <w:r w:rsidR="00362825">
        <w:rPr>
          <w:noProof/>
          <w:szCs w:val="24"/>
          <w:lang w:eastAsia="zh-CN"/>
        </w:rPr>
        <w:t xml:space="preserve">est pleinement déterminée </w:t>
      </w:r>
      <w:r w:rsidRPr="00182770">
        <w:rPr>
          <w:noProof/>
          <w:szCs w:val="24"/>
          <w:lang w:eastAsia="zh-CN"/>
        </w:rPr>
        <w:t xml:space="preserve">à travailler avec vous et avec le Conseil en vue </w:t>
      </w:r>
      <w:r w:rsidRPr="00B46C5B">
        <w:rPr>
          <w:noProof/>
          <w:lang w:eastAsia="zh-CN"/>
        </w:rPr>
        <w:t>d'apporter</w:t>
      </w:r>
      <w:r w:rsidRPr="00182770">
        <w:rPr>
          <w:noProof/>
          <w:szCs w:val="24"/>
          <w:lang w:eastAsia="zh-CN"/>
        </w:rPr>
        <w:t xml:space="preserve"> tous les renseignements nécessaires, afin que ce processus soit le plus harmonieux possible. </w:t>
      </w:r>
    </w:p>
    <w:p w14:paraId="6EFF1DB0" w14:textId="77777777" w:rsidR="00014AE6" w:rsidRPr="00182770" w:rsidRDefault="00014AE6" w:rsidP="00B46C5B">
      <w:pPr>
        <w:rPr>
          <w:noProof/>
          <w:szCs w:val="24"/>
          <w:lang w:eastAsia="zh-CN"/>
        </w:rPr>
      </w:pPr>
      <w:r w:rsidRPr="00182770">
        <w:rPr>
          <w:noProof/>
          <w:szCs w:val="24"/>
          <w:lang w:eastAsia="zh-CN"/>
        </w:rPr>
        <w:t xml:space="preserve">Nous serions heureux et </w:t>
      </w:r>
      <w:r w:rsidRPr="00B46C5B">
        <w:rPr>
          <w:noProof/>
          <w:lang w:eastAsia="zh-CN"/>
        </w:rPr>
        <w:t>très</w:t>
      </w:r>
      <w:r w:rsidRPr="00182770">
        <w:rPr>
          <w:noProof/>
          <w:szCs w:val="24"/>
          <w:lang w:eastAsia="zh-CN"/>
        </w:rPr>
        <w:t xml:space="preserve"> honorés d'accueillir la communauté internationale des TIC à Bucarest en Roumanie en 2022.</w:t>
      </w:r>
    </w:p>
    <w:p w14:paraId="3D1D7DCF" w14:textId="1959A812" w:rsidR="00014AE6" w:rsidRPr="00182770" w:rsidRDefault="00014AE6" w:rsidP="00AE33C4">
      <w:pPr>
        <w:spacing w:after="1320"/>
        <w:rPr>
          <w:noProof/>
          <w:szCs w:val="24"/>
          <w:lang w:eastAsia="zh-CN"/>
        </w:rPr>
      </w:pPr>
      <w:r w:rsidRPr="00182770">
        <w:rPr>
          <w:noProof/>
          <w:szCs w:val="24"/>
          <w:lang w:eastAsia="zh-CN"/>
        </w:rPr>
        <w:t xml:space="preserve">Veuillez </w:t>
      </w:r>
      <w:r w:rsidRPr="00B46C5B">
        <w:rPr>
          <w:noProof/>
          <w:lang w:eastAsia="zh-CN"/>
        </w:rPr>
        <w:t>agréer</w:t>
      </w:r>
      <w:r w:rsidRPr="00182770">
        <w:rPr>
          <w:noProof/>
          <w:szCs w:val="24"/>
          <w:lang w:eastAsia="zh-CN"/>
        </w:rPr>
        <w:t xml:space="preserve">, </w:t>
      </w:r>
      <w:r w:rsidR="00CA4474">
        <w:rPr>
          <w:noProof/>
          <w:szCs w:val="24"/>
          <w:lang w:eastAsia="zh-CN"/>
        </w:rPr>
        <w:t>Monsieur le Secrétaire général</w:t>
      </w:r>
      <w:r w:rsidRPr="00182770">
        <w:rPr>
          <w:noProof/>
          <w:szCs w:val="24"/>
          <w:lang w:eastAsia="zh-CN"/>
        </w:rPr>
        <w:t>, l'assurance de notre très haute considération.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912DE" w14:paraId="66222969" w14:textId="77777777" w:rsidTr="00B912DE">
        <w:tc>
          <w:tcPr>
            <w:tcW w:w="4814" w:type="dxa"/>
          </w:tcPr>
          <w:p w14:paraId="06822318" w14:textId="77777777" w:rsidR="00B912DE" w:rsidRPr="00182770" w:rsidRDefault="00B912DE" w:rsidP="00B912DE">
            <w:pPr>
              <w:rPr>
                <w:noProof/>
                <w:szCs w:val="24"/>
                <w:lang w:eastAsia="zh-CN"/>
              </w:rPr>
            </w:pPr>
            <w:r w:rsidRPr="00B46C5B">
              <w:rPr>
                <w:noProof/>
                <w:lang w:eastAsia="zh-CN"/>
              </w:rPr>
              <w:t>ALEXANDRU</w:t>
            </w:r>
            <w:r w:rsidRPr="00182770">
              <w:rPr>
                <w:noProof/>
                <w:szCs w:val="24"/>
                <w:lang w:eastAsia="zh-CN"/>
              </w:rPr>
              <w:t xml:space="preserve"> PETRESCU</w:t>
            </w:r>
          </w:p>
          <w:p w14:paraId="57E102D0" w14:textId="77777777" w:rsidR="00B912DE" w:rsidRDefault="00B912DE" w:rsidP="00B912DE">
            <w:pPr>
              <w:pStyle w:val="NoSpacing"/>
              <w:rPr>
                <w:noProof/>
                <w:szCs w:val="24"/>
                <w:lang w:eastAsia="zh-CN"/>
              </w:rPr>
            </w:pPr>
            <w:r w:rsidRPr="00182770">
              <w:rPr>
                <w:noProof/>
                <w:szCs w:val="24"/>
                <w:lang w:eastAsia="zh-CN"/>
              </w:rPr>
              <w:t>Ministre des communications et</w:t>
            </w:r>
          </w:p>
          <w:p w14:paraId="0191DC9D" w14:textId="6E35D551" w:rsidR="00B912DE" w:rsidRDefault="00B912DE" w:rsidP="00B912DE">
            <w:pPr>
              <w:pStyle w:val="NoSpacing"/>
              <w:rPr>
                <w:noProof/>
                <w:lang w:eastAsia="zh-CN"/>
              </w:rPr>
            </w:pPr>
            <w:r w:rsidRPr="00182770">
              <w:rPr>
                <w:noProof/>
                <w:szCs w:val="24"/>
                <w:lang w:eastAsia="zh-CN"/>
              </w:rPr>
              <w:lastRenderedPageBreak/>
              <w:t>de la société de l'information</w:t>
            </w:r>
          </w:p>
        </w:tc>
        <w:tc>
          <w:tcPr>
            <w:tcW w:w="4815" w:type="dxa"/>
          </w:tcPr>
          <w:p w14:paraId="5CA26CD4" w14:textId="77777777" w:rsidR="00B912DE" w:rsidRDefault="00B912DE" w:rsidP="00B912DE">
            <w:pPr>
              <w:pStyle w:val="NoSpacing"/>
              <w:jc w:val="right"/>
              <w:rPr>
                <w:noProof/>
                <w:szCs w:val="24"/>
                <w:lang w:eastAsia="zh-CN"/>
              </w:rPr>
            </w:pPr>
            <w:r w:rsidRPr="00182770">
              <w:rPr>
                <w:noProof/>
                <w:szCs w:val="24"/>
                <w:lang w:eastAsia="zh-CN"/>
              </w:rPr>
              <w:lastRenderedPageBreak/>
              <w:t>SORIN MIHAI GRINDEANU</w:t>
            </w:r>
          </w:p>
          <w:p w14:paraId="53C921CA" w14:textId="5E35DEF9" w:rsidR="00B912DE" w:rsidRDefault="00B912DE" w:rsidP="00B912DE">
            <w:pPr>
              <w:pStyle w:val="NoSpacing"/>
              <w:jc w:val="right"/>
              <w:rPr>
                <w:noProof/>
                <w:lang w:eastAsia="zh-CN"/>
              </w:rPr>
            </w:pPr>
            <w:r w:rsidRPr="00182770">
              <w:rPr>
                <w:noProof/>
                <w:szCs w:val="24"/>
                <w:lang w:eastAsia="zh-CN"/>
              </w:rPr>
              <w:t>Président de l'ANCOM</w:t>
            </w:r>
          </w:p>
        </w:tc>
      </w:tr>
    </w:tbl>
    <w:p w14:paraId="3F74ABB1" w14:textId="77540306" w:rsidR="00AE496F" w:rsidRDefault="00AE49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 w:val="20"/>
          <w:lang w:val="fr-CH"/>
        </w:rPr>
      </w:pPr>
      <w:r>
        <w:rPr>
          <w:sz w:val="20"/>
          <w:lang w:val="fr-CH"/>
        </w:rPr>
        <w:br w:type="page"/>
      </w:r>
    </w:p>
    <w:p w14:paraId="73DE05E5" w14:textId="77777777" w:rsidR="00AE496F" w:rsidRPr="00AE496F" w:rsidRDefault="00FF295A" w:rsidP="00AE496F">
      <w:pPr>
        <w:pStyle w:val="Annextitle"/>
        <w:rPr>
          <w:b w:val="0"/>
          <w:bCs/>
        </w:rPr>
      </w:pPr>
      <w:r w:rsidRPr="00AE496F">
        <w:rPr>
          <w:b w:val="0"/>
          <w:bCs/>
        </w:rPr>
        <w:lastRenderedPageBreak/>
        <w:t>ANNEXE B</w:t>
      </w:r>
      <w:bookmarkStart w:id="9" w:name="Letterhead"/>
      <w:bookmarkEnd w:id="9"/>
    </w:p>
    <w:p w14:paraId="21966E69" w14:textId="575896E3" w:rsidR="00FF295A" w:rsidRPr="00F22103" w:rsidRDefault="00FF295A" w:rsidP="00AE496F">
      <w:pPr>
        <w:pStyle w:val="Annextitle"/>
      </w:pPr>
      <w:r w:rsidRPr="00AE496F">
        <w:rPr>
          <w:b w:val="0"/>
          <w:bCs/>
        </w:rPr>
        <w:t>PROJET DE D</w:t>
      </w:r>
      <w:r w:rsidR="00AE496F" w:rsidRPr="00AE496F">
        <w:rPr>
          <w:b w:val="0"/>
          <w:bCs/>
        </w:rPr>
        <w:t>É</w:t>
      </w:r>
      <w:r w:rsidRPr="00AE496F">
        <w:rPr>
          <w:b w:val="0"/>
          <w:bCs/>
        </w:rPr>
        <w:t>CISION</w:t>
      </w:r>
    </w:p>
    <w:p w14:paraId="231666AC" w14:textId="77777777" w:rsidR="00FF295A" w:rsidRPr="00F22103" w:rsidRDefault="00FF295A" w:rsidP="001A45A8">
      <w:pPr>
        <w:pStyle w:val="Heading1"/>
        <w:spacing w:after="480"/>
        <w:jc w:val="center"/>
      </w:pPr>
      <w:r w:rsidRPr="0031542D">
        <w:t>Convocation de la prochaine Conférence de plénipotentiaires ordinaire</w:t>
      </w:r>
    </w:p>
    <w:p w14:paraId="2D6DABA1" w14:textId="77777777" w:rsidR="00FF295A" w:rsidRPr="00F22103" w:rsidRDefault="00FF295A" w:rsidP="00AE496F">
      <w:r w:rsidRPr="0031542D">
        <w:t>Le Conseil,</w:t>
      </w:r>
    </w:p>
    <w:p w14:paraId="635DFC7A" w14:textId="35805AC2" w:rsidR="00FF295A" w:rsidRPr="00CF2E33" w:rsidRDefault="00CF2E33" w:rsidP="00AE496F">
      <w:pPr>
        <w:rPr>
          <w:i/>
          <w:iCs/>
        </w:rPr>
      </w:pPr>
      <w:r>
        <w:tab/>
      </w:r>
      <w:r w:rsidR="00FF295A" w:rsidRPr="00CF2E33">
        <w:rPr>
          <w:i/>
          <w:iCs/>
        </w:rPr>
        <w:t>notant</w:t>
      </w:r>
    </w:p>
    <w:p w14:paraId="2544BC2D" w14:textId="780BA096" w:rsidR="00FF295A" w:rsidRPr="00F22103" w:rsidRDefault="00FF295A" w:rsidP="00FC7CF1">
      <w:r w:rsidRPr="0031542D">
        <w:t xml:space="preserve">que </w:t>
      </w:r>
      <w:r>
        <w:t>cette</w:t>
      </w:r>
      <w:r w:rsidRPr="0031542D">
        <w:t xml:space="preserve"> </w:t>
      </w:r>
      <w:r>
        <w:t>c</w:t>
      </w:r>
      <w:r w:rsidRPr="0031542D">
        <w:t>onférence a été inscrite au programme des conférences</w:t>
      </w:r>
      <w:r>
        <w:t>, assemblées et forums</w:t>
      </w:r>
      <w:r w:rsidRPr="0031542D">
        <w:t xml:space="preserve"> futurs </w:t>
      </w:r>
      <w:r>
        <w:t>de l'Union (</w:t>
      </w:r>
      <w:r w:rsidR="005132F0">
        <w:t>2019-2023</w:t>
      </w:r>
      <w:r>
        <w:t>) adopté</w:t>
      </w:r>
      <w:r w:rsidRPr="0031542D">
        <w:t xml:space="preserve"> dans</w:t>
      </w:r>
      <w:r>
        <w:t xml:space="preserve"> le cadre de</w:t>
      </w:r>
      <w:r w:rsidRPr="0031542D">
        <w:t xml:space="preserve"> la Résolution 77 (Rév. </w:t>
      </w:r>
      <w:r w:rsidR="005132F0">
        <w:t>Dubaï, 2018</w:t>
      </w:r>
      <w:r w:rsidRPr="0031542D">
        <w:t>) de la Conférence de plénipotentiaires</w:t>
      </w:r>
      <w:r w:rsidRPr="00F22103">
        <w:t>,</w:t>
      </w:r>
    </w:p>
    <w:p w14:paraId="58F3E336" w14:textId="07E9F59E" w:rsidR="00FF295A" w:rsidRPr="00CF2E33" w:rsidRDefault="00CF2E33" w:rsidP="00AE496F">
      <w:pPr>
        <w:rPr>
          <w:i/>
          <w:iCs/>
        </w:rPr>
      </w:pPr>
      <w:r>
        <w:tab/>
      </w:r>
      <w:r w:rsidR="00FF295A" w:rsidRPr="00CF2E33">
        <w:rPr>
          <w:i/>
          <w:iCs/>
        </w:rPr>
        <w:t>décide</w:t>
      </w:r>
    </w:p>
    <w:p w14:paraId="1F6078CB" w14:textId="036595F7" w:rsidR="00FF295A" w:rsidRDefault="00FF295A" w:rsidP="00FC7CF1">
      <w:r>
        <w:t>q</w:t>
      </w:r>
      <w:r w:rsidRPr="0031542D">
        <w:t xml:space="preserve">ue, sous réserve de l'accord de la majorité des </w:t>
      </w:r>
      <w:r w:rsidR="005132F0">
        <w:t>É</w:t>
      </w:r>
      <w:r w:rsidR="005132F0" w:rsidRPr="0031542D">
        <w:t xml:space="preserve">tats </w:t>
      </w:r>
      <w:r w:rsidRPr="0031542D">
        <w:t>Membres de l'Union, la prochaine Conférence de plénipotentiaires ordinaire se tiendra à</w:t>
      </w:r>
      <w:r w:rsidRPr="00F22103">
        <w:t xml:space="preserve"> </w:t>
      </w:r>
      <w:r w:rsidR="00014AE6">
        <w:t>Bucarest (Roumanie) en 2022;</w:t>
      </w:r>
    </w:p>
    <w:p w14:paraId="5306C5FB" w14:textId="3EF6E436" w:rsidR="005132F0" w:rsidRPr="00014AE6" w:rsidRDefault="00014AE6" w:rsidP="00FC7CF1">
      <w:r w:rsidRPr="00014AE6">
        <w:t>que les dates exactes seront arr</w:t>
      </w:r>
      <w:r w:rsidRPr="00182770">
        <w:t xml:space="preserve">êtées </w:t>
      </w:r>
      <w:r w:rsidR="008D4F61">
        <w:t>par le Conseil à s</w:t>
      </w:r>
      <w:r w:rsidR="00CF2E33">
        <w:t>a session de 2020</w:t>
      </w:r>
      <w:r w:rsidR="007F5DF5" w:rsidRPr="00014AE6">
        <w:t>,</w:t>
      </w:r>
    </w:p>
    <w:p w14:paraId="45E61DE7" w14:textId="17E6AF90" w:rsidR="00FF295A" w:rsidRPr="00CF2E33" w:rsidRDefault="00CF2E33" w:rsidP="00AE496F">
      <w:pPr>
        <w:rPr>
          <w:i/>
          <w:iCs/>
        </w:rPr>
      </w:pPr>
      <w:r>
        <w:tab/>
      </w:r>
      <w:r w:rsidR="00FF295A" w:rsidRPr="00CF2E33">
        <w:rPr>
          <w:i/>
          <w:iCs/>
        </w:rPr>
        <w:t>charge le Secrétaire général</w:t>
      </w:r>
    </w:p>
    <w:p w14:paraId="2815FA17" w14:textId="4B97DF5E" w:rsidR="00FF295A" w:rsidRDefault="00AB167B" w:rsidP="00AB167B">
      <w:r>
        <w:t>d'effectuer</w:t>
      </w:r>
      <w:r w:rsidR="00820D0E">
        <w:t xml:space="preserve"> une visite sur </w:t>
      </w:r>
      <w:r>
        <w:t xml:space="preserve">place </w:t>
      </w:r>
      <w:r w:rsidR="00820D0E">
        <w:t>et de faire rapport au Conseil à sa session de 2020</w:t>
      </w:r>
      <w:r w:rsidR="00FF295A">
        <w:t>.</w:t>
      </w:r>
    </w:p>
    <w:p w14:paraId="69785832" w14:textId="77777777" w:rsidR="00AE496F" w:rsidRDefault="00AE496F" w:rsidP="00411C49">
      <w:pPr>
        <w:pStyle w:val="Reasons"/>
      </w:pPr>
    </w:p>
    <w:p w14:paraId="6190ED57" w14:textId="50DB2916" w:rsidR="00FF295A" w:rsidRPr="00CA08ED" w:rsidRDefault="00AE496F" w:rsidP="0063618E">
      <w:pPr>
        <w:jc w:val="center"/>
      </w:pPr>
      <w:r>
        <w:t>______________</w:t>
      </w:r>
    </w:p>
    <w:sectPr w:rsidR="00FF295A" w:rsidRPr="00CA08ED" w:rsidSect="005C389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53AC0" w14:textId="77777777" w:rsidR="00FF295A" w:rsidRDefault="00FF295A">
      <w:r>
        <w:separator/>
      </w:r>
    </w:p>
  </w:endnote>
  <w:endnote w:type="continuationSeparator" w:id="0">
    <w:p w14:paraId="13DE5E3D" w14:textId="77777777" w:rsidR="00FF295A" w:rsidRDefault="00FF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3ABDC" w14:textId="48B31AA1" w:rsidR="00732045" w:rsidRDefault="005360ED">
    <w:pPr>
      <w:pStyle w:val="Footer"/>
    </w:pPr>
    <w:fldSimple w:instr=" FILENAME \p \* MERGEFORMAT ">
      <w:r w:rsidR="00AE33C4">
        <w:t>P:\FRA\SG\CONSEIL\C19\000\055F.docx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7F3DFA">
      <w:t>15.05.19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AE33C4">
      <w:t>14.05.19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E1009" w14:textId="51C604B6" w:rsidR="00732045" w:rsidRPr="007F3DFA" w:rsidRDefault="005360ED" w:rsidP="005C68B0">
    <w:pPr>
      <w:pStyle w:val="Footer"/>
      <w:rPr>
        <w:color w:val="D9D9D9" w:themeColor="background1" w:themeShade="D9"/>
      </w:rPr>
    </w:pPr>
    <w:r w:rsidRPr="007F3DFA">
      <w:rPr>
        <w:color w:val="D9D9D9" w:themeColor="background1" w:themeShade="D9"/>
      </w:rPr>
      <w:fldChar w:fldCharType="begin"/>
    </w:r>
    <w:r w:rsidRPr="007F3DFA">
      <w:rPr>
        <w:color w:val="D9D9D9" w:themeColor="background1" w:themeShade="D9"/>
      </w:rPr>
      <w:instrText xml:space="preserve"> FILENAME \p  \* MERGEFORMAT </w:instrText>
    </w:r>
    <w:r w:rsidRPr="007F3DFA">
      <w:rPr>
        <w:color w:val="D9D9D9" w:themeColor="background1" w:themeShade="D9"/>
      </w:rPr>
      <w:fldChar w:fldCharType="separate"/>
    </w:r>
    <w:r w:rsidR="00AE33C4" w:rsidRPr="007F3DFA">
      <w:rPr>
        <w:color w:val="D9D9D9" w:themeColor="background1" w:themeShade="D9"/>
      </w:rPr>
      <w:t>P:\FRA\SG\CONSEIL\C19\000\055F.docx</w:t>
    </w:r>
    <w:r w:rsidRPr="007F3DFA">
      <w:rPr>
        <w:color w:val="D9D9D9" w:themeColor="background1" w:themeShade="D9"/>
      </w:rPr>
      <w:fldChar w:fldCharType="end"/>
    </w:r>
    <w:r w:rsidR="005C68B0" w:rsidRPr="007F3DFA">
      <w:rPr>
        <w:color w:val="D9D9D9" w:themeColor="background1" w:themeShade="D9"/>
      </w:rPr>
      <w:t xml:space="preserve"> (453345)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CA7D6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D8F50" w14:textId="77777777" w:rsidR="00FF295A" w:rsidRDefault="00FF295A">
      <w:r>
        <w:t>____________________</w:t>
      </w:r>
    </w:p>
  </w:footnote>
  <w:footnote w:type="continuationSeparator" w:id="0">
    <w:p w14:paraId="2FD7E6A0" w14:textId="77777777" w:rsidR="00FF295A" w:rsidRDefault="00FF2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9E9C2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A96961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4FAC0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7F3DFA">
      <w:rPr>
        <w:noProof/>
      </w:rPr>
      <w:t>2</w:t>
    </w:r>
    <w:r>
      <w:rPr>
        <w:noProof/>
      </w:rPr>
      <w:fldChar w:fldCharType="end"/>
    </w:r>
  </w:p>
  <w:p w14:paraId="46E45E1C" w14:textId="77777777" w:rsidR="00732045" w:rsidRDefault="00732045" w:rsidP="00194125">
    <w:pPr>
      <w:pStyle w:val="Header"/>
    </w:pPr>
    <w:r>
      <w:t>C1</w:t>
    </w:r>
    <w:r w:rsidR="00106B19">
      <w:t>9</w:t>
    </w:r>
    <w:r>
      <w:t>/</w:t>
    </w:r>
    <w:r w:rsidR="00406D3E">
      <w:t>55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5A"/>
    <w:rsid w:val="00013903"/>
    <w:rsid w:val="00014AE6"/>
    <w:rsid w:val="00015692"/>
    <w:rsid w:val="000202DD"/>
    <w:rsid w:val="00041EDB"/>
    <w:rsid w:val="0006643D"/>
    <w:rsid w:val="000932FE"/>
    <w:rsid w:val="000D0D0A"/>
    <w:rsid w:val="00103163"/>
    <w:rsid w:val="00106B19"/>
    <w:rsid w:val="00115D93"/>
    <w:rsid w:val="00117998"/>
    <w:rsid w:val="001247A8"/>
    <w:rsid w:val="001378C0"/>
    <w:rsid w:val="00182770"/>
    <w:rsid w:val="0018694A"/>
    <w:rsid w:val="00194125"/>
    <w:rsid w:val="001A3287"/>
    <w:rsid w:val="001A45A8"/>
    <w:rsid w:val="001A6508"/>
    <w:rsid w:val="001B1AB9"/>
    <w:rsid w:val="001B6373"/>
    <w:rsid w:val="001D4C31"/>
    <w:rsid w:val="001E4D21"/>
    <w:rsid w:val="00207AFB"/>
    <w:rsid w:val="00207CD1"/>
    <w:rsid w:val="002413B5"/>
    <w:rsid w:val="002477A2"/>
    <w:rsid w:val="00263A51"/>
    <w:rsid w:val="002644C2"/>
    <w:rsid w:val="00265DA3"/>
    <w:rsid w:val="00267E02"/>
    <w:rsid w:val="00274506"/>
    <w:rsid w:val="002A3B98"/>
    <w:rsid w:val="002A5D44"/>
    <w:rsid w:val="002A7638"/>
    <w:rsid w:val="002C3A2E"/>
    <w:rsid w:val="002E0BC4"/>
    <w:rsid w:val="002F1B76"/>
    <w:rsid w:val="0033568E"/>
    <w:rsid w:val="00352757"/>
    <w:rsid w:val="00355285"/>
    <w:rsid w:val="00355FF5"/>
    <w:rsid w:val="00361350"/>
    <w:rsid w:val="00362825"/>
    <w:rsid w:val="0037761F"/>
    <w:rsid w:val="003A426B"/>
    <w:rsid w:val="003C3FAE"/>
    <w:rsid w:val="003D680D"/>
    <w:rsid w:val="004038CB"/>
    <w:rsid w:val="0040546F"/>
    <w:rsid w:val="00406D3E"/>
    <w:rsid w:val="00412D86"/>
    <w:rsid w:val="0042404A"/>
    <w:rsid w:val="0044618F"/>
    <w:rsid w:val="0046769A"/>
    <w:rsid w:val="00475FB3"/>
    <w:rsid w:val="00495126"/>
    <w:rsid w:val="004B516B"/>
    <w:rsid w:val="004C37A9"/>
    <w:rsid w:val="004F259E"/>
    <w:rsid w:val="00511F1D"/>
    <w:rsid w:val="005132F0"/>
    <w:rsid w:val="00520F36"/>
    <w:rsid w:val="00522C64"/>
    <w:rsid w:val="005360ED"/>
    <w:rsid w:val="00540615"/>
    <w:rsid w:val="00540A6D"/>
    <w:rsid w:val="00563AA5"/>
    <w:rsid w:val="00571EEA"/>
    <w:rsid w:val="00575417"/>
    <w:rsid w:val="005768E1"/>
    <w:rsid w:val="005A03A5"/>
    <w:rsid w:val="005B1938"/>
    <w:rsid w:val="005C3890"/>
    <w:rsid w:val="005C68B0"/>
    <w:rsid w:val="005F7BFE"/>
    <w:rsid w:val="00600017"/>
    <w:rsid w:val="006235CA"/>
    <w:rsid w:val="0063618E"/>
    <w:rsid w:val="0065627E"/>
    <w:rsid w:val="006643AB"/>
    <w:rsid w:val="006C76EF"/>
    <w:rsid w:val="00706B7E"/>
    <w:rsid w:val="007210CD"/>
    <w:rsid w:val="00732045"/>
    <w:rsid w:val="007369DB"/>
    <w:rsid w:val="007956C2"/>
    <w:rsid w:val="007A187E"/>
    <w:rsid w:val="007A61E6"/>
    <w:rsid w:val="007C72C2"/>
    <w:rsid w:val="007D4436"/>
    <w:rsid w:val="007F257A"/>
    <w:rsid w:val="007F3665"/>
    <w:rsid w:val="007F3DFA"/>
    <w:rsid w:val="007F5DF5"/>
    <w:rsid w:val="00800037"/>
    <w:rsid w:val="00820D0E"/>
    <w:rsid w:val="00826943"/>
    <w:rsid w:val="00826D72"/>
    <w:rsid w:val="008270D0"/>
    <w:rsid w:val="0084162D"/>
    <w:rsid w:val="00861D73"/>
    <w:rsid w:val="00877C1B"/>
    <w:rsid w:val="008A4E87"/>
    <w:rsid w:val="008D4F61"/>
    <w:rsid w:val="008D76E6"/>
    <w:rsid w:val="008E0C2C"/>
    <w:rsid w:val="00914AC6"/>
    <w:rsid w:val="0092392D"/>
    <w:rsid w:val="0093234A"/>
    <w:rsid w:val="00973F50"/>
    <w:rsid w:val="009B08D6"/>
    <w:rsid w:val="009C307F"/>
    <w:rsid w:val="009F0D7D"/>
    <w:rsid w:val="00A2113E"/>
    <w:rsid w:val="00A23A51"/>
    <w:rsid w:val="00A24607"/>
    <w:rsid w:val="00A25CD3"/>
    <w:rsid w:val="00A344D4"/>
    <w:rsid w:val="00A82767"/>
    <w:rsid w:val="00AA332F"/>
    <w:rsid w:val="00AA7BBB"/>
    <w:rsid w:val="00AB167B"/>
    <w:rsid w:val="00AB64A8"/>
    <w:rsid w:val="00AC0266"/>
    <w:rsid w:val="00AC3D59"/>
    <w:rsid w:val="00AD24EC"/>
    <w:rsid w:val="00AE33C4"/>
    <w:rsid w:val="00AE496F"/>
    <w:rsid w:val="00B26870"/>
    <w:rsid w:val="00B309F9"/>
    <w:rsid w:val="00B3150C"/>
    <w:rsid w:val="00B32B60"/>
    <w:rsid w:val="00B40E42"/>
    <w:rsid w:val="00B46C5B"/>
    <w:rsid w:val="00B61619"/>
    <w:rsid w:val="00B912DE"/>
    <w:rsid w:val="00BB4545"/>
    <w:rsid w:val="00BC0F43"/>
    <w:rsid w:val="00BD5873"/>
    <w:rsid w:val="00BE6DF7"/>
    <w:rsid w:val="00C04BE3"/>
    <w:rsid w:val="00C25D29"/>
    <w:rsid w:val="00C272D0"/>
    <w:rsid w:val="00C27A7C"/>
    <w:rsid w:val="00C4438A"/>
    <w:rsid w:val="00CA08ED"/>
    <w:rsid w:val="00CA4474"/>
    <w:rsid w:val="00CC055C"/>
    <w:rsid w:val="00CD6D44"/>
    <w:rsid w:val="00CF183B"/>
    <w:rsid w:val="00CF2E33"/>
    <w:rsid w:val="00D375CD"/>
    <w:rsid w:val="00D46164"/>
    <w:rsid w:val="00D553A2"/>
    <w:rsid w:val="00D774D3"/>
    <w:rsid w:val="00D904E8"/>
    <w:rsid w:val="00DA08C3"/>
    <w:rsid w:val="00DA5EDB"/>
    <w:rsid w:val="00DB5A3E"/>
    <w:rsid w:val="00DC2288"/>
    <w:rsid w:val="00DC22AA"/>
    <w:rsid w:val="00DD1BE9"/>
    <w:rsid w:val="00DF74DD"/>
    <w:rsid w:val="00E25AD0"/>
    <w:rsid w:val="00E6261F"/>
    <w:rsid w:val="00EB6350"/>
    <w:rsid w:val="00F15AF0"/>
    <w:rsid w:val="00F15B57"/>
    <w:rsid w:val="00F427DB"/>
    <w:rsid w:val="00F47512"/>
    <w:rsid w:val="00FA5EB1"/>
    <w:rsid w:val="00FA7439"/>
    <w:rsid w:val="00FC4EC0"/>
    <w:rsid w:val="00FC7CF1"/>
    <w:rsid w:val="00FD20EC"/>
    <w:rsid w:val="00FE0881"/>
    <w:rsid w:val="00FF0181"/>
    <w:rsid w:val="00F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AA9D12C"/>
  <w15:docId w15:val="{76253867-6EE7-4CEC-B0CC-7AC9FB2B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522C6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2C64"/>
    <w:rPr>
      <w:rFonts w:ascii="Segoe UI" w:hAnsi="Segoe UI" w:cs="Segoe UI"/>
      <w:sz w:val="18"/>
      <w:szCs w:val="18"/>
      <w:lang w:val="fr-FR" w:eastAsia="en-US"/>
    </w:rPr>
  </w:style>
  <w:style w:type="paragraph" w:styleId="Date">
    <w:name w:val="Date"/>
    <w:basedOn w:val="Normal"/>
    <w:next w:val="Normal"/>
    <w:link w:val="DateChar"/>
    <w:rsid w:val="00BE6DF7"/>
  </w:style>
  <w:style w:type="character" w:customStyle="1" w:styleId="DateChar">
    <w:name w:val="Date Char"/>
    <w:basedOn w:val="DefaultParagraphFont"/>
    <w:link w:val="Date"/>
    <w:rsid w:val="00BE6DF7"/>
    <w:rPr>
      <w:rFonts w:ascii="Calibri" w:hAnsi="Calibri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6562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627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627E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6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627E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65627E"/>
    <w:rPr>
      <w:rFonts w:ascii="Calibri" w:hAnsi="Calibri"/>
      <w:sz w:val="24"/>
      <w:lang w:val="fr-FR" w:eastAsia="en-US"/>
    </w:rPr>
  </w:style>
  <w:style w:type="paragraph" w:styleId="NoSpacing">
    <w:name w:val="No Spacing"/>
    <w:uiPriority w:val="1"/>
    <w:qFormat/>
    <w:rsid w:val="00207AF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4"/>
      <w:lang w:val="fr-FR" w:eastAsia="en-US"/>
    </w:rPr>
  </w:style>
  <w:style w:type="table" w:styleId="TableGrid">
    <w:name w:val="Table Grid"/>
    <w:basedOn w:val="TableNormal"/>
    <w:rsid w:val="00B9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077-F.pdf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en/council/2019/Documents/basic-texts/Convention-F.pd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y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1</TotalTime>
  <Pages>4</Pages>
  <Words>826</Words>
  <Characters>4615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5431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Lamy, Sylvie</dc:creator>
  <cp:keywords>C2018, C18</cp:keywords>
  <dc:description/>
  <cp:lastModifiedBy>Brouard, Ricarda</cp:lastModifiedBy>
  <cp:revision>2</cp:revision>
  <cp:lastPrinted>2019-05-14T14:22:00Z</cp:lastPrinted>
  <dcterms:created xsi:type="dcterms:W3CDTF">2019-05-15T07:40:00Z</dcterms:created>
  <dcterms:modified xsi:type="dcterms:W3CDTF">2019-05-15T07:40:00Z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