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8A63D4">
        <w:trPr>
          <w:cantSplit/>
        </w:trPr>
        <w:tc>
          <w:tcPr>
            <w:tcW w:w="6911" w:type="dxa"/>
          </w:tcPr>
          <w:p w:rsidR="00BC7BC0" w:rsidRPr="008A63D4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8A63D4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8A63D4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 w:rsidRPr="008A63D4">
              <w:rPr>
                <w:b/>
                <w:smallCaps/>
                <w:sz w:val="28"/>
                <w:szCs w:val="28"/>
                <w:lang w:val="ru-RU"/>
              </w:rPr>
              <w:t>9</w:t>
            </w:r>
            <w:r w:rsidRPr="008A63D4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8A63D4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8A63D4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8A63D4">
              <w:rPr>
                <w:b/>
                <w:bCs/>
                <w:szCs w:val="22"/>
                <w:lang w:val="ru-RU"/>
              </w:rPr>
              <w:t>10–20 июня</w:t>
            </w:r>
            <w:r w:rsidR="005B3DEC" w:rsidRPr="008A63D4">
              <w:rPr>
                <w:b/>
                <w:bCs/>
                <w:lang w:val="ru-RU"/>
              </w:rPr>
              <w:t xml:space="preserve"> </w:t>
            </w:r>
            <w:r w:rsidR="00225368" w:rsidRPr="008A63D4">
              <w:rPr>
                <w:b/>
                <w:bCs/>
                <w:lang w:val="ru-RU"/>
              </w:rPr>
              <w:t>201</w:t>
            </w:r>
            <w:r w:rsidR="005B3DEC" w:rsidRPr="008A63D4">
              <w:rPr>
                <w:b/>
                <w:bCs/>
                <w:lang w:val="ru-RU"/>
              </w:rPr>
              <w:t>9</w:t>
            </w:r>
            <w:r w:rsidR="00225368" w:rsidRPr="008A63D4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8A63D4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8A63D4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8A63D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8A63D4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8A63D4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8A63D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8A63D4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8A63D4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8A63D4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8A63D4" w:rsidRDefault="00BC7BC0" w:rsidP="00BC0798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8A63D4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8A63D4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BC0798" w:rsidRPr="008A63D4">
              <w:rPr>
                <w:b/>
                <w:lang w:val="ru-RU"/>
              </w:rPr>
              <w:t>ADM 8</w:t>
            </w:r>
          </w:p>
        </w:tc>
        <w:tc>
          <w:tcPr>
            <w:tcW w:w="3120" w:type="dxa"/>
          </w:tcPr>
          <w:p w:rsidR="00BC7BC0" w:rsidRPr="008A63D4" w:rsidRDefault="00BC7BC0" w:rsidP="00BC0798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8A63D4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8A63D4">
              <w:rPr>
                <w:b/>
                <w:bCs/>
                <w:szCs w:val="22"/>
                <w:lang w:val="ru-RU"/>
              </w:rPr>
              <w:t>1</w:t>
            </w:r>
            <w:r w:rsidR="005B3DEC" w:rsidRPr="008A63D4">
              <w:rPr>
                <w:b/>
                <w:bCs/>
                <w:szCs w:val="22"/>
                <w:lang w:val="ru-RU"/>
              </w:rPr>
              <w:t>9</w:t>
            </w:r>
            <w:r w:rsidRPr="008A63D4">
              <w:rPr>
                <w:b/>
                <w:bCs/>
                <w:szCs w:val="22"/>
                <w:lang w:val="ru-RU"/>
              </w:rPr>
              <w:t>/</w:t>
            </w:r>
            <w:r w:rsidR="00BC0798" w:rsidRPr="008A63D4">
              <w:rPr>
                <w:b/>
                <w:bCs/>
                <w:szCs w:val="22"/>
                <w:lang w:val="ru-RU"/>
              </w:rPr>
              <w:t>52</w:t>
            </w:r>
            <w:r w:rsidRPr="008A63D4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8A63D4">
        <w:trPr>
          <w:cantSplit/>
          <w:trHeight w:val="23"/>
        </w:trPr>
        <w:tc>
          <w:tcPr>
            <w:tcW w:w="6911" w:type="dxa"/>
            <w:vMerge/>
          </w:tcPr>
          <w:p w:rsidR="00BC7BC0" w:rsidRPr="008A63D4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8A63D4" w:rsidRDefault="00BC0798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8A63D4">
              <w:rPr>
                <w:b/>
                <w:bCs/>
                <w:szCs w:val="22"/>
                <w:lang w:val="ru-RU"/>
              </w:rPr>
              <w:t>18 апреля</w:t>
            </w:r>
            <w:r w:rsidR="00EB4FCB" w:rsidRPr="008A63D4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8A63D4">
              <w:rPr>
                <w:b/>
                <w:bCs/>
                <w:szCs w:val="22"/>
                <w:lang w:val="ru-RU"/>
              </w:rPr>
              <w:t>20</w:t>
            </w:r>
            <w:r w:rsidR="003F099E" w:rsidRPr="008A63D4">
              <w:rPr>
                <w:b/>
                <w:bCs/>
                <w:szCs w:val="22"/>
                <w:lang w:val="ru-RU"/>
              </w:rPr>
              <w:t>1</w:t>
            </w:r>
            <w:r w:rsidR="005B3DEC" w:rsidRPr="008A63D4">
              <w:rPr>
                <w:b/>
                <w:bCs/>
                <w:szCs w:val="22"/>
                <w:lang w:val="ru-RU"/>
              </w:rPr>
              <w:t>9</w:t>
            </w:r>
            <w:r w:rsidR="00BC7BC0" w:rsidRPr="008A63D4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8A63D4">
        <w:trPr>
          <w:cantSplit/>
          <w:trHeight w:val="23"/>
        </w:trPr>
        <w:tc>
          <w:tcPr>
            <w:tcW w:w="6911" w:type="dxa"/>
            <w:vMerge/>
          </w:tcPr>
          <w:p w:rsidR="00BC7BC0" w:rsidRPr="008A63D4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8A63D4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8A63D4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8A63D4">
        <w:trPr>
          <w:cantSplit/>
        </w:trPr>
        <w:tc>
          <w:tcPr>
            <w:tcW w:w="10031" w:type="dxa"/>
            <w:gridSpan w:val="2"/>
          </w:tcPr>
          <w:p w:rsidR="00BC7BC0" w:rsidRPr="008A63D4" w:rsidRDefault="00BC0798" w:rsidP="00BC0798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8A63D4">
              <w:rPr>
                <w:lang w:val="ru-RU"/>
              </w:rPr>
              <w:t>Отчет</w:t>
            </w:r>
            <w:r w:rsidR="00BC7BC0" w:rsidRPr="008A63D4">
              <w:rPr>
                <w:lang w:val="ru-RU"/>
              </w:rPr>
              <w:t xml:space="preserve"> Генерального секретаря</w:t>
            </w:r>
          </w:p>
        </w:tc>
      </w:tr>
      <w:tr w:rsidR="00BC7BC0" w:rsidRPr="00280E02">
        <w:trPr>
          <w:cantSplit/>
        </w:trPr>
        <w:tc>
          <w:tcPr>
            <w:tcW w:w="10031" w:type="dxa"/>
            <w:gridSpan w:val="2"/>
          </w:tcPr>
          <w:p w:rsidR="00BC7BC0" w:rsidRPr="008A63D4" w:rsidRDefault="00BC0798" w:rsidP="00BC0798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8A63D4">
              <w:rPr>
                <w:lang w:val="ru-RU"/>
              </w:rPr>
              <w:t>ПОВЫШЕНИЕ ЭФФЕКТИВНОСТИ УПРАВЛЕНИЯ ПОКРЫТИЕМ РАСХОДОВ МСЭ</w:t>
            </w:r>
            <w:r w:rsidRPr="008A63D4">
              <w:rPr>
                <w:lang w:val="ru-RU"/>
              </w:rPr>
              <w:br/>
              <w:t>ЧЛЕНАМИ СЕКТОРОВ, АССОЦИИРОВАННЫМИ ЧЛЕНАМИ</w:t>
            </w:r>
            <w:r w:rsidRPr="008A63D4">
              <w:rPr>
                <w:lang w:val="ru-RU"/>
              </w:rPr>
              <w:br/>
              <w:t>И АКАДЕМИЧЕСКИМИ ОРГАНИЗАЦИЯМИ И КОНТРОЛЯ ЗА НИМ</w:t>
            </w:r>
          </w:p>
        </w:tc>
      </w:tr>
      <w:bookmarkEnd w:id="2"/>
    </w:tbl>
    <w:p w:rsidR="002D2F57" w:rsidRPr="008A63D4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280E02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8A63D4" w:rsidRDefault="002D2F57">
            <w:pPr>
              <w:pStyle w:val="Headingb"/>
              <w:rPr>
                <w:szCs w:val="22"/>
                <w:lang w:val="ru-RU"/>
              </w:rPr>
            </w:pPr>
            <w:r w:rsidRPr="008A63D4">
              <w:rPr>
                <w:szCs w:val="22"/>
                <w:lang w:val="ru-RU"/>
              </w:rPr>
              <w:t>Резюме</w:t>
            </w:r>
          </w:p>
          <w:p w:rsidR="00BC0798" w:rsidRPr="008A63D4" w:rsidRDefault="00BC0798" w:rsidP="00BC0798">
            <w:pPr>
              <w:rPr>
                <w:szCs w:val="22"/>
                <w:lang w:val="ru-RU"/>
              </w:rPr>
            </w:pPr>
            <w:r w:rsidRPr="008A63D4">
              <w:rPr>
                <w:szCs w:val="22"/>
                <w:lang w:val="ru-RU"/>
              </w:rPr>
              <w:t xml:space="preserve">В </w:t>
            </w:r>
            <w:r w:rsidR="00280E02">
              <w:rPr>
                <w:rStyle w:val="Hyperlink"/>
                <w:rFonts w:asciiTheme="minorHAnsi" w:hAnsiTheme="minorHAnsi"/>
                <w:szCs w:val="22"/>
                <w:lang w:val="ru-RU"/>
              </w:rPr>
              <w:fldChar w:fldCharType="begin"/>
            </w:r>
            <w:r w:rsidR="00280E02">
              <w:rPr>
                <w:rStyle w:val="Hyperlink"/>
                <w:rFonts w:asciiTheme="minorHAnsi" w:hAnsiTheme="minorHAnsi"/>
                <w:szCs w:val="22"/>
                <w:lang w:val="ru-RU"/>
              </w:rPr>
              <w:instrText>HYPERLINK "https://www.itu.int/en/council/Documents/basic-texts/RES-152-R.pdf"</w:instrText>
            </w:r>
            <w:r w:rsidR="00280E02">
              <w:rPr>
                <w:rStyle w:val="Hyperlink"/>
                <w:rFonts w:asciiTheme="minorHAnsi" w:hAnsiTheme="minorHAnsi"/>
                <w:szCs w:val="22"/>
                <w:lang w:val="ru-RU"/>
              </w:rPr>
            </w:r>
            <w:r w:rsidR="00280E02">
              <w:rPr>
                <w:rStyle w:val="Hyperlink"/>
                <w:rFonts w:asciiTheme="minorHAnsi" w:hAnsiTheme="minorHAnsi"/>
                <w:szCs w:val="22"/>
                <w:lang w:val="ru-RU"/>
              </w:rPr>
              <w:fldChar w:fldCharType="separate"/>
            </w:r>
            <w:r w:rsidRPr="008A63D4">
              <w:rPr>
                <w:rStyle w:val="Hyperlink"/>
                <w:rFonts w:asciiTheme="minorHAnsi" w:hAnsiTheme="minorHAnsi"/>
                <w:szCs w:val="22"/>
                <w:lang w:val="ru-RU"/>
              </w:rPr>
              <w:t>Резолюции 152 (Пересм. Пусан, 2014 г.)</w:t>
            </w:r>
            <w:r w:rsidR="00280E02">
              <w:rPr>
                <w:rStyle w:val="Hyperlink"/>
                <w:rFonts w:asciiTheme="minorHAnsi" w:hAnsiTheme="minorHAnsi"/>
                <w:szCs w:val="22"/>
                <w:lang w:val="ru-RU"/>
              </w:rPr>
              <w:fldChar w:fldCharType="end"/>
            </w:r>
            <w:r w:rsidRPr="008A63D4">
              <w:rPr>
                <w:szCs w:val="22"/>
                <w:lang w:val="ru-RU"/>
              </w:rPr>
              <w:t xml:space="preserve"> Полномочная конференция поручила Генеральному секретарю на основе консультаций с Директорами Бюро представлять Совету отчет об управлении покрытием расходов МСЭ Членами Секторов и Ассоциированными членами и контроле за ним с указанием любых возможных проблем и в случае необходимости с предложением дальнейших улучшений.</w:t>
            </w:r>
          </w:p>
          <w:p w:rsidR="00BC0798" w:rsidRPr="008A63D4" w:rsidRDefault="00BC0798" w:rsidP="003B6FAC">
            <w:pPr>
              <w:rPr>
                <w:szCs w:val="22"/>
                <w:lang w:val="ru-RU"/>
              </w:rPr>
            </w:pPr>
            <w:r w:rsidRPr="008A63D4">
              <w:rPr>
                <w:szCs w:val="22"/>
                <w:lang w:val="ru-RU"/>
              </w:rPr>
              <w:t>После сессии Совета 2011 года Генеральн</w:t>
            </w:r>
            <w:r w:rsidR="00581A60" w:rsidRPr="008A63D4">
              <w:rPr>
                <w:szCs w:val="22"/>
                <w:lang w:val="ru-RU"/>
              </w:rPr>
              <w:t>ому секретарю была</w:t>
            </w:r>
            <w:r w:rsidRPr="008A63D4">
              <w:rPr>
                <w:szCs w:val="22"/>
                <w:lang w:val="ru-RU"/>
              </w:rPr>
              <w:t xml:space="preserve"> </w:t>
            </w:r>
            <w:r w:rsidR="00581A60" w:rsidRPr="008A63D4">
              <w:rPr>
                <w:szCs w:val="22"/>
                <w:lang w:val="ru-RU"/>
              </w:rPr>
              <w:t>предоставлена</w:t>
            </w:r>
            <w:r w:rsidRPr="008A63D4">
              <w:rPr>
                <w:szCs w:val="22"/>
                <w:lang w:val="ru-RU"/>
              </w:rPr>
              <w:t xml:space="preserve"> дополнительн</w:t>
            </w:r>
            <w:r w:rsidR="00512E24" w:rsidRPr="008A63D4">
              <w:rPr>
                <w:szCs w:val="22"/>
                <w:lang w:val="ru-RU"/>
              </w:rPr>
              <w:t>ая</w:t>
            </w:r>
            <w:r w:rsidRPr="008A63D4">
              <w:rPr>
                <w:szCs w:val="22"/>
                <w:lang w:val="ru-RU"/>
              </w:rPr>
              <w:t xml:space="preserve"> гибкость при выполнении Резолюции 152 (Пересм. Гвадалахара, 2010 г.) в отношении положения об автоматическом исключении </w:t>
            </w:r>
            <w:r w:rsidR="00B561FA" w:rsidRPr="008A63D4">
              <w:rPr>
                <w:szCs w:val="22"/>
                <w:lang w:val="ru-RU"/>
              </w:rPr>
              <w:t>в целях сохранения имеющихся Членов и упрощения взыскания просроченных долгов</w:t>
            </w:r>
            <w:r w:rsidRPr="008A63D4">
              <w:rPr>
                <w:szCs w:val="22"/>
                <w:lang w:val="ru-RU"/>
              </w:rPr>
              <w:t xml:space="preserve">. Полномочная конференция (Пусан, 2014 г.) </w:t>
            </w:r>
            <w:r w:rsidR="003B6FAC" w:rsidRPr="008A63D4">
              <w:rPr>
                <w:szCs w:val="22"/>
                <w:lang w:val="ru-RU"/>
              </w:rPr>
              <w:t>внесла изменения в Резолюцию 152 с учетом этой гибкости</w:t>
            </w:r>
            <w:r w:rsidRPr="008A63D4">
              <w:rPr>
                <w:szCs w:val="22"/>
                <w:lang w:val="ru-RU"/>
              </w:rPr>
              <w:t>.</w:t>
            </w:r>
          </w:p>
          <w:p w:rsidR="002D2F57" w:rsidRPr="008A63D4" w:rsidRDefault="002D2F57" w:rsidP="00E55121">
            <w:pPr>
              <w:pStyle w:val="Headingb"/>
              <w:rPr>
                <w:lang w:val="ru-RU"/>
              </w:rPr>
            </w:pPr>
            <w:r w:rsidRPr="008A63D4">
              <w:rPr>
                <w:lang w:val="ru-RU"/>
              </w:rPr>
              <w:t xml:space="preserve">Необходимые </w:t>
            </w:r>
            <w:r w:rsidR="00F5225B" w:rsidRPr="008A63D4">
              <w:rPr>
                <w:lang w:val="ru-RU"/>
              </w:rPr>
              <w:t>действия</w:t>
            </w:r>
          </w:p>
          <w:p w:rsidR="00BC0798" w:rsidRPr="008A63D4" w:rsidRDefault="00BC0798" w:rsidP="00BC0798">
            <w:pPr>
              <w:jc w:val="both"/>
              <w:rPr>
                <w:lang w:val="ru-RU"/>
              </w:rPr>
            </w:pPr>
            <w:r w:rsidRPr="008A63D4">
              <w:rPr>
                <w:szCs w:val="22"/>
                <w:lang w:val="ru-RU"/>
              </w:rPr>
              <w:t xml:space="preserve">Совету предлагается </w:t>
            </w:r>
            <w:r w:rsidRPr="008A63D4">
              <w:rPr>
                <w:b/>
                <w:bCs/>
                <w:szCs w:val="22"/>
                <w:lang w:val="ru-RU"/>
              </w:rPr>
              <w:t>принять к сведению</w:t>
            </w:r>
            <w:r w:rsidRPr="008A63D4">
              <w:rPr>
                <w:szCs w:val="22"/>
                <w:lang w:val="ru-RU"/>
              </w:rPr>
              <w:t xml:space="preserve"> отчет Генерального секретаря о повышении эффективности управления покрытием расходов МСЭ Членами Секторов, Ассоциированными членами и Академическими организациями и контроля за ним, а также </w:t>
            </w:r>
            <w:r w:rsidRPr="008A63D4">
              <w:rPr>
                <w:b/>
                <w:bCs/>
                <w:szCs w:val="22"/>
                <w:lang w:val="ru-RU"/>
              </w:rPr>
              <w:t>поддержать</w:t>
            </w:r>
            <w:r w:rsidRPr="008A63D4">
              <w:rPr>
                <w:szCs w:val="22"/>
                <w:lang w:val="ru-RU"/>
              </w:rPr>
              <w:t xml:space="preserve"> рекомендации, содержащиеся в разделе 4.</w:t>
            </w:r>
          </w:p>
          <w:p w:rsidR="002D2F57" w:rsidRPr="008A63D4" w:rsidRDefault="002D2F57" w:rsidP="00BC0798">
            <w:pPr>
              <w:spacing w:after="120"/>
              <w:jc w:val="center"/>
              <w:rPr>
                <w:caps/>
                <w:szCs w:val="22"/>
                <w:lang w:val="ru-RU"/>
              </w:rPr>
            </w:pPr>
            <w:r w:rsidRPr="008A63D4">
              <w:rPr>
                <w:caps/>
                <w:szCs w:val="22"/>
                <w:lang w:val="ru-RU"/>
              </w:rPr>
              <w:t>____________</w:t>
            </w:r>
          </w:p>
          <w:p w:rsidR="002D2F57" w:rsidRPr="008A63D4" w:rsidRDefault="002D2F57">
            <w:pPr>
              <w:pStyle w:val="Headingb"/>
              <w:rPr>
                <w:szCs w:val="22"/>
                <w:lang w:val="ru-RU"/>
              </w:rPr>
            </w:pPr>
            <w:r w:rsidRPr="008A63D4">
              <w:rPr>
                <w:szCs w:val="22"/>
                <w:lang w:val="ru-RU"/>
              </w:rPr>
              <w:t>Справочные материалы</w:t>
            </w:r>
          </w:p>
          <w:p w:rsidR="002D2F57" w:rsidRPr="008A63D4" w:rsidRDefault="00BC0798" w:rsidP="00BC0798">
            <w:pPr>
              <w:spacing w:after="120"/>
              <w:rPr>
                <w:i/>
                <w:iCs/>
                <w:lang w:val="ru-RU"/>
              </w:rPr>
            </w:pPr>
            <w:r w:rsidRPr="008A63D4">
              <w:rPr>
                <w:bCs/>
                <w:i/>
                <w:iCs/>
                <w:szCs w:val="22"/>
                <w:lang w:val="ru-RU"/>
              </w:rPr>
              <w:t>К/</w:t>
            </w:r>
            <w:r w:rsidR="00280E02">
              <w:rPr>
                <w:rStyle w:val="Hyperlink"/>
                <w:bCs/>
                <w:i/>
                <w:iCs/>
                <w:szCs w:val="22"/>
                <w:lang w:val="ru-RU"/>
              </w:rPr>
              <w:fldChar w:fldCharType="begin"/>
            </w:r>
            <w:r w:rsidR="00280E02">
              <w:rPr>
                <w:rStyle w:val="Hyperlink"/>
                <w:bCs/>
                <w:i/>
                <w:iCs/>
                <w:szCs w:val="22"/>
                <w:lang w:val="ru-RU"/>
              </w:rPr>
              <w:instrText xml:space="preserve"> HYPERLINK "https://www.itu.int/pub/S-CONF-PLEN-2019" </w:instrText>
            </w:r>
            <w:r w:rsidR="00280E02">
              <w:rPr>
                <w:rStyle w:val="Hyperlink"/>
                <w:bCs/>
                <w:i/>
                <w:iCs/>
                <w:szCs w:val="22"/>
                <w:lang w:val="ru-RU"/>
              </w:rPr>
              <w:fldChar w:fldCharType="separate"/>
            </w:r>
            <w:r w:rsidRPr="008A63D4">
              <w:rPr>
                <w:rStyle w:val="Hyperlink"/>
                <w:bCs/>
                <w:i/>
                <w:iCs/>
                <w:szCs w:val="22"/>
                <w:lang w:val="ru-RU"/>
              </w:rPr>
              <w:t>Статья 19</w:t>
            </w:r>
            <w:r w:rsidR="00280E02">
              <w:rPr>
                <w:rStyle w:val="Hyperlink"/>
                <w:bCs/>
                <w:i/>
                <w:iCs/>
                <w:szCs w:val="22"/>
                <w:lang w:val="ru-RU"/>
              </w:rPr>
              <w:fldChar w:fldCharType="end"/>
            </w:r>
            <w:r w:rsidRPr="008A63D4">
              <w:rPr>
                <w:bCs/>
                <w:i/>
                <w:iCs/>
                <w:szCs w:val="22"/>
                <w:lang w:val="ru-RU"/>
              </w:rPr>
              <w:t xml:space="preserve">, </w:t>
            </w:r>
            <w:hyperlink r:id="rId8" w:history="1">
              <w:r w:rsidRPr="008A63D4">
                <w:rPr>
                  <w:rStyle w:val="Hyperlink"/>
                  <w:bCs/>
                  <w:i/>
                  <w:iCs/>
                  <w:szCs w:val="22"/>
                  <w:lang w:val="ru-RU"/>
                </w:rPr>
                <w:t>К241</w:t>
              </w:r>
            </w:hyperlink>
            <w:r w:rsidRPr="008A63D4">
              <w:rPr>
                <w:bCs/>
                <w:i/>
                <w:iCs/>
                <w:szCs w:val="22"/>
                <w:lang w:val="ru-RU"/>
              </w:rPr>
              <w:t xml:space="preserve">, </w:t>
            </w:r>
            <w:hyperlink r:id="rId9" w:history="1">
              <w:r w:rsidRPr="008A63D4">
                <w:rPr>
                  <w:rStyle w:val="Hyperlink"/>
                  <w:bCs/>
                  <w:i/>
                  <w:iCs/>
                  <w:szCs w:val="22"/>
                  <w:lang w:val="ru-RU"/>
                </w:rPr>
                <w:t>К 241C</w:t>
              </w:r>
            </w:hyperlink>
            <w:r w:rsidRPr="008A63D4">
              <w:rPr>
                <w:bCs/>
                <w:i/>
                <w:iCs/>
                <w:szCs w:val="22"/>
                <w:lang w:val="ru-RU"/>
              </w:rPr>
              <w:t xml:space="preserve">; </w:t>
            </w:r>
            <w:hyperlink r:id="rId10" w:history="1">
              <w:r w:rsidRPr="008A63D4">
                <w:rPr>
                  <w:rStyle w:val="Hyperlink"/>
                  <w:bCs/>
                  <w:i/>
                  <w:iCs/>
                  <w:szCs w:val="22"/>
                  <w:lang w:val="ru-RU"/>
                </w:rPr>
                <w:t>Резолюция 152 (Пересм. Пусан, 2014 г.)</w:t>
              </w:r>
            </w:hyperlink>
            <w:r w:rsidRPr="008A63D4">
              <w:rPr>
                <w:bCs/>
                <w:i/>
                <w:iCs/>
                <w:szCs w:val="22"/>
                <w:lang w:val="ru-RU"/>
              </w:rPr>
              <w:t xml:space="preserve">; </w:t>
            </w:r>
            <w:r w:rsidRPr="008A63D4">
              <w:rPr>
                <w:bCs/>
                <w:i/>
                <w:iCs/>
                <w:szCs w:val="22"/>
                <w:lang w:val="ru-RU"/>
              </w:rPr>
              <w:br/>
              <w:t xml:space="preserve">Документы C93/49, C95/87, C95/112, </w:t>
            </w:r>
            <w:r w:rsidR="00280E02">
              <w:rPr>
                <w:rStyle w:val="Hyperlink"/>
                <w:bCs/>
                <w:i/>
                <w:iCs/>
                <w:szCs w:val="22"/>
                <w:lang w:val="ru-RU"/>
              </w:rPr>
              <w:fldChar w:fldCharType="begin"/>
            </w:r>
            <w:r w:rsidR="00280E02">
              <w:rPr>
                <w:rStyle w:val="Hyperlink"/>
                <w:bCs/>
                <w:i/>
                <w:iCs/>
                <w:szCs w:val="22"/>
                <w:lang w:val="ru-RU"/>
              </w:rPr>
              <w:instrText xml:space="preserve"> HYPERLINK "http://www.itu.int/itudoc/gs/council/c01/docs/034.html" </w:instrText>
            </w:r>
            <w:r w:rsidR="00280E02">
              <w:rPr>
                <w:rStyle w:val="Hyperlink"/>
                <w:bCs/>
                <w:i/>
                <w:iCs/>
                <w:szCs w:val="22"/>
                <w:lang w:val="ru-RU"/>
              </w:rPr>
              <w:fldChar w:fldCharType="separate"/>
            </w:r>
            <w:r w:rsidRPr="008A63D4">
              <w:rPr>
                <w:rStyle w:val="Hyperlink"/>
                <w:bCs/>
                <w:i/>
                <w:iCs/>
                <w:szCs w:val="22"/>
                <w:lang w:val="ru-RU"/>
              </w:rPr>
              <w:t>C01/34</w:t>
            </w:r>
            <w:r w:rsidR="00280E02">
              <w:rPr>
                <w:rStyle w:val="Hyperlink"/>
                <w:bCs/>
                <w:i/>
                <w:iCs/>
                <w:szCs w:val="22"/>
                <w:lang w:val="ru-RU"/>
              </w:rPr>
              <w:fldChar w:fldCharType="end"/>
            </w:r>
            <w:r w:rsidRPr="008A63D4">
              <w:rPr>
                <w:bCs/>
                <w:i/>
                <w:iCs/>
                <w:szCs w:val="22"/>
                <w:lang w:val="ru-RU"/>
              </w:rPr>
              <w:t xml:space="preserve">, </w:t>
            </w:r>
            <w:hyperlink r:id="rId11" w:history="1">
              <w:r w:rsidRPr="008A63D4">
                <w:rPr>
                  <w:rStyle w:val="Hyperlink"/>
                  <w:bCs/>
                  <w:i/>
                  <w:iCs/>
                  <w:szCs w:val="22"/>
                  <w:lang w:val="ru-RU"/>
                </w:rPr>
                <w:t>C06/25</w:t>
              </w:r>
            </w:hyperlink>
            <w:r w:rsidRPr="008A63D4">
              <w:rPr>
                <w:bCs/>
                <w:i/>
                <w:iCs/>
                <w:szCs w:val="22"/>
                <w:lang w:val="ru-RU"/>
              </w:rPr>
              <w:t xml:space="preserve">, </w:t>
            </w:r>
            <w:hyperlink r:id="rId12" w:history="1">
              <w:r w:rsidRPr="008A63D4">
                <w:rPr>
                  <w:rStyle w:val="Hyperlink"/>
                  <w:bCs/>
                  <w:i/>
                  <w:iCs/>
                  <w:szCs w:val="22"/>
                  <w:lang w:val="ru-RU"/>
                </w:rPr>
                <w:t>C07/5(Rev.1)</w:t>
              </w:r>
            </w:hyperlink>
            <w:r w:rsidRPr="008A63D4">
              <w:rPr>
                <w:bCs/>
                <w:i/>
                <w:iCs/>
                <w:szCs w:val="22"/>
                <w:lang w:val="ru-RU"/>
              </w:rPr>
              <w:t xml:space="preserve">, </w:t>
            </w:r>
            <w:hyperlink r:id="rId13" w:history="1">
              <w:r w:rsidRPr="008A63D4">
                <w:rPr>
                  <w:rStyle w:val="Hyperlink"/>
                  <w:bCs/>
                  <w:i/>
                  <w:iCs/>
                  <w:szCs w:val="22"/>
                  <w:lang w:val="ru-RU"/>
                </w:rPr>
                <w:t>C08/14</w:t>
              </w:r>
            </w:hyperlink>
            <w:r w:rsidRPr="008A63D4">
              <w:rPr>
                <w:bCs/>
                <w:i/>
                <w:iCs/>
                <w:szCs w:val="22"/>
                <w:lang w:val="ru-RU"/>
              </w:rPr>
              <w:t xml:space="preserve">, </w:t>
            </w:r>
            <w:hyperlink r:id="rId14" w:history="1">
              <w:r w:rsidRPr="008A63D4">
                <w:rPr>
                  <w:rStyle w:val="Hyperlink"/>
                  <w:bCs/>
                  <w:i/>
                  <w:iCs/>
                  <w:szCs w:val="22"/>
                  <w:lang w:val="ru-RU"/>
                </w:rPr>
                <w:t>C09/5(Rev.1)</w:t>
              </w:r>
            </w:hyperlink>
            <w:r w:rsidRPr="008A63D4">
              <w:rPr>
                <w:bCs/>
                <w:i/>
                <w:iCs/>
                <w:szCs w:val="22"/>
                <w:lang w:val="ru-RU"/>
              </w:rPr>
              <w:t xml:space="preserve">, </w:t>
            </w:r>
            <w:hyperlink r:id="rId15" w:history="1">
              <w:r w:rsidRPr="008A63D4">
                <w:rPr>
                  <w:rStyle w:val="Hyperlink"/>
                  <w:bCs/>
                  <w:i/>
                  <w:iCs/>
                  <w:szCs w:val="22"/>
                  <w:lang w:val="ru-RU"/>
                </w:rPr>
                <w:t>C10/33</w:t>
              </w:r>
            </w:hyperlink>
            <w:r w:rsidRPr="008A63D4">
              <w:rPr>
                <w:bCs/>
                <w:i/>
                <w:iCs/>
                <w:szCs w:val="22"/>
                <w:lang w:val="ru-RU"/>
              </w:rPr>
              <w:t xml:space="preserve">, </w:t>
            </w:r>
            <w:hyperlink r:id="rId16" w:history="1">
              <w:r w:rsidRPr="008A63D4">
                <w:rPr>
                  <w:rStyle w:val="Hyperlink"/>
                  <w:bCs/>
                  <w:i/>
                  <w:iCs/>
                  <w:szCs w:val="22"/>
                  <w:lang w:val="ru-RU"/>
                </w:rPr>
                <w:t>C10/96</w:t>
              </w:r>
            </w:hyperlink>
            <w:r w:rsidRPr="008A63D4">
              <w:rPr>
                <w:bCs/>
                <w:i/>
                <w:iCs/>
                <w:szCs w:val="22"/>
                <w:lang w:val="ru-RU"/>
              </w:rPr>
              <w:t xml:space="preserve">, </w:t>
            </w:r>
            <w:hyperlink r:id="rId17" w:history="1">
              <w:r w:rsidRPr="008A63D4">
                <w:rPr>
                  <w:rStyle w:val="Hyperlink"/>
                  <w:bCs/>
                  <w:i/>
                  <w:iCs/>
                  <w:szCs w:val="22"/>
                  <w:lang w:val="ru-RU"/>
                </w:rPr>
                <w:t>C11/21</w:t>
              </w:r>
            </w:hyperlink>
            <w:r w:rsidRPr="008A63D4">
              <w:rPr>
                <w:bCs/>
                <w:i/>
                <w:iCs/>
                <w:szCs w:val="22"/>
                <w:lang w:val="ru-RU"/>
              </w:rPr>
              <w:t xml:space="preserve">, </w:t>
            </w:r>
            <w:hyperlink r:id="rId18" w:history="1">
              <w:r w:rsidRPr="008A63D4">
                <w:rPr>
                  <w:rStyle w:val="Hyperlink"/>
                  <w:bCs/>
                  <w:i/>
                  <w:iCs/>
                  <w:szCs w:val="22"/>
                  <w:lang w:val="ru-RU"/>
                </w:rPr>
                <w:t>C12/5</w:t>
              </w:r>
            </w:hyperlink>
            <w:r w:rsidRPr="008A63D4">
              <w:rPr>
                <w:bCs/>
                <w:i/>
                <w:iCs/>
                <w:szCs w:val="22"/>
                <w:lang w:val="ru-RU"/>
              </w:rPr>
              <w:t xml:space="preserve">, </w:t>
            </w:r>
            <w:hyperlink r:id="rId19" w:history="1">
              <w:r w:rsidRPr="008A63D4">
                <w:rPr>
                  <w:rStyle w:val="Hyperlink"/>
                  <w:bCs/>
                  <w:i/>
                  <w:iCs/>
                  <w:szCs w:val="22"/>
                  <w:lang w:val="ru-RU"/>
                </w:rPr>
                <w:t>C12/10</w:t>
              </w:r>
            </w:hyperlink>
            <w:r w:rsidRPr="008A63D4">
              <w:rPr>
                <w:bCs/>
                <w:i/>
                <w:iCs/>
                <w:szCs w:val="22"/>
                <w:lang w:val="ru-RU"/>
              </w:rPr>
              <w:t xml:space="preserve">, </w:t>
            </w:r>
            <w:hyperlink r:id="rId20" w:history="1">
              <w:r w:rsidRPr="008A63D4">
                <w:rPr>
                  <w:rStyle w:val="Hyperlink"/>
                  <w:bCs/>
                  <w:i/>
                  <w:iCs/>
                  <w:szCs w:val="22"/>
                  <w:lang w:val="ru-RU"/>
                </w:rPr>
                <w:t>C13/14</w:t>
              </w:r>
            </w:hyperlink>
            <w:r w:rsidRPr="008A63D4">
              <w:rPr>
                <w:bCs/>
                <w:i/>
                <w:iCs/>
                <w:szCs w:val="22"/>
                <w:lang w:val="ru-RU"/>
              </w:rPr>
              <w:t xml:space="preserve">, </w:t>
            </w:r>
            <w:hyperlink r:id="rId21" w:history="1">
              <w:r w:rsidRPr="008A63D4">
                <w:rPr>
                  <w:rStyle w:val="Hyperlink"/>
                  <w:bCs/>
                  <w:i/>
                  <w:iCs/>
                  <w:szCs w:val="22"/>
                  <w:lang w:val="ru-RU"/>
                </w:rPr>
                <w:t>C14/14</w:t>
              </w:r>
            </w:hyperlink>
            <w:r w:rsidRPr="008A63D4">
              <w:rPr>
                <w:bCs/>
                <w:i/>
                <w:iCs/>
                <w:szCs w:val="22"/>
                <w:lang w:val="ru-RU"/>
              </w:rPr>
              <w:t xml:space="preserve">, </w:t>
            </w:r>
            <w:hyperlink r:id="rId22" w:history="1">
              <w:r w:rsidRPr="008A63D4">
                <w:rPr>
                  <w:rStyle w:val="Hyperlink"/>
                  <w:bCs/>
                  <w:i/>
                  <w:iCs/>
                  <w:szCs w:val="22"/>
                  <w:lang w:val="ru-RU"/>
                </w:rPr>
                <w:t>C15/14</w:t>
              </w:r>
            </w:hyperlink>
            <w:r w:rsidRPr="008A63D4">
              <w:rPr>
                <w:i/>
                <w:iCs/>
                <w:szCs w:val="22"/>
                <w:lang w:val="ru-RU"/>
              </w:rPr>
              <w:t xml:space="preserve">, </w:t>
            </w:r>
            <w:hyperlink r:id="rId23" w:history="1">
              <w:r w:rsidRPr="008A63D4">
                <w:rPr>
                  <w:rStyle w:val="Hyperlink"/>
                  <w:bCs/>
                  <w:i/>
                  <w:iCs/>
                  <w:szCs w:val="22"/>
                  <w:lang w:val="ru-RU"/>
                </w:rPr>
                <w:t>C16/14</w:t>
              </w:r>
            </w:hyperlink>
            <w:r w:rsidRPr="008A63D4">
              <w:rPr>
                <w:bCs/>
                <w:i/>
                <w:iCs/>
                <w:szCs w:val="22"/>
                <w:lang w:val="ru-RU"/>
              </w:rPr>
              <w:t xml:space="preserve">, </w:t>
            </w:r>
            <w:hyperlink r:id="rId24" w:history="1">
              <w:r w:rsidRPr="008A63D4">
                <w:rPr>
                  <w:rStyle w:val="Hyperlink"/>
                  <w:i/>
                  <w:iCs/>
                  <w:szCs w:val="22"/>
                  <w:lang w:val="ru-RU"/>
                </w:rPr>
                <w:t>C17/14</w:t>
              </w:r>
            </w:hyperlink>
            <w:r w:rsidRPr="008A63D4">
              <w:rPr>
                <w:bCs/>
                <w:i/>
                <w:iCs/>
                <w:szCs w:val="22"/>
                <w:lang w:val="ru-RU"/>
              </w:rPr>
              <w:t xml:space="preserve">, </w:t>
            </w:r>
            <w:hyperlink r:id="rId25" w:history="1">
              <w:r w:rsidRPr="008A63D4">
                <w:rPr>
                  <w:rStyle w:val="Hyperlink"/>
                  <w:bCs/>
                  <w:i/>
                  <w:iCs/>
                  <w:szCs w:val="22"/>
                  <w:lang w:val="ru-RU"/>
                </w:rPr>
                <w:t>С18/60</w:t>
              </w:r>
            </w:hyperlink>
          </w:p>
        </w:tc>
      </w:tr>
    </w:tbl>
    <w:p w:rsidR="002D2F57" w:rsidRPr="008A63D4" w:rsidRDefault="002D2F57" w:rsidP="00EC6BC5">
      <w:pPr>
        <w:rPr>
          <w:lang w:val="ru-RU"/>
        </w:rPr>
      </w:pPr>
      <w:bookmarkStart w:id="3" w:name="_GoBack"/>
      <w:bookmarkEnd w:id="3"/>
    </w:p>
    <w:p w:rsidR="00BC0798" w:rsidRPr="008A63D4" w:rsidRDefault="00BC0798" w:rsidP="00BC0798">
      <w:pPr>
        <w:pStyle w:val="Heading1"/>
        <w:pageBreakBefore/>
        <w:rPr>
          <w:lang w:val="ru-RU"/>
        </w:rPr>
      </w:pPr>
      <w:r w:rsidRPr="008A63D4">
        <w:rPr>
          <w:lang w:val="ru-RU"/>
        </w:rPr>
        <w:lastRenderedPageBreak/>
        <w:t>1</w:t>
      </w:r>
      <w:r w:rsidRPr="008A63D4">
        <w:rPr>
          <w:lang w:val="ru-RU"/>
        </w:rPr>
        <w:tab/>
        <w:t>Резюме</w:t>
      </w:r>
    </w:p>
    <w:p w:rsidR="00BC0798" w:rsidRPr="008A63D4" w:rsidRDefault="00BC0798" w:rsidP="008223B2">
      <w:pPr>
        <w:rPr>
          <w:lang w:val="ru-RU"/>
        </w:rPr>
      </w:pPr>
      <w:r w:rsidRPr="008A63D4">
        <w:rPr>
          <w:lang w:val="ru-RU"/>
        </w:rPr>
        <w:t>1.1</w:t>
      </w:r>
      <w:r w:rsidRPr="008A63D4">
        <w:rPr>
          <w:lang w:val="ru-RU"/>
        </w:rPr>
        <w:tab/>
      </w:r>
      <w:r w:rsidR="008223B2" w:rsidRPr="008A63D4">
        <w:rPr>
          <w:lang w:val="ru-RU"/>
        </w:rPr>
        <w:t>В Резолюции 152 (Пересм. Пусан, 2014 г.) Полномочная конференция поручает Генеральному секретарю на основе консультаций с Директорами Бюро представлять Совету отчет об управлении покрытием расходов МСЭ Членами Секторов и Ассоциированными членами и контроле за ним с указанием любых возможных проблем и в случае необходимости с предложением дальнейших улучшений.</w:t>
      </w:r>
    </w:p>
    <w:p w:rsidR="00BC0798" w:rsidRPr="008A63D4" w:rsidRDefault="00BC0798" w:rsidP="003A4714">
      <w:pPr>
        <w:rPr>
          <w:lang w:val="ru-RU"/>
        </w:rPr>
      </w:pPr>
      <w:r w:rsidRPr="008A63D4">
        <w:rPr>
          <w:lang w:val="ru-RU"/>
        </w:rPr>
        <w:t>1.2</w:t>
      </w:r>
      <w:r w:rsidRPr="008A63D4">
        <w:rPr>
          <w:lang w:val="ru-RU"/>
        </w:rPr>
        <w:tab/>
      </w:r>
      <w:r w:rsidR="001776E7" w:rsidRPr="008A63D4">
        <w:rPr>
          <w:lang w:val="ru-RU"/>
        </w:rPr>
        <w:t xml:space="preserve">В </w:t>
      </w:r>
      <w:r w:rsidRPr="008A63D4">
        <w:rPr>
          <w:lang w:val="ru-RU"/>
        </w:rPr>
        <w:t>Резолюци</w:t>
      </w:r>
      <w:r w:rsidR="001776E7" w:rsidRPr="008A63D4">
        <w:rPr>
          <w:lang w:val="ru-RU"/>
        </w:rPr>
        <w:t xml:space="preserve">и </w:t>
      </w:r>
      <w:r w:rsidRPr="008A63D4">
        <w:rPr>
          <w:lang w:val="ru-RU"/>
        </w:rPr>
        <w:t xml:space="preserve">152 </w:t>
      </w:r>
      <w:r w:rsidR="008223B2" w:rsidRPr="008A63D4">
        <w:rPr>
          <w:lang w:val="ru-RU"/>
        </w:rPr>
        <w:t xml:space="preserve">(Пересм. Пусан, 2014 г.) </w:t>
      </w:r>
      <w:r w:rsidR="003A4714" w:rsidRPr="008A63D4">
        <w:rPr>
          <w:lang w:val="ru-RU"/>
        </w:rPr>
        <w:t>установлен</w:t>
      </w:r>
      <w:r w:rsidR="001170F6" w:rsidRPr="008A63D4">
        <w:rPr>
          <w:lang w:val="ru-RU"/>
        </w:rPr>
        <w:t>ы</w:t>
      </w:r>
      <w:r w:rsidR="001776E7" w:rsidRPr="008A63D4">
        <w:rPr>
          <w:lang w:val="ru-RU"/>
        </w:rPr>
        <w:t xml:space="preserve"> </w:t>
      </w:r>
      <w:r w:rsidRPr="008A63D4">
        <w:rPr>
          <w:lang w:val="ru-RU"/>
        </w:rPr>
        <w:t>период</w:t>
      </w:r>
      <w:r w:rsidR="001170F6" w:rsidRPr="008A63D4">
        <w:rPr>
          <w:lang w:val="ru-RU"/>
        </w:rPr>
        <w:t>ы</w:t>
      </w:r>
      <w:r w:rsidRPr="008A63D4">
        <w:rPr>
          <w:lang w:val="ru-RU"/>
        </w:rPr>
        <w:t xml:space="preserve"> для приостановления участия и исключения Членов Секторов и Ассоциированных членов в случае просрочки платежей:</w:t>
      </w:r>
    </w:p>
    <w:p w:rsidR="00BC0798" w:rsidRPr="008A63D4" w:rsidRDefault="00BC0798" w:rsidP="00037C21">
      <w:pPr>
        <w:pStyle w:val="enumlev1"/>
        <w:rPr>
          <w:lang w:val="ru-RU"/>
        </w:rPr>
      </w:pPr>
      <w:r w:rsidRPr="008A63D4">
        <w:rPr>
          <w:lang w:val="ru-RU"/>
        </w:rPr>
        <w:sym w:font="Symbol" w:char="F02D"/>
      </w:r>
      <w:r w:rsidRPr="008A63D4">
        <w:rPr>
          <w:lang w:val="ru-RU"/>
        </w:rPr>
        <w:tab/>
        <w:t>приостановление участия</w:t>
      </w:r>
      <w:r w:rsidR="00037C21" w:rsidRPr="008A63D4">
        <w:rPr>
          <w:lang w:val="ru-RU"/>
        </w:rPr>
        <w:t xml:space="preserve"> следует через шесть месяцев (180 дней) после истечения срока выплаты ежегодных взносов</w:t>
      </w:r>
      <w:r w:rsidRPr="008A63D4">
        <w:rPr>
          <w:lang w:val="ru-RU"/>
        </w:rPr>
        <w:t>; и</w:t>
      </w:r>
    </w:p>
    <w:p w:rsidR="00BC0798" w:rsidRPr="008A63D4" w:rsidRDefault="00BC0798" w:rsidP="00CA70FC">
      <w:pPr>
        <w:pStyle w:val="enumlev1"/>
        <w:rPr>
          <w:lang w:val="ru-RU"/>
        </w:rPr>
      </w:pPr>
      <w:r w:rsidRPr="008A63D4">
        <w:rPr>
          <w:lang w:val="ru-RU"/>
        </w:rPr>
        <w:sym w:font="Symbol" w:char="F02D"/>
      </w:r>
      <w:r w:rsidRPr="008A63D4">
        <w:rPr>
          <w:lang w:val="ru-RU"/>
        </w:rPr>
        <w:tab/>
        <w:t xml:space="preserve">исключение </w:t>
      </w:r>
      <w:r w:rsidR="00CA70FC" w:rsidRPr="008A63D4">
        <w:rPr>
          <w:lang w:val="ru-RU"/>
        </w:rPr>
        <w:t>происходит через три месяца (90 дней) со дня приостановления участия</w:t>
      </w:r>
      <w:r w:rsidR="00CC6F18" w:rsidRPr="008A63D4">
        <w:rPr>
          <w:lang w:val="ru-RU"/>
        </w:rPr>
        <w:t>.</w:t>
      </w:r>
      <w:r w:rsidR="00CA70FC" w:rsidRPr="008A63D4">
        <w:rPr>
          <w:lang w:val="ru-RU"/>
        </w:rPr>
        <w:t xml:space="preserve"> </w:t>
      </w:r>
    </w:p>
    <w:p w:rsidR="00BC0798" w:rsidRPr="008A63D4" w:rsidRDefault="00BC0798" w:rsidP="00BC0798">
      <w:pPr>
        <w:rPr>
          <w:lang w:val="ru-RU"/>
        </w:rPr>
      </w:pPr>
      <w:r w:rsidRPr="008A63D4">
        <w:rPr>
          <w:lang w:val="ru-RU"/>
        </w:rPr>
        <w:t>1.3</w:t>
      </w:r>
      <w:r w:rsidRPr="008A63D4">
        <w:rPr>
          <w:lang w:val="ru-RU"/>
        </w:rPr>
        <w:tab/>
        <w:t>Вступление в силу Резолюции 152 принесло положительные результаты, но в то же время создало следующие серьезные проблемы: систематическая потеря Членов Секторов и Ассоциированных членов; трудности во взыскании долгов с исключенных Членов Секторов и Ассоциированных членов из-за отсутствия стимулов или альтернативных механизмов для ведения переговоров, после того как решение об исключении вступает в силу; и отсутствие гибкости для ведения переговоров по долгам с Членами Секторов и Ассоциированными членами в случае объединений и приобретений (новые или текущие Члены Секторов/Ассоциированные члены, которые приобретают бывшего Члена Сектора/Ассоциированного члена МСЭ, имеющего задолженность).</w:t>
      </w:r>
    </w:p>
    <w:p w:rsidR="00BC0798" w:rsidRPr="008A63D4" w:rsidRDefault="00BC0798" w:rsidP="00BB1E67">
      <w:pPr>
        <w:rPr>
          <w:spacing w:val="-2"/>
          <w:lang w:val="ru-RU"/>
        </w:rPr>
      </w:pPr>
      <w:r w:rsidRPr="008A63D4">
        <w:rPr>
          <w:lang w:val="ru-RU"/>
        </w:rPr>
        <w:t>1.4</w:t>
      </w:r>
      <w:r w:rsidRPr="008A63D4">
        <w:rPr>
          <w:lang w:val="ru-RU"/>
        </w:rPr>
        <w:tab/>
      </w:r>
      <w:r w:rsidRPr="008A63D4">
        <w:rPr>
          <w:spacing w:val="-2"/>
          <w:lang w:val="ru-RU"/>
        </w:rPr>
        <w:t xml:space="preserve">Столкнувшись с упомянутыми выше проблемами и стремясь уменьшить число исключений, Генеральный секретарь обратился с просьбой к Совету (на сессии 2011 года и на сессиях в последующие годы) о предоставлении ему большей гибкости при выполнении Резолюции 152, которая ему и была предоставлена. </w:t>
      </w:r>
      <w:r w:rsidR="00BB1E67" w:rsidRPr="008A63D4">
        <w:rPr>
          <w:spacing w:val="-2"/>
          <w:lang w:val="ru-RU"/>
        </w:rPr>
        <w:t xml:space="preserve">В дальнейшем </w:t>
      </w:r>
      <w:r w:rsidRPr="008A63D4">
        <w:rPr>
          <w:spacing w:val="-2"/>
          <w:lang w:val="ru-RU"/>
        </w:rPr>
        <w:t>Полномочн</w:t>
      </w:r>
      <w:r w:rsidR="001776E7" w:rsidRPr="008A63D4">
        <w:rPr>
          <w:spacing w:val="-2"/>
          <w:lang w:val="ru-RU"/>
        </w:rPr>
        <w:t>ая</w:t>
      </w:r>
      <w:r w:rsidRPr="008A63D4">
        <w:rPr>
          <w:spacing w:val="-2"/>
          <w:lang w:val="ru-RU"/>
        </w:rPr>
        <w:t xml:space="preserve"> конференци</w:t>
      </w:r>
      <w:r w:rsidR="001776E7" w:rsidRPr="008A63D4">
        <w:rPr>
          <w:spacing w:val="-2"/>
          <w:lang w:val="ru-RU"/>
        </w:rPr>
        <w:t>я</w:t>
      </w:r>
      <w:r w:rsidRPr="008A63D4">
        <w:rPr>
          <w:spacing w:val="-2"/>
          <w:lang w:val="ru-RU"/>
        </w:rPr>
        <w:t xml:space="preserve"> (Пусан, 2014 г.) </w:t>
      </w:r>
      <w:r w:rsidR="001776E7" w:rsidRPr="008A63D4">
        <w:rPr>
          <w:spacing w:val="-2"/>
          <w:lang w:val="ru-RU"/>
        </w:rPr>
        <w:t xml:space="preserve">пересмотрела </w:t>
      </w:r>
      <w:r w:rsidRPr="008A63D4">
        <w:rPr>
          <w:spacing w:val="-2"/>
          <w:lang w:val="ru-RU"/>
        </w:rPr>
        <w:t>Резолюци</w:t>
      </w:r>
      <w:r w:rsidR="001776E7" w:rsidRPr="008A63D4">
        <w:rPr>
          <w:spacing w:val="-2"/>
          <w:lang w:val="ru-RU"/>
        </w:rPr>
        <w:t>ю</w:t>
      </w:r>
      <w:r w:rsidRPr="008A63D4">
        <w:rPr>
          <w:spacing w:val="-2"/>
          <w:lang w:val="ru-RU"/>
        </w:rPr>
        <w:t xml:space="preserve"> 152 </w:t>
      </w:r>
      <w:r w:rsidR="004B055F" w:rsidRPr="008A63D4">
        <w:rPr>
          <w:spacing w:val="-2"/>
          <w:lang w:val="ru-RU"/>
        </w:rPr>
        <w:t>с учетом</w:t>
      </w:r>
      <w:r w:rsidRPr="008A63D4">
        <w:rPr>
          <w:spacing w:val="-2"/>
          <w:lang w:val="ru-RU"/>
        </w:rPr>
        <w:t xml:space="preserve"> большей гибкости в отношении положения об </w:t>
      </w:r>
      <w:r w:rsidRPr="008A63D4">
        <w:rPr>
          <w:lang w:val="ru-RU"/>
        </w:rPr>
        <w:t>автоматическом</w:t>
      </w:r>
      <w:r w:rsidRPr="008A63D4">
        <w:rPr>
          <w:spacing w:val="-2"/>
          <w:lang w:val="ru-RU"/>
        </w:rPr>
        <w:t xml:space="preserve"> исключении Членов Секторов и Ассоциированных членов, с тем чтобы содействовать взысканию просроченных долгов, сохранить нынешних </w:t>
      </w:r>
      <w:r w:rsidR="00BB1E67" w:rsidRPr="008A63D4">
        <w:rPr>
          <w:spacing w:val="-2"/>
          <w:lang w:val="ru-RU"/>
        </w:rPr>
        <w:t xml:space="preserve">членов </w:t>
      </w:r>
      <w:r w:rsidRPr="008A63D4">
        <w:rPr>
          <w:spacing w:val="-2"/>
          <w:lang w:val="ru-RU"/>
        </w:rPr>
        <w:t>и привлечь потенциальных новых членов.</w:t>
      </w:r>
    </w:p>
    <w:p w:rsidR="00BC0798" w:rsidRPr="008A63D4" w:rsidRDefault="00BC0798" w:rsidP="00BC0798">
      <w:pPr>
        <w:pStyle w:val="Heading1"/>
        <w:rPr>
          <w:lang w:val="ru-RU"/>
        </w:rPr>
      </w:pPr>
      <w:r w:rsidRPr="008A63D4">
        <w:rPr>
          <w:lang w:val="ru-RU"/>
        </w:rPr>
        <w:t>2</w:t>
      </w:r>
      <w:r w:rsidRPr="008A63D4">
        <w:rPr>
          <w:lang w:val="ru-RU"/>
        </w:rPr>
        <w:tab/>
        <w:t>Базовая информация: результаты, полученные в связи с применением Резолюции 152</w:t>
      </w:r>
    </w:p>
    <w:p w:rsidR="00BC0798" w:rsidRPr="008A63D4" w:rsidRDefault="00BC0798" w:rsidP="00D4272D">
      <w:pPr>
        <w:rPr>
          <w:spacing w:val="-2"/>
          <w:lang w:val="ru-RU"/>
        </w:rPr>
      </w:pPr>
      <w:r w:rsidRPr="008A63D4">
        <w:rPr>
          <w:lang w:val="ru-RU"/>
        </w:rPr>
        <w:t>2.1</w:t>
      </w:r>
      <w:r w:rsidRPr="008A63D4">
        <w:rPr>
          <w:lang w:val="ru-RU"/>
        </w:rPr>
        <w:tab/>
      </w:r>
      <w:r w:rsidRPr="008A63D4">
        <w:rPr>
          <w:spacing w:val="-2"/>
          <w:lang w:val="ru-RU"/>
        </w:rPr>
        <w:t xml:space="preserve">Принятие Резолюции 152 оказало положительное воздействие на выплату взносов, результатом чего стал более эффективный сбор взносов и последующее сокращение уровня задолженности Членов Секторов и Ассоциированных членов. В представленных ниже двух таблицах показан прогресс в сборе взносов, а также изменения в текущей задолженности (взносы, подлежащие уплате в текущем году) </w:t>
      </w:r>
      <w:r w:rsidRPr="008A63D4">
        <w:rPr>
          <w:spacing w:val="-2"/>
          <w:lang w:val="ru-RU"/>
        </w:rPr>
        <w:lastRenderedPageBreak/>
        <w:t xml:space="preserve">и задолженности за предыдущие годы (суммарные неуплаченные взносы за предыдущие годы) Членов Секторов и Ассоциированных членов. После 2011 года в Таблицу 1 включаются данные о сборе взносов новой категории членского состава – Академических организаций (академических институтов, университетов и связанных с ними научно-исследовательских учреждений), </w:t>
      </w:r>
      <w:r w:rsidR="00D4272D" w:rsidRPr="008A63D4">
        <w:rPr>
          <w:spacing w:val="-2"/>
          <w:lang w:val="ru-RU"/>
        </w:rPr>
        <w:t>созданной</w:t>
      </w:r>
      <w:r w:rsidRPr="008A63D4">
        <w:rPr>
          <w:spacing w:val="-2"/>
          <w:lang w:val="ru-RU"/>
        </w:rPr>
        <w:t xml:space="preserve"> в соответствии с Резолюцией 169 (</w:t>
      </w:r>
      <w:r w:rsidR="001776E7" w:rsidRPr="008A63D4">
        <w:rPr>
          <w:spacing w:val="-2"/>
          <w:lang w:val="ru-RU"/>
        </w:rPr>
        <w:t>Пересм. Дубай, 2018</w:t>
      </w:r>
      <w:r w:rsidRPr="008A63D4">
        <w:rPr>
          <w:spacing w:val="-2"/>
          <w:lang w:val="ru-RU"/>
        </w:rPr>
        <w:t> г.).</w:t>
      </w:r>
    </w:p>
    <w:p w:rsidR="00BC0798" w:rsidRPr="008A63D4" w:rsidRDefault="00BC0798" w:rsidP="00BC0798">
      <w:pPr>
        <w:pStyle w:val="TableNo"/>
        <w:spacing w:before="240"/>
        <w:rPr>
          <w:lang w:val="ru-RU"/>
        </w:rPr>
      </w:pPr>
      <w:r w:rsidRPr="008A63D4">
        <w:rPr>
          <w:lang w:val="ru-RU"/>
        </w:rPr>
        <w:t>Таблица 1</w:t>
      </w:r>
    </w:p>
    <w:p w:rsidR="00BC0798" w:rsidRPr="008A63D4" w:rsidRDefault="00BC0798" w:rsidP="001F4594">
      <w:pPr>
        <w:pStyle w:val="Tabletitle"/>
        <w:rPr>
          <w:lang w:val="ru-RU"/>
        </w:rPr>
      </w:pPr>
      <w:r w:rsidRPr="008A63D4">
        <w:rPr>
          <w:lang w:val="ru-RU"/>
        </w:rPr>
        <w:t>Динамика уровней собираемости взносов Членов Секторов, Ассоциированных членов и Ак</w:t>
      </w:r>
      <w:r w:rsidR="001F4594" w:rsidRPr="008A63D4">
        <w:rPr>
          <w:lang w:val="ru-RU"/>
        </w:rPr>
        <w:t>адемических организаций (% сумм</w:t>
      </w:r>
      <w:r w:rsidR="00C3366D" w:rsidRPr="008A63D4">
        <w:rPr>
          <w:lang w:val="ru-RU"/>
        </w:rPr>
        <w:t>,</w:t>
      </w:r>
      <w:r w:rsidR="001F4594" w:rsidRPr="008A63D4">
        <w:rPr>
          <w:lang w:val="ru-RU"/>
        </w:rPr>
        <w:t xml:space="preserve"> полученных</w:t>
      </w:r>
      <w:r w:rsidRPr="008A63D4">
        <w:rPr>
          <w:lang w:val="ru-RU"/>
        </w:rPr>
        <w:t xml:space="preserve"> по сравнению с суммами, </w:t>
      </w:r>
      <w:r w:rsidRPr="008A63D4">
        <w:rPr>
          <w:lang w:val="ru-RU"/>
        </w:rPr>
        <w:br/>
        <w:t>на которые выставлены счета)</w:t>
      </w:r>
    </w:p>
    <w:tbl>
      <w:tblPr>
        <w:tblW w:w="10353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766"/>
        <w:gridCol w:w="766"/>
        <w:gridCol w:w="767"/>
        <w:gridCol w:w="766"/>
        <w:gridCol w:w="767"/>
        <w:gridCol w:w="766"/>
        <w:gridCol w:w="766"/>
        <w:gridCol w:w="767"/>
        <w:gridCol w:w="766"/>
        <w:gridCol w:w="767"/>
      </w:tblGrid>
      <w:tr w:rsidR="001776E7" w:rsidRPr="008A63D4" w:rsidTr="008A63D4">
        <w:trPr>
          <w:trHeight w:val="30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776E7" w:rsidRPr="008A63D4" w:rsidRDefault="001776E7" w:rsidP="00BC0798">
            <w:pPr>
              <w:pStyle w:val="Tablehead"/>
              <w:rPr>
                <w:color w:val="1F497D" w:themeColor="text2"/>
                <w:sz w:val="18"/>
                <w:szCs w:val="18"/>
                <w:lang w:val="ru-RU" w:eastAsia="zh-CN"/>
              </w:rPr>
            </w:pPr>
            <w:r w:rsidRPr="008A63D4">
              <w:rPr>
                <w:color w:val="1F497D" w:themeColor="text2"/>
                <w:sz w:val="18"/>
                <w:szCs w:val="18"/>
                <w:lang w:val="ru-RU" w:eastAsia="zh-CN"/>
              </w:rPr>
              <w:t>Члены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6E7" w:rsidRPr="008A63D4" w:rsidRDefault="001776E7" w:rsidP="00BC0798">
            <w:pPr>
              <w:pStyle w:val="Tablehead"/>
              <w:rPr>
                <w:color w:val="1F497D" w:themeColor="text2"/>
                <w:sz w:val="18"/>
                <w:szCs w:val="18"/>
                <w:lang w:val="ru-RU" w:eastAsia="zh-CN"/>
              </w:rPr>
            </w:pPr>
            <w:r w:rsidRPr="008A63D4">
              <w:rPr>
                <w:color w:val="1F497D" w:themeColor="text2"/>
                <w:sz w:val="18"/>
                <w:szCs w:val="18"/>
                <w:lang w:val="ru-RU" w:eastAsia="zh-CN"/>
              </w:rPr>
              <w:t>2009 г.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6E7" w:rsidRPr="008A63D4" w:rsidRDefault="001776E7" w:rsidP="00BC0798">
            <w:pPr>
              <w:pStyle w:val="Tablehead"/>
              <w:rPr>
                <w:color w:val="1F497D" w:themeColor="text2"/>
                <w:sz w:val="18"/>
                <w:szCs w:val="18"/>
                <w:lang w:val="ru-RU" w:eastAsia="zh-CN"/>
              </w:rPr>
            </w:pPr>
            <w:r w:rsidRPr="008A63D4">
              <w:rPr>
                <w:color w:val="1F497D" w:themeColor="text2"/>
                <w:sz w:val="18"/>
                <w:szCs w:val="18"/>
                <w:lang w:val="ru-RU" w:eastAsia="zh-CN"/>
              </w:rPr>
              <w:t>2010 г.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6E7" w:rsidRPr="008A63D4" w:rsidRDefault="001776E7" w:rsidP="00BC0798">
            <w:pPr>
              <w:pStyle w:val="Tablehead"/>
              <w:rPr>
                <w:color w:val="1F497D" w:themeColor="text2"/>
                <w:sz w:val="18"/>
                <w:szCs w:val="18"/>
                <w:lang w:val="ru-RU" w:eastAsia="zh-CN"/>
              </w:rPr>
            </w:pPr>
            <w:r w:rsidRPr="008A63D4">
              <w:rPr>
                <w:color w:val="1F497D" w:themeColor="text2"/>
                <w:sz w:val="18"/>
                <w:szCs w:val="18"/>
                <w:lang w:val="ru-RU" w:eastAsia="zh-CN"/>
              </w:rPr>
              <w:t>2011 г.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6E7" w:rsidRPr="008A63D4" w:rsidRDefault="001776E7" w:rsidP="00BC0798">
            <w:pPr>
              <w:pStyle w:val="Tablehead"/>
              <w:rPr>
                <w:color w:val="1F497D" w:themeColor="text2"/>
                <w:sz w:val="18"/>
                <w:szCs w:val="18"/>
                <w:lang w:val="ru-RU" w:eastAsia="zh-CN"/>
              </w:rPr>
            </w:pPr>
            <w:r w:rsidRPr="008A63D4">
              <w:rPr>
                <w:color w:val="1F497D" w:themeColor="text2"/>
                <w:sz w:val="18"/>
                <w:szCs w:val="18"/>
                <w:lang w:val="ru-RU" w:eastAsia="zh-CN"/>
              </w:rPr>
              <w:t>2012 г.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6E7" w:rsidRPr="008A63D4" w:rsidRDefault="001776E7" w:rsidP="00BC0798">
            <w:pPr>
              <w:pStyle w:val="Tablehead"/>
              <w:rPr>
                <w:color w:val="1F497D" w:themeColor="text2"/>
                <w:sz w:val="18"/>
                <w:szCs w:val="18"/>
                <w:lang w:val="ru-RU" w:eastAsia="zh-CN"/>
              </w:rPr>
            </w:pPr>
            <w:r w:rsidRPr="008A63D4">
              <w:rPr>
                <w:color w:val="1F497D" w:themeColor="text2"/>
                <w:sz w:val="18"/>
                <w:szCs w:val="18"/>
                <w:lang w:val="ru-RU" w:eastAsia="zh-CN"/>
              </w:rPr>
              <w:t>2013 г.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6E7" w:rsidRPr="008A63D4" w:rsidRDefault="001776E7" w:rsidP="00BC0798">
            <w:pPr>
              <w:pStyle w:val="Tablehead"/>
              <w:rPr>
                <w:color w:val="1F497D" w:themeColor="text2"/>
                <w:sz w:val="18"/>
                <w:szCs w:val="18"/>
                <w:lang w:val="ru-RU" w:eastAsia="zh-CN"/>
              </w:rPr>
            </w:pPr>
            <w:r w:rsidRPr="008A63D4">
              <w:rPr>
                <w:color w:val="1F497D" w:themeColor="text2"/>
                <w:sz w:val="18"/>
                <w:szCs w:val="18"/>
                <w:lang w:val="ru-RU" w:eastAsia="zh-CN"/>
              </w:rPr>
              <w:t>2014 г.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6E7" w:rsidRPr="008A63D4" w:rsidRDefault="001776E7" w:rsidP="00BC0798">
            <w:pPr>
              <w:pStyle w:val="Tablehead"/>
              <w:rPr>
                <w:color w:val="1F497D" w:themeColor="text2"/>
                <w:sz w:val="18"/>
                <w:szCs w:val="18"/>
                <w:lang w:val="ru-RU" w:eastAsia="zh-CN"/>
              </w:rPr>
            </w:pPr>
            <w:r w:rsidRPr="008A63D4">
              <w:rPr>
                <w:color w:val="1F497D" w:themeColor="text2"/>
                <w:sz w:val="18"/>
                <w:szCs w:val="18"/>
                <w:lang w:val="ru-RU" w:eastAsia="zh-CN"/>
              </w:rPr>
              <w:t>2015 г.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6E7" w:rsidRPr="008A63D4" w:rsidRDefault="001776E7" w:rsidP="00BC0798">
            <w:pPr>
              <w:pStyle w:val="Tablehead"/>
              <w:rPr>
                <w:color w:val="1F497D" w:themeColor="text2"/>
                <w:sz w:val="18"/>
                <w:szCs w:val="18"/>
                <w:lang w:val="ru-RU" w:eastAsia="zh-CN"/>
              </w:rPr>
            </w:pPr>
            <w:r w:rsidRPr="008A63D4">
              <w:rPr>
                <w:color w:val="1F497D" w:themeColor="text2"/>
                <w:sz w:val="18"/>
                <w:szCs w:val="18"/>
                <w:lang w:val="ru-RU" w:eastAsia="zh-CN"/>
              </w:rPr>
              <w:t>2016 г.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76E7" w:rsidRPr="008A63D4" w:rsidRDefault="001776E7" w:rsidP="00BC0798">
            <w:pPr>
              <w:pStyle w:val="Tablehead"/>
              <w:rPr>
                <w:color w:val="1F497D" w:themeColor="text2"/>
                <w:sz w:val="18"/>
                <w:szCs w:val="18"/>
                <w:lang w:val="ru-RU" w:eastAsia="zh-CN"/>
              </w:rPr>
            </w:pPr>
            <w:r w:rsidRPr="008A63D4">
              <w:rPr>
                <w:color w:val="1F497D" w:themeColor="text2"/>
                <w:sz w:val="18"/>
                <w:szCs w:val="18"/>
                <w:lang w:val="ru-RU" w:eastAsia="zh-CN"/>
              </w:rPr>
              <w:t>2017 г.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6E7" w:rsidRPr="008A63D4" w:rsidRDefault="001776E7" w:rsidP="00BC0798">
            <w:pPr>
              <w:pStyle w:val="Tablehead"/>
              <w:rPr>
                <w:color w:val="1F497D" w:themeColor="text2"/>
                <w:sz w:val="18"/>
                <w:szCs w:val="18"/>
                <w:lang w:val="ru-RU" w:eastAsia="zh-CN"/>
              </w:rPr>
            </w:pPr>
            <w:r w:rsidRPr="008A63D4">
              <w:rPr>
                <w:color w:val="1F497D" w:themeColor="text2"/>
                <w:sz w:val="18"/>
                <w:szCs w:val="18"/>
                <w:lang w:val="ru-RU" w:eastAsia="zh-CN"/>
              </w:rPr>
              <w:t>2018 г.</w:t>
            </w:r>
          </w:p>
        </w:tc>
      </w:tr>
      <w:tr w:rsidR="001776E7" w:rsidRPr="008A63D4" w:rsidTr="008A63D4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776E7" w:rsidRPr="008A63D4" w:rsidRDefault="001776E7" w:rsidP="00BC0798">
            <w:pPr>
              <w:pStyle w:val="Tabletext"/>
              <w:rPr>
                <w:color w:val="1F497D" w:themeColor="text2"/>
                <w:sz w:val="18"/>
                <w:szCs w:val="18"/>
                <w:lang w:val="ru-RU" w:eastAsia="zh-CN"/>
              </w:rPr>
            </w:pPr>
            <w:r w:rsidRPr="008A63D4">
              <w:rPr>
                <w:color w:val="1F497D" w:themeColor="text2"/>
                <w:sz w:val="18"/>
                <w:szCs w:val="18"/>
                <w:lang w:val="ru-RU" w:eastAsia="zh-CN"/>
              </w:rPr>
              <w:t>Члены Секторов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1776E7" w:rsidRPr="008A63D4" w:rsidRDefault="001776E7" w:rsidP="00192D37">
            <w:pPr>
              <w:tabs>
                <w:tab w:val="left" w:pos="720"/>
              </w:tabs>
              <w:overflowPunct/>
              <w:autoSpaceDE/>
              <w:snapToGrid w:val="0"/>
              <w:spacing w:before="0"/>
              <w:jc w:val="center"/>
              <w:rPr>
                <w:color w:val="1F497D"/>
                <w:sz w:val="18"/>
                <w:szCs w:val="18"/>
                <w:lang w:val="ru-RU" w:eastAsia="zh-CN"/>
              </w:rPr>
            </w:pPr>
            <w:r w:rsidRPr="008A63D4">
              <w:rPr>
                <w:color w:val="1F497D"/>
                <w:sz w:val="18"/>
                <w:szCs w:val="18"/>
                <w:lang w:val="ru-RU" w:eastAsia="zh-CN"/>
              </w:rPr>
              <w:t>96%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1776E7" w:rsidRPr="008A63D4" w:rsidRDefault="001776E7" w:rsidP="00192D37">
            <w:pPr>
              <w:tabs>
                <w:tab w:val="left" w:pos="720"/>
              </w:tabs>
              <w:overflowPunct/>
              <w:autoSpaceDE/>
              <w:snapToGrid w:val="0"/>
              <w:spacing w:before="0"/>
              <w:jc w:val="center"/>
              <w:rPr>
                <w:color w:val="1F497D"/>
                <w:sz w:val="18"/>
                <w:szCs w:val="18"/>
                <w:lang w:val="ru-RU" w:eastAsia="zh-CN"/>
              </w:rPr>
            </w:pPr>
            <w:r w:rsidRPr="008A63D4">
              <w:rPr>
                <w:color w:val="1F497D"/>
                <w:sz w:val="18"/>
                <w:szCs w:val="18"/>
                <w:lang w:val="ru-RU" w:eastAsia="zh-CN"/>
              </w:rPr>
              <w:t>97%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1776E7" w:rsidRPr="008A63D4" w:rsidRDefault="001776E7" w:rsidP="00192D37">
            <w:pPr>
              <w:tabs>
                <w:tab w:val="left" w:pos="720"/>
              </w:tabs>
              <w:overflowPunct/>
              <w:autoSpaceDE/>
              <w:snapToGrid w:val="0"/>
              <w:spacing w:before="0"/>
              <w:jc w:val="center"/>
              <w:rPr>
                <w:color w:val="1F497D"/>
                <w:sz w:val="18"/>
                <w:szCs w:val="18"/>
                <w:lang w:val="ru-RU" w:eastAsia="zh-CN"/>
              </w:rPr>
            </w:pPr>
            <w:r w:rsidRPr="008A63D4">
              <w:rPr>
                <w:color w:val="1F497D"/>
                <w:sz w:val="18"/>
                <w:szCs w:val="18"/>
                <w:lang w:val="ru-RU" w:eastAsia="zh-CN"/>
              </w:rPr>
              <w:t>99%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1776E7" w:rsidRPr="008A63D4" w:rsidRDefault="001776E7" w:rsidP="00192D37">
            <w:pPr>
              <w:tabs>
                <w:tab w:val="left" w:pos="720"/>
              </w:tabs>
              <w:overflowPunct/>
              <w:autoSpaceDE/>
              <w:snapToGrid w:val="0"/>
              <w:spacing w:before="0"/>
              <w:jc w:val="center"/>
              <w:rPr>
                <w:color w:val="1F497D"/>
                <w:sz w:val="18"/>
                <w:szCs w:val="18"/>
                <w:lang w:val="ru-RU" w:eastAsia="zh-CN"/>
              </w:rPr>
            </w:pPr>
            <w:r w:rsidRPr="008A63D4">
              <w:rPr>
                <w:color w:val="1F497D"/>
                <w:sz w:val="18"/>
                <w:szCs w:val="18"/>
                <w:lang w:val="ru-RU" w:eastAsia="zh-CN"/>
              </w:rPr>
              <w:t>98%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1776E7" w:rsidRPr="008A63D4" w:rsidRDefault="001776E7" w:rsidP="00192D37">
            <w:pPr>
              <w:tabs>
                <w:tab w:val="left" w:pos="720"/>
              </w:tabs>
              <w:overflowPunct/>
              <w:autoSpaceDE/>
              <w:snapToGrid w:val="0"/>
              <w:spacing w:before="0"/>
              <w:jc w:val="center"/>
              <w:rPr>
                <w:color w:val="1F497D"/>
                <w:sz w:val="18"/>
                <w:szCs w:val="18"/>
                <w:lang w:val="ru-RU" w:eastAsia="zh-CN"/>
              </w:rPr>
            </w:pPr>
            <w:r w:rsidRPr="008A63D4">
              <w:rPr>
                <w:color w:val="1F497D"/>
                <w:sz w:val="18"/>
                <w:szCs w:val="18"/>
                <w:lang w:val="ru-RU" w:eastAsia="zh-CN"/>
              </w:rPr>
              <w:t>98%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1776E7" w:rsidRPr="008A63D4" w:rsidRDefault="001776E7" w:rsidP="00192D37">
            <w:pPr>
              <w:tabs>
                <w:tab w:val="left" w:pos="720"/>
              </w:tabs>
              <w:overflowPunct/>
              <w:autoSpaceDE/>
              <w:snapToGrid w:val="0"/>
              <w:spacing w:before="0"/>
              <w:jc w:val="center"/>
              <w:rPr>
                <w:color w:val="1F497D"/>
                <w:sz w:val="18"/>
                <w:szCs w:val="18"/>
                <w:lang w:val="ru-RU" w:eastAsia="zh-CN"/>
              </w:rPr>
            </w:pPr>
            <w:r w:rsidRPr="008A63D4">
              <w:rPr>
                <w:color w:val="1F497D"/>
                <w:sz w:val="18"/>
                <w:szCs w:val="18"/>
                <w:lang w:val="ru-RU" w:eastAsia="zh-CN"/>
              </w:rPr>
              <w:t>98%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1776E7" w:rsidRPr="008A63D4" w:rsidRDefault="001776E7" w:rsidP="00192D37">
            <w:pPr>
              <w:tabs>
                <w:tab w:val="left" w:pos="720"/>
              </w:tabs>
              <w:overflowPunct/>
              <w:autoSpaceDE/>
              <w:snapToGrid w:val="0"/>
              <w:spacing w:before="0"/>
              <w:jc w:val="center"/>
              <w:rPr>
                <w:color w:val="1F497D"/>
                <w:sz w:val="18"/>
                <w:szCs w:val="18"/>
                <w:lang w:val="ru-RU" w:eastAsia="zh-CN"/>
              </w:rPr>
            </w:pPr>
            <w:r w:rsidRPr="008A63D4">
              <w:rPr>
                <w:color w:val="1F497D"/>
                <w:sz w:val="18"/>
                <w:szCs w:val="18"/>
                <w:lang w:val="ru-RU" w:eastAsia="zh-CN"/>
              </w:rPr>
              <w:t>98%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1776E7" w:rsidRPr="008A63D4" w:rsidRDefault="001776E7" w:rsidP="00192D37">
            <w:pPr>
              <w:tabs>
                <w:tab w:val="left" w:pos="720"/>
              </w:tabs>
              <w:overflowPunct/>
              <w:autoSpaceDE/>
              <w:snapToGrid w:val="0"/>
              <w:spacing w:before="0"/>
              <w:jc w:val="center"/>
              <w:rPr>
                <w:color w:val="1F497D"/>
                <w:sz w:val="18"/>
                <w:szCs w:val="18"/>
                <w:lang w:val="ru-RU" w:eastAsia="zh-CN"/>
              </w:rPr>
            </w:pPr>
            <w:r w:rsidRPr="008A63D4">
              <w:rPr>
                <w:color w:val="1F497D"/>
                <w:sz w:val="18"/>
                <w:szCs w:val="18"/>
                <w:lang w:val="ru-RU" w:eastAsia="zh-CN"/>
              </w:rPr>
              <w:t>98%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1776E7" w:rsidRPr="008A63D4" w:rsidRDefault="001776E7" w:rsidP="00192D37">
            <w:pPr>
              <w:tabs>
                <w:tab w:val="left" w:pos="720"/>
              </w:tabs>
              <w:overflowPunct/>
              <w:autoSpaceDE/>
              <w:snapToGrid w:val="0"/>
              <w:spacing w:before="0"/>
              <w:jc w:val="center"/>
              <w:rPr>
                <w:color w:val="1F497D"/>
                <w:sz w:val="18"/>
                <w:szCs w:val="18"/>
                <w:lang w:val="ru-RU" w:eastAsia="zh-CN"/>
              </w:rPr>
            </w:pPr>
            <w:r w:rsidRPr="008A63D4">
              <w:rPr>
                <w:color w:val="1F497D"/>
                <w:sz w:val="18"/>
                <w:szCs w:val="18"/>
                <w:lang w:val="ru-RU" w:eastAsia="zh-CN"/>
              </w:rPr>
              <w:t>97%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1776E7" w:rsidRPr="008A63D4" w:rsidRDefault="00192D37" w:rsidP="00192D37">
            <w:pPr>
              <w:tabs>
                <w:tab w:val="left" w:pos="720"/>
              </w:tabs>
              <w:overflowPunct/>
              <w:autoSpaceDE/>
              <w:snapToGrid w:val="0"/>
              <w:spacing w:before="0"/>
              <w:jc w:val="center"/>
              <w:rPr>
                <w:color w:val="1F497D"/>
                <w:sz w:val="18"/>
                <w:szCs w:val="18"/>
                <w:lang w:val="ru-RU" w:eastAsia="zh-CN"/>
              </w:rPr>
            </w:pPr>
            <w:r w:rsidRPr="008A63D4">
              <w:rPr>
                <w:color w:val="1F497D"/>
                <w:sz w:val="18"/>
                <w:szCs w:val="18"/>
                <w:lang w:val="ru-RU" w:eastAsia="zh-CN"/>
              </w:rPr>
              <w:t>96%</w:t>
            </w:r>
          </w:p>
        </w:tc>
      </w:tr>
      <w:tr w:rsidR="001776E7" w:rsidRPr="008A63D4" w:rsidTr="008A63D4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776E7" w:rsidRPr="008A63D4" w:rsidRDefault="001776E7" w:rsidP="00BC0798">
            <w:pPr>
              <w:pStyle w:val="Tabletext"/>
              <w:rPr>
                <w:color w:val="1F497D" w:themeColor="text2"/>
                <w:sz w:val="18"/>
                <w:szCs w:val="18"/>
                <w:lang w:val="ru-RU" w:eastAsia="zh-CN"/>
              </w:rPr>
            </w:pPr>
            <w:r w:rsidRPr="008A63D4">
              <w:rPr>
                <w:color w:val="1F497D" w:themeColor="text2"/>
                <w:sz w:val="18"/>
                <w:szCs w:val="18"/>
                <w:lang w:val="ru-RU" w:eastAsia="zh-CN"/>
              </w:rPr>
              <w:t>Ассоциированные члены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1776E7" w:rsidRPr="008A63D4" w:rsidRDefault="001776E7" w:rsidP="00192D37">
            <w:pPr>
              <w:tabs>
                <w:tab w:val="left" w:pos="720"/>
              </w:tabs>
              <w:overflowPunct/>
              <w:autoSpaceDE/>
              <w:snapToGrid w:val="0"/>
              <w:spacing w:before="0"/>
              <w:jc w:val="center"/>
              <w:rPr>
                <w:color w:val="1F497D"/>
                <w:sz w:val="18"/>
                <w:szCs w:val="18"/>
                <w:lang w:val="ru-RU" w:eastAsia="zh-CN"/>
              </w:rPr>
            </w:pPr>
            <w:r w:rsidRPr="008A63D4">
              <w:rPr>
                <w:color w:val="1F497D"/>
                <w:sz w:val="18"/>
                <w:szCs w:val="18"/>
                <w:lang w:val="ru-RU" w:eastAsia="zh-CN"/>
              </w:rPr>
              <w:t>88%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1776E7" w:rsidRPr="008A63D4" w:rsidRDefault="001776E7" w:rsidP="00192D37">
            <w:pPr>
              <w:tabs>
                <w:tab w:val="left" w:pos="720"/>
              </w:tabs>
              <w:overflowPunct/>
              <w:autoSpaceDE/>
              <w:snapToGrid w:val="0"/>
              <w:spacing w:before="0"/>
              <w:jc w:val="center"/>
              <w:rPr>
                <w:color w:val="1F497D"/>
                <w:sz w:val="18"/>
                <w:szCs w:val="18"/>
                <w:lang w:val="ru-RU" w:eastAsia="zh-CN"/>
              </w:rPr>
            </w:pPr>
            <w:r w:rsidRPr="008A63D4">
              <w:rPr>
                <w:color w:val="1F497D"/>
                <w:sz w:val="18"/>
                <w:szCs w:val="18"/>
                <w:lang w:val="ru-RU" w:eastAsia="zh-CN"/>
              </w:rPr>
              <w:t>91%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1776E7" w:rsidRPr="008A63D4" w:rsidRDefault="001776E7" w:rsidP="00192D37">
            <w:pPr>
              <w:tabs>
                <w:tab w:val="left" w:pos="720"/>
              </w:tabs>
              <w:overflowPunct/>
              <w:autoSpaceDE/>
              <w:snapToGrid w:val="0"/>
              <w:spacing w:before="0"/>
              <w:jc w:val="center"/>
              <w:rPr>
                <w:color w:val="1F497D"/>
                <w:sz w:val="18"/>
                <w:szCs w:val="18"/>
                <w:lang w:val="ru-RU" w:eastAsia="zh-CN"/>
              </w:rPr>
            </w:pPr>
            <w:r w:rsidRPr="008A63D4">
              <w:rPr>
                <w:color w:val="1F497D"/>
                <w:sz w:val="18"/>
                <w:szCs w:val="18"/>
                <w:lang w:val="ru-RU" w:eastAsia="zh-CN"/>
              </w:rPr>
              <w:t>93%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1776E7" w:rsidRPr="008A63D4" w:rsidRDefault="001776E7" w:rsidP="00192D37">
            <w:pPr>
              <w:tabs>
                <w:tab w:val="left" w:pos="720"/>
              </w:tabs>
              <w:overflowPunct/>
              <w:autoSpaceDE/>
              <w:snapToGrid w:val="0"/>
              <w:spacing w:before="0"/>
              <w:jc w:val="center"/>
              <w:rPr>
                <w:color w:val="1F497D"/>
                <w:sz w:val="18"/>
                <w:szCs w:val="18"/>
                <w:lang w:val="ru-RU" w:eastAsia="zh-CN"/>
              </w:rPr>
            </w:pPr>
            <w:r w:rsidRPr="008A63D4">
              <w:rPr>
                <w:color w:val="1F497D"/>
                <w:sz w:val="18"/>
                <w:szCs w:val="18"/>
                <w:lang w:val="ru-RU" w:eastAsia="zh-CN"/>
              </w:rPr>
              <w:t>94%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1776E7" w:rsidRPr="008A63D4" w:rsidRDefault="001776E7" w:rsidP="00192D37">
            <w:pPr>
              <w:tabs>
                <w:tab w:val="left" w:pos="720"/>
              </w:tabs>
              <w:overflowPunct/>
              <w:autoSpaceDE/>
              <w:snapToGrid w:val="0"/>
              <w:spacing w:before="0"/>
              <w:jc w:val="center"/>
              <w:rPr>
                <w:color w:val="1F497D"/>
                <w:sz w:val="18"/>
                <w:szCs w:val="18"/>
                <w:lang w:val="ru-RU" w:eastAsia="zh-CN"/>
              </w:rPr>
            </w:pPr>
            <w:r w:rsidRPr="008A63D4">
              <w:rPr>
                <w:color w:val="1F497D"/>
                <w:sz w:val="18"/>
                <w:szCs w:val="18"/>
                <w:lang w:val="ru-RU" w:eastAsia="zh-CN"/>
              </w:rPr>
              <w:t>93%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1776E7" w:rsidRPr="008A63D4" w:rsidRDefault="001776E7" w:rsidP="00192D37">
            <w:pPr>
              <w:tabs>
                <w:tab w:val="left" w:pos="720"/>
              </w:tabs>
              <w:overflowPunct/>
              <w:autoSpaceDE/>
              <w:snapToGrid w:val="0"/>
              <w:spacing w:before="0"/>
              <w:jc w:val="center"/>
              <w:rPr>
                <w:color w:val="1F497D"/>
                <w:sz w:val="18"/>
                <w:szCs w:val="18"/>
                <w:lang w:val="ru-RU" w:eastAsia="zh-CN"/>
              </w:rPr>
            </w:pPr>
            <w:r w:rsidRPr="008A63D4">
              <w:rPr>
                <w:color w:val="1F497D"/>
                <w:sz w:val="18"/>
                <w:szCs w:val="18"/>
                <w:lang w:val="ru-RU" w:eastAsia="zh-CN"/>
              </w:rPr>
              <w:t>93%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1776E7" w:rsidRPr="008A63D4" w:rsidRDefault="001776E7" w:rsidP="00192D37">
            <w:pPr>
              <w:tabs>
                <w:tab w:val="left" w:pos="720"/>
              </w:tabs>
              <w:overflowPunct/>
              <w:autoSpaceDE/>
              <w:snapToGrid w:val="0"/>
              <w:spacing w:before="0"/>
              <w:jc w:val="center"/>
              <w:rPr>
                <w:color w:val="1F497D"/>
                <w:sz w:val="18"/>
                <w:szCs w:val="18"/>
                <w:lang w:val="ru-RU" w:eastAsia="zh-CN"/>
              </w:rPr>
            </w:pPr>
            <w:r w:rsidRPr="008A63D4">
              <w:rPr>
                <w:color w:val="1F497D"/>
                <w:sz w:val="18"/>
                <w:szCs w:val="18"/>
                <w:lang w:val="ru-RU" w:eastAsia="zh-CN"/>
              </w:rPr>
              <w:t>93%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1776E7" w:rsidRPr="008A63D4" w:rsidRDefault="001776E7" w:rsidP="00192D37">
            <w:pPr>
              <w:tabs>
                <w:tab w:val="left" w:pos="720"/>
              </w:tabs>
              <w:overflowPunct/>
              <w:autoSpaceDE/>
              <w:snapToGrid w:val="0"/>
              <w:spacing w:before="0"/>
              <w:jc w:val="center"/>
              <w:rPr>
                <w:color w:val="1F497D"/>
                <w:sz w:val="18"/>
                <w:szCs w:val="18"/>
                <w:lang w:val="ru-RU" w:eastAsia="zh-CN"/>
              </w:rPr>
            </w:pPr>
            <w:r w:rsidRPr="008A63D4">
              <w:rPr>
                <w:color w:val="1F497D"/>
                <w:sz w:val="18"/>
                <w:szCs w:val="18"/>
                <w:lang w:val="ru-RU" w:eastAsia="zh-CN"/>
              </w:rPr>
              <w:t>93%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1776E7" w:rsidRPr="008A63D4" w:rsidRDefault="001776E7" w:rsidP="00192D37">
            <w:pPr>
              <w:tabs>
                <w:tab w:val="left" w:pos="720"/>
              </w:tabs>
              <w:overflowPunct/>
              <w:autoSpaceDE/>
              <w:snapToGrid w:val="0"/>
              <w:spacing w:before="0"/>
              <w:jc w:val="center"/>
              <w:rPr>
                <w:color w:val="1F497D"/>
                <w:sz w:val="18"/>
                <w:szCs w:val="18"/>
                <w:lang w:val="ru-RU" w:eastAsia="zh-CN"/>
              </w:rPr>
            </w:pPr>
            <w:r w:rsidRPr="008A63D4">
              <w:rPr>
                <w:color w:val="1F497D"/>
                <w:sz w:val="18"/>
                <w:szCs w:val="18"/>
                <w:lang w:val="ru-RU" w:eastAsia="zh-CN"/>
              </w:rPr>
              <w:t>96%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1776E7" w:rsidRPr="008A63D4" w:rsidRDefault="00192D37" w:rsidP="00192D37">
            <w:pPr>
              <w:tabs>
                <w:tab w:val="left" w:pos="720"/>
              </w:tabs>
              <w:overflowPunct/>
              <w:autoSpaceDE/>
              <w:snapToGrid w:val="0"/>
              <w:spacing w:before="0"/>
              <w:jc w:val="center"/>
              <w:rPr>
                <w:color w:val="1F497D"/>
                <w:sz w:val="18"/>
                <w:szCs w:val="18"/>
                <w:lang w:val="ru-RU" w:eastAsia="zh-CN"/>
              </w:rPr>
            </w:pPr>
            <w:r w:rsidRPr="008A63D4">
              <w:rPr>
                <w:color w:val="1F497D"/>
                <w:sz w:val="18"/>
                <w:szCs w:val="18"/>
                <w:lang w:val="ru-RU" w:eastAsia="zh-CN"/>
              </w:rPr>
              <w:t>94%</w:t>
            </w:r>
          </w:p>
        </w:tc>
      </w:tr>
      <w:tr w:rsidR="001776E7" w:rsidRPr="008A63D4" w:rsidTr="008A63D4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1776E7" w:rsidRPr="008A63D4" w:rsidRDefault="001776E7" w:rsidP="00BC0798">
            <w:pPr>
              <w:pStyle w:val="Tabletext"/>
              <w:rPr>
                <w:color w:val="1F497D" w:themeColor="text2"/>
                <w:sz w:val="18"/>
                <w:szCs w:val="18"/>
                <w:lang w:val="ru-RU" w:eastAsia="zh-CN"/>
              </w:rPr>
            </w:pPr>
            <w:r w:rsidRPr="008A63D4">
              <w:rPr>
                <w:color w:val="1F497D" w:themeColor="text2"/>
                <w:sz w:val="18"/>
                <w:szCs w:val="18"/>
                <w:lang w:val="ru-RU" w:eastAsia="zh-CN"/>
              </w:rPr>
              <w:t>Академические организации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1776E7" w:rsidRPr="008A63D4" w:rsidRDefault="001776E7" w:rsidP="00192D37">
            <w:pPr>
              <w:tabs>
                <w:tab w:val="left" w:pos="720"/>
              </w:tabs>
              <w:overflowPunct/>
              <w:autoSpaceDE/>
              <w:snapToGrid w:val="0"/>
              <w:spacing w:before="0"/>
              <w:jc w:val="center"/>
              <w:rPr>
                <w:color w:val="1F497D"/>
                <w:sz w:val="18"/>
                <w:szCs w:val="18"/>
                <w:lang w:val="ru-RU" w:eastAsia="zh-C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1776E7" w:rsidRPr="008A63D4" w:rsidRDefault="001776E7" w:rsidP="00192D37">
            <w:pPr>
              <w:tabs>
                <w:tab w:val="left" w:pos="720"/>
              </w:tabs>
              <w:overflowPunct/>
              <w:autoSpaceDE/>
              <w:snapToGrid w:val="0"/>
              <w:spacing w:before="0"/>
              <w:jc w:val="center"/>
              <w:rPr>
                <w:color w:val="1F497D"/>
                <w:sz w:val="18"/>
                <w:szCs w:val="18"/>
                <w:lang w:val="ru-RU" w:eastAsia="zh-CN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1776E7" w:rsidRPr="008A63D4" w:rsidRDefault="001776E7" w:rsidP="00192D37">
            <w:pPr>
              <w:tabs>
                <w:tab w:val="left" w:pos="720"/>
              </w:tabs>
              <w:overflowPunct/>
              <w:autoSpaceDE/>
              <w:snapToGrid w:val="0"/>
              <w:spacing w:before="0"/>
              <w:jc w:val="center"/>
              <w:rPr>
                <w:color w:val="1F497D"/>
                <w:sz w:val="18"/>
                <w:szCs w:val="18"/>
                <w:lang w:val="ru-RU" w:eastAsia="zh-CN"/>
              </w:rPr>
            </w:pPr>
            <w:r w:rsidRPr="008A63D4">
              <w:rPr>
                <w:color w:val="1F497D"/>
                <w:sz w:val="18"/>
                <w:szCs w:val="18"/>
                <w:lang w:val="ru-RU" w:eastAsia="zh-CN"/>
              </w:rPr>
              <w:t>80%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1776E7" w:rsidRPr="008A63D4" w:rsidRDefault="001776E7" w:rsidP="00192D37">
            <w:pPr>
              <w:tabs>
                <w:tab w:val="left" w:pos="720"/>
              </w:tabs>
              <w:overflowPunct/>
              <w:autoSpaceDE/>
              <w:snapToGrid w:val="0"/>
              <w:spacing w:before="0"/>
              <w:jc w:val="center"/>
              <w:rPr>
                <w:color w:val="1F497D"/>
                <w:sz w:val="18"/>
                <w:szCs w:val="18"/>
                <w:lang w:val="ru-RU" w:eastAsia="zh-CN"/>
              </w:rPr>
            </w:pPr>
            <w:r w:rsidRPr="008A63D4">
              <w:rPr>
                <w:color w:val="1F497D"/>
                <w:sz w:val="18"/>
                <w:szCs w:val="18"/>
                <w:lang w:val="ru-RU" w:eastAsia="zh-CN"/>
              </w:rPr>
              <w:t>86%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1776E7" w:rsidRPr="008A63D4" w:rsidRDefault="001776E7" w:rsidP="00192D37">
            <w:pPr>
              <w:tabs>
                <w:tab w:val="left" w:pos="720"/>
              </w:tabs>
              <w:overflowPunct/>
              <w:autoSpaceDE/>
              <w:snapToGrid w:val="0"/>
              <w:spacing w:before="0"/>
              <w:jc w:val="center"/>
              <w:rPr>
                <w:color w:val="1F497D"/>
                <w:sz w:val="18"/>
                <w:szCs w:val="18"/>
                <w:lang w:val="ru-RU" w:eastAsia="zh-CN"/>
              </w:rPr>
            </w:pPr>
            <w:r w:rsidRPr="008A63D4">
              <w:rPr>
                <w:color w:val="1F497D"/>
                <w:sz w:val="18"/>
                <w:szCs w:val="18"/>
                <w:lang w:val="ru-RU" w:eastAsia="zh-CN"/>
              </w:rPr>
              <w:t>92%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1776E7" w:rsidRPr="008A63D4" w:rsidRDefault="001776E7" w:rsidP="00192D37">
            <w:pPr>
              <w:tabs>
                <w:tab w:val="left" w:pos="720"/>
              </w:tabs>
              <w:overflowPunct/>
              <w:autoSpaceDE/>
              <w:snapToGrid w:val="0"/>
              <w:spacing w:before="0"/>
              <w:jc w:val="center"/>
              <w:rPr>
                <w:color w:val="1F497D"/>
                <w:sz w:val="18"/>
                <w:szCs w:val="18"/>
                <w:lang w:val="ru-RU" w:eastAsia="zh-CN"/>
              </w:rPr>
            </w:pPr>
            <w:r w:rsidRPr="008A63D4">
              <w:rPr>
                <w:color w:val="1F497D"/>
                <w:sz w:val="18"/>
                <w:szCs w:val="18"/>
                <w:lang w:val="ru-RU" w:eastAsia="zh-CN"/>
              </w:rPr>
              <w:t>95%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1776E7" w:rsidRPr="008A63D4" w:rsidRDefault="001776E7" w:rsidP="00192D37">
            <w:pPr>
              <w:tabs>
                <w:tab w:val="left" w:pos="720"/>
              </w:tabs>
              <w:overflowPunct/>
              <w:autoSpaceDE/>
              <w:snapToGrid w:val="0"/>
              <w:spacing w:before="0"/>
              <w:jc w:val="center"/>
              <w:rPr>
                <w:color w:val="1F497D"/>
                <w:sz w:val="18"/>
                <w:szCs w:val="18"/>
                <w:lang w:val="ru-RU" w:eastAsia="zh-CN"/>
              </w:rPr>
            </w:pPr>
            <w:r w:rsidRPr="008A63D4">
              <w:rPr>
                <w:color w:val="1F497D"/>
                <w:sz w:val="18"/>
                <w:szCs w:val="18"/>
                <w:lang w:val="ru-RU" w:eastAsia="zh-CN"/>
              </w:rPr>
              <w:t>93%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1776E7" w:rsidRPr="008A63D4" w:rsidRDefault="001776E7" w:rsidP="00192D37">
            <w:pPr>
              <w:tabs>
                <w:tab w:val="left" w:pos="720"/>
              </w:tabs>
              <w:overflowPunct/>
              <w:autoSpaceDE/>
              <w:snapToGrid w:val="0"/>
              <w:spacing w:before="0"/>
              <w:jc w:val="center"/>
              <w:rPr>
                <w:color w:val="1F497D"/>
                <w:sz w:val="18"/>
                <w:szCs w:val="18"/>
                <w:lang w:val="ru-RU" w:eastAsia="zh-CN"/>
              </w:rPr>
            </w:pPr>
            <w:r w:rsidRPr="008A63D4">
              <w:rPr>
                <w:color w:val="1F497D"/>
                <w:sz w:val="18"/>
                <w:szCs w:val="18"/>
                <w:lang w:val="ru-RU" w:eastAsia="zh-CN"/>
              </w:rPr>
              <w:t>96%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1776E7" w:rsidRPr="008A63D4" w:rsidRDefault="001776E7" w:rsidP="00192D37">
            <w:pPr>
              <w:tabs>
                <w:tab w:val="left" w:pos="720"/>
              </w:tabs>
              <w:overflowPunct/>
              <w:autoSpaceDE/>
              <w:snapToGrid w:val="0"/>
              <w:spacing w:before="0"/>
              <w:jc w:val="center"/>
              <w:rPr>
                <w:color w:val="1F497D"/>
                <w:sz w:val="18"/>
                <w:szCs w:val="18"/>
                <w:lang w:val="ru-RU" w:eastAsia="zh-CN"/>
              </w:rPr>
            </w:pPr>
            <w:r w:rsidRPr="008A63D4">
              <w:rPr>
                <w:color w:val="1F497D"/>
                <w:sz w:val="18"/>
                <w:szCs w:val="18"/>
                <w:lang w:val="ru-RU" w:eastAsia="zh-CN"/>
              </w:rPr>
              <w:t>94%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1776E7" w:rsidRPr="008A63D4" w:rsidRDefault="00192D37" w:rsidP="00192D37">
            <w:pPr>
              <w:tabs>
                <w:tab w:val="left" w:pos="720"/>
              </w:tabs>
              <w:overflowPunct/>
              <w:autoSpaceDE/>
              <w:snapToGrid w:val="0"/>
              <w:spacing w:before="0"/>
              <w:jc w:val="center"/>
              <w:rPr>
                <w:color w:val="1F497D"/>
                <w:sz w:val="18"/>
                <w:szCs w:val="18"/>
                <w:lang w:val="ru-RU" w:eastAsia="zh-CN"/>
              </w:rPr>
            </w:pPr>
            <w:r w:rsidRPr="008A63D4">
              <w:rPr>
                <w:color w:val="1F497D"/>
                <w:sz w:val="18"/>
                <w:szCs w:val="18"/>
                <w:lang w:val="ru-RU" w:eastAsia="zh-CN"/>
              </w:rPr>
              <w:t>93%</w:t>
            </w:r>
          </w:p>
        </w:tc>
      </w:tr>
    </w:tbl>
    <w:p w:rsidR="00BC0798" w:rsidRPr="008A63D4" w:rsidRDefault="00BC0798" w:rsidP="00BC0798">
      <w:pPr>
        <w:pStyle w:val="TableNo"/>
        <w:rPr>
          <w:lang w:val="ru-RU"/>
        </w:rPr>
      </w:pPr>
      <w:r w:rsidRPr="008A63D4">
        <w:rPr>
          <w:lang w:val="ru-RU"/>
        </w:rPr>
        <w:t>Таблица 2</w:t>
      </w:r>
    </w:p>
    <w:p w:rsidR="00BC0798" w:rsidRPr="008A63D4" w:rsidRDefault="00BC0798" w:rsidP="00BC0798">
      <w:pPr>
        <w:pStyle w:val="Tabletitle"/>
        <w:rPr>
          <w:lang w:val="ru-RU"/>
        </w:rPr>
      </w:pPr>
      <w:r w:rsidRPr="008A63D4">
        <w:rPr>
          <w:lang w:val="ru-RU"/>
        </w:rPr>
        <w:t xml:space="preserve">Динамика текущей задолженности и задолженности за предыдущие годы </w:t>
      </w:r>
      <w:r w:rsidRPr="008A63D4">
        <w:rPr>
          <w:lang w:val="ru-RU"/>
        </w:rPr>
        <w:br/>
        <w:t xml:space="preserve">по взносам Членов Секторов, Ассоциированных членов и Академических организаций </w:t>
      </w:r>
      <w:r w:rsidRPr="008A63D4">
        <w:rPr>
          <w:lang w:val="ru-RU"/>
        </w:rPr>
        <w:br/>
        <w:t>(в тыс. швейцарских франков)</w:t>
      </w:r>
    </w:p>
    <w:tbl>
      <w:tblPr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765"/>
        <w:gridCol w:w="765"/>
        <w:gridCol w:w="766"/>
        <w:gridCol w:w="765"/>
        <w:gridCol w:w="766"/>
        <w:gridCol w:w="765"/>
        <w:gridCol w:w="765"/>
        <w:gridCol w:w="766"/>
        <w:gridCol w:w="765"/>
        <w:gridCol w:w="766"/>
      </w:tblGrid>
      <w:tr w:rsidR="00192D37" w:rsidRPr="008A63D4" w:rsidTr="008A63D4">
        <w:trPr>
          <w:trHeight w:val="30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2D37" w:rsidRPr="008A63D4" w:rsidRDefault="00192D37" w:rsidP="00BC0798">
            <w:pPr>
              <w:pStyle w:val="Tablehead"/>
              <w:rPr>
                <w:color w:val="1F497D" w:themeColor="text2"/>
                <w:sz w:val="18"/>
                <w:szCs w:val="18"/>
                <w:lang w:val="ru-RU" w:eastAsia="zh-CN"/>
              </w:rPr>
            </w:pPr>
            <w:r w:rsidRPr="008A63D4">
              <w:rPr>
                <w:color w:val="1F497D" w:themeColor="text2"/>
                <w:sz w:val="18"/>
                <w:szCs w:val="18"/>
                <w:lang w:val="ru-RU" w:eastAsia="zh-CN"/>
              </w:rPr>
              <w:t>Задолженность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2D37" w:rsidRPr="008A63D4" w:rsidRDefault="00192D37" w:rsidP="00BC0798">
            <w:pPr>
              <w:pStyle w:val="Tablehead"/>
              <w:rPr>
                <w:color w:val="1F497D" w:themeColor="text2"/>
                <w:sz w:val="18"/>
                <w:szCs w:val="18"/>
                <w:lang w:val="ru-RU" w:eastAsia="zh-CN"/>
              </w:rPr>
            </w:pPr>
            <w:r w:rsidRPr="008A63D4">
              <w:rPr>
                <w:color w:val="1F497D" w:themeColor="text2"/>
                <w:sz w:val="18"/>
                <w:szCs w:val="18"/>
                <w:lang w:val="ru-RU" w:eastAsia="zh-CN"/>
              </w:rPr>
              <w:t>2009 г.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2D37" w:rsidRPr="008A63D4" w:rsidRDefault="00192D37" w:rsidP="00BC0798">
            <w:pPr>
              <w:pStyle w:val="Tablehead"/>
              <w:rPr>
                <w:color w:val="1F497D" w:themeColor="text2"/>
                <w:sz w:val="18"/>
                <w:szCs w:val="18"/>
                <w:lang w:val="ru-RU" w:eastAsia="zh-CN"/>
              </w:rPr>
            </w:pPr>
            <w:r w:rsidRPr="008A63D4">
              <w:rPr>
                <w:color w:val="1F497D" w:themeColor="text2"/>
                <w:sz w:val="18"/>
                <w:szCs w:val="18"/>
                <w:lang w:val="ru-RU" w:eastAsia="zh-CN"/>
              </w:rPr>
              <w:t>2010 г.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2D37" w:rsidRPr="008A63D4" w:rsidRDefault="00192D37" w:rsidP="00BC0798">
            <w:pPr>
              <w:pStyle w:val="Tablehead"/>
              <w:rPr>
                <w:color w:val="1F497D" w:themeColor="text2"/>
                <w:sz w:val="18"/>
                <w:szCs w:val="18"/>
                <w:lang w:val="ru-RU" w:eastAsia="zh-CN"/>
              </w:rPr>
            </w:pPr>
            <w:r w:rsidRPr="008A63D4">
              <w:rPr>
                <w:color w:val="1F497D" w:themeColor="text2"/>
                <w:sz w:val="18"/>
                <w:szCs w:val="18"/>
                <w:lang w:val="ru-RU" w:eastAsia="zh-CN"/>
              </w:rPr>
              <w:t>2011 г.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2D37" w:rsidRPr="008A63D4" w:rsidRDefault="00192D37" w:rsidP="00BC0798">
            <w:pPr>
              <w:pStyle w:val="Tablehead"/>
              <w:rPr>
                <w:color w:val="1F497D" w:themeColor="text2"/>
                <w:sz w:val="18"/>
                <w:szCs w:val="18"/>
                <w:lang w:val="ru-RU" w:eastAsia="zh-CN"/>
              </w:rPr>
            </w:pPr>
            <w:r w:rsidRPr="008A63D4">
              <w:rPr>
                <w:color w:val="1F497D" w:themeColor="text2"/>
                <w:sz w:val="18"/>
                <w:szCs w:val="18"/>
                <w:lang w:val="ru-RU" w:eastAsia="zh-CN"/>
              </w:rPr>
              <w:t>2012 г.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2D37" w:rsidRPr="008A63D4" w:rsidRDefault="00192D37" w:rsidP="00BC0798">
            <w:pPr>
              <w:pStyle w:val="Tablehead"/>
              <w:rPr>
                <w:color w:val="1F497D" w:themeColor="text2"/>
                <w:sz w:val="18"/>
                <w:szCs w:val="18"/>
                <w:lang w:val="ru-RU" w:eastAsia="zh-CN"/>
              </w:rPr>
            </w:pPr>
            <w:r w:rsidRPr="008A63D4">
              <w:rPr>
                <w:color w:val="1F497D" w:themeColor="text2"/>
                <w:sz w:val="18"/>
                <w:szCs w:val="18"/>
                <w:lang w:val="ru-RU" w:eastAsia="zh-CN"/>
              </w:rPr>
              <w:t>2013 г.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2D37" w:rsidRPr="008A63D4" w:rsidRDefault="00192D37" w:rsidP="00BC0798">
            <w:pPr>
              <w:pStyle w:val="Tablehead"/>
              <w:rPr>
                <w:color w:val="1F497D" w:themeColor="text2"/>
                <w:sz w:val="18"/>
                <w:szCs w:val="18"/>
                <w:lang w:val="ru-RU" w:eastAsia="zh-CN"/>
              </w:rPr>
            </w:pPr>
            <w:r w:rsidRPr="008A63D4">
              <w:rPr>
                <w:color w:val="1F497D" w:themeColor="text2"/>
                <w:sz w:val="18"/>
                <w:szCs w:val="18"/>
                <w:lang w:val="ru-RU" w:eastAsia="zh-CN"/>
              </w:rPr>
              <w:t>2014 г.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2D37" w:rsidRPr="008A63D4" w:rsidRDefault="00192D37" w:rsidP="00BC0798">
            <w:pPr>
              <w:pStyle w:val="Tablehead"/>
              <w:rPr>
                <w:color w:val="1F497D" w:themeColor="text2"/>
                <w:sz w:val="18"/>
                <w:szCs w:val="18"/>
                <w:lang w:val="ru-RU" w:eastAsia="zh-CN"/>
              </w:rPr>
            </w:pPr>
            <w:r w:rsidRPr="008A63D4">
              <w:rPr>
                <w:color w:val="1F497D" w:themeColor="text2"/>
                <w:sz w:val="18"/>
                <w:szCs w:val="18"/>
                <w:lang w:val="ru-RU" w:eastAsia="zh-CN"/>
              </w:rPr>
              <w:t>2015 г.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2D37" w:rsidRPr="008A63D4" w:rsidRDefault="00192D37" w:rsidP="00BC0798">
            <w:pPr>
              <w:pStyle w:val="Tablehead"/>
              <w:rPr>
                <w:color w:val="1F497D" w:themeColor="text2"/>
                <w:sz w:val="18"/>
                <w:szCs w:val="18"/>
                <w:lang w:val="ru-RU" w:eastAsia="zh-CN"/>
              </w:rPr>
            </w:pPr>
            <w:r w:rsidRPr="008A63D4">
              <w:rPr>
                <w:color w:val="1F497D" w:themeColor="text2"/>
                <w:sz w:val="18"/>
                <w:szCs w:val="18"/>
                <w:lang w:val="ru-RU" w:eastAsia="zh-CN"/>
              </w:rPr>
              <w:t>2016 г.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2D37" w:rsidRPr="008A63D4" w:rsidRDefault="00192D37" w:rsidP="00BC0798">
            <w:pPr>
              <w:pStyle w:val="Tablehead"/>
              <w:rPr>
                <w:color w:val="1F497D" w:themeColor="text2"/>
                <w:sz w:val="18"/>
                <w:szCs w:val="18"/>
                <w:lang w:val="ru-RU" w:eastAsia="zh-CN"/>
              </w:rPr>
            </w:pPr>
            <w:r w:rsidRPr="008A63D4">
              <w:rPr>
                <w:color w:val="1F497D" w:themeColor="text2"/>
                <w:sz w:val="18"/>
                <w:szCs w:val="18"/>
                <w:lang w:val="ru-RU" w:eastAsia="zh-CN"/>
              </w:rPr>
              <w:t>2017 г.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D37" w:rsidRPr="008A63D4" w:rsidRDefault="00192D37" w:rsidP="00BC0798">
            <w:pPr>
              <w:pStyle w:val="Tablehead"/>
              <w:rPr>
                <w:color w:val="1F497D" w:themeColor="text2"/>
                <w:sz w:val="18"/>
                <w:szCs w:val="18"/>
                <w:lang w:val="ru-RU" w:eastAsia="zh-CN"/>
              </w:rPr>
            </w:pPr>
            <w:r w:rsidRPr="008A63D4">
              <w:rPr>
                <w:color w:val="1F497D" w:themeColor="text2"/>
                <w:sz w:val="18"/>
                <w:szCs w:val="18"/>
                <w:lang w:val="ru-RU" w:eastAsia="zh-CN"/>
              </w:rPr>
              <w:t>2018 г.</w:t>
            </w:r>
          </w:p>
        </w:tc>
      </w:tr>
      <w:tr w:rsidR="00192D37" w:rsidRPr="008A63D4" w:rsidTr="008A63D4">
        <w:trPr>
          <w:trHeight w:val="377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  <w:hideMark/>
          </w:tcPr>
          <w:p w:rsidR="00192D37" w:rsidRPr="008A63D4" w:rsidRDefault="00192D37" w:rsidP="00BC0798">
            <w:pPr>
              <w:pStyle w:val="Tabletext"/>
              <w:rPr>
                <w:color w:val="1F497D" w:themeColor="text2"/>
                <w:sz w:val="18"/>
                <w:szCs w:val="18"/>
                <w:lang w:val="ru-RU" w:eastAsia="zh-CN"/>
              </w:rPr>
            </w:pPr>
            <w:r w:rsidRPr="008A63D4">
              <w:rPr>
                <w:color w:val="1F497D" w:themeColor="text2"/>
                <w:sz w:val="18"/>
                <w:szCs w:val="18"/>
                <w:lang w:val="ru-RU" w:eastAsia="zh-CN"/>
              </w:rPr>
              <w:t>Текущая задолженность (по взносам)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92D37" w:rsidRPr="008A63D4" w:rsidRDefault="00192D37" w:rsidP="00192D3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right"/>
              <w:rPr>
                <w:color w:val="1F497D"/>
                <w:sz w:val="18"/>
                <w:szCs w:val="18"/>
                <w:lang w:val="ru-RU" w:eastAsia="zh-CN"/>
              </w:rPr>
            </w:pPr>
            <w:r w:rsidRPr="008A63D4">
              <w:rPr>
                <w:color w:val="1F497D"/>
                <w:sz w:val="18"/>
                <w:szCs w:val="18"/>
                <w:lang w:val="ru-RU" w:eastAsia="zh-CN"/>
              </w:rPr>
              <w:t>1 416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92D37" w:rsidRPr="008A63D4" w:rsidRDefault="00192D37" w:rsidP="00192D3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right"/>
              <w:rPr>
                <w:color w:val="1F497D"/>
                <w:sz w:val="18"/>
                <w:szCs w:val="18"/>
                <w:lang w:val="ru-RU" w:eastAsia="zh-CN"/>
              </w:rPr>
            </w:pPr>
            <w:r w:rsidRPr="008A63D4">
              <w:rPr>
                <w:color w:val="1F497D"/>
                <w:sz w:val="18"/>
                <w:szCs w:val="18"/>
                <w:lang w:val="ru-RU" w:eastAsia="zh-CN"/>
              </w:rPr>
              <w:t>677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92D37" w:rsidRPr="008A63D4" w:rsidRDefault="00192D37" w:rsidP="00192D3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right"/>
              <w:rPr>
                <w:color w:val="1F497D"/>
                <w:sz w:val="18"/>
                <w:szCs w:val="18"/>
                <w:lang w:val="ru-RU" w:eastAsia="zh-CN"/>
              </w:rPr>
            </w:pPr>
            <w:r w:rsidRPr="008A63D4">
              <w:rPr>
                <w:color w:val="1F497D"/>
                <w:sz w:val="18"/>
                <w:szCs w:val="18"/>
                <w:lang w:val="ru-RU" w:eastAsia="zh-CN"/>
              </w:rPr>
              <w:t>374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92D37" w:rsidRPr="008A63D4" w:rsidRDefault="00192D37" w:rsidP="00192D3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right"/>
              <w:rPr>
                <w:color w:val="1F497D"/>
                <w:sz w:val="18"/>
                <w:szCs w:val="18"/>
                <w:lang w:val="ru-RU" w:eastAsia="zh-CN"/>
              </w:rPr>
            </w:pPr>
            <w:r w:rsidRPr="008A63D4">
              <w:rPr>
                <w:color w:val="1F497D"/>
                <w:sz w:val="18"/>
                <w:szCs w:val="18"/>
                <w:lang w:val="ru-RU" w:eastAsia="zh-CN"/>
              </w:rPr>
              <w:t>469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92D37" w:rsidRPr="008A63D4" w:rsidRDefault="00192D37" w:rsidP="00192D3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right"/>
              <w:rPr>
                <w:color w:val="1F497D"/>
                <w:sz w:val="18"/>
                <w:szCs w:val="18"/>
                <w:lang w:val="ru-RU" w:eastAsia="zh-CN"/>
              </w:rPr>
            </w:pPr>
            <w:r w:rsidRPr="008A63D4">
              <w:rPr>
                <w:color w:val="1F497D"/>
                <w:sz w:val="18"/>
                <w:szCs w:val="18"/>
                <w:lang w:val="ru-RU" w:eastAsia="zh-CN"/>
              </w:rPr>
              <w:t>470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92D37" w:rsidRPr="008A63D4" w:rsidRDefault="00192D37" w:rsidP="00192D3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right"/>
              <w:rPr>
                <w:color w:val="1F497D"/>
                <w:sz w:val="18"/>
                <w:szCs w:val="18"/>
                <w:lang w:val="ru-RU" w:eastAsia="zh-CN"/>
              </w:rPr>
            </w:pPr>
            <w:r w:rsidRPr="008A63D4">
              <w:rPr>
                <w:color w:val="1F497D"/>
                <w:sz w:val="18"/>
                <w:szCs w:val="18"/>
                <w:lang w:val="ru-RU" w:eastAsia="zh-CN"/>
              </w:rPr>
              <w:t>487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92D37" w:rsidRPr="008A63D4" w:rsidRDefault="00192D37" w:rsidP="00192D3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right"/>
              <w:rPr>
                <w:color w:val="1F497D"/>
                <w:sz w:val="18"/>
                <w:szCs w:val="18"/>
                <w:lang w:val="ru-RU" w:eastAsia="zh-CN"/>
              </w:rPr>
            </w:pPr>
            <w:r w:rsidRPr="008A63D4">
              <w:rPr>
                <w:color w:val="1F497D"/>
                <w:sz w:val="18"/>
                <w:szCs w:val="18"/>
                <w:lang w:val="ru-RU" w:eastAsia="zh-CN"/>
              </w:rPr>
              <w:t>441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</w:tcPr>
          <w:p w:rsidR="00192D37" w:rsidRPr="008A63D4" w:rsidRDefault="00192D37" w:rsidP="00192D3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right"/>
              <w:rPr>
                <w:color w:val="1F497D"/>
                <w:sz w:val="18"/>
                <w:szCs w:val="18"/>
                <w:lang w:val="ru-RU" w:eastAsia="zh-CN"/>
              </w:rPr>
            </w:pPr>
            <w:r w:rsidRPr="008A63D4">
              <w:rPr>
                <w:color w:val="1F497D"/>
                <w:sz w:val="18"/>
                <w:szCs w:val="18"/>
                <w:lang w:val="ru-RU" w:eastAsia="zh-CN"/>
              </w:rPr>
              <w:t>515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  <w:hideMark/>
          </w:tcPr>
          <w:p w:rsidR="00192D37" w:rsidRPr="008A63D4" w:rsidRDefault="00192D37" w:rsidP="00192D3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right"/>
              <w:rPr>
                <w:color w:val="1F497D"/>
                <w:sz w:val="18"/>
                <w:szCs w:val="18"/>
                <w:lang w:val="ru-RU" w:eastAsia="zh-CN"/>
              </w:rPr>
            </w:pPr>
            <w:r w:rsidRPr="008A63D4">
              <w:rPr>
                <w:color w:val="1F497D"/>
                <w:sz w:val="18"/>
                <w:szCs w:val="18"/>
                <w:lang w:val="ru-RU" w:eastAsia="zh-CN"/>
              </w:rPr>
              <w:t>542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</w:tcPr>
          <w:p w:rsidR="00192D37" w:rsidRPr="008A63D4" w:rsidRDefault="00192D37" w:rsidP="00192D3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right"/>
              <w:rPr>
                <w:color w:val="1F497D"/>
                <w:sz w:val="18"/>
                <w:szCs w:val="18"/>
                <w:lang w:val="ru-RU" w:eastAsia="zh-CN"/>
              </w:rPr>
            </w:pPr>
            <w:r w:rsidRPr="008A63D4">
              <w:rPr>
                <w:color w:val="1F497D"/>
                <w:sz w:val="18"/>
                <w:szCs w:val="18"/>
                <w:lang w:val="ru-RU" w:eastAsia="zh-CN"/>
              </w:rPr>
              <w:t>871</w:t>
            </w:r>
          </w:p>
        </w:tc>
      </w:tr>
      <w:tr w:rsidR="00192D37" w:rsidRPr="008A63D4" w:rsidTr="008A63D4">
        <w:trPr>
          <w:trHeight w:val="271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  <w:hideMark/>
          </w:tcPr>
          <w:p w:rsidR="00192D37" w:rsidRPr="008A63D4" w:rsidRDefault="00192D37" w:rsidP="00BC0798">
            <w:pPr>
              <w:pStyle w:val="Tabletext"/>
              <w:tabs>
                <w:tab w:val="clear" w:pos="2268"/>
              </w:tabs>
              <w:ind w:right="-40"/>
              <w:rPr>
                <w:color w:val="1F497D" w:themeColor="text2"/>
                <w:sz w:val="18"/>
                <w:szCs w:val="18"/>
                <w:lang w:val="ru-RU" w:eastAsia="zh-CN"/>
              </w:rPr>
            </w:pPr>
            <w:r w:rsidRPr="008A63D4">
              <w:rPr>
                <w:color w:val="1F497D" w:themeColor="text2"/>
                <w:sz w:val="18"/>
                <w:szCs w:val="18"/>
                <w:lang w:val="ru-RU" w:eastAsia="zh-CN"/>
              </w:rPr>
              <w:t>Задолженность за предыдущие годы (по взносам)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92D37" w:rsidRPr="008A63D4" w:rsidRDefault="00192D37" w:rsidP="00192D3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right"/>
              <w:rPr>
                <w:color w:val="1F497D"/>
                <w:sz w:val="18"/>
                <w:szCs w:val="18"/>
                <w:lang w:val="ru-RU" w:eastAsia="zh-CN"/>
              </w:rPr>
            </w:pPr>
            <w:r w:rsidRPr="008A63D4">
              <w:rPr>
                <w:color w:val="1F497D"/>
                <w:sz w:val="18"/>
                <w:szCs w:val="18"/>
                <w:lang w:val="ru-RU" w:eastAsia="zh-CN"/>
              </w:rPr>
              <w:t>18 580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92D37" w:rsidRPr="008A63D4" w:rsidRDefault="00192D37" w:rsidP="00192D3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right"/>
              <w:rPr>
                <w:color w:val="1F497D"/>
                <w:sz w:val="18"/>
                <w:szCs w:val="18"/>
                <w:lang w:val="ru-RU" w:eastAsia="zh-CN"/>
              </w:rPr>
            </w:pPr>
            <w:r w:rsidRPr="008A63D4">
              <w:rPr>
                <w:color w:val="1F497D"/>
                <w:sz w:val="18"/>
                <w:szCs w:val="18"/>
                <w:lang w:val="ru-RU" w:eastAsia="zh-CN"/>
              </w:rPr>
              <w:t>19 679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92D37" w:rsidRPr="008A63D4" w:rsidRDefault="00192D37" w:rsidP="00192D3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right"/>
              <w:rPr>
                <w:color w:val="1F497D"/>
                <w:sz w:val="18"/>
                <w:szCs w:val="18"/>
                <w:lang w:val="ru-RU" w:eastAsia="zh-CN"/>
              </w:rPr>
            </w:pPr>
            <w:r w:rsidRPr="008A63D4">
              <w:rPr>
                <w:color w:val="1F497D"/>
                <w:sz w:val="18"/>
                <w:szCs w:val="18"/>
                <w:lang w:val="ru-RU" w:eastAsia="zh-CN"/>
              </w:rPr>
              <w:t>19 149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92D37" w:rsidRPr="008A63D4" w:rsidRDefault="00192D37" w:rsidP="00192D3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right"/>
              <w:rPr>
                <w:color w:val="1F497D"/>
                <w:sz w:val="18"/>
                <w:szCs w:val="18"/>
                <w:lang w:val="ru-RU" w:eastAsia="zh-CN"/>
              </w:rPr>
            </w:pPr>
            <w:r w:rsidRPr="008A63D4">
              <w:rPr>
                <w:color w:val="1F497D"/>
                <w:sz w:val="18"/>
                <w:szCs w:val="18"/>
                <w:lang w:val="ru-RU" w:eastAsia="zh-CN"/>
              </w:rPr>
              <w:t>17 758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92D37" w:rsidRPr="008A63D4" w:rsidRDefault="00192D37" w:rsidP="00192D3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right"/>
              <w:rPr>
                <w:color w:val="1F497D"/>
                <w:sz w:val="18"/>
                <w:szCs w:val="18"/>
                <w:lang w:val="ru-RU" w:eastAsia="zh-CN"/>
              </w:rPr>
            </w:pPr>
            <w:r w:rsidRPr="008A63D4">
              <w:rPr>
                <w:color w:val="1F497D"/>
                <w:sz w:val="18"/>
                <w:szCs w:val="18"/>
                <w:lang w:val="ru-RU" w:eastAsia="zh-CN"/>
              </w:rPr>
              <w:t>16 484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92D37" w:rsidRPr="008A63D4" w:rsidRDefault="00192D37" w:rsidP="00192D3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right"/>
              <w:rPr>
                <w:color w:val="1F497D"/>
                <w:sz w:val="18"/>
                <w:szCs w:val="18"/>
                <w:lang w:val="ru-RU" w:eastAsia="zh-CN"/>
              </w:rPr>
            </w:pPr>
            <w:r w:rsidRPr="008A63D4">
              <w:rPr>
                <w:color w:val="1F497D"/>
                <w:sz w:val="18"/>
                <w:szCs w:val="18"/>
                <w:lang w:val="ru-RU" w:eastAsia="zh-CN"/>
              </w:rPr>
              <w:t>16 729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92D37" w:rsidRPr="008A63D4" w:rsidRDefault="00192D37" w:rsidP="00192D3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right"/>
              <w:rPr>
                <w:color w:val="1F497D"/>
                <w:sz w:val="18"/>
                <w:szCs w:val="18"/>
                <w:lang w:val="ru-RU" w:eastAsia="zh-CN"/>
              </w:rPr>
            </w:pPr>
            <w:r w:rsidRPr="008A63D4">
              <w:rPr>
                <w:color w:val="1F497D"/>
                <w:sz w:val="18"/>
                <w:szCs w:val="18"/>
                <w:lang w:val="ru-RU" w:eastAsia="zh-CN"/>
              </w:rPr>
              <w:t>16 300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</w:tcPr>
          <w:p w:rsidR="00192D37" w:rsidRPr="008A63D4" w:rsidRDefault="00192D37" w:rsidP="00192D3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right"/>
              <w:rPr>
                <w:color w:val="1F497D"/>
                <w:sz w:val="18"/>
                <w:szCs w:val="18"/>
                <w:lang w:val="ru-RU" w:eastAsia="zh-CN"/>
              </w:rPr>
            </w:pPr>
            <w:r w:rsidRPr="008A63D4">
              <w:rPr>
                <w:color w:val="1F497D"/>
                <w:sz w:val="18"/>
                <w:szCs w:val="18"/>
                <w:lang w:val="ru-RU" w:eastAsia="zh-CN"/>
              </w:rPr>
              <w:t>15 367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  <w:hideMark/>
          </w:tcPr>
          <w:p w:rsidR="00192D37" w:rsidRPr="008A63D4" w:rsidRDefault="00192D37" w:rsidP="00192D3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right"/>
              <w:rPr>
                <w:color w:val="1F497D"/>
                <w:sz w:val="18"/>
                <w:szCs w:val="18"/>
                <w:lang w:val="ru-RU" w:eastAsia="zh-CN"/>
              </w:rPr>
            </w:pPr>
            <w:r w:rsidRPr="008A63D4">
              <w:rPr>
                <w:color w:val="1F497D"/>
                <w:sz w:val="18"/>
                <w:szCs w:val="18"/>
                <w:lang w:val="ru-RU" w:eastAsia="zh-CN"/>
              </w:rPr>
              <w:t>13 938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</w:tcPr>
          <w:p w:rsidR="00192D37" w:rsidRPr="008A63D4" w:rsidRDefault="00192D37" w:rsidP="00192D37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right"/>
              <w:rPr>
                <w:color w:val="1F497D"/>
                <w:sz w:val="18"/>
                <w:szCs w:val="18"/>
                <w:lang w:val="ru-RU" w:eastAsia="zh-CN"/>
              </w:rPr>
            </w:pPr>
            <w:r w:rsidRPr="008A63D4">
              <w:rPr>
                <w:color w:val="1F497D"/>
                <w:sz w:val="18"/>
                <w:szCs w:val="18"/>
                <w:lang w:val="ru-RU" w:eastAsia="zh-CN"/>
              </w:rPr>
              <w:t>11 213</w:t>
            </w:r>
          </w:p>
        </w:tc>
      </w:tr>
    </w:tbl>
    <w:p w:rsidR="003404F2" w:rsidRPr="008A63D4" w:rsidRDefault="00BC0798" w:rsidP="0089657C">
      <w:pPr>
        <w:spacing w:before="240"/>
        <w:rPr>
          <w:lang w:val="ru-RU"/>
        </w:rPr>
      </w:pPr>
      <w:r w:rsidRPr="008A63D4">
        <w:rPr>
          <w:lang w:val="ru-RU"/>
        </w:rPr>
        <w:t>2.2</w:t>
      </w:r>
      <w:r w:rsidRPr="008A63D4">
        <w:rPr>
          <w:lang w:val="ru-RU"/>
        </w:rPr>
        <w:tab/>
        <w:t xml:space="preserve">Из </w:t>
      </w:r>
      <w:r w:rsidR="00192D37" w:rsidRPr="008A63D4">
        <w:rPr>
          <w:lang w:val="ru-RU"/>
        </w:rPr>
        <w:t>Таблицы </w:t>
      </w:r>
      <w:r w:rsidRPr="008A63D4">
        <w:rPr>
          <w:lang w:val="ru-RU"/>
        </w:rPr>
        <w:t>2 видно, что за десятилетний период</w:t>
      </w:r>
      <w:r w:rsidR="00192D37" w:rsidRPr="008A63D4">
        <w:rPr>
          <w:lang w:val="ru-RU"/>
        </w:rPr>
        <w:t>,</w:t>
      </w:r>
      <w:r w:rsidRPr="008A63D4">
        <w:rPr>
          <w:lang w:val="ru-RU"/>
        </w:rPr>
        <w:t xml:space="preserve"> с 200</w:t>
      </w:r>
      <w:r w:rsidR="00192D37" w:rsidRPr="008A63D4">
        <w:rPr>
          <w:lang w:val="ru-RU"/>
        </w:rPr>
        <w:t>9</w:t>
      </w:r>
      <w:r w:rsidRPr="008A63D4">
        <w:rPr>
          <w:lang w:val="ru-RU"/>
        </w:rPr>
        <w:t xml:space="preserve"> по 201</w:t>
      </w:r>
      <w:r w:rsidR="00192D37" w:rsidRPr="008A63D4">
        <w:rPr>
          <w:lang w:val="ru-RU"/>
        </w:rPr>
        <w:t>8</w:t>
      </w:r>
      <w:r w:rsidRPr="008A63D4">
        <w:rPr>
          <w:lang w:val="ru-RU"/>
        </w:rPr>
        <w:t> год</w:t>
      </w:r>
      <w:r w:rsidR="00192D37" w:rsidRPr="008A63D4">
        <w:rPr>
          <w:lang w:val="ru-RU"/>
        </w:rPr>
        <w:t>,</w:t>
      </w:r>
      <w:r w:rsidRPr="008A63D4">
        <w:rPr>
          <w:lang w:val="ru-RU"/>
        </w:rPr>
        <w:t xml:space="preserve"> текущая задолженность Членов Секторов, Ассоциированных членов и Академических организаций </w:t>
      </w:r>
      <w:r w:rsidR="00192D37" w:rsidRPr="008A63D4">
        <w:rPr>
          <w:lang w:val="ru-RU"/>
        </w:rPr>
        <w:t xml:space="preserve">снизилась </w:t>
      </w:r>
      <w:r w:rsidRPr="008A63D4">
        <w:rPr>
          <w:lang w:val="ru-RU"/>
        </w:rPr>
        <w:t xml:space="preserve">на </w:t>
      </w:r>
      <w:r w:rsidR="00192D37" w:rsidRPr="008A63D4">
        <w:rPr>
          <w:lang w:val="ru-RU"/>
        </w:rPr>
        <w:t>38% </w:t>
      </w:r>
      <w:r w:rsidR="0089657C" w:rsidRPr="008A63D4">
        <w:rPr>
          <w:lang w:val="ru-RU"/>
        </w:rPr>
        <w:t>−</w:t>
      </w:r>
      <w:r w:rsidR="00192D37" w:rsidRPr="008A63D4">
        <w:rPr>
          <w:lang w:val="ru-RU"/>
        </w:rPr>
        <w:t xml:space="preserve"> </w:t>
      </w:r>
      <w:r w:rsidRPr="008A63D4">
        <w:rPr>
          <w:lang w:val="ru-RU"/>
        </w:rPr>
        <w:t>с </w:t>
      </w:r>
      <w:r w:rsidR="00192D37" w:rsidRPr="008A63D4">
        <w:rPr>
          <w:lang w:val="ru-RU"/>
        </w:rPr>
        <w:t>1,4</w:t>
      </w:r>
      <w:r w:rsidRPr="008A63D4">
        <w:rPr>
          <w:lang w:val="ru-RU"/>
        </w:rPr>
        <w:t> млн. шв. франков до </w:t>
      </w:r>
      <w:r w:rsidR="00192D37" w:rsidRPr="008A63D4">
        <w:rPr>
          <w:lang w:val="ru-RU"/>
        </w:rPr>
        <w:t>0,9</w:t>
      </w:r>
      <w:r w:rsidRPr="008A63D4">
        <w:rPr>
          <w:lang w:val="ru-RU"/>
        </w:rPr>
        <w:t xml:space="preserve"> млн. шв. франков. Задолженность по взносам за предыдущие годы </w:t>
      </w:r>
      <w:r w:rsidR="00192D37" w:rsidRPr="008A63D4">
        <w:rPr>
          <w:lang w:val="ru-RU"/>
        </w:rPr>
        <w:t xml:space="preserve">значительно </w:t>
      </w:r>
      <w:r w:rsidRPr="008A63D4">
        <w:rPr>
          <w:lang w:val="ru-RU"/>
        </w:rPr>
        <w:t xml:space="preserve">уменьшилась </w:t>
      </w:r>
      <w:r w:rsidR="00192D37" w:rsidRPr="008A63D4">
        <w:rPr>
          <w:lang w:val="ru-RU"/>
        </w:rPr>
        <w:t xml:space="preserve">− </w:t>
      </w:r>
      <w:r w:rsidRPr="008A63D4">
        <w:rPr>
          <w:lang w:val="ru-RU"/>
        </w:rPr>
        <w:t>на 4</w:t>
      </w:r>
      <w:r w:rsidR="00192D37" w:rsidRPr="008A63D4">
        <w:rPr>
          <w:lang w:val="ru-RU"/>
        </w:rPr>
        <w:t>0</w:t>
      </w:r>
      <w:r w:rsidRPr="008A63D4">
        <w:rPr>
          <w:lang w:val="ru-RU"/>
        </w:rPr>
        <w:t xml:space="preserve">% </w:t>
      </w:r>
      <w:r w:rsidR="00192D37" w:rsidRPr="008A63D4">
        <w:rPr>
          <w:lang w:val="ru-RU"/>
        </w:rPr>
        <w:t xml:space="preserve">− </w:t>
      </w:r>
      <w:r w:rsidRPr="008A63D4">
        <w:rPr>
          <w:lang w:val="ru-RU"/>
        </w:rPr>
        <w:t>с 18,</w:t>
      </w:r>
      <w:r w:rsidR="00192D37" w:rsidRPr="008A63D4">
        <w:rPr>
          <w:lang w:val="ru-RU"/>
        </w:rPr>
        <w:t>6</w:t>
      </w:r>
      <w:r w:rsidRPr="008A63D4">
        <w:rPr>
          <w:lang w:val="ru-RU"/>
        </w:rPr>
        <w:t xml:space="preserve"> млн. шв. франков в 200</w:t>
      </w:r>
      <w:r w:rsidR="00192D37" w:rsidRPr="008A63D4">
        <w:rPr>
          <w:lang w:val="ru-RU"/>
        </w:rPr>
        <w:t>9</w:t>
      </w:r>
      <w:r w:rsidRPr="008A63D4">
        <w:rPr>
          <w:lang w:val="ru-RU"/>
        </w:rPr>
        <w:t> году до 1</w:t>
      </w:r>
      <w:r w:rsidR="00192D37" w:rsidRPr="008A63D4">
        <w:rPr>
          <w:lang w:val="ru-RU"/>
        </w:rPr>
        <w:t>1</w:t>
      </w:r>
      <w:r w:rsidRPr="008A63D4">
        <w:rPr>
          <w:lang w:val="ru-RU"/>
        </w:rPr>
        <w:t>,</w:t>
      </w:r>
      <w:r w:rsidR="00192D37" w:rsidRPr="008A63D4">
        <w:rPr>
          <w:lang w:val="ru-RU"/>
        </w:rPr>
        <w:t>2</w:t>
      </w:r>
      <w:r w:rsidRPr="008A63D4">
        <w:rPr>
          <w:lang w:val="ru-RU"/>
        </w:rPr>
        <w:t> млн. шв. франков в 201</w:t>
      </w:r>
      <w:r w:rsidR="00192D37" w:rsidRPr="008A63D4">
        <w:rPr>
          <w:lang w:val="ru-RU"/>
        </w:rPr>
        <w:t>8</w:t>
      </w:r>
      <w:r w:rsidRPr="008A63D4">
        <w:rPr>
          <w:lang w:val="ru-RU"/>
        </w:rPr>
        <w:t> году.</w:t>
      </w:r>
      <w:r w:rsidR="00192D37" w:rsidRPr="008A63D4">
        <w:rPr>
          <w:lang w:val="ru-RU"/>
        </w:rPr>
        <w:t xml:space="preserve"> </w:t>
      </w:r>
      <w:r w:rsidR="003404F2" w:rsidRPr="008A63D4">
        <w:rPr>
          <w:lang w:val="ru-RU"/>
        </w:rPr>
        <w:t>Также следует отметить, что в 2018 году текущая задолженность увеличилась по сравнению с прошлым годом. В 2017 году текущая задолженность состав</w:t>
      </w:r>
      <w:r w:rsidR="00275D48" w:rsidRPr="008A63D4">
        <w:rPr>
          <w:lang w:val="ru-RU"/>
        </w:rPr>
        <w:t xml:space="preserve">ляла 0,5 млн. шв. франков </w:t>
      </w:r>
      <w:r w:rsidR="00BB1E67" w:rsidRPr="008A63D4">
        <w:rPr>
          <w:lang w:val="ru-RU"/>
        </w:rPr>
        <w:t xml:space="preserve">по сравнению с </w:t>
      </w:r>
      <w:r w:rsidR="00275D48" w:rsidRPr="008A63D4">
        <w:rPr>
          <w:lang w:val="ru-RU"/>
        </w:rPr>
        <w:t>0,9 млн. шв. франков</w:t>
      </w:r>
      <w:r w:rsidR="003404F2" w:rsidRPr="008A63D4">
        <w:rPr>
          <w:lang w:val="ru-RU"/>
        </w:rPr>
        <w:t xml:space="preserve"> </w:t>
      </w:r>
      <w:r w:rsidR="00275D48" w:rsidRPr="008A63D4">
        <w:rPr>
          <w:lang w:val="ru-RU"/>
        </w:rPr>
        <w:t>в 2018 году</w:t>
      </w:r>
      <w:r w:rsidR="007F77EF" w:rsidRPr="008A63D4">
        <w:rPr>
          <w:lang w:val="ru-RU"/>
        </w:rPr>
        <w:t>. Часть этого увеличения мож</w:t>
      </w:r>
      <w:r w:rsidR="00BB1E67" w:rsidRPr="008A63D4">
        <w:rPr>
          <w:lang w:val="ru-RU"/>
        </w:rPr>
        <w:t xml:space="preserve">но </w:t>
      </w:r>
      <w:r w:rsidR="007F77EF" w:rsidRPr="008A63D4">
        <w:rPr>
          <w:lang w:val="ru-RU"/>
        </w:rPr>
        <w:t>объясн</w:t>
      </w:r>
      <w:r w:rsidR="00BB1E67" w:rsidRPr="008A63D4">
        <w:rPr>
          <w:lang w:val="ru-RU"/>
        </w:rPr>
        <w:t xml:space="preserve">ить </w:t>
      </w:r>
      <w:r w:rsidR="007F77EF" w:rsidRPr="008A63D4">
        <w:rPr>
          <w:lang w:val="ru-RU"/>
        </w:rPr>
        <w:t xml:space="preserve">счетами по Полномочной конференции 2018 года, которые были </w:t>
      </w:r>
      <w:r w:rsidR="00A233F7" w:rsidRPr="008A63D4">
        <w:rPr>
          <w:lang w:val="ru-RU"/>
        </w:rPr>
        <w:t>выставлены</w:t>
      </w:r>
      <w:r w:rsidR="00963F29" w:rsidRPr="008A63D4">
        <w:rPr>
          <w:lang w:val="ru-RU"/>
        </w:rPr>
        <w:t xml:space="preserve"> неосвобожденны</w:t>
      </w:r>
      <w:r w:rsidR="00BB1E67" w:rsidRPr="008A63D4">
        <w:rPr>
          <w:lang w:val="ru-RU"/>
        </w:rPr>
        <w:t>м</w:t>
      </w:r>
      <w:r w:rsidR="00963F29" w:rsidRPr="008A63D4">
        <w:rPr>
          <w:lang w:val="ru-RU"/>
        </w:rPr>
        <w:t xml:space="preserve"> </w:t>
      </w:r>
      <w:r w:rsidR="002A1EAA" w:rsidRPr="008A63D4">
        <w:rPr>
          <w:lang w:val="ru-RU"/>
        </w:rPr>
        <w:t>ч</w:t>
      </w:r>
      <w:r w:rsidR="007F77EF" w:rsidRPr="008A63D4">
        <w:rPr>
          <w:lang w:val="ru-RU"/>
        </w:rPr>
        <w:t>лен</w:t>
      </w:r>
      <w:r w:rsidR="00BB1E67" w:rsidRPr="008A63D4">
        <w:rPr>
          <w:lang w:val="ru-RU"/>
        </w:rPr>
        <w:t>ам</w:t>
      </w:r>
      <w:r w:rsidR="007F77EF" w:rsidRPr="008A63D4">
        <w:rPr>
          <w:lang w:val="ru-RU"/>
        </w:rPr>
        <w:t xml:space="preserve"> в конце 2018 года</w:t>
      </w:r>
      <w:r w:rsidR="00275D48" w:rsidRPr="008A63D4">
        <w:rPr>
          <w:lang w:val="ru-RU"/>
        </w:rPr>
        <w:t xml:space="preserve"> </w:t>
      </w:r>
      <w:r w:rsidR="003404F2" w:rsidRPr="008A63D4">
        <w:rPr>
          <w:lang w:val="ru-RU"/>
        </w:rPr>
        <w:t xml:space="preserve">(26 счетов </w:t>
      </w:r>
      <w:r w:rsidR="00963F29" w:rsidRPr="008A63D4">
        <w:rPr>
          <w:lang w:val="ru-RU"/>
        </w:rPr>
        <w:t>на</w:t>
      </w:r>
      <w:r w:rsidR="003404F2" w:rsidRPr="008A63D4">
        <w:rPr>
          <w:lang w:val="ru-RU"/>
        </w:rPr>
        <w:t xml:space="preserve"> </w:t>
      </w:r>
      <w:r w:rsidR="00BB1E67" w:rsidRPr="008A63D4">
        <w:rPr>
          <w:lang w:val="ru-RU"/>
        </w:rPr>
        <w:t xml:space="preserve">сумму </w:t>
      </w:r>
      <w:r w:rsidR="003404F2" w:rsidRPr="008A63D4">
        <w:rPr>
          <w:lang w:val="ru-RU"/>
        </w:rPr>
        <w:t xml:space="preserve">8835,00 </w:t>
      </w:r>
      <w:r w:rsidR="00963F29" w:rsidRPr="008A63D4">
        <w:rPr>
          <w:lang w:val="ru-RU"/>
        </w:rPr>
        <w:t xml:space="preserve">шв. франков </w:t>
      </w:r>
      <w:r w:rsidR="00B14EA8" w:rsidRPr="008A63D4">
        <w:rPr>
          <w:lang w:val="ru-RU"/>
        </w:rPr>
        <w:t>каждый, всего</w:t>
      </w:r>
      <w:r w:rsidR="004A7CC7" w:rsidRPr="008A63D4">
        <w:rPr>
          <w:lang w:val="ru-RU"/>
        </w:rPr>
        <w:t xml:space="preserve"> 229 </w:t>
      </w:r>
      <w:r w:rsidR="00600461" w:rsidRPr="008A63D4">
        <w:rPr>
          <w:lang w:val="ru-RU"/>
        </w:rPr>
        <w:t>710,00 шв. франков</w:t>
      </w:r>
      <w:r w:rsidR="003404F2" w:rsidRPr="008A63D4">
        <w:rPr>
          <w:lang w:val="ru-RU"/>
        </w:rPr>
        <w:t>).</w:t>
      </w:r>
    </w:p>
    <w:p w:rsidR="00BC0798" w:rsidRPr="008A63D4" w:rsidRDefault="00BC0798" w:rsidP="00C81EDA">
      <w:pPr>
        <w:rPr>
          <w:lang w:val="ru-RU"/>
        </w:rPr>
      </w:pPr>
      <w:r w:rsidRPr="008A63D4">
        <w:rPr>
          <w:lang w:val="ru-RU"/>
        </w:rPr>
        <w:t>2.3</w:t>
      </w:r>
      <w:r w:rsidRPr="008A63D4">
        <w:rPr>
          <w:lang w:val="ru-RU"/>
        </w:rPr>
        <w:tab/>
        <w:t xml:space="preserve">Гибкость, предоставленная Генеральному секретарю после сессии Совета 2011 года, позволила </w:t>
      </w:r>
      <w:r w:rsidR="00C81EDA" w:rsidRPr="008A63D4">
        <w:rPr>
          <w:lang w:val="ru-RU"/>
        </w:rPr>
        <w:t>с</w:t>
      </w:r>
      <w:r w:rsidRPr="008A63D4">
        <w:rPr>
          <w:lang w:val="ru-RU"/>
        </w:rPr>
        <w:t xml:space="preserve">екретариату взыскать определенную часть задолженности, которую в обычном порядке было бы трудно взыскать, путем обсуждения соглашений о погашении задолженности с организациями, приобретавшими бывших Членов Секторов и Ассоциированных членов МСЭ, имевших задолженность </w:t>
      </w:r>
      <w:r w:rsidRPr="008A63D4">
        <w:rPr>
          <w:lang w:val="ru-RU"/>
        </w:rPr>
        <w:lastRenderedPageBreak/>
        <w:t>по взносам и заинтересованных в членстве в МСЭ. В 201</w:t>
      </w:r>
      <w:r w:rsidR="009B3EFB" w:rsidRPr="008A63D4">
        <w:rPr>
          <w:lang w:val="ru-RU"/>
        </w:rPr>
        <w:t>8</w:t>
      </w:r>
      <w:r w:rsidRPr="008A63D4">
        <w:rPr>
          <w:lang w:val="ru-RU"/>
        </w:rPr>
        <w:t> году не обсуждались соглашения о погашении задолженности с членами, которые приобрели прежних членов, имеющих задолженности перед МСЭ. Однако ожидается, что гибкость в переговорах по условиям погашения задолженности с Членами Секторов и Ассоциированными членами, обеспечиваемая в соответствии с Резолюцией 152 (Пересм. Пусан, 2014 г.), будет и далее расширять возможности для взыскания задолженности.</w:t>
      </w:r>
    </w:p>
    <w:p w:rsidR="00BC0798" w:rsidRPr="008A63D4" w:rsidRDefault="00BC0798" w:rsidP="00BC0798">
      <w:pPr>
        <w:pStyle w:val="Heading1"/>
        <w:rPr>
          <w:lang w:val="ru-RU"/>
        </w:rPr>
      </w:pPr>
      <w:r w:rsidRPr="008A63D4">
        <w:rPr>
          <w:lang w:val="ru-RU"/>
        </w:rPr>
        <w:t>3</w:t>
      </w:r>
      <w:r w:rsidRPr="008A63D4">
        <w:rPr>
          <w:lang w:val="ru-RU"/>
        </w:rPr>
        <w:tab/>
        <w:t>Приостановление членства/исключение Членов Секторов, Ассоциированных членов и Академических организаций</w:t>
      </w:r>
    </w:p>
    <w:p w:rsidR="00BC0798" w:rsidRPr="008A63D4" w:rsidRDefault="00BC0798" w:rsidP="00BC0798">
      <w:pPr>
        <w:rPr>
          <w:lang w:val="ru-RU"/>
        </w:rPr>
      </w:pPr>
      <w:r w:rsidRPr="008A63D4">
        <w:rPr>
          <w:lang w:val="ru-RU"/>
        </w:rPr>
        <w:t>3.1</w:t>
      </w:r>
      <w:r w:rsidRPr="008A63D4">
        <w:rPr>
          <w:lang w:val="ru-RU"/>
        </w:rPr>
        <w:tab/>
        <w:t xml:space="preserve">После принятия Резолюции 152 и особенно после предоставления Генеральному секретарю гибкости (на сессии Совета 2011 г.) была введена специальная процедура направления напоминаний Членам Секторов, Ассоциированным членам и Академическим организациям о задолженностях по выплате взносов, которая применялась в сочетании с активной скоординированной деятельностью, проводимой Генеральным секретариатом, Бюро Секторов и региональными отделениями. Администрации получают информацию об этих процессах, и в некоторых случаях они весьма активно и успешно помогают секретариату взыскивать задолженность и повторно привлекать к участию приостановленных членов. Секретариат благодарен за эту поддержку. </w:t>
      </w:r>
    </w:p>
    <w:p w:rsidR="00BC0798" w:rsidRPr="008A63D4" w:rsidRDefault="00BC0798" w:rsidP="00750144">
      <w:pPr>
        <w:rPr>
          <w:lang w:val="ru-RU"/>
        </w:rPr>
      </w:pPr>
      <w:r w:rsidRPr="008A63D4">
        <w:rPr>
          <w:lang w:val="ru-RU"/>
        </w:rPr>
        <w:t>3.2</w:t>
      </w:r>
      <w:r w:rsidRPr="008A63D4">
        <w:rPr>
          <w:lang w:val="ru-RU"/>
        </w:rPr>
        <w:tab/>
        <w:t xml:space="preserve">Эта используемая процедура принесла положительные результаты, позволившие уменьшить количество компаний, членство которых было приостановлено или которые были окончательно исключены из членов МСЭ. </w:t>
      </w:r>
      <w:r w:rsidR="009B3EFB" w:rsidRPr="008A63D4">
        <w:rPr>
          <w:lang w:val="ru-RU"/>
        </w:rPr>
        <w:t xml:space="preserve">Из </w:t>
      </w:r>
      <w:r w:rsidRPr="008A63D4">
        <w:rPr>
          <w:lang w:val="ru-RU"/>
        </w:rPr>
        <w:t>1</w:t>
      </w:r>
      <w:r w:rsidR="009B3EFB" w:rsidRPr="008A63D4">
        <w:rPr>
          <w:lang w:val="ru-RU"/>
        </w:rPr>
        <w:t>89</w:t>
      </w:r>
      <w:r w:rsidRPr="008A63D4">
        <w:rPr>
          <w:lang w:val="ru-RU"/>
        </w:rPr>
        <w:t xml:space="preserve"> организаций, которым в </w:t>
      </w:r>
      <w:r w:rsidR="009B3EFB" w:rsidRPr="008A63D4">
        <w:rPr>
          <w:lang w:val="ru-RU"/>
        </w:rPr>
        <w:t>июне 2018</w:t>
      </w:r>
      <w:r w:rsidRPr="008A63D4">
        <w:rPr>
          <w:lang w:val="ru-RU"/>
        </w:rPr>
        <w:t> года угрожало приостановление членства, в октябре 201</w:t>
      </w:r>
      <w:r w:rsidR="009B3EFB" w:rsidRPr="008A63D4">
        <w:rPr>
          <w:lang w:val="ru-RU"/>
        </w:rPr>
        <w:t>8</w:t>
      </w:r>
      <w:r w:rsidRPr="008A63D4">
        <w:rPr>
          <w:lang w:val="ru-RU"/>
        </w:rPr>
        <w:t xml:space="preserve"> года было приостановлено членство </w:t>
      </w:r>
      <w:r w:rsidR="009B3EFB" w:rsidRPr="008A63D4">
        <w:rPr>
          <w:lang w:val="ru-RU"/>
        </w:rPr>
        <w:t>83</w:t>
      </w:r>
      <w:r w:rsidRPr="008A63D4">
        <w:rPr>
          <w:lang w:val="ru-RU"/>
        </w:rPr>
        <w:t> организаци</w:t>
      </w:r>
      <w:r w:rsidR="009B3EFB" w:rsidRPr="008A63D4">
        <w:rPr>
          <w:lang w:val="ru-RU"/>
        </w:rPr>
        <w:t>й</w:t>
      </w:r>
      <w:r w:rsidRPr="008A63D4">
        <w:rPr>
          <w:lang w:val="ru-RU"/>
        </w:rPr>
        <w:t>. Это количество было далее сокращено до 2</w:t>
      </w:r>
      <w:r w:rsidR="009B3EFB" w:rsidRPr="008A63D4">
        <w:rPr>
          <w:lang w:val="ru-RU"/>
        </w:rPr>
        <w:t>4</w:t>
      </w:r>
      <w:r w:rsidRPr="008A63D4">
        <w:rPr>
          <w:lang w:val="ru-RU"/>
        </w:rPr>
        <w:t xml:space="preserve"> организаций (по состоянию на </w:t>
      </w:r>
      <w:r w:rsidR="009B3EFB" w:rsidRPr="008A63D4">
        <w:rPr>
          <w:lang w:val="ru-RU"/>
        </w:rPr>
        <w:t>5 апреля</w:t>
      </w:r>
      <w:r w:rsidRPr="008A63D4">
        <w:rPr>
          <w:lang w:val="ru-RU"/>
        </w:rPr>
        <w:t xml:space="preserve"> 201</w:t>
      </w:r>
      <w:r w:rsidR="009B3EFB" w:rsidRPr="008A63D4">
        <w:rPr>
          <w:lang w:val="ru-RU"/>
        </w:rPr>
        <w:t>9</w:t>
      </w:r>
      <w:r w:rsidRPr="008A63D4">
        <w:rPr>
          <w:lang w:val="ru-RU"/>
        </w:rPr>
        <w:t> г</w:t>
      </w:r>
      <w:r w:rsidR="00750144" w:rsidRPr="008A63D4">
        <w:rPr>
          <w:lang w:val="ru-RU"/>
        </w:rPr>
        <w:t>ода</w:t>
      </w:r>
      <w:r w:rsidRPr="008A63D4">
        <w:rPr>
          <w:lang w:val="ru-RU"/>
        </w:rPr>
        <w:t>), которые остаются "замороженными" с января 201</w:t>
      </w:r>
      <w:r w:rsidR="009B3EFB" w:rsidRPr="008A63D4">
        <w:rPr>
          <w:lang w:val="ru-RU"/>
        </w:rPr>
        <w:t>9</w:t>
      </w:r>
      <w:r w:rsidRPr="008A63D4">
        <w:rPr>
          <w:lang w:val="ru-RU"/>
        </w:rPr>
        <w:t> года. Статус "замороженной организации" предоставляет дополнительное время этим организациям с приостановленным членством, чтобы урегулировать свое финансовое положение, а не подвергаться процедуре автоматического исключения. "Замороженным организациям" больше не выставляют счетов, их участие приостанавливается, но они остаются в списке Членов Секторов/Ассоциированных ч</w:t>
      </w:r>
      <w:r w:rsidR="007A0EF6" w:rsidRPr="008A63D4">
        <w:rPr>
          <w:lang w:val="ru-RU"/>
        </w:rPr>
        <w:t>ленов/Академических организаций</w:t>
      </w:r>
      <w:r w:rsidRPr="008A63D4">
        <w:rPr>
          <w:lang w:val="ru-RU"/>
        </w:rPr>
        <w:t xml:space="preserve"> в зависимости от случая. Список организаций, "замороженных" с января 201</w:t>
      </w:r>
      <w:r w:rsidR="009B3EFB" w:rsidRPr="008A63D4">
        <w:rPr>
          <w:lang w:val="ru-RU"/>
        </w:rPr>
        <w:t>9</w:t>
      </w:r>
      <w:r w:rsidRPr="008A63D4">
        <w:rPr>
          <w:lang w:val="ru-RU"/>
        </w:rPr>
        <w:t> года, приведен в Приложении 1.</w:t>
      </w:r>
    </w:p>
    <w:p w:rsidR="00BC0798" w:rsidRPr="008A63D4" w:rsidRDefault="00BC0798" w:rsidP="00D42B1E">
      <w:pPr>
        <w:rPr>
          <w:lang w:val="ru-RU"/>
        </w:rPr>
      </w:pPr>
      <w:r w:rsidRPr="008A63D4">
        <w:rPr>
          <w:lang w:val="ru-RU"/>
        </w:rPr>
        <w:t>3.3</w:t>
      </w:r>
      <w:r w:rsidRPr="008A63D4">
        <w:rPr>
          <w:lang w:val="ru-RU"/>
        </w:rPr>
        <w:tab/>
        <w:t xml:space="preserve">Были предприняты значительные усилия для повторного привлечения организаций, которые подвергались риску исключения. </w:t>
      </w:r>
      <w:r w:rsidR="00D42B1E" w:rsidRPr="008A63D4">
        <w:rPr>
          <w:lang w:val="ru-RU"/>
        </w:rPr>
        <w:t>Так</w:t>
      </w:r>
      <w:r w:rsidRPr="008A63D4">
        <w:rPr>
          <w:lang w:val="ru-RU"/>
        </w:rPr>
        <w:t xml:space="preserve">, из </w:t>
      </w:r>
      <w:r w:rsidR="009B3EFB" w:rsidRPr="008A63D4">
        <w:rPr>
          <w:lang w:val="ru-RU"/>
        </w:rPr>
        <w:t>33</w:t>
      </w:r>
      <w:r w:rsidRPr="008A63D4">
        <w:rPr>
          <w:lang w:val="ru-RU"/>
        </w:rPr>
        <w:t> организаций, которые в январе 201</w:t>
      </w:r>
      <w:r w:rsidR="009B3EFB" w:rsidRPr="008A63D4">
        <w:rPr>
          <w:lang w:val="ru-RU"/>
        </w:rPr>
        <w:t>8</w:t>
      </w:r>
      <w:r w:rsidRPr="008A63D4">
        <w:rPr>
          <w:lang w:val="ru-RU"/>
        </w:rPr>
        <w:t xml:space="preserve"> года должны были быть исключены согласно Резолюции 152 (Пересм. Пусан, 2014 г.), секретариату удалось убедить </w:t>
      </w:r>
      <w:r w:rsidR="009B3EFB" w:rsidRPr="008A63D4">
        <w:rPr>
          <w:lang w:val="ru-RU"/>
        </w:rPr>
        <w:t>15</w:t>
      </w:r>
      <w:r w:rsidR="00C90BF2" w:rsidRPr="008A63D4">
        <w:rPr>
          <w:lang w:val="ru-RU"/>
        </w:rPr>
        <w:t> </w:t>
      </w:r>
      <w:r w:rsidRPr="008A63D4">
        <w:rPr>
          <w:lang w:val="ru-RU"/>
        </w:rPr>
        <w:t xml:space="preserve">организаций выплатить свои взносы, и их членство было восстановлено, </w:t>
      </w:r>
      <w:r w:rsidR="007A0EF6" w:rsidRPr="008A63D4">
        <w:rPr>
          <w:lang w:val="ru-RU"/>
        </w:rPr>
        <w:t>при этом</w:t>
      </w:r>
      <w:r w:rsidRPr="008A63D4">
        <w:rPr>
          <w:lang w:val="ru-RU"/>
        </w:rPr>
        <w:t xml:space="preserve"> </w:t>
      </w:r>
      <w:r w:rsidR="009B3EFB" w:rsidRPr="008A63D4">
        <w:rPr>
          <w:lang w:val="ru-RU"/>
        </w:rPr>
        <w:t>пять</w:t>
      </w:r>
      <w:r w:rsidRPr="008A63D4">
        <w:rPr>
          <w:lang w:val="ru-RU"/>
        </w:rPr>
        <w:t xml:space="preserve"> организаций </w:t>
      </w:r>
      <w:r w:rsidR="009B3EFB" w:rsidRPr="008A63D4">
        <w:rPr>
          <w:lang w:val="ru-RU"/>
        </w:rPr>
        <w:t>официально отказались от членства</w:t>
      </w:r>
      <w:r w:rsidR="009B3EFB" w:rsidRPr="008A63D4">
        <w:rPr>
          <w:rFonts w:asciiTheme="minorHAnsi" w:hAnsiTheme="minorHAnsi" w:cstheme="minorHAnsi"/>
          <w:lang w:val="ru-RU"/>
        </w:rPr>
        <w:t xml:space="preserve"> и </w:t>
      </w:r>
      <w:r w:rsidRPr="008A63D4">
        <w:rPr>
          <w:lang w:val="ru-RU"/>
        </w:rPr>
        <w:t>урегулировали свое финансовое положение.</w:t>
      </w:r>
    </w:p>
    <w:p w:rsidR="00BC0798" w:rsidRPr="008A63D4" w:rsidRDefault="00BC0798" w:rsidP="00341911">
      <w:pPr>
        <w:rPr>
          <w:lang w:val="ru-RU"/>
        </w:rPr>
      </w:pPr>
      <w:r w:rsidRPr="008A63D4">
        <w:rPr>
          <w:lang w:val="ru-RU"/>
        </w:rPr>
        <w:lastRenderedPageBreak/>
        <w:t>3.4</w:t>
      </w:r>
      <w:r w:rsidRPr="008A63D4">
        <w:rPr>
          <w:lang w:val="ru-RU"/>
        </w:rPr>
        <w:tab/>
        <w:t>Несмотря на положительные результаты предоставления дополнительного времени в целях сохранения некоторых объединений, стало ясно, что некоторые организации, членство которых приостановлено в течение длительного срока, не собираются возобновлять свое членство и погашать свою задолженность, и поэтому уместно их исключить. Опыт показал, что организации, заинтересованные в продолжении участия в работе Секторов, обычно способны в короткие сроки урегулировать свое положение. Другими словами, чем дольше продолжительность приостановления членства организации, тем меньше вероятность того, что она восстановит свое членство и погасит свою задолженность. Генеральный секретарь утвердил иск</w:t>
      </w:r>
      <w:r w:rsidR="00113003" w:rsidRPr="008A63D4">
        <w:rPr>
          <w:lang w:val="ru-RU"/>
        </w:rPr>
        <w:t>лючение с 30 </w:t>
      </w:r>
      <w:r w:rsidR="00341911" w:rsidRPr="008A63D4">
        <w:rPr>
          <w:lang w:val="ru-RU"/>
        </w:rPr>
        <w:t>июня 2019</w:t>
      </w:r>
      <w:r w:rsidR="00113003" w:rsidRPr="008A63D4">
        <w:rPr>
          <w:lang w:val="ru-RU"/>
        </w:rPr>
        <w:t> г</w:t>
      </w:r>
      <w:r w:rsidR="00341911" w:rsidRPr="008A63D4">
        <w:rPr>
          <w:lang w:val="ru-RU"/>
        </w:rPr>
        <w:t>ода</w:t>
      </w:r>
      <w:r w:rsidR="00113003" w:rsidRPr="008A63D4">
        <w:rPr>
          <w:lang w:val="ru-RU"/>
        </w:rPr>
        <w:t xml:space="preserve"> 19 организаций (из которых 13</w:t>
      </w:r>
      <w:r w:rsidRPr="008A63D4">
        <w:rPr>
          <w:lang w:val="ru-RU"/>
        </w:rPr>
        <w:t xml:space="preserve"> </w:t>
      </w:r>
      <w:r w:rsidR="00341911" w:rsidRPr="008A63D4">
        <w:rPr>
          <w:lang w:val="ru-RU"/>
        </w:rPr>
        <w:t xml:space="preserve">организаций </w:t>
      </w:r>
      <w:r w:rsidRPr="008A63D4">
        <w:rPr>
          <w:lang w:val="ru-RU"/>
        </w:rPr>
        <w:t>были "заморожены" с января 201</w:t>
      </w:r>
      <w:r w:rsidR="009B3EFB" w:rsidRPr="008A63D4">
        <w:rPr>
          <w:lang w:val="ru-RU"/>
        </w:rPr>
        <w:t>8</w:t>
      </w:r>
      <w:r w:rsidRPr="008A63D4">
        <w:rPr>
          <w:lang w:val="ru-RU"/>
        </w:rPr>
        <w:t> г</w:t>
      </w:r>
      <w:r w:rsidR="00341911" w:rsidRPr="008A63D4">
        <w:rPr>
          <w:lang w:val="ru-RU"/>
        </w:rPr>
        <w:t>. и шесть организаций − в предыдущие го</w:t>
      </w:r>
      <w:r w:rsidRPr="008A63D4">
        <w:rPr>
          <w:lang w:val="ru-RU"/>
        </w:rPr>
        <w:t>д</w:t>
      </w:r>
      <w:r w:rsidR="00341911" w:rsidRPr="008A63D4">
        <w:rPr>
          <w:lang w:val="ru-RU"/>
        </w:rPr>
        <w:t>ы)</w:t>
      </w:r>
      <w:r w:rsidRPr="008A63D4">
        <w:rPr>
          <w:lang w:val="ru-RU"/>
        </w:rPr>
        <w:t xml:space="preserve">. Список этих организаций приведен в Приложении 2. </w:t>
      </w:r>
    </w:p>
    <w:p w:rsidR="00BC0798" w:rsidRPr="008A63D4" w:rsidRDefault="00BC0798" w:rsidP="0089657C">
      <w:pPr>
        <w:pStyle w:val="Heading1"/>
        <w:rPr>
          <w:lang w:val="ru-RU"/>
        </w:rPr>
      </w:pPr>
      <w:r w:rsidRPr="008A63D4">
        <w:rPr>
          <w:lang w:val="ru-RU"/>
        </w:rPr>
        <w:t>4</w:t>
      </w:r>
      <w:r w:rsidRPr="008A63D4">
        <w:rPr>
          <w:lang w:val="ru-RU"/>
        </w:rPr>
        <w:tab/>
        <w:t>Рекомендации</w:t>
      </w:r>
    </w:p>
    <w:p w:rsidR="00BC0798" w:rsidRPr="008A63D4" w:rsidRDefault="00BC0798" w:rsidP="00BC0798">
      <w:pPr>
        <w:rPr>
          <w:lang w:val="ru-RU"/>
        </w:rPr>
      </w:pPr>
      <w:r w:rsidRPr="008A63D4">
        <w:rPr>
          <w:lang w:val="ru-RU"/>
        </w:rPr>
        <w:t>4.1</w:t>
      </w:r>
      <w:r w:rsidRPr="008A63D4">
        <w:rPr>
          <w:lang w:val="ru-RU"/>
        </w:rPr>
        <w:tab/>
        <w:t>Тесное сотрудничество между секретариатом, Бюро и региональными отделениями по контролю уплаты взносов Членами Секторов, Ассоциированными членами и Академическими организациями следует продолжать. Необходимо предпринимать координируемые усилия для сохранения организаций, членство которых приостановлено, с целью взыскания с них задолженности по взносам за предыдущие годы и возобновления их участия в работе Секторов.</w:t>
      </w:r>
    </w:p>
    <w:p w:rsidR="00BC0798" w:rsidRPr="008A63D4" w:rsidRDefault="00BC0798" w:rsidP="00BC0798">
      <w:pPr>
        <w:rPr>
          <w:lang w:val="ru-RU"/>
        </w:rPr>
      </w:pPr>
      <w:r w:rsidRPr="008A63D4">
        <w:rPr>
          <w:lang w:val="ru-RU"/>
        </w:rPr>
        <w:t>4.2</w:t>
      </w:r>
      <w:r w:rsidRPr="008A63D4">
        <w:rPr>
          <w:lang w:val="ru-RU"/>
        </w:rPr>
        <w:tab/>
        <w:t xml:space="preserve">При том что опыт показал эффективность гибкости в части предоставления дополнительного времени, чтобы удержать некоторые организации, рекомендуется, чтобы Генеральный секретарь продолжал исключать организации, членство которых приостановлено в течение длительного времени, так как они вряд ли возобновят членство и погасят свою задолженность. </w:t>
      </w:r>
    </w:p>
    <w:p w:rsidR="00BC0798" w:rsidRPr="008A63D4" w:rsidRDefault="00BC0798" w:rsidP="0089657C">
      <w:pPr>
        <w:keepNext/>
        <w:pageBreakBefore/>
        <w:rPr>
          <w:lang w:val="ru-RU"/>
        </w:rPr>
      </w:pPr>
      <w:r w:rsidRPr="008A63D4">
        <w:rPr>
          <w:lang w:val="ru-RU"/>
        </w:rPr>
        <w:lastRenderedPageBreak/>
        <w:t>4.3</w:t>
      </w:r>
      <w:r w:rsidRPr="008A63D4">
        <w:rPr>
          <w:lang w:val="ru-RU"/>
        </w:rPr>
        <w:tab/>
        <w:t>Несмотря на изложенное выше, секретариат Союза обратился с просьбой к администрациям, которые на основании Статьи 19 Конвенции одобряют участие Членов Секторов, Ассоциированных членов и Академические организации, продолжать оказывать ему постоянную поддержку в части проведения работы с объединениями, имеющими задолженность по уплате взносов.</w:t>
      </w:r>
    </w:p>
    <w:p w:rsidR="00BC0798" w:rsidRPr="008A63D4" w:rsidRDefault="00BC0798" w:rsidP="005544DB">
      <w:pPr>
        <w:spacing w:before="1440"/>
        <w:rPr>
          <w:lang w:val="ru-RU"/>
        </w:rPr>
      </w:pPr>
      <w:r w:rsidRPr="008A63D4">
        <w:rPr>
          <w:b/>
          <w:bCs/>
          <w:lang w:val="ru-RU"/>
        </w:rPr>
        <w:t>Приложения</w:t>
      </w:r>
      <w:r w:rsidRPr="008A63D4">
        <w:rPr>
          <w:lang w:val="ru-RU"/>
        </w:rPr>
        <w:t>: 2</w:t>
      </w:r>
    </w:p>
    <w:p w:rsidR="00BC0798" w:rsidRPr="008A63D4" w:rsidRDefault="00BC0798" w:rsidP="00BC0798">
      <w:pPr>
        <w:pStyle w:val="AnnexNo"/>
        <w:pageBreakBefore/>
        <w:rPr>
          <w:lang w:val="ru-RU"/>
        </w:rPr>
      </w:pPr>
      <w:r w:rsidRPr="008A63D4">
        <w:rPr>
          <w:lang w:val="ru-RU"/>
        </w:rPr>
        <w:lastRenderedPageBreak/>
        <w:t>ПРИЛОЖЕНИЕ 1</w:t>
      </w:r>
    </w:p>
    <w:p w:rsidR="00BC0798" w:rsidRPr="008A63D4" w:rsidRDefault="00BC0798" w:rsidP="00292B0E">
      <w:pPr>
        <w:pStyle w:val="Annextitle"/>
        <w:spacing w:after="240"/>
        <w:rPr>
          <w:lang w:val="ru-RU"/>
        </w:rPr>
      </w:pPr>
      <w:r w:rsidRPr="008A63D4">
        <w:rPr>
          <w:lang w:val="ru-RU"/>
        </w:rPr>
        <w:t>Организации, членство которых приостановлено с 1 октября 201</w:t>
      </w:r>
      <w:r w:rsidR="00292B0E" w:rsidRPr="008A63D4">
        <w:rPr>
          <w:lang w:val="ru-RU"/>
        </w:rPr>
        <w:t>8</w:t>
      </w:r>
      <w:r w:rsidRPr="008A63D4">
        <w:rPr>
          <w:lang w:val="ru-RU"/>
        </w:rPr>
        <w:t> года – "заморожены" с 1 января 201</w:t>
      </w:r>
      <w:r w:rsidR="00292B0E" w:rsidRPr="008A63D4">
        <w:rPr>
          <w:lang w:val="ru-RU"/>
        </w:rPr>
        <w:t>9</w:t>
      </w:r>
      <w:r w:rsidRPr="008A63D4">
        <w:rPr>
          <w:lang w:val="ru-RU"/>
        </w:rPr>
        <w:t> года</w:t>
      </w:r>
    </w:p>
    <w:p w:rsidR="00BC0798" w:rsidRPr="008A63D4" w:rsidRDefault="00BC0798" w:rsidP="00292B0E">
      <w:pPr>
        <w:spacing w:after="240"/>
        <w:jc w:val="center"/>
        <w:rPr>
          <w:i/>
          <w:iCs/>
          <w:lang w:val="ru-RU"/>
        </w:rPr>
      </w:pPr>
      <w:r w:rsidRPr="008A63D4">
        <w:rPr>
          <w:i/>
          <w:iCs/>
          <w:lang w:val="ru-RU"/>
        </w:rPr>
        <w:t>Причитающаяся задолженность по взносам за 201</w:t>
      </w:r>
      <w:r w:rsidR="00292B0E" w:rsidRPr="008A63D4">
        <w:rPr>
          <w:i/>
          <w:iCs/>
          <w:lang w:val="ru-RU"/>
        </w:rPr>
        <w:t>8</w:t>
      </w:r>
      <w:r w:rsidRPr="008A63D4">
        <w:rPr>
          <w:i/>
          <w:iCs/>
          <w:lang w:val="ru-RU"/>
        </w:rPr>
        <w:t xml:space="preserve"> год – Положение на </w:t>
      </w:r>
      <w:r w:rsidR="00292B0E" w:rsidRPr="008A63D4">
        <w:rPr>
          <w:i/>
          <w:iCs/>
          <w:lang w:val="ru-RU"/>
        </w:rPr>
        <w:t>5 апреля</w:t>
      </w:r>
      <w:r w:rsidRPr="008A63D4">
        <w:rPr>
          <w:i/>
          <w:iCs/>
          <w:lang w:val="ru-RU"/>
        </w:rPr>
        <w:t xml:space="preserve"> 201</w:t>
      </w:r>
      <w:r w:rsidR="00292B0E" w:rsidRPr="008A63D4">
        <w:rPr>
          <w:i/>
          <w:iCs/>
          <w:lang w:val="ru-RU"/>
        </w:rPr>
        <w:t>9</w:t>
      </w:r>
      <w:r w:rsidRPr="008A63D4">
        <w:rPr>
          <w:i/>
          <w:iCs/>
          <w:lang w:val="ru-RU"/>
        </w:rPr>
        <w:t> года</w:t>
      </w: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1984"/>
        <w:gridCol w:w="851"/>
        <w:gridCol w:w="850"/>
        <w:gridCol w:w="824"/>
        <w:gridCol w:w="1586"/>
      </w:tblGrid>
      <w:tr w:rsidR="00292B0E" w:rsidRPr="008A63D4" w:rsidTr="00A53C22">
        <w:trPr>
          <w:trHeight w:val="480"/>
          <w:tblHeader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92B0E" w:rsidRPr="008A63D4" w:rsidRDefault="00292B0E" w:rsidP="00A53C22">
            <w:pPr>
              <w:pStyle w:val="Tablehead"/>
              <w:rPr>
                <w:rFonts w:cs="Calibri"/>
                <w:highlight w:val="yellow"/>
                <w:lang w:val="ru-RU" w:eastAsia="zh-CN"/>
              </w:rPr>
            </w:pPr>
            <w:r w:rsidRPr="008A63D4">
              <w:rPr>
                <w:rFonts w:cs="Calibri"/>
                <w:lang w:val="ru-RU" w:eastAsia="zh-CN"/>
              </w:rPr>
              <w:t>Страна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92B0E" w:rsidRPr="008A63D4" w:rsidRDefault="00292B0E" w:rsidP="00A53C22">
            <w:pPr>
              <w:pStyle w:val="Tablehead"/>
              <w:rPr>
                <w:rFonts w:cs="Calibri"/>
                <w:highlight w:val="yellow"/>
                <w:lang w:val="ru-RU" w:eastAsia="zh-CN"/>
              </w:rPr>
            </w:pPr>
            <w:r w:rsidRPr="008A63D4">
              <w:rPr>
                <w:rFonts w:cs="Calibri"/>
                <w:lang w:val="ru-RU"/>
              </w:rPr>
              <w:t>Организация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92B0E" w:rsidRPr="008A63D4" w:rsidRDefault="00292B0E" w:rsidP="00A53C22">
            <w:pPr>
              <w:pStyle w:val="Tablehead"/>
              <w:rPr>
                <w:rFonts w:cs="Calibri"/>
                <w:highlight w:val="yellow"/>
                <w:lang w:val="ru-RU" w:eastAsia="zh-CN"/>
              </w:rPr>
            </w:pPr>
            <w:r w:rsidRPr="008A63D4">
              <w:rPr>
                <w:rFonts w:cs="Calibri"/>
                <w:lang w:val="ru-RU" w:eastAsia="zh-CN"/>
              </w:rPr>
              <w:t>Период/Сектор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92B0E" w:rsidRPr="008A63D4" w:rsidRDefault="00292B0E" w:rsidP="00A53C22">
            <w:pPr>
              <w:pStyle w:val="Tablehead"/>
              <w:rPr>
                <w:rFonts w:cs="Calibri"/>
                <w:lang w:val="ru-RU" w:eastAsia="zh-CN"/>
              </w:rPr>
            </w:pPr>
            <w:r w:rsidRPr="008A63D4">
              <w:rPr>
                <w:rFonts w:cs="Calibri"/>
                <w:lang w:val="ru-RU" w:eastAsia="zh-CN"/>
              </w:rPr>
              <w:t>МСЭ-R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92B0E" w:rsidRPr="008A63D4" w:rsidRDefault="00292B0E" w:rsidP="00A53C22">
            <w:pPr>
              <w:pStyle w:val="Tablehead"/>
              <w:rPr>
                <w:rFonts w:cs="Calibri"/>
                <w:lang w:val="ru-RU" w:eastAsia="zh-CN"/>
              </w:rPr>
            </w:pPr>
            <w:r w:rsidRPr="008A63D4">
              <w:rPr>
                <w:rFonts w:cs="Calibri"/>
                <w:lang w:val="ru-RU" w:eastAsia="zh-CN"/>
              </w:rPr>
              <w:t>МСЭ-Т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92B0E" w:rsidRPr="008A63D4" w:rsidRDefault="00292B0E" w:rsidP="00A53C22">
            <w:pPr>
              <w:pStyle w:val="Tablehead"/>
              <w:rPr>
                <w:rFonts w:cs="Calibri"/>
                <w:lang w:val="ru-RU" w:eastAsia="zh-CN"/>
              </w:rPr>
            </w:pPr>
            <w:r w:rsidRPr="008A63D4">
              <w:rPr>
                <w:rFonts w:cs="Calibri"/>
                <w:lang w:val="ru-RU" w:eastAsia="zh-CN"/>
              </w:rPr>
              <w:t>МСЭ-D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92B0E" w:rsidRPr="008A63D4" w:rsidRDefault="00292B0E" w:rsidP="00A53C22">
            <w:pPr>
              <w:pStyle w:val="Tablehead"/>
              <w:rPr>
                <w:rFonts w:cs="Calibri"/>
                <w:lang w:val="ru-RU" w:eastAsia="zh-CN"/>
              </w:rPr>
            </w:pPr>
            <w:r w:rsidRPr="008A63D4">
              <w:rPr>
                <w:rFonts w:cs="Calibri"/>
                <w:lang w:val="ru-RU" w:eastAsia="zh-CN"/>
              </w:rPr>
              <w:t>Академическая организация</w:t>
            </w:r>
          </w:p>
        </w:tc>
      </w:tr>
      <w:tr w:rsidR="00292B0E" w:rsidRPr="008A63D4" w:rsidTr="00A53C2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БАХРЕЙН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Университетский колледж Бахрейна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2018 г./</w:t>
            </w:r>
            <w:r w:rsidR="00A53C22" w:rsidRPr="008A63D4">
              <w:rPr>
                <w:rFonts w:cs="Calibri"/>
                <w:sz w:val="20"/>
                <w:lang w:val="ru-RU" w:eastAsia="zh-CN"/>
              </w:rPr>
              <w:br/>
            </w:r>
            <w:r w:rsidRPr="008A63D4">
              <w:rPr>
                <w:rFonts w:cs="Calibri"/>
                <w:sz w:val="20"/>
                <w:lang w:val="ru-RU" w:eastAsia="zh-CN"/>
              </w:rPr>
              <w:t>Академическая организация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A53C22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1</w:t>
            </w:r>
          </w:p>
        </w:tc>
      </w:tr>
      <w:tr w:rsidR="00292B0E" w:rsidRPr="008A63D4" w:rsidTr="00A53C22">
        <w:trPr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B0E" w:rsidRPr="008A63D4" w:rsidRDefault="00A53C22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ЭКВАТОРИАЛЬНАЯ ГВИНЕЯ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B0E" w:rsidRPr="00280E02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cs="Calibri"/>
                <w:sz w:val="20"/>
                <w:lang w:val="es-ES" w:eastAsia="zh-CN"/>
              </w:rPr>
            </w:pPr>
            <w:r w:rsidRPr="00280E02">
              <w:rPr>
                <w:rFonts w:cs="Calibri"/>
                <w:sz w:val="20"/>
                <w:lang w:val="es-ES" w:eastAsia="zh-CN"/>
              </w:rPr>
              <w:t xml:space="preserve">Guinea Ecuatorial de Telecomunicaciones, Sociedad </w:t>
            </w:r>
            <w:proofErr w:type="spellStart"/>
            <w:r w:rsidRPr="00280E02">
              <w:rPr>
                <w:rFonts w:cs="Calibri"/>
                <w:sz w:val="20"/>
                <w:lang w:val="es-ES" w:eastAsia="zh-CN"/>
              </w:rPr>
              <w:t>Anonima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2018 г./МСЭ-T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</w:p>
        </w:tc>
      </w:tr>
      <w:tr w:rsidR="00292B0E" w:rsidRPr="008A63D4" w:rsidTr="00A53C22">
        <w:trPr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B0E" w:rsidRPr="008A63D4" w:rsidRDefault="00A53C22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ФРАНЦИЯ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PMI Conseil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2018</w:t>
            </w:r>
            <w:r w:rsidR="00A53C22" w:rsidRPr="008A63D4">
              <w:rPr>
                <w:rFonts w:cs="Calibri"/>
                <w:sz w:val="20"/>
                <w:lang w:val="ru-RU" w:eastAsia="zh-CN"/>
              </w:rPr>
              <w:t xml:space="preserve"> г./МСЭ</w:t>
            </w:r>
            <w:r w:rsidRPr="008A63D4">
              <w:rPr>
                <w:rFonts w:cs="Calibri"/>
                <w:sz w:val="20"/>
                <w:lang w:val="ru-RU" w:eastAsia="zh-CN"/>
              </w:rPr>
              <w:t>-D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</w:p>
        </w:tc>
      </w:tr>
      <w:tr w:rsidR="00292B0E" w:rsidRPr="008A63D4" w:rsidTr="00A53C22">
        <w:trPr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B0E" w:rsidRPr="008A63D4" w:rsidRDefault="00A53C22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ИНДИЯ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B0E" w:rsidRPr="008A63D4" w:rsidRDefault="003C319D" w:rsidP="003C319D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 xml:space="preserve">Институт технологии и управления </w:t>
            </w:r>
            <w:r w:rsidR="00292B0E" w:rsidRPr="008A63D4">
              <w:rPr>
                <w:rFonts w:cs="Calibri"/>
                <w:sz w:val="20"/>
                <w:lang w:val="ru-RU" w:eastAsia="zh-CN"/>
              </w:rPr>
              <w:t>HMR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2018 г./</w:t>
            </w:r>
            <w:r w:rsidR="00A53C22" w:rsidRPr="008A63D4">
              <w:rPr>
                <w:rFonts w:cs="Calibri"/>
                <w:sz w:val="20"/>
                <w:lang w:val="ru-RU" w:eastAsia="zh-CN"/>
              </w:rPr>
              <w:br/>
            </w:r>
            <w:r w:rsidRPr="008A63D4">
              <w:rPr>
                <w:rFonts w:cs="Calibri"/>
                <w:sz w:val="20"/>
                <w:lang w:val="ru-RU" w:eastAsia="zh-CN"/>
              </w:rPr>
              <w:t>Академическая организация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1</w:t>
            </w:r>
          </w:p>
        </w:tc>
      </w:tr>
      <w:tr w:rsidR="00292B0E" w:rsidRPr="008A63D4" w:rsidTr="00A53C22">
        <w:trPr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cs="Calibri"/>
                <w:sz w:val="20"/>
                <w:lang w:val="ru-RU" w:eastAsia="zh-C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B0E" w:rsidRPr="008A63D4" w:rsidRDefault="00E14F55" w:rsidP="00E14F55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 xml:space="preserve">MIT − </w:t>
            </w:r>
            <w:r w:rsidR="00664810" w:rsidRPr="008A63D4">
              <w:rPr>
                <w:rFonts w:cs="Calibri"/>
                <w:sz w:val="20"/>
                <w:lang w:val="ru-RU" w:eastAsia="zh-CN"/>
              </w:rPr>
              <w:t xml:space="preserve">Университет мира во всем мире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2018 г./</w:t>
            </w:r>
            <w:r w:rsidR="00A53C22" w:rsidRPr="008A63D4">
              <w:rPr>
                <w:rFonts w:cs="Calibri"/>
                <w:sz w:val="20"/>
                <w:lang w:val="ru-RU" w:eastAsia="zh-CN"/>
              </w:rPr>
              <w:br/>
            </w:r>
            <w:r w:rsidRPr="008A63D4">
              <w:rPr>
                <w:rFonts w:cs="Calibri"/>
                <w:sz w:val="20"/>
                <w:lang w:val="ru-RU" w:eastAsia="zh-CN"/>
              </w:rPr>
              <w:t>Академическая организация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1</w:t>
            </w:r>
          </w:p>
        </w:tc>
      </w:tr>
      <w:tr w:rsidR="00292B0E" w:rsidRPr="008A63D4" w:rsidTr="00A53C22">
        <w:trPr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B0E" w:rsidRPr="008A63D4" w:rsidRDefault="00A53C22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ИТАЛИЯ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CommProve Technologies SpA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2018</w:t>
            </w:r>
            <w:r w:rsidR="00A53C22" w:rsidRPr="008A63D4">
              <w:rPr>
                <w:rFonts w:cs="Calibri"/>
                <w:sz w:val="20"/>
                <w:lang w:val="ru-RU" w:eastAsia="zh-CN"/>
              </w:rPr>
              <w:t xml:space="preserve"> г.</w:t>
            </w:r>
            <w:r w:rsidRPr="008A63D4">
              <w:rPr>
                <w:rFonts w:cs="Calibri"/>
                <w:sz w:val="20"/>
                <w:lang w:val="ru-RU" w:eastAsia="zh-CN"/>
              </w:rPr>
              <w:t>/</w:t>
            </w:r>
            <w:r w:rsidR="00A53C22" w:rsidRPr="008A63D4">
              <w:rPr>
                <w:rFonts w:cs="Calibri"/>
                <w:sz w:val="20"/>
                <w:lang w:val="ru-RU" w:eastAsia="zh-CN"/>
              </w:rPr>
              <w:br/>
              <w:t>Ассоциированный член</w:t>
            </w:r>
            <w:r w:rsidRPr="008A63D4">
              <w:rPr>
                <w:rFonts w:cs="Calibri"/>
                <w:sz w:val="20"/>
                <w:lang w:val="ru-RU" w:eastAsia="zh-CN"/>
              </w:rPr>
              <w:t xml:space="preserve"> </w:t>
            </w:r>
            <w:r w:rsidR="00A53C22" w:rsidRPr="008A63D4">
              <w:rPr>
                <w:rFonts w:cs="Calibri"/>
                <w:sz w:val="20"/>
                <w:lang w:val="ru-RU" w:eastAsia="zh-CN"/>
              </w:rPr>
              <w:t>МСЭ</w:t>
            </w:r>
            <w:r w:rsidRPr="008A63D4">
              <w:rPr>
                <w:rFonts w:cs="Calibri"/>
                <w:sz w:val="20"/>
                <w:lang w:val="ru-RU" w:eastAsia="zh-CN"/>
              </w:rPr>
              <w:t>-T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</w:p>
        </w:tc>
      </w:tr>
      <w:tr w:rsidR="00292B0E" w:rsidRPr="008A63D4" w:rsidTr="00A53C22">
        <w:trPr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B0E" w:rsidRPr="008A63D4" w:rsidRDefault="00A53C22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ЛЮКСЕМБУРГ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Luxembourg Space Telecommunication S.A.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2018</w:t>
            </w:r>
            <w:r w:rsidR="00A53C22" w:rsidRPr="008A63D4">
              <w:rPr>
                <w:rFonts w:cs="Calibri"/>
                <w:sz w:val="20"/>
                <w:lang w:val="ru-RU" w:eastAsia="zh-CN"/>
              </w:rPr>
              <w:t xml:space="preserve"> г.</w:t>
            </w:r>
            <w:r w:rsidRPr="008A63D4">
              <w:rPr>
                <w:rFonts w:cs="Calibri"/>
                <w:sz w:val="20"/>
                <w:lang w:val="ru-RU" w:eastAsia="zh-CN"/>
              </w:rPr>
              <w:t>/</w:t>
            </w:r>
            <w:r w:rsidR="00A53C22" w:rsidRPr="008A63D4">
              <w:rPr>
                <w:rFonts w:cs="Calibri"/>
                <w:sz w:val="20"/>
                <w:lang w:val="ru-RU" w:eastAsia="zh-CN"/>
              </w:rPr>
              <w:t>МСЭ</w:t>
            </w:r>
            <w:r w:rsidRPr="008A63D4">
              <w:rPr>
                <w:rFonts w:cs="Calibri"/>
                <w:sz w:val="20"/>
                <w:lang w:val="ru-RU" w:eastAsia="zh-CN"/>
              </w:rPr>
              <w:t>-R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</w:p>
        </w:tc>
      </w:tr>
      <w:tr w:rsidR="00292B0E" w:rsidRPr="008A63D4" w:rsidTr="00A53C22">
        <w:trPr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B0E" w:rsidRPr="008A63D4" w:rsidRDefault="00A53C22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ПАНАМА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Cable &amp; Wireless Panamá S.A.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2018</w:t>
            </w:r>
            <w:r w:rsidR="00A53C22" w:rsidRPr="008A63D4">
              <w:rPr>
                <w:rFonts w:cs="Calibri"/>
                <w:sz w:val="20"/>
                <w:lang w:val="ru-RU" w:eastAsia="zh-CN"/>
              </w:rPr>
              <w:t xml:space="preserve"> г./МСЭ</w:t>
            </w:r>
            <w:r w:rsidRPr="008A63D4">
              <w:rPr>
                <w:rFonts w:cs="Calibri"/>
                <w:sz w:val="20"/>
                <w:lang w:val="ru-RU" w:eastAsia="zh-CN"/>
              </w:rPr>
              <w:t>-D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</w:p>
        </w:tc>
      </w:tr>
      <w:tr w:rsidR="00292B0E" w:rsidRPr="008A63D4" w:rsidTr="00A53C22">
        <w:trPr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B0E" w:rsidRPr="008A63D4" w:rsidRDefault="00A53C22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СЕНЕГАЛ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Expresso Telecom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2018</w:t>
            </w:r>
            <w:r w:rsidR="00A53C22" w:rsidRPr="008A63D4">
              <w:rPr>
                <w:rFonts w:cs="Calibri"/>
                <w:sz w:val="20"/>
                <w:lang w:val="ru-RU" w:eastAsia="zh-CN"/>
              </w:rPr>
              <w:t xml:space="preserve"> г./МСЭ</w:t>
            </w:r>
            <w:r w:rsidRPr="008A63D4">
              <w:rPr>
                <w:rFonts w:cs="Calibri"/>
                <w:sz w:val="20"/>
                <w:lang w:val="ru-RU" w:eastAsia="zh-CN"/>
              </w:rPr>
              <w:t>-D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</w:p>
        </w:tc>
      </w:tr>
      <w:tr w:rsidR="00292B0E" w:rsidRPr="008A63D4" w:rsidTr="00A53C22">
        <w:trPr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cs="Calibri"/>
                <w:sz w:val="20"/>
                <w:lang w:val="ru-RU" w:eastAsia="zh-C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B0E" w:rsidRPr="008A63D4" w:rsidRDefault="00B26B51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Африканская инициатива в области передовых технологий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2018</w:t>
            </w:r>
            <w:r w:rsidR="00A53C22" w:rsidRPr="008A63D4">
              <w:rPr>
                <w:rFonts w:cs="Calibri"/>
                <w:sz w:val="20"/>
                <w:lang w:val="ru-RU" w:eastAsia="zh-CN"/>
              </w:rPr>
              <w:t xml:space="preserve"> г./МСЭ</w:t>
            </w:r>
            <w:r w:rsidRPr="008A63D4">
              <w:rPr>
                <w:rFonts w:cs="Calibri"/>
                <w:sz w:val="20"/>
                <w:lang w:val="ru-RU" w:eastAsia="zh-CN"/>
              </w:rPr>
              <w:t>-D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</w:p>
        </w:tc>
      </w:tr>
      <w:tr w:rsidR="00292B0E" w:rsidRPr="008A63D4" w:rsidTr="00A53C22">
        <w:trPr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B0E" w:rsidRPr="008A63D4" w:rsidRDefault="00C1333C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ЮЖНО-</w:t>
            </w:r>
            <w:r w:rsidR="00A53C22" w:rsidRPr="008A63D4">
              <w:rPr>
                <w:rFonts w:cs="Calibri"/>
                <w:sz w:val="20"/>
                <w:lang w:val="ru-RU" w:eastAsia="zh-CN"/>
              </w:rPr>
              <w:t>АФРИКА</w:t>
            </w:r>
            <w:r w:rsidRPr="008A63D4">
              <w:rPr>
                <w:rFonts w:cs="Calibri"/>
                <w:sz w:val="20"/>
                <w:lang w:val="ru-RU" w:eastAsia="zh-CN"/>
              </w:rPr>
              <w:t>НСКАЯ РЕСПУБЛИКА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Vodacom SA (Pty) Limited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2018</w:t>
            </w:r>
            <w:r w:rsidR="00A53C22" w:rsidRPr="008A63D4">
              <w:rPr>
                <w:rFonts w:cs="Calibri"/>
                <w:sz w:val="20"/>
                <w:lang w:val="ru-RU" w:eastAsia="zh-CN"/>
              </w:rPr>
              <w:t xml:space="preserve"> г./МСЭ</w:t>
            </w:r>
            <w:r w:rsidRPr="008A63D4">
              <w:rPr>
                <w:rFonts w:cs="Calibri"/>
                <w:sz w:val="20"/>
                <w:lang w:val="ru-RU" w:eastAsia="zh-CN"/>
              </w:rPr>
              <w:t xml:space="preserve">-R </w:t>
            </w:r>
            <w:r w:rsidR="00A53C22" w:rsidRPr="008A63D4">
              <w:rPr>
                <w:rFonts w:cs="Calibri"/>
                <w:sz w:val="20"/>
                <w:lang w:val="ru-RU" w:eastAsia="zh-CN"/>
              </w:rPr>
              <w:t>и</w:t>
            </w:r>
            <w:r w:rsidRPr="008A63D4">
              <w:rPr>
                <w:rFonts w:cs="Calibri"/>
                <w:sz w:val="20"/>
                <w:lang w:val="ru-RU" w:eastAsia="zh-CN"/>
              </w:rPr>
              <w:t xml:space="preserve"> </w:t>
            </w:r>
            <w:r w:rsidR="00A53C22" w:rsidRPr="008A63D4">
              <w:rPr>
                <w:rFonts w:cs="Calibri"/>
                <w:sz w:val="20"/>
                <w:lang w:val="ru-RU" w:eastAsia="zh-CN"/>
              </w:rPr>
              <w:t>МСЭ</w:t>
            </w:r>
            <w:r w:rsidR="00A53C22" w:rsidRPr="008A63D4">
              <w:rPr>
                <w:rFonts w:cs="Calibri"/>
                <w:sz w:val="20"/>
                <w:lang w:val="ru-RU" w:eastAsia="zh-CN"/>
              </w:rPr>
              <w:noBreakHyphen/>
            </w:r>
            <w:r w:rsidRPr="008A63D4">
              <w:rPr>
                <w:rFonts w:cs="Calibri"/>
                <w:sz w:val="20"/>
                <w:lang w:val="ru-RU" w:eastAsia="zh-CN"/>
              </w:rPr>
              <w:t>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</w:p>
        </w:tc>
      </w:tr>
      <w:tr w:rsidR="00292B0E" w:rsidRPr="008A63D4" w:rsidTr="00A53C22">
        <w:trPr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B0E" w:rsidRPr="008A63D4" w:rsidRDefault="00A53C22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ШВЕЙЦАРИЯ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Ascom (Switzerland) Ltd.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2018</w:t>
            </w:r>
            <w:r w:rsidR="00A53C22" w:rsidRPr="008A63D4">
              <w:rPr>
                <w:rFonts w:cs="Calibri"/>
                <w:sz w:val="20"/>
                <w:lang w:val="ru-RU" w:eastAsia="zh-CN"/>
              </w:rPr>
              <w:t xml:space="preserve"> г./</w:t>
            </w:r>
            <w:r w:rsidR="00A53C22" w:rsidRPr="008A63D4">
              <w:rPr>
                <w:rFonts w:cs="Calibri"/>
                <w:sz w:val="20"/>
                <w:lang w:val="ru-RU" w:eastAsia="zh-CN"/>
              </w:rPr>
              <w:br/>
              <w:t>Ассоциированный член МСЭ</w:t>
            </w:r>
            <w:r w:rsidRPr="008A63D4">
              <w:rPr>
                <w:rFonts w:cs="Calibri"/>
                <w:sz w:val="20"/>
                <w:lang w:val="ru-RU" w:eastAsia="zh-CN"/>
              </w:rPr>
              <w:t>-T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</w:p>
        </w:tc>
      </w:tr>
      <w:tr w:rsidR="00292B0E" w:rsidRPr="008A63D4" w:rsidTr="00A53C22">
        <w:trPr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B0E" w:rsidRPr="008A63D4" w:rsidRDefault="00A53C22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ТУНИС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B0E" w:rsidRPr="008A63D4" w:rsidRDefault="004F0432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Высшая школа связи Туниса</w:t>
            </w:r>
            <w:r w:rsidR="00292B0E" w:rsidRPr="008A63D4">
              <w:rPr>
                <w:rFonts w:cs="Calibri"/>
                <w:sz w:val="20"/>
                <w:lang w:val="ru-RU" w:eastAsia="zh-CN"/>
              </w:rPr>
              <w:t xml:space="preserve"> (Sup'Com)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2018 г./</w:t>
            </w:r>
            <w:r w:rsidR="00A53C22" w:rsidRPr="008A63D4">
              <w:rPr>
                <w:rFonts w:cs="Calibri"/>
                <w:sz w:val="20"/>
                <w:lang w:val="ru-RU" w:eastAsia="zh-CN"/>
              </w:rPr>
              <w:br/>
            </w:r>
            <w:r w:rsidRPr="008A63D4">
              <w:rPr>
                <w:rFonts w:cs="Calibri"/>
                <w:sz w:val="20"/>
                <w:lang w:val="ru-RU" w:eastAsia="zh-CN"/>
              </w:rPr>
              <w:t>Академическая организация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1</w:t>
            </w:r>
          </w:p>
        </w:tc>
      </w:tr>
      <w:tr w:rsidR="00292B0E" w:rsidRPr="008A63D4" w:rsidTr="00A53C22">
        <w:trPr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cs="Calibri"/>
                <w:sz w:val="20"/>
                <w:lang w:val="ru-RU" w:eastAsia="zh-C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Prisma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2018</w:t>
            </w:r>
            <w:r w:rsidR="00A53C22" w:rsidRPr="008A63D4">
              <w:rPr>
                <w:rFonts w:cs="Calibri"/>
                <w:sz w:val="20"/>
                <w:lang w:val="ru-RU" w:eastAsia="zh-CN"/>
              </w:rPr>
              <w:t xml:space="preserve"> г./</w:t>
            </w:r>
            <w:r w:rsidR="00A53C22" w:rsidRPr="008A63D4">
              <w:rPr>
                <w:rFonts w:cs="Calibri"/>
                <w:sz w:val="20"/>
                <w:lang w:val="ru-RU" w:eastAsia="zh-CN"/>
              </w:rPr>
              <w:br/>
              <w:t>Ассоциированный член МСЭ</w:t>
            </w:r>
            <w:r w:rsidRPr="008A63D4">
              <w:rPr>
                <w:rFonts w:cs="Calibri"/>
                <w:sz w:val="20"/>
                <w:lang w:val="ru-RU" w:eastAsia="zh-CN"/>
              </w:rPr>
              <w:t>-T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</w:p>
        </w:tc>
      </w:tr>
      <w:tr w:rsidR="00292B0E" w:rsidRPr="008A63D4" w:rsidTr="00A53C22">
        <w:trPr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B0E" w:rsidRPr="008A63D4" w:rsidRDefault="00A53C22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СОЕДИНЕННОЕ КОРОЛЕВСТВО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Tinklabs Limited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2018</w:t>
            </w:r>
            <w:r w:rsidR="00A53C22" w:rsidRPr="008A63D4">
              <w:rPr>
                <w:rFonts w:cs="Calibri"/>
                <w:sz w:val="20"/>
                <w:lang w:val="ru-RU" w:eastAsia="zh-CN"/>
              </w:rPr>
              <w:t xml:space="preserve"> г./</w:t>
            </w:r>
            <w:r w:rsidR="00A53C22" w:rsidRPr="008A63D4">
              <w:rPr>
                <w:rFonts w:cs="Calibri"/>
                <w:sz w:val="20"/>
                <w:lang w:val="ru-RU" w:eastAsia="zh-CN"/>
              </w:rPr>
              <w:br/>
              <w:t>Ассоциированный член МСЭ</w:t>
            </w:r>
            <w:r w:rsidRPr="008A63D4">
              <w:rPr>
                <w:rFonts w:cs="Calibri"/>
                <w:sz w:val="20"/>
                <w:lang w:val="ru-RU" w:eastAsia="zh-CN"/>
              </w:rPr>
              <w:t>-T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</w:p>
        </w:tc>
      </w:tr>
      <w:tr w:rsidR="00292B0E" w:rsidRPr="008A63D4" w:rsidTr="00A53C22">
        <w:trPr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B0E" w:rsidRPr="008A63D4" w:rsidRDefault="00A53C22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США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Analog Devices, Inc.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2018</w:t>
            </w:r>
            <w:r w:rsidR="00A53C22" w:rsidRPr="008A63D4">
              <w:rPr>
                <w:rFonts w:cs="Calibri"/>
                <w:sz w:val="20"/>
                <w:lang w:val="ru-RU" w:eastAsia="zh-CN"/>
              </w:rPr>
              <w:t xml:space="preserve"> г./</w:t>
            </w:r>
            <w:r w:rsidR="00A53C22" w:rsidRPr="008A63D4">
              <w:rPr>
                <w:rFonts w:cs="Calibri"/>
                <w:sz w:val="20"/>
                <w:lang w:val="ru-RU" w:eastAsia="zh-CN"/>
              </w:rPr>
              <w:br/>
              <w:t>Ассоциированный член МСЭ</w:t>
            </w:r>
            <w:r w:rsidRPr="008A63D4">
              <w:rPr>
                <w:rFonts w:cs="Calibri"/>
                <w:sz w:val="20"/>
                <w:lang w:val="ru-RU" w:eastAsia="zh-CN"/>
              </w:rPr>
              <w:t>-T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</w:p>
        </w:tc>
      </w:tr>
      <w:tr w:rsidR="00292B0E" w:rsidRPr="008A63D4" w:rsidTr="00A53C22">
        <w:trPr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cs="Calibri"/>
                <w:sz w:val="20"/>
                <w:lang w:val="ru-RU" w:eastAsia="zh-C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Deloitte Consulting LLP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2018</w:t>
            </w:r>
            <w:r w:rsidR="00A53C22" w:rsidRPr="008A63D4">
              <w:rPr>
                <w:rFonts w:cs="Calibri"/>
                <w:sz w:val="20"/>
                <w:lang w:val="ru-RU" w:eastAsia="zh-CN"/>
              </w:rPr>
              <w:t xml:space="preserve"> г./МСЭ</w:t>
            </w:r>
            <w:r w:rsidRPr="008A63D4">
              <w:rPr>
                <w:rFonts w:cs="Calibri"/>
                <w:sz w:val="20"/>
                <w:lang w:val="ru-RU" w:eastAsia="zh-CN"/>
              </w:rPr>
              <w:t>-D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</w:p>
        </w:tc>
      </w:tr>
      <w:tr w:rsidR="00292B0E" w:rsidRPr="008A63D4" w:rsidTr="00A53C22">
        <w:trPr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cs="Calibri"/>
                <w:sz w:val="20"/>
                <w:lang w:val="ru-RU" w:eastAsia="zh-C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Ellipsat Inc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2018</w:t>
            </w:r>
            <w:r w:rsidR="00A53C22" w:rsidRPr="008A63D4">
              <w:rPr>
                <w:rFonts w:cs="Calibri"/>
                <w:sz w:val="20"/>
                <w:lang w:val="ru-RU" w:eastAsia="zh-CN"/>
              </w:rPr>
              <w:t xml:space="preserve"> г./</w:t>
            </w:r>
            <w:r w:rsidR="00A53C22" w:rsidRPr="008A63D4">
              <w:rPr>
                <w:rFonts w:cs="Calibri"/>
                <w:sz w:val="20"/>
                <w:lang w:val="ru-RU" w:eastAsia="zh-CN"/>
              </w:rPr>
              <w:br/>
              <w:t>Ассоциированный член МСЭ</w:t>
            </w:r>
            <w:r w:rsidRPr="008A63D4">
              <w:rPr>
                <w:rFonts w:cs="Calibri"/>
                <w:sz w:val="20"/>
                <w:lang w:val="ru-RU" w:eastAsia="zh-CN"/>
              </w:rPr>
              <w:t>-T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</w:p>
        </w:tc>
      </w:tr>
      <w:tr w:rsidR="00292B0E" w:rsidRPr="008A63D4" w:rsidTr="00A53C22">
        <w:trPr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cs="Calibri"/>
                <w:sz w:val="20"/>
                <w:lang w:val="ru-RU" w:eastAsia="zh-C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NeuStar Inc.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B0E" w:rsidRPr="008A63D4" w:rsidRDefault="00292B0E" w:rsidP="00E954EF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2018</w:t>
            </w:r>
            <w:r w:rsidR="00E954EF" w:rsidRPr="008A63D4">
              <w:rPr>
                <w:rFonts w:cs="Calibri"/>
                <w:sz w:val="20"/>
                <w:lang w:val="ru-RU" w:eastAsia="zh-CN"/>
              </w:rPr>
              <w:t xml:space="preserve"> г.</w:t>
            </w:r>
            <w:r w:rsidRPr="008A63D4">
              <w:rPr>
                <w:rFonts w:cs="Calibri"/>
                <w:sz w:val="20"/>
                <w:lang w:val="ru-RU" w:eastAsia="zh-CN"/>
              </w:rPr>
              <w:t>/</w:t>
            </w:r>
            <w:r w:rsidR="00E954EF" w:rsidRPr="008A63D4">
              <w:rPr>
                <w:rFonts w:cs="Calibri"/>
                <w:sz w:val="20"/>
                <w:lang w:val="ru-RU" w:eastAsia="zh-CN"/>
              </w:rPr>
              <w:t>МСЭ</w:t>
            </w:r>
            <w:r w:rsidRPr="008A63D4">
              <w:rPr>
                <w:rFonts w:cs="Calibri"/>
                <w:sz w:val="20"/>
                <w:lang w:val="ru-RU" w:eastAsia="zh-CN"/>
              </w:rPr>
              <w:t>-T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</w:p>
        </w:tc>
      </w:tr>
      <w:tr w:rsidR="00292B0E" w:rsidRPr="008A63D4" w:rsidTr="00A53C22">
        <w:trPr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cs="Calibri"/>
                <w:sz w:val="20"/>
                <w:lang w:val="ru-RU" w:eastAsia="zh-C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nVent Electric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2018</w:t>
            </w:r>
            <w:r w:rsidR="00A53C22" w:rsidRPr="008A63D4">
              <w:rPr>
                <w:rFonts w:cs="Calibri"/>
                <w:sz w:val="20"/>
                <w:lang w:val="ru-RU" w:eastAsia="zh-CN"/>
              </w:rPr>
              <w:t xml:space="preserve"> г./</w:t>
            </w:r>
            <w:r w:rsidR="00A53C22" w:rsidRPr="008A63D4">
              <w:rPr>
                <w:rFonts w:cs="Calibri"/>
                <w:sz w:val="20"/>
                <w:lang w:val="ru-RU" w:eastAsia="zh-CN"/>
              </w:rPr>
              <w:br/>
              <w:t>Ассоциированный член МСЭ</w:t>
            </w:r>
            <w:r w:rsidRPr="008A63D4">
              <w:rPr>
                <w:rFonts w:cs="Calibri"/>
                <w:sz w:val="20"/>
                <w:lang w:val="ru-RU" w:eastAsia="zh-CN"/>
              </w:rPr>
              <w:t>-T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</w:p>
        </w:tc>
      </w:tr>
      <w:tr w:rsidR="00292B0E" w:rsidRPr="008A63D4" w:rsidTr="00A53C22">
        <w:trPr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cs="Calibri"/>
                <w:sz w:val="20"/>
                <w:lang w:val="ru-RU" w:eastAsia="zh-C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World Economic Forum LLC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2018</w:t>
            </w:r>
            <w:r w:rsidR="00A53C22" w:rsidRPr="008A63D4">
              <w:rPr>
                <w:rFonts w:cs="Calibri"/>
                <w:sz w:val="20"/>
                <w:lang w:val="ru-RU" w:eastAsia="zh-CN"/>
              </w:rPr>
              <w:t xml:space="preserve"> г./МСЭ</w:t>
            </w:r>
            <w:r w:rsidRPr="008A63D4">
              <w:rPr>
                <w:rFonts w:cs="Calibri"/>
                <w:sz w:val="20"/>
                <w:lang w:val="ru-RU" w:eastAsia="zh-CN"/>
              </w:rPr>
              <w:t>-D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</w:p>
        </w:tc>
      </w:tr>
      <w:tr w:rsidR="00292B0E" w:rsidRPr="008A63D4" w:rsidTr="00A53C22">
        <w:trPr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B0E" w:rsidRPr="008A63D4" w:rsidRDefault="00A53C22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ЗИМБАБВЕ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Econet Wireless (PVT) Ltd.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2018</w:t>
            </w:r>
            <w:r w:rsidR="00A53C22" w:rsidRPr="008A63D4">
              <w:rPr>
                <w:rFonts w:cs="Calibri"/>
                <w:sz w:val="20"/>
                <w:lang w:val="ru-RU" w:eastAsia="zh-CN"/>
              </w:rPr>
              <w:t xml:space="preserve"> г./МСЭ</w:t>
            </w:r>
            <w:r w:rsidRPr="008A63D4">
              <w:rPr>
                <w:rFonts w:cs="Calibri"/>
                <w:sz w:val="20"/>
                <w:lang w:val="ru-RU" w:eastAsia="zh-CN"/>
              </w:rPr>
              <w:t>-D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</w:p>
        </w:tc>
      </w:tr>
      <w:tr w:rsidR="00292B0E" w:rsidRPr="008A63D4" w:rsidTr="00A53C22">
        <w:trPr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cs="Calibri"/>
                <w:sz w:val="20"/>
                <w:lang w:val="ru-RU" w:eastAsia="zh-C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TelOne (Pvt) Limited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2018</w:t>
            </w:r>
            <w:r w:rsidR="00A53C22" w:rsidRPr="008A63D4">
              <w:rPr>
                <w:rFonts w:cs="Calibri"/>
                <w:sz w:val="20"/>
                <w:lang w:val="ru-RU" w:eastAsia="zh-CN"/>
              </w:rPr>
              <w:t xml:space="preserve"> г./МСЭ</w:t>
            </w:r>
            <w:r w:rsidRPr="008A63D4">
              <w:rPr>
                <w:rFonts w:cs="Calibri"/>
                <w:sz w:val="20"/>
                <w:lang w:val="ru-RU" w:eastAsia="zh-CN"/>
              </w:rPr>
              <w:t xml:space="preserve">-R </w:t>
            </w:r>
            <w:r w:rsidR="00A53C22" w:rsidRPr="008A63D4">
              <w:rPr>
                <w:rFonts w:cs="Calibri"/>
                <w:sz w:val="20"/>
                <w:lang w:val="ru-RU" w:eastAsia="zh-CN"/>
              </w:rPr>
              <w:t>и</w:t>
            </w:r>
            <w:r w:rsidRPr="008A63D4">
              <w:rPr>
                <w:rFonts w:cs="Calibri"/>
                <w:sz w:val="20"/>
                <w:lang w:val="ru-RU" w:eastAsia="zh-CN"/>
              </w:rPr>
              <w:t xml:space="preserve"> </w:t>
            </w:r>
            <w:r w:rsidR="00A53C22" w:rsidRPr="008A63D4">
              <w:rPr>
                <w:rFonts w:cs="Calibri"/>
                <w:sz w:val="20"/>
                <w:lang w:val="ru-RU" w:eastAsia="zh-CN"/>
              </w:rPr>
              <w:t>МСЭ</w:t>
            </w:r>
            <w:r w:rsidR="00A53C22" w:rsidRPr="008A63D4">
              <w:rPr>
                <w:rFonts w:cs="Calibri"/>
                <w:sz w:val="20"/>
                <w:lang w:val="ru-RU" w:eastAsia="zh-CN"/>
              </w:rPr>
              <w:noBreakHyphen/>
            </w:r>
            <w:r w:rsidRPr="008A63D4">
              <w:rPr>
                <w:rFonts w:cs="Calibri"/>
                <w:sz w:val="20"/>
                <w:lang w:val="ru-RU" w:eastAsia="zh-CN"/>
              </w:rPr>
              <w:t>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</w:p>
        </w:tc>
      </w:tr>
      <w:tr w:rsidR="00292B0E" w:rsidRPr="008A63D4" w:rsidTr="00A53C22">
        <w:trPr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B0E" w:rsidRPr="008A63D4" w:rsidRDefault="00A53C22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РЕЗ</w:t>
            </w:r>
            <w:r w:rsidR="00292B0E" w:rsidRPr="008A63D4">
              <w:rPr>
                <w:rFonts w:cs="Calibri"/>
                <w:sz w:val="20"/>
                <w:lang w:val="ru-RU" w:eastAsia="zh-CN"/>
              </w:rPr>
              <w:t>. 99 (</w:t>
            </w:r>
            <w:r w:rsidRPr="008A63D4">
              <w:rPr>
                <w:rFonts w:cs="Calibri"/>
                <w:sz w:val="20"/>
                <w:lang w:val="ru-RU" w:eastAsia="zh-CN"/>
              </w:rPr>
              <w:t>Пересм</w:t>
            </w:r>
            <w:r w:rsidR="00292B0E" w:rsidRPr="008A63D4">
              <w:rPr>
                <w:rFonts w:cs="Calibri"/>
                <w:sz w:val="20"/>
                <w:lang w:val="ru-RU" w:eastAsia="zh-CN"/>
              </w:rPr>
              <w:t xml:space="preserve">. </w:t>
            </w:r>
            <w:r w:rsidRPr="008A63D4">
              <w:rPr>
                <w:rFonts w:cs="Calibri"/>
                <w:sz w:val="20"/>
                <w:lang w:val="ru-RU" w:eastAsia="zh-CN"/>
              </w:rPr>
              <w:t>Дубай</w:t>
            </w:r>
            <w:r w:rsidR="00292B0E" w:rsidRPr="008A63D4">
              <w:rPr>
                <w:rFonts w:cs="Calibri"/>
                <w:sz w:val="20"/>
                <w:lang w:val="ru-RU" w:eastAsia="zh-CN"/>
              </w:rPr>
              <w:t>, 2018</w:t>
            </w:r>
            <w:r w:rsidRPr="008A63D4">
              <w:rPr>
                <w:rFonts w:cs="Calibri"/>
                <w:sz w:val="20"/>
                <w:lang w:val="ru-RU" w:eastAsia="zh-CN"/>
              </w:rPr>
              <w:t> г.</w:t>
            </w:r>
            <w:r w:rsidR="00292B0E" w:rsidRPr="008A63D4">
              <w:rPr>
                <w:rFonts w:cs="Calibri"/>
                <w:sz w:val="20"/>
                <w:lang w:val="ru-RU" w:eastAsia="zh-CN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Wataniya Palestine Mobile Telecommunication Company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2018</w:t>
            </w:r>
            <w:r w:rsidR="00A53C22" w:rsidRPr="008A63D4">
              <w:rPr>
                <w:rFonts w:cs="Calibri"/>
                <w:sz w:val="20"/>
                <w:lang w:val="ru-RU" w:eastAsia="zh-CN"/>
              </w:rPr>
              <w:t xml:space="preserve"> г./МСЭ</w:t>
            </w:r>
            <w:r w:rsidRPr="008A63D4">
              <w:rPr>
                <w:rFonts w:cs="Calibri"/>
                <w:sz w:val="20"/>
                <w:lang w:val="ru-RU" w:eastAsia="zh-CN"/>
              </w:rPr>
              <w:t>-D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jc w:val="center"/>
              <w:outlineLvl w:val="1"/>
              <w:rPr>
                <w:rFonts w:cs="Calibri"/>
                <w:sz w:val="20"/>
                <w:lang w:val="ru-RU" w:eastAsia="zh-CN"/>
              </w:rPr>
            </w:pPr>
          </w:p>
        </w:tc>
      </w:tr>
      <w:tr w:rsidR="00292B0E" w:rsidRPr="008A63D4" w:rsidTr="00A53C22">
        <w:trPr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292B0E" w:rsidRPr="008A63D4" w:rsidRDefault="00A53C22" w:rsidP="00A53C22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cs="Calibri"/>
                <w:b/>
                <w:bCs/>
                <w:sz w:val="20"/>
                <w:lang w:val="ru-RU" w:eastAsia="zh-CN"/>
              </w:rPr>
            </w:pPr>
            <w:r w:rsidRPr="008A63D4">
              <w:rPr>
                <w:rFonts w:cs="Calibri"/>
                <w:b/>
                <w:bCs/>
                <w:sz w:val="20"/>
                <w:lang w:val="ru-RU" w:eastAsia="zh-CN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cs="Calibri"/>
                <w:b/>
                <w:bCs/>
                <w:sz w:val="20"/>
                <w:lang w:val="ru-RU" w:eastAsia="zh-CN"/>
              </w:rPr>
            </w:pPr>
            <w:r w:rsidRPr="008A63D4">
              <w:rPr>
                <w:rFonts w:cs="Calibri"/>
                <w:b/>
                <w:bCs/>
                <w:sz w:val="20"/>
                <w:lang w:val="ru-RU" w:eastAsia="zh-CN"/>
              </w:rPr>
              <w:t>24 Члена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cs="Calibr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cs="Calibri"/>
                <w:b/>
                <w:bCs/>
                <w:sz w:val="20"/>
                <w:lang w:val="ru-RU" w:eastAsia="zh-CN"/>
              </w:rPr>
            </w:pPr>
            <w:r w:rsidRPr="008A63D4">
              <w:rPr>
                <w:rFonts w:cs="Calibri"/>
                <w:b/>
                <w:bCs/>
                <w:sz w:val="20"/>
                <w:lang w:val="ru-RU" w:eastAsia="zh-C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cs="Calibri"/>
                <w:b/>
                <w:bCs/>
                <w:sz w:val="20"/>
                <w:lang w:val="ru-RU" w:eastAsia="zh-CN"/>
              </w:rPr>
            </w:pPr>
            <w:r w:rsidRPr="008A63D4">
              <w:rPr>
                <w:rFonts w:cs="Calibri"/>
                <w:b/>
                <w:bCs/>
                <w:sz w:val="20"/>
                <w:lang w:val="ru-RU" w:eastAsia="zh-CN"/>
              </w:rPr>
              <w:t>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cs="Calibri"/>
                <w:b/>
                <w:bCs/>
                <w:sz w:val="20"/>
                <w:lang w:val="ru-RU" w:eastAsia="zh-CN"/>
              </w:rPr>
            </w:pPr>
            <w:r w:rsidRPr="008A63D4">
              <w:rPr>
                <w:rFonts w:cs="Calibri"/>
                <w:b/>
                <w:bCs/>
                <w:sz w:val="20"/>
                <w:lang w:val="ru-RU" w:eastAsia="zh-CN"/>
              </w:rPr>
              <w:t>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92B0E" w:rsidRPr="008A63D4" w:rsidRDefault="00292B0E" w:rsidP="00A53C22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cs="Calibri"/>
                <w:b/>
                <w:bCs/>
                <w:sz w:val="20"/>
                <w:lang w:val="ru-RU" w:eastAsia="zh-CN"/>
              </w:rPr>
            </w:pPr>
            <w:r w:rsidRPr="008A63D4">
              <w:rPr>
                <w:rFonts w:cs="Calibri"/>
                <w:b/>
                <w:bCs/>
                <w:sz w:val="20"/>
                <w:lang w:val="ru-RU" w:eastAsia="zh-CN"/>
              </w:rPr>
              <w:t>4</w:t>
            </w:r>
          </w:p>
        </w:tc>
      </w:tr>
    </w:tbl>
    <w:p w:rsidR="00292B0E" w:rsidRPr="008A63D4" w:rsidRDefault="00292B0E" w:rsidP="00292B0E">
      <w:pPr>
        <w:rPr>
          <w:lang w:val="ru-RU"/>
        </w:rPr>
      </w:pPr>
    </w:p>
    <w:p w:rsidR="00BC0798" w:rsidRPr="008A63D4" w:rsidRDefault="00BC0798" w:rsidP="00BC0798">
      <w:pPr>
        <w:pStyle w:val="AnnexNo"/>
        <w:pageBreakBefore/>
        <w:rPr>
          <w:lang w:val="ru-RU"/>
        </w:rPr>
      </w:pPr>
      <w:r w:rsidRPr="008A63D4">
        <w:rPr>
          <w:lang w:val="ru-RU"/>
        </w:rPr>
        <w:lastRenderedPageBreak/>
        <w:t>ПРИЛОЖЕНИЕ 2</w:t>
      </w:r>
    </w:p>
    <w:p w:rsidR="00BC0798" w:rsidRPr="008A63D4" w:rsidRDefault="00BC0798" w:rsidP="00943AD2">
      <w:pPr>
        <w:pStyle w:val="Annextitle"/>
        <w:rPr>
          <w:lang w:val="ru-RU"/>
        </w:rPr>
      </w:pPr>
      <w:r w:rsidRPr="008A63D4">
        <w:rPr>
          <w:lang w:val="ru-RU"/>
        </w:rPr>
        <w:t xml:space="preserve">Члены, которые будут исключены с </w:t>
      </w:r>
      <w:r w:rsidR="00943AD2" w:rsidRPr="008A63D4">
        <w:rPr>
          <w:lang w:val="ru-RU"/>
        </w:rPr>
        <w:t>30 июня</w:t>
      </w:r>
      <w:r w:rsidRPr="008A63D4">
        <w:rPr>
          <w:lang w:val="ru-RU"/>
        </w:rPr>
        <w:t xml:space="preserve"> 201</w:t>
      </w:r>
      <w:r w:rsidR="00943AD2" w:rsidRPr="008A63D4">
        <w:rPr>
          <w:lang w:val="ru-RU"/>
        </w:rPr>
        <w:t>9</w:t>
      </w:r>
      <w:r w:rsidRPr="008A63D4">
        <w:rPr>
          <w:lang w:val="ru-RU"/>
        </w:rPr>
        <w:t> года</w:t>
      </w:r>
    </w:p>
    <w:p w:rsidR="00BC0798" w:rsidRPr="008A63D4" w:rsidRDefault="00BC0798" w:rsidP="00943AD2">
      <w:pPr>
        <w:spacing w:after="240"/>
        <w:jc w:val="center"/>
        <w:rPr>
          <w:i/>
          <w:iCs/>
          <w:lang w:val="ru-RU"/>
        </w:rPr>
      </w:pPr>
      <w:r w:rsidRPr="008A63D4">
        <w:rPr>
          <w:i/>
          <w:iCs/>
          <w:lang w:val="ru-RU"/>
        </w:rPr>
        <w:t>"Заморожены" с января 201</w:t>
      </w:r>
      <w:r w:rsidR="00943AD2" w:rsidRPr="008A63D4">
        <w:rPr>
          <w:i/>
          <w:iCs/>
          <w:lang w:val="ru-RU"/>
        </w:rPr>
        <w:t>8</w:t>
      </w:r>
      <w:r w:rsidRPr="008A63D4">
        <w:rPr>
          <w:i/>
          <w:iCs/>
          <w:lang w:val="ru-RU"/>
        </w:rPr>
        <w:t xml:space="preserve"> года </w:t>
      </w:r>
      <w:r w:rsidR="00943AD2" w:rsidRPr="008A63D4">
        <w:rPr>
          <w:i/>
          <w:iCs/>
          <w:lang w:val="ru-RU"/>
        </w:rPr>
        <w:t xml:space="preserve">и в предыдущие годы </w:t>
      </w:r>
      <w:r w:rsidRPr="008A63D4">
        <w:rPr>
          <w:i/>
          <w:iCs/>
          <w:lang w:val="ru-RU"/>
        </w:rPr>
        <w:t>– Задолженность по взносам за 201</w:t>
      </w:r>
      <w:r w:rsidR="00943AD2" w:rsidRPr="008A63D4">
        <w:rPr>
          <w:i/>
          <w:iCs/>
          <w:lang w:val="ru-RU"/>
        </w:rPr>
        <w:t>7</w:t>
      </w:r>
      <w:r w:rsidRPr="008A63D4">
        <w:rPr>
          <w:i/>
          <w:iCs/>
          <w:lang w:val="ru-RU"/>
        </w:rPr>
        <w:t> год</w:t>
      </w:r>
      <w:r w:rsidR="00943AD2" w:rsidRPr="008A63D4">
        <w:rPr>
          <w:i/>
          <w:iCs/>
          <w:lang w:val="ru-RU"/>
        </w:rPr>
        <w:t xml:space="preserve"> и предыдущие годы</w:t>
      </w:r>
    </w:p>
    <w:p w:rsidR="00BC0798" w:rsidRPr="008A63D4" w:rsidRDefault="00BC0798" w:rsidP="00943AD2">
      <w:pPr>
        <w:spacing w:after="240"/>
        <w:jc w:val="center"/>
        <w:rPr>
          <w:i/>
          <w:iCs/>
          <w:lang w:val="ru-RU"/>
        </w:rPr>
      </w:pPr>
      <w:r w:rsidRPr="008A63D4">
        <w:rPr>
          <w:i/>
          <w:iCs/>
          <w:lang w:val="ru-RU"/>
        </w:rPr>
        <w:t xml:space="preserve">Положение на </w:t>
      </w:r>
      <w:r w:rsidR="00943AD2" w:rsidRPr="008A63D4">
        <w:rPr>
          <w:i/>
          <w:iCs/>
          <w:lang w:val="ru-RU"/>
        </w:rPr>
        <w:t>5 апреля</w:t>
      </w:r>
      <w:r w:rsidRPr="008A63D4">
        <w:rPr>
          <w:i/>
          <w:iCs/>
          <w:lang w:val="ru-RU"/>
        </w:rPr>
        <w:t xml:space="preserve"> 201</w:t>
      </w:r>
      <w:r w:rsidR="00943AD2" w:rsidRPr="008A63D4">
        <w:rPr>
          <w:i/>
          <w:iCs/>
          <w:lang w:val="ru-RU"/>
        </w:rPr>
        <w:t>9</w:t>
      </w:r>
      <w:r w:rsidRPr="008A63D4">
        <w:rPr>
          <w:i/>
          <w:iCs/>
          <w:lang w:val="ru-RU"/>
        </w:rPr>
        <w:t> года</w:t>
      </w:r>
    </w:p>
    <w:tbl>
      <w:tblPr>
        <w:tblW w:w="9654" w:type="dxa"/>
        <w:jc w:val="center"/>
        <w:tblLook w:val="04A0" w:firstRow="1" w:lastRow="0" w:firstColumn="1" w:lastColumn="0" w:noHBand="0" w:noVBand="1"/>
      </w:tblPr>
      <w:tblGrid>
        <w:gridCol w:w="2263"/>
        <w:gridCol w:w="4678"/>
        <w:gridCol w:w="2713"/>
      </w:tblGrid>
      <w:tr w:rsidR="00BC0798" w:rsidRPr="008A63D4" w:rsidTr="00F2534C">
        <w:trPr>
          <w:trHeight w:val="48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BC0798" w:rsidRPr="008A63D4" w:rsidRDefault="00BC0798" w:rsidP="00001483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cs="Calibri"/>
                <w:b/>
                <w:bCs/>
                <w:sz w:val="20"/>
                <w:lang w:val="ru-RU"/>
              </w:rPr>
            </w:pPr>
            <w:r w:rsidRPr="008A63D4">
              <w:rPr>
                <w:rFonts w:cs="Calibri"/>
                <w:b/>
                <w:bCs/>
                <w:sz w:val="20"/>
                <w:lang w:val="ru-RU" w:eastAsia="zh-CN"/>
              </w:rPr>
              <w:t>Страна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C0798" w:rsidRPr="008A63D4" w:rsidRDefault="00BC0798" w:rsidP="00001483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cs="Calibri"/>
                <w:b/>
                <w:bCs/>
                <w:sz w:val="20"/>
                <w:lang w:val="ru-RU"/>
              </w:rPr>
            </w:pPr>
            <w:r w:rsidRPr="008A63D4">
              <w:rPr>
                <w:rFonts w:cs="Calibri"/>
                <w:b/>
                <w:bCs/>
                <w:sz w:val="20"/>
                <w:lang w:val="ru-RU"/>
              </w:rPr>
              <w:t>Члены Секторов, Ассоциированные члены и Академические организации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C0798" w:rsidRPr="008A63D4" w:rsidRDefault="00BC0798" w:rsidP="00001483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center"/>
              <w:rPr>
                <w:rFonts w:cs="Calibri"/>
                <w:b/>
                <w:bCs/>
                <w:sz w:val="20"/>
                <w:lang w:val="ru-RU"/>
              </w:rPr>
            </w:pPr>
            <w:r w:rsidRPr="008A63D4">
              <w:rPr>
                <w:rFonts w:cs="Calibri"/>
                <w:b/>
                <w:bCs/>
                <w:sz w:val="20"/>
                <w:lang w:val="ru-RU" w:eastAsia="zh-CN"/>
              </w:rPr>
              <w:t>Период/Сектор</w:t>
            </w:r>
          </w:p>
        </w:tc>
      </w:tr>
      <w:tr w:rsidR="00001483" w:rsidRPr="008A63D4" w:rsidTr="00F2534C">
        <w:trPr>
          <w:trHeight w:val="31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483" w:rsidRPr="008A63D4" w:rsidRDefault="00001483" w:rsidP="00001483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АЛЖИ</w:t>
            </w:r>
            <w:r w:rsidR="00E23217" w:rsidRPr="008A63D4">
              <w:rPr>
                <w:rFonts w:cs="Calibri"/>
                <w:sz w:val="20"/>
                <w:lang w:val="ru-RU" w:eastAsia="zh-CN"/>
              </w:rPr>
              <w:t>Р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483" w:rsidRPr="008A63D4" w:rsidRDefault="008237D3" w:rsidP="00001483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Центр развития передовых технологий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1483" w:rsidRPr="008A63D4" w:rsidRDefault="00001483" w:rsidP="00001483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2015 г./Академическая организация</w:t>
            </w:r>
          </w:p>
        </w:tc>
      </w:tr>
      <w:tr w:rsidR="00001483" w:rsidRPr="008A63D4" w:rsidTr="00F2534C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483" w:rsidRPr="008A63D4" w:rsidRDefault="00001483" w:rsidP="00001483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lang w:val="ru-RU" w:eastAsia="zh-CN"/>
              </w:rPr>
            </w:pPr>
            <w:r w:rsidRPr="008A63D4">
              <w:rPr>
                <w:rFonts w:cs="Calibri"/>
                <w:color w:val="000000"/>
                <w:sz w:val="20"/>
                <w:lang w:val="ru-RU" w:eastAsia="zh-CN"/>
              </w:rPr>
              <w:t>КОСТА-РИКА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483" w:rsidRPr="008A63D4" w:rsidRDefault="007732EA" w:rsidP="00001483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lang w:val="ru-RU" w:eastAsia="zh-CN"/>
              </w:rPr>
            </w:pPr>
            <w:r w:rsidRPr="008A63D4">
              <w:rPr>
                <w:rFonts w:cs="Calibri"/>
                <w:color w:val="000000"/>
                <w:sz w:val="20"/>
                <w:lang w:val="ru-RU" w:eastAsia="zh-CN"/>
              </w:rPr>
              <w:t>Университет Коста-Рики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1483" w:rsidRPr="008A63D4" w:rsidRDefault="00001483" w:rsidP="00001483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lang w:val="ru-RU" w:eastAsia="zh-CN"/>
              </w:rPr>
            </w:pPr>
            <w:r w:rsidRPr="008A63D4">
              <w:rPr>
                <w:rFonts w:cs="Calibri"/>
                <w:color w:val="000000"/>
                <w:sz w:val="20"/>
                <w:lang w:val="ru-RU" w:eastAsia="zh-CN"/>
              </w:rPr>
              <w:t>2017</w:t>
            </w:r>
            <w:r w:rsidRPr="008A63D4">
              <w:rPr>
                <w:rFonts w:cs="Calibri"/>
                <w:sz w:val="20"/>
                <w:lang w:val="ru-RU" w:eastAsia="zh-CN"/>
              </w:rPr>
              <w:t xml:space="preserve"> г./Академическая организация</w:t>
            </w:r>
          </w:p>
        </w:tc>
      </w:tr>
      <w:tr w:rsidR="00001483" w:rsidRPr="008A63D4" w:rsidTr="00F2534C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483" w:rsidRPr="008A63D4" w:rsidRDefault="00001483" w:rsidP="00001483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lang w:val="ru-RU" w:eastAsia="zh-CN"/>
              </w:rPr>
            </w:pPr>
            <w:r w:rsidRPr="008A63D4">
              <w:rPr>
                <w:rFonts w:cs="Calibri"/>
                <w:color w:val="000000"/>
                <w:sz w:val="20"/>
                <w:lang w:val="ru-RU" w:eastAsia="zh-CN"/>
              </w:rPr>
              <w:t>ГАМБИЯ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483" w:rsidRPr="008A63D4" w:rsidRDefault="00001483" w:rsidP="00001483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lang w:val="ru-RU" w:eastAsia="zh-CN"/>
              </w:rPr>
            </w:pPr>
            <w:r w:rsidRPr="008A63D4">
              <w:rPr>
                <w:rFonts w:cs="Calibri"/>
                <w:color w:val="000000"/>
                <w:sz w:val="20"/>
                <w:lang w:val="ru-RU" w:eastAsia="zh-CN"/>
              </w:rPr>
              <w:t>Africell Ltd.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1483" w:rsidRPr="008A63D4" w:rsidRDefault="00001483" w:rsidP="00001483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lang w:val="ru-RU" w:eastAsia="zh-CN"/>
              </w:rPr>
            </w:pPr>
            <w:r w:rsidRPr="008A63D4">
              <w:rPr>
                <w:rFonts w:cs="Calibri"/>
                <w:color w:val="000000"/>
                <w:sz w:val="20"/>
                <w:lang w:val="ru-RU" w:eastAsia="zh-CN"/>
              </w:rPr>
              <w:t>2017</w:t>
            </w:r>
            <w:r w:rsidR="00E23217" w:rsidRPr="008A63D4">
              <w:rPr>
                <w:rFonts w:asciiTheme="minorHAnsi" w:hAnsiTheme="minorHAnsi"/>
                <w:sz w:val="20"/>
                <w:lang w:val="ru-RU"/>
              </w:rPr>
              <w:t xml:space="preserve"> г./МСЭ</w:t>
            </w:r>
            <w:r w:rsidRPr="008A63D4">
              <w:rPr>
                <w:rFonts w:cs="Calibri"/>
                <w:color w:val="000000"/>
                <w:sz w:val="20"/>
                <w:lang w:val="ru-RU" w:eastAsia="zh-CN"/>
              </w:rPr>
              <w:t>-D</w:t>
            </w:r>
          </w:p>
        </w:tc>
      </w:tr>
      <w:tr w:rsidR="00001483" w:rsidRPr="00280E02" w:rsidTr="00F2534C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483" w:rsidRPr="008A63D4" w:rsidRDefault="00001483" w:rsidP="00001483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lang w:val="ru-RU" w:eastAsia="zh-CN"/>
              </w:rPr>
            </w:pPr>
            <w:r w:rsidRPr="008A63D4">
              <w:rPr>
                <w:rFonts w:cs="Calibri"/>
                <w:color w:val="000000"/>
                <w:sz w:val="20"/>
                <w:lang w:val="ru-RU" w:eastAsia="zh-CN"/>
              </w:rPr>
              <w:t>ВЕНГРИЯ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483" w:rsidRPr="008A63D4" w:rsidRDefault="00001483" w:rsidP="00001483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lang w:val="ru-RU" w:eastAsia="zh-CN"/>
              </w:rPr>
            </w:pPr>
            <w:r w:rsidRPr="008A63D4">
              <w:rPr>
                <w:rFonts w:cs="Calibri"/>
                <w:color w:val="000000"/>
                <w:sz w:val="20"/>
                <w:lang w:val="ru-RU" w:eastAsia="zh-CN"/>
              </w:rPr>
              <w:t>Tel2tel Kft.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1483" w:rsidRPr="008A63D4" w:rsidRDefault="00001483" w:rsidP="00001483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lang w:val="ru-RU" w:eastAsia="zh-CN"/>
              </w:rPr>
            </w:pPr>
            <w:r w:rsidRPr="008A63D4">
              <w:rPr>
                <w:rFonts w:cs="Calibri"/>
                <w:color w:val="000000"/>
                <w:sz w:val="20"/>
                <w:lang w:val="ru-RU" w:eastAsia="zh-CN"/>
              </w:rPr>
              <w:t>2017</w:t>
            </w:r>
            <w:r w:rsidR="00E23217" w:rsidRPr="008A63D4">
              <w:rPr>
                <w:rFonts w:asciiTheme="minorHAnsi" w:hAnsiTheme="minorHAnsi"/>
                <w:sz w:val="20"/>
                <w:lang w:val="ru-RU"/>
              </w:rPr>
              <w:t xml:space="preserve"> г./Ассоциированный член МСЭ</w:t>
            </w:r>
            <w:r w:rsidRPr="008A63D4">
              <w:rPr>
                <w:rFonts w:cs="Calibri"/>
                <w:color w:val="000000"/>
                <w:sz w:val="20"/>
                <w:lang w:val="ru-RU" w:eastAsia="zh-CN"/>
              </w:rPr>
              <w:t>-T</w:t>
            </w:r>
          </w:p>
        </w:tc>
      </w:tr>
      <w:tr w:rsidR="00001483" w:rsidRPr="008A63D4" w:rsidTr="00F2534C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483" w:rsidRPr="008A63D4" w:rsidRDefault="00001483" w:rsidP="00001483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lang w:val="ru-RU" w:eastAsia="zh-CN"/>
              </w:rPr>
            </w:pPr>
            <w:r w:rsidRPr="008A63D4">
              <w:rPr>
                <w:rFonts w:cs="Calibri"/>
                <w:color w:val="000000"/>
                <w:sz w:val="20"/>
                <w:lang w:val="ru-RU" w:eastAsia="zh-CN"/>
              </w:rPr>
              <w:t>ИНДИЯ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483" w:rsidRPr="008A63D4" w:rsidRDefault="00001483" w:rsidP="00001483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lang w:val="ru-RU" w:eastAsia="zh-CN"/>
              </w:rPr>
            </w:pPr>
            <w:r w:rsidRPr="008A63D4">
              <w:rPr>
                <w:rFonts w:cs="Calibri"/>
                <w:color w:val="000000"/>
                <w:sz w:val="20"/>
                <w:lang w:val="ru-RU" w:eastAsia="zh-CN"/>
              </w:rPr>
              <w:t xml:space="preserve">Amity </w:t>
            </w:r>
            <w:r w:rsidR="00943AD2" w:rsidRPr="008A63D4">
              <w:rPr>
                <w:rFonts w:cs="Calibri"/>
                <w:color w:val="000000"/>
                <w:sz w:val="20"/>
                <w:lang w:val="ru-RU" w:eastAsia="zh-CN"/>
              </w:rPr>
              <w:t>Институт техники связи и управления</w:t>
            </w:r>
            <w:r w:rsidRPr="008A63D4">
              <w:rPr>
                <w:rFonts w:cs="Calibri"/>
                <w:color w:val="000000"/>
                <w:sz w:val="20"/>
                <w:lang w:val="ru-RU" w:eastAsia="zh-CN"/>
              </w:rPr>
              <w:t xml:space="preserve">, </w:t>
            </w:r>
            <w:r w:rsidR="00943AD2" w:rsidRPr="008A63D4">
              <w:rPr>
                <w:rFonts w:cs="Calibri"/>
                <w:color w:val="000000"/>
                <w:sz w:val="20"/>
                <w:lang w:val="ru-RU" w:eastAsia="zh-CN"/>
              </w:rPr>
              <w:t>Университет дружбы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1483" w:rsidRPr="008A63D4" w:rsidRDefault="00001483" w:rsidP="00CB62F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lang w:val="ru-RU" w:eastAsia="zh-CN"/>
              </w:rPr>
            </w:pPr>
            <w:r w:rsidRPr="008A63D4">
              <w:rPr>
                <w:rFonts w:cs="Calibri"/>
                <w:color w:val="000000"/>
                <w:sz w:val="20"/>
                <w:lang w:val="ru-RU" w:eastAsia="zh-CN"/>
              </w:rPr>
              <w:t>2017</w:t>
            </w:r>
            <w:r w:rsidR="00CB62FA" w:rsidRPr="008A63D4">
              <w:rPr>
                <w:rFonts w:cs="Calibri"/>
                <w:sz w:val="20"/>
                <w:lang w:val="ru-RU" w:eastAsia="zh-CN"/>
              </w:rPr>
              <w:t xml:space="preserve"> г./Академическая организация</w:t>
            </w:r>
          </w:p>
        </w:tc>
      </w:tr>
      <w:tr w:rsidR="00001483" w:rsidRPr="00280E02" w:rsidTr="00F2534C">
        <w:trPr>
          <w:trHeight w:val="31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483" w:rsidRPr="008A63D4" w:rsidRDefault="00001483" w:rsidP="00001483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lang w:val="ru-RU" w:eastAsia="zh-CN"/>
              </w:rPr>
            </w:pPr>
            <w:r w:rsidRPr="008A63D4">
              <w:rPr>
                <w:rFonts w:cs="Calibri"/>
                <w:color w:val="000000"/>
                <w:sz w:val="20"/>
                <w:lang w:val="ru-RU" w:eastAsia="zh-CN"/>
              </w:rPr>
              <w:t>ИЗРАИЛЬ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483" w:rsidRPr="008A63D4" w:rsidRDefault="00001483" w:rsidP="00001483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lang w:val="ru-RU" w:eastAsia="zh-CN"/>
              </w:rPr>
            </w:pPr>
            <w:r w:rsidRPr="008A63D4">
              <w:rPr>
                <w:rFonts w:cs="Calibri"/>
                <w:color w:val="000000"/>
                <w:sz w:val="20"/>
                <w:lang w:val="ru-RU" w:eastAsia="zh-CN"/>
              </w:rPr>
              <w:t>IP Light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1483" w:rsidRPr="008A63D4" w:rsidRDefault="00001483" w:rsidP="00001483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lang w:val="ru-RU" w:eastAsia="zh-CN"/>
              </w:rPr>
            </w:pPr>
            <w:r w:rsidRPr="008A63D4">
              <w:rPr>
                <w:rFonts w:cs="Calibri"/>
                <w:color w:val="000000"/>
                <w:sz w:val="20"/>
                <w:lang w:val="ru-RU" w:eastAsia="zh-CN"/>
              </w:rPr>
              <w:t>2017</w:t>
            </w:r>
            <w:r w:rsidR="00E23217" w:rsidRPr="008A63D4">
              <w:rPr>
                <w:rFonts w:asciiTheme="minorHAnsi" w:hAnsiTheme="minorHAnsi"/>
                <w:sz w:val="20"/>
                <w:lang w:val="ru-RU"/>
              </w:rPr>
              <w:t xml:space="preserve"> г./Ассоциированный член МСЭ</w:t>
            </w:r>
            <w:r w:rsidRPr="008A63D4">
              <w:rPr>
                <w:rFonts w:cs="Calibri"/>
                <w:color w:val="000000"/>
                <w:sz w:val="20"/>
                <w:lang w:val="ru-RU" w:eastAsia="zh-CN"/>
              </w:rPr>
              <w:t>-T</w:t>
            </w:r>
          </w:p>
        </w:tc>
      </w:tr>
      <w:tr w:rsidR="00001483" w:rsidRPr="008A63D4" w:rsidTr="00F2534C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483" w:rsidRPr="008A63D4" w:rsidRDefault="00001483" w:rsidP="00001483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lang w:val="ru-RU" w:eastAsia="zh-CN"/>
              </w:rPr>
            </w:pPr>
            <w:r w:rsidRPr="008A63D4">
              <w:rPr>
                <w:rFonts w:cs="Calibri"/>
                <w:color w:val="000000"/>
                <w:sz w:val="20"/>
                <w:lang w:val="ru-RU" w:eastAsia="zh-CN"/>
              </w:rPr>
              <w:t>КАТАР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483" w:rsidRPr="008A63D4" w:rsidRDefault="00943AD2" w:rsidP="00001483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lang w:val="ru-RU" w:eastAsia="zh-CN"/>
              </w:rPr>
            </w:pPr>
            <w:r w:rsidRPr="008A63D4">
              <w:rPr>
                <w:rFonts w:cs="Calibri"/>
                <w:color w:val="000000"/>
                <w:sz w:val="20"/>
                <w:lang w:val="ru-RU" w:eastAsia="zh-CN"/>
              </w:rPr>
              <w:t xml:space="preserve">Национальная сеть широкополосной связи Катара – </w:t>
            </w:r>
            <w:r w:rsidR="00001483" w:rsidRPr="008A63D4">
              <w:rPr>
                <w:rFonts w:cs="Calibri"/>
                <w:color w:val="000000"/>
                <w:sz w:val="20"/>
                <w:lang w:val="ru-RU" w:eastAsia="zh-CN"/>
              </w:rPr>
              <w:t>Qnbn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1483" w:rsidRPr="008A63D4" w:rsidRDefault="00001483" w:rsidP="00001483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lang w:val="ru-RU" w:eastAsia="zh-CN"/>
              </w:rPr>
            </w:pPr>
            <w:r w:rsidRPr="008A63D4">
              <w:rPr>
                <w:rFonts w:cs="Calibri"/>
                <w:color w:val="000000"/>
                <w:sz w:val="20"/>
                <w:lang w:val="ru-RU" w:eastAsia="zh-CN"/>
              </w:rPr>
              <w:t>2017</w:t>
            </w:r>
            <w:r w:rsidR="00E23217" w:rsidRPr="008A63D4">
              <w:rPr>
                <w:rFonts w:asciiTheme="minorHAnsi" w:hAnsiTheme="minorHAnsi"/>
                <w:sz w:val="20"/>
                <w:lang w:val="ru-RU"/>
              </w:rPr>
              <w:t xml:space="preserve"> г./МСЭ</w:t>
            </w:r>
            <w:r w:rsidRPr="008A63D4">
              <w:rPr>
                <w:rFonts w:cs="Calibri"/>
                <w:color w:val="000000"/>
                <w:sz w:val="20"/>
                <w:lang w:val="ru-RU" w:eastAsia="zh-CN"/>
              </w:rPr>
              <w:t>-T</w:t>
            </w:r>
          </w:p>
        </w:tc>
      </w:tr>
      <w:tr w:rsidR="00001483" w:rsidRPr="008A63D4" w:rsidTr="00F2534C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483" w:rsidRPr="008A63D4" w:rsidRDefault="00D04D10" w:rsidP="00001483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ЮЖНО-АФРИКАНСКАЯ РЕСПУБЛИКА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483" w:rsidRPr="00280E02" w:rsidRDefault="00001483" w:rsidP="00001483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lang w:eastAsia="zh-CN"/>
              </w:rPr>
            </w:pPr>
            <w:r w:rsidRPr="00280E02">
              <w:rPr>
                <w:rFonts w:cs="Calibri"/>
                <w:sz w:val="20"/>
              </w:rPr>
              <w:t>Mobile Telephone Networks (Pty) Ltd.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1483" w:rsidRPr="008A63D4" w:rsidRDefault="00001483" w:rsidP="00001483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lang w:val="ru-RU" w:eastAsia="zh-CN"/>
              </w:rPr>
            </w:pPr>
            <w:r w:rsidRPr="008A63D4">
              <w:rPr>
                <w:rFonts w:cs="Calibri"/>
                <w:color w:val="000000"/>
                <w:sz w:val="20"/>
                <w:lang w:val="ru-RU" w:eastAsia="zh-CN"/>
              </w:rPr>
              <w:t>2017</w:t>
            </w:r>
            <w:r w:rsidR="00E23217" w:rsidRPr="008A63D4">
              <w:rPr>
                <w:rFonts w:asciiTheme="minorHAnsi" w:hAnsiTheme="minorHAnsi"/>
                <w:sz w:val="20"/>
                <w:lang w:val="ru-RU"/>
              </w:rPr>
              <w:t xml:space="preserve"> г./МСЭ</w:t>
            </w:r>
            <w:r w:rsidRPr="008A63D4">
              <w:rPr>
                <w:rFonts w:cs="Calibri"/>
                <w:color w:val="000000"/>
                <w:sz w:val="20"/>
                <w:lang w:val="ru-RU" w:eastAsia="zh-CN"/>
              </w:rPr>
              <w:t>-D</w:t>
            </w:r>
          </w:p>
        </w:tc>
      </w:tr>
      <w:tr w:rsidR="00001483" w:rsidRPr="008A63D4" w:rsidTr="00F2534C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483" w:rsidRPr="008A63D4" w:rsidRDefault="00001483" w:rsidP="00001483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СУДАН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483" w:rsidRPr="008A63D4" w:rsidRDefault="00001483" w:rsidP="00001483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Canar Telecommunications Corporation Limited (Canartel)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1483" w:rsidRPr="008A63D4" w:rsidRDefault="00001483" w:rsidP="00001483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2013</w:t>
            </w:r>
            <w:r w:rsidR="00E23217" w:rsidRPr="008A63D4">
              <w:rPr>
                <w:rFonts w:asciiTheme="minorHAnsi" w:hAnsiTheme="minorHAnsi"/>
                <w:sz w:val="20"/>
                <w:lang w:val="ru-RU"/>
              </w:rPr>
              <w:t xml:space="preserve"> г./МСЭ</w:t>
            </w:r>
            <w:r w:rsidRPr="008A63D4">
              <w:rPr>
                <w:rFonts w:cs="Calibri"/>
                <w:sz w:val="20"/>
                <w:lang w:val="ru-RU" w:eastAsia="zh-CN"/>
              </w:rPr>
              <w:t>-D</w:t>
            </w:r>
          </w:p>
        </w:tc>
      </w:tr>
      <w:tr w:rsidR="00001483" w:rsidRPr="008A63D4" w:rsidTr="00F2534C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483" w:rsidRPr="008A63D4" w:rsidRDefault="00001483" w:rsidP="00001483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zh-CN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483" w:rsidRPr="008A63D4" w:rsidRDefault="00EE563A" w:rsidP="00001483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У</w:t>
            </w:r>
            <w:r w:rsidR="00B9258F" w:rsidRPr="008A63D4">
              <w:rPr>
                <w:rFonts w:cs="Calibri"/>
                <w:sz w:val="20"/>
                <w:lang w:val="ru-RU" w:eastAsia="zh-CN"/>
              </w:rPr>
              <w:t>ниверситет науки и технологий Г</w:t>
            </w:r>
            <w:r w:rsidRPr="008A63D4">
              <w:rPr>
                <w:rFonts w:cs="Calibri"/>
                <w:sz w:val="20"/>
                <w:lang w:val="ru-RU" w:eastAsia="zh-CN"/>
              </w:rPr>
              <w:t>арден-Сити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1483" w:rsidRPr="008A63D4" w:rsidRDefault="00001483" w:rsidP="00CB62F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2013</w:t>
            </w:r>
            <w:r w:rsidR="00CB62FA" w:rsidRPr="008A63D4">
              <w:rPr>
                <w:rFonts w:cs="Calibri"/>
                <w:sz w:val="20"/>
                <w:lang w:val="ru-RU" w:eastAsia="zh-CN"/>
              </w:rPr>
              <w:t xml:space="preserve"> г./Академическая организация</w:t>
            </w:r>
          </w:p>
        </w:tc>
      </w:tr>
      <w:tr w:rsidR="00001483" w:rsidRPr="008A63D4" w:rsidTr="00F2534C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483" w:rsidRPr="008A63D4" w:rsidRDefault="00001483" w:rsidP="00001483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zh-CN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483" w:rsidRPr="008A63D4" w:rsidRDefault="00D86868" w:rsidP="00001483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Открытый университет Судана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1483" w:rsidRPr="008A63D4" w:rsidRDefault="00001483" w:rsidP="00CB62F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2013</w:t>
            </w:r>
            <w:r w:rsidR="00CB62FA" w:rsidRPr="008A63D4">
              <w:rPr>
                <w:rFonts w:cs="Calibri"/>
                <w:sz w:val="20"/>
                <w:lang w:val="ru-RU" w:eastAsia="zh-CN"/>
              </w:rPr>
              <w:t xml:space="preserve"> г./Академическая организация</w:t>
            </w:r>
          </w:p>
        </w:tc>
      </w:tr>
      <w:tr w:rsidR="00001483" w:rsidRPr="008A63D4" w:rsidTr="00F2534C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483" w:rsidRPr="008A63D4" w:rsidRDefault="00001483" w:rsidP="00001483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zh-CN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483" w:rsidRPr="008A63D4" w:rsidRDefault="00004EEA" w:rsidP="00001483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Хартумский университет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1483" w:rsidRPr="008A63D4" w:rsidRDefault="00001483" w:rsidP="00CB62FA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2013</w:t>
            </w:r>
            <w:r w:rsidR="00CB62FA" w:rsidRPr="008A63D4">
              <w:rPr>
                <w:rFonts w:cs="Calibri"/>
                <w:sz w:val="20"/>
                <w:lang w:val="ru-RU" w:eastAsia="zh-CN"/>
              </w:rPr>
              <w:t xml:space="preserve"> г./Академическая организация</w:t>
            </w:r>
          </w:p>
        </w:tc>
      </w:tr>
      <w:tr w:rsidR="00001483" w:rsidRPr="00280E02" w:rsidTr="00F2534C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483" w:rsidRPr="008A63D4" w:rsidRDefault="00001483" w:rsidP="00001483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lang w:val="ru-RU" w:eastAsia="zh-CN"/>
              </w:rPr>
            </w:pPr>
            <w:r w:rsidRPr="008A63D4">
              <w:rPr>
                <w:rFonts w:cs="Calibri"/>
                <w:color w:val="000000"/>
                <w:sz w:val="20"/>
                <w:lang w:val="ru-RU" w:eastAsia="zh-CN"/>
              </w:rPr>
              <w:t>ТОГО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483" w:rsidRPr="008A63D4" w:rsidRDefault="00AC70C1" w:rsidP="00001483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lang w:val="ru-RU" w:eastAsia="zh-CN"/>
              </w:rPr>
            </w:pPr>
            <w:r w:rsidRPr="008A63D4">
              <w:rPr>
                <w:rFonts w:cs="Calibri"/>
                <w:color w:val="000000"/>
                <w:sz w:val="20"/>
                <w:lang w:val="ru-RU" w:eastAsia="zh-CN"/>
              </w:rPr>
              <w:t>Togo Telecom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1483" w:rsidRPr="008A63D4" w:rsidRDefault="00001483" w:rsidP="00E23217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lang w:val="ru-RU" w:eastAsia="zh-CN"/>
              </w:rPr>
            </w:pPr>
            <w:r w:rsidRPr="008A63D4">
              <w:rPr>
                <w:rFonts w:cs="Calibri"/>
                <w:color w:val="000000"/>
                <w:sz w:val="20"/>
                <w:lang w:val="ru-RU" w:eastAsia="zh-CN"/>
              </w:rPr>
              <w:t>2017</w:t>
            </w:r>
            <w:r w:rsidR="00E23217" w:rsidRPr="008A63D4">
              <w:rPr>
                <w:rFonts w:asciiTheme="minorHAnsi" w:hAnsiTheme="minorHAnsi"/>
                <w:sz w:val="20"/>
                <w:lang w:val="ru-RU"/>
              </w:rPr>
              <w:t xml:space="preserve"> г./МСЭ</w:t>
            </w:r>
            <w:r w:rsidRPr="008A63D4">
              <w:rPr>
                <w:rFonts w:cs="Calibri"/>
                <w:color w:val="000000"/>
                <w:sz w:val="20"/>
                <w:lang w:val="ru-RU" w:eastAsia="zh-CN"/>
              </w:rPr>
              <w:t xml:space="preserve">-T </w:t>
            </w:r>
            <w:r w:rsidR="00E23217" w:rsidRPr="008A63D4">
              <w:rPr>
                <w:rFonts w:cs="Calibri"/>
                <w:color w:val="000000"/>
                <w:sz w:val="20"/>
                <w:lang w:val="ru-RU" w:eastAsia="zh-CN"/>
              </w:rPr>
              <w:t>и</w:t>
            </w:r>
            <w:r w:rsidRPr="008A63D4">
              <w:rPr>
                <w:rFonts w:cs="Calibri"/>
                <w:color w:val="000000"/>
                <w:sz w:val="20"/>
                <w:lang w:val="ru-RU" w:eastAsia="zh-CN"/>
              </w:rPr>
              <w:t xml:space="preserve"> </w:t>
            </w:r>
            <w:r w:rsidR="00E23217" w:rsidRPr="008A63D4">
              <w:rPr>
                <w:rFonts w:cs="Calibri"/>
                <w:color w:val="000000"/>
                <w:sz w:val="20"/>
                <w:lang w:val="ru-RU" w:eastAsia="zh-CN"/>
              </w:rPr>
              <w:t>МСЭ</w:t>
            </w:r>
            <w:r w:rsidRPr="008A63D4">
              <w:rPr>
                <w:rFonts w:cs="Calibri"/>
                <w:color w:val="000000"/>
                <w:sz w:val="20"/>
                <w:lang w:val="ru-RU" w:eastAsia="zh-CN"/>
              </w:rPr>
              <w:t>-D</w:t>
            </w:r>
          </w:p>
        </w:tc>
      </w:tr>
      <w:tr w:rsidR="00001483" w:rsidRPr="008A63D4" w:rsidTr="00F2534C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483" w:rsidRPr="008A63D4" w:rsidRDefault="00001483" w:rsidP="00001483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lang w:val="ru-RU" w:eastAsia="zh-CN"/>
              </w:rPr>
            </w:pPr>
            <w:r w:rsidRPr="008A63D4">
              <w:rPr>
                <w:rFonts w:cs="Calibri"/>
                <w:color w:val="000000"/>
                <w:sz w:val="20"/>
                <w:lang w:val="ru-RU" w:eastAsia="zh-CN"/>
              </w:rPr>
              <w:t>ТУНИС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483" w:rsidRPr="008A63D4" w:rsidRDefault="00001483" w:rsidP="00001483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lang w:val="ru-RU" w:eastAsia="zh-CN"/>
              </w:rPr>
            </w:pPr>
            <w:r w:rsidRPr="008A63D4">
              <w:rPr>
                <w:rFonts w:cs="Calibri"/>
                <w:color w:val="000000"/>
                <w:sz w:val="20"/>
                <w:lang w:val="ru-RU" w:eastAsia="zh-CN"/>
              </w:rPr>
              <w:t>TELNET TECHNOCENTRE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1483" w:rsidRPr="008A63D4" w:rsidRDefault="00001483" w:rsidP="00001483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lang w:val="ru-RU" w:eastAsia="zh-CN"/>
              </w:rPr>
            </w:pPr>
            <w:r w:rsidRPr="008A63D4">
              <w:rPr>
                <w:rFonts w:cs="Calibri"/>
                <w:color w:val="000000"/>
                <w:sz w:val="20"/>
                <w:lang w:val="ru-RU" w:eastAsia="zh-CN"/>
              </w:rPr>
              <w:t>2017</w:t>
            </w:r>
            <w:r w:rsidR="00E23217" w:rsidRPr="008A63D4">
              <w:rPr>
                <w:rFonts w:asciiTheme="minorHAnsi" w:hAnsiTheme="minorHAnsi"/>
                <w:sz w:val="20"/>
                <w:lang w:val="ru-RU"/>
              </w:rPr>
              <w:t xml:space="preserve"> г./МСЭ</w:t>
            </w:r>
            <w:r w:rsidRPr="008A63D4">
              <w:rPr>
                <w:rFonts w:cs="Calibri"/>
                <w:color w:val="000000"/>
                <w:sz w:val="20"/>
                <w:lang w:val="ru-RU" w:eastAsia="zh-CN"/>
              </w:rPr>
              <w:t>-T</w:t>
            </w:r>
          </w:p>
        </w:tc>
      </w:tr>
      <w:tr w:rsidR="00001483" w:rsidRPr="00280E02" w:rsidTr="00F2534C">
        <w:trPr>
          <w:trHeight w:val="31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483" w:rsidRPr="008A63D4" w:rsidRDefault="00001483" w:rsidP="00001483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lang w:val="ru-RU" w:eastAsia="zh-CN"/>
              </w:rPr>
            </w:pPr>
            <w:r w:rsidRPr="008A63D4">
              <w:rPr>
                <w:rFonts w:cs="Calibri"/>
                <w:color w:val="000000"/>
                <w:sz w:val="20"/>
                <w:lang w:val="ru-RU" w:eastAsia="zh-CN"/>
              </w:rPr>
              <w:t>УКРАИНА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483" w:rsidRPr="008A63D4" w:rsidRDefault="0008214D" w:rsidP="00001483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lang w:val="ru-RU" w:eastAsia="zh-CN"/>
              </w:rPr>
            </w:pPr>
            <w:r w:rsidRPr="008A63D4">
              <w:rPr>
                <w:rFonts w:cs="Calibri"/>
                <w:color w:val="000000"/>
                <w:sz w:val="20"/>
                <w:lang w:val="ru-RU" w:eastAsia="zh-CN"/>
              </w:rPr>
              <w:t>Консорциум "Украинский центр поддержки номеров и адресов" (УЦПНА)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1483" w:rsidRPr="008A63D4" w:rsidRDefault="00001483" w:rsidP="00001483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lang w:val="ru-RU" w:eastAsia="zh-CN"/>
              </w:rPr>
            </w:pPr>
            <w:r w:rsidRPr="008A63D4">
              <w:rPr>
                <w:rFonts w:cs="Calibri"/>
                <w:color w:val="000000"/>
                <w:sz w:val="20"/>
                <w:lang w:val="ru-RU" w:eastAsia="zh-CN"/>
              </w:rPr>
              <w:t>2017</w:t>
            </w:r>
            <w:r w:rsidR="00E23217" w:rsidRPr="008A63D4">
              <w:rPr>
                <w:rFonts w:asciiTheme="minorHAnsi" w:hAnsiTheme="minorHAnsi"/>
                <w:sz w:val="20"/>
                <w:lang w:val="ru-RU"/>
              </w:rPr>
              <w:t xml:space="preserve"> г./Ассоциированный член МСЭ</w:t>
            </w:r>
            <w:r w:rsidRPr="008A63D4">
              <w:rPr>
                <w:rFonts w:cs="Calibri"/>
                <w:color w:val="000000"/>
                <w:sz w:val="20"/>
                <w:lang w:val="ru-RU" w:eastAsia="zh-CN"/>
              </w:rPr>
              <w:t>-D</w:t>
            </w:r>
          </w:p>
        </w:tc>
      </w:tr>
      <w:tr w:rsidR="00001483" w:rsidRPr="008A63D4" w:rsidTr="00F2534C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483" w:rsidRPr="008A63D4" w:rsidRDefault="00001483" w:rsidP="00001483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lang w:val="ru-RU" w:eastAsia="zh-CN"/>
              </w:rPr>
            </w:pPr>
            <w:r w:rsidRPr="008A63D4">
              <w:rPr>
                <w:rFonts w:cs="Calibri"/>
                <w:color w:val="000000"/>
                <w:sz w:val="20"/>
                <w:lang w:val="ru-RU" w:eastAsia="zh-CN"/>
              </w:rPr>
              <w:t>ОБЪЕДИНЕННЫЕ АРАБСКИЕ ЭМИРАТЫ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483" w:rsidRPr="008A63D4" w:rsidRDefault="0008214D" w:rsidP="00001483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lang w:val="ru-RU" w:eastAsia="zh-CN"/>
              </w:rPr>
            </w:pPr>
            <w:r w:rsidRPr="008A63D4">
              <w:rPr>
                <w:rFonts w:cs="Calibri"/>
                <w:color w:val="000000"/>
                <w:sz w:val="20"/>
                <w:lang w:val="ru-RU" w:eastAsia="zh-CN"/>
              </w:rPr>
              <w:t>Высшие учебные заведения в области технологий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1483" w:rsidRPr="008A63D4" w:rsidRDefault="00001483" w:rsidP="00D1111E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lang w:val="ru-RU" w:eastAsia="zh-CN"/>
              </w:rPr>
            </w:pPr>
            <w:r w:rsidRPr="008A63D4">
              <w:rPr>
                <w:rFonts w:cs="Calibri"/>
                <w:color w:val="000000"/>
                <w:sz w:val="20"/>
                <w:lang w:val="ru-RU" w:eastAsia="zh-CN"/>
              </w:rPr>
              <w:t>2017</w:t>
            </w:r>
            <w:r w:rsidR="00D1111E" w:rsidRPr="008A63D4">
              <w:rPr>
                <w:rFonts w:cs="Calibri"/>
                <w:sz w:val="20"/>
                <w:lang w:val="ru-RU" w:eastAsia="zh-CN"/>
              </w:rPr>
              <w:t xml:space="preserve"> г./Академическая организация</w:t>
            </w:r>
          </w:p>
        </w:tc>
      </w:tr>
      <w:tr w:rsidR="00001483" w:rsidRPr="008A63D4" w:rsidTr="00F2534C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483" w:rsidRPr="008A63D4" w:rsidRDefault="00001483" w:rsidP="00001483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lang w:val="ru-RU" w:eastAsia="zh-CN"/>
              </w:rPr>
            </w:pPr>
            <w:r w:rsidRPr="008A63D4">
              <w:rPr>
                <w:rFonts w:cs="Calibri"/>
                <w:color w:val="000000"/>
                <w:sz w:val="20"/>
                <w:lang w:val="ru-RU" w:eastAsia="zh-CN"/>
              </w:rPr>
              <w:t>США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483" w:rsidRPr="008A63D4" w:rsidRDefault="00001483" w:rsidP="00001483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lang w:val="ru-RU" w:eastAsia="zh-CN"/>
              </w:rPr>
            </w:pPr>
            <w:r w:rsidRPr="008A63D4">
              <w:rPr>
                <w:rFonts w:cs="Calibri"/>
                <w:color w:val="000000"/>
                <w:sz w:val="20"/>
                <w:lang w:val="ru-RU" w:eastAsia="zh-CN"/>
              </w:rPr>
              <w:t>Applied Micro Circuits Corporation (AMCC)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1483" w:rsidRPr="008A63D4" w:rsidRDefault="00001483" w:rsidP="00001483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lang w:val="ru-RU" w:eastAsia="zh-CN"/>
              </w:rPr>
            </w:pPr>
            <w:r w:rsidRPr="008A63D4">
              <w:rPr>
                <w:rFonts w:cs="Calibri"/>
                <w:color w:val="000000"/>
                <w:sz w:val="20"/>
                <w:lang w:val="ru-RU" w:eastAsia="zh-CN"/>
              </w:rPr>
              <w:t>2017</w:t>
            </w:r>
            <w:r w:rsidR="00E23217" w:rsidRPr="008A63D4">
              <w:rPr>
                <w:rFonts w:asciiTheme="minorHAnsi" w:hAnsiTheme="minorHAnsi"/>
                <w:sz w:val="20"/>
                <w:lang w:val="ru-RU"/>
              </w:rPr>
              <w:t xml:space="preserve"> г./МСЭ</w:t>
            </w:r>
            <w:r w:rsidRPr="008A63D4">
              <w:rPr>
                <w:rFonts w:cs="Calibri"/>
                <w:color w:val="000000"/>
                <w:sz w:val="20"/>
                <w:lang w:val="ru-RU" w:eastAsia="zh-CN"/>
              </w:rPr>
              <w:t>-T</w:t>
            </w:r>
          </w:p>
        </w:tc>
      </w:tr>
      <w:tr w:rsidR="00001483" w:rsidRPr="008A63D4" w:rsidTr="00F2534C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483" w:rsidRPr="008A63D4" w:rsidRDefault="00001483" w:rsidP="00001483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lang w:val="ru-RU" w:eastAsia="zh-CN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483" w:rsidRPr="008A63D4" w:rsidRDefault="0008214D" w:rsidP="00001483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lang w:val="ru-RU" w:eastAsia="zh-CN"/>
              </w:rPr>
            </w:pPr>
            <w:r w:rsidRPr="008A63D4">
              <w:rPr>
                <w:rFonts w:cs="Calibri"/>
                <w:color w:val="000000"/>
                <w:sz w:val="20"/>
                <w:lang w:val="ru-RU" w:eastAsia="zh-CN"/>
              </w:rPr>
              <w:t>Регламентарный орган электросвязи народа навахо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1483" w:rsidRPr="008A63D4" w:rsidRDefault="00001483" w:rsidP="00001483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color w:val="000000"/>
                <w:sz w:val="20"/>
                <w:lang w:val="ru-RU" w:eastAsia="zh-CN"/>
              </w:rPr>
            </w:pPr>
            <w:r w:rsidRPr="008A63D4">
              <w:rPr>
                <w:rFonts w:cs="Calibri"/>
                <w:color w:val="000000"/>
                <w:sz w:val="20"/>
                <w:lang w:val="ru-RU" w:eastAsia="zh-CN"/>
              </w:rPr>
              <w:t>2017</w:t>
            </w:r>
            <w:r w:rsidR="00E23217" w:rsidRPr="008A63D4">
              <w:rPr>
                <w:rFonts w:asciiTheme="minorHAnsi" w:hAnsiTheme="minorHAnsi"/>
                <w:sz w:val="20"/>
                <w:lang w:val="ru-RU"/>
              </w:rPr>
              <w:t xml:space="preserve"> г./МСЭ</w:t>
            </w:r>
            <w:r w:rsidRPr="008A63D4">
              <w:rPr>
                <w:rFonts w:cs="Calibri"/>
                <w:color w:val="000000"/>
                <w:sz w:val="20"/>
                <w:lang w:val="ru-RU" w:eastAsia="zh-CN"/>
              </w:rPr>
              <w:t>-D</w:t>
            </w:r>
          </w:p>
        </w:tc>
      </w:tr>
      <w:tr w:rsidR="00001483" w:rsidRPr="008A63D4" w:rsidTr="00F2534C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483" w:rsidRPr="008A63D4" w:rsidRDefault="00001483" w:rsidP="00001483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УЗБЕКИСТАН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483" w:rsidRPr="008A63D4" w:rsidRDefault="001D2B12" w:rsidP="00001483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Ташкентский университет информационных технологий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1483" w:rsidRPr="008A63D4" w:rsidRDefault="00001483" w:rsidP="00D1111E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20"/>
                <w:lang w:val="ru-RU" w:eastAsia="zh-CN"/>
              </w:rPr>
            </w:pPr>
            <w:r w:rsidRPr="008A63D4">
              <w:rPr>
                <w:rFonts w:cs="Calibri"/>
                <w:sz w:val="20"/>
                <w:lang w:val="ru-RU" w:eastAsia="zh-CN"/>
              </w:rPr>
              <w:t>2014</w:t>
            </w:r>
            <w:r w:rsidR="00D1111E" w:rsidRPr="008A63D4">
              <w:rPr>
                <w:rFonts w:cs="Calibri"/>
                <w:sz w:val="20"/>
                <w:lang w:val="ru-RU" w:eastAsia="zh-CN"/>
              </w:rPr>
              <w:t xml:space="preserve"> г./Академическая организация</w:t>
            </w:r>
          </w:p>
        </w:tc>
      </w:tr>
      <w:tr w:rsidR="00001483" w:rsidRPr="008A63D4" w:rsidTr="00F2534C">
        <w:trPr>
          <w:trHeight w:val="6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01483" w:rsidRPr="008A63D4" w:rsidRDefault="00001483" w:rsidP="00001483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0"/>
              <w:rPr>
                <w:rFonts w:cs="Calibri"/>
                <w:sz w:val="20"/>
                <w:lang w:val="ru-RU"/>
              </w:rPr>
            </w:pPr>
            <w:r w:rsidRPr="008A63D4">
              <w:rPr>
                <w:rFonts w:cs="Calibri"/>
                <w:b/>
                <w:bCs/>
                <w:sz w:val="20"/>
                <w:lang w:val="ru-RU" w:eastAsia="zh-CN"/>
              </w:rPr>
              <w:t>ВСЕГО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01483" w:rsidRPr="008A63D4" w:rsidRDefault="00001483" w:rsidP="00001483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0"/>
              <w:rPr>
                <w:rFonts w:cs="Calibri"/>
                <w:b/>
                <w:sz w:val="20"/>
                <w:lang w:val="ru-RU"/>
              </w:rPr>
            </w:pPr>
            <w:r w:rsidRPr="008A63D4">
              <w:rPr>
                <w:rFonts w:cs="Calibri"/>
                <w:b/>
                <w:bCs/>
                <w:sz w:val="20"/>
                <w:lang w:val="ru-RU" w:eastAsia="zh-CN"/>
              </w:rPr>
              <w:t>19 Членов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001483" w:rsidRPr="008A63D4" w:rsidRDefault="00001483" w:rsidP="00001483">
            <w:pPr>
              <w:tabs>
                <w:tab w:val="left" w:pos="720"/>
              </w:tabs>
              <w:overflowPunct/>
              <w:autoSpaceDE/>
              <w:snapToGrid w:val="0"/>
              <w:spacing w:before="40" w:after="40"/>
              <w:outlineLvl w:val="0"/>
              <w:rPr>
                <w:rFonts w:cs="Calibri"/>
                <w:sz w:val="20"/>
                <w:lang w:val="ru-RU"/>
              </w:rPr>
            </w:pPr>
          </w:p>
        </w:tc>
      </w:tr>
    </w:tbl>
    <w:p w:rsidR="00BC0798" w:rsidRPr="008A63D4" w:rsidRDefault="00BC0798" w:rsidP="0008214D">
      <w:pPr>
        <w:spacing w:before="240"/>
        <w:jc w:val="center"/>
        <w:rPr>
          <w:lang w:val="ru-RU"/>
        </w:rPr>
      </w:pPr>
      <w:r w:rsidRPr="008A63D4">
        <w:rPr>
          <w:lang w:val="ru-RU"/>
        </w:rPr>
        <w:t>______________</w:t>
      </w:r>
    </w:p>
    <w:sectPr w:rsidR="00BC0798" w:rsidRPr="008A63D4" w:rsidSect="00CF629C">
      <w:headerReference w:type="default" r:id="rId26"/>
      <w:footerReference w:type="default" r:id="rId27"/>
      <w:footerReference w:type="first" r:id="rId2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57C" w:rsidRDefault="0089657C">
      <w:r>
        <w:separator/>
      </w:r>
    </w:p>
  </w:endnote>
  <w:endnote w:type="continuationSeparator" w:id="0">
    <w:p w:rsidR="0089657C" w:rsidRDefault="00896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57C" w:rsidRPr="00280E02" w:rsidRDefault="0089657C" w:rsidP="009B0BAE">
    <w:pPr>
      <w:pStyle w:val="Footer"/>
      <w:rPr>
        <w:color w:val="D9D9D9" w:themeColor="background1" w:themeShade="D9"/>
        <w:sz w:val="18"/>
        <w:szCs w:val="18"/>
        <w:lang w:val="fr-CH"/>
      </w:rPr>
    </w:pPr>
    <w:r w:rsidRPr="00280E02">
      <w:rPr>
        <w:color w:val="D9D9D9" w:themeColor="background1" w:themeShade="D9"/>
      </w:rPr>
      <w:fldChar w:fldCharType="begin"/>
    </w:r>
    <w:r w:rsidRPr="00280E02">
      <w:rPr>
        <w:color w:val="D9D9D9" w:themeColor="background1" w:themeShade="D9"/>
        <w:lang w:val="fr-CH"/>
      </w:rPr>
      <w:instrText xml:space="preserve"> FILENAME \p  \* MERGEFORMAT </w:instrText>
    </w:r>
    <w:r w:rsidRPr="00280E02">
      <w:rPr>
        <w:color w:val="D9D9D9" w:themeColor="background1" w:themeShade="D9"/>
      </w:rPr>
      <w:fldChar w:fldCharType="separate"/>
    </w:r>
    <w:r w:rsidRPr="00280E02">
      <w:rPr>
        <w:color w:val="D9D9D9" w:themeColor="background1" w:themeShade="D9"/>
        <w:lang w:val="fr-CH"/>
      </w:rPr>
      <w:t>P:\RUS\SG\CONSEIL\C19\000\052R.DOCX</w:t>
    </w:r>
    <w:r w:rsidRPr="00280E02">
      <w:rPr>
        <w:color w:val="D9D9D9" w:themeColor="background1" w:themeShade="D9"/>
        <w:lang w:val="en-US"/>
      </w:rPr>
      <w:fldChar w:fldCharType="end"/>
    </w:r>
    <w:r w:rsidRPr="00280E02">
      <w:rPr>
        <w:color w:val="D9D9D9" w:themeColor="background1" w:themeShade="D9"/>
        <w:lang w:val="fr-CH"/>
      </w:rPr>
      <w:t xml:space="preserve"> (450279)</w:t>
    </w:r>
    <w:r w:rsidRPr="00280E02">
      <w:rPr>
        <w:color w:val="D9D9D9" w:themeColor="background1" w:themeShade="D9"/>
        <w:lang w:val="fr-CH"/>
      </w:rPr>
      <w:tab/>
    </w:r>
    <w:r w:rsidRPr="00280E02">
      <w:rPr>
        <w:color w:val="D9D9D9" w:themeColor="background1" w:themeShade="D9"/>
      </w:rPr>
      <w:fldChar w:fldCharType="begin"/>
    </w:r>
    <w:r w:rsidRPr="00280E02">
      <w:rPr>
        <w:color w:val="D9D9D9" w:themeColor="background1" w:themeShade="D9"/>
      </w:rPr>
      <w:instrText xml:space="preserve"> SAVEDATE \@ DD.MM.YY </w:instrText>
    </w:r>
    <w:r w:rsidRPr="00280E02">
      <w:rPr>
        <w:color w:val="D9D9D9" w:themeColor="background1" w:themeShade="D9"/>
      </w:rPr>
      <w:fldChar w:fldCharType="separate"/>
    </w:r>
    <w:r w:rsidR="00280E02" w:rsidRPr="00280E02">
      <w:rPr>
        <w:color w:val="D9D9D9" w:themeColor="background1" w:themeShade="D9"/>
      </w:rPr>
      <w:t>14.05.19</w:t>
    </w:r>
    <w:r w:rsidRPr="00280E02">
      <w:rPr>
        <w:color w:val="D9D9D9" w:themeColor="background1" w:themeShade="D9"/>
      </w:rPr>
      <w:fldChar w:fldCharType="end"/>
    </w:r>
    <w:r w:rsidRPr="00280E02">
      <w:rPr>
        <w:color w:val="D9D9D9" w:themeColor="background1" w:themeShade="D9"/>
        <w:lang w:val="fr-CH"/>
      </w:rPr>
      <w:tab/>
    </w:r>
    <w:r w:rsidRPr="00280E02">
      <w:rPr>
        <w:color w:val="D9D9D9" w:themeColor="background1" w:themeShade="D9"/>
      </w:rPr>
      <w:fldChar w:fldCharType="begin"/>
    </w:r>
    <w:r w:rsidRPr="00280E02">
      <w:rPr>
        <w:color w:val="D9D9D9" w:themeColor="background1" w:themeShade="D9"/>
      </w:rPr>
      <w:instrText xml:space="preserve"> PRINTDATE \@ DD.MM.YY </w:instrText>
    </w:r>
    <w:r w:rsidRPr="00280E02">
      <w:rPr>
        <w:color w:val="D9D9D9" w:themeColor="background1" w:themeShade="D9"/>
      </w:rPr>
      <w:fldChar w:fldCharType="separate"/>
    </w:r>
    <w:r w:rsidRPr="00280E02">
      <w:rPr>
        <w:color w:val="D9D9D9" w:themeColor="background1" w:themeShade="D9"/>
      </w:rPr>
      <w:t>28.03.06</w:t>
    </w:r>
    <w:r w:rsidRPr="00280E02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57C" w:rsidRDefault="0089657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89657C" w:rsidRPr="00280E02" w:rsidRDefault="0089657C">
    <w:pPr>
      <w:pStyle w:val="Footer"/>
      <w:rPr>
        <w:color w:val="D9D9D9" w:themeColor="background1" w:themeShade="D9"/>
        <w:lang w:val="fr-CH"/>
      </w:rPr>
    </w:pPr>
    <w:r w:rsidRPr="00280E02">
      <w:rPr>
        <w:color w:val="D9D9D9" w:themeColor="background1" w:themeShade="D9"/>
        <w:lang w:val="en-US"/>
      </w:rPr>
      <w:fldChar w:fldCharType="begin"/>
    </w:r>
    <w:r w:rsidRPr="00280E02">
      <w:rPr>
        <w:color w:val="D9D9D9" w:themeColor="background1" w:themeShade="D9"/>
        <w:lang w:val="fr-CH"/>
      </w:rPr>
      <w:instrText xml:space="preserve"> FILENAME \p  \* MERGEFORMAT </w:instrText>
    </w:r>
    <w:r w:rsidRPr="00280E02">
      <w:rPr>
        <w:color w:val="D9D9D9" w:themeColor="background1" w:themeShade="D9"/>
        <w:lang w:val="en-US"/>
      </w:rPr>
      <w:fldChar w:fldCharType="separate"/>
    </w:r>
    <w:r w:rsidRPr="00280E02">
      <w:rPr>
        <w:color w:val="D9D9D9" w:themeColor="background1" w:themeShade="D9"/>
        <w:lang w:val="fr-CH"/>
      </w:rPr>
      <w:t>P:\RUS\SG\CONSEIL\C19\000\052R.DOCX</w:t>
    </w:r>
    <w:r w:rsidRPr="00280E02">
      <w:rPr>
        <w:color w:val="D9D9D9" w:themeColor="background1" w:themeShade="D9"/>
        <w:lang w:val="en-US"/>
      </w:rPr>
      <w:fldChar w:fldCharType="end"/>
    </w:r>
    <w:r w:rsidRPr="00280E02">
      <w:rPr>
        <w:color w:val="D9D9D9" w:themeColor="background1" w:themeShade="D9"/>
        <w:lang w:val="fr-CH"/>
      </w:rPr>
      <w:t xml:space="preserve"> (450279)</w:t>
    </w:r>
    <w:r w:rsidRPr="00280E02">
      <w:rPr>
        <w:color w:val="D9D9D9" w:themeColor="background1" w:themeShade="D9"/>
        <w:lang w:val="fr-CH"/>
      </w:rPr>
      <w:tab/>
    </w:r>
    <w:r w:rsidRPr="00280E02">
      <w:rPr>
        <w:color w:val="D9D9D9" w:themeColor="background1" w:themeShade="D9"/>
      </w:rPr>
      <w:fldChar w:fldCharType="begin"/>
    </w:r>
    <w:r w:rsidRPr="00280E02">
      <w:rPr>
        <w:color w:val="D9D9D9" w:themeColor="background1" w:themeShade="D9"/>
      </w:rPr>
      <w:instrText xml:space="preserve"> SAVEDATE \@ DD.MM.YY </w:instrText>
    </w:r>
    <w:r w:rsidRPr="00280E02">
      <w:rPr>
        <w:color w:val="D9D9D9" w:themeColor="background1" w:themeShade="D9"/>
      </w:rPr>
      <w:fldChar w:fldCharType="separate"/>
    </w:r>
    <w:r w:rsidR="00280E02" w:rsidRPr="00280E02">
      <w:rPr>
        <w:color w:val="D9D9D9" w:themeColor="background1" w:themeShade="D9"/>
      </w:rPr>
      <w:t>14.05.19</w:t>
    </w:r>
    <w:r w:rsidRPr="00280E02">
      <w:rPr>
        <w:color w:val="D9D9D9" w:themeColor="background1" w:themeShade="D9"/>
      </w:rPr>
      <w:fldChar w:fldCharType="end"/>
    </w:r>
    <w:r w:rsidRPr="00280E02">
      <w:rPr>
        <w:color w:val="D9D9D9" w:themeColor="background1" w:themeShade="D9"/>
        <w:lang w:val="fr-CH"/>
      </w:rPr>
      <w:tab/>
    </w:r>
    <w:r w:rsidRPr="00280E02">
      <w:rPr>
        <w:color w:val="D9D9D9" w:themeColor="background1" w:themeShade="D9"/>
      </w:rPr>
      <w:fldChar w:fldCharType="begin"/>
    </w:r>
    <w:r w:rsidRPr="00280E02">
      <w:rPr>
        <w:color w:val="D9D9D9" w:themeColor="background1" w:themeShade="D9"/>
      </w:rPr>
      <w:instrText xml:space="preserve"> PRINTDATE \@ DD.MM.YY </w:instrText>
    </w:r>
    <w:r w:rsidRPr="00280E02">
      <w:rPr>
        <w:color w:val="D9D9D9" w:themeColor="background1" w:themeShade="D9"/>
      </w:rPr>
      <w:fldChar w:fldCharType="separate"/>
    </w:r>
    <w:r w:rsidRPr="00280E02">
      <w:rPr>
        <w:color w:val="D9D9D9" w:themeColor="background1" w:themeShade="D9"/>
      </w:rPr>
      <w:t>28.03.06</w:t>
    </w:r>
    <w:r w:rsidRPr="00280E02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57C" w:rsidRDefault="0089657C">
      <w:r>
        <w:t>____________________</w:t>
      </w:r>
    </w:p>
  </w:footnote>
  <w:footnote w:type="continuationSeparator" w:id="0">
    <w:p w:rsidR="0089657C" w:rsidRDefault="00896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57C" w:rsidRDefault="0089657C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280E02">
      <w:rPr>
        <w:noProof/>
      </w:rPr>
      <w:t>2</w:t>
    </w:r>
    <w:r>
      <w:rPr>
        <w:noProof/>
      </w:rPr>
      <w:fldChar w:fldCharType="end"/>
    </w:r>
  </w:p>
  <w:p w:rsidR="0089657C" w:rsidRDefault="0089657C" w:rsidP="006964ED">
    <w:pPr>
      <w:pStyle w:val="Header"/>
      <w:spacing w:after="480"/>
    </w:pPr>
    <w:r>
      <w:t>C19/</w:t>
    </w:r>
    <w:r>
      <w:rPr>
        <w:lang w:val="ru-RU"/>
      </w:rPr>
      <w:t>52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fr-CH" w:vendorID="64" w:dllVersion="131078" w:nlCheck="1" w:checkStyle="1"/>
  <w:activeWritingStyle w:appName="MSWord" w:lang="en-ZA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82B"/>
    <w:rsid w:val="00001483"/>
    <w:rsid w:val="00004EEA"/>
    <w:rsid w:val="0002183E"/>
    <w:rsid w:val="00037C21"/>
    <w:rsid w:val="000569B4"/>
    <w:rsid w:val="00080E82"/>
    <w:rsid w:val="0008214D"/>
    <w:rsid w:val="000B5552"/>
    <w:rsid w:val="000E26B0"/>
    <w:rsid w:val="000E568E"/>
    <w:rsid w:val="00113003"/>
    <w:rsid w:val="001170F6"/>
    <w:rsid w:val="00136E8F"/>
    <w:rsid w:val="0014734F"/>
    <w:rsid w:val="0015710D"/>
    <w:rsid w:val="00163A32"/>
    <w:rsid w:val="001776E7"/>
    <w:rsid w:val="00192B41"/>
    <w:rsid w:val="00192D37"/>
    <w:rsid w:val="001B7B09"/>
    <w:rsid w:val="001D2B12"/>
    <w:rsid w:val="001E6719"/>
    <w:rsid w:val="001E6788"/>
    <w:rsid w:val="001F4594"/>
    <w:rsid w:val="00211C3A"/>
    <w:rsid w:val="00225368"/>
    <w:rsid w:val="00227FF0"/>
    <w:rsid w:val="002605DB"/>
    <w:rsid w:val="00275D48"/>
    <w:rsid w:val="00280E02"/>
    <w:rsid w:val="00291EB6"/>
    <w:rsid w:val="00292B0E"/>
    <w:rsid w:val="002A1EAA"/>
    <w:rsid w:val="002D2F57"/>
    <w:rsid w:val="002D48C5"/>
    <w:rsid w:val="003404F2"/>
    <w:rsid w:val="00341911"/>
    <w:rsid w:val="003A4714"/>
    <w:rsid w:val="003B6FAC"/>
    <w:rsid w:val="003C319D"/>
    <w:rsid w:val="003F099E"/>
    <w:rsid w:val="003F235E"/>
    <w:rsid w:val="004023E0"/>
    <w:rsid w:val="00403DD8"/>
    <w:rsid w:val="0045686C"/>
    <w:rsid w:val="00457C0B"/>
    <w:rsid w:val="00461175"/>
    <w:rsid w:val="004918C4"/>
    <w:rsid w:val="00497703"/>
    <w:rsid w:val="004A0374"/>
    <w:rsid w:val="004A45B5"/>
    <w:rsid w:val="004A7CC7"/>
    <w:rsid w:val="004B055F"/>
    <w:rsid w:val="004D0129"/>
    <w:rsid w:val="004D4AA4"/>
    <w:rsid w:val="004E20DF"/>
    <w:rsid w:val="004F0432"/>
    <w:rsid w:val="004F377C"/>
    <w:rsid w:val="00505BAE"/>
    <w:rsid w:val="00512E24"/>
    <w:rsid w:val="005544DB"/>
    <w:rsid w:val="00581A60"/>
    <w:rsid w:val="005A64D5"/>
    <w:rsid w:val="005B3DEC"/>
    <w:rsid w:val="00600461"/>
    <w:rsid w:val="00601994"/>
    <w:rsid w:val="00606A2C"/>
    <w:rsid w:val="00664810"/>
    <w:rsid w:val="006931C9"/>
    <w:rsid w:val="006964ED"/>
    <w:rsid w:val="006E2D42"/>
    <w:rsid w:val="00703676"/>
    <w:rsid w:val="00707304"/>
    <w:rsid w:val="00732269"/>
    <w:rsid w:val="00750144"/>
    <w:rsid w:val="00750780"/>
    <w:rsid w:val="007732EA"/>
    <w:rsid w:val="00785ABD"/>
    <w:rsid w:val="007A0EF6"/>
    <w:rsid w:val="007A2DD4"/>
    <w:rsid w:val="007D38B5"/>
    <w:rsid w:val="007E7EA0"/>
    <w:rsid w:val="007F77EF"/>
    <w:rsid w:val="00803F79"/>
    <w:rsid w:val="00807255"/>
    <w:rsid w:val="0081023E"/>
    <w:rsid w:val="008173AA"/>
    <w:rsid w:val="008223B2"/>
    <w:rsid w:val="008237D3"/>
    <w:rsid w:val="00840A14"/>
    <w:rsid w:val="008560D4"/>
    <w:rsid w:val="00863292"/>
    <w:rsid w:val="008714CF"/>
    <w:rsid w:val="00876700"/>
    <w:rsid w:val="0089657C"/>
    <w:rsid w:val="008A63D4"/>
    <w:rsid w:val="008A6A54"/>
    <w:rsid w:val="008B62B4"/>
    <w:rsid w:val="008D2D7B"/>
    <w:rsid w:val="008E0737"/>
    <w:rsid w:val="008F7C2C"/>
    <w:rsid w:val="00904E8A"/>
    <w:rsid w:val="00940E96"/>
    <w:rsid w:val="00943AD2"/>
    <w:rsid w:val="00963F29"/>
    <w:rsid w:val="009B015D"/>
    <w:rsid w:val="009B0BAE"/>
    <w:rsid w:val="009B3EFB"/>
    <w:rsid w:val="009B4CEB"/>
    <w:rsid w:val="009C1C89"/>
    <w:rsid w:val="009F3448"/>
    <w:rsid w:val="00A01CF9"/>
    <w:rsid w:val="00A233F7"/>
    <w:rsid w:val="00A53C22"/>
    <w:rsid w:val="00A71773"/>
    <w:rsid w:val="00A86D84"/>
    <w:rsid w:val="00AB5A9C"/>
    <w:rsid w:val="00AC70C1"/>
    <w:rsid w:val="00AE2C85"/>
    <w:rsid w:val="00AF7728"/>
    <w:rsid w:val="00AF7D17"/>
    <w:rsid w:val="00B12A37"/>
    <w:rsid w:val="00B14EA8"/>
    <w:rsid w:val="00B26B51"/>
    <w:rsid w:val="00B3382B"/>
    <w:rsid w:val="00B561FA"/>
    <w:rsid w:val="00B63EF2"/>
    <w:rsid w:val="00B65E54"/>
    <w:rsid w:val="00B71746"/>
    <w:rsid w:val="00B9258F"/>
    <w:rsid w:val="00BA7D89"/>
    <w:rsid w:val="00BB1E67"/>
    <w:rsid w:val="00BB50CB"/>
    <w:rsid w:val="00BC0798"/>
    <w:rsid w:val="00BC0D39"/>
    <w:rsid w:val="00BC7BC0"/>
    <w:rsid w:val="00BD57B7"/>
    <w:rsid w:val="00BE3A43"/>
    <w:rsid w:val="00BE63E2"/>
    <w:rsid w:val="00C1333C"/>
    <w:rsid w:val="00C2379B"/>
    <w:rsid w:val="00C3366D"/>
    <w:rsid w:val="00C52206"/>
    <w:rsid w:val="00C55DD6"/>
    <w:rsid w:val="00C81EDA"/>
    <w:rsid w:val="00C90BF2"/>
    <w:rsid w:val="00CA70FC"/>
    <w:rsid w:val="00CB62FA"/>
    <w:rsid w:val="00CC093B"/>
    <w:rsid w:val="00CC6F18"/>
    <w:rsid w:val="00CD2009"/>
    <w:rsid w:val="00CF629C"/>
    <w:rsid w:val="00D04D10"/>
    <w:rsid w:val="00D1111E"/>
    <w:rsid w:val="00D4272D"/>
    <w:rsid w:val="00D42B1E"/>
    <w:rsid w:val="00D46C0E"/>
    <w:rsid w:val="00D60DB6"/>
    <w:rsid w:val="00D63D77"/>
    <w:rsid w:val="00D83558"/>
    <w:rsid w:val="00D86868"/>
    <w:rsid w:val="00D92EEA"/>
    <w:rsid w:val="00DA5D4E"/>
    <w:rsid w:val="00E07057"/>
    <w:rsid w:val="00E11439"/>
    <w:rsid w:val="00E14F55"/>
    <w:rsid w:val="00E176BA"/>
    <w:rsid w:val="00E23217"/>
    <w:rsid w:val="00E423EC"/>
    <w:rsid w:val="00E55121"/>
    <w:rsid w:val="00E954EF"/>
    <w:rsid w:val="00EB4FCB"/>
    <w:rsid w:val="00EC6BC5"/>
    <w:rsid w:val="00EE563A"/>
    <w:rsid w:val="00F2534C"/>
    <w:rsid w:val="00F35898"/>
    <w:rsid w:val="00F5225B"/>
    <w:rsid w:val="00F73815"/>
    <w:rsid w:val="00FA0373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D3BF3A23-1388-4242-B381-F5803D5B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6E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,超级链接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enumlev1Char">
    <w:name w:val="enumlev1 Char"/>
    <w:basedOn w:val="DefaultParagraphFont"/>
    <w:link w:val="enumlev1"/>
    <w:rsid w:val="00BC0798"/>
    <w:rPr>
      <w:rFonts w:ascii="Calibri" w:hAnsi="Calibri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BC0798"/>
    <w:rPr>
      <w:rFonts w:ascii="Calibri" w:hAnsi="Calibri"/>
      <w:b/>
      <w:sz w:val="26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BC0798"/>
    <w:rPr>
      <w:rFonts w:ascii="Calibri" w:hAnsi="Calibri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pub/S-CONF-PLEN-2019" TargetMode="External"/><Relationship Id="rId13" Type="http://schemas.openxmlformats.org/officeDocument/2006/relationships/hyperlink" Target="http://www.itu.int/md/S08-CL-C-0014/en" TargetMode="External"/><Relationship Id="rId18" Type="http://schemas.openxmlformats.org/officeDocument/2006/relationships/hyperlink" Target="http://www.itu.int/md/S12-CL-C-0005/fr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itu.int/md/S14-CL-C-0014/en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itu.int/md/S07-CL-C-0005/en" TargetMode="External"/><Relationship Id="rId17" Type="http://schemas.openxmlformats.org/officeDocument/2006/relationships/hyperlink" Target="http://www.itu.int/md/S11-CL-C-0021/fr" TargetMode="External"/><Relationship Id="rId25" Type="http://schemas.openxmlformats.org/officeDocument/2006/relationships/hyperlink" Target="http://www.itu.int/md/S18-CL-C-0060/e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md/S10-CL-C-0096/fr" TargetMode="External"/><Relationship Id="rId20" Type="http://schemas.openxmlformats.org/officeDocument/2006/relationships/hyperlink" Target="http://www.itu.int/md/S13-CL-C-0014/fr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md/S06-CL-C-0025/en" TargetMode="External"/><Relationship Id="rId24" Type="http://schemas.openxmlformats.org/officeDocument/2006/relationships/hyperlink" Target="http://www.itu.int/md/S17-CL-C-0014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u.int/md/S10-CL-C-0033/fr" TargetMode="External"/><Relationship Id="rId23" Type="http://schemas.openxmlformats.org/officeDocument/2006/relationships/hyperlink" Target="http://www.itu.int/md/S16-CL-C-0014/en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itu.int/en/council/Documents/basic-texts/RES-152-R.pdf" TargetMode="External"/><Relationship Id="rId19" Type="http://schemas.openxmlformats.org/officeDocument/2006/relationships/hyperlink" Target="http://www.itu.int/md/S12-CL-C-0010/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pub/S-CONF-PLEN-2019" TargetMode="External"/><Relationship Id="rId14" Type="http://schemas.openxmlformats.org/officeDocument/2006/relationships/hyperlink" Target="http://www.itu.int/md/S09-CL-C-0005/en" TargetMode="External"/><Relationship Id="rId22" Type="http://schemas.openxmlformats.org/officeDocument/2006/relationships/hyperlink" Target="http://www.itu.int/md/S15-CL-C-0014/en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1</TotalTime>
  <Pages>8</Pages>
  <Words>1977</Words>
  <Characters>14297</Characters>
  <Application>Microsoft Office Word</Application>
  <DocSecurity>4</DocSecurity>
  <Lines>119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16242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Improvement of management and follow-up of the defrayal of ITU expenses by Sector Members, Associates and Academia</dc:title>
  <dc:subject>Council 2019</dc:subject>
  <dc:creator>Maloletkova, Svetlana</dc:creator>
  <cp:keywords>C2019, C19</cp:keywords>
  <dc:description/>
  <cp:lastModifiedBy>Brouard, Ricarda</cp:lastModifiedBy>
  <cp:revision>2</cp:revision>
  <cp:lastPrinted>2006-03-28T16:12:00Z</cp:lastPrinted>
  <dcterms:created xsi:type="dcterms:W3CDTF">2019-05-14T14:20:00Z</dcterms:created>
  <dcterms:modified xsi:type="dcterms:W3CDTF">2019-05-14T14:20:00Z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