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533A6E">
        <w:trPr>
          <w:cantSplit/>
        </w:trPr>
        <w:tc>
          <w:tcPr>
            <w:tcW w:w="6912" w:type="dxa"/>
          </w:tcPr>
          <w:p w:rsidR="00520F36" w:rsidRPr="00533A6E" w:rsidRDefault="00520F36" w:rsidP="00BC340E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33A6E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106B19" w:rsidRPr="00533A6E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33A6E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r w:rsidRPr="00533A6E">
              <w:rPr>
                <w:b/>
                <w:bCs/>
                <w:szCs w:val="24"/>
                <w:lang w:val="fr-CH"/>
              </w:rPr>
              <w:t xml:space="preserve">Genève, </w:t>
            </w:r>
            <w:r w:rsidR="00106B19" w:rsidRPr="00533A6E">
              <w:rPr>
                <w:b/>
                <w:bCs/>
                <w:szCs w:val="24"/>
                <w:lang w:val="fr-CH"/>
              </w:rPr>
              <w:t>10</w:t>
            </w:r>
            <w:r w:rsidRPr="00533A6E">
              <w:rPr>
                <w:b/>
                <w:bCs/>
                <w:szCs w:val="24"/>
                <w:lang w:val="fr-CH"/>
              </w:rPr>
              <w:t>-</w:t>
            </w:r>
            <w:r w:rsidR="00106B19" w:rsidRPr="00533A6E">
              <w:rPr>
                <w:b/>
                <w:bCs/>
                <w:szCs w:val="24"/>
                <w:lang w:val="fr-CH"/>
              </w:rPr>
              <w:t>20 juin</w:t>
            </w:r>
            <w:r w:rsidRPr="00533A6E">
              <w:rPr>
                <w:b/>
                <w:bCs/>
                <w:szCs w:val="24"/>
                <w:lang w:val="fr-CH"/>
              </w:rPr>
              <w:t xml:space="preserve"> 201</w:t>
            </w:r>
            <w:r w:rsidR="00106B19" w:rsidRPr="00533A6E">
              <w:rPr>
                <w:b/>
                <w:bCs/>
                <w:szCs w:val="24"/>
                <w:lang w:val="fr-CH"/>
              </w:rPr>
              <w:t>9</w:t>
            </w:r>
          </w:p>
        </w:tc>
        <w:tc>
          <w:tcPr>
            <w:tcW w:w="3261" w:type="dxa"/>
          </w:tcPr>
          <w:p w:rsidR="00520F36" w:rsidRPr="00533A6E" w:rsidRDefault="00520F36" w:rsidP="00BC340E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33A6E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533A6E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533A6E" w:rsidRDefault="00520F36" w:rsidP="00BC340E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533A6E" w:rsidRDefault="00520F36" w:rsidP="00BC340E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533A6E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533A6E" w:rsidRDefault="00520F36" w:rsidP="00BC340E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533A6E" w:rsidRDefault="00520F36" w:rsidP="00BC340E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533A6E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33A6E" w:rsidRDefault="00866416" w:rsidP="00BC340E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533A6E">
              <w:rPr>
                <w:rFonts w:cs="Times"/>
                <w:b/>
                <w:bCs/>
                <w:szCs w:val="24"/>
                <w:lang w:val="fr-CH"/>
              </w:rPr>
              <w:t>Point de l</w:t>
            </w:r>
            <w:r w:rsidR="00BC340E">
              <w:rPr>
                <w:rFonts w:cs="Times"/>
                <w:b/>
                <w:bCs/>
                <w:szCs w:val="24"/>
                <w:lang w:val="fr-CH"/>
              </w:rPr>
              <w:t>'</w:t>
            </w:r>
            <w:r w:rsidRPr="00533A6E">
              <w:rPr>
                <w:rFonts w:cs="Times"/>
                <w:b/>
                <w:bCs/>
                <w:szCs w:val="24"/>
                <w:lang w:val="fr-CH"/>
              </w:rPr>
              <w:t xml:space="preserve">ordre du jour: </w:t>
            </w:r>
            <w:r w:rsidR="00BC340E">
              <w:rPr>
                <w:rFonts w:cs="Times"/>
                <w:b/>
                <w:bCs/>
                <w:szCs w:val="24"/>
                <w:lang w:val="fr-CH"/>
              </w:rPr>
              <w:t>PL 1.3</w:t>
            </w:r>
          </w:p>
        </w:tc>
        <w:tc>
          <w:tcPr>
            <w:tcW w:w="3261" w:type="dxa"/>
          </w:tcPr>
          <w:p w:rsidR="00520F36" w:rsidRPr="00533A6E" w:rsidRDefault="00520F36" w:rsidP="00BC340E">
            <w:pPr>
              <w:spacing w:before="0"/>
              <w:rPr>
                <w:b/>
                <w:bCs/>
                <w:lang w:val="fr-CH"/>
              </w:rPr>
            </w:pPr>
            <w:r w:rsidRPr="00533A6E">
              <w:rPr>
                <w:b/>
                <w:bCs/>
                <w:lang w:val="fr-CH"/>
              </w:rPr>
              <w:t>Document C1</w:t>
            </w:r>
            <w:r w:rsidR="00106B19" w:rsidRPr="00533A6E">
              <w:rPr>
                <w:b/>
                <w:bCs/>
                <w:lang w:val="fr-CH"/>
              </w:rPr>
              <w:t>9</w:t>
            </w:r>
            <w:r w:rsidRPr="00533A6E">
              <w:rPr>
                <w:b/>
                <w:bCs/>
                <w:lang w:val="fr-CH"/>
              </w:rPr>
              <w:t>/</w:t>
            </w:r>
            <w:r w:rsidR="00BC340E">
              <w:rPr>
                <w:b/>
                <w:bCs/>
                <w:lang w:val="fr-CH"/>
              </w:rPr>
              <w:t>51</w:t>
            </w:r>
            <w:r w:rsidRPr="00533A6E">
              <w:rPr>
                <w:b/>
                <w:bCs/>
                <w:lang w:val="fr-CH"/>
              </w:rPr>
              <w:t>-F</w:t>
            </w:r>
          </w:p>
        </w:tc>
      </w:tr>
      <w:tr w:rsidR="00520F36" w:rsidRPr="00533A6E">
        <w:trPr>
          <w:cantSplit/>
          <w:trHeight w:val="20"/>
        </w:trPr>
        <w:tc>
          <w:tcPr>
            <w:tcW w:w="6912" w:type="dxa"/>
            <w:vMerge/>
          </w:tcPr>
          <w:p w:rsidR="00520F36" w:rsidRPr="00533A6E" w:rsidRDefault="00520F36" w:rsidP="00BC340E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33A6E" w:rsidRDefault="00BC340E" w:rsidP="00BC340E">
            <w:pPr>
              <w:spacing w:before="0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2</w:t>
            </w:r>
            <w:r w:rsidR="00866416" w:rsidRPr="00533A6E">
              <w:rPr>
                <w:b/>
                <w:bCs/>
                <w:lang w:val="fr-CH"/>
              </w:rPr>
              <w:t xml:space="preserve"> avril</w:t>
            </w:r>
            <w:r w:rsidR="00520F36" w:rsidRPr="00533A6E">
              <w:rPr>
                <w:b/>
                <w:bCs/>
                <w:lang w:val="fr-CH"/>
              </w:rPr>
              <w:t xml:space="preserve"> 201</w:t>
            </w:r>
            <w:r w:rsidR="00106B19" w:rsidRPr="00533A6E">
              <w:rPr>
                <w:b/>
                <w:bCs/>
                <w:lang w:val="fr-CH"/>
              </w:rPr>
              <w:t>9</w:t>
            </w:r>
          </w:p>
        </w:tc>
      </w:tr>
      <w:tr w:rsidR="00520F36" w:rsidRPr="00533A6E">
        <w:trPr>
          <w:cantSplit/>
          <w:trHeight w:val="20"/>
        </w:trPr>
        <w:tc>
          <w:tcPr>
            <w:tcW w:w="6912" w:type="dxa"/>
            <w:vMerge/>
          </w:tcPr>
          <w:p w:rsidR="00520F36" w:rsidRPr="00533A6E" w:rsidRDefault="00520F36" w:rsidP="00BC340E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33A6E" w:rsidRDefault="00520F36" w:rsidP="00BC340E">
            <w:pPr>
              <w:spacing w:before="0"/>
              <w:rPr>
                <w:b/>
                <w:bCs/>
                <w:lang w:val="fr-CH"/>
              </w:rPr>
            </w:pPr>
            <w:r w:rsidRPr="00533A6E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533A6E">
        <w:trPr>
          <w:cantSplit/>
        </w:trPr>
        <w:tc>
          <w:tcPr>
            <w:tcW w:w="10173" w:type="dxa"/>
            <w:gridSpan w:val="2"/>
          </w:tcPr>
          <w:p w:rsidR="00520F36" w:rsidRPr="00533A6E" w:rsidRDefault="00BC340E" w:rsidP="00BC340E">
            <w:pPr>
              <w:pStyle w:val="Title1"/>
              <w:spacing w:before="600"/>
              <w:rPr>
                <w:lang w:val="fr-CH"/>
              </w:rPr>
            </w:pPr>
            <w:bookmarkStart w:id="6" w:name="dtitle1" w:colFirst="0" w:colLast="0"/>
            <w:bookmarkEnd w:id="5"/>
            <w:r w:rsidRPr="00B40C20">
              <w:t>RAPPORT du</w:t>
            </w:r>
            <w:r w:rsidRPr="00B40C20">
              <w:rPr>
                <w:caps w:val="0"/>
                <w:sz w:val="24"/>
              </w:rPr>
              <w:t xml:space="preserve"> </w:t>
            </w:r>
            <w:r w:rsidRPr="00B40C20">
              <w:t>Président du Groupe de travail du Conseil sur les questions de politiques publiques internationales relatives à l</w:t>
            </w:r>
            <w:r>
              <w:t>'</w:t>
            </w:r>
            <w:r w:rsidRPr="00B40C20">
              <w:t>Internet (GTC-Internet)</w:t>
            </w:r>
          </w:p>
        </w:tc>
      </w:tr>
      <w:bookmarkEnd w:id="6"/>
    </w:tbl>
    <w:p w:rsidR="00520F36" w:rsidRPr="005B6021" w:rsidRDefault="00520F36" w:rsidP="005B6021">
      <w:pPr>
        <w:rPr>
          <w:sz w:val="16"/>
          <w:szCs w:val="16"/>
          <w:lang w:val="fr-CH"/>
        </w:rPr>
      </w:pPr>
    </w:p>
    <w:tbl>
      <w:tblPr>
        <w:tblW w:w="8647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520F36" w:rsidRPr="00533A6E" w:rsidTr="005B6021">
        <w:trPr>
          <w:trHeight w:val="3372"/>
        </w:trPr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F36" w:rsidRPr="00533A6E" w:rsidRDefault="00520F36" w:rsidP="000F6184">
            <w:pPr>
              <w:pStyle w:val="Headingb"/>
              <w:spacing w:before="120"/>
              <w:rPr>
                <w:lang w:val="fr-CH"/>
              </w:rPr>
            </w:pPr>
            <w:r w:rsidRPr="00533A6E">
              <w:rPr>
                <w:lang w:val="fr-CH"/>
              </w:rPr>
              <w:t>Résumé</w:t>
            </w:r>
          </w:p>
          <w:p w:rsidR="00BC340E" w:rsidRPr="00B40C20" w:rsidRDefault="00BC340E" w:rsidP="00BC340E">
            <w:r w:rsidRPr="00B40C20">
              <w:t xml:space="preserve">Le présent rapport récapitule les principaux résultats </w:t>
            </w:r>
            <w:r>
              <w:t>de la douzième réunion du </w:t>
            </w:r>
            <w:r w:rsidRPr="00B40C20">
              <w:t xml:space="preserve">GTC-Internet, </w:t>
            </w:r>
            <w:r>
              <w:t>tenue le 1</w:t>
            </w:r>
            <w:r w:rsidRPr="00BC340E">
              <w:t>er</w:t>
            </w:r>
            <w:r>
              <w:t xml:space="preserve"> février 2019</w:t>
            </w:r>
            <w:r w:rsidRPr="00B40C20">
              <w:t>, conformément aux Résolu</w:t>
            </w:r>
            <w:r>
              <w:t>tions</w:t>
            </w:r>
            <w:r w:rsidR="005B6021">
              <w:t xml:space="preserve"> 102 (</w:t>
            </w:r>
            <w:proofErr w:type="spellStart"/>
            <w:r w:rsidR="005B6021">
              <w:t>Rév</w:t>
            </w:r>
            <w:proofErr w:type="spellEnd"/>
            <w:r w:rsidR="005B6021">
              <w:t>. </w:t>
            </w:r>
            <w:r>
              <w:t>Dubaï, 2018) et </w:t>
            </w:r>
            <w:r w:rsidRPr="00B40C20">
              <w:t>140 (</w:t>
            </w:r>
            <w:proofErr w:type="spellStart"/>
            <w:r w:rsidRPr="00B40C20">
              <w:t>Rév</w:t>
            </w:r>
            <w:proofErr w:type="spellEnd"/>
            <w:r w:rsidRPr="00B40C20">
              <w:t>. </w:t>
            </w:r>
            <w:r>
              <w:t>Dubaï</w:t>
            </w:r>
            <w:r w:rsidRPr="00B40C20">
              <w:t>, 201</w:t>
            </w:r>
            <w:r>
              <w:t>8</w:t>
            </w:r>
            <w:r w:rsidRPr="00B40C20">
              <w:t>) de la Conférence de plénipotentiaires, ainsi qu</w:t>
            </w:r>
            <w:r>
              <w:t>'</w:t>
            </w:r>
            <w:r w:rsidRPr="00B40C20">
              <w:t>aux Résolutions 1305 (2009), 1336 (Mod.</w:t>
            </w:r>
            <w:r>
              <w:t xml:space="preserve"> 2015) et </w:t>
            </w:r>
            <w:r w:rsidRPr="00B40C20">
              <w:t>1344 (Mod. 2015) du Conseil.</w:t>
            </w:r>
          </w:p>
          <w:p w:rsidR="00BC340E" w:rsidRPr="00B40C20" w:rsidRDefault="00BC340E" w:rsidP="000F6184">
            <w:pPr>
              <w:pStyle w:val="Headingb"/>
              <w:spacing w:before="120"/>
            </w:pPr>
            <w:r w:rsidRPr="00B40C20">
              <w:t>Suite à donner</w:t>
            </w:r>
          </w:p>
          <w:p w:rsidR="00BC340E" w:rsidRPr="00B40C20" w:rsidRDefault="00BC340E" w:rsidP="00BC340E">
            <w:r w:rsidRPr="00B40C20">
              <w:t xml:space="preserve">Le Conseil est invité à </w:t>
            </w:r>
            <w:r w:rsidRPr="00B40C20">
              <w:rPr>
                <w:b/>
                <w:bCs/>
              </w:rPr>
              <w:t>prendre note</w:t>
            </w:r>
            <w:r w:rsidRPr="00B40C20">
              <w:t xml:space="preserve"> du présent rapport</w:t>
            </w:r>
            <w:r>
              <w:t xml:space="preserve"> et à fournir des </w:t>
            </w:r>
            <w:r>
              <w:rPr>
                <w:b/>
                <w:bCs/>
              </w:rPr>
              <w:t>orientations</w:t>
            </w:r>
            <w:r w:rsidRPr="00B40C20">
              <w:t>.</w:t>
            </w:r>
          </w:p>
          <w:p w:rsidR="00BC340E" w:rsidRPr="00B40C20" w:rsidRDefault="00BC340E" w:rsidP="00BC340E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B40C20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BC340E" w:rsidRPr="00B40C20" w:rsidRDefault="00BC340E" w:rsidP="000F6184">
            <w:pPr>
              <w:pStyle w:val="Headingb"/>
              <w:spacing w:before="120"/>
            </w:pPr>
            <w:r w:rsidRPr="00B40C20">
              <w:t>Références</w:t>
            </w:r>
          </w:p>
          <w:p w:rsidR="00520F36" w:rsidRPr="00533A6E" w:rsidRDefault="001B1F56" w:rsidP="00BC340E">
            <w:pPr>
              <w:spacing w:after="120"/>
              <w:rPr>
                <w:i/>
                <w:iCs/>
                <w:lang w:val="fr-CH"/>
              </w:rPr>
            </w:pPr>
            <w:hyperlink r:id="rId8" w:history="1">
              <w:r w:rsidR="00BC340E" w:rsidRPr="00B40C20">
                <w:rPr>
                  <w:rStyle w:val="Hyperlink"/>
                  <w:bCs/>
                  <w:i/>
                  <w:iCs/>
                </w:rPr>
                <w:t>Résolution 102 (</w:t>
              </w:r>
              <w:proofErr w:type="spellStart"/>
              <w:r w:rsidR="00BC340E" w:rsidRPr="00B40C20">
                <w:rPr>
                  <w:rStyle w:val="Hyperlink"/>
                  <w:bCs/>
                  <w:i/>
                  <w:iCs/>
                </w:rPr>
                <w:t>Rév</w:t>
              </w:r>
              <w:proofErr w:type="spellEnd"/>
              <w:r w:rsidR="00BC340E" w:rsidRPr="00B40C20">
                <w:rPr>
                  <w:rStyle w:val="Hyperlink"/>
                  <w:bCs/>
                  <w:i/>
                  <w:iCs/>
                </w:rPr>
                <w:t xml:space="preserve">. </w:t>
              </w:r>
              <w:r w:rsidR="00BC340E">
                <w:rPr>
                  <w:rStyle w:val="Hyperlink"/>
                  <w:bCs/>
                  <w:i/>
                  <w:iCs/>
                </w:rPr>
                <w:t>Dubaï</w:t>
              </w:r>
              <w:r w:rsidR="00BC340E" w:rsidRPr="00B40C20">
                <w:rPr>
                  <w:rStyle w:val="Hyperlink"/>
                  <w:bCs/>
                  <w:i/>
                  <w:iCs/>
                </w:rPr>
                <w:t>, 201</w:t>
              </w:r>
              <w:r w:rsidR="00BC340E">
                <w:rPr>
                  <w:rStyle w:val="Hyperlink"/>
                  <w:bCs/>
                  <w:i/>
                  <w:iCs/>
                </w:rPr>
                <w:t>8</w:t>
              </w:r>
              <w:r w:rsidR="00BC340E" w:rsidRPr="00B40C20">
                <w:rPr>
                  <w:rStyle w:val="Hyperlink"/>
                  <w:bCs/>
                  <w:i/>
                  <w:iCs/>
                </w:rPr>
                <w:t>)</w:t>
              </w:r>
            </w:hyperlink>
            <w:r w:rsidR="00BC340E" w:rsidRPr="00B40C20">
              <w:rPr>
                <w:i/>
                <w:iCs/>
              </w:rPr>
              <w:t xml:space="preserve">, </w:t>
            </w:r>
            <w:hyperlink r:id="rId9" w:history="1">
              <w:r w:rsidR="00BC340E" w:rsidRPr="00B40C20">
                <w:rPr>
                  <w:rStyle w:val="Hyperlink"/>
                  <w:bCs/>
                  <w:i/>
                  <w:iCs/>
                </w:rPr>
                <w:t>Résolution 140 (</w:t>
              </w:r>
              <w:proofErr w:type="spellStart"/>
              <w:r w:rsidR="00BC340E" w:rsidRPr="00B40C20">
                <w:rPr>
                  <w:rStyle w:val="Hyperlink"/>
                  <w:bCs/>
                  <w:i/>
                  <w:iCs/>
                </w:rPr>
                <w:t>Rév</w:t>
              </w:r>
              <w:proofErr w:type="spellEnd"/>
              <w:r w:rsidR="00BC340E" w:rsidRPr="00B40C20">
                <w:rPr>
                  <w:rStyle w:val="Hyperlink"/>
                  <w:bCs/>
                  <w:i/>
                  <w:iCs/>
                </w:rPr>
                <w:t xml:space="preserve">. </w:t>
              </w:r>
              <w:r w:rsidR="00BC340E" w:rsidRPr="00BC340E">
                <w:rPr>
                  <w:rStyle w:val="Hyperlink"/>
                  <w:bCs/>
                  <w:i/>
                  <w:iCs/>
                </w:rPr>
                <w:t>Dubaï</w:t>
              </w:r>
              <w:r w:rsidR="00BC340E" w:rsidRPr="00B40C20">
                <w:rPr>
                  <w:rStyle w:val="Hyperlink"/>
                  <w:bCs/>
                  <w:i/>
                  <w:iCs/>
                </w:rPr>
                <w:t>, 201</w:t>
              </w:r>
              <w:r w:rsidR="00BC340E">
                <w:rPr>
                  <w:rStyle w:val="Hyperlink"/>
                  <w:bCs/>
                  <w:i/>
                  <w:iCs/>
                </w:rPr>
                <w:t>8</w:t>
              </w:r>
              <w:r w:rsidR="00BC340E" w:rsidRPr="00B40C20">
                <w:rPr>
                  <w:rStyle w:val="Hyperlink"/>
                  <w:bCs/>
                  <w:i/>
                  <w:iCs/>
                </w:rPr>
                <w:t>)</w:t>
              </w:r>
            </w:hyperlink>
            <w:bookmarkStart w:id="7" w:name="_GoBack"/>
            <w:bookmarkEnd w:id="7"/>
            <w:r w:rsidR="00BC340E">
              <w:rPr>
                <w:bCs/>
                <w:i/>
                <w:iCs/>
              </w:rPr>
              <w:t xml:space="preserve"> de la </w:t>
            </w:r>
            <w:r w:rsidR="00BC340E" w:rsidRPr="002D68B2">
              <w:rPr>
                <w:bCs/>
                <w:i/>
                <w:iCs/>
              </w:rPr>
              <w:t>Conférence de plénipotentiaires</w:t>
            </w:r>
            <w:r w:rsidR="00BC340E" w:rsidRPr="00B40C20">
              <w:rPr>
                <w:i/>
                <w:iCs/>
              </w:rPr>
              <w:br/>
              <w:t xml:space="preserve">Résolutions </w:t>
            </w:r>
            <w:hyperlink r:id="rId10" w:history="1">
              <w:r w:rsidR="00BC340E" w:rsidRPr="00B40C20">
                <w:rPr>
                  <w:rStyle w:val="Hyperlink"/>
                  <w:i/>
                  <w:iCs/>
                </w:rPr>
                <w:t>1305 (2009)</w:t>
              </w:r>
            </w:hyperlink>
            <w:r w:rsidR="00BC340E" w:rsidRPr="008A5BAC">
              <w:rPr>
                <w:i/>
                <w:iCs/>
              </w:rPr>
              <w:t>,</w:t>
            </w:r>
            <w:r w:rsidR="00BC340E" w:rsidRPr="00B40C20">
              <w:rPr>
                <w:i/>
                <w:iCs/>
              </w:rPr>
              <w:t xml:space="preserve"> </w:t>
            </w:r>
            <w:hyperlink r:id="rId11" w:history="1">
              <w:r w:rsidR="00BC340E" w:rsidRPr="00B40C20">
                <w:rPr>
                  <w:rStyle w:val="Hyperlink"/>
                  <w:i/>
                  <w:iCs/>
                </w:rPr>
                <w:t>1336 (Mod. 2015)</w:t>
              </w:r>
            </w:hyperlink>
            <w:r w:rsidR="00BC340E" w:rsidRPr="00B40C20">
              <w:rPr>
                <w:i/>
                <w:iCs/>
              </w:rPr>
              <w:t xml:space="preserve"> et </w:t>
            </w:r>
            <w:hyperlink r:id="rId12" w:history="1">
              <w:r w:rsidR="00BC340E" w:rsidRPr="00B40C20">
                <w:rPr>
                  <w:rStyle w:val="Hyperlink"/>
                  <w:i/>
                  <w:iCs/>
                </w:rPr>
                <w:t>1344 (Mod. 2015)</w:t>
              </w:r>
            </w:hyperlink>
            <w:r w:rsidR="00BC340E" w:rsidRPr="00B40C20">
              <w:rPr>
                <w:i/>
                <w:iCs/>
              </w:rPr>
              <w:t xml:space="preserve"> du Conseil</w:t>
            </w:r>
          </w:p>
        </w:tc>
      </w:tr>
    </w:tbl>
    <w:p w:rsidR="00BC340E" w:rsidRPr="00C362E3" w:rsidRDefault="00BC340E" w:rsidP="005B6021">
      <w:pPr>
        <w:pStyle w:val="Heading1"/>
        <w:spacing w:before="400"/>
      </w:pPr>
      <w:r w:rsidRPr="00C362E3">
        <w:t>1</w:t>
      </w:r>
      <w:r w:rsidRPr="00C362E3">
        <w:tab/>
        <w:t>Introduction</w:t>
      </w:r>
    </w:p>
    <w:p w:rsidR="00BC340E" w:rsidRPr="00B40C20" w:rsidRDefault="00BC340E" w:rsidP="00BC340E">
      <w:r w:rsidRPr="00C362E3">
        <w:t>1.1</w:t>
      </w:r>
      <w:r w:rsidRPr="00B40C20">
        <w:tab/>
        <w:t xml:space="preserve">Le </w:t>
      </w:r>
      <w:hyperlink r:id="rId13" w:history="1">
        <w:r w:rsidRPr="00C362E3">
          <w:rPr>
            <w:rStyle w:val="Hyperlink"/>
          </w:rPr>
          <w:t>Groupe de travail du Conseil de l</w:t>
        </w:r>
        <w:r>
          <w:rPr>
            <w:rStyle w:val="Hyperlink"/>
          </w:rPr>
          <w:t>'</w:t>
        </w:r>
        <w:r w:rsidRPr="00C362E3">
          <w:rPr>
            <w:rStyle w:val="Hyperlink"/>
          </w:rPr>
          <w:t>UIT sur les questions de politiques publiques internationales relatives à l</w:t>
        </w:r>
        <w:r>
          <w:rPr>
            <w:rStyle w:val="Hyperlink"/>
          </w:rPr>
          <w:t>'</w:t>
        </w:r>
        <w:r w:rsidRPr="00C362E3">
          <w:rPr>
            <w:rStyle w:val="Hyperlink"/>
          </w:rPr>
          <w:t>Internet (GTC-Internet)</w:t>
        </w:r>
      </w:hyperlink>
      <w:r w:rsidRPr="00B40C20">
        <w:rPr>
          <w:rFonts w:cs="Calibri"/>
          <w:szCs w:val="24"/>
        </w:rPr>
        <w:t xml:space="preserve"> </w:t>
      </w:r>
      <w:r w:rsidRPr="00B40C20">
        <w:t>a été créé en tant que groupe distinct en vertu de la Résolution 1336 (Mod. 2015) du Conseil, conformément a</w:t>
      </w:r>
      <w:r>
        <w:t>ux Résolutions 102 et 140 (Rév. </w:t>
      </w:r>
      <w:r w:rsidRPr="00B40C20">
        <w:t>Busan, 2014) de la Conférence de plénipotentiaires de l</w:t>
      </w:r>
      <w:r>
        <w:t>'</w:t>
      </w:r>
      <w:r w:rsidRPr="00B40C20">
        <w:t>UIT. Le GTC</w:t>
      </w:r>
      <w:r w:rsidRPr="00B40C20">
        <w:noBreakHyphen/>
        <w:t xml:space="preserve">Internet est </w:t>
      </w:r>
      <w:r w:rsidRPr="00B40C20">
        <w:rPr>
          <w:rFonts w:cs="Calibri"/>
          <w:szCs w:val="24"/>
        </w:rPr>
        <w:t xml:space="preserve">ouvert à la seule participation des </w:t>
      </w:r>
      <w:r>
        <w:rPr>
          <w:rFonts w:cs="Calibri"/>
          <w:szCs w:val="24"/>
        </w:rPr>
        <w:t>É</w:t>
      </w:r>
      <w:r w:rsidRPr="00B40C20">
        <w:rPr>
          <w:rFonts w:cs="Calibri"/>
          <w:szCs w:val="24"/>
        </w:rPr>
        <w:t>tats Membres et mène des consultations ouvertes avec toutes les parties prenantes</w:t>
      </w:r>
      <w:r w:rsidRPr="00B40C20">
        <w:t>.</w:t>
      </w:r>
    </w:p>
    <w:p w:rsidR="00BC340E" w:rsidRPr="00B40C20" w:rsidRDefault="00BC340E" w:rsidP="00BC340E">
      <w:r w:rsidRPr="00C362E3">
        <w:t>1.2</w:t>
      </w:r>
      <w:r w:rsidRPr="00B40C20">
        <w:tab/>
        <w:t>Le mandat du GTC-Internet, figurant dans la Résolution 1336 (Mod. 2015) du Conseil, consiste à identifier, étudier et approfondir les thèmes liés aux questions de politiques publiques internationales relatives à l</w:t>
      </w:r>
      <w:r>
        <w:t>'</w:t>
      </w:r>
      <w:r w:rsidRPr="00B40C20">
        <w:t>Internet, notamment les questions recensées dans la Résolution 1305 (2009) du Conseil et à cet égard, s</w:t>
      </w:r>
      <w:r>
        <w:t>'</w:t>
      </w:r>
      <w:r w:rsidRPr="00B40C20">
        <w:t>il y a lieu:</w:t>
      </w:r>
    </w:p>
    <w:p w:rsidR="00BC340E" w:rsidRPr="00B40C20" w:rsidRDefault="00BC340E" w:rsidP="00BC340E">
      <w:pPr>
        <w:pStyle w:val="enumlev1"/>
      </w:pPr>
      <w:r w:rsidRPr="00B40C20">
        <w:t>a)</w:t>
      </w:r>
      <w:r w:rsidRPr="00B40C20">
        <w:tab/>
        <w:t>à faire connaître les résultats de ses travaux à l</w:t>
      </w:r>
      <w:r>
        <w:t>'</w:t>
      </w:r>
      <w:r w:rsidRPr="00B40C20">
        <w:t>ensemble des membres de l</w:t>
      </w:r>
      <w:r>
        <w:t>'</w:t>
      </w:r>
      <w:r w:rsidRPr="00B40C20">
        <w:t xml:space="preserve">UIT et à toutes les organisations </w:t>
      </w:r>
      <w:r w:rsidRPr="002D68B2">
        <w:t>internationales</w:t>
      </w:r>
      <w:r w:rsidRPr="00B40C20">
        <w:t xml:space="preserve"> concernées et aux parties prenantes jouant un rôle actif en la matière, pour qu</w:t>
      </w:r>
      <w:r>
        <w:t>'</w:t>
      </w:r>
      <w:r w:rsidRPr="00B40C20">
        <w:t>elles en tiennent compte dans le processus d</w:t>
      </w:r>
      <w:r>
        <w:t>'</w:t>
      </w:r>
      <w:r w:rsidRPr="00B40C20">
        <w:t>élaboration de leurs politiques;</w:t>
      </w:r>
    </w:p>
    <w:p w:rsidR="00BC340E" w:rsidRPr="00B40C20" w:rsidRDefault="00BC340E" w:rsidP="00BC340E">
      <w:pPr>
        <w:pStyle w:val="enumlev1"/>
      </w:pPr>
      <w:r w:rsidRPr="00B40C20">
        <w:t>b)</w:t>
      </w:r>
      <w:r w:rsidRPr="00B40C20">
        <w:tab/>
        <w:t xml:space="preserve">à examiner et étudier les activités du Secrétaire général et des Directeurs des Bureaux relatives à la mise en </w:t>
      </w:r>
      <w:r>
        <w:t>oe</w:t>
      </w:r>
      <w:r w:rsidRPr="00B40C20">
        <w:t>uvre de la Résolution 102 (Rév. Busan, 2014) et à préparer des contributions à ces activités, selon qu</w:t>
      </w:r>
      <w:r>
        <w:t>'</w:t>
      </w:r>
      <w:r w:rsidRPr="00B40C20">
        <w:t>il convient;</w:t>
      </w:r>
    </w:p>
    <w:p w:rsidR="00BC340E" w:rsidRPr="00B40C20" w:rsidRDefault="00BC340E" w:rsidP="00BC340E">
      <w:pPr>
        <w:pStyle w:val="enumlev1"/>
      </w:pPr>
      <w:r w:rsidRPr="00B40C20">
        <w:lastRenderedPageBreak/>
        <w:t>c)</w:t>
      </w:r>
      <w:r w:rsidRPr="00B40C20">
        <w:tab/>
        <w:t>à entreprendre et mener des consultations ouvertes avec toutes les parties prenantes de manière ouverte et inclusive; les résultats des consultations ouvertes seront présentés pour examen lors des délibérations du Groupe de travail du Conseil.</w:t>
      </w:r>
    </w:p>
    <w:p w:rsidR="00BC340E" w:rsidRPr="00B40C20" w:rsidRDefault="00BC340E" w:rsidP="00BC340E">
      <w:r w:rsidRPr="00C362E3">
        <w:t>1.3</w:t>
      </w:r>
      <w:r w:rsidRPr="00C362E3">
        <w:tab/>
        <w:t>Par</w:t>
      </w:r>
      <w:r w:rsidRPr="00B40C20">
        <w:t xml:space="preserve"> sa Résolution 102 (Rév. </w:t>
      </w:r>
      <w:r>
        <w:t>Dubaï</w:t>
      </w:r>
      <w:r w:rsidRPr="00B40C20">
        <w:t>, 201</w:t>
      </w:r>
      <w:r>
        <w:t>8</w:t>
      </w:r>
      <w:r w:rsidRPr="00B40C20">
        <w:t xml:space="preserve">), la Conférence de plénipotentiaires a chargé le Conseil de réviser sa Résolution 1344, afin de prier le GTC-Internet, ouvert à la seule participation des </w:t>
      </w:r>
      <w:r>
        <w:t>É</w:t>
      </w:r>
      <w:r w:rsidRPr="00B40C20">
        <w:t xml:space="preserve">tats Membres, de mener des consultations ouvertes avec toutes les parties prenantes, selon les lignes directrices indiquées dans ladite Résolution. </w:t>
      </w:r>
    </w:p>
    <w:p w:rsidR="00BC340E" w:rsidRPr="00B40C20" w:rsidRDefault="00BC340E" w:rsidP="00BC340E">
      <w:r w:rsidRPr="00C362E3">
        <w:t>1.4</w:t>
      </w:r>
      <w:r w:rsidRPr="00C362E3">
        <w:tab/>
      </w:r>
      <w:r w:rsidRPr="00B40C20">
        <w:t>Par sa Résolution 1344 (Mod. 2015), le Conseil a décidé des modalités de la consultation ouverte pour le GTC-Internet.</w:t>
      </w:r>
    </w:p>
    <w:p w:rsidR="00BC340E" w:rsidRPr="00C362E3" w:rsidRDefault="00BC340E" w:rsidP="00BC340E">
      <w:pPr>
        <w:pStyle w:val="Heading1"/>
      </w:pPr>
      <w:r w:rsidRPr="00C362E3">
        <w:t>2</w:t>
      </w:r>
      <w:r w:rsidRPr="00C362E3">
        <w:tab/>
        <w:t>Activités du GTC-Internet</w:t>
      </w:r>
    </w:p>
    <w:p w:rsidR="00BC340E" w:rsidRPr="00B40C20" w:rsidRDefault="00BC340E" w:rsidP="00BC340E">
      <w:r w:rsidRPr="00C362E3">
        <w:t>2.1</w:t>
      </w:r>
      <w:r w:rsidRPr="00B40C20">
        <w:tab/>
        <w:t xml:space="preserve">Le GTC-Internet a tenu </w:t>
      </w:r>
      <w:r>
        <w:t>sa douzième réunion</w:t>
      </w:r>
      <w:r w:rsidRPr="00B40C20">
        <w:t xml:space="preserve"> </w:t>
      </w:r>
      <w:r>
        <w:t>le 1</w:t>
      </w:r>
      <w:r w:rsidRPr="00E3436F">
        <w:t>er</w:t>
      </w:r>
      <w:r>
        <w:t xml:space="preserve"> février 2019 au siège de l'UIT </w:t>
      </w:r>
      <w:r w:rsidRPr="00B40C20">
        <w:t>à Genève (Suisse).</w:t>
      </w:r>
    </w:p>
    <w:p w:rsidR="00BC340E" w:rsidRDefault="00BC340E" w:rsidP="00E3436F">
      <w:r w:rsidRPr="00C362E3">
        <w:t>2.2</w:t>
      </w:r>
      <w:r w:rsidRPr="00B40C20">
        <w:tab/>
      </w:r>
      <w:r>
        <w:t xml:space="preserve">Le </w:t>
      </w:r>
      <w:hyperlink r:id="rId14" w:history="1">
        <w:r w:rsidR="00E3436F" w:rsidRPr="00F05DE8">
          <w:rPr>
            <w:rStyle w:val="Hyperlink"/>
          </w:rPr>
          <w:t>R</w:t>
        </w:r>
        <w:r w:rsidRPr="00F05DE8">
          <w:rPr>
            <w:rStyle w:val="Hyperlink"/>
          </w:rPr>
          <w:t>apport de la douzième réunion</w:t>
        </w:r>
        <w:r>
          <w:rPr>
            <w:rStyle w:val="Hyperlink"/>
          </w:rPr>
          <w:t xml:space="preserve"> du G</w:t>
        </w:r>
        <w:r w:rsidRPr="00F05DE8">
          <w:rPr>
            <w:rStyle w:val="Hyperlink"/>
          </w:rPr>
          <w:t>T</w:t>
        </w:r>
        <w:r>
          <w:rPr>
            <w:rStyle w:val="Hyperlink"/>
          </w:rPr>
          <w:t>C</w:t>
        </w:r>
        <w:r w:rsidRPr="00F05DE8">
          <w:rPr>
            <w:rStyle w:val="Hyperlink"/>
          </w:rPr>
          <w:t>-Internet</w:t>
        </w:r>
      </w:hyperlink>
      <w:r w:rsidRPr="00B40C20">
        <w:t xml:space="preserve"> </w:t>
      </w:r>
      <w:r>
        <w:t>a été approuvé</w:t>
      </w:r>
      <w:r w:rsidRPr="00B40C20">
        <w:t xml:space="preserve"> par le Groupe.</w:t>
      </w:r>
      <w:r>
        <w:t xml:space="preserve"> Les mesures ci-après o</w:t>
      </w:r>
      <w:r w:rsidR="00E3436F">
        <w:t>nt été approuvées</w:t>
      </w:r>
      <w:r>
        <w:t xml:space="preserve">: </w:t>
      </w:r>
    </w:p>
    <w:p w:rsidR="00BC340E" w:rsidRDefault="00E3436F" w:rsidP="00E3436F">
      <w:pPr>
        <w:pStyle w:val="enumlev1"/>
      </w:pPr>
      <w:r>
        <w:t>a)</w:t>
      </w:r>
      <w:r>
        <w:tab/>
      </w:r>
      <w:r w:rsidR="00BC340E">
        <w:t>Le Groupe a invité les États Membres à envoyer/actualiser leurs contributions, selon qu'il convient, sur les thèmes précédents</w:t>
      </w:r>
      <w:r>
        <w:t>,</w:t>
      </w:r>
      <w:r w:rsidR="00BC340E">
        <w:t xml:space="preserve"> y compris les OTT, sur lesquels le GTC-Internet a mené des consultations ouvertes.</w:t>
      </w:r>
    </w:p>
    <w:p w:rsidR="00BC340E" w:rsidRDefault="00E3436F" w:rsidP="00E3436F">
      <w:pPr>
        <w:pStyle w:val="enumlev1"/>
      </w:pPr>
      <w:r>
        <w:t>b)</w:t>
      </w:r>
      <w:r>
        <w:tab/>
      </w:r>
      <w:r w:rsidR="00BC340E">
        <w:t>Il a été demandé au Secrétariat d'intégrer les activités sur les OTT effectuées par les Secteurs dans le rapport sur les activités relatives à l'Internet présenté par le Secrétaire général au GTC</w:t>
      </w:r>
      <w:r w:rsidR="00BC340E">
        <w:noBreakHyphen/>
        <w:t xml:space="preserve">Internet. </w:t>
      </w:r>
    </w:p>
    <w:p w:rsidR="00BC340E" w:rsidRDefault="00E3436F" w:rsidP="00E3436F">
      <w:pPr>
        <w:pStyle w:val="enumlev1"/>
      </w:pPr>
      <w:r>
        <w:t>c)</w:t>
      </w:r>
      <w:r>
        <w:tab/>
      </w:r>
      <w:r w:rsidR="00BC340E">
        <w:t xml:space="preserve">Les participants à la douzième réunion ont manqué de temps pour examiner toutes les propositions soumises concernant le thème de la prochaine consultation ouverte, et le Groupe a décidé que le Président informerait le Conseil que les participants n'étaient pas parvenus à un consensus pour arrêter un thème, et qu'il demanderait donc au Conseil de fournir des orientations sur la question (voir la Section 6.3 du rapport de la réunion). </w:t>
      </w:r>
    </w:p>
    <w:p w:rsidR="00BC340E" w:rsidRPr="00B40C20" w:rsidRDefault="00E3436F" w:rsidP="00E3436F">
      <w:pPr>
        <w:pStyle w:val="enumlev1"/>
      </w:pPr>
      <w:r>
        <w:t>d)</w:t>
      </w:r>
      <w:r>
        <w:tab/>
      </w:r>
      <w:r w:rsidR="00BC340E">
        <w:t xml:space="preserve">Au cours de la réunion, il a été indiqué que le GTC-Internet nécessitait davantage de temps pour remplir son mandat et pour </w:t>
      </w:r>
      <w:r w:rsidR="00BC340E" w:rsidRPr="002A53DB">
        <w:t>procéder à des délibérations adéquates</w:t>
      </w:r>
      <w:r w:rsidR="00BC340E">
        <w:t xml:space="preserve">. </w:t>
      </w:r>
    </w:p>
    <w:p w:rsidR="00BC340E" w:rsidRPr="00C362E3" w:rsidRDefault="00BC340E" w:rsidP="000F6184">
      <w:pPr>
        <w:pStyle w:val="Heading1"/>
        <w:rPr>
          <w:rFonts w:eastAsia="Calibri"/>
          <w:lang w:val="fr-CH"/>
        </w:rPr>
      </w:pPr>
      <w:r>
        <w:rPr>
          <w:rFonts w:eastAsia="Calibri"/>
          <w:lang w:val="fr-CH"/>
        </w:rPr>
        <w:t>3</w:t>
      </w:r>
      <w:r w:rsidRPr="00C362E3">
        <w:rPr>
          <w:rFonts w:eastAsia="Calibri"/>
          <w:lang w:val="fr-CH"/>
        </w:rPr>
        <w:tab/>
      </w:r>
      <w:r w:rsidRPr="002A53DB">
        <w:rPr>
          <w:rFonts w:eastAsia="Calibri"/>
          <w:lang w:val="fr-CH"/>
        </w:rPr>
        <w:t>Conclusion</w:t>
      </w:r>
    </w:p>
    <w:p w:rsidR="00BC340E" w:rsidRPr="00B40C20" w:rsidRDefault="00BC340E" w:rsidP="00BC340E">
      <w:r>
        <w:t>3</w:t>
      </w:r>
      <w:r w:rsidRPr="00994079">
        <w:t>.1</w:t>
      </w:r>
      <w:r w:rsidRPr="00B40C20">
        <w:tab/>
        <w:t xml:space="preserve">Le Conseil est invité à prendre note </w:t>
      </w:r>
      <w:r>
        <w:t>du rapport de la douzième réunion du </w:t>
      </w:r>
      <w:r w:rsidRPr="00B40C20">
        <w:t>GTC</w:t>
      </w:r>
      <w:r w:rsidRPr="00B40C20">
        <w:noBreakHyphen/>
        <w:t>Internet.</w:t>
      </w:r>
    </w:p>
    <w:p w:rsidR="00BC340E" w:rsidRDefault="00BC340E" w:rsidP="00BC340E">
      <w:r>
        <w:t>3</w:t>
      </w:r>
      <w:r w:rsidRPr="00994079">
        <w:t>.2</w:t>
      </w:r>
      <w:r w:rsidRPr="00B40C20">
        <w:tab/>
      </w:r>
      <w:r>
        <w:t>Le Conseil est invité à fournir des orientations (voir la Section 2.2.c).</w:t>
      </w:r>
    </w:p>
    <w:p w:rsidR="00BC340E" w:rsidRPr="00B40C20" w:rsidRDefault="00BC340E" w:rsidP="00BC340E">
      <w:r>
        <w:t>3.3</w:t>
      </w:r>
      <w:r>
        <w:tab/>
      </w:r>
      <w:r w:rsidRPr="00B40C20">
        <w:t>Au nom du GTC-Internet, le Président remercie personnell</w:t>
      </w:r>
      <w:r>
        <w:t>ement tous les États Membres de </w:t>
      </w:r>
      <w:r w:rsidRPr="00B40C20">
        <w:t>l</w:t>
      </w:r>
      <w:r>
        <w:t>'</w:t>
      </w:r>
      <w:r w:rsidRPr="00B40C20">
        <w:t xml:space="preserve">UIT ayant présenté des contributions et ayant participé aux travaux du Groupe, </w:t>
      </w:r>
      <w:r>
        <w:t>les Vice</w:t>
      </w:r>
      <w:r>
        <w:noBreakHyphen/>
        <w:t xml:space="preserve">Présidents, </w:t>
      </w:r>
      <w:r w:rsidRPr="00B40C20">
        <w:t xml:space="preserve">le Secrétaire général, le Vice-Secrétaire général, les Directeurs </w:t>
      </w:r>
      <w:r>
        <w:t>du TSB, du BR et du </w:t>
      </w:r>
      <w:r w:rsidRPr="00B40C20">
        <w:t xml:space="preserve">BDT, et le Secrétariat général, pour leur aide efficace pendant </w:t>
      </w:r>
      <w:r>
        <w:t>la douzième réunion du GTC</w:t>
      </w:r>
      <w:r>
        <w:noBreakHyphen/>
      </w:r>
      <w:r w:rsidRPr="00B40C20">
        <w:t>Internet.</w:t>
      </w:r>
    </w:p>
    <w:p w:rsidR="00866416" w:rsidRPr="000F6184" w:rsidRDefault="000F6184" w:rsidP="005B6021">
      <w:pPr>
        <w:tabs>
          <w:tab w:val="center" w:pos="7088"/>
        </w:tabs>
        <w:spacing w:before="8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40E" w:rsidRPr="000F6184">
        <w:rPr>
          <w:b/>
          <w:bCs/>
        </w:rPr>
        <w:t>Président: Majed M. A</w:t>
      </w:r>
      <w:r w:rsidR="005B6021">
        <w:rPr>
          <w:b/>
          <w:bCs/>
        </w:rPr>
        <w:t>l</w:t>
      </w:r>
      <w:r w:rsidR="00BC340E" w:rsidRPr="000F6184">
        <w:rPr>
          <w:b/>
          <w:bCs/>
        </w:rPr>
        <w:t>-Mazyed</w:t>
      </w:r>
      <w:r w:rsidR="00BC340E" w:rsidRPr="000F6184">
        <w:rPr>
          <w:b/>
          <w:bCs/>
        </w:rPr>
        <w:br/>
      </w:r>
      <w:r w:rsidRPr="000F6184">
        <w:rPr>
          <w:b/>
          <w:bCs/>
        </w:rPr>
        <w:tab/>
      </w:r>
      <w:r w:rsidRPr="000F6184">
        <w:rPr>
          <w:b/>
          <w:bCs/>
        </w:rPr>
        <w:tab/>
      </w:r>
      <w:r w:rsidRPr="000F6184">
        <w:rPr>
          <w:b/>
          <w:bCs/>
        </w:rPr>
        <w:tab/>
      </w:r>
      <w:r w:rsidRPr="000F6184">
        <w:rPr>
          <w:b/>
          <w:bCs/>
        </w:rPr>
        <w:tab/>
      </w:r>
      <w:r w:rsidRPr="000F6184">
        <w:rPr>
          <w:b/>
          <w:bCs/>
        </w:rPr>
        <w:tab/>
      </w:r>
      <w:r w:rsidRPr="000F6184">
        <w:rPr>
          <w:b/>
          <w:bCs/>
        </w:rPr>
        <w:tab/>
      </w:r>
      <w:r w:rsidR="00BC340E" w:rsidRPr="000F6184">
        <w:rPr>
          <w:b/>
          <w:bCs/>
        </w:rPr>
        <w:t>(ROYAUME D'ARABIE SAOUDITE)</w:t>
      </w:r>
    </w:p>
    <w:sectPr w:rsidR="00866416" w:rsidRPr="000F6184" w:rsidSect="000F6184">
      <w:headerReference w:type="default" r:id="rId15"/>
      <w:footerReference w:type="default" r:id="rId16"/>
      <w:footerReference w:type="first" r:id="rId17"/>
      <w:pgSz w:w="11907" w:h="16840" w:code="9"/>
      <w:pgMar w:top="1361" w:right="1134" w:bottom="1361" w:left="1134" w:header="680" w:footer="68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A42" w:rsidRDefault="00923A42">
      <w:r>
        <w:separator/>
      </w:r>
    </w:p>
  </w:endnote>
  <w:endnote w:type="continuationSeparator" w:id="0">
    <w:p w:rsidR="00923A42" w:rsidRDefault="0092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0E" w:rsidRPr="00C668FF" w:rsidRDefault="005B6021" w:rsidP="00BC340E">
    <w:pPr>
      <w:pStyle w:val="Footer"/>
      <w:rPr>
        <w:color w:val="D9D9D9" w:themeColor="background1" w:themeShade="D9"/>
      </w:rPr>
    </w:pPr>
    <w:r w:rsidRPr="00C668FF">
      <w:rPr>
        <w:color w:val="D9D9D9" w:themeColor="background1" w:themeShade="D9"/>
      </w:rPr>
      <w:fldChar w:fldCharType="begin"/>
    </w:r>
    <w:r w:rsidRPr="00C668FF">
      <w:rPr>
        <w:color w:val="D9D9D9" w:themeColor="background1" w:themeShade="D9"/>
      </w:rPr>
      <w:instrText xml:space="preserve"> FILENAME \p  \* MERGEFORMAT </w:instrText>
    </w:r>
    <w:r w:rsidRPr="00C668FF">
      <w:rPr>
        <w:color w:val="D9D9D9" w:themeColor="background1" w:themeShade="D9"/>
      </w:rPr>
      <w:fldChar w:fldCharType="separate"/>
    </w:r>
    <w:r w:rsidR="000F6184" w:rsidRPr="00C668FF">
      <w:rPr>
        <w:color w:val="D9D9D9" w:themeColor="background1" w:themeShade="D9"/>
      </w:rPr>
      <w:t>P:\FRA\SG\CONSEIL\C19\000\051F.docx</w:t>
    </w:r>
    <w:r w:rsidRPr="00C668FF">
      <w:rPr>
        <w:color w:val="D9D9D9" w:themeColor="background1" w:themeShade="D9"/>
      </w:rPr>
      <w:fldChar w:fldCharType="end"/>
    </w:r>
    <w:r w:rsidR="00BC340E" w:rsidRPr="00C668FF">
      <w:rPr>
        <w:color w:val="D9D9D9" w:themeColor="background1" w:themeShade="D9"/>
      </w:rPr>
      <w:t xml:space="preserve"> (450278)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0E" w:rsidRPr="00BC340E" w:rsidRDefault="00BC340E" w:rsidP="00BC340E">
    <w:pPr>
      <w:spacing w:after="120"/>
      <w:jc w:val="center"/>
      <w:rPr>
        <w:lang w:val="en-US"/>
      </w:rPr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A42" w:rsidRDefault="00923A42">
      <w:r>
        <w:t>____________________</w:t>
      </w:r>
    </w:p>
  </w:footnote>
  <w:footnote w:type="continuationSeparator" w:id="0">
    <w:p w:rsidR="00923A42" w:rsidRDefault="00923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40E" w:rsidRDefault="00BC340E" w:rsidP="00BC340E">
    <w:pPr>
      <w:pStyle w:val="Header"/>
    </w:pPr>
    <w:r>
      <w:fldChar w:fldCharType="begin"/>
    </w:r>
    <w:r>
      <w:instrText>PAGE</w:instrText>
    </w:r>
    <w:r>
      <w:fldChar w:fldCharType="separate"/>
    </w:r>
    <w:r w:rsidR="001B1F56">
      <w:rPr>
        <w:noProof/>
      </w:rPr>
      <w:t>2</w:t>
    </w:r>
    <w:r>
      <w:rPr>
        <w:noProof/>
      </w:rPr>
      <w:fldChar w:fldCharType="end"/>
    </w:r>
  </w:p>
  <w:p w:rsidR="00BC340E" w:rsidRDefault="00BC340E" w:rsidP="00BC340E">
    <w:pPr>
      <w:pStyle w:val="Header"/>
    </w:pPr>
    <w:r>
      <w:t>C19/51-F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42"/>
    <w:rsid w:val="0006438D"/>
    <w:rsid w:val="000D0D0A"/>
    <w:rsid w:val="000F6184"/>
    <w:rsid w:val="00103163"/>
    <w:rsid w:val="00106B19"/>
    <w:rsid w:val="00115D93"/>
    <w:rsid w:val="001247A8"/>
    <w:rsid w:val="001378C0"/>
    <w:rsid w:val="0018694A"/>
    <w:rsid w:val="001A0B5D"/>
    <w:rsid w:val="001A3287"/>
    <w:rsid w:val="001A6508"/>
    <w:rsid w:val="001B1F56"/>
    <w:rsid w:val="001D4C31"/>
    <w:rsid w:val="001E4D21"/>
    <w:rsid w:val="0020767D"/>
    <w:rsid w:val="00207CD1"/>
    <w:rsid w:val="002477A2"/>
    <w:rsid w:val="00253AA2"/>
    <w:rsid w:val="00263A51"/>
    <w:rsid w:val="00267E02"/>
    <w:rsid w:val="002A5D44"/>
    <w:rsid w:val="002B7EE8"/>
    <w:rsid w:val="002E0BC4"/>
    <w:rsid w:val="002F1B76"/>
    <w:rsid w:val="00317B95"/>
    <w:rsid w:val="0033568E"/>
    <w:rsid w:val="00355FF5"/>
    <w:rsid w:val="00361350"/>
    <w:rsid w:val="003C3FAE"/>
    <w:rsid w:val="004038CB"/>
    <w:rsid w:val="0040546F"/>
    <w:rsid w:val="0042404A"/>
    <w:rsid w:val="0044618F"/>
    <w:rsid w:val="00467519"/>
    <w:rsid w:val="0046769A"/>
    <w:rsid w:val="00475FB3"/>
    <w:rsid w:val="004C37A9"/>
    <w:rsid w:val="004F259E"/>
    <w:rsid w:val="00511F1D"/>
    <w:rsid w:val="00520F36"/>
    <w:rsid w:val="00533A6E"/>
    <w:rsid w:val="00540615"/>
    <w:rsid w:val="00540A6D"/>
    <w:rsid w:val="00571EEA"/>
    <w:rsid w:val="00575417"/>
    <w:rsid w:val="005768E1"/>
    <w:rsid w:val="005B1938"/>
    <w:rsid w:val="005B6021"/>
    <w:rsid w:val="005C3890"/>
    <w:rsid w:val="005C4EAC"/>
    <w:rsid w:val="005F7BFE"/>
    <w:rsid w:val="00600017"/>
    <w:rsid w:val="006235CA"/>
    <w:rsid w:val="006643AB"/>
    <w:rsid w:val="007118D6"/>
    <w:rsid w:val="007210CD"/>
    <w:rsid w:val="00732045"/>
    <w:rsid w:val="00732C30"/>
    <w:rsid w:val="007369DB"/>
    <w:rsid w:val="007956C2"/>
    <w:rsid w:val="007A187E"/>
    <w:rsid w:val="007C72C2"/>
    <w:rsid w:val="007D4436"/>
    <w:rsid w:val="007F257A"/>
    <w:rsid w:val="007F3665"/>
    <w:rsid w:val="00800037"/>
    <w:rsid w:val="00861D73"/>
    <w:rsid w:val="00866416"/>
    <w:rsid w:val="008868E2"/>
    <w:rsid w:val="008A4E87"/>
    <w:rsid w:val="008D76E6"/>
    <w:rsid w:val="00910391"/>
    <w:rsid w:val="0092392D"/>
    <w:rsid w:val="00923A42"/>
    <w:rsid w:val="0093234A"/>
    <w:rsid w:val="00936731"/>
    <w:rsid w:val="009C307F"/>
    <w:rsid w:val="00A2113E"/>
    <w:rsid w:val="00A23A51"/>
    <w:rsid w:val="00A24607"/>
    <w:rsid w:val="00A25CD3"/>
    <w:rsid w:val="00A82767"/>
    <w:rsid w:val="00A87919"/>
    <w:rsid w:val="00AA332F"/>
    <w:rsid w:val="00AA7BBB"/>
    <w:rsid w:val="00AB64A8"/>
    <w:rsid w:val="00AC0266"/>
    <w:rsid w:val="00AD24EC"/>
    <w:rsid w:val="00B309F9"/>
    <w:rsid w:val="00B32B60"/>
    <w:rsid w:val="00B61619"/>
    <w:rsid w:val="00BB4545"/>
    <w:rsid w:val="00BC340E"/>
    <w:rsid w:val="00BD5873"/>
    <w:rsid w:val="00C04BE3"/>
    <w:rsid w:val="00C25D29"/>
    <w:rsid w:val="00C27A7C"/>
    <w:rsid w:val="00C668FF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07E"/>
    <w:rsid w:val="00E25AD0"/>
    <w:rsid w:val="00E3436F"/>
    <w:rsid w:val="00E65285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5F1913F-5D83-4CA6-BAEE-A3F791CA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aliases w:val="超级链接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table" w:styleId="ListTable4-Accent1">
    <w:name w:val="List Table 4 Accent 1"/>
    <w:basedOn w:val="TableNormal"/>
    <w:uiPriority w:val="49"/>
    <w:rsid w:val="00866416"/>
    <w:rPr>
      <w:rFonts w:eastAsia="Batang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enumlev1Char">
    <w:name w:val="enumlev1 Char"/>
    <w:basedOn w:val="DefaultParagraphFont"/>
    <w:link w:val="enumlev1"/>
    <w:rsid w:val="00BC340E"/>
    <w:rPr>
      <w:rFonts w:ascii="Calibri" w:hAnsi="Calibri"/>
      <w:sz w:val="24"/>
      <w:lang w:val="fr-FR" w:eastAsia="en-US"/>
    </w:rPr>
  </w:style>
  <w:style w:type="paragraph" w:customStyle="1" w:styleId="g">
    <w:name w:val="g"/>
    <w:basedOn w:val="Heading1"/>
    <w:rsid w:val="00BC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RES-102-F.pdf" TargetMode="External"/><Relationship Id="rId13" Type="http://schemas.openxmlformats.org/officeDocument/2006/relationships/hyperlink" Target="https://www.itu.int/en/council/cwg-internet/Pages/default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112/e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5-CL-C-0113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tu.int/md/S09-CL-C-01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council/Documents/basic-texts/RES-140-F.pdf" TargetMode="External"/><Relationship Id="rId14" Type="http://schemas.openxmlformats.org/officeDocument/2006/relationships/hyperlink" Target="https://www.itu.int/md/S19-RCLINTPOL12-C-0010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209FE-15E0-4A87-B3EA-EA505E4D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PF_C19.dotx</Template>
  <TotalTime>1</TotalTime>
  <Pages>2</Pages>
  <Words>760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5380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du président du GTC-Internet</dc:title>
  <dc:subject>Conseil 2019</dc:subject>
  <dc:creator>Brouard, Ricarda</dc:creator>
  <cp:keywords>C2019, C19</cp:keywords>
  <dc:description/>
  <cp:lastModifiedBy>Brouard, Ricarda</cp:lastModifiedBy>
  <cp:revision>2</cp:revision>
  <cp:lastPrinted>2000-07-18T08:55:00Z</cp:lastPrinted>
  <dcterms:created xsi:type="dcterms:W3CDTF">2019-05-13T08:22:00Z</dcterms:created>
  <dcterms:modified xsi:type="dcterms:W3CDTF">2019-05-13T08:22:00Z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