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8003D5">
            <w:pPr>
              <w:spacing w:before="360"/>
              <w:rPr>
                <w:lang w:val="fr-CH"/>
              </w:rPr>
            </w:pPr>
            <w:bookmarkStart w:id="0" w:name="dc06"/>
            <w:bookmarkStart w:id="1" w:name="_GoBack"/>
            <w:bookmarkEnd w:id="0"/>
            <w:bookmarkEnd w:id="1"/>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8003D5">
            <w:pPr>
              <w:spacing w:before="0"/>
              <w:jc w:val="right"/>
              <w:rPr>
                <w:lang w:val="fr-CH"/>
              </w:rPr>
            </w:pPr>
            <w:bookmarkStart w:id="2" w:name="ditulogo"/>
            <w:bookmarkEnd w:id="2"/>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971FB7">
        <w:trPr>
          <w:cantSplit/>
          <w:trHeight w:val="20"/>
        </w:trPr>
        <w:tc>
          <w:tcPr>
            <w:tcW w:w="6912" w:type="dxa"/>
            <w:tcBorders>
              <w:bottom w:val="single" w:sz="12" w:space="0" w:color="auto"/>
            </w:tcBorders>
            <w:vAlign w:val="center"/>
          </w:tcPr>
          <w:p w:rsidR="00520F36" w:rsidRPr="00361350" w:rsidRDefault="00520F36" w:rsidP="008003D5">
            <w:pPr>
              <w:spacing w:before="0"/>
              <w:rPr>
                <w:b/>
                <w:bCs/>
                <w:sz w:val="26"/>
                <w:szCs w:val="26"/>
                <w:lang w:val="fr-CH"/>
              </w:rPr>
            </w:pPr>
          </w:p>
        </w:tc>
        <w:tc>
          <w:tcPr>
            <w:tcW w:w="3261" w:type="dxa"/>
            <w:tcBorders>
              <w:bottom w:val="single" w:sz="12" w:space="0" w:color="auto"/>
            </w:tcBorders>
          </w:tcPr>
          <w:p w:rsidR="00520F36" w:rsidRPr="0092392D" w:rsidRDefault="00520F36" w:rsidP="008003D5">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8003D5">
            <w:pPr>
              <w:spacing w:before="0"/>
              <w:rPr>
                <w:smallCaps/>
                <w:sz w:val="22"/>
                <w:lang w:val="fr-CH"/>
              </w:rPr>
            </w:pPr>
          </w:p>
        </w:tc>
        <w:tc>
          <w:tcPr>
            <w:tcW w:w="3261" w:type="dxa"/>
            <w:tcBorders>
              <w:top w:val="single" w:sz="12" w:space="0" w:color="auto"/>
            </w:tcBorders>
          </w:tcPr>
          <w:p w:rsidR="00520F36" w:rsidRPr="0092392D" w:rsidRDefault="00520F36" w:rsidP="008003D5">
            <w:pPr>
              <w:spacing w:before="0"/>
              <w:rPr>
                <w:b/>
                <w:bCs/>
              </w:rPr>
            </w:pPr>
          </w:p>
        </w:tc>
      </w:tr>
      <w:tr w:rsidR="00520F36" w:rsidRPr="0092392D">
        <w:trPr>
          <w:cantSplit/>
          <w:trHeight w:val="20"/>
        </w:trPr>
        <w:tc>
          <w:tcPr>
            <w:tcW w:w="6912" w:type="dxa"/>
            <w:vMerge w:val="restart"/>
          </w:tcPr>
          <w:p w:rsidR="00520F36" w:rsidRPr="00520F36" w:rsidRDefault="008C641C" w:rsidP="008003D5">
            <w:pPr>
              <w:spacing w:before="0"/>
              <w:rPr>
                <w:rFonts w:cs="Times"/>
                <w:b/>
                <w:bCs/>
                <w:szCs w:val="24"/>
                <w:lang w:val="fr-CH"/>
              </w:rPr>
            </w:pPr>
            <w:bookmarkStart w:id="3" w:name="dnum" w:colFirst="1" w:colLast="1"/>
            <w:bookmarkStart w:id="4" w:name="dmeeting" w:colFirst="0" w:colLast="0"/>
            <w:r w:rsidRPr="00A81ED3">
              <w:rPr>
                <w:rFonts w:cs="Times"/>
                <w:b/>
                <w:bCs/>
                <w:szCs w:val="24"/>
                <w:lang w:val="fr-CH"/>
              </w:rPr>
              <w:t>Point de l</w:t>
            </w:r>
            <w:r>
              <w:rPr>
                <w:rFonts w:cs="Times"/>
                <w:b/>
                <w:bCs/>
                <w:szCs w:val="24"/>
                <w:lang w:val="fr-CH"/>
              </w:rPr>
              <w:t>'</w:t>
            </w:r>
            <w:r w:rsidRPr="00A81ED3">
              <w:rPr>
                <w:rFonts w:cs="Times"/>
                <w:b/>
                <w:bCs/>
                <w:szCs w:val="24"/>
                <w:lang w:val="fr-CH"/>
              </w:rPr>
              <w:t xml:space="preserve">ordre du jour: </w:t>
            </w:r>
            <w:r w:rsidRPr="00672768">
              <w:rPr>
                <w:rFonts w:cs="Times"/>
                <w:b/>
                <w:bCs/>
                <w:szCs w:val="24"/>
                <w:lang w:val="fr-CH"/>
              </w:rPr>
              <w:t>ADM 18</w:t>
            </w:r>
          </w:p>
        </w:tc>
        <w:tc>
          <w:tcPr>
            <w:tcW w:w="3261" w:type="dxa"/>
          </w:tcPr>
          <w:p w:rsidR="00520F36" w:rsidRPr="00520F36" w:rsidRDefault="00520F36" w:rsidP="008003D5">
            <w:pPr>
              <w:spacing w:before="0"/>
              <w:rPr>
                <w:b/>
                <w:bCs/>
              </w:rPr>
            </w:pPr>
            <w:r>
              <w:rPr>
                <w:b/>
                <w:bCs/>
              </w:rPr>
              <w:t>Document C1</w:t>
            </w:r>
            <w:r w:rsidR="00106B19">
              <w:rPr>
                <w:b/>
                <w:bCs/>
              </w:rPr>
              <w:t>9</w:t>
            </w:r>
            <w:r>
              <w:rPr>
                <w:b/>
                <w:bCs/>
              </w:rPr>
              <w:t>/</w:t>
            </w:r>
            <w:r w:rsidR="008C641C">
              <w:rPr>
                <w:b/>
                <w:bCs/>
              </w:rPr>
              <w:t>48</w:t>
            </w:r>
            <w:r>
              <w:rPr>
                <w:b/>
                <w:bCs/>
              </w:rPr>
              <w:t>-F</w:t>
            </w:r>
          </w:p>
        </w:tc>
      </w:tr>
      <w:tr w:rsidR="00520F36" w:rsidRPr="0092392D">
        <w:trPr>
          <w:cantSplit/>
          <w:trHeight w:val="20"/>
        </w:trPr>
        <w:tc>
          <w:tcPr>
            <w:tcW w:w="6912" w:type="dxa"/>
            <w:vMerge/>
          </w:tcPr>
          <w:p w:rsidR="00520F36" w:rsidRPr="0092392D" w:rsidRDefault="00520F36" w:rsidP="008003D5">
            <w:pPr>
              <w:shd w:val="solid" w:color="FFFFFF" w:fill="FFFFFF"/>
              <w:spacing w:before="180"/>
              <w:rPr>
                <w:smallCaps/>
                <w:lang w:val="fr-CH"/>
              </w:rPr>
            </w:pPr>
            <w:bookmarkStart w:id="5" w:name="ddate" w:colFirst="1" w:colLast="1"/>
            <w:bookmarkEnd w:id="3"/>
            <w:bookmarkEnd w:id="4"/>
          </w:p>
        </w:tc>
        <w:tc>
          <w:tcPr>
            <w:tcW w:w="3261" w:type="dxa"/>
          </w:tcPr>
          <w:p w:rsidR="00520F36" w:rsidRPr="00520F36" w:rsidRDefault="008C641C" w:rsidP="008003D5">
            <w:pPr>
              <w:spacing w:before="0"/>
              <w:rPr>
                <w:b/>
                <w:bCs/>
              </w:rPr>
            </w:pPr>
            <w:r>
              <w:rPr>
                <w:b/>
                <w:bCs/>
              </w:rPr>
              <w:t>21 mai</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8003D5">
            <w:pPr>
              <w:shd w:val="solid" w:color="FFFFFF" w:fill="FFFFFF"/>
              <w:spacing w:before="180"/>
              <w:rPr>
                <w:smallCaps/>
                <w:lang w:val="fr-CH"/>
              </w:rPr>
            </w:pPr>
            <w:bookmarkStart w:id="6" w:name="dorlang" w:colFirst="1" w:colLast="1"/>
            <w:bookmarkEnd w:id="5"/>
          </w:p>
        </w:tc>
        <w:tc>
          <w:tcPr>
            <w:tcW w:w="3261" w:type="dxa"/>
          </w:tcPr>
          <w:p w:rsidR="00520F36" w:rsidRPr="00520F36" w:rsidRDefault="00520F36" w:rsidP="008003D5">
            <w:pPr>
              <w:spacing w:before="0"/>
              <w:rPr>
                <w:b/>
                <w:bCs/>
              </w:rPr>
            </w:pPr>
            <w:r>
              <w:rPr>
                <w:b/>
                <w:bCs/>
              </w:rPr>
              <w:t>Original: anglais</w:t>
            </w:r>
          </w:p>
        </w:tc>
      </w:tr>
      <w:tr w:rsidR="00520F36" w:rsidRPr="0092392D">
        <w:trPr>
          <w:cantSplit/>
        </w:trPr>
        <w:tc>
          <w:tcPr>
            <w:tcW w:w="10173" w:type="dxa"/>
            <w:gridSpan w:val="2"/>
          </w:tcPr>
          <w:p w:rsidR="00520F36" w:rsidRPr="0092392D" w:rsidRDefault="008C641C" w:rsidP="008003D5">
            <w:pPr>
              <w:pStyle w:val="Source"/>
            </w:pPr>
            <w:bookmarkStart w:id="7" w:name="dsource" w:colFirst="0" w:colLast="0"/>
            <w:bookmarkEnd w:id="6"/>
            <w:r>
              <w:t>Note du Secrétaire général</w:t>
            </w:r>
          </w:p>
        </w:tc>
      </w:tr>
      <w:tr w:rsidR="00520F36" w:rsidRPr="0092392D">
        <w:trPr>
          <w:cantSplit/>
        </w:trPr>
        <w:tc>
          <w:tcPr>
            <w:tcW w:w="10173" w:type="dxa"/>
            <w:gridSpan w:val="2"/>
          </w:tcPr>
          <w:p w:rsidR="00520F36" w:rsidRPr="0092392D" w:rsidRDefault="008C641C" w:rsidP="008003D5">
            <w:pPr>
              <w:pStyle w:val="Title1"/>
            </w:pPr>
            <w:bookmarkStart w:id="8" w:name="dtitle1" w:colFirst="0" w:colLast="0"/>
            <w:bookmarkEnd w:id="7"/>
            <w:r w:rsidRPr="00A81ED3">
              <w:rPr>
                <w:lang w:val="fr-CH"/>
              </w:rPr>
              <w:t>COMPTE RENDU DES TRAVAUX DU GROUPE CONSULTATIF D</w:t>
            </w:r>
            <w:r>
              <w:rPr>
                <w:lang w:val="fr-CH"/>
              </w:rPr>
              <w:t>'é</w:t>
            </w:r>
            <w:r w:rsidRPr="00A81ED3">
              <w:rPr>
                <w:lang w:val="fr-CH"/>
              </w:rPr>
              <w:t>TATS MEMBRES</w:t>
            </w:r>
            <w:r>
              <w:rPr>
                <w:lang w:val="fr-CH"/>
              </w:rPr>
              <w:br/>
              <w:t>pour le</w:t>
            </w:r>
            <w:r w:rsidRPr="00A81ED3">
              <w:rPr>
                <w:lang w:val="fr-CH"/>
              </w:rPr>
              <w:t xml:space="preserve"> PROJET DE LOCAUX DU SI</w:t>
            </w:r>
            <w:r>
              <w:rPr>
                <w:lang w:val="fr-CH"/>
              </w:rPr>
              <w:t>è</w:t>
            </w:r>
            <w:r w:rsidRPr="00A81ED3">
              <w:rPr>
                <w:lang w:val="fr-CH"/>
              </w:rPr>
              <w:t>GE DE L</w:t>
            </w:r>
            <w:r>
              <w:rPr>
                <w:lang w:val="fr-CH"/>
              </w:rPr>
              <w:t>'</w:t>
            </w:r>
            <w:r w:rsidRPr="00A81ED3">
              <w:rPr>
                <w:lang w:val="fr-CH"/>
              </w:rPr>
              <w:t>UNION</w:t>
            </w:r>
          </w:p>
        </w:tc>
      </w:tr>
    </w:tbl>
    <w:bookmarkEnd w:id="8"/>
    <w:p w:rsidR="008C641C" w:rsidRDefault="008C641C" w:rsidP="008003D5">
      <w:pPr>
        <w:spacing w:before="600"/>
        <w:rPr>
          <w:lang w:val="fr-CH"/>
        </w:rPr>
      </w:pPr>
      <w:r w:rsidRPr="00A81ED3">
        <w:rPr>
          <w:rFonts w:asciiTheme="minorHAnsi" w:hAnsiTheme="minorHAnsi"/>
          <w:szCs w:val="24"/>
          <w:lang w:val="fr-CH" w:eastAsia="ja-JP"/>
        </w:rPr>
        <w:t>J</w:t>
      </w:r>
      <w:r>
        <w:rPr>
          <w:rFonts w:asciiTheme="minorHAnsi" w:hAnsiTheme="minorHAnsi"/>
          <w:szCs w:val="24"/>
          <w:lang w:val="fr-CH" w:eastAsia="ja-JP"/>
        </w:rPr>
        <w:t>'</w:t>
      </w:r>
      <w:r w:rsidRPr="00A81ED3">
        <w:rPr>
          <w:rFonts w:asciiTheme="minorHAnsi" w:hAnsiTheme="minorHAnsi"/>
          <w:szCs w:val="24"/>
          <w:lang w:val="fr-CH" w:eastAsia="ja-JP"/>
        </w:rPr>
        <w:t>ai l</w:t>
      </w:r>
      <w:r>
        <w:rPr>
          <w:rFonts w:asciiTheme="minorHAnsi" w:hAnsiTheme="minorHAnsi"/>
          <w:szCs w:val="24"/>
          <w:lang w:val="fr-CH" w:eastAsia="ja-JP"/>
        </w:rPr>
        <w:t>'</w:t>
      </w:r>
      <w:r w:rsidRPr="00A81ED3">
        <w:rPr>
          <w:rFonts w:asciiTheme="minorHAnsi" w:hAnsiTheme="minorHAnsi"/>
          <w:szCs w:val="24"/>
          <w:lang w:val="fr-CH" w:eastAsia="ja-JP"/>
        </w:rPr>
        <w:t xml:space="preserve">honneur de transmettre aux </w:t>
      </w:r>
      <w:r w:rsidR="00F9756B" w:rsidRPr="00A81ED3">
        <w:rPr>
          <w:rFonts w:asciiTheme="minorHAnsi" w:hAnsiTheme="minorHAnsi"/>
          <w:szCs w:val="24"/>
          <w:lang w:val="fr-CH" w:eastAsia="ja-JP"/>
        </w:rPr>
        <w:t>États</w:t>
      </w:r>
      <w:r w:rsidRPr="00A81ED3">
        <w:rPr>
          <w:rFonts w:asciiTheme="minorHAnsi" w:hAnsiTheme="minorHAnsi"/>
          <w:szCs w:val="24"/>
          <w:lang w:val="fr-CH" w:eastAsia="ja-JP"/>
        </w:rPr>
        <w:t xml:space="preserve"> Membres du Conseil le compte rendu des travaux du</w:t>
      </w:r>
      <w:r>
        <w:rPr>
          <w:rFonts w:asciiTheme="minorHAnsi" w:hAnsiTheme="minorHAnsi"/>
          <w:szCs w:val="24"/>
          <w:lang w:val="fr-CH" w:eastAsia="ja-JP"/>
        </w:rPr>
        <w:t> </w:t>
      </w:r>
      <w:r w:rsidRPr="00A81ED3">
        <w:rPr>
          <w:rFonts w:asciiTheme="minorHAnsi" w:hAnsiTheme="minorHAnsi"/>
          <w:b/>
          <w:bCs/>
          <w:szCs w:val="24"/>
          <w:lang w:val="fr-CH" w:eastAsia="ja-JP"/>
        </w:rPr>
        <w:t>Groupe consultatif d</w:t>
      </w:r>
      <w:r>
        <w:rPr>
          <w:rFonts w:asciiTheme="minorHAnsi" w:hAnsiTheme="minorHAnsi"/>
          <w:b/>
          <w:bCs/>
          <w:szCs w:val="24"/>
          <w:lang w:val="fr-CH" w:eastAsia="ja-JP"/>
        </w:rPr>
        <w:t>'</w:t>
      </w:r>
      <w:r w:rsidR="00F9756B" w:rsidRPr="00A81ED3">
        <w:rPr>
          <w:rFonts w:asciiTheme="minorHAnsi" w:hAnsiTheme="minorHAnsi"/>
          <w:b/>
          <w:bCs/>
          <w:szCs w:val="24"/>
          <w:lang w:val="fr-CH" w:eastAsia="ja-JP"/>
        </w:rPr>
        <w:t>États</w:t>
      </w:r>
      <w:r w:rsidRPr="00A81ED3">
        <w:rPr>
          <w:rFonts w:asciiTheme="minorHAnsi" w:hAnsiTheme="minorHAnsi"/>
          <w:b/>
          <w:bCs/>
          <w:szCs w:val="24"/>
          <w:lang w:val="fr-CH" w:eastAsia="ja-JP"/>
        </w:rPr>
        <w:t xml:space="preserve"> Membres (Groupe MSAG)</w:t>
      </w:r>
      <w:r w:rsidRPr="00C017CC">
        <w:rPr>
          <w:rFonts w:asciiTheme="minorHAnsi" w:hAnsiTheme="minorHAnsi"/>
          <w:szCs w:val="24"/>
          <w:lang w:val="fr-CH" w:eastAsia="ja-JP"/>
        </w:rPr>
        <w:t>.</w:t>
      </w:r>
    </w:p>
    <w:p w:rsidR="008C641C" w:rsidRDefault="007A74BA" w:rsidP="008003D5">
      <w:pPr>
        <w:tabs>
          <w:tab w:val="clear" w:pos="567"/>
          <w:tab w:val="clear" w:pos="1134"/>
          <w:tab w:val="clear" w:pos="1701"/>
          <w:tab w:val="clear" w:pos="2268"/>
          <w:tab w:val="clear" w:pos="2835"/>
          <w:tab w:val="center" w:pos="7088"/>
        </w:tabs>
        <w:spacing w:before="840"/>
        <w:rPr>
          <w:lang w:val="fr-CH" w:eastAsia="ja-JP"/>
        </w:rPr>
      </w:pPr>
      <w:r>
        <w:rPr>
          <w:lang w:val="fr-CH" w:eastAsia="ja-JP"/>
        </w:rPr>
        <w:tab/>
      </w:r>
      <w:r w:rsidR="008C641C" w:rsidRPr="00A81ED3">
        <w:rPr>
          <w:lang w:val="fr-CH" w:eastAsia="ja-JP"/>
        </w:rPr>
        <w:t>Houlin ZHAO</w:t>
      </w:r>
      <w:r w:rsidR="008C641C">
        <w:rPr>
          <w:lang w:val="fr-CH" w:eastAsia="ja-JP"/>
        </w:rPr>
        <w:br/>
      </w:r>
      <w:r>
        <w:rPr>
          <w:lang w:val="fr-CH" w:eastAsia="ja-JP"/>
        </w:rPr>
        <w:tab/>
      </w:r>
      <w:r w:rsidR="008C641C" w:rsidRPr="00A81ED3">
        <w:rPr>
          <w:lang w:val="fr-CH" w:eastAsia="ja-JP"/>
        </w:rPr>
        <w:t>Secrétaire général</w:t>
      </w:r>
    </w:p>
    <w:p w:rsidR="008C641C" w:rsidRDefault="008C641C" w:rsidP="008003D5">
      <w:pPr>
        <w:rPr>
          <w:lang w:val="fr-CH"/>
        </w:rPr>
      </w:pPr>
      <w:r>
        <w:rPr>
          <w:lang w:val="fr-CH"/>
        </w:rPr>
        <w:br w:type="page"/>
      </w:r>
    </w:p>
    <w:p w:rsidR="008C641C" w:rsidRPr="00A81ED3" w:rsidRDefault="008C641C" w:rsidP="008003D5">
      <w:pPr>
        <w:pStyle w:val="Title1"/>
        <w:spacing w:after="480"/>
        <w:rPr>
          <w:lang w:val="fr-CH"/>
        </w:rPr>
      </w:pPr>
      <w:r w:rsidRPr="00A81ED3">
        <w:rPr>
          <w:lang w:val="fr-CH"/>
        </w:rPr>
        <w:lastRenderedPageBreak/>
        <w:t>COMPTE RENDU DES TRAVAUX DU GROUPE CONSULTATIF D</w:t>
      </w:r>
      <w:r>
        <w:rPr>
          <w:lang w:val="fr-CH"/>
        </w:rPr>
        <w:t>'é</w:t>
      </w:r>
      <w:r w:rsidRPr="00A81ED3">
        <w:rPr>
          <w:lang w:val="fr-CH"/>
        </w:rPr>
        <w:t>TATS MEMBRES</w:t>
      </w:r>
      <w:r>
        <w:rPr>
          <w:lang w:val="fr-CH"/>
        </w:rPr>
        <w:br/>
        <w:t>pour le</w:t>
      </w:r>
      <w:r w:rsidRPr="00A81ED3">
        <w:rPr>
          <w:lang w:val="fr-CH"/>
        </w:rPr>
        <w:t xml:space="preserve"> PROJET DE LOCAUX DU SI</w:t>
      </w:r>
      <w:r>
        <w:rPr>
          <w:lang w:val="fr-CH"/>
        </w:rPr>
        <w:t>è</w:t>
      </w:r>
      <w:r w:rsidRPr="00A81ED3">
        <w:rPr>
          <w:lang w:val="fr-CH"/>
        </w:rPr>
        <w:t>GE DE L</w:t>
      </w:r>
      <w:r>
        <w:rPr>
          <w:lang w:val="fr-CH"/>
        </w:rPr>
        <w:t>'</w:t>
      </w:r>
      <w:r w:rsidRPr="00A81ED3">
        <w:rPr>
          <w:lang w:val="fr-CH"/>
        </w:rPr>
        <w:t>UNION</w:t>
      </w:r>
    </w:p>
    <w:tbl>
      <w:tblPr>
        <w:tblW w:w="8080" w:type="dxa"/>
        <w:tblInd w:w="95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080"/>
      </w:tblGrid>
      <w:tr w:rsidR="008C641C" w:rsidRPr="00A81ED3" w:rsidTr="008521D8">
        <w:trPr>
          <w:trHeight w:val="3372"/>
        </w:trPr>
        <w:tc>
          <w:tcPr>
            <w:tcW w:w="8080" w:type="dxa"/>
          </w:tcPr>
          <w:p w:rsidR="008C641C" w:rsidRPr="00A81ED3" w:rsidRDefault="008C641C" w:rsidP="008003D5">
            <w:pPr>
              <w:pStyle w:val="Headingb"/>
              <w:rPr>
                <w:lang w:val="fr-CH"/>
              </w:rPr>
            </w:pPr>
            <w:r w:rsidRPr="00A81ED3">
              <w:rPr>
                <w:lang w:val="fr-CH"/>
              </w:rPr>
              <w:t>Résumé</w:t>
            </w:r>
          </w:p>
          <w:p w:rsidR="008C641C" w:rsidRPr="00A81ED3" w:rsidRDefault="008C641C" w:rsidP="008003D5">
            <w:pPr>
              <w:rPr>
                <w:lang w:val="fr-CH"/>
              </w:rPr>
            </w:pPr>
            <w:r>
              <w:rPr>
                <w:rFonts w:asciiTheme="minorHAnsi" w:hAnsiTheme="minorHAnsi"/>
                <w:lang w:val="fr-CH"/>
              </w:rPr>
              <w:t xml:space="preserve">On trouvera dans le </w:t>
            </w:r>
            <w:r w:rsidRPr="00A81ED3">
              <w:rPr>
                <w:rFonts w:asciiTheme="minorHAnsi" w:hAnsiTheme="minorHAnsi"/>
                <w:lang w:val="fr-CH"/>
              </w:rPr>
              <w:t>présent document</w:t>
            </w:r>
            <w:r>
              <w:rPr>
                <w:rFonts w:asciiTheme="minorHAnsi" w:hAnsiTheme="minorHAnsi"/>
                <w:lang w:val="fr-CH"/>
              </w:rPr>
              <w:t xml:space="preserve"> </w:t>
            </w:r>
            <w:r w:rsidRPr="00A81ED3">
              <w:rPr>
                <w:rFonts w:asciiTheme="minorHAnsi" w:hAnsiTheme="minorHAnsi"/>
                <w:lang w:val="fr-CH"/>
              </w:rPr>
              <w:t>un compte rendu des travaux du Groupe consultatif d</w:t>
            </w:r>
            <w:r>
              <w:rPr>
                <w:rFonts w:asciiTheme="minorHAnsi" w:hAnsiTheme="minorHAnsi"/>
                <w:lang w:val="fr-CH"/>
              </w:rPr>
              <w:t>'</w:t>
            </w:r>
            <w:r w:rsidR="00116B8D" w:rsidRPr="00A81ED3">
              <w:rPr>
                <w:rFonts w:asciiTheme="minorHAnsi" w:hAnsiTheme="minorHAnsi"/>
                <w:lang w:val="fr-CH"/>
              </w:rPr>
              <w:t>États</w:t>
            </w:r>
            <w:r w:rsidRPr="00A81ED3">
              <w:rPr>
                <w:rFonts w:asciiTheme="minorHAnsi" w:hAnsiTheme="minorHAnsi"/>
                <w:lang w:val="fr-CH"/>
              </w:rPr>
              <w:t xml:space="preserve"> Membres </w:t>
            </w:r>
            <w:r>
              <w:rPr>
                <w:rFonts w:asciiTheme="minorHAnsi" w:hAnsiTheme="minorHAnsi"/>
                <w:lang w:val="fr-CH"/>
              </w:rPr>
              <w:t>pour le</w:t>
            </w:r>
            <w:r w:rsidRPr="00A81ED3">
              <w:rPr>
                <w:rFonts w:asciiTheme="minorHAnsi" w:hAnsiTheme="minorHAnsi"/>
                <w:lang w:val="fr-CH"/>
              </w:rPr>
              <w:t xml:space="preserve"> projet de locaux du siège de l</w:t>
            </w:r>
            <w:r>
              <w:rPr>
                <w:rFonts w:asciiTheme="minorHAnsi" w:hAnsiTheme="minorHAnsi"/>
                <w:lang w:val="fr-CH"/>
              </w:rPr>
              <w:t>'</w:t>
            </w:r>
            <w:r w:rsidRPr="00A81ED3">
              <w:rPr>
                <w:rFonts w:asciiTheme="minorHAnsi" w:hAnsiTheme="minorHAnsi"/>
                <w:lang w:val="fr-CH"/>
              </w:rPr>
              <w:t>Union</w:t>
            </w:r>
            <w:r>
              <w:rPr>
                <w:rFonts w:asciiTheme="minorHAnsi" w:hAnsiTheme="minorHAnsi"/>
                <w:lang w:val="fr-CH"/>
              </w:rPr>
              <w:t xml:space="preserve"> </w:t>
            </w:r>
            <w:r w:rsidRPr="00A81ED3">
              <w:rPr>
                <w:rFonts w:asciiTheme="minorHAnsi" w:hAnsiTheme="minorHAnsi"/>
                <w:lang w:val="fr-CH"/>
              </w:rPr>
              <w:t>(Groupe MSAG).</w:t>
            </w:r>
          </w:p>
          <w:p w:rsidR="008C641C" w:rsidRPr="00A81ED3" w:rsidRDefault="008C641C" w:rsidP="008003D5">
            <w:pPr>
              <w:pStyle w:val="Headingb"/>
              <w:rPr>
                <w:lang w:val="fr-CH"/>
              </w:rPr>
            </w:pPr>
            <w:r w:rsidRPr="00A81ED3">
              <w:rPr>
                <w:lang w:val="fr-CH"/>
              </w:rPr>
              <w:t>Suite à donner</w:t>
            </w:r>
          </w:p>
          <w:p w:rsidR="008C641C" w:rsidRPr="00A81ED3" w:rsidRDefault="008C641C" w:rsidP="008003D5">
            <w:pPr>
              <w:rPr>
                <w:rFonts w:asciiTheme="minorHAnsi" w:hAnsiTheme="minorHAnsi"/>
                <w:szCs w:val="24"/>
                <w:lang w:val="fr-CH"/>
              </w:rPr>
            </w:pPr>
            <w:r w:rsidRPr="00A81ED3">
              <w:rPr>
                <w:rFonts w:asciiTheme="minorHAnsi" w:hAnsiTheme="minorHAnsi"/>
                <w:szCs w:val="24"/>
                <w:lang w:val="fr-CH"/>
              </w:rPr>
              <w:t xml:space="preserve">Le Conseil est invité à </w:t>
            </w:r>
            <w:r w:rsidRPr="00A81ED3">
              <w:rPr>
                <w:rFonts w:asciiTheme="minorHAnsi" w:hAnsiTheme="minorHAnsi"/>
                <w:b/>
                <w:bCs/>
                <w:szCs w:val="24"/>
                <w:lang w:val="fr-CH"/>
              </w:rPr>
              <w:t>prendre note</w:t>
            </w:r>
            <w:r w:rsidRPr="00A81ED3">
              <w:rPr>
                <w:rFonts w:asciiTheme="minorHAnsi" w:hAnsiTheme="minorHAnsi"/>
                <w:szCs w:val="24"/>
                <w:lang w:val="fr-CH"/>
              </w:rPr>
              <w:t xml:space="preserve"> du </w:t>
            </w:r>
            <w:r>
              <w:rPr>
                <w:rFonts w:asciiTheme="minorHAnsi" w:hAnsiTheme="minorHAnsi"/>
                <w:szCs w:val="24"/>
                <w:lang w:val="fr-CH"/>
              </w:rPr>
              <w:t>r</w:t>
            </w:r>
            <w:r w:rsidRPr="00A81ED3">
              <w:rPr>
                <w:rFonts w:asciiTheme="minorHAnsi" w:hAnsiTheme="minorHAnsi"/>
                <w:szCs w:val="24"/>
                <w:lang w:val="fr-CH"/>
              </w:rPr>
              <w:t>apport</w:t>
            </w:r>
            <w:r>
              <w:rPr>
                <w:rFonts w:asciiTheme="minorHAnsi" w:hAnsiTheme="minorHAnsi"/>
                <w:szCs w:val="24"/>
                <w:lang w:val="fr-CH"/>
              </w:rPr>
              <w:t xml:space="preserve"> </w:t>
            </w:r>
            <w:r>
              <w:rPr>
                <w:color w:val="000000"/>
              </w:rPr>
              <w:t xml:space="preserve">et à </w:t>
            </w:r>
            <w:r w:rsidRPr="001376C8">
              <w:rPr>
                <w:b/>
                <w:bCs/>
                <w:color w:val="000000"/>
              </w:rPr>
              <w:t>donner les indications</w:t>
            </w:r>
            <w:r>
              <w:rPr>
                <w:color w:val="000000"/>
              </w:rPr>
              <w:t xml:space="preserve"> qu'il jugera nécessaires. </w:t>
            </w:r>
          </w:p>
          <w:p w:rsidR="008C641C" w:rsidRPr="00A81ED3" w:rsidRDefault="008C641C" w:rsidP="008003D5">
            <w:pPr>
              <w:jc w:val="center"/>
              <w:rPr>
                <w:caps/>
                <w:sz w:val="22"/>
                <w:lang w:val="fr-CH"/>
              </w:rPr>
            </w:pPr>
            <w:r w:rsidRPr="00A81ED3">
              <w:rPr>
                <w:sz w:val="22"/>
                <w:lang w:val="fr-CH"/>
              </w:rPr>
              <w:t>____________</w:t>
            </w:r>
          </w:p>
          <w:p w:rsidR="008C641C" w:rsidRPr="00A81ED3" w:rsidRDefault="008C641C" w:rsidP="008003D5">
            <w:pPr>
              <w:pStyle w:val="Headingb"/>
              <w:rPr>
                <w:lang w:val="fr-CH"/>
              </w:rPr>
            </w:pPr>
            <w:r w:rsidRPr="00A81ED3">
              <w:rPr>
                <w:lang w:val="fr-CH"/>
              </w:rPr>
              <w:t>Références</w:t>
            </w:r>
          </w:p>
          <w:p w:rsidR="008C641C" w:rsidRPr="008C641C" w:rsidRDefault="00D73F8B" w:rsidP="008003D5">
            <w:pPr>
              <w:spacing w:after="120"/>
              <w:rPr>
                <w:rFonts w:asciiTheme="minorHAnsi" w:hAnsiTheme="minorHAnsi"/>
                <w:i/>
                <w:iCs/>
                <w:lang w:val="fr-CH"/>
              </w:rPr>
            </w:pPr>
            <w:hyperlink r:id="rId7" w:history="1">
              <w:r w:rsidR="008C641C" w:rsidRPr="00A81ED3">
                <w:rPr>
                  <w:rStyle w:val="Hyperlink"/>
                  <w:rFonts w:asciiTheme="minorHAnsi" w:hAnsiTheme="minorHAnsi"/>
                  <w:i/>
                  <w:iCs/>
                  <w:lang w:val="fr-CH"/>
                </w:rPr>
                <w:t>Décision 588 du Conseil</w:t>
              </w:r>
            </w:hyperlink>
            <w:r w:rsidR="008C641C">
              <w:rPr>
                <w:rStyle w:val="Hyperlink"/>
                <w:rFonts w:asciiTheme="minorHAnsi" w:hAnsiTheme="minorHAnsi"/>
                <w:i/>
                <w:iCs/>
                <w:color w:val="auto"/>
                <w:u w:val="none"/>
                <w:lang w:val="fr-CH"/>
              </w:rPr>
              <w:t xml:space="preserve">; </w:t>
            </w:r>
            <w:hyperlink r:id="rId8" w:history="1">
              <w:r w:rsidR="008C641C" w:rsidRPr="00C22357">
                <w:rPr>
                  <w:rStyle w:val="Hyperlink"/>
                  <w:rFonts w:asciiTheme="minorHAnsi" w:hAnsiTheme="minorHAnsi"/>
                  <w:i/>
                  <w:iCs/>
                </w:rPr>
                <w:t>R</w:t>
              </w:r>
              <w:r w:rsidR="008C641C">
                <w:rPr>
                  <w:rStyle w:val="Hyperlink"/>
                  <w:rFonts w:asciiTheme="minorHAnsi" w:hAnsiTheme="minorHAnsi"/>
                  <w:i/>
                  <w:iCs/>
                </w:rPr>
                <w:t>é</w:t>
              </w:r>
              <w:r w:rsidR="008C641C" w:rsidRPr="00C22357">
                <w:rPr>
                  <w:rStyle w:val="Hyperlink"/>
                  <w:rFonts w:asciiTheme="minorHAnsi" w:hAnsiTheme="minorHAnsi"/>
                  <w:i/>
                  <w:iCs/>
                </w:rPr>
                <w:t>solution 212 (Duba</w:t>
              </w:r>
              <w:r w:rsidR="008C641C">
                <w:rPr>
                  <w:rStyle w:val="Hyperlink"/>
                  <w:rFonts w:asciiTheme="minorHAnsi" w:hAnsiTheme="minorHAnsi"/>
                  <w:i/>
                  <w:iCs/>
                </w:rPr>
                <w:t>ï</w:t>
              </w:r>
              <w:r w:rsidR="008C641C" w:rsidRPr="00C22357">
                <w:rPr>
                  <w:rStyle w:val="Hyperlink"/>
                  <w:rFonts w:asciiTheme="minorHAnsi" w:hAnsiTheme="minorHAnsi"/>
                  <w:i/>
                  <w:iCs/>
                </w:rPr>
                <w:t>, 2018)</w:t>
              </w:r>
            </w:hyperlink>
            <w:r w:rsidR="008C641C" w:rsidRPr="008C641C">
              <w:rPr>
                <w:rStyle w:val="Hyperlink"/>
                <w:rFonts w:asciiTheme="minorHAnsi" w:hAnsiTheme="minorHAnsi"/>
                <w:i/>
                <w:iCs/>
                <w:color w:val="auto"/>
                <w:u w:val="none"/>
              </w:rPr>
              <w:t xml:space="preserve"> </w:t>
            </w:r>
            <w:r w:rsidR="008C641C">
              <w:rPr>
                <w:rStyle w:val="Hyperlink"/>
                <w:rFonts w:asciiTheme="minorHAnsi" w:hAnsiTheme="minorHAnsi"/>
                <w:i/>
                <w:iCs/>
                <w:color w:val="auto"/>
                <w:u w:val="none"/>
              </w:rPr>
              <w:t>de la Conférence de plénipotentiaires</w:t>
            </w:r>
            <w:r w:rsidR="00116B8D">
              <w:rPr>
                <w:rStyle w:val="Hyperlink"/>
                <w:rFonts w:asciiTheme="minorHAnsi" w:hAnsiTheme="minorHAnsi"/>
                <w:i/>
                <w:iCs/>
                <w:color w:val="auto"/>
                <w:u w:val="none"/>
              </w:rPr>
              <w:t>;</w:t>
            </w:r>
            <w:r w:rsidR="008C641C">
              <w:rPr>
                <w:rStyle w:val="Hyperlink"/>
                <w:rFonts w:asciiTheme="minorHAnsi" w:hAnsiTheme="minorHAnsi"/>
                <w:i/>
                <w:iCs/>
                <w:color w:val="auto"/>
                <w:u w:val="none"/>
              </w:rPr>
              <w:t xml:space="preserve"> Document </w:t>
            </w:r>
            <w:hyperlink r:id="rId9" w:history="1">
              <w:r w:rsidR="008C641C" w:rsidRPr="00C22357">
                <w:rPr>
                  <w:rStyle w:val="Hyperlink"/>
                  <w:rFonts w:asciiTheme="minorHAnsi" w:hAnsiTheme="minorHAnsi"/>
                  <w:i/>
                  <w:iCs/>
                </w:rPr>
                <w:t>C18/48</w:t>
              </w:r>
            </w:hyperlink>
            <w:r w:rsidR="008C641C">
              <w:rPr>
                <w:rStyle w:val="Hyperlink"/>
                <w:rFonts w:asciiTheme="minorHAnsi" w:hAnsiTheme="minorHAnsi"/>
                <w:i/>
                <w:iCs/>
                <w:color w:val="auto"/>
                <w:u w:val="none"/>
              </w:rPr>
              <w:t xml:space="preserve"> du Conseil</w:t>
            </w:r>
          </w:p>
        </w:tc>
      </w:tr>
    </w:tbl>
    <w:p w:rsidR="008C641C" w:rsidRPr="00116B8D" w:rsidRDefault="00116B8D" w:rsidP="008003D5">
      <w:pPr>
        <w:spacing w:before="360"/>
      </w:pPr>
      <w:bookmarkStart w:id="9" w:name="lt_pId025"/>
      <w:r>
        <w:t xml:space="preserve">Le </w:t>
      </w:r>
      <w:r w:rsidRPr="00116B8D">
        <w:t xml:space="preserve">Groupe </w:t>
      </w:r>
      <w:r>
        <w:t>consultatif d'États Membres pour le projet de locaux du siège de l'Union (Groupe MSAG) s'est réuni trois fois</w:t>
      </w:r>
      <w:r w:rsidRPr="00116B8D">
        <w:t xml:space="preserve"> </w:t>
      </w:r>
      <w:r>
        <w:t>d</w:t>
      </w:r>
      <w:r w:rsidRPr="00116B8D">
        <w:t>epuis la session</w:t>
      </w:r>
      <w:r w:rsidR="008F6C93">
        <w:t xml:space="preserve"> d'avril 2018 du Conseil. </w:t>
      </w:r>
      <w:r>
        <w:t xml:space="preserve">Ces réunions, auxquelles il était possible de participer à distance, </w:t>
      </w:r>
      <w:r w:rsidR="008F6C93">
        <w:t>se sont tenues</w:t>
      </w:r>
      <w:r>
        <w:t xml:space="preserve"> à Genève le 27 juin 2018, le 28 janvier 2019 et le 15 avril 2019, sous la présidence de M. Dietmar Plesse (Allemagne). </w:t>
      </w:r>
      <w:r w:rsidR="008F6C93">
        <w:t>Les</w:t>
      </w:r>
      <w:r>
        <w:t xml:space="preserve"> rapports </w:t>
      </w:r>
      <w:r w:rsidR="008F6C93">
        <w:t xml:space="preserve">complets </w:t>
      </w:r>
      <w:r>
        <w:t>de ces réunions sont disponibles à l'adresse suivante:</w:t>
      </w:r>
      <w:bookmarkStart w:id="10" w:name="lt_pId027"/>
      <w:bookmarkEnd w:id="9"/>
      <w:r w:rsidR="008C641C" w:rsidRPr="00116B8D">
        <w:t xml:space="preserve"> </w:t>
      </w:r>
      <w:hyperlink r:id="rId10" w:history="1">
        <w:r w:rsidR="008C641C" w:rsidRPr="00116B8D">
          <w:rPr>
            <w:rStyle w:val="Hyperlink"/>
            <w:rFonts w:asciiTheme="minorHAnsi" w:eastAsia="SimSun" w:hAnsiTheme="minorHAnsi"/>
            <w:lang w:eastAsia="en-AU"/>
          </w:rPr>
          <w:t>https://www.itu.int/en/hq-building/Pages/default.aspx</w:t>
        </w:r>
      </w:hyperlink>
      <w:r w:rsidR="008C641C" w:rsidRPr="00116B8D">
        <w:rPr>
          <w:rFonts w:eastAsia="SimSun"/>
          <w:lang w:eastAsia="en-AU"/>
        </w:rPr>
        <w:t xml:space="preserve"> (</w:t>
      </w:r>
      <w:r>
        <w:rPr>
          <w:rFonts w:eastAsia="SimSun"/>
          <w:lang w:eastAsia="en-AU"/>
        </w:rPr>
        <w:t>accès réservé aux titulaires d'un compte TIES</w:t>
      </w:r>
      <w:r w:rsidR="008C641C" w:rsidRPr="00116B8D">
        <w:rPr>
          <w:rFonts w:eastAsia="SimSun"/>
          <w:lang w:eastAsia="en-AU"/>
        </w:rPr>
        <w:t>)</w:t>
      </w:r>
      <w:r w:rsidR="008C641C" w:rsidRPr="00116B8D">
        <w:t>.</w:t>
      </w:r>
      <w:bookmarkEnd w:id="10"/>
    </w:p>
    <w:p w:rsidR="008C641C" w:rsidRPr="00971CB2" w:rsidRDefault="008C641C" w:rsidP="008003D5">
      <w:pPr>
        <w:pStyle w:val="Heading1"/>
      </w:pPr>
      <w:r w:rsidRPr="00971CB2">
        <w:t>1</w:t>
      </w:r>
      <w:r w:rsidRPr="00971CB2">
        <w:tab/>
      </w:r>
      <w:r w:rsidR="00116B8D" w:rsidRPr="00971CB2">
        <w:t>Rappel</w:t>
      </w:r>
    </w:p>
    <w:p w:rsidR="008C641C" w:rsidRDefault="008C641C" w:rsidP="00D63419">
      <w:pPr>
        <w:spacing w:after="120"/>
        <w:rPr>
          <w:rFonts w:cs="Calibri"/>
          <w:b/>
          <w:sz w:val="22"/>
        </w:rPr>
      </w:pPr>
      <w:r w:rsidRPr="00116B8D">
        <w:rPr>
          <w:rFonts w:asciiTheme="minorHAnsi" w:hAnsiTheme="minorHAnsi"/>
        </w:rPr>
        <w:t>1.1</w:t>
      </w:r>
      <w:r w:rsidRPr="00116B8D">
        <w:rPr>
          <w:rFonts w:asciiTheme="minorHAnsi" w:hAnsiTheme="minorHAnsi"/>
        </w:rPr>
        <w:tab/>
      </w:r>
      <w:bookmarkStart w:id="11" w:name="lt_pId031"/>
      <w:r w:rsidR="00116B8D" w:rsidRPr="00116B8D">
        <w:rPr>
          <w:rFonts w:eastAsia="SimSun"/>
          <w:lang w:eastAsia="en-AU"/>
        </w:rPr>
        <w:t xml:space="preserve">A sa </w:t>
      </w:r>
      <w:r w:rsidR="00116B8D" w:rsidRPr="00116B8D">
        <w:rPr>
          <w:rFonts w:eastAsia="SimSun"/>
          <w:b/>
          <w:bCs/>
          <w:lang w:eastAsia="en-AU"/>
        </w:rPr>
        <w:t>cinquième réunion</w:t>
      </w:r>
      <w:r w:rsidR="00116B8D" w:rsidRPr="00116B8D">
        <w:rPr>
          <w:rFonts w:eastAsia="SimSun"/>
          <w:lang w:eastAsia="en-AU"/>
        </w:rPr>
        <w:t xml:space="preserve"> (27 juin </w:t>
      </w:r>
      <w:r w:rsidRPr="00116B8D">
        <w:rPr>
          <w:rFonts w:eastAsia="SimSun"/>
          <w:lang w:eastAsia="en-AU"/>
        </w:rPr>
        <w:t>2018)</w:t>
      </w:r>
      <w:r w:rsidR="00116B8D" w:rsidRPr="00116B8D">
        <w:rPr>
          <w:rFonts w:eastAsia="SimSun"/>
          <w:lang w:eastAsia="en-AU"/>
        </w:rPr>
        <w:t>, le Groupe MSAG s'est vu remettre, pour la première fois, une analyse des éléments financ</w:t>
      </w:r>
      <w:r w:rsidR="00116B8D">
        <w:rPr>
          <w:rFonts w:eastAsia="SimSun"/>
          <w:lang w:eastAsia="en-AU"/>
        </w:rPr>
        <w:t>iers des quatre projets retenus</w:t>
      </w:r>
      <w:r w:rsidRPr="00116B8D">
        <w:rPr>
          <w:rFonts w:eastAsia="SimSun"/>
          <w:lang w:eastAsia="en-AU"/>
        </w:rPr>
        <w:t>.</w:t>
      </w:r>
      <w:bookmarkEnd w:id="11"/>
      <w:r w:rsidRPr="00116B8D">
        <w:rPr>
          <w:rFonts w:eastAsia="SimSun"/>
          <w:lang w:eastAsia="en-AU"/>
        </w:rPr>
        <w:t xml:space="preserve"> </w:t>
      </w:r>
      <w:bookmarkStart w:id="12" w:name="lt_pId032"/>
      <w:r w:rsidR="00116B8D">
        <w:rPr>
          <w:lang w:val="fr-CH"/>
        </w:rPr>
        <w:t>L'</w:t>
      </w:r>
      <w:r w:rsidRPr="00831BE6">
        <w:rPr>
          <w:lang w:val="fr-CH"/>
        </w:rPr>
        <w:t>analyse des coûts indépendante</w:t>
      </w:r>
      <w:r w:rsidR="00116B8D">
        <w:rPr>
          <w:lang w:val="fr-CH"/>
        </w:rPr>
        <w:t xml:space="preserve"> réalisée en décembre 2017 </w:t>
      </w:r>
      <w:r w:rsidRPr="00831BE6">
        <w:rPr>
          <w:lang w:val="fr-CH"/>
        </w:rPr>
        <w:t>ne couvre que les dépenses correspondant aux Codes de frais de construction (CFC) 1 à 4 (1</w:t>
      </w:r>
      <w:r w:rsidR="00D63419">
        <w:rPr>
          <w:lang w:val="fr-CH"/>
        </w:rPr>
        <w:t>-</w:t>
      </w:r>
      <w:r w:rsidRPr="00831BE6">
        <w:rPr>
          <w:lang w:val="fr-CH"/>
        </w:rPr>
        <w:t>Travaux préparatoires, 2</w:t>
      </w:r>
      <w:r w:rsidR="00D63419">
        <w:rPr>
          <w:lang w:val="fr-CH"/>
        </w:rPr>
        <w:t>-</w:t>
      </w:r>
      <w:r w:rsidRPr="00831BE6">
        <w:rPr>
          <w:lang w:val="fr-CH"/>
        </w:rPr>
        <w:t>Bâtiment, 3</w:t>
      </w:r>
      <w:r w:rsidR="00D63419">
        <w:rPr>
          <w:lang w:val="fr-CH"/>
        </w:rPr>
        <w:t>-</w:t>
      </w:r>
      <w:r w:rsidR="00F9756B" w:rsidRPr="00831BE6">
        <w:rPr>
          <w:lang w:val="fr-CH"/>
        </w:rPr>
        <w:t>Équipements</w:t>
      </w:r>
      <w:r w:rsidRPr="00831BE6">
        <w:rPr>
          <w:lang w:val="fr-CH"/>
        </w:rPr>
        <w:t xml:space="preserve"> d'exploitation, 4</w:t>
      </w:r>
      <w:r w:rsidR="00D63419">
        <w:rPr>
          <w:lang w:val="fr-CH"/>
        </w:rPr>
        <w:t>-</w:t>
      </w:r>
      <w:r w:rsidRPr="00831BE6">
        <w:rPr>
          <w:lang w:val="fr-CH"/>
        </w:rPr>
        <w:t xml:space="preserve">Aménagements extérieurs). Elle ne </w:t>
      </w:r>
      <w:r w:rsidR="00743A82">
        <w:rPr>
          <w:lang w:val="fr-CH"/>
        </w:rPr>
        <w:t>tient</w:t>
      </w:r>
      <w:r w:rsidRPr="00831BE6">
        <w:rPr>
          <w:lang w:val="fr-CH"/>
        </w:rPr>
        <w:t xml:space="preserve"> pas compte</w:t>
      </w:r>
      <w:r w:rsidR="00743A82">
        <w:rPr>
          <w:lang w:val="fr-CH"/>
        </w:rPr>
        <w:t>, par exemple,</w:t>
      </w:r>
      <w:r w:rsidRPr="00831BE6">
        <w:rPr>
          <w:lang w:val="fr-CH"/>
        </w:rPr>
        <w:t xml:space="preserve"> des honoraires pour la gestion du projet (qui relèvent du groupe CFC 5), lesquels sont largement négociables.</w:t>
      </w:r>
      <w:bookmarkEnd w:id="12"/>
      <w:r w:rsidRPr="00831BE6">
        <w:rPr>
          <w:rFonts w:cs="Calibri"/>
          <w:b/>
          <w:sz w:val="22"/>
        </w:rPr>
        <w:t xml:space="preserve"> </w:t>
      </w:r>
    </w:p>
    <w:tbl>
      <w:tblPr>
        <w:tblStyle w:val="TableGrid"/>
        <w:tblW w:w="0" w:type="auto"/>
        <w:tblLook w:val="04A0" w:firstRow="1" w:lastRow="0" w:firstColumn="1" w:lastColumn="0" w:noHBand="0" w:noVBand="1"/>
      </w:tblPr>
      <w:tblGrid>
        <w:gridCol w:w="1604"/>
        <w:gridCol w:w="2077"/>
        <w:gridCol w:w="1417"/>
        <w:gridCol w:w="1560"/>
        <w:gridCol w:w="1366"/>
        <w:gridCol w:w="1605"/>
      </w:tblGrid>
      <w:tr w:rsidR="007C0CF3" w:rsidRPr="007C0CF3" w:rsidTr="00831BE6">
        <w:tc>
          <w:tcPr>
            <w:tcW w:w="1604" w:type="dxa"/>
          </w:tcPr>
          <w:p w:rsidR="00831BE6" w:rsidRPr="008003D5" w:rsidRDefault="00831BE6" w:rsidP="00D63419">
            <w:pPr>
              <w:pStyle w:val="Tablehead"/>
              <w:spacing w:before="20" w:after="20"/>
            </w:pPr>
          </w:p>
        </w:tc>
        <w:tc>
          <w:tcPr>
            <w:tcW w:w="2077" w:type="dxa"/>
          </w:tcPr>
          <w:p w:rsidR="00831BE6" w:rsidRPr="008003D5" w:rsidRDefault="00831BE6" w:rsidP="00D63419">
            <w:pPr>
              <w:pStyle w:val="Tablehead"/>
              <w:spacing w:before="20" w:after="20"/>
            </w:pPr>
            <w:r w:rsidRPr="008003D5">
              <w:t>CFC 2</w:t>
            </w:r>
            <w:r w:rsidRPr="008003D5">
              <w:br/>
            </w:r>
            <w:r w:rsidR="007C0CF3" w:rsidRPr="008003D5">
              <w:t>Montant pondéré</w:t>
            </w:r>
            <w:r w:rsidRPr="008003D5">
              <w:t xml:space="preserve"> </w:t>
            </w:r>
            <w:r w:rsidR="007C0CF3" w:rsidRPr="008003D5">
              <w:t>Volume et surface</w:t>
            </w:r>
          </w:p>
        </w:tc>
        <w:tc>
          <w:tcPr>
            <w:tcW w:w="1417" w:type="dxa"/>
          </w:tcPr>
          <w:p w:rsidR="00831BE6" w:rsidRPr="008003D5" w:rsidRDefault="007C0CF3" w:rsidP="00D63419">
            <w:pPr>
              <w:pStyle w:val="Tablehead"/>
              <w:spacing w:before="20" w:after="20"/>
            </w:pPr>
            <w:r w:rsidRPr="008003D5">
              <w:t>Pondération</w:t>
            </w:r>
            <w:r w:rsidR="00831BE6" w:rsidRPr="008003D5">
              <w:t>:</w:t>
            </w:r>
            <w:r w:rsidR="00831BE6" w:rsidRPr="008003D5">
              <w:br/>
            </w:r>
            <w:r w:rsidR="003322AA" w:rsidRPr="008003D5">
              <w:t>Façades</w:t>
            </w:r>
          </w:p>
        </w:tc>
        <w:tc>
          <w:tcPr>
            <w:tcW w:w="1560" w:type="dxa"/>
          </w:tcPr>
          <w:p w:rsidR="00831BE6" w:rsidRPr="008003D5" w:rsidRDefault="007C0CF3" w:rsidP="00D63419">
            <w:pPr>
              <w:pStyle w:val="Tablehead"/>
              <w:spacing w:before="20" w:after="20"/>
            </w:pPr>
            <w:r w:rsidRPr="008003D5">
              <w:t>Pondération</w:t>
            </w:r>
            <w:r w:rsidR="00831BE6" w:rsidRPr="008003D5">
              <w:t>:</w:t>
            </w:r>
            <w:r w:rsidR="00831BE6" w:rsidRPr="008003D5">
              <w:br/>
            </w:r>
            <w:r w:rsidR="008F6C93" w:rsidRPr="008003D5">
              <w:t>T</w:t>
            </w:r>
            <w:r w:rsidRPr="008003D5">
              <w:t>oit</w:t>
            </w:r>
            <w:r w:rsidR="003322AA" w:rsidRPr="008003D5">
              <w:t>ures</w:t>
            </w:r>
          </w:p>
        </w:tc>
        <w:tc>
          <w:tcPr>
            <w:tcW w:w="1366" w:type="dxa"/>
          </w:tcPr>
          <w:p w:rsidR="00831BE6" w:rsidRPr="008003D5" w:rsidRDefault="00831BE6" w:rsidP="00D63419">
            <w:pPr>
              <w:pStyle w:val="Tablehead"/>
              <w:spacing w:before="20" w:after="20"/>
            </w:pPr>
            <w:r w:rsidRPr="008003D5">
              <w:t>CFC 4</w:t>
            </w:r>
            <w:r w:rsidRPr="008003D5">
              <w:br/>
            </w:r>
            <w:r w:rsidR="007C0CF3" w:rsidRPr="008003D5">
              <w:t>Montant</w:t>
            </w:r>
          </w:p>
        </w:tc>
        <w:tc>
          <w:tcPr>
            <w:tcW w:w="1605" w:type="dxa"/>
          </w:tcPr>
          <w:p w:rsidR="00831BE6" w:rsidRPr="008003D5" w:rsidRDefault="007C0CF3" w:rsidP="00D63419">
            <w:pPr>
              <w:pStyle w:val="Tablehead"/>
              <w:spacing w:before="20" w:after="20"/>
            </w:pPr>
            <w:r w:rsidRPr="008003D5">
              <w:t>Estimation du montant total pondéré</w:t>
            </w:r>
          </w:p>
        </w:tc>
      </w:tr>
      <w:tr w:rsidR="007C0CF3" w:rsidTr="00831BE6">
        <w:tc>
          <w:tcPr>
            <w:tcW w:w="1604" w:type="dxa"/>
          </w:tcPr>
          <w:p w:rsidR="00831BE6" w:rsidRPr="00831BE6" w:rsidRDefault="00831BE6" w:rsidP="00D63419">
            <w:pPr>
              <w:pStyle w:val="Tabletext"/>
              <w:spacing w:before="20" w:after="20"/>
              <w:rPr>
                <w:lang w:val="en-US"/>
              </w:rPr>
            </w:pPr>
            <w:r>
              <w:rPr>
                <w:lang w:val="en-US"/>
              </w:rPr>
              <w:t>Microcosme</w:t>
            </w:r>
          </w:p>
        </w:tc>
        <w:tc>
          <w:tcPr>
            <w:tcW w:w="2077" w:type="dxa"/>
          </w:tcPr>
          <w:p w:rsidR="00831BE6" w:rsidRDefault="00D63419" w:rsidP="00D63419">
            <w:pPr>
              <w:pStyle w:val="Tabletext"/>
              <w:tabs>
                <w:tab w:val="clear" w:pos="794"/>
                <w:tab w:val="clear" w:pos="1191"/>
                <w:tab w:val="clear" w:pos="1588"/>
                <w:tab w:val="right" w:pos="1685"/>
              </w:tabs>
              <w:spacing w:before="20" w:after="20"/>
            </w:pPr>
            <w:r>
              <w:tab/>
            </w:r>
            <w:r w:rsidR="00831BE6">
              <w:t>126 580 617</w:t>
            </w:r>
          </w:p>
        </w:tc>
        <w:tc>
          <w:tcPr>
            <w:tcW w:w="1417" w:type="dxa"/>
          </w:tcPr>
          <w:p w:rsidR="00831BE6" w:rsidRDefault="007C0CF3" w:rsidP="00D63419">
            <w:pPr>
              <w:pStyle w:val="Tabletext"/>
              <w:spacing w:before="20" w:after="20"/>
              <w:jc w:val="right"/>
            </w:pPr>
            <w:r>
              <w:t>inclus</w:t>
            </w:r>
          </w:p>
        </w:tc>
        <w:tc>
          <w:tcPr>
            <w:tcW w:w="1560" w:type="dxa"/>
          </w:tcPr>
          <w:p w:rsidR="00831BE6" w:rsidRDefault="00D63419" w:rsidP="00D63419">
            <w:pPr>
              <w:pStyle w:val="Tabletext"/>
              <w:tabs>
                <w:tab w:val="clear" w:pos="794"/>
                <w:tab w:val="clear" w:pos="1191"/>
                <w:tab w:val="clear" w:pos="1588"/>
                <w:tab w:val="clear" w:pos="1985"/>
                <w:tab w:val="right" w:pos="1151"/>
              </w:tabs>
              <w:spacing w:before="20" w:after="20"/>
            </w:pPr>
            <w:r>
              <w:tab/>
            </w:r>
            <w:r w:rsidR="00831BE6">
              <w:t>–1 000 000</w:t>
            </w:r>
          </w:p>
        </w:tc>
        <w:tc>
          <w:tcPr>
            <w:tcW w:w="1366" w:type="dxa"/>
          </w:tcPr>
          <w:p w:rsidR="00831BE6" w:rsidRDefault="00D63419" w:rsidP="00D63419">
            <w:pPr>
              <w:pStyle w:val="Tabletext"/>
              <w:tabs>
                <w:tab w:val="clear" w:pos="794"/>
                <w:tab w:val="clear" w:pos="1191"/>
                <w:tab w:val="clear" w:pos="1588"/>
                <w:tab w:val="clear" w:pos="1985"/>
                <w:tab w:val="right" w:pos="1026"/>
              </w:tabs>
              <w:spacing w:before="20" w:after="20"/>
            </w:pPr>
            <w:r>
              <w:tab/>
            </w:r>
            <w:r w:rsidR="00831BE6">
              <w:t>2 213 248</w:t>
            </w:r>
          </w:p>
        </w:tc>
        <w:tc>
          <w:tcPr>
            <w:tcW w:w="1605" w:type="dxa"/>
          </w:tcPr>
          <w:p w:rsidR="00831BE6" w:rsidRDefault="00D63419" w:rsidP="001C44B7">
            <w:pPr>
              <w:pStyle w:val="Tabletext"/>
              <w:tabs>
                <w:tab w:val="clear" w:pos="794"/>
                <w:tab w:val="clear" w:pos="1191"/>
                <w:tab w:val="clear" w:pos="1588"/>
                <w:tab w:val="clear" w:pos="1985"/>
                <w:tab w:val="right" w:pos="1219"/>
              </w:tabs>
              <w:spacing w:before="20" w:after="20"/>
            </w:pPr>
            <w:r>
              <w:tab/>
            </w:r>
            <w:r w:rsidR="00831BE6">
              <w:t>127 790 000</w:t>
            </w:r>
          </w:p>
        </w:tc>
      </w:tr>
      <w:tr w:rsidR="007C0CF3" w:rsidTr="00831BE6">
        <w:tc>
          <w:tcPr>
            <w:tcW w:w="1604" w:type="dxa"/>
          </w:tcPr>
          <w:p w:rsidR="00831BE6" w:rsidRDefault="00831BE6" w:rsidP="00D63419">
            <w:pPr>
              <w:pStyle w:val="Tabletext"/>
              <w:spacing w:before="20" w:after="20"/>
            </w:pPr>
            <w:r>
              <w:t>Interweave</w:t>
            </w:r>
          </w:p>
        </w:tc>
        <w:tc>
          <w:tcPr>
            <w:tcW w:w="2077" w:type="dxa"/>
          </w:tcPr>
          <w:p w:rsidR="00831BE6" w:rsidRDefault="00D63419" w:rsidP="00D63419">
            <w:pPr>
              <w:pStyle w:val="Tabletext"/>
              <w:tabs>
                <w:tab w:val="clear" w:pos="794"/>
                <w:tab w:val="clear" w:pos="1191"/>
                <w:tab w:val="clear" w:pos="1588"/>
                <w:tab w:val="right" w:pos="1685"/>
              </w:tabs>
              <w:spacing w:before="20" w:after="20"/>
            </w:pPr>
            <w:r>
              <w:tab/>
            </w:r>
            <w:r w:rsidR="00831BE6">
              <w:t>101 179 267</w:t>
            </w:r>
          </w:p>
        </w:tc>
        <w:tc>
          <w:tcPr>
            <w:tcW w:w="1417" w:type="dxa"/>
          </w:tcPr>
          <w:p w:rsidR="00831BE6" w:rsidRDefault="00831BE6" w:rsidP="00D63419">
            <w:pPr>
              <w:pStyle w:val="Tabletext"/>
              <w:spacing w:before="20" w:after="20"/>
              <w:jc w:val="right"/>
            </w:pPr>
            <w:r>
              <w:t>0</w:t>
            </w:r>
          </w:p>
        </w:tc>
        <w:tc>
          <w:tcPr>
            <w:tcW w:w="1560" w:type="dxa"/>
          </w:tcPr>
          <w:p w:rsidR="00831BE6" w:rsidRDefault="00D63419" w:rsidP="00D63419">
            <w:pPr>
              <w:pStyle w:val="Tabletext"/>
              <w:tabs>
                <w:tab w:val="clear" w:pos="794"/>
                <w:tab w:val="clear" w:pos="1191"/>
                <w:tab w:val="clear" w:pos="1588"/>
                <w:tab w:val="clear" w:pos="1985"/>
                <w:tab w:val="right" w:pos="1151"/>
              </w:tabs>
              <w:spacing w:before="20" w:after="20"/>
            </w:pPr>
            <w:r>
              <w:tab/>
            </w:r>
            <w:r w:rsidR="00831BE6">
              <w:t>0</w:t>
            </w:r>
          </w:p>
        </w:tc>
        <w:tc>
          <w:tcPr>
            <w:tcW w:w="1366" w:type="dxa"/>
          </w:tcPr>
          <w:p w:rsidR="00831BE6" w:rsidRDefault="00D63419" w:rsidP="00D63419">
            <w:pPr>
              <w:pStyle w:val="Tabletext"/>
              <w:tabs>
                <w:tab w:val="clear" w:pos="794"/>
                <w:tab w:val="clear" w:pos="1191"/>
                <w:tab w:val="clear" w:pos="1588"/>
                <w:tab w:val="clear" w:pos="1985"/>
                <w:tab w:val="right" w:pos="1026"/>
              </w:tabs>
              <w:spacing w:before="20" w:after="20"/>
            </w:pPr>
            <w:r>
              <w:tab/>
            </w:r>
            <w:r w:rsidR="00831BE6">
              <w:t>1 401 936</w:t>
            </w:r>
          </w:p>
        </w:tc>
        <w:tc>
          <w:tcPr>
            <w:tcW w:w="1605" w:type="dxa"/>
          </w:tcPr>
          <w:p w:rsidR="00831BE6" w:rsidRDefault="00D63419" w:rsidP="001C44B7">
            <w:pPr>
              <w:pStyle w:val="Tabletext"/>
              <w:tabs>
                <w:tab w:val="clear" w:pos="794"/>
                <w:tab w:val="clear" w:pos="1191"/>
                <w:tab w:val="clear" w:pos="1588"/>
                <w:tab w:val="clear" w:pos="1985"/>
                <w:tab w:val="right" w:pos="1219"/>
              </w:tabs>
              <w:spacing w:before="20" w:after="20"/>
            </w:pPr>
            <w:r>
              <w:tab/>
            </w:r>
            <w:r w:rsidR="00831BE6">
              <w:t>102 580 000</w:t>
            </w:r>
          </w:p>
        </w:tc>
      </w:tr>
      <w:tr w:rsidR="007C0CF3" w:rsidTr="00831BE6">
        <w:tc>
          <w:tcPr>
            <w:tcW w:w="1604" w:type="dxa"/>
          </w:tcPr>
          <w:p w:rsidR="00831BE6" w:rsidRDefault="00831BE6" w:rsidP="00D63419">
            <w:pPr>
              <w:pStyle w:val="Tabletext"/>
              <w:spacing w:before="20" w:after="20"/>
            </w:pPr>
            <w:r>
              <w:t>Datacity</w:t>
            </w:r>
          </w:p>
        </w:tc>
        <w:tc>
          <w:tcPr>
            <w:tcW w:w="2077" w:type="dxa"/>
          </w:tcPr>
          <w:p w:rsidR="00831BE6" w:rsidRDefault="00D63419" w:rsidP="00D63419">
            <w:pPr>
              <w:pStyle w:val="Tabletext"/>
              <w:tabs>
                <w:tab w:val="clear" w:pos="794"/>
                <w:tab w:val="clear" w:pos="1191"/>
                <w:tab w:val="clear" w:pos="1588"/>
                <w:tab w:val="right" w:pos="1685"/>
              </w:tabs>
              <w:spacing w:before="20" w:after="20"/>
            </w:pPr>
            <w:r>
              <w:tab/>
            </w:r>
            <w:r w:rsidR="00831BE6">
              <w:t>95 810 467</w:t>
            </w:r>
          </w:p>
        </w:tc>
        <w:tc>
          <w:tcPr>
            <w:tcW w:w="1417" w:type="dxa"/>
          </w:tcPr>
          <w:p w:rsidR="00831BE6" w:rsidRDefault="00831BE6" w:rsidP="00D63419">
            <w:pPr>
              <w:pStyle w:val="Tabletext"/>
              <w:spacing w:before="20" w:after="20"/>
              <w:jc w:val="right"/>
            </w:pPr>
            <w:r>
              <w:t>3 000 000</w:t>
            </w:r>
          </w:p>
        </w:tc>
        <w:tc>
          <w:tcPr>
            <w:tcW w:w="1560" w:type="dxa"/>
          </w:tcPr>
          <w:p w:rsidR="00831BE6" w:rsidRDefault="00D63419" w:rsidP="00D63419">
            <w:pPr>
              <w:pStyle w:val="Tabletext"/>
              <w:tabs>
                <w:tab w:val="clear" w:pos="794"/>
                <w:tab w:val="clear" w:pos="1191"/>
                <w:tab w:val="clear" w:pos="1588"/>
                <w:tab w:val="clear" w:pos="1985"/>
                <w:tab w:val="right" w:pos="1151"/>
              </w:tabs>
              <w:spacing w:before="20" w:after="20"/>
            </w:pPr>
            <w:r>
              <w:tab/>
            </w:r>
            <w:r w:rsidR="00831BE6">
              <w:t>0</w:t>
            </w:r>
          </w:p>
        </w:tc>
        <w:tc>
          <w:tcPr>
            <w:tcW w:w="1366" w:type="dxa"/>
          </w:tcPr>
          <w:p w:rsidR="00831BE6" w:rsidRDefault="00D63419" w:rsidP="00D63419">
            <w:pPr>
              <w:pStyle w:val="Tabletext"/>
              <w:tabs>
                <w:tab w:val="clear" w:pos="794"/>
                <w:tab w:val="clear" w:pos="1191"/>
                <w:tab w:val="clear" w:pos="1588"/>
                <w:tab w:val="clear" w:pos="1985"/>
                <w:tab w:val="right" w:pos="1026"/>
              </w:tabs>
              <w:spacing w:before="20" w:after="20"/>
            </w:pPr>
            <w:r>
              <w:tab/>
            </w:r>
            <w:r w:rsidR="00831BE6">
              <w:t>1 562 964</w:t>
            </w:r>
          </w:p>
        </w:tc>
        <w:tc>
          <w:tcPr>
            <w:tcW w:w="1605" w:type="dxa"/>
          </w:tcPr>
          <w:p w:rsidR="00831BE6" w:rsidRDefault="00D63419" w:rsidP="001C44B7">
            <w:pPr>
              <w:pStyle w:val="Tabletext"/>
              <w:tabs>
                <w:tab w:val="clear" w:pos="794"/>
                <w:tab w:val="clear" w:pos="1191"/>
                <w:tab w:val="clear" w:pos="1588"/>
                <w:tab w:val="clear" w:pos="1985"/>
                <w:tab w:val="right" w:pos="1219"/>
              </w:tabs>
              <w:spacing w:before="20" w:after="20"/>
            </w:pPr>
            <w:r>
              <w:tab/>
            </w:r>
            <w:r w:rsidR="00831BE6">
              <w:t>100 370 000</w:t>
            </w:r>
          </w:p>
        </w:tc>
      </w:tr>
      <w:tr w:rsidR="007C0CF3" w:rsidTr="00831BE6">
        <w:tc>
          <w:tcPr>
            <w:tcW w:w="1604" w:type="dxa"/>
          </w:tcPr>
          <w:p w:rsidR="00831BE6" w:rsidRDefault="00831BE6" w:rsidP="00D63419">
            <w:pPr>
              <w:pStyle w:val="Tabletext"/>
              <w:spacing w:before="20" w:after="20"/>
            </w:pPr>
            <w:r>
              <w:t>Cour Varembé</w:t>
            </w:r>
          </w:p>
        </w:tc>
        <w:tc>
          <w:tcPr>
            <w:tcW w:w="2077" w:type="dxa"/>
          </w:tcPr>
          <w:p w:rsidR="00831BE6" w:rsidRDefault="00D63419" w:rsidP="00D63419">
            <w:pPr>
              <w:pStyle w:val="Tabletext"/>
              <w:tabs>
                <w:tab w:val="clear" w:pos="794"/>
                <w:tab w:val="clear" w:pos="1191"/>
                <w:tab w:val="clear" w:pos="1588"/>
                <w:tab w:val="right" w:pos="1685"/>
              </w:tabs>
              <w:spacing w:before="20" w:after="20"/>
            </w:pPr>
            <w:r>
              <w:tab/>
            </w:r>
            <w:r w:rsidR="00831BE6">
              <w:t>90 975 267</w:t>
            </w:r>
          </w:p>
        </w:tc>
        <w:tc>
          <w:tcPr>
            <w:tcW w:w="1417" w:type="dxa"/>
          </w:tcPr>
          <w:p w:rsidR="00831BE6" w:rsidRDefault="00831BE6" w:rsidP="00D63419">
            <w:pPr>
              <w:pStyle w:val="Tabletext"/>
              <w:spacing w:before="20" w:after="20"/>
              <w:jc w:val="right"/>
            </w:pPr>
            <w:r>
              <w:t>0</w:t>
            </w:r>
          </w:p>
        </w:tc>
        <w:tc>
          <w:tcPr>
            <w:tcW w:w="1560" w:type="dxa"/>
          </w:tcPr>
          <w:p w:rsidR="00831BE6" w:rsidRDefault="00D63419" w:rsidP="00D63419">
            <w:pPr>
              <w:pStyle w:val="Tabletext"/>
              <w:tabs>
                <w:tab w:val="clear" w:pos="794"/>
                <w:tab w:val="clear" w:pos="1191"/>
                <w:tab w:val="clear" w:pos="1588"/>
                <w:tab w:val="clear" w:pos="1985"/>
                <w:tab w:val="right" w:pos="1151"/>
              </w:tabs>
              <w:spacing w:before="20" w:after="20"/>
            </w:pPr>
            <w:r>
              <w:tab/>
            </w:r>
            <w:r w:rsidR="00831BE6">
              <w:t>500 000</w:t>
            </w:r>
          </w:p>
        </w:tc>
        <w:tc>
          <w:tcPr>
            <w:tcW w:w="1366" w:type="dxa"/>
          </w:tcPr>
          <w:p w:rsidR="00831BE6" w:rsidRDefault="00D63419" w:rsidP="00D63419">
            <w:pPr>
              <w:pStyle w:val="Tabletext"/>
              <w:tabs>
                <w:tab w:val="clear" w:pos="794"/>
                <w:tab w:val="clear" w:pos="1191"/>
                <w:tab w:val="clear" w:pos="1588"/>
                <w:tab w:val="clear" w:pos="1985"/>
                <w:tab w:val="right" w:pos="1026"/>
              </w:tabs>
              <w:spacing w:before="20" w:after="20"/>
            </w:pPr>
            <w:r>
              <w:tab/>
            </w:r>
            <w:r w:rsidR="00831BE6">
              <w:t>1 043 948</w:t>
            </w:r>
          </w:p>
        </w:tc>
        <w:tc>
          <w:tcPr>
            <w:tcW w:w="1605" w:type="dxa"/>
          </w:tcPr>
          <w:p w:rsidR="00831BE6" w:rsidRDefault="00D63419" w:rsidP="001C44B7">
            <w:pPr>
              <w:pStyle w:val="Tabletext"/>
              <w:tabs>
                <w:tab w:val="clear" w:pos="794"/>
                <w:tab w:val="clear" w:pos="1191"/>
                <w:tab w:val="clear" w:pos="1588"/>
                <w:tab w:val="clear" w:pos="1985"/>
                <w:tab w:val="right" w:pos="1219"/>
              </w:tabs>
              <w:spacing w:before="20" w:after="20"/>
            </w:pPr>
            <w:r>
              <w:tab/>
            </w:r>
            <w:r w:rsidR="00831BE6">
              <w:t>92 520 000</w:t>
            </w:r>
          </w:p>
        </w:tc>
      </w:tr>
    </w:tbl>
    <w:p w:rsidR="00831BE6" w:rsidRDefault="00BC090F" w:rsidP="008003D5">
      <w:pPr>
        <w:pStyle w:val="Normalaftertitle"/>
        <w:rPr>
          <w:lang w:val="fr-CH"/>
        </w:rPr>
      </w:pPr>
      <w:r>
        <w:rPr>
          <w:lang w:val="fr-CH"/>
        </w:rPr>
        <w:t>S'agissant des variations importantes entre les projets retenus en termes de taille et de coûts attendus, l</w:t>
      </w:r>
      <w:r w:rsidR="00831BE6">
        <w:rPr>
          <w:lang w:val="fr-CH"/>
        </w:rPr>
        <w:t>e Secrétariat a expliqué que, dans la mesure où il s'agissait d'un concours international, l'UIT avait choisi, d'une part, de ne pas autoriser les visites sur place afin que les candidats non locaux ne soient pas désavantagés et, d'autre part, d'opter pour des exigences générales en matière de concours afin que les candidats puissent laisser libre cours à leur esprit d'innovation. En outre, certains architectes avaient compris que le budget du projet (publié par un tiers) ne couvrait que la construction et ne comprenait pas tous les autres éléments du projet (démolition, honoraires, relogement temporaire du personnel, systèmes informatiques et audiovisuels, équipements et mobilier).</w:t>
      </w:r>
    </w:p>
    <w:p w:rsidR="008C641C" w:rsidRPr="00BC090F" w:rsidRDefault="00831BE6" w:rsidP="002855C8">
      <w:pPr>
        <w:pStyle w:val="Normalaftertitle"/>
        <w:tabs>
          <w:tab w:val="clear" w:pos="567"/>
          <w:tab w:val="clear" w:pos="1134"/>
          <w:tab w:val="clear" w:pos="1701"/>
          <w:tab w:val="clear" w:pos="2268"/>
          <w:tab w:val="clear" w:pos="2835"/>
        </w:tabs>
        <w:snapToGrid w:val="0"/>
        <w:spacing w:before="120" w:after="120"/>
        <w:rPr>
          <w:rFonts w:asciiTheme="minorHAnsi" w:hAnsiTheme="minorHAnsi"/>
          <w:color w:val="000000" w:themeColor="text1"/>
          <w:szCs w:val="24"/>
        </w:rPr>
      </w:pPr>
      <w:r w:rsidRPr="007B1CB5">
        <w:rPr>
          <w:rFonts w:asciiTheme="minorHAnsi" w:hAnsiTheme="minorHAnsi"/>
          <w:color w:val="000000" w:themeColor="text1"/>
          <w:szCs w:val="24"/>
          <w:lang w:val="fr-CH"/>
        </w:rPr>
        <w:t>1.2</w:t>
      </w:r>
      <w:r w:rsidR="008C641C" w:rsidRPr="007B1CB5">
        <w:rPr>
          <w:rFonts w:asciiTheme="minorHAnsi" w:hAnsiTheme="minorHAnsi"/>
          <w:color w:val="000000" w:themeColor="text1"/>
          <w:szCs w:val="24"/>
          <w:lang w:val="fr-CH"/>
        </w:rPr>
        <w:tab/>
      </w:r>
      <w:bookmarkStart w:id="13" w:name="lt_pId037"/>
      <w:r w:rsidR="00BC090F">
        <w:rPr>
          <w:lang w:val="fr-CH"/>
        </w:rPr>
        <w:t>S'agissant des équipements</w:t>
      </w:r>
      <w:r w:rsidR="007B1CB5">
        <w:rPr>
          <w:lang w:val="fr-CH"/>
        </w:rPr>
        <w:t xml:space="preserve">, le Secrétariat a expliqué que le prêt consenti par la Suisse ne peut être utilisé que pour des éléments "passifs" (groupe CFC 3 de la classification suisse), et non pour des éléments "actifs" (groupe CFC 9). Les éléments du groupe CFC 3 sont ceux considérés comme indissociables de la structure du bâtiment, tandis que les éléments du groupe CFC 9 sont, par exemple, le mobilier ou les équipements amovibles. Le Groupe MSAG a demandé une liste détaillée des éléments pouvant être financés par le prêt et ceux ne pouvant pas l'être </w:t>
      </w:r>
      <w:r w:rsidR="007B1CB5" w:rsidRPr="00516914">
        <w:rPr>
          <w:lang w:val="fr-CH"/>
        </w:rPr>
        <w:t>–</w:t>
      </w:r>
      <w:r w:rsidR="007B1CB5">
        <w:rPr>
          <w:lang w:val="fr-CH"/>
        </w:rPr>
        <w:t xml:space="preserve"> ainsi qu'une estimation des coûts associés à ces éléments.</w:t>
      </w:r>
      <w:bookmarkStart w:id="14" w:name="lt_pId041"/>
      <w:bookmarkEnd w:id="13"/>
      <w:r w:rsidR="00BC090F">
        <w:rPr>
          <w:lang w:val="fr-CH"/>
        </w:rPr>
        <w:t xml:space="preserve"> L'Annexe </w:t>
      </w:r>
      <w:r w:rsidR="008C641C" w:rsidRPr="00BC090F">
        <w:rPr>
          <w:rFonts w:eastAsia="SimSun"/>
          <w:color w:val="000000" w:themeColor="text1"/>
          <w:szCs w:val="24"/>
          <w:lang w:eastAsia="en-AU"/>
        </w:rPr>
        <w:t xml:space="preserve">2 </w:t>
      </w:r>
      <w:r w:rsidR="00BC090F" w:rsidRPr="00BC090F">
        <w:rPr>
          <w:rFonts w:eastAsia="SimSun"/>
          <w:color w:val="000000" w:themeColor="text1"/>
          <w:szCs w:val="24"/>
          <w:lang w:eastAsia="en-AU"/>
        </w:rPr>
        <w:t>du Document</w:t>
      </w:r>
      <w:r w:rsidR="008C641C" w:rsidRPr="00BC090F">
        <w:rPr>
          <w:rFonts w:eastAsia="SimSun"/>
          <w:color w:val="000000" w:themeColor="text1"/>
          <w:szCs w:val="24"/>
          <w:lang w:eastAsia="en-AU"/>
        </w:rPr>
        <w:t xml:space="preserve"> </w:t>
      </w:r>
      <w:hyperlink r:id="rId11" w:history="1">
        <w:r w:rsidR="008C641C" w:rsidRPr="00BC090F">
          <w:rPr>
            <w:rStyle w:val="Hyperlink"/>
            <w:rFonts w:eastAsia="SimSun"/>
            <w:szCs w:val="24"/>
            <w:lang w:eastAsia="en-AU"/>
          </w:rPr>
          <w:t>C19/7</w:t>
        </w:r>
      </w:hyperlink>
      <w:bookmarkEnd w:id="14"/>
      <w:r w:rsidR="00BC090F" w:rsidRPr="00BC090F">
        <w:rPr>
          <w:rFonts w:eastAsia="SimSun"/>
          <w:color w:val="000000" w:themeColor="text1"/>
          <w:szCs w:val="24"/>
          <w:lang w:eastAsia="en-AU"/>
        </w:rPr>
        <w:t xml:space="preserve"> contient des indications générales à cet égard.</w:t>
      </w:r>
      <w:r w:rsidR="00BC090F">
        <w:rPr>
          <w:rFonts w:eastAsia="SimSun"/>
          <w:color w:val="000000" w:themeColor="text1"/>
          <w:szCs w:val="24"/>
          <w:lang w:eastAsia="en-AU"/>
        </w:rPr>
        <w:t xml:space="preserve"> </w:t>
      </w:r>
      <w:r w:rsidR="00BC090F" w:rsidRPr="00BC090F">
        <w:rPr>
          <w:rFonts w:eastAsia="SimSun"/>
          <w:color w:val="000000" w:themeColor="text1"/>
          <w:szCs w:val="24"/>
          <w:lang w:eastAsia="en-AU"/>
        </w:rPr>
        <w:t xml:space="preserve">Le Groupe MSAG a été en mesure </w:t>
      </w:r>
      <w:r w:rsidR="00BC090F">
        <w:rPr>
          <w:rFonts w:eastAsia="SimSun"/>
          <w:color w:val="000000" w:themeColor="text1"/>
          <w:szCs w:val="24"/>
          <w:lang w:eastAsia="en-AU"/>
        </w:rPr>
        <w:t>de recueillir</w:t>
      </w:r>
      <w:r w:rsidR="00BC090F" w:rsidRPr="00BC090F">
        <w:rPr>
          <w:rFonts w:eastAsia="SimSun"/>
          <w:color w:val="000000" w:themeColor="text1"/>
          <w:szCs w:val="24"/>
          <w:lang w:eastAsia="en-AU"/>
        </w:rPr>
        <w:t xml:space="preserve"> des informations plus détaillées </w:t>
      </w:r>
      <w:r w:rsidR="00BC090F">
        <w:rPr>
          <w:rFonts w:eastAsia="SimSun"/>
          <w:color w:val="000000" w:themeColor="text1"/>
          <w:szCs w:val="24"/>
          <w:lang w:eastAsia="en-AU"/>
        </w:rPr>
        <w:t>dans</w:t>
      </w:r>
      <w:r w:rsidR="00BC090F" w:rsidRPr="00BC090F">
        <w:rPr>
          <w:rFonts w:eastAsia="SimSun"/>
          <w:color w:val="000000" w:themeColor="text1"/>
          <w:szCs w:val="24"/>
          <w:lang w:eastAsia="en-AU"/>
        </w:rPr>
        <w:t xml:space="preserve"> la documentation</w:t>
      </w:r>
      <w:r w:rsidR="00BC090F">
        <w:rPr>
          <w:rFonts w:eastAsia="SimSun"/>
          <w:color w:val="000000" w:themeColor="text1"/>
          <w:szCs w:val="24"/>
          <w:lang w:eastAsia="en-AU"/>
        </w:rPr>
        <w:t xml:space="preserve"> fournie par l'architecte au sujet de l'état d'avancement de la phase de conception préalable du projet.</w:t>
      </w:r>
      <w:r w:rsidR="008C641C" w:rsidRPr="00BC090F">
        <w:rPr>
          <w:rFonts w:asciiTheme="minorHAnsi" w:hAnsiTheme="minorHAnsi" w:cstheme="minorHAnsi"/>
          <w:color w:val="000000" w:themeColor="text1"/>
          <w:szCs w:val="24"/>
        </w:rPr>
        <w:t xml:space="preserve"> </w:t>
      </w:r>
    </w:p>
    <w:p w:rsidR="008C641C" w:rsidRPr="007B1CB5" w:rsidRDefault="008C641C" w:rsidP="002855C8">
      <w:pPr>
        <w:pStyle w:val="Normalaftertitle"/>
        <w:tabs>
          <w:tab w:val="clear" w:pos="567"/>
          <w:tab w:val="clear" w:pos="1134"/>
          <w:tab w:val="clear" w:pos="1701"/>
          <w:tab w:val="clear" w:pos="2268"/>
          <w:tab w:val="clear" w:pos="2835"/>
        </w:tabs>
        <w:snapToGrid w:val="0"/>
        <w:spacing w:before="120" w:after="120"/>
        <w:rPr>
          <w:rFonts w:asciiTheme="minorHAnsi" w:hAnsiTheme="minorHAnsi"/>
          <w:color w:val="000000" w:themeColor="text1"/>
          <w:szCs w:val="24"/>
          <w:lang w:val="fr-CH"/>
        </w:rPr>
      </w:pPr>
      <w:r w:rsidRPr="007B1CB5">
        <w:rPr>
          <w:rFonts w:asciiTheme="minorHAnsi" w:hAnsiTheme="minorHAnsi"/>
          <w:color w:val="000000" w:themeColor="text1"/>
          <w:szCs w:val="24"/>
          <w:lang w:val="fr-CH"/>
        </w:rPr>
        <w:t>1.3</w:t>
      </w:r>
      <w:r w:rsidRPr="007B1CB5">
        <w:rPr>
          <w:rFonts w:asciiTheme="minorHAnsi" w:hAnsiTheme="minorHAnsi"/>
          <w:color w:val="000000" w:themeColor="text1"/>
          <w:szCs w:val="24"/>
          <w:lang w:val="fr-CH"/>
        </w:rPr>
        <w:tab/>
      </w:r>
      <w:r w:rsidR="00BC090F">
        <w:rPr>
          <w:rFonts w:asciiTheme="minorHAnsi" w:hAnsiTheme="minorHAnsi"/>
          <w:color w:val="000000" w:themeColor="text1"/>
          <w:szCs w:val="24"/>
          <w:lang w:val="fr-CH"/>
        </w:rPr>
        <w:t>Lors de la cinquième réunion du Groupe MSAG, l</w:t>
      </w:r>
      <w:r w:rsidR="007B1CB5">
        <w:rPr>
          <w:lang w:val="fr-CH"/>
        </w:rPr>
        <w:t>a FIPOI a expliqué que, s'il le fallait pour la qualité du projet, un report d'une année à ce stade ne serait en principe</w:t>
      </w:r>
      <w:r w:rsidR="008F6C93">
        <w:rPr>
          <w:lang w:val="fr-CH"/>
        </w:rPr>
        <w:t xml:space="preserve"> pas un problème pour la Suisse, par exemple pour permettre à l'UIT de p</w:t>
      </w:r>
      <w:r w:rsidR="007B1CB5">
        <w:rPr>
          <w:lang w:val="fr-CH"/>
        </w:rPr>
        <w:t>rocéder à des vérifications formelles du programme.</w:t>
      </w:r>
    </w:p>
    <w:p w:rsidR="008C641C" w:rsidRPr="00971CB2" w:rsidRDefault="008C641C" w:rsidP="002855C8">
      <w:pPr>
        <w:pStyle w:val="Normalaftertitle"/>
        <w:tabs>
          <w:tab w:val="clear" w:pos="567"/>
          <w:tab w:val="clear" w:pos="1134"/>
          <w:tab w:val="clear" w:pos="1701"/>
          <w:tab w:val="clear" w:pos="2268"/>
          <w:tab w:val="clear" w:pos="2835"/>
        </w:tabs>
        <w:snapToGrid w:val="0"/>
        <w:spacing w:before="120" w:after="120"/>
        <w:rPr>
          <w:rFonts w:asciiTheme="minorHAnsi" w:hAnsiTheme="minorHAnsi"/>
          <w:color w:val="000000" w:themeColor="text1"/>
          <w:szCs w:val="24"/>
        </w:rPr>
      </w:pPr>
      <w:r w:rsidRPr="00B012AB">
        <w:rPr>
          <w:rFonts w:asciiTheme="minorHAnsi" w:hAnsiTheme="minorHAnsi"/>
          <w:color w:val="000000" w:themeColor="text1"/>
          <w:szCs w:val="24"/>
        </w:rPr>
        <w:t>1.4</w:t>
      </w:r>
      <w:r w:rsidRPr="00B012AB">
        <w:rPr>
          <w:rFonts w:asciiTheme="minorHAnsi" w:hAnsiTheme="minorHAnsi"/>
          <w:color w:val="000000" w:themeColor="text1"/>
          <w:szCs w:val="24"/>
        </w:rPr>
        <w:tab/>
      </w:r>
      <w:bookmarkStart w:id="15" w:name="lt_pId047"/>
      <w:r w:rsidR="00BC090F" w:rsidRPr="00B012AB">
        <w:rPr>
          <w:rFonts w:asciiTheme="minorHAnsi" w:hAnsiTheme="minorHAnsi"/>
          <w:color w:val="000000" w:themeColor="text1"/>
          <w:szCs w:val="24"/>
        </w:rPr>
        <w:t xml:space="preserve">Le Groupe MSAG </w:t>
      </w:r>
      <w:r w:rsidR="006A2EBE">
        <w:rPr>
          <w:rFonts w:asciiTheme="minorHAnsi" w:hAnsiTheme="minorHAnsi"/>
          <w:color w:val="000000" w:themeColor="text1"/>
          <w:szCs w:val="24"/>
        </w:rPr>
        <w:t xml:space="preserve">a </w:t>
      </w:r>
      <w:r w:rsidR="008F6C93">
        <w:rPr>
          <w:rFonts w:asciiTheme="minorHAnsi" w:hAnsiTheme="minorHAnsi"/>
          <w:color w:val="000000" w:themeColor="text1"/>
          <w:szCs w:val="24"/>
        </w:rPr>
        <w:t>reçu les documents concernant</w:t>
      </w:r>
      <w:r w:rsidR="00B012AB" w:rsidRPr="00B012AB">
        <w:rPr>
          <w:rFonts w:asciiTheme="minorHAnsi" w:hAnsiTheme="minorHAnsi"/>
          <w:color w:val="000000" w:themeColor="text1"/>
          <w:szCs w:val="24"/>
        </w:rPr>
        <w:t xml:space="preserve"> l'état d'avancement de la phase de conception préalable immédiatement après </w:t>
      </w:r>
      <w:r w:rsidR="008F6C93">
        <w:rPr>
          <w:rFonts w:asciiTheme="minorHAnsi" w:hAnsiTheme="minorHAnsi"/>
          <w:color w:val="000000" w:themeColor="text1"/>
          <w:szCs w:val="24"/>
        </w:rPr>
        <w:t>leur</w:t>
      </w:r>
      <w:r w:rsidR="00B012AB">
        <w:rPr>
          <w:rFonts w:asciiTheme="minorHAnsi" w:hAnsiTheme="minorHAnsi"/>
          <w:color w:val="000000" w:themeColor="text1"/>
          <w:szCs w:val="24"/>
        </w:rPr>
        <w:t xml:space="preserve"> soumission par l'architecte, le 15 octobre 2018, avant la séance finale de la session de 2018 du Conseil, qui a eu lieu à Dubaï. </w:t>
      </w:r>
      <w:r w:rsidR="00B012AB" w:rsidRPr="00B012AB">
        <w:rPr>
          <w:rFonts w:asciiTheme="minorHAnsi" w:hAnsiTheme="minorHAnsi"/>
          <w:color w:val="000000" w:themeColor="text1"/>
          <w:szCs w:val="24"/>
        </w:rPr>
        <w:t xml:space="preserve">Sur la base de ce résumé, reproduit dans le </w:t>
      </w:r>
      <w:bookmarkStart w:id="16" w:name="lt_pId048"/>
      <w:bookmarkEnd w:id="15"/>
      <w:r w:rsidR="00B012AB" w:rsidRPr="00B012AB">
        <w:rPr>
          <w:rFonts w:asciiTheme="minorHAnsi" w:hAnsiTheme="minorHAnsi"/>
          <w:color w:val="000000" w:themeColor="text1"/>
          <w:szCs w:val="24"/>
        </w:rPr>
        <w:t xml:space="preserve">Document </w:t>
      </w:r>
      <w:hyperlink r:id="rId12" w:history="1">
        <w:r w:rsidRPr="00B012AB">
          <w:rPr>
            <w:rStyle w:val="Hyperlink"/>
            <w:rFonts w:asciiTheme="minorHAnsi" w:hAnsiTheme="minorHAnsi"/>
            <w:szCs w:val="24"/>
          </w:rPr>
          <w:t>C18/123</w:t>
        </w:r>
      </w:hyperlink>
      <w:r w:rsidRPr="00B012AB">
        <w:rPr>
          <w:rStyle w:val="Hyperlink"/>
          <w:rFonts w:asciiTheme="minorHAnsi" w:hAnsiTheme="minorHAnsi"/>
          <w:color w:val="auto"/>
          <w:szCs w:val="24"/>
          <w:u w:val="none"/>
        </w:rPr>
        <w:t>,</w:t>
      </w:r>
      <w:r w:rsidR="007B1CB5" w:rsidRPr="00B012AB">
        <w:rPr>
          <w:rStyle w:val="Hyperlink"/>
          <w:rFonts w:cs="Calibri"/>
          <w:b/>
          <w:color w:val="auto"/>
          <w:sz w:val="22"/>
          <w:szCs w:val="24"/>
          <w:u w:val="none"/>
        </w:rPr>
        <w:t xml:space="preserve"> </w:t>
      </w:r>
      <w:r w:rsidR="00B012AB">
        <w:rPr>
          <w:rFonts w:asciiTheme="minorHAnsi" w:hAnsiTheme="minorHAnsi"/>
          <w:color w:val="000000" w:themeColor="text1"/>
        </w:rPr>
        <w:t>le Conseil a été invité à noter que l'estimation actuelle du coût maximal du projet, en prenant</w:t>
      </w:r>
      <w:r w:rsidR="008F6C93">
        <w:rPr>
          <w:rFonts w:asciiTheme="minorHAnsi" w:hAnsiTheme="minorHAnsi"/>
          <w:color w:val="000000" w:themeColor="text1"/>
        </w:rPr>
        <w:t>,</w:t>
      </w:r>
      <w:r w:rsidR="00B012AB">
        <w:rPr>
          <w:rFonts w:asciiTheme="minorHAnsi" w:hAnsiTheme="minorHAnsi"/>
          <w:color w:val="000000" w:themeColor="text1"/>
        </w:rPr>
        <w:t xml:space="preserve"> pour tous les coûts directs et indirects</w:t>
      </w:r>
      <w:r w:rsidR="008F6C93">
        <w:rPr>
          <w:rFonts w:asciiTheme="minorHAnsi" w:hAnsiTheme="minorHAnsi"/>
          <w:color w:val="000000" w:themeColor="text1"/>
        </w:rPr>
        <w:t>,</w:t>
      </w:r>
      <w:r w:rsidR="00B012AB">
        <w:rPr>
          <w:rFonts w:asciiTheme="minorHAnsi" w:hAnsiTheme="minorHAnsi"/>
          <w:color w:val="000000" w:themeColor="text1"/>
        </w:rPr>
        <w:t xml:space="preserve"> l'estimation la plus élevée, </w:t>
      </w:r>
      <w:r w:rsidR="008F6C93">
        <w:rPr>
          <w:rFonts w:asciiTheme="minorHAnsi" w:hAnsiTheme="minorHAnsi"/>
          <w:color w:val="000000" w:themeColor="text1"/>
        </w:rPr>
        <w:t>était</w:t>
      </w:r>
      <w:r w:rsidR="00B012AB">
        <w:rPr>
          <w:rFonts w:asciiTheme="minorHAnsi" w:hAnsiTheme="minorHAnsi"/>
          <w:color w:val="000000" w:themeColor="text1"/>
        </w:rPr>
        <w:t xml:space="preserve"> de 180 millions CHF.</w:t>
      </w:r>
      <w:r w:rsidR="00B012AB" w:rsidRPr="00B012AB">
        <w:rPr>
          <w:rFonts w:asciiTheme="minorHAnsi" w:hAnsiTheme="minorHAnsi"/>
          <w:color w:val="000000" w:themeColor="text1"/>
        </w:rPr>
        <w:t xml:space="preserve"> </w:t>
      </w:r>
      <w:bookmarkEnd w:id="16"/>
    </w:p>
    <w:p w:rsidR="008C641C" w:rsidRPr="00330AB8" w:rsidRDefault="008C641C" w:rsidP="002855C8">
      <w:pPr>
        <w:pStyle w:val="Normalaftertitle"/>
        <w:tabs>
          <w:tab w:val="clear" w:pos="567"/>
          <w:tab w:val="clear" w:pos="1134"/>
          <w:tab w:val="clear" w:pos="1701"/>
          <w:tab w:val="clear" w:pos="2268"/>
          <w:tab w:val="clear" w:pos="2835"/>
        </w:tabs>
        <w:snapToGrid w:val="0"/>
        <w:spacing w:before="120" w:after="120"/>
        <w:rPr>
          <w:rFonts w:asciiTheme="minorHAnsi" w:hAnsiTheme="minorHAnsi"/>
          <w:color w:val="000000" w:themeColor="text1"/>
          <w:szCs w:val="24"/>
        </w:rPr>
      </w:pPr>
      <w:r w:rsidRPr="00330AB8">
        <w:rPr>
          <w:rFonts w:asciiTheme="minorHAnsi" w:hAnsiTheme="minorHAnsi"/>
          <w:color w:val="000000" w:themeColor="text1"/>
          <w:szCs w:val="24"/>
        </w:rPr>
        <w:lastRenderedPageBreak/>
        <w:t>1.5</w:t>
      </w:r>
      <w:r w:rsidRPr="00330AB8">
        <w:rPr>
          <w:rFonts w:asciiTheme="minorHAnsi" w:hAnsiTheme="minorHAnsi"/>
          <w:color w:val="000000" w:themeColor="text1"/>
          <w:szCs w:val="24"/>
        </w:rPr>
        <w:tab/>
      </w:r>
      <w:bookmarkStart w:id="17" w:name="lt_pId050"/>
      <w:r w:rsidR="00A42BB1" w:rsidRPr="00330AB8">
        <w:rPr>
          <w:rFonts w:asciiTheme="minorHAnsi" w:hAnsiTheme="minorHAnsi"/>
          <w:color w:val="000000" w:themeColor="text1"/>
          <w:szCs w:val="24"/>
        </w:rPr>
        <w:t xml:space="preserve">Dans sa Résolution 212 (Dubaï, 2018), la Conférence de plénipotentiaires de 2018 a décidé que le projet serait financé principalement par le prêt prévu conformément à la Décision 588 du Conseil, complété par un fond </w:t>
      </w:r>
      <w:r w:rsidR="00330AB8" w:rsidRPr="00330AB8">
        <w:rPr>
          <w:rFonts w:asciiTheme="minorHAnsi" w:hAnsiTheme="minorHAnsi"/>
          <w:color w:val="000000" w:themeColor="text1"/>
          <w:szCs w:val="24"/>
        </w:rPr>
        <w:t>provisoire (le "Fonds pour le projet de nouveau bâtiment</w:t>
      </w:r>
      <w:r w:rsidR="006A2EBE">
        <w:rPr>
          <w:rFonts w:asciiTheme="minorHAnsi" w:hAnsiTheme="minorHAnsi"/>
          <w:color w:val="000000" w:themeColor="text1"/>
          <w:szCs w:val="24"/>
        </w:rPr>
        <w:t>"</w:t>
      </w:r>
      <w:r w:rsidR="00330AB8" w:rsidRPr="00330AB8">
        <w:rPr>
          <w:rFonts w:asciiTheme="minorHAnsi" w:hAnsiTheme="minorHAnsi"/>
          <w:color w:val="000000" w:themeColor="text1"/>
          <w:szCs w:val="24"/>
        </w:rPr>
        <w:t>)</w:t>
      </w:r>
      <w:r w:rsidR="008F6C93">
        <w:rPr>
          <w:rFonts w:asciiTheme="minorHAnsi" w:hAnsiTheme="minorHAnsi"/>
          <w:color w:val="000000" w:themeColor="text1"/>
          <w:szCs w:val="24"/>
        </w:rPr>
        <w:t>,</w:t>
      </w:r>
      <w:r w:rsidR="00330AB8" w:rsidRPr="00330AB8">
        <w:rPr>
          <w:rFonts w:asciiTheme="minorHAnsi" w:hAnsiTheme="minorHAnsi"/>
          <w:color w:val="000000" w:themeColor="text1"/>
          <w:szCs w:val="24"/>
        </w:rPr>
        <w:t xml:space="preserve"> visant à financer les éléments supplémentaires qui ne peuvent être financés par le prêt, et par les parrainages et dons répondant à des objectifs mutuellement convenus</w:t>
      </w:r>
      <w:r w:rsidRPr="00330AB8">
        <w:rPr>
          <w:rFonts w:asciiTheme="minorHAnsi" w:hAnsiTheme="minorHAnsi"/>
          <w:color w:val="000000" w:themeColor="text1"/>
          <w:szCs w:val="24"/>
        </w:rPr>
        <w:t>.</w:t>
      </w:r>
      <w:bookmarkEnd w:id="17"/>
    </w:p>
    <w:p w:rsidR="007B1CB5" w:rsidRPr="007B1CB5" w:rsidRDefault="008C641C" w:rsidP="002855C8">
      <w:pPr>
        <w:pStyle w:val="Normalaftertitle"/>
        <w:tabs>
          <w:tab w:val="clear" w:pos="567"/>
          <w:tab w:val="clear" w:pos="1134"/>
          <w:tab w:val="clear" w:pos="1701"/>
          <w:tab w:val="clear" w:pos="2268"/>
          <w:tab w:val="clear" w:pos="2835"/>
        </w:tabs>
        <w:snapToGrid w:val="0"/>
        <w:spacing w:before="120" w:after="120"/>
        <w:rPr>
          <w:rFonts w:asciiTheme="minorHAnsi" w:hAnsiTheme="minorHAnsi"/>
          <w:color w:val="000000" w:themeColor="text1"/>
          <w:szCs w:val="24"/>
          <w:lang w:val="fr-CH"/>
        </w:rPr>
      </w:pPr>
      <w:r w:rsidRPr="00330AB8">
        <w:rPr>
          <w:rFonts w:asciiTheme="minorHAnsi" w:hAnsiTheme="minorHAnsi"/>
          <w:color w:val="000000" w:themeColor="text1"/>
          <w:szCs w:val="24"/>
        </w:rPr>
        <w:t>1.6</w:t>
      </w:r>
      <w:r w:rsidRPr="00330AB8">
        <w:rPr>
          <w:rFonts w:asciiTheme="minorHAnsi" w:hAnsiTheme="minorHAnsi"/>
          <w:color w:val="000000" w:themeColor="text1"/>
          <w:szCs w:val="24"/>
        </w:rPr>
        <w:tab/>
      </w:r>
      <w:bookmarkStart w:id="18" w:name="lt_pId052"/>
      <w:r w:rsidR="00330AB8" w:rsidRPr="00330AB8">
        <w:rPr>
          <w:rFonts w:asciiTheme="minorHAnsi" w:hAnsiTheme="minorHAnsi"/>
          <w:color w:val="000000" w:themeColor="text1"/>
          <w:szCs w:val="24"/>
        </w:rPr>
        <w:t xml:space="preserve">A sa </w:t>
      </w:r>
      <w:r w:rsidR="00330AB8" w:rsidRPr="00330AB8">
        <w:rPr>
          <w:rFonts w:asciiTheme="minorHAnsi" w:hAnsiTheme="minorHAnsi"/>
          <w:b/>
          <w:bCs/>
          <w:color w:val="000000" w:themeColor="text1"/>
          <w:szCs w:val="24"/>
        </w:rPr>
        <w:t>sixième réunion</w:t>
      </w:r>
      <w:r w:rsidRPr="00330AB8">
        <w:rPr>
          <w:rFonts w:asciiTheme="minorHAnsi" w:hAnsiTheme="minorHAnsi"/>
          <w:color w:val="000000" w:themeColor="text1"/>
          <w:szCs w:val="24"/>
        </w:rPr>
        <w:t xml:space="preserve"> (28 </w:t>
      </w:r>
      <w:r w:rsidR="00330AB8" w:rsidRPr="00330AB8">
        <w:rPr>
          <w:rFonts w:asciiTheme="minorHAnsi" w:hAnsiTheme="minorHAnsi"/>
          <w:color w:val="000000" w:themeColor="text1"/>
          <w:szCs w:val="24"/>
        </w:rPr>
        <w:t xml:space="preserve">janvier </w:t>
      </w:r>
      <w:r w:rsidRPr="00330AB8">
        <w:rPr>
          <w:rFonts w:asciiTheme="minorHAnsi" w:hAnsiTheme="minorHAnsi"/>
          <w:color w:val="000000" w:themeColor="text1"/>
          <w:szCs w:val="24"/>
        </w:rPr>
        <w:t>2019)</w:t>
      </w:r>
      <w:r w:rsidR="006A2EBE">
        <w:rPr>
          <w:rFonts w:asciiTheme="minorHAnsi" w:hAnsiTheme="minorHAnsi"/>
          <w:color w:val="000000" w:themeColor="text1"/>
          <w:szCs w:val="24"/>
        </w:rPr>
        <w:t>,</w:t>
      </w:r>
      <w:r w:rsidR="00330AB8" w:rsidRPr="00330AB8">
        <w:rPr>
          <w:rFonts w:asciiTheme="minorHAnsi" w:hAnsiTheme="minorHAnsi"/>
          <w:color w:val="000000" w:themeColor="text1"/>
          <w:szCs w:val="24"/>
        </w:rPr>
        <w:t xml:space="preserve"> le</w:t>
      </w:r>
      <w:r w:rsidR="006A2EBE">
        <w:rPr>
          <w:rFonts w:asciiTheme="minorHAnsi" w:hAnsiTheme="minorHAnsi"/>
          <w:color w:val="000000" w:themeColor="text1"/>
          <w:szCs w:val="24"/>
        </w:rPr>
        <w:t xml:space="preserve"> Groupe</w:t>
      </w:r>
      <w:r w:rsidR="00330AB8" w:rsidRPr="00330AB8">
        <w:rPr>
          <w:rFonts w:asciiTheme="minorHAnsi" w:hAnsiTheme="minorHAnsi"/>
          <w:color w:val="000000" w:themeColor="text1"/>
          <w:szCs w:val="24"/>
        </w:rPr>
        <w:t xml:space="preserve"> MSAG a obtenu la confirmation finale que les équipements audiovisuels des salles de conférence faisaient partie de la catégorie CFC 9 et, </w:t>
      </w:r>
      <w:r w:rsidR="008F6C93">
        <w:rPr>
          <w:rFonts w:asciiTheme="minorHAnsi" w:hAnsiTheme="minorHAnsi"/>
          <w:color w:val="000000" w:themeColor="text1"/>
          <w:szCs w:val="24"/>
        </w:rPr>
        <w:t>à ce titre</w:t>
      </w:r>
      <w:r w:rsidR="00330AB8" w:rsidRPr="00330AB8">
        <w:rPr>
          <w:rFonts w:asciiTheme="minorHAnsi" w:hAnsiTheme="minorHAnsi"/>
          <w:color w:val="000000" w:themeColor="text1"/>
          <w:szCs w:val="24"/>
        </w:rPr>
        <w:t xml:space="preserve">, ne pouvaient pas </w:t>
      </w:r>
      <w:r w:rsidR="00330AB8">
        <w:rPr>
          <w:rFonts w:asciiTheme="minorHAnsi" w:hAnsiTheme="minorHAnsi"/>
          <w:color w:val="000000" w:themeColor="text1"/>
          <w:szCs w:val="24"/>
        </w:rPr>
        <w:t>être financés par le prêt</w:t>
      </w:r>
      <w:r w:rsidRPr="00330AB8">
        <w:rPr>
          <w:rFonts w:asciiTheme="minorHAnsi" w:hAnsiTheme="minorHAnsi"/>
          <w:color w:val="000000" w:themeColor="text1"/>
          <w:szCs w:val="24"/>
        </w:rPr>
        <w:t>.</w:t>
      </w:r>
      <w:bookmarkEnd w:id="18"/>
      <w:r w:rsidRPr="00330AB8">
        <w:rPr>
          <w:rFonts w:asciiTheme="minorHAnsi" w:hAnsiTheme="minorHAnsi"/>
          <w:color w:val="000000" w:themeColor="text1"/>
          <w:szCs w:val="24"/>
        </w:rPr>
        <w:t xml:space="preserve"> </w:t>
      </w:r>
      <w:bookmarkStart w:id="19" w:name="lt_pId053"/>
      <w:r w:rsidR="007B1CB5">
        <w:rPr>
          <w:lang w:val="fr-CH"/>
        </w:rPr>
        <w:t xml:space="preserve">Le Secrétariat a confirmé que deux étages ont été retirés du projet retenu dans le cadre du concours (un sous-sol et le 6ème étage de bureaux). </w:t>
      </w:r>
      <w:r w:rsidR="00F04891">
        <w:rPr>
          <w:lang w:val="fr-CH"/>
        </w:rPr>
        <w:t>Le Secrétariat</w:t>
      </w:r>
      <w:r w:rsidR="007B1CB5">
        <w:rPr>
          <w:lang w:val="fr-CH"/>
        </w:rPr>
        <w:t xml:space="preserve"> a refusé la proposition </w:t>
      </w:r>
      <w:r w:rsidR="00330AB8">
        <w:rPr>
          <w:lang w:val="fr-CH"/>
        </w:rPr>
        <w:t>de l'architecte</w:t>
      </w:r>
      <w:r w:rsidR="007B1CB5">
        <w:rPr>
          <w:lang w:val="fr-CH"/>
        </w:rPr>
        <w:t xml:space="preserve"> de supprimer un autre étage de bureaux.</w:t>
      </w:r>
      <w:r w:rsidR="007B1CB5" w:rsidRPr="007B1CB5">
        <w:rPr>
          <w:lang w:val="fr-CH"/>
        </w:rPr>
        <w:t xml:space="preserve"> </w:t>
      </w:r>
      <w:r w:rsidR="00F04891">
        <w:rPr>
          <w:lang w:val="fr-CH"/>
        </w:rPr>
        <w:t>Il</w:t>
      </w:r>
      <w:r w:rsidR="007B1CB5">
        <w:rPr>
          <w:lang w:val="fr-CH"/>
        </w:rPr>
        <w:t xml:space="preserve"> a confirmé </w:t>
      </w:r>
      <w:r w:rsidR="00F04891">
        <w:rPr>
          <w:lang w:val="fr-CH"/>
        </w:rPr>
        <w:t xml:space="preserve">son souhait de conserver </w:t>
      </w:r>
      <w:r w:rsidR="007B1CB5">
        <w:rPr>
          <w:lang w:val="fr-CH"/>
        </w:rPr>
        <w:t>les 723 p</w:t>
      </w:r>
      <w:r w:rsidR="00364CC8">
        <w:rPr>
          <w:lang w:val="fr-CH"/>
        </w:rPr>
        <w:t>ostes de travail indiqué</w:t>
      </w:r>
      <w:r w:rsidR="007B1CB5">
        <w:rPr>
          <w:lang w:val="fr-CH"/>
        </w:rPr>
        <w:t xml:space="preserve">s dans le programme </w:t>
      </w:r>
      <w:r w:rsidR="008F6C93">
        <w:rPr>
          <w:lang w:val="fr-CH"/>
        </w:rPr>
        <w:t>initial</w:t>
      </w:r>
      <w:r w:rsidR="007B1CB5">
        <w:rPr>
          <w:lang w:val="fr-CH"/>
        </w:rPr>
        <w:t xml:space="preserve"> (</w:t>
      </w:r>
      <w:r w:rsidR="00F04891">
        <w:rPr>
          <w:lang w:val="fr-CH"/>
        </w:rPr>
        <w:t>contrairement à la</w:t>
      </w:r>
      <w:r w:rsidR="007B1CB5">
        <w:rPr>
          <w:lang w:val="fr-CH"/>
        </w:rPr>
        <w:t xml:space="preserve"> proposition faite par l'architecte d'utiliser un taux d'occupation de 80% comme valeur reposant sur les bonnes pratiques</w:t>
      </w:r>
      <w:r w:rsidR="00F04891">
        <w:rPr>
          <w:lang w:val="fr-CH"/>
        </w:rPr>
        <w:t xml:space="preserve"> pour les bureaux paysagers</w:t>
      </w:r>
      <w:r w:rsidR="007B1CB5">
        <w:rPr>
          <w:lang w:val="fr-CH"/>
        </w:rPr>
        <w:t>)</w:t>
      </w:r>
      <w:r w:rsidR="000F4FF1">
        <w:rPr>
          <w:lang w:val="fr-CH"/>
        </w:rPr>
        <w:t xml:space="preserve"> et a indiqué que c</w:t>
      </w:r>
      <w:r w:rsidR="007B1CB5">
        <w:rPr>
          <w:lang w:val="fr-CH"/>
        </w:rPr>
        <w:t xml:space="preserve">es places </w:t>
      </w:r>
      <w:r w:rsidR="000F4FF1">
        <w:rPr>
          <w:lang w:val="fr-CH"/>
        </w:rPr>
        <w:t>n'étaient</w:t>
      </w:r>
      <w:r w:rsidR="007B1CB5">
        <w:rPr>
          <w:lang w:val="fr-CH"/>
        </w:rPr>
        <w:t xml:space="preserve"> pas réservées exclusivement au </w:t>
      </w:r>
      <w:r w:rsidR="008F6C93">
        <w:rPr>
          <w:lang w:val="fr-CH"/>
        </w:rPr>
        <w:t>S</w:t>
      </w:r>
      <w:r w:rsidR="000F4FF1">
        <w:rPr>
          <w:lang w:val="fr-CH"/>
        </w:rPr>
        <w:t xml:space="preserve">ecrétariat, mais seraient </w:t>
      </w:r>
      <w:r w:rsidR="007B1CB5">
        <w:rPr>
          <w:lang w:val="fr-CH"/>
        </w:rPr>
        <w:t>également utilisées pour accueillir des stagiaires, des participants au Programme des administrateurs auxiliaires (JPO)</w:t>
      </w:r>
      <w:r w:rsidR="008F6C93">
        <w:rPr>
          <w:lang w:val="fr-CH"/>
        </w:rPr>
        <w:t xml:space="preserve"> et</w:t>
      </w:r>
      <w:r w:rsidR="007B1CB5">
        <w:rPr>
          <w:lang w:val="fr-CH"/>
        </w:rPr>
        <w:t xml:space="preserve"> des </w:t>
      </w:r>
      <w:r w:rsidR="007B1CB5" w:rsidRPr="00BC4928">
        <w:rPr>
          <w:lang w:val="fr-CH"/>
        </w:rPr>
        <w:t>prestataire</w:t>
      </w:r>
      <w:r w:rsidR="007B1CB5">
        <w:rPr>
          <w:lang w:val="fr-CH"/>
        </w:rPr>
        <w:t>s</w:t>
      </w:r>
      <w:r w:rsidR="007B1CB5" w:rsidRPr="00BC4928">
        <w:rPr>
          <w:lang w:val="fr-CH"/>
        </w:rPr>
        <w:t xml:space="preserve"> au bénéfice </w:t>
      </w:r>
      <w:r w:rsidR="008F6C93">
        <w:rPr>
          <w:lang w:val="fr-CH"/>
        </w:rPr>
        <w:t xml:space="preserve">de contrats d'engagement spéciaux (SSA) </w:t>
      </w:r>
      <w:r w:rsidR="007B1CB5">
        <w:rPr>
          <w:lang w:val="fr-CH"/>
        </w:rPr>
        <w:t xml:space="preserve">et </w:t>
      </w:r>
      <w:r w:rsidR="000F4FF1">
        <w:rPr>
          <w:lang w:val="fr-CH"/>
        </w:rPr>
        <w:t>permettraient</w:t>
      </w:r>
      <w:r w:rsidR="007B1CB5">
        <w:rPr>
          <w:lang w:val="fr-CH"/>
        </w:rPr>
        <w:t xml:space="preserve"> de s'adapter aux besoins pour les 100 prochaines années.</w:t>
      </w:r>
    </w:p>
    <w:bookmarkEnd w:id="19"/>
    <w:p w:rsidR="002855C8" w:rsidRDefault="002855C8" w:rsidP="002855C8">
      <w:pPr>
        <w:pStyle w:val="Normalaftertitle"/>
        <w:tabs>
          <w:tab w:val="clear" w:pos="567"/>
          <w:tab w:val="clear" w:pos="1134"/>
          <w:tab w:val="clear" w:pos="1701"/>
          <w:tab w:val="clear" w:pos="2268"/>
          <w:tab w:val="clear" w:pos="2835"/>
        </w:tabs>
        <w:snapToGrid w:val="0"/>
        <w:spacing w:before="120" w:after="120"/>
        <w:rPr>
          <w:rFonts w:asciiTheme="minorHAnsi" w:hAnsiTheme="minorHAnsi"/>
          <w:color w:val="000000" w:themeColor="text1"/>
          <w:szCs w:val="24"/>
          <w:lang w:val="fr-CH"/>
        </w:rPr>
      </w:pPr>
      <w:r>
        <w:rPr>
          <w:rFonts w:asciiTheme="minorHAnsi" w:hAnsiTheme="minorHAnsi"/>
          <w:color w:val="000000" w:themeColor="text1"/>
          <w:szCs w:val="24"/>
          <w:lang w:val="fr-CH"/>
        </w:rPr>
        <w:br w:type="page"/>
      </w:r>
    </w:p>
    <w:p w:rsidR="008C641C" w:rsidRPr="007B1CB5" w:rsidRDefault="008C641C" w:rsidP="002855C8">
      <w:pPr>
        <w:pStyle w:val="Normalaftertitle"/>
        <w:tabs>
          <w:tab w:val="clear" w:pos="567"/>
          <w:tab w:val="clear" w:pos="1134"/>
          <w:tab w:val="clear" w:pos="1701"/>
          <w:tab w:val="clear" w:pos="2268"/>
          <w:tab w:val="clear" w:pos="2835"/>
        </w:tabs>
        <w:snapToGrid w:val="0"/>
        <w:spacing w:before="120" w:after="120"/>
        <w:rPr>
          <w:rFonts w:asciiTheme="minorHAnsi" w:hAnsiTheme="minorHAnsi"/>
          <w:color w:val="000000" w:themeColor="text1"/>
          <w:szCs w:val="24"/>
          <w:lang w:val="fr-CH"/>
        </w:rPr>
      </w:pPr>
      <w:r w:rsidRPr="007B1CB5">
        <w:rPr>
          <w:rFonts w:asciiTheme="minorHAnsi" w:hAnsiTheme="minorHAnsi"/>
          <w:color w:val="000000" w:themeColor="text1"/>
          <w:szCs w:val="24"/>
          <w:lang w:val="fr-CH"/>
        </w:rPr>
        <w:lastRenderedPageBreak/>
        <w:t>1.7</w:t>
      </w:r>
      <w:r w:rsidRPr="007B1CB5">
        <w:rPr>
          <w:rFonts w:asciiTheme="minorHAnsi" w:hAnsiTheme="minorHAnsi"/>
          <w:color w:val="000000" w:themeColor="text1"/>
          <w:szCs w:val="24"/>
          <w:lang w:val="fr-CH"/>
        </w:rPr>
        <w:tab/>
      </w:r>
      <w:r w:rsidR="007B1CB5">
        <w:rPr>
          <w:lang w:val="fr-CH"/>
        </w:rPr>
        <w:t>Le</w:t>
      </w:r>
      <w:r w:rsidR="000F4FF1">
        <w:rPr>
          <w:lang w:val="fr-CH"/>
        </w:rPr>
        <w:t xml:space="preserve"> Secrétariat a expliqué </w:t>
      </w:r>
      <w:r w:rsidR="00445298">
        <w:rPr>
          <w:lang w:val="fr-CH"/>
        </w:rPr>
        <w:t>que</w:t>
      </w:r>
      <w:r w:rsidR="000F4FF1">
        <w:rPr>
          <w:lang w:val="fr-CH"/>
        </w:rPr>
        <w:t xml:space="preserve">, </w:t>
      </w:r>
      <w:r w:rsidR="00445298">
        <w:rPr>
          <w:lang w:val="fr-CH"/>
        </w:rPr>
        <w:t xml:space="preserve">conformément aux accords de pays hôte, les </w:t>
      </w:r>
      <w:r w:rsidR="007B1CB5">
        <w:rPr>
          <w:lang w:val="fr-CH"/>
        </w:rPr>
        <w:t xml:space="preserve">manifestations </w:t>
      </w:r>
      <w:r w:rsidR="00445298">
        <w:rPr>
          <w:lang w:val="fr-CH"/>
        </w:rPr>
        <w:t>qui devront peut-être</w:t>
      </w:r>
      <w:r w:rsidR="008F6C93">
        <w:rPr>
          <w:lang w:val="fr-CH"/>
        </w:rPr>
        <w:t xml:space="preserve"> être organisées</w:t>
      </w:r>
      <w:r w:rsidR="000F4FF1">
        <w:rPr>
          <w:lang w:val="fr-CH"/>
        </w:rPr>
        <w:t xml:space="preserve"> ailleurs </w:t>
      </w:r>
      <w:r w:rsidR="007B1CB5">
        <w:rPr>
          <w:lang w:val="fr-CH"/>
        </w:rPr>
        <w:t>en raison des nuisances sonores dues aux travaux de construction</w:t>
      </w:r>
      <w:r w:rsidR="000F4FF1">
        <w:rPr>
          <w:lang w:val="fr-CH"/>
        </w:rPr>
        <w:t xml:space="preserve">, </w:t>
      </w:r>
      <w:r w:rsidR="00F9210C">
        <w:rPr>
          <w:lang w:val="fr-CH"/>
        </w:rPr>
        <w:t xml:space="preserve">qui exigeront </w:t>
      </w:r>
      <w:r w:rsidR="008F6C93">
        <w:rPr>
          <w:lang w:val="fr-CH"/>
        </w:rPr>
        <w:t>la fermeture d</w:t>
      </w:r>
      <w:r w:rsidR="00F9210C">
        <w:rPr>
          <w:lang w:val="fr-CH"/>
        </w:rPr>
        <w:t>es salles de réunion du siège</w:t>
      </w:r>
      <w:r w:rsidR="00445298">
        <w:rPr>
          <w:lang w:val="fr-CH"/>
        </w:rPr>
        <w:t>, seront financées par les États Membres</w:t>
      </w:r>
      <w:r w:rsidR="007B1CB5">
        <w:rPr>
          <w:lang w:val="fr-CH"/>
        </w:rPr>
        <w:t xml:space="preserve">. En particulier, le pays hôte doit prendre à sa charge toutes les dépenses </w:t>
      </w:r>
      <w:r w:rsidR="00D400C2">
        <w:rPr>
          <w:lang w:val="fr-CH"/>
        </w:rPr>
        <w:t xml:space="preserve">encourues </w:t>
      </w:r>
      <w:r w:rsidR="007B1CB5">
        <w:rPr>
          <w:lang w:val="fr-CH"/>
        </w:rPr>
        <w:t xml:space="preserve">par l'UIT (par exemple, </w:t>
      </w:r>
      <w:r w:rsidR="007B1CB5" w:rsidRPr="008C2FAB">
        <w:rPr>
          <w:lang w:val="fr-CH"/>
        </w:rPr>
        <w:t>frais de voyage et indemnité journalière de subsistance</w:t>
      </w:r>
      <w:r w:rsidR="007B1CB5">
        <w:rPr>
          <w:lang w:val="fr-CH"/>
        </w:rPr>
        <w:t>)</w:t>
      </w:r>
      <w:r w:rsidR="00364CC8">
        <w:rPr>
          <w:lang w:val="fr-CH"/>
        </w:rPr>
        <w:t xml:space="preserve"> lorsqu'une manifestation est organisée en dehors de Genève</w:t>
      </w:r>
      <w:r w:rsidR="007B1CB5">
        <w:rPr>
          <w:lang w:val="fr-CH"/>
        </w:rPr>
        <w:t>.</w:t>
      </w:r>
    </w:p>
    <w:p w:rsidR="008C641C" w:rsidRPr="00E21630" w:rsidRDefault="008C641C" w:rsidP="002855C8">
      <w:pPr>
        <w:pStyle w:val="Normalaftertitle"/>
        <w:tabs>
          <w:tab w:val="clear" w:pos="567"/>
          <w:tab w:val="clear" w:pos="1134"/>
          <w:tab w:val="clear" w:pos="1701"/>
          <w:tab w:val="clear" w:pos="2268"/>
          <w:tab w:val="clear" w:pos="2835"/>
        </w:tabs>
        <w:snapToGrid w:val="0"/>
        <w:spacing w:before="120" w:after="120"/>
        <w:rPr>
          <w:rFonts w:asciiTheme="minorHAnsi" w:hAnsiTheme="minorHAnsi"/>
          <w:color w:val="000000" w:themeColor="text1"/>
          <w:szCs w:val="24"/>
        </w:rPr>
      </w:pPr>
      <w:r w:rsidRPr="00F9210C">
        <w:rPr>
          <w:rFonts w:asciiTheme="minorHAnsi" w:hAnsiTheme="minorHAnsi"/>
          <w:color w:val="000000" w:themeColor="text1"/>
          <w:szCs w:val="24"/>
          <w:lang w:val="fr-CH"/>
        </w:rPr>
        <w:t>1.8</w:t>
      </w:r>
      <w:r w:rsidRPr="00F9210C">
        <w:rPr>
          <w:rFonts w:asciiTheme="minorHAnsi" w:hAnsiTheme="minorHAnsi"/>
          <w:color w:val="000000" w:themeColor="text1"/>
          <w:szCs w:val="24"/>
          <w:lang w:val="fr-CH"/>
        </w:rPr>
        <w:tab/>
      </w:r>
      <w:bookmarkStart w:id="20" w:name="lt_pId060"/>
      <w:r w:rsidR="00F9210C" w:rsidRPr="00F9210C">
        <w:rPr>
          <w:rFonts w:asciiTheme="minorHAnsi" w:hAnsiTheme="minorHAnsi"/>
          <w:color w:val="000000" w:themeColor="text1"/>
          <w:szCs w:val="24"/>
          <w:lang w:val="fr-CH"/>
        </w:rPr>
        <w:t xml:space="preserve">La </w:t>
      </w:r>
      <w:r w:rsidR="00F9210C" w:rsidRPr="00F9210C">
        <w:rPr>
          <w:rFonts w:asciiTheme="minorHAnsi" w:hAnsiTheme="minorHAnsi"/>
          <w:b/>
          <w:bCs/>
          <w:color w:val="000000" w:themeColor="text1"/>
          <w:szCs w:val="24"/>
          <w:lang w:val="fr-CH"/>
        </w:rPr>
        <w:t>septième réunion</w:t>
      </w:r>
      <w:r w:rsidR="00F9210C" w:rsidRPr="00F9210C">
        <w:rPr>
          <w:rFonts w:asciiTheme="minorHAnsi" w:hAnsiTheme="minorHAnsi"/>
          <w:color w:val="000000" w:themeColor="text1"/>
          <w:szCs w:val="24"/>
          <w:lang w:val="fr-CH"/>
        </w:rPr>
        <w:t xml:space="preserve"> (15 avril 2019) du Groupe MSAG s'est tenue à la suite de la</w:t>
      </w:r>
      <w:r w:rsidR="000C7318">
        <w:rPr>
          <w:rFonts w:asciiTheme="minorHAnsi" w:hAnsiTheme="minorHAnsi"/>
          <w:color w:val="000000" w:themeColor="text1"/>
          <w:szCs w:val="24"/>
          <w:lang w:val="fr-CH"/>
        </w:rPr>
        <w:t xml:space="preserve"> </w:t>
      </w:r>
      <w:r w:rsidR="008F6C93">
        <w:rPr>
          <w:rFonts w:asciiTheme="minorHAnsi" w:hAnsiTheme="minorHAnsi"/>
          <w:color w:val="000000" w:themeColor="text1"/>
          <w:szCs w:val="24"/>
          <w:lang w:val="fr-CH"/>
        </w:rPr>
        <w:t>présentation</w:t>
      </w:r>
      <w:r w:rsidR="000C7318">
        <w:rPr>
          <w:rFonts w:asciiTheme="minorHAnsi" w:hAnsiTheme="minorHAnsi"/>
          <w:color w:val="000000" w:themeColor="text1"/>
          <w:szCs w:val="24"/>
          <w:lang w:val="fr-CH"/>
        </w:rPr>
        <w:t xml:space="preserve">, par l'architecte, de l'état d'avancement de la phase </w:t>
      </w:r>
      <w:r w:rsidR="002855C8">
        <w:rPr>
          <w:rFonts w:asciiTheme="minorHAnsi" w:hAnsiTheme="minorHAnsi"/>
          <w:color w:val="000000" w:themeColor="text1"/>
          <w:szCs w:val="24"/>
          <w:lang w:val="fr-CH"/>
        </w:rPr>
        <w:t>de conception préalable, le</w:t>
      </w:r>
      <w:r w:rsidR="00FB4870">
        <w:rPr>
          <w:rFonts w:asciiTheme="minorHAnsi" w:hAnsiTheme="minorHAnsi"/>
          <w:color w:val="000000" w:themeColor="text1"/>
          <w:szCs w:val="24"/>
          <w:lang w:val="fr-CH"/>
        </w:rPr>
        <w:t> </w:t>
      </w:r>
      <w:r w:rsidR="002855C8">
        <w:rPr>
          <w:rFonts w:asciiTheme="minorHAnsi" w:hAnsiTheme="minorHAnsi"/>
          <w:color w:val="000000" w:themeColor="text1"/>
          <w:szCs w:val="24"/>
          <w:lang w:val="fr-CH"/>
        </w:rPr>
        <w:t>1</w:t>
      </w:r>
      <w:r w:rsidR="002855C8" w:rsidRPr="002855C8">
        <w:rPr>
          <w:rFonts w:asciiTheme="minorHAnsi" w:hAnsiTheme="minorHAnsi"/>
          <w:color w:val="000000" w:themeColor="text1"/>
          <w:szCs w:val="24"/>
          <w:lang w:val="fr-CH"/>
        </w:rPr>
        <w:t>er </w:t>
      </w:r>
      <w:r w:rsidR="000C7318">
        <w:rPr>
          <w:rFonts w:asciiTheme="minorHAnsi" w:hAnsiTheme="minorHAnsi"/>
          <w:color w:val="000000" w:themeColor="text1"/>
          <w:szCs w:val="24"/>
          <w:lang w:val="fr-CH"/>
        </w:rPr>
        <w:t xml:space="preserve">avril </w:t>
      </w:r>
      <w:r w:rsidRPr="00F9210C">
        <w:rPr>
          <w:rFonts w:asciiTheme="minorHAnsi" w:hAnsiTheme="minorHAnsi"/>
          <w:color w:val="000000" w:themeColor="text1"/>
          <w:szCs w:val="24"/>
          <w:lang w:val="fr-CH"/>
        </w:rPr>
        <w:t>20</w:t>
      </w:r>
      <w:bookmarkStart w:id="21" w:name="lt_pId061"/>
      <w:bookmarkEnd w:id="20"/>
      <w:r w:rsidR="000C7318">
        <w:rPr>
          <w:rFonts w:asciiTheme="minorHAnsi" w:hAnsiTheme="minorHAnsi"/>
          <w:color w:val="000000" w:themeColor="text1"/>
          <w:szCs w:val="24"/>
          <w:lang w:val="fr-CH"/>
        </w:rPr>
        <w:t xml:space="preserve">19. </w:t>
      </w:r>
      <w:r w:rsidR="000C7318" w:rsidRPr="000C7318">
        <w:rPr>
          <w:rFonts w:asciiTheme="minorHAnsi" w:hAnsiTheme="minorHAnsi"/>
          <w:color w:val="000000" w:themeColor="text1"/>
          <w:szCs w:val="24"/>
        </w:rPr>
        <w:t>Le Secrétaire général de l'UIT, Houlin Zhao, a prononcé une allocution d'ouverture lors de la réunion, exprimant ses remerciements</w:t>
      </w:r>
      <w:r w:rsidR="000C7318">
        <w:rPr>
          <w:rFonts w:asciiTheme="minorHAnsi" w:hAnsiTheme="minorHAnsi"/>
          <w:color w:val="000000" w:themeColor="text1"/>
          <w:szCs w:val="24"/>
        </w:rPr>
        <w:t xml:space="preserve"> au Groupe MSAG </w:t>
      </w:r>
      <w:r w:rsidR="00E21630">
        <w:rPr>
          <w:rFonts w:asciiTheme="minorHAnsi" w:hAnsiTheme="minorHAnsi"/>
          <w:color w:val="000000" w:themeColor="text1"/>
          <w:szCs w:val="24"/>
        </w:rPr>
        <w:t xml:space="preserve">pour les travaux exigeants qu'il réalise dans le cadre de ce projet complexe aux aspects multiples et </w:t>
      </w:r>
      <w:r w:rsidR="00364CC8">
        <w:rPr>
          <w:rFonts w:asciiTheme="minorHAnsi" w:hAnsiTheme="minorHAnsi"/>
          <w:color w:val="000000" w:themeColor="text1"/>
          <w:szCs w:val="24"/>
        </w:rPr>
        <w:t xml:space="preserve">indiquant qu'il garantissait </w:t>
      </w:r>
      <w:r w:rsidR="00E21630">
        <w:rPr>
          <w:rFonts w:asciiTheme="minorHAnsi" w:hAnsiTheme="minorHAnsi"/>
          <w:color w:val="000000" w:themeColor="text1"/>
          <w:szCs w:val="24"/>
        </w:rPr>
        <w:t>au Groupe une transparence totale.</w:t>
      </w:r>
      <w:bookmarkEnd w:id="21"/>
      <w:r w:rsidRPr="00E21630">
        <w:rPr>
          <w:rFonts w:asciiTheme="minorHAnsi" w:hAnsiTheme="minorHAnsi"/>
          <w:color w:val="000000" w:themeColor="text1"/>
          <w:szCs w:val="24"/>
        </w:rPr>
        <w:t xml:space="preserve"> </w:t>
      </w:r>
    </w:p>
    <w:p w:rsidR="008C641C" w:rsidRPr="00E21630" w:rsidRDefault="008C641C" w:rsidP="002855C8">
      <w:pPr>
        <w:pStyle w:val="Normalaftertitle"/>
        <w:tabs>
          <w:tab w:val="clear" w:pos="567"/>
          <w:tab w:val="clear" w:pos="1134"/>
          <w:tab w:val="clear" w:pos="1701"/>
          <w:tab w:val="clear" w:pos="2268"/>
          <w:tab w:val="clear" w:pos="2835"/>
        </w:tabs>
        <w:snapToGrid w:val="0"/>
        <w:spacing w:before="120" w:after="120"/>
        <w:rPr>
          <w:rFonts w:asciiTheme="minorHAnsi" w:hAnsiTheme="minorHAnsi"/>
          <w:color w:val="000000" w:themeColor="text1"/>
          <w:szCs w:val="24"/>
        </w:rPr>
      </w:pPr>
      <w:r w:rsidRPr="00E21630">
        <w:rPr>
          <w:rFonts w:asciiTheme="minorHAnsi" w:hAnsiTheme="minorHAnsi"/>
          <w:color w:val="000000" w:themeColor="text1"/>
          <w:szCs w:val="24"/>
        </w:rPr>
        <w:t>1.9</w:t>
      </w:r>
      <w:r w:rsidRPr="00E21630">
        <w:rPr>
          <w:rFonts w:asciiTheme="minorHAnsi" w:hAnsiTheme="minorHAnsi"/>
          <w:color w:val="000000" w:themeColor="text1"/>
          <w:szCs w:val="24"/>
        </w:rPr>
        <w:tab/>
      </w:r>
      <w:bookmarkStart w:id="22" w:name="lt_pId063"/>
      <w:r w:rsidR="00E21630" w:rsidRPr="00E21630">
        <w:rPr>
          <w:rFonts w:asciiTheme="minorHAnsi" w:hAnsiTheme="minorHAnsi"/>
          <w:color w:val="000000" w:themeColor="text1"/>
          <w:szCs w:val="24"/>
        </w:rPr>
        <w:t>Le Secrétaire général sollicitera des retours d'information</w:t>
      </w:r>
      <w:r w:rsidR="008F6C93">
        <w:rPr>
          <w:rFonts w:asciiTheme="minorHAnsi" w:hAnsiTheme="minorHAnsi"/>
          <w:color w:val="000000" w:themeColor="text1"/>
          <w:szCs w:val="24"/>
        </w:rPr>
        <w:t>s</w:t>
      </w:r>
      <w:r w:rsidR="00E21630" w:rsidRPr="00E21630">
        <w:rPr>
          <w:rFonts w:asciiTheme="minorHAnsi" w:hAnsiTheme="minorHAnsi"/>
          <w:color w:val="000000" w:themeColor="text1"/>
          <w:szCs w:val="24"/>
        </w:rPr>
        <w:t xml:space="preserve"> sur le nouveau b</w:t>
      </w:r>
      <w:r w:rsidR="00E21630">
        <w:rPr>
          <w:rFonts w:asciiTheme="minorHAnsi" w:hAnsiTheme="minorHAnsi"/>
          <w:color w:val="000000" w:themeColor="text1"/>
          <w:szCs w:val="24"/>
        </w:rPr>
        <w:t xml:space="preserve">âtiment auprès des États Membres, étant entendu que la conception du projet ne </w:t>
      </w:r>
      <w:r w:rsidR="008F6C93">
        <w:rPr>
          <w:rFonts w:asciiTheme="minorHAnsi" w:hAnsiTheme="minorHAnsi"/>
          <w:color w:val="000000" w:themeColor="text1"/>
          <w:szCs w:val="24"/>
        </w:rPr>
        <w:t>permet</w:t>
      </w:r>
      <w:r w:rsidR="00E21630">
        <w:rPr>
          <w:rFonts w:asciiTheme="minorHAnsi" w:hAnsiTheme="minorHAnsi"/>
          <w:color w:val="000000" w:themeColor="text1"/>
          <w:szCs w:val="24"/>
        </w:rPr>
        <w:t xml:space="preserve"> qu'une souplesse limitée.</w:t>
      </w:r>
      <w:r w:rsidR="00E21630" w:rsidRPr="00E21630">
        <w:rPr>
          <w:rFonts w:asciiTheme="minorHAnsi" w:hAnsiTheme="minorHAnsi"/>
          <w:color w:val="000000" w:themeColor="text1"/>
          <w:szCs w:val="24"/>
        </w:rPr>
        <w:t xml:space="preserve"> </w:t>
      </w:r>
      <w:r w:rsidR="00E21630">
        <w:rPr>
          <w:rFonts w:asciiTheme="minorHAnsi" w:hAnsiTheme="minorHAnsi"/>
          <w:color w:val="000000" w:themeColor="text1"/>
          <w:szCs w:val="24"/>
        </w:rPr>
        <w:t>Il a fait savoir que deux fonctionnaires étaient désormais détachés aux fins du projet</w:t>
      </w:r>
      <w:bookmarkStart w:id="23" w:name="lt_pId064"/>
      <w:bookmarkEnd w:id="22"/>
      <w:r w:rsidR="00E21630">
        <w:rPr>
          <w:rFonts w:asciiTheme="minorHAnsi" w:hAnsiTheme="minorHAnsi"/>
          <w:color w:val="000000" w:themeColor="text1"/>
          <w:szCs w:val="24"/>
        </w:rPr>
        <w:t xml:space="preserve"> (un </w:t>
      </w:r>
      <w:r w:rsidR="008F6C93">
        <w:rPr>
          <w:rFonts w:asciiTheme="minorHAnsi" w:hAnsiTheme="minorHAnsi"/>
          <w:color w:val="000000" w:themeColor="text1"/>
          <w:szCs w:val="24"/>
        </w:rPr>
        <w:t xml:space="preserve">poste </w:t>
      </w:r>
      <w:r w:rsidRPr="00E21630">
        <w:rPr>
          <w:rFonts w:asciiTheme="minorHAnsi" w:hAnsiTheme="minorHAnsi"/>
          <w:color w:val="000000" w:themeColor="text1"/>
          <w:szCs w:val="24"/>
        </w:rPr>
        <w:t>P3</w:t>
      </w:r>
      <w:r w:rsidR="008F6C93">
        <w:rPr>
          <w:rFonts w:asciiTheme="minorHAnsi" w:hAnsiTheme="minorHAnsi"/>
          <w:color w:val="000000" w:themeColor="text1"/>
          <w:szCs w:val="24"/>
        </w:rPr>
        <w:t xml:space="preserve"> et un poste</w:t>
      </w:r>
      <w:r w:rsidRPr="00E21630">
        <w:rPr>
          <w:rFonts w:asciiTheme="minorHAnsi" w:hAnsiTheme="minorHAnsi"/>
          <w:color w:val="000000" w:themeColor="text1"/>
          <w:szCs w:val="24"/>
        </w:rPr>
        <w:t xml:space="preserve"> G6).</w:t>
      </w:r>
      <w:bookmarkEnd w:id="23"/>
      <w:r w:rsidRPr="00E21630">
        <w:rPr>
          <w:rFonts w:asciiTheme="minorHAnsi" w:hAnsiTheme="minorHAnsi"/>
          <w:color w:val="000000" w:themeColor="text1"/>
          <w:szCs w:val="24"/>
        </w:rPr>
        <w:t xml:space="preserve"> </w:t>
      </w:r>
      <w:bookmarkStart w:id="24" w:name="lt_pId065"/>
      <w:r w:rsidR="00E21630" w:rsidRPr="00E21630">
        <w:rPr>
          <w:rFonts w:asciiTheme="minorHAnsi" w:hAnsiTheme="minorHAnsi"/>
          <w:color w:val="000000" w:themeColor="text1"/>
          <w:szCs w:val="24"/>
        </w:rPr>
        <w:t xml:space="preserve">Il </w:t>
      </w:r>
      <w:r w:rsidR="008F6C93">
        <w:rPr>
          <w:rFonts w:asciiTheme="minorHAnsi" w:hAnsiTheme="minorHAnsi"/>
          <w:color w:val="000000" w:themeColor="text1"/>
          <w:szCs w:val="24"/>
        </w:rPr>
        <w:t>soumettra le projet à</w:t>
      </w:r>
      <w:r w:rsidR="00E21630" w:rsidRPr="00E21630">
        <w:rPr>
          <w:rFonts w:asciiTheme="minorHAnsi" w:hAnsiTheme="minorHAnsi"/>
          <w:color w:val="000000" w:themeColor="text1"/>
          <w:szCs w:val="24"/>
        </w:rPr>
        <w:t xml:space="preserve"> l'approbation des États Membres avant d'adresser le deuxième message au pays h</w:t>
      </w:r>
      <w:r w:rsidR="00E21630">
        <w:rPr>
          <w:rFonts w:asciiTheme="minorHAnsi" w:hAnsiTheme="minorHAnsi"/>
          <w:color w:val="000000" w:themeColor="text1"/>
          <w:szCs w:val="24"/>
        </w:rPr>
        <w:t>ôte (il est prévu d'adresser le deuxième message à la FIPOI avant le 21</w:t>
      </w:r>
      <w:r w:rsidR="008F6C93">
        <w:rPr>
          <w:rFonts w:asciiTheme="minorHAnsi" w:hAnsiTheme="minorHAnsi"/>
          <w:color w:val="000000" w:themeColor="text1"/>
          <w:szCs w:val="24"/>
        </w:rPr>
        <w:t xml:space="preserve"> juin 2019 et au P</w:t>
      </w:r>
      <w:r w:rsidR="00E21630">
        <w:rPr>
          <w:rFonts w:asciiTheme="minorHAnsi" w:hAnsiTheme="minorHAnsi"/>
          <w:color w:val="000000" w:themeColor="text1"/>
          <w:szCs w:val="24"/>
        </w:rPr>
        <w:t>arlement avant la fin août 2019)</w:t>
      </w:r>
      <w:r w:rsidRPr="00E21630">
        <w:rPr>
          <w:rFonts w:asciiTheme="minorHAnsi" w:hAnsiTheme="minorHAnsi"/>
          <w:color w:val="000000" w:themeColor="text1"/>
          <w:szCs w:val="24"/>
        </w:rPr>
        <w:t>.</w:t>
      </w:r>
      <w:bookmarkEnd w:id="24"/>
    </w:p>
    <w:p w:rsidR="008C641C" w:rsidRPr="00971CB2" w:rsidRDefault="007B1CB5" w:rsidP="008003D5">
      <w:pPr>
        <w:pStyle w:val="Heading1"/>
        <w:rPr>
          <w:rFonts w:asciiTheme="minorHAnsi" w:hAnsiTheme="minorHAnsi"/>
        </w:rPr>
      </w:pPr>
      <w:r w:rsidRPr="00971CB2">
        <w:rPr>
          <w:rFonts w:asciiTheme="minorHAnsi" w:hAnsiTheme="minorHAnsi"/>
        </w:rPr>
        <w:t>2</w:t>
      </w:r>
      <w:r w:rsidR="008C641C" w:rsidRPr="00971CB2">
        <w:rPr>
          <w:rFonts w:asciiTheme="minorHAnsi" w:hAnsiTheme="minorHAnsi"/>
        </w:rPr>
        <w:tab/>
      </w:r>
      <w:r w:rsidR="00E21630" w:rsidRPr="00971CB2">
        <w:t>Parti architectural</w:t>
      </w:r>
    </w:p>
    <w:p w:rsidR="008C641C" w:rsidRPr="00A707E8" w:rsidRDefault="008C641C" w:rsidP="00FB4870">
      <w:pPr>
        <w:pStyle w:val="Normalaftertitle"/>
        <w:keepNext/>
        <w:keepLines/>
        <w:tabs>
          <w:tab w:val="clear" w:pos="567"/>
          <w:tab w:val="clear" w:pos="1134"/>
          <w:tab w:val="clear" w:pos="1701"/>
          <w:tab w:val="clear" w:pos="2268"/>
          <w:tab w:val="clear" w:pos="2835"/>
        </w:tabs>
        <w:snapToGrid w:val="0"/>
        <w:spacing w:before="120" w:after="120"/>
        <w:rPr>
          <w:rFonts w:asciiTheme="minorHAnsi" w:hAnsiTheme="minorHAnsi"/>
          <w:color w:val="000000" w:themeColor="text1"/>
          <w:szCs w:val="24"/>
        </w:rPr>
      </w:pPr>
      <w:r w:rsidRPr="002F1872">
        <w:rPr>
          <w:rFonts w:asciiTheme="minorHAnsi" w:hAnsiTheme="minorHAnsi"/>
          <w:color w:val="000000" w:themeColor="text1"/>
          <w:szCs w:val="24"/>
        </w:rPr>
        <w:t>2.1</w:t>
      </w:r>
      <w:r w:rsidRPr="002F1872">
        <w:rPr>
          <w:rFonts w:asciiTheme="minorHAnsi" w:hAnsiTheme="minorHAnsi"/>
          <w:color w:val="000000" w:themeColor="text1"/>
          <w:szCs w:val="24"/>
        </w:rPr>
        <w:tab/>
      </w:r>
      <w:bookmarkStart w:id="25" w:name="lt_pId069"/>
      <w:r w:rsidR="002F1872" w:rsidRPr="002F1872">
        <w:rPr>
          <w:rFonts w:asciiTheme="minorHAnsi" w:hAnsiTheme="minorHAnsi"/>
          <w:color w:val="000000" w:themeColor="text1"/>
          <w:szCs w:val="24"/>
        </w:rPr>
        <w:t xml:space="preserve">Lors de sa </w:t>
      </w:r>
      <w:r w:rsidR="002F1872" w:rsidRPr="002F1872">
        <w:rPr>
          <w:rFonts w:asciiTheme="minorHAnsi" w:hAnsiTheme="minorHAnsi"/>
          <w:b/>
          <w:bCs/>
          <w:color w:val="000000" w:themeColor="text1"/>
          <w:szCs w:val="24"/>
        </w:rPr>
        <w:t>septième réunion</w:t>
      </w:r>
      <w:r w:rsidR="002F1872" w:rsidRPr="002F1872">
        <w:rPr>
          <w:rFonts w:asciiTheme="minorHAnsi" w:hAnsiTheme="minorHAnsi"/>
          <w:color w:val="000000" w:themeColor="text1"/>
          <w:szCs w:val="24"/>
        </w:rPr>
        <w:t xml:space="preserve"> (15 avril 2019), le Groupe MSAG a </w:t>
      </w:r>
      <w:r w:rsidR="002F1872">
        <w:rPr>
          <w:rFonts w:asciiTheme="minorHAnsi" w:hAnsiTheme="minorHAnsi"/>
          <w:color w:val="000000" w:themeColor="text1"/>
          <w:szCs w:val="24"/>
        </w:rPr>
        <w:t>examiné les dernières informations soumises par l'architecte concernant l'état d'avancement de la phase préalable du projet et les estimations des coûts correspondant</w:t>
      </w:r>
      <w:r w:rsidR="008F6C93">
        <w:rPr>
          <w:rFonts w:asciiTheme="minorHAnsi" w:hAnsiTheme="minorHAnsi"/>
          <w:color w:val="000000" w:themeColor="text1"/>
          <w:szCs w:val="24"/>
        </w:rPr>
        <w:t>e</w:t>
      </w:r>
      <w:r w:rsidR="002F1872">
        <w:rPr>
          <w:rFonts w:asciiTheme="minorHAnsi" w:hAnsiTheme="minorHAnsi"/>
          <w:color w:val="000000" w:themeColor="text1"/>
          <w:szCs w:val="24"/>
        </w:rPr>
        <w:t xml:space="preserve">s, notant </w:t>
      </w:r>
      <w:r w:rsidR="008F6C93">
        <w:rPr>
          <w:rFonts w:asciiTheme="minorHAnsi" w:hAnsiTheme="minorHAnsi"/>
          <w:color w:val="000000" w:themeColor="text1"/>
          <w:szCs w:val="24"/>
        </w:rPr>
        <w:t xml:space="preserve">qu'à ce stade, la marge d'erreur concernant les </w:t>
      </w:r>
      <w:r w:rsidR="002F1872">
        <w:rPr>
          <w:rFonts w:asciiTheme="minorHAnsi" w:hAnsiTheme="minorHAnsi"/>
          <w:color w:val="000000" w:themeColor="text1"/>
          <w:szCs w:val="24"/>
        </w:rPr>
        <w:t xml:space="preserve">estimations des coûts pour les groupes CFC 1 à 4 </w:t>
      </w:r>
      <w:r w:rsidR="006A2EBE">
        <w:rPr>
          <w:rFonts w:asciiTheme="minorHAnsi" w:hAnsiTheme="minorHAnsi"/>
          <w:color w:val="000000" w:themeColor="text1"/>
          <w:szCs w:val="24"/>
        </w:rPr>
        <w:t>est</w:t>
      </w:r>
      <w:r w:rsidR="002F1872">
        <w:rPr>
          <w:rFonts w:asciiTheme="minorHAnsi" w:hAnsiTheme="minorHAnsi"/>
          <w:color w:val="000000" w:themeColor="text1"/>
          <w:szCs w:val="24"/>
        </w:rPr>
        <w:t xml:space="preserve"> de </w:t>
      </w:r>
      <w:r w:rsidR="008F6C93">
        <w:rPr>
          <w:rFonts w:asciiTheme="minorHAnsi" w:hAnsiTheme="minorHAnsi"/>
          <w:color w:val="000000" w:themeColor="text1"/>
          <w:szCs w:val="24"/>
        </w:rPr>
        <w:t>+/- 15%</w:t>
      </w:r>
      <w:r w:rsidR="002F1872">
        <w:rPr>
          <w:rFonts w:asciiTheme="minorHAnsi" w:hAnsiTheme="minorHAnsi"/>
          <w:color w:val="000000" w:themeColor="text1"/>
          <w:szCs w:val="24"/>
        </w:rPr>
        <w:t>.</w:t>
      </w:r>
      <w:bookmarkEnd w:id="25"/>
      <w:r w:rsidR="00A707E8">
        <w:rPr>
          <w:rFonts w:asciiTheme="minorHAnsi" w:hAnsiTheme="minorHAnsi"/>
          <w:color w:val="000000" w:themeColor="text1"/>
          <w:szCs w:val="24"/>
        </w:rPr>
        <w:t xml:space="preserve"> </w:t>
      </w:r>
      <w:r w:rsidR="00A707E8" w:rsidRPr="00A707E8">
        <w:rPr>
          <w:rFonts w:asciiTheme="minorHAnsi" w:hAnsiTheme="minorHAnsi"/>
          <w:color w:val="000000" w:themeColor="text1"/>
          <w:szCs w:val="24"/>
        </w:rPr>
        <w:t xml:space="preserve">Le Secrétariat estime que </w:t>
      </w:r>
      <w:r w:rsidR="008F6C93">
        <w:rPr>
          <w:rFonts w:asciiTheme="minorHAnsi" w:hAnsiTheme="minorHAnsi"/>
          <w:color w:val="000000" w:themeColor="text1"/>
          <w:szCs w:val="24"/>
        </w:rPr>
        <w:t>cette marge</w:t>
      </w:r>
      <w:r w:rsidR="00A707E8" w:rsidRPr="00A707E8">
        <w:rPr>
          <w:rFonts w:asciiTheme="minorHAnsi" w:hAnsiTheme="minorHAnsi"/>
          <w:color w:val="000000" w:themeColor="text1"/>
          <w:szCs w:val="24"/>
        </w:rPr>
        <w:t xml:space="preserve"> d'erreur </w:t>
      </w:r>
      <w:r w:rsidR="008F6C93">
        <w:rPr>
          <w:rFonts w:asciiTheme="minorHAnsi" w:hAnsiTheme="minorHAnsi"/>
          <w:color w:val="000000" w:themeColor="text1"/>
          <w:szCs w:val="24"/>
        </w:rPr>
        <w:t>est extrêmement prudente</w:t>
      </w:r>
      <w:r w:rsidR="00A707E8" w:rsidRPr="00A707E8">
        <w:rPr>
          <w:rFonts w:asciiTheme="minorHAnsi" w:hAnsiTheme="minorHAnsi"/>
          <w:color w:val="000000" w:themeColor="text1"/>
          <w:szCs w:val="24"/>
        </w:rPr>
        <w:t xml:space="preserve">, car d'importants travaux ont été menés </w:t>
      </w:r>
      <w:r w:rsidR="00A707E8">
        <w:rPr>
          <w:rFonts w:asciiTheme="minorHAnsi" w:hAnsiTheme="minorHAnsi"/>
          <w:color w:val="000000" w:themeColor="text1"/>
          <w:szCs w:val="24"/>
        </w:rPr>
        <w:t xml:space="preserve">afin de </w:t>
      </w:r>
      <w:bookmarkStart w:id="26" w:name="lt_pId070"/>
      <w:r w:rsidR="00A707E8">
        <w:rPr>
          <w:rFonts w:asciiTheme="minorHAnsi" w:hAnsiTheme="minorHAnsi"/>
          <w:color w:val="000000" w:themeColor="text1"/>
          <w:szCs w:val="24"/>
        </w:rPr>
        <w:t>réduire les risques liés aux coûts</w:t>
      </w:r>
      <w:r w:rsidR="008F6C93">
        <w:rPr>
          <w:rFonts w:asciiTheme="minorHAnsi" w:hAnsiTheme="minorHAnsi"/>
          <w:color w:val="000000" w:themeColor="text1"/>
          <w:szCs w:val="24"/>
        </w:rPr>
        <w:t xml:space="preserve"> correspondant </w:t>
      </w:r>
      <w:r w:rsidR="00496538">
        <w:rPr>
          <w:rFonts w:asciiTheme="minorHAnsi" w:hAnsiTheme="minorHAnsi"/>
          <w:color w:val="000000" w:themeColor="text1"/>
          <w:szCs w:val="24"/>
        </w:rPr>
        <w:t>aux groupes CFC 1 à 4</w:t>
      </w:r>
      <w:r w:rsidRPr="00A707E8">
        <w:rPr>
          <w:rFonts w:asciiTheme="minorHAnsi" w:hAnsiTheme="minorHAnsi"/>
          <w:color w:val="000000" w:themeColor="text1"/>
          <w:szCs w:val="24"/>
        </w:rPr>
        <w:t>.</w:t>
      </w:r>
      <w:bookmarkEnd w:id="26"/>
    </w:p>
    <w:p w:rsidR="008C641C" w:rsidRDefault="008C641C" w:rsidP="002855C8">
      <w:pPr>
        <w:pStyle w:val="Normalaftertitle"/>
        <w:tabs>
          <w:tab w:val="clear" w:pos="567"/>
          <w:tab w:val="clear" w:pos="1134"/>
          <w:tab w:val="clear" w:pos="1701"/>
          <w:tab w:val="clear" w:pos="2268"/>
          <w:tab w:val="clear" w:pos="2835"/>
        </w:tabs>
        <w:snapToGrid w:val="0"/>
        <w:spacing w:before="120" w:after="240"/>
        <w:rPr>
          <w:rFonts w:asciiTheme="minorHAnsi" w:hAnsiTheme="minorHAnsi"/>
          <w:color w:val="000000" w:themeColor="text1"/>
          <w:szCs w:val="24"/>
        </w:rPr>
      </w:pPr>
      <w:r w:rsidRPr="00A707E8">
        <w:rPr>
          <w:rFonts w:asciiTheme="minorHAnsi" w:hAnsiTheme="minorHAnsi"/>
          <w:color w:val="000000" w:themeColor="text1"/>
          <w:szCs w:val="24"/>
        </w:rPr>
        <w:t>2.2</w:t>
      </w:r>
      <w:r w:rsidRPr="00A707E8">
        <w:rPr>
          <w:rFonts w:asciiTheme="minorHAnsi" w:hAnsiTheme="minorHAnsi"/>
          <w:color w:val="000000" w:themeColor="text1"/>
          <w:szCs w:val="24"/>
        </w:rPr>
        <w:tab/>
      </w:r>
      <w:bookmarkStart w:id="27" w:name="lt_pId072"/>
      <w:r w:rsidR="00A707E8" w:rsidRPr="00A707E8">
        <w:rPr>
          <w:rFonts w:asciiTheme="minorHAnsi" w:hAnsiTheme="minorHAnsi"/>
          <w:color w:val="000000" w:themeColor="text1"/>
          <w:szCs w:val="24"/>
        </w:rPr>
        <w:t xml:space="preserve">Malgré l'optimisme du Secrétariat, le Groupe MSAG </w:t>
      </w:r>
      <w:r w:rsidR="00A707E8">
        <w:rPr>
          <w:rFonts w:asciiTheme="minorHAnsi" w:hAnsiTheme="minorHAnsi"/>
          <w:color w:val="000000" w:themeColor="text1"/>
          <w:szCs w:val="24"/>
        </w:rPr>
        <w:t xml:space="preserve">craint que le coût total du projet </w:t>
      </w:r>
      <w:r w:rsidR="00496538">
        <w:rPr>
          <w:rFonts w:asciiTheme="minorHAnsi" w:hAnsiTheme="minorHAnsi"/>
          <w:color w:val="000000" w:themeColor="text1"/>
          <w:szCs w:val="24"/>
        </w:rPr>
        <w:t>ne</w:t>
      </w:r>
      <w:r w:rsidR="006A2EBE">
        <w:rPr>
          <w:rFonts w:asciiTheme="minorHAnsi" w:hAnsiTheme="minorHAnsi"/>
          <w:color w:val="000000" w:themeColor="text1"/>
          <w:szCs w:val="24"/>
        </w:rPr>
        <w:t xml:space="preserve"> </w:t>
      </w:r>
      <w:r w:rsidR="00A707E8">
        <w:rPr>
          <w:rFonts w:asciiTheme="minorHAnsi" w:hAnsiTheme="minorHAnsi"/>
          <w:color w:val="000000" w:themeColor="text1"/>
          <w:szCs w:val="24"/>
        </w:rPr>
        <w:t>dépasse largement les estimations présentées dans le D</w:t>
      </w:r>
      <w:r w:rsidRPr="00A707E8">
        <w:rPr>
          <w:rFonts w:asciiTheme="minorHAnsi" w:hAnsiTheme="minorHAnsi"/>
          <w:color w:val="000000" w:themeColor="text1"/>
          <w:szCs w:val="24"/>
        </w:rPr>
        <w:t xml:space="preserve">ocument </w:t>
      </w:r>
      <w:hyperlink r:id="rId13" w:history="1">
        <w:r w:rsidRPr="00A707E8">
          <w:rPr>
            <w:rStyle w:val="Hyperlink"/>
            <w:rFonts w:asciiTheme="minorHAnsi" w:hAnsiTheme="minorHAnsi"/>
            <w:szCs w:val="24"/>
          </w:rPr>
          <w:t>C19/7</w:t>
        </w:r>
      </w:hyperlink>
      <w:r w:rsidRPr="00A707E8">
        <w:rPr>
          <w:rFonts w:asciiTheme="minorHAnsi" w:hAnsiTheme="minorHAnsi"/>
          <w:color w:val="000000" w:themeColor="text1"/>
          <w:szCs w:val="24"/>
        </w:rPr>
        <w:t>.</w:t>
      </w:r>
      <w:bookmarkEnd w:id="27"/>
      <w:r w:rsidRPr="00A707E8">
        <w:rPr>
          <w:rFonts w:asciiTheme="minorHAnsi" w:hAnsiTheme="minorHAnsi"/>
          <w:color w:val="000000" w:themeColor="text1"/>
          <w:szCs w:val="24"/>
        </w:rPr>
        <w:t xml:space="preserve"> </w:t>
      </w:r>
      <w:bookmarkStart w:id="28" w:name="lt_pId073"/>
      <w:r w:rsidR="00A707E8" w:rsidRPr="00A707E8">
        <w:rPr>
          <w:rFonts w:asciiTheme="minorHAnsi" w:hAnsiTheme="minorHAnsi"/>
          <w:color w:val="000000" w:themeColor="text1"/>
          <w:szCs w:val="24"/>
        </w:rPr>
        <w:t xml:space="preserve">Le Groupe MSAG </w:t>
      </w:r>
      <w:r w:rsidR="00364CC8">
        <w:rPr>
          <w:rFonts w:asciiTheme="minorHAnsi" w:hAnsiTheme="minorHAnsi"/>
          <w:color w:val="000000" w:themeColor="text1"/>
          <w:szCs w:val="24"/>
        </w:rPr>
        <w:t xml:space="preserve">a fait </w:t>
      </w:r>
      <w:r w:rsidR="00496538">
        <w:rPr>
          <w:rFonts w:asciiTheme="minorHAnsi" w:hAnsiTheme="minorHAnsi"/>
          <w:color w:val="000000" w:themeColor="text1"/>
          <w:szCs w:val="24"/>
        </w:rPr>
        <w:t>observe</w:t>
      </w:r>
      <w:r w:rsidR="00364CC8">
        <w:rPr>
          <w:rFonts w:asciiTheme="minorHAnsi" w:hAnsiTheme="minorHAnsi"/>
          <w:color w:val="000000" w:themeColor="text1"/>
          <w:szCs w:val="24"/>
        </w:rPr>
        <w:t>r</w:t>
      </w:r>
      <w:r w:rsidR="00A707E8" w:rsidRPr="00A707E8">
        <w:rPr>
          <w:rFonts w:asciiTheme="minorHAnsi" w:hAnsiTheme="minorHAnsi"/>
          <w:color w:val="000000" w:themeColor="text1"/>
          <w:szCs w:val="24"/>
        </w:rPr>
        <w:t xml:space="preserve"> que, depuis que le projet a remporté le concours, le coû</w:t>
      </w:r>
      <w:r w:rsidR="00A707E8">
        <w:rPr>
          <w:rFonts w:asciiTheme="minorHAnsi" w:hAnsiTheme="minorHAnsi"/>
          <w:color w:val="000000" w:themeColor="text1"/>
          <w:szCs w:val="24"/>
        </w:rPr>
        <w:t xml:space="preserve">t des éléments </w:t>
      </w:r>
      <w:r w:rsidR="00496538">
        <w:rPr>
          <w:rFonts w:asciiTheme="minorHAnsi" w:hAnsiTheme="minorHAnsi"/>
          <w:color w:val="000000" w:themeColor="text1"/>
          <w:szCs w:val="24"/>
        </w:rPr>
        <w:t>relevant</w:t>
      </w:r>
      <w:r w:rsidR="00A707E8">
        <w:rPr>
          <w:rFonts w:asciiTheme="minorHAnsi" w:hAnsiTheme="minorHAnsi"/>
          <w:color w:val="000000" w:themeColor="text1"/>
          <w:szCs w:val="24"/>
        </w:rPr>
        <w:t xml:space="preserve"> des groupes CFC 1 à 4 </w:t>
      </w:r>
      <w:r w:rsidR="00364CC8">
        <w:rPr>
          <w:rFonts w:asciiTheme="minorHAnsi" w:hAnsiTheme="minorHAnsi"/>
          <w:color w:val="000000" w:themeColor="text1"/>
          <w:szCs w:val="24"/>
        </w:rPr>
        <w:t xml:space="preserve">était </w:t>
      </w:r>
      <w:r w:rsidR="00A707E8">
        <w:rPr>
          <w:rFonts w:asciiTheme="minorHAnsi" w:hAnsiTheme="minorHAnsi"/>
          <w:color w:val="000000" w:themeColor="text1"/>
          <w:szCs w:val="24"/>
        </w:rPr>
        <w:t xml:space="preserve">resté </w:t>
      </w:r>
      <w:r w:rsidR="00364CC8">
        <w:rPr>
          <w:rFonts w:asciiTheme="minorHAnsi" w:hAnsiTheme="minorHAnsi"/>
          <w:color w:val="000000" w:themeColor="text1"/>
          <w:szCs w:val="24"/>
        </w:rPr>
        <w:t xml:space="preserve">à un </w:t>
      </w:r>
      <w:r w:rsidR="00A707E8">
        <w:rPr>
          <w:rFonts w:asciiTheme="minorHAnsi" w:hAnsiTheme="minorHAnsi"/>
          <w:color w:val="000000" w:themeColor="text1"/>
          <w:szCs w:val="24"/>
        </w:rPr>
        <w:t>niveau</w:t>
      </w:r>
      <w:r w:rsidR="00364CC8">
        <w:rPr>
          <w:rFonts w:asciiTheme="minorHAnsi" w:hAnsiTheme="minorHAnsi"/>
          <w:color w:val="000000" w:themeColor="text1"/>
          <w:szCs w:val="24"/>
        </w:rPr>
        <w:t xml:space="preserve"> similaire</w:t>
      </w:r>
      <w:r w:rsidRPr="00A707E8">
        <w:rPr>
          <w:rFonts w:asciiTheme="minorHAnsi" w:hAnsiTheme="minorHAnsi"/>
          <w:color w:val="000000" w:themeColor="text1"/>
          <w:szCs w:val="24"/>
        </w:rPr>
        <w:t>.</w:t>
      </w:r>
      <w:bookmarkEnd w:id="28"/>
    </w:p>
    <w:p w:rsidR="004C4C05" w:rsidRDefault="004C4C05" w:rsidP="004C4C05">
      <w:r>
        <w:br w:type="page"/>
      </w:r>
    </w:p>
    <w:p w:rsidR="004C4C05" w:rsidRPr="004C4C05" w:rsidRDefault="004C4C05" w:rsidP="004C4C05"/>
    <w:tbl>
      <w:tblPr>
        <w:tblStyle w:val="TableNormal1"/>
        <w:tblW w:w="1020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7"/>
        <w:gridCol w:w="1985"/>
        <w:gridCol w:w="1134"/>
        <w:gridCol w:w="1417"/>
        <w:gridCol w:w="1134"/>
        <w:gridCol w:w="1276"/>
        <w:gridCol w:w="1276"/>
        <w:gridCol w:w="1417"/>
      </w:tblGrid>
      <w:tr w:rsidR="008C641C" w:rsidRPr="00A707E8" w:rsidTr="00F97AFC">
        <w:trPr>
          <w:trHeight w:hRule="exact" w:val="724"/>
          <w:jc w:val="center"/>
        </w:trPr>
        <w:tc>
          <w:tcPr>
            <w:tcW w:w="2552" w:type="dxa"/>
            <w:gridSpan w:val="2"/>
            <w:tcBorders>
              <w:top w:val="nil"/>
              <w:left w:val="nil"/>
            </w:tcBorders>
          </w:tcPr>
          <w:p w:rsidR="008C641C" w:rsidRPr="00A707E8" w:rsidRDefault="008C641C" w:rsidP="008003D5">
            <w:pPr>
              <w:jc w:val="center"/>
            </w:pPr>
          </w:p>
        </w:tc>
        <w:tc>
          <w:tcPr>
            <w:tcW w:w="2551" w:type="dxa"/>
            <w:gridSpan w:val="2"/>
          </w:tcPr>
          <w:p w:rsidR="008C641C" w:rsidRPr="007B1CB5" w:rsidRDefault="00A707E8" w:rsidP="008003D5">
            <w:pPr>
              <w:pStyle w:val="Tablehead"/>
              <w:rPr>
                <w:sz w:val="18"/>
                <w:szCs w:val="18"/>
                <w:lang w:val="en-GB"/>
              </w:rPr>
            </w:pPr>
            <w:bookmarkStart w:id="29" w:name="lt_pId074"/>
            <w:r>
              <w:rPr>
                <w:sz w:val="18"/>
                <w:szCs w:val="18"/>
                <w:lang w:val="en-GB"/>
              </w:rPr>
              <w:t>Estimation</w:t>
            </w:r>
            <w:r w:rsidRPr="00A93DB4">
              <w:rPr>
                <w:sz w:val="18"/>
                <w:szCs w:val="18"/>
                <w:lang w:val="fr-HT"/>
              </w:rPr>
              <w:t xml:space="preserve"> préliminaire</w:t>
            </w:r>
            <w:r w:rsidR="008C641C" w:rsidRPr="007B1CB5">
              <w:rPr>
                <w:sz w:val="18"/>
                <w:szCs w:val="18"/>
                <w:lang w:val="en-GB"/>
              </w:rPr>
              <w:t xml:space="preserve"> 31.05.2018</w:t>
            </w:r>
            <w:bookmarkEnd w:id="29"/>
          </w:p>
        </w:tc>
        <w:tc>
          <w:tcPr>
            <w:tcW w:w="2410" w:type="dxa"/>
            <w:gridSpan w:val="2"/>
          </w:tcPr>
          <w:p w:rsidR="008C641C" w:rsidRPr="00A707E8" w:rsidRDefault="00A707E8" w:rsidP="008003D5">
            <w:pPr>
              <w:pStyle w:val="Tablehead"/>
              <w:rPr>
                <w:sz w:val="18"/>
                <w:szCs w:val="18"/>
              </w:rPr>
            </w:pPr>
            <w:bookmarkStart w:id="30" w:name="lt_pId075"/>
            <w:r w:rsidRPr="00A707E8">
              <w:rPr>
                <w:sz w:val="18"/>
                <w:szCs w:val="18"/>
              </w:rPr>
              <w:t>Estimation provisoire du projet optimisé</w:t>
            </w:r>
            <w:r w:rsidR="008C641C" w:rsidRPr="00A707E8">
              <w:rPr>
                <w:sz w:val="18"/>
                <w:szCs w:val="18"/>
              </w:rPr>
              <w:t xml:space="preserve"> 15.10.2018</w:t>
            </w:r>
            <w:bookmarkEnd w:id="30"/>
          </w:p>
        </w:tc>
        <w:tc>
          <w:tcPr>
            <w:tcW w:w="2693" w:type="dxa"/>
            <w:gridSpan w:val="2"/>
          </w:tcPr>
          <w:p w:rsidR="008C641C" w:rsidRPr="00445298" w:rsidRDefault="00445298" w:rsidP="008003D5">
            <w:pPr>
              <w:pStyle w:val="Tablehead"/>
              <w:rPr>
                <w:sz w:val="18"/>
                <w:szCs w:val="18"/>
              </w:rPr>
            </w:pPr>
            <w:bookmarkStart w:id="31" w:name="lt_pId076"/>
            <w:r w:rsidRPr="00445298">
              <w:rPr>
                <w:sz w:val="18"/>
                <w:szCs w:val="18"/>
              </w:rPr>
              <w:t>Estimation de l'avant-projet au</w:t>
            </w:r>
            <w:r w:rsidR="008C641C" w:rsidRPr="00445298">
              <w:rPr>
                <w:sz w:val="18"/>
                <w:szCs w:val="18"/>
              </w:rPr>
              <w:t xml:space="preserve"> 01.04.2019</w:t>
            </w:r>
            <w:bookmarkEnd w:id="31"/>
          </w:p>
        </w:tc>
      </w:tr>
      <w:tr w:rsidR="008C641C" w:rsidRPr="00684290" w:rsidTr="00F97AFC">
        <w:trPr>
          <w:trHeight w:hRule="exact" w:val="411"/>
          <w:jc w:val="center"/>
        </w:trPr>
        <w:tc>
          <w:tcPr>
            <w:tcW w:w="2552" w:type="dxa"/>
            <w:gridSpan w:val="2"/>
            <w:tcBorders>
              <w:bottom w:val="single" w:sz="2" w:space="0" w:color="000000"/>
              <w:right w:val="double" w:sz="4" w:space="0" w:color="000000"/>
            </w:tcBorders>
            <w:tcMar>
              <w:left w:w="85" w:type="dxa"/>
            </w:tcMar>
          </w:tcPr>
          <w:p w:rsidR="008C641C" w:rsidRPr="00684290" w:rsidRDefault="008C641C" w:rsidP="008003D5">
            <w:pPr>
              <w:pStyle w:val="Tabletext"/>
              <w:rPr>
                <w:sz w:val="16"/>
                <w:szCs w:val="16"/>
                <w:lang w:val="en-GB"/>
              </w:rPr>
            </w:pPr>
            <w:bookmarkStart w:id="32" w:name="lt_pId077"/>
            <w:r w:rsidRPr="00684290">
              <w:rPr>
                <w:sz w:val="16"/>
                <w:szCs w:val="16"/>
                <w:lang w:val="en-GB"/>
              </w:rPr>
              <w:t>Surface (m</w:t>
            </w:r>
            <w:r w:rsidRPr="00684290">
              <w:rPr>
                <w:sz w:val="16"/>
                <w:szCs w:val="16"/>
                <w:vertAlign w:val="superscript"/>
                <w:lang w:val="en-GB"/>
              </w:rPr>
              <w:t>2</w:t>
            </w:r>
            <w:r w:rsidRPr="00684290">
              <w:rPr>
                <w:sz w:val="16"/>
                <w:szCs w:val="16"/>
                <w:lang w:val="en-GB"/>
              </w:rPr>
              <w:t>)</w:t>
            </w:r>
            <w:bookmarkEnd w:id="32"/>
          </w:p>
        </w:tc>
        <w:tc>
          <w:tcPr>
            <w:tcW w:w="2551" w:type="dxa"/>
            <w:gridSpan w:val="2"/>
            <w:tcBorders>
              <w:left w:val="double" w:sz="4" w:space="0" w:color="000000"/>
              <w:bottom w:val="single" w:sz="4" w:space="0" w:color="44546A"/>
            </w:tcBorders>
          </w:tcPr>
          <w:p w:rsidR="008C641C" w:rsidRPr="00684290" w:rsidRDefault="008C641C" w:rsidP="008003D5">
            <w:pPr>
              <w:pStyle w:val="Tabletext"/>
              <w:jc w:val="center"/>
              <w:rPr>
                <w:sz w:val="16"/>
                <w:szCs w:val="16"/>
                <w:lang w:val="en-GB"/>
              </w:rPr>
            </w:pPr>
            <w:r w:rsidRPr="00684290">
              <w:rPr>
                <w:sz w:val="16"/>
                <w:szCs w:val="16"/>
                <w:lang w:val="en-GB"/>
              </w:rPr>
              <w:t>31</w:t>
            </w:r>
            <w:r w:rsidR="007B1CB5" w:rsidRPr="00684290">
              <w:rPr>
                <w:sz w:val="16"/>
                <w:szCs w:val="16"/>
                <w:lang w:val="en-GB"/>
              </w:rPr>
              <w:t xml:space="preserve"> </w:t>
            </w:r>
            <w:r w:rsidRPr="00684290">
              <w:rPr>
                <w:sz w:val="16"/>
                <w:szCs w:val="16"/>
                <w:lang w:val="en-GB"/>
              </w:rPr>
              <w:t>310</w:t>
            </w:r>
          </w:p>
        </w:tc>
        <w:tc>
          <w:tcPr>
            <w:tcW w:w="2410" w:type="dxa"/>
            <w:gridSpan w:val="2"/>
            <w:tcBorders>
              <w:bottom w:val="single" w:sz="4" w:space="0" w:color="44546A"/>
            </w:tcBorders>
          </w:tcPr>
          <w:p w:rsidR="008C641C" w:rsidRPr="00684290" w:rsidRDefault="008C641C" w:rsidP="008003D5">
            <w:pPr>
              <w:pStyle w:val="Tabletext"/>
              <w:jc w:val="center"/>
              <w:rPr>
                <w:sz w:val="16"/>
                <w:szCs w:val="16"/>
                <w:lang w:val="en-GB"/>
              </w:rPr>
            </w:pPr>
            <w:r w:rsidRPr="00684290">
              <w:rPr>
                <w:sz w:val="16"/>
                <w:szCs w:val="16"/>
                <w:lang w:val="en-GB"/>
              </w:rPr>
              <w:t>26</w:t>
            </w:r>
            <w:r w:rsidR="007B1CB5" w:rsidRPr="00684290">
              <w:rPr>
                <w:sz w:val="16"/>
                <w:szCs w:val="16"/>
                <w:lang w:val="en-GB"/>
              </w:rPr>
              <w:t xml:space="preserve"> </w:t>
            </w:r>
            <w:r w:rsidRPr="00684290">
              <w:rPr>
                <w:sz w:val="16"/>
                <w:szCs w:val="16"/>
                <w:lang w:val="en-GB"/>
              </w:rPr>
              <w:t>637</w:t>
            </w:r>
          </w:p>
        </w:tc>
        <w:tc>
          <w:tcPr>
            <w:tcW w:w="2693" w:type="dxa"/>
            <w:gridSpan w:val="2"/>
            <w:tcBorders>
              <w:bottom w:val="single" w:sz="4" w:space="0" w:color="44546A"/>
            </w:tcBorders>
          </w:tcPr>
          <w:p w:rsidR="008C641C" w:rsidRPr="00684290" w:rsidRDefault="008C641C" w:rsidP="008003D5">
            <w:pPr>
              <w:pStyle w:val="Tabletext"/>
              <w:jc w:val="center"/>
              <w:rPr>
                <w:sz w:val="16"/>
                <w:szCs w:val="16"/>
                <w:lang w:val="en-GB"/>
              </w:rPr>
            </w:pPr>
            <w:r w:rsidRPr="00684290">
              <w:rPr>
                <w:sz w:val="16"/>
                <w:szCs w:val="16"/>
                <w:lang w:val="en-GB"/>
              </w:rPr>
              <w:t>29</w:t>
            </w:r>
            <w:r w:rsidR="007B1CB5" w:rsidRPr="00684290">
              <w:rPr>
                <w:sz w:val="16"/>
                <w:szCs w:val="16"/>
                <w:lang w:val="en-GB"/>
              </w:rPr>
              <w:t xml:space="preserve"> </w:t>
            </w:r>
            <w:r w:rsidRPr="00684290">
              <w:rPr>
                <w:sz w:val="16"/>
                <w:szCs w:val="16"/>
                <w:lang w:val="en-GB"/>
              </w:rPr>
              <w:t>324</w:t>
            </w:r>
          </w:p>
        </w:tc>
      </w:tr>
      <w:tr w:rsidR="008C641C" w:rsidRPr="00684290" w:rsidTr="00F97AFC">
        <w:trPr>
          <w:trHeight w:hRule="exact" w:val="411"/>
          <w:jc w:val="center"/>
        </w:trPr>
        <w:tc>
          <w:tcPr>
            <w:tcW w:w="2552" w:type="dxa"/>
            <w:gridSpan w:val="2"/>
            <w:tcBorders>
              <w:top w:val="single" w:sz="2" w:space="0" w:color="000000"/>
              <w:bottom w:val="single" w:sz="12" w:space="0" w:color="000000"/>
              <w:right w:val="double" w:sz="4" w:space="0" w:color="000000"/>
            </w:tcBorders>
            <w:tcMar>
              <w:left w:w="85" w:type="dxa"/>
            </w:tcMar>
          </w:tcPr>
          <w:p w:rsidR="008C641C" w:rsidRPr="00684290" w:rsidRDefault="008C641C" w:rsidP="008003D5">
            <w:pPr>
              <w:pStyle w:val="Tabletext"/>
              <w:rPr>
                <w:sz w:val="16"/>
                <w:szCs w:val="16"/>
                <w:lang w:val="en-GB"/>
              </w:rPr>
            </w:pPr>
            <w:bookmarkStart w:id="33" w:name="lt_pId081"/>
            <w:r w:rsidRPr="00684290">
              <w:rPr>
                <w:sz w:val="16"/>
                <w:szCs w:val="16"/>
                <w:lang w:val="en-GB"/>
              </w:rPr>
              <w:t>Volume (m</w:t>
            </w:r>
            <w:r w:rsidRPr="00684290">
              <w:rPr>
                <w:sz w:val="16"/>
                <w:szCs w:val="16"/>
                <w:vertAlign w:val="superscript"/>
                <w:lang w:val="en-GB"/>
              </w:rPr>
              <w:t>3</w:t>
            </w:r>
            <w:r w:rsidRPr="00684290">
              <w:rPr>
                <w:sz w:val="16"/>
                <w:szCs w:val="16"/>
                <w:lang w:val="en-GB"/>
              </w:rPr>
              <w:t>)</w:t>
            </w:r>
            <w:bookmarkEnd w:id="33"/>
          </w:p>
        </w:tc>
        <w:tc>
          <w:tcPr>
            <w:tcW w:w="2551" w:type="dxa"/>
            <w:gridSpan w:val="2"/>
            <w:tcBorders>
              <w:top w:val="single" w:sz="4" w:space="0" w:color="44546A"/>
              <w:left w:val="double" w:sz="4" w:space="0" w:color="000000"/>
            </w:tcBorders>
          </w:tcPr>
          <w:p w:rsidR="008C641C" w:rsidRPr="00684290" w:rsidRDefault="008C641C" w:rsidP="008003D5">
            <w:pPr>
              <w:pStyle w:val="Tabletext"/>
              <w:jc w:val="center"/>
              <w:rPr>
                <w:sz w:val="16"/>
                <w:szCs w:val="16"/>
                <w:lang w:val="en-GB"/>
              </w:rPr>
            </w:pPr>
            <w:r w:rsidRPr="00684290">
              <w:rPr>
                <w:sz w:val="16"/>
                <w:szCs w:val="16"/>
                <w:lang w:val="en-GB"/>
              </w:rPr>
              <w:t>127</w:t>
            </w:r>
            <w:r w:rsidR="007B1CB5" w:rsidRPr="00684290">
              <w:rPr>
                <w:sz w:val="16"/>
                <w:szCs w:val="16"/>
                <w:lang w:val="en-GB"/>
              </w:rPr>
              <w:t xml:space="preserve"> </w:t>
            </w:r>
            <w:r w:rsidRPr="00684290">
              <w:rPr>
                <w:sz w:val="16"/>
                <w:szCs w:val="16"/>
                <w:lang w:val="en-GB"/>
              </w:rPr>
              <w:t>030</w:t>
            </w:r>
          </w:p>
        </w:tc>
        <w:tc>
          <w:tcPr>
            <w:tcW w:w="2410" w:type="dxa"/>
            <w:gridSpan w:val="2"/>
            <w:tcBorders>
              <w:top w:val="single" w:sz="4" w:space="0" w:color="44546A"/>
            </w:tcBorders>
          </w:tcPr>
          <w:p w:rsidR="008C641C" w:rsidRPr="00684290" w:rsidRDefault="008C641C" w:rsidP="008003D5">
            <w:pPr>
              <w:pStyle w:val="Tabletext"/>
              <w:jc w:val="center"/>
              <w:rPr>
                <w:sz w:val="16"/>
                <w:szCs w:val="16"/>
                <w:lang w:val="en-GB"/>
              </w:rPr>
            </w:pPr>
            <w:r w:rsidRPr="00684290">
              <w:rPr>
                <w:sz w:val="16"/>
                <w:szCs w:val="16"/>
                <w:lang w:val="en-GB"/>
              </w:rPr>
              <w:t>122</w:t>
            </w:r>
            <w:r w:rsidR="007B1CB5" w:rsidRPr="00684290">
              <w:rPr>
                <w:sz w:val="16"/>
                <w:szCs w:val="16"/>
                <w:lang w:val="en-GB"/>
              </w:rPr>
              <w:t xml:space="preserve"> </w:t>
            </w:r>
            <w:r w:rsidRPr="00684290">
              <w:rPr>
                <w:sz w:val="16"/>
                <w:szCs w:val="16"/>
                <w:lang w:val="en-GB"/>
              </w:rPr>
              <w:t>081</w:t>
            </w:r>
          </w:p>
        </w:tc>
        <w:tc>
          <w:tcPr>
            <w:tcW w:w="2693" w:type="dxa"/>
            <w:gridSpan w:val="2"/>
            <w:tcBorders>
              <w:top w:val="single" w:sz="4" w:space="0" w:color="44546A"/>
            </w:tcBorders>
          </w:tcPr>
          <w:p w:rsidR="008C641C" w:rsidRPr="00684290" w:rsidRDefault="008C641C" w:rsidP="008003D5">
            <w:pPr>
              <w:pStyle w:val="Tabletext"/>
              <w:jc w:val="center"/>
              <w:rPr>
                <w:sz w:val="16"/>
                <w:szCs w:val="16"/>
                <w:lang w:val="en-GB"/>
              </w:rPr>
            </w:pPr>
            <w:r w:rsidRPr="00684290">
              <w:rPr>
                <w:sz w:val="16"/>
                <w:szCs w:val="16"/>
                <w:lang w:val="en-GB"/>
              </w:rPr>
              <w:t>124</w:t>
            </w:r>
            <w:r w:rsidR="007B1CB5" w:rsidRPr="00684290">
              <w:rPr>
                <w:sz w:val="16"/>
                <w:szCs w:val="16"/>
                <w:lang w:val="en-GB"/>
              </w:rPr>
              <w:t xml:space="preserve"> </w:t>
            </w:r>
            <w:r w:rsidRPr="00684290">
              <w:rPr>
                <w:sz w:val="16"/>
                <w:szCs w:val="16"/>
                <w:lang w:val="en-GB"/>
              </w:rPr>
              <w:t>010</w:t>
            </w:r>
          </w:p>
        </w:tc>
      </w:tr>
      <w:tr w:rsidR="008C641C" w:rsidRPr="00684290" w:rsidTr="00F97AFC">
        <w:trPr>
          <w:trHeight w:hRule="exact" w:val="886"/>
          <w:jc w:val="center"/>
        </w:trPr>
        <w:tc>
          <w:tcPr>
            <w:tcW w:w="2552" w:type="dxa"/>
            <w:gridSpan w:val="2"/>
            <w:tcBorders>
              <w:bottom w:val="nil"/>
              <w:right w:val="double" w:sz="4" w:space="0" w:color="000000"/>
            </w:tcBorders>
            <w:tcMar>
              <w:left w:w="85" w:type="dxa"/>
            </w:tcMar>
          </w:tcPr>
          <w:p w:rsidR="008C641C" w:rsidRPr="00684290" w:rsidRDefault="008C641C" w:rsidP="008003D5">
            <w:pPr>
              <w:pStyle w:val="Tabletext"/>
              <w:spacing w:before="0" w:after="0"/>
              <w:rPr>
                <w:sz w:val="16"/>
                <w:szCs w:val="16"/>
                <w:lang w:val="en-GB"/>
              </w:rPr>
            </w:pPr>
          </w:p>
        </w:tc>
        <w:tc>
          <w:tcPr>
            <w:tcW w:w="1134" w:type="dxa"/>
            <w:tcBorders>
              <w:left w:val="double" w:sz="4" w:space="0" w:color="000000"/>
              <w:bottom w:val="single" w:sz="4" w:space="0" w:color="000000"/>
              <w:right w:val="single" w:sz="8" w:space="0" w:color="000000"/>
            </w:tcBorders>
          </w:tcPr>
          <w:p w:rsidR="008C641C" w:rsidRPr="00684290" w:rsidRDefault="008C641C" w:rsidP="008003D5">
            <w:pPr>
              <w:pStyle w:val="Tabletext"/>
              <w:spacing w:before="0" w:after="0"/>
              <w:jc w:val="center"/>
              <w:rPr>
                <w:sz w:val="16"/>
                <w:szCs w:val="16"/>
                <w:lang w:val="en-GB"/>
              </w:rPr>
            </w:pPr>
            <w:bookmarkStart w:id="34" w:name="lt_pId093"/>
            <w:r w:rsidRPr="00684290">
              <w:rPr>
                <w:sz w:val="16"/>
                <w:szCs w:val="16"/>
                <w:lang w:val="en-GB"/>
              </w:rPr>
              <w:t>Base</w:t>
            </w:r>
            <w:bookmarkEnd w:id="34"/>
            <w:r w:rsidR="004C4C05" w:rsidRPr="00684290">
              <w:rPr>
                <w:sz w:val="16"/>
                <w:szCs w:val="16"/>
                <w:lang w:val="en-GB"/>
              </w:rPr>
              <w:br/>
            </w:r>
            <w:r w:rsidR="004C4C05" w:rsidRPr="00A93DB4">
              <w:rPr>
                <w:sz w:val="16"/>
                <w:szCs w:val="16"/>
                <w:lang w:val="fr-BE"/>
              </w:rPr>
              <w:t>(en</w:t>
            </w:r>
            <w:r w:rsidR="004C4C05" w:rsidRPr="00684290">
              <w:rPr>
                <w:sz w:val="16"/>
                <w:szCs w:val="16"/>
                <w:lang w:val="en-GB"/>
              </w:rPr>
              <w:t xml:space="preserve"> CHF)</w:t>
            </w:r>
          </w:p>
        </w:tc>
        <w:tc>
          <w:tcPr>
            <w:tcW w:w="1417" w:type="dxa"/>
            <w:tcBorders>
              <w:left w:val="single" w:sz="8" w:space="0" w:color="000000"/>
              <w:bottom w:val="single" w:sz="4" w:space="0" w:color="000000"/>
            </w:tcBorders>
          </w:tcPr>
          <w:p w:rsidR="008C641C" w:rsidRPr="00684290" w:rsidRDefault="008C641C" w:rsidP="008B2D1A">
            <w:pPr>
              <w:pStyle w:val="Tabletext"/>
              <w:spacing w:before="0" w:after="0"/>
              <w:jc w:val="center"/>
              <w:rPr>
                <w:sz w:val="16"/>
                <w:szCs w:val="16"/>
              </w:rPr>
            </w:pPr>
            <w:bookmarkStart w:id="35" w:name="lt_pId094"/>
            <w:r w:rsidRPr="00684290">
              <w:rPr>
                <w:sz w:val="16"/>
                <w:szCs w:val="16"/>
              </w:rPr>
              <w:t xml:space="preserve">Options </w:t>
            </w:r>
            <w:r w:rsidR="008E060D" w:rsidRPr="00684290">
              <w:rPr>
                <w:sz w:val="16"/>
                <w:szCs w:val="16"/>
              </w:rPr>
              <w:t>et</w:t>
            </w:r>
            <w:r w:rsidRPr="00684290">
              <w:rPr>
                <w:sz w:val="16"/>
                <w:szCs w:val="16"/>
              </w:rPr>
              <w:t>/</w:t>
            </w:r>
            <w:r w:rsidR="008E060D" w:rsidRPr="00684290">
              <w:rPr>
                <w:sz w:val="16"/>
                <w:szCs w:val="16"/>
              </w:rPr>
              <w:t>ou</w:t>
            </w:r>
            <w:r w:rsidRPr="00684290">
              <w:rPr>
                <w:sz w:val="16"/>
                <w:szCs w:val="16"/>
              </w:rPr>
              <w:t xml:space="preserve"> </w:t>
            </w:r>
            <w:r w:rsidR="00445298" w:rsidRPr="00684290">
              <w:rPr>
                <w:sz w:val="16"/>
                <w:szCs w:val="16"/>
              </w:rPr>
              <w:t>compléments programmés</w:t>
            </w:r>
            <w:bookmarkEnd w:id="35"/>
            <w:r w:rsidR="004C4C05" w:rsidRPr="00684290">
              <w:rPr>
                <w:sz w:val="16"/>
                <w:szCs w:val="16"/>
              </w:rPr>
              <w:br/>
              <w:t>(en CHF)</w:t>
            </w:r>
          </w:p>
        </w:tc>
        <w:tc>
          <w:tcPr>
            <w:tcW w:w="1134" w:type="dxa"/>
            <w:tcBorders>
              <w:bottom w:val="single" w:sz="4" w:space="0" w:color="000000"/>
              <w:right w:val="single" w:sz="8" w:space="0" w:color="000000"/>
            </w:tcBorders>
          </w:tcPr>
          <w:p w:rsidR="008C641C" w:rsidRPr="00684290" w:rsidRDefault="008C641C" w:rsidP="008003D5">
            <w:pPr>
              <w:pStyle w:val="Tabletext"/>
              <w:spacing w:before="0" w:after="0"/>
              <w:jc w:val="center"/>
              <w:rPr>
                <w:sz w:val="16"/>
                <w:szCs w:val="16"/>
                <w:lang w:val="en-GB"/>
              </w:rPr>
            </w:pPr>
            <w:bookmarkStart w:id="36" w:name="lt_pId095"/>
            <w:r w:rsidRPr="00684290">
              <w:rPr>
                <w:sz w:val="16"/>
                <w:szCs w:val="16"/>
                <w:lang w:val="en-GB"/>
              </w:rPr>
              <w:t>Base</w:t>
            </w:r>
            <w:bookmarkEnd w:id="36"/>
            <w:r w:rsidR="004C4C05" w:rsidRPr="00684290">
              <w:rPr>
                <w:sz w:val="16"/>
                <w:szCs w:val="16"/>
              </w:rPr>
              <w:br/>
              <w:t>(en CHF)</w:t>
            </w:r>
          </w:p>
        </w:tc>
        <w:tc>
          <w:tcPr>
            <w:tcW w:w="1276" w:type="dxa"/>
            <w:tcBorders>
              <w:left w:val="single" w:sz="8" w:space="0" w:color="000000"/>
              <w:bottom w:val="single" w:sz="4" w:space="0" w:color="000000"/>
            </w:tcBorders>
          </w:tcPr>
          <w:p w:rsidR="008C641C" w:rsidRPr="00684290" w:rsidRDefault="008C641C" w:rsidP="008B2D1A">
            <w:pPr>
              <w:pStyle w:val="Tabletext"/>
              <w:spacing w:before="0" w:after="0"/>
              <w:jc w:val="center"/>
              <w:rPr>
                <w:sz w:val="16"/>
                <w:szCs w:val="16"/>
              </w:rPr>
            </w:pPr>
            <w:bookmarkStart w:id="37" w:name="lt_pId096"/>
            <w:r w:rsidRPr="00684290">
              <w:rPr>
                <w:sz w:val="16"/>
                <w:szCs w:val="16"/>
              </w:rPr>
              <w:t xml:space="preserve">Options </w:t>
            </w:r>
            <w:r w:rsidR="008E060D" w:rsidRPr="00684290">
              <w:rPr>
                <w:sz w:val="16"/>
                <w:szCs w:val="16"/>
              </w:rPr>
              <w:t>et</w:t>
            </w:r>
            <w:r w:rsidRPr="00684290">
              <w:rPr>
                <w:sz w:val="16"/>
                <w:szCs w:val="16"/>
              </w:rPr>
              <w:t>/</w:t>
            </w:r>
            <w:r w:rsidR="008E060D" w:rsidRPr="00684290">
              <w:rPr>
                <w:sz w:val="16"/>
                <w:szCs w:val="16"/>
              </w:rPr>
              <w:t>ou</w:t>
            </w:r>
            <w:r w:rsidRPr="00684290">
              <w:rPr>
                <w:sz w:val="16"/>
                <w:szCs w:val="16"/>
              </w:rPr>
              <w:t xml:space="preserve"> </w:t>
            </w:r>
            <w:bookmarkEnd w:id="37"/>
            <w:r w:rsidR="00445298" w:rsidRPr="00684290">
              <w:rPr>
                <w:sz w:val="16"/>
                <w:szCs w:val="16"/>
              </w:rPr>
              <w:t>compléments programmés</w:t>
            </w:r>
            <w:r w:rsidR="004C4C05" w:rsidRPr="00684290">
              <w:rPr>
                <w:sz w:val="16"/>
                <w:szCs w:val="16"/>
              </w:rPr>
              <w:br/>
              <w:t>(en CHF)</w:t>
            </w:r>
          </w:p>
        </w:tc>
        <w:tc>
          <w:tcPr>
            <w:tcW w:w="1276" w:type="dxa"/>
            <w:tcBorders>
              <w:bottom w:val="single" w:sz="4" w:space="0" w:color="000000"/>
              <w:right w:val="single" w:sz="8" w:space="0" w:color="000000"/>
            </w:tcBorders>
          </w:tcPr>
          <w:p w:rsidR="008C641C" w:rsidRPr="00684290" w:rsidRDefault="008C641C" w:rsidP="008003D5">
            <w:pPr>
              <w:pStyle w:val="Tabletext"/>
              <w:spacing w:before="0" w:after="0"/>
              <w:jc w:val="center"/>
              <w:rPr>
                <w:sz w:val="16"/>
                <w:szCs w:val="16"/>
                <w:lang w:val="en-GB"/>
              </w:rPr>
            </w:pPr>
            <w:bookmarkStart w:id="38" w:name="lt_pId097"/>
            <w:r w:rsidRPr="00684290">
              <w:rPr>
                <w:sz w:val="16"/>
                <w:szCs w:val="16"/>
                <w:lang w:val="en-GB"/>
              </w:rPr>
              <w:t>Base</w:t>
            </w:r>
            <w:bookmarkEnd w:id="38"/>
            <w:r w:rsidR="004C4C05" w:rsidRPr="00684290">
              <w:rPr>
                <w:sz w:val="16"/>
                <w:szCs w:val="16"/>
              </w:rPr>
              <w:br/>
              <w:t>(en CHF)</w:t>
            </w:r>
          </w:p>
        </w:tc>
        <w:tc>
          <w:tcPr>
            <w:tcW w:w="1417" w:type="dxa"/>
            <w:tcBorders>
              <w:left w:val="single" w:sz="8" w:space="0" w:color="000000"/>
              <w:bottom w:val="single" w:sz="4" w:space="0" w:color="000000"/>
            </w:tcBorders>
          </w:tcPr>
          <w:p w:rsidR="008C641C" w:rsidRPr="00684290" w:rsidRDefault="008C641C" w:rsidP="008003D5">
            <w:pPr>
              <w:pStyle w:val="Tabletext"/>
              <w:spacing w:before="0" w:after="0"/>
              <w:jc w:val="center"/>
              <w:rPr>
                <w:sz w:val="16"/>
                <w:szCs w:val="16"/>
              </w:rPr>
            </w:pPr>
            <w:bookmarkStart w:id="39" w:name="lt_pId098"/>
            <w:r w:rsidRPr="00684290">
              <w:rPr>
                <w:sz w:val="16"/>
                <w:szCs w:val="16"/>
              </w:rPr>
              <w:t>Option</w:t>
            </w:r>
            <w:r w:rsidR="001F0B9A" w:rsidRPr="00684290">
              <w:rPr>
                <w:sz w:val="16"/>
                <w:szCs w:val="16"/>
              </w:rPr>
              <w:t>s</w:t>
            </w:r>
            <w:r w:rsidRPr="00684290">
              <w:rPr>
                <w:sz w:val="16"/>
                <w:szCs w:val="16"/>
              </w:rPr>
              <w:t xml:space="preserve"> </w:t>
            </w:r>
            <w:r w:rsidR="008E060D" w:rsidRPr="00684290">
              <w:rPr>
                <w:sz w:val="16"/>
                <w:szCs w:val="16"/>
              </w:rPr>
              <w:t xml:space="preserve">non validées </w:t>
            </w:r>
            <w:r w:rsidRPr="00684290">
              <w:rPr>
                <w:sz w:val="16"/>
                <w:szCs w:val="16"/>
              </w:rPr>
              <w:t>(</w:t>
            </w:r>
            <w:r w:rsidR="008E060D" w:rsidRPr="00684290">
              <w:rPr>
                <w:sz w:val="16"/>
                <w:szCs w:val="16"/>
              </w:rPr>
              <w:t>non comprises dans le total</w:t>
            </w:r>
            <w:r w:rsidRPr="00684290">
              <w:rPr>
                <w:sz w:val="16"/>
                <w:szCs w:val="16"/>
              </w:rPr>
              <w:t>)</w:t>
            </w:r>
            <w:bookmarkEnd w:id="39"/>
            <w:r w:rsidR="004C4C05" w:rsidRPr="00684290">
              <w:rPr>
                <w:sz w:val="16"/>
                <w:szCs w:val="16"/>
              </w:rPr>
              <w:t xml:space="preserve"> </w:t>
            </w:r>
            <w:r w:rsidR="004C4C05" w:rsidRPr="00684290">
              <w:rPr>
                <w:sz w:val="16"/>
                <w:szCs w:val="16"/>
              </w:rPr>
              <w:br/>
              <w:t>(en CHF)</w:t>
            </w:r>
          </w:p>
        </w:tc>
      </w:tr>
      <w:tr w:rsidR="008C641C" w:rsidRPr="00684290" w:rsidTr="00F97AFC">
        <w:trPr>
          <w:trHeight w:hRule="exact" w:val="227"/>
          <w:jc w:val="center"/>
        </w:trPr>
        <w:tc>
          <w:tcPr>
            <w:tcW w:w="2552" w:type="dxa"/>
            <w:gridSpan w:val="2"/>
            <w:tcBorders>
              <w:top w:val="nil"/>
              <w:bottom w:val="nil"/>
              <w:right w:val="double" w:sz="4" w:space="0" w:color="000000"/>
            </w:tcBorders>
            <w:tcMar>
              <w:left w:w="85" w:type="dxa"/>
            </w:tcMar>
          </w:tcPr>
          <w:p w:rsidR="008C641C" w:rsidRPr="00684290" w:rsidRDefault="008C641C" w:rsidP="008003D5">
            <w:pPr>
              <w:spacing w:before="0"/>
              <w:rPr>
                <w:sz w:val="16"/>
                <w:szCs w:val="16"/>
              </w:rPr>
            </w:pPr>
          </w:p>
        </w:tc>
        <w:tc>
          <w:tcPr>
            <w:tcW w:w="1134" w:type="dxa"/>
            <w:tcBorders>
              <w:top w:val="single" w:sz="4" w:space="0" w:color="000000"/>
              <w:left w:val="double" w:sz="4" w:space="0" w:color="000000"/>
              <w:bottom w:val="nil"/>
              <w:right w:val="single" w:sz="8" w:space="0" w:color="000000"/>
            </w:tcBorders>
          </w:tcPr>
          <w:p w:rsidR="008C641C" w:rsidRPr="00684290" w:rsidRDefault="008C641C" w:rsidP="008003D5">
            <w:pPr>
              <w:spacing w:before="0"/>
              <w:rPr>
                <w:sz w:val="16"/>
                <w:szCs w:val="16"/>
              </w:rPr>
            </w:pPr>
          </w:p>
        </w:tc>
        <w:tc>
          <w:tcPr>
            <w:tcW w:w="1417" w:type="dxa"/>
            <w:tcBorders>
              <w:top w:val="single" w:sz="4" w:space="0" w:color="000000"/>
              <w:left w:val="single" w:sz="8" w:space="0" w:color="000000"/>
              <w:bottom w:val="nil"/>
            </w:tcBorders>
          </w:tcPr>
          <w:p w:rsidR="008C641C" w:rsidRPr="00684290" w:rsidRDefault="008C641C" w:rsidP="008003D5">
            <w:pPr>
              <w:spacing w:before="0"/>
              <w:rPr>
                <w:sz w:val="16"/>
                <w:szCs w:val="16"/>
              </w:rPr>
            </w:pPr>
          </w:p>
        </w:tc>
        <w:tc>
          <w:tcPr>
            <w:tcW w:w="1134" w:type="dxa"/>
            <w:tcBorders>
              <w:top w:val="single" w:sz="4" w:space="0" w:color="000000"/>
              <w:bottom w:val="nil"/>
              <w:right w:val="single" w:sz="8" w:space="0" w:color="000000"/>
            </w:tcBorders>
          </w:tcPr>
          <w:p w:rsidR="008C641C" w:rsidRPr="00684290" w:rsidRDefault="008C641C" w:rsidP="008003D5">
            <w:pPr>
              <w:spacing w:before="0"/>
              <w:rPr>
                <w:sz w:val="16"/>
                <w:szCs w:val="16"/>
              </w:rPr>
            </w:pPr>
          </w:p>
        </w:tc>
        <w:tc>
          <w:tcPr>
            <w:tcW w:w="1276" w:type="dxa"/>
            <w:tcBorders>
              <w:top w:val="single" w:sz="4" w:space="0" w:color="000000"/>
              <w:left w:val="single" w:sz="8" w:space="0" w:color="000000"/>
              <w:bottom w:val="nil"/>
            </w:tcBorders>
          </w:tcPr>
          <w:p w:rsidR="008C641C" w:rsidRPr="00684290" w:rsidRDefault="008C641C" w:rsidP="008003D5">
            <w:pPr>
              <w:spacing w:before="0"/>
              <w:rPr>
                <w:sz w:val="16"/>
                <w:szCs w:val="16"/>
              </w:rPr>
            </w:pPr>
          </w:p>
        </w:tc>
        <w:tc>
          <w:tcPr>
            <w:tcW w:w="1276" w:type="dxa"/>
            <w:tcBorders>
              <w:top w:val="single" w:sz="4" w:space="0" w:color="000000"/>
              <w:bottom w:val="nil"/>
              <w:right w:val="single" w:sz="8" w:space="0" w:color="000000"/>
            </w:tcBorders>
          </w:tcPr>
          <w:p w:rsidR="008C641C" w:rsidRPr="00684290" w:rsidRDefault="008C641C" w:rsidP="008003D5">
            <w:pPr>
              <w:spacing w:before="0"/>
              <w:rPr>
                <w:sz w:val="16"/>
                <w:szCs w:val="16"/>
              </w:rPr>
            </w:pPr>
          </w:p>
        </w:tc>
        <w:tc>
          <w:tcPr>
            <w:tcW w:w="1417" w:type="dxa"/>
            <w:tcBorders>
              <w:top w:val="single" w:sz="4" w:space="0" w:color="000000"/>
              <w:left w:val="single" w:sz="8" w:space="0" w:color="000000"/>
              <w:bottom w:val="nil"/>
            </w:tcBorders>
          </w:tcPr>
          <w:p w:rsidR="008C641C" w:rsidRPr="00684290" w:rsidRDefault="008C641C" w:rsidP="008003D5">
            <w:pPr>
              <w:spacing w:before="0"/>
              <w:rPr>
                <w:sz w:val="16"/>
                <w:szCs w:val="16"/>
              </w:rPr>
            </w:pPr>
          </w:p>
        </w:tc>
      </w:tr>
      <w:tr w:rsidR="00972F2C" w:rsidRPr="00684290" w:rsidTr="00F97AFC">
        <w:trPr>
          <w:trHeight w:hRule="exact" w:val="624"/>
          <w:jc w:val="center"/>
        </w:trPr>
        <w:tc>
          <w:tcPr>
            <w:tcW w:w="567" w:type="dxa"/>
            <w:tcBorders>
              <w:top w:val="nil"/>
              <w:bottom w:val="nil"/>
              <w:right w:val="nil"/>
            </w:tcBorders>
            <w:tcMar>
              <w:left w:w="85" w:type="dxa"/>
            </w:tcMar>
            <w:vAlign w:val="center"/>
          </w:tcPr>
          <w:p w:rsidR="00972F2C" w:rsidRPr="00A93DB4" w:rsidRDefault="00972F2C" w:rsidP="00AC4D4F">
            <w:pPr>
              <w:pStyle w:val="Tabletext"/>
              <w:spacing w:before="0" w:after="0"/>
              <w:rPr>
                <w:sz w:val="16"/>
                <w:szCs w:val="16"/>
                <w:lang w:val="fr-BE"/>
              </w:rPr>
            </w:pPr>
            <w:r w:rsidRPr="00684290">
              <w:rPr>
                <w:sz w:val="16"/>
                <w:szCs w:val="16"/>
                <w:lang w:val="en-US"/>
              </w:rPr>
              <w:t>CFC 1</w:t>
            </w:r>
          </w:p>
        </w:tc>
        <w:tc>
          <w:tcPr>
            <w:tcW w:w="1985" w:type="dxa"/>
            <w:tcBorders>
              <w:top w:val="nil"/>
              <w:left w:val="nil"/>
              <w:bottom w:val="nil"/>
              <w:right w:val="double" w:sz="4" w:space="0" w:color="000000"/>
            </w:tcBorders>
            <w:vAlign w:val="center"/>
          </w:tcPr>
          <w:p w:rsidR="00972F2C" w:rsidRPr="00684290" w:rsidRDefault="00A707E8" w:rsidP="00AC4D4F">
            <w:pPr>
              <w:spacing w:before="0"/>
              <w:rPr>
                <w:sz w:val="16"/>
                <w:szCs w:val="16"/>
                <w:lang w:val="en-US"/>
              </w:rPr>
            </w:pPr>
            <w:r w:rsidRPr="00A93DB4">
              <w:rPr>
                <w:sz w:val="16"/>
                <w:szCs w:val="16"/>
                <w:lang w:val="fr-BE"/>
              </w:rPr>
              <w:t>Travaux préparatoires</w:t>
            </w:r>
          </w:p>
        </w:tc>
        <w:tc>
          <w:tcPr>
            <w:tcW w:w="1134" w:type="dxa"/>
            <w:tcBorders>
              <w:top w:val="nil"/>
              <w:left w:val="double" w:sz="4" w:space="0" w:color="000000"/>
              <w:bottom w:val="nil"/>
              <w:right w:val="single" w:sz="8" w:space="0" w:color="000000"/>
            </w:tcBorders>
            <w:shd w:val="clear" w:color="auto" w:fill="FCE4D6"/>
            <w:tcMar>
              <w:left w:w="57" w:type="dxa"/>
            </w:tcMar>
            <w:vAlign w:val="center"/>
          </w:tcPr>
          <w:p w:rsidR="00972F2C" w:rsidRPr="00684290" w:rsidRDefault="00972F2C" w:rsidP="008B2D1A">
            <w:pPr>
              <w:spacing w:before="0"/>
              <w:jc w:val="center"/>
              <w:rPr>
                <w:sz w:val="16"/>
                <w:szCs w:val="16"/>
                <w:lang w:val="en-GB"/>
              </w:rPr>
            </w:pPr>
            <w:bookmarkStart w:id="40" w:name="lt_pId099"/>
            <w:r w:rsidRPr="00684290">
              <w:rPr>
                <w:sz w:val="16"/>
                <w:szCs w:val="16"/>
                <w:lang w:val="en-GB"/>
              </w:rPr>
              <w:t>10 770 000</w:t>
            </w:r>
            <w:bookmarkEnd w:id="40"/>
          </w:p>
        </w:tc>
        <w:tc>
          <w:tcPr>
            <w:tcW w:w="1417" w:type="dxa"/>
            <w:tcBorders>
              <w:top w:val="nil"/>
              <w:left w:val="single" w:sz="8" w:space="0" w:color="000000"/>
              <w:bottom w:val="nil"/>
            </w:tcBorders>
            <w:shd w:val="clear" w:color="auto" w:fill="FCE4D6"/>
            <w:tcMar>
              <w:left w:w="57" w:type="dxa"/>
            </w:tcMar>
            <w:vAlign w:val="center"/>
          </w:tcPr>
          <w:p w:rsidR="00972F2C" w:rsidRPr="00684290" w:rsidRDefault="00972F2C" w:rsidP="008B2D1A">
            <w:pPr>
              <w:spacing w:before="0"/>
              <w:jc w:val="center"/>
              <w:rPr>
                <w:sz w:val="16"/>
                <w:szCs w:val="16"/>
                <w:lang w:val="en-GB"/>
              </w:rPr>
            </w:pPr>
            <w:bookmarkStart w:id="41" w:name="lt_pId100"/>
            <w:r w:rsidRPr="00684290">
              <w:rPr>
                <w:sz w:val="16"/>
                <w:szCs w:val="16"/>
                <w:lang w:val="en-GB"/>
              </w:rPr>
              <w:t>1 050 000</w:t>
            </w:r>
            <w:bookmarkEnd w:id="41"/>
          </w:p>
        </w:tc>
        <w:tc>
          <w:tcPr>
            <w:tcW w:w="1134" w:type="dxa"/>
            <w:tcBorders>
              <w:top w:val="nil"/>
              <w:bottom w:val="nil"/>
              <w:right w:val="single" w:sz="8" w:space="0" w:color="000000"/>
            </w:tcBorders>
            <w:shd w:val="clear" w:color="auto" w:fill="FFF2CC"/>
            <w:tcMar>
              <w:left w:w="57" w:type="dxa"/>
            </w:tcMar>
            <w:vAlign w:val="center"/>
          </w:tcPr>
          <w:p w:rsidR="00972F2C" w:rsidRPr="00684290" w:rsidRDefault="00972F2C" w:rsidP="008B2D1A">
            <w:pPr>
              <w:spacing w:before="0"/>
              <w:jc w:val="center"/>
              <w:rPr>
                <w:sz w:val="16"/>
                <w:szCs w:val="16"/>
                <w:lang w:val="en-GB"/>
              </w:rPr>
            </w:pPr>
            <w:bookmarkStart w:id="42" w:name="lt_pId101"/>
            <w:r w:rsidRPr="00684290">
              <w:rPr>
                <w:sz w:val="16"/>
                <w:szCs w:val="16"/>
                <w:lang w:val="en-GB"/>
              </w:rPr>
              <w:t>12</w:t>
            </w:r>
            <w:r w:rsidR="00321E7E" w:rsidRPr="00684290">
              <w:rPr>
                <w:sz w:val="16"/>
                <w:szCs w:val="16"/>
                <w:lang w:val="en-GB"/>
              </w:rPr>
              <w:t xml:space="preserve"> </w:t>
            </w:r>
            <w:r w:rsidRPr="00684290">
              <w:rPr>
                <w:sz w:val="16"/>
                <w:szCs w:val="16"/>
                <w:lang w:val="en-GB"/>
              </w:rPr>
              <w:t>258</w:t>
            </w:r>
            <w:r w:rsidR="00321E7E" w:rsidRPr="00684290">
              <w:rPr>
                <w:sz w:val="16"/>
                <w:szCs w:val="16"/>
                <w:lang w:val="en-GB"/>
              </w:rPr>
              <w:t xml:space="preserve"> </w:t>
            </w:r>
            <w:r w:rsidRPr="00684290">
              <w:rPr>
                <w:sz w:val="16"/>
                <w:szCs w:val="16"/>
                <w:lang w:val="en-GB"/>
              </w:rPr>
              <w:t>395</w:t>
            </w:r>
            <w:bookmarkEnd w:id="42"/>
          </w:p>
        </w:tc>
        <w:tc>
          <w:tcPr>
            <w:tcW w:w="1276" w:type="dxa"/>
            <w:tcBorders>
              <w:top w:val="nil"/>
              <w:left w:val="single" w:sz="8" w:space="0" w:color="000000"/>
              <w:bottom w:val="nil"/>
            </w:tcBorders>
            <w:shd w:val="clear" w:color="auto" w:fill="FFF2CC"/>
            <w:tcMar>
              <w:left w:w="57" w:type="dxa"/>
            </w:tcMar>
            <w:vAlign w:val="center"/>
          </w:tcPr>
          <w:p w:rsidR="00972F2C" w:rsidRPr="00684290" w:rsidRDefault="00972F2C" w:rsidP="008B2D1A">
            <w:pPr>
              <w:spacing w:before="0"/>
              <w:jc w:val="center"/>
              <w:rPr>
                <w:sz w:val="16"/>
                <w:szCs w:val="16"/>
                <w:lang w:val="en-GB"/>
              </w:rPr>
            </w:pPr>
            <w:bookmarkStart w:id="43" w:name="lt_pId102"/>
            <w:r w:rsidRPr="00684290">
              <w:rPr>
                <w:sz w:val="16"/>
                <w:szCs w:val="16"/>
                <w:lang w:val="en-GB"/>
              </w:rPr>
              <w:t>1</w:t>
            </w:r>
            <w:r w:rsidR="00321E7E" w:rsidRPr="00684290">
              <w:rPr>
                <w:sz w:val="16"/>
                <w:szCs w:val="16"/>
                <w:lang w:val="en-GB"/>
              </w:rPr>
              <w:t xml:space="preserve"> </w:t>
            </w:r>
            <w:r w:rsidRPr="00684290">
              <w:rPr>
                <w:sz w:val="16"/>
                <w:szCs w:val="16"/>
                <w:lang w:val="en-GB"/>
              </w:rPr>
              <w:t>050</w:t>
            </w:r>
            <w:r w:rsidR="00321E7E" w:rsidRPr="00684290">
              <w:rPr>
                <w:sz w:val="16"/>
                <w:szCs w:val="16"/>
                <w:lang w:val="en-GB"/>
              </w:rPr>
              <w:t xml:space="preserve"> </w:t>
            </w:r>
            <w:r w:rsidRPr="00684290">
              <w:rPr>
                <w:sz w:val="16"/>
                <w:szCs w:val="16"/>
                <w:lang w:val="en-GB"/>
              </w:rPr>
              <w:t>000</w:t>
            </w:r>
            <w:bookmarkEnd w:id="43"/>
          </w:p>
        </w:tc>
        <w:tc>
          <w:tcPr>
            <w:tcW w:w="1276" w:type="dxa"/>
            <w:tcBorders>
              <w:top w:val="nil"/>
              <w:bottom w:val="nil"/>
              <w:right w:val="single" w:sz="8" w:space="0" w:color="000000"/>
            </w:tcBorders>
            <w:shd w:val="clear" w:color="auto" w:fill="E2EFDA"/>
            <w:tcMar>
              <w:left w:w="57" w:type="dxa"/>
            </w:tcMar>
            <w:vAlign w:val="center"/>
          </w:tcPr>
          <w:p w:rsidR="00972F2C" w:rsidRPr="00684290" w:rsidRDefault="00972F2C" w:rsidP="008B2D1A">
            <w:pPr>
              <w:spacing w:before="0"/>
              <w:jc w:val="center"/>
              <w:rPr>
                <w:sz w:val="16"/>
                <w:szCs w:val="16"/>
                <w:lang w:val="en-GB"/>
              </w:rPr>
            </w:pPr>
            <w:bookmarkStart w:id="44" w:name="lt_pId103"/>
            <w:r w:rsidRPr="00684290">
              <w:rPr>
                <w:sz w:val="16"/>
                <w:szCs w:val="16"/>
                <w:lang w:val="en-GB"/>
              </w:rPr>
              <w:t>15</w:t>
            </w:r>
            <w:r w:rsidR="00321E7E" w:rsidRPr="00684290">
              <w:rPr>
                <w:sz w:val="16"/>
                <w:szCs w:val="16"/>
                <w:lang w:val="en-GB"/>
              </w:rPr>
              <w:t xml:space="preserve"> </w:t>
            </w:r>
            <w:r w:rsidRPr="00684290">
              <w:rPr>
                <w:sz w:val="16"/>
                <w:szCs w:val="16"/>
                <w:lang w:val="en-GB"/>
              </w:rPr>
              <w:t>638</w:t>
            </w:r>
            <w:r w:rsidR="00321E7E" w:rsidRPr="00684290">
              <w:rPr>
                <w:sz w:val="16"/>
                <w:szCs w:val="16"/>
                <w:lang w:val="en-GB"/>
              </w:rPr>
              <w:t xml:space="preserve"> </w:t>
            </w:r>
            <w:r w:rsidRPr="00684290">
              <w:rPr>
                <w:sz w:val="16"/>
                <w:szCs w:val="16"/>
                <w:lang w:val="en-GB"/>
              </w:rPr>
              <w:t>353</w:t>
            </w:r>
            <w:bookmarkEnd w:id="44"/>
          </w:p>
        </w:tc>
        <w:tc>
          <w:tcPr>
            <w:tcW w:w="1417" w:type="dxa"/>
            <w:tcBorders>
              <w:top w:val="nil"/>
              <w:left w:val="single" w:sz="8" w:space="0" w:color="000000"/>
              <w:bottom w:val="nil"/>
            </w:tcBorders>
            <w:shd w:val="clear" w:color="auto" w:fill="E2EFDA"/>
            <w:tcMar>
              <w:left w:w="57" w:type="dxa"/>
            </w:tcMar>
            <w:vAlign w:val="center"/>
          </w:tcPr>
          <w:p w:rsidR="00972F2C" w:rsidRPr="00684290" w:rsidRDefault="00972F2C" w:rsidP="008B2D1A">
            <w:pPr>
              <w:spacing w:before="0"/>
              <w:jc w:val="center"/>
              <w:rPr>
                <w:sz w:val="16"/>
                <w:szCs w:val="16"/>
                <w:lang w:val="en-GB"/>
              </w:rPr>
            </w:pPr>
            <w:bookmarkStart w:id="45" w:name="lt_pId104"/>
            <w:r w:rsidRPr="00684290">
              <w:rPr>
                <w:sz w:val="16"/>
                <w:szCs w:val="16"/>
                <w:lang w:val="en-GB"/>
              </w:rPr>
              <w:t>0</w:t>
            </w:r>
            <w:bookmarkEnd w:id="45"/>
          </w:p>
        </w:tc>
      </w:tr>
      <w:tr w:rsidR="008C641C" w:rsidRPr="00684290" w:rsidTr="00F97AFC">
        <w:trPr>
          <w:trHeight w:hRule="exact" w:val="227"/>
          <w:jc w:val="center"/>
        </w:trPr>
        <w:tc>
          <w:tcPr>
            <w:tcW w:w="2552" w:type="dxa"/>
            <w:gridSpan w:val="2"/>
            <w:tcBorders>
              <w:top w:val="nil"/>
              <w:bottom w:val="nil"/>
              <w:right w:val="double" w:sz="4" w:space="0" w:color="000000"/>
            </w:tcBorders>
            <w:tcMar>
              <w:left w:w="85" w:type="dxa"/>
            </w:tcMar>
          </w:tcPr>
          <w:p w:rsidR="008C641C" w:rsidRPr="00684290" w:rsidRDefault="008C641C" w:rsidP="008003D5">
            <w:pPr>
              <w:spacing w:before="0"/>
              <w:rPr>
                <w:sz w:val="16"/>
                <w:szCs w:val="16"/>
              </w:rPr>
            </w:pPr>
          </w:p>
        </w:tc>
        <w:tc>
          <w:tcPr>
            <w:tcW w:w="1134" w:type="dxa"/>
            <w:tcBorders>
              <w:top w:val="nil"/>
              <w:left w:val="double" w:sz="4" w:space="0" w:color="000000"/>
              <w:bottom w:val="nil"/>
              <w:right w:val="single" w:sz="8" w:space="0" w:color="000000"/>
            </w:tcBorders>
            <w:vAlign w:val="center"/>
          </w:tcPr>
          <w:p w:rsidR="008C641C" w:rsidRPr="00684290" w:rsidRDefault="008C641C" w:rsidP="008B2D1A">
            <w:pPr>
              <w:spacing w:before="0"/>
              <w:jc w:val="center"/>
              <w:rPr>
                <w:sz w:val="16"/>
                <w:szCs w:val="16"/>
              </w:rPr>
            </w:pPr>
          </w:p>
        </w:tc>
        <w:tc>
          <w:tcPr>
            <w:tcW w:w="1417" w:type="dxa"/>
            <w:tcBorders>
              <w:top w:val="nil"/>
              <w:left w:val="single" w:sz="8" w:space="0" w:color="000000"/>
              <w:bottom w:val="nil"/>
            </w:tcBorders>
            <w:vAlign w:val="center"/>
          </w:tcPr>
          <w:p w:rsidR="008C641C" w:rsidRPr="00684290" w:rsidRDefault="008C641C" w:rsidP="008B2D1A">
            <w:pPr>
              <w:spacing w:before="0"/>
              <w:jc w:val="center"/>
              <w:rPr>
                <w:sz w:val="16"/>
                <w:szCs w:val="16"/>
              </w:rPr>
            </w:pPr>
          </w:p>
        </w:tc>
        <w:tc>
          <w:tcPr>
            <w:tcW w:w="1134" w:type="dxa"/>
            <w:tcBorders>
              <w:top w:val="nil"/>
              <w:bottom w:val="nil"/>
              <w:right w:val="single" w:sz="8" w:space="0" w:color="000000"/>
            </w:tcBorders>
            <w:vAlign w:val="center"/>
          </w:tcPr>
          <w:p w:rsidR="008C641C" w:rsidRPr="00684290" w:rsidRDefault="008C641C" w:rsidP="008B2D1A">
            <w:pPr>
              <w:spacing w:before="0"/>
              <w:jc w:val="center"/>
              <w:rPr>
                <w:sz w:val="16"/>
                <w:szCs w:val="16"/>
              </w:rPr>
            </w:pPr>
          </w:p>
        </w:tc>
        <w:tc>
          <w:tcPr>
            <w:tcW w:w="1276" w:type="dxa"/>
            <w:tcBorders>
              <w:top w:val="nil"/>
              <w:left w:val="single" w:sz="8" w:space="0" w:color="000000"/>
              <w:bottom w:val="nil"/>
            </w:tcBorders>
            <w:vAlign w:val="center"/>
          </w:tcPr>
          <w:p w:rsidR="008C641C" w:rsidRPr="00684290" w:rsidRDefault="008C641C" w:rsidP="008B2D1A">
            <w:pPr>
              <w:spacing w:before="0"/>
              <w:jc w:val="center"/>
              <w:rPr>
                <w:sz w:val="16"/>
                <w:szCs w:val="16"/>
              </w:rPr>
            </w:pPr>
          </w:p>
        </w:tc>
        <w:tc>
          <w:tcPr>
            <w:tcW w:w="1276" w:type="dxa"/>
            <w:tcBorders>
              <w:top w:val="nil"/>
              <w:bottom w:val="nil"/>
              <w:right w:val="single" w:sz="8" w:space="0" w:color="000000"/>
            </w:tcBorders>
            <w:vAlign w:val="center"/>
          </w:tcPr>
          <w:p w:rsidR="008C641C" w:rsidRPr="00684290" w:rsidRDefault="008C641C" w:rsidP="008B2D1A">
            <w:pPr>
              <w:spacing w:before="0"/>
              <w:jc w:val="center"/>
              <w:rPr>
                <w:sz w:val="16"/>
                <w:szCs w:val="16"/>
              </w:rPr>
            </w:pPr>
          </w:p>
        </w:tc>
        <w:tc>
          <w:tcPr>
            <w:tcW w:w="1417" w:type="dxa"/>
            <w:tcBorders>
              <w:top w:val="nil"/>
              <w:left w:val="single" w:sz="8" w:space="0" w:color="000000"/>
              <w:bottom w:val="nil"/>
            </w:tcBorders>
            <w:vAlign w:val="center"/>
          </w:tcPr>
          <w:p w:rsidR="008C641C" w:rsidRPr="00684290" w:rsidRDefault="008C641C" w:rsidP="008B2D1A">
            <w:pPr>
              <w:spacing w:before="0"/>
              <w:jc w:val="center"/>
              <w:rPr>
                <w:sz w:val="16"/>
                <w:szCs w:val="16"/>
              </w:rPr>
            </w:pPr>
          </w:p>
        </w:tc>
      </w:tr>
      <w:tr w:rsidR="00972F2C" w:rsidRPr="00684290" w:rsidTr="00F97AFC">
        <w:trPr>
          <w:trHeight w:hRule="exact" w:val="624"/>
          <w:jc w:val="center"/>
        </w:trPr>
        <w:tc>
          <w:tcPr>
            <w:tcW w:w="567" w:type="dxa"/>
            <w:tcBorders>
              <w:top w:val="nil"/>
              <w:bottom w:val="nil"/>
              <w:right w:val="nil"/>
            </w:tcBorders>
            <w:tcMar>
              <w:left w:w="85" w:type="dxa"/>
            </w:tcMar>
            <w:vAlign w:val="center"/>
          </w:tcPr>
          <w:p w:rsidR="00972F2C" w:rsidRPr="00A93DB4" w:rsidRDefault="00972F2C" w:rsidP="00AC4D4F">
            <w:pPr>
              <w:pStyle w:val="Tabletext"/>
              <w:spacing w:before="0" w:after="0"/>
              <w:rPr>
                <w:sz w:val="16"/>
                <w:szCs w:val="16"/>
                <w:lang w:val="fr-BE"/>
              </w:rPr>
            </w:pPr>
            <w:r w:rsidRPr="00684290">
              <w:rPr>
                <w:sz w:val="16"/>
                <w:szCs w:val="16"/>
                <w:lang w:val="en-US"/>
              </w:rPr>
              <w:t>CFC 2</w:t>
            </w:r>
          </w:p>
        </w:tc>
        <w:tc>
          <w:tcPr>
            <w:tcW w:w="1985" w:type="dxa"/>
            <w:tcBorders>
              <w:top w:val="nil"/>
              <w:left w:val="nil"/>
              <w:bottom w:val="nil"/>
              <w:right w:val="double" w:sz="4" w:space="0" w:color="000000"/>
            </w:tcBorders>
            <w:vAlign w:val="center"/>
          </w:tcPr>
          <w:p w:rsidR="00972F2C" w:rsidRPr="00684290" w:rsidRDefault="00A707E8" w:rsidP="00AC4D4F">
            <w:pPr>
              <w:spacing w:before="0"/>
              <w:rPr>
                <w:sz w:val="16"/>
                <w:szCs w:val="16"/>
              </w:rPr>
            </w:pPr>
            <w:r w:rsidRPr="00A93DB4">
              <w:rPr>
                <w:sz w:val="16"/>
                <w:szCs w:val="16"/>
                <w:lang w:val="fr-BE"/>
              </w:rPr>
              <w:t>Bâtiment</w:t>
            </w:r>
          </w:p>
        </w:tc>
        <w:tc>
          <w:tcPr>
            <w:tcW w:w="1134" w:type="dxa"/>
            <w:tcBorders>
              <w:top w:val="nil"/>
              <w:left w:val="double" w:sz="4" w:space="0" w:color="000000"/>
              <w:bottom w:val="nil"/>
              <w:right w:val="single" w:sz="8" w:space="0" w:color="000000"/>
            </w:tcBorders>
            <w:shd w:val="clear" w:color="auto" w:fill="FCE4D6"/>
            <w:tcMar>
              <w:left w:w="57" w:type="dxa"/>
            </w:tcMar>
            <w:vAlign w:val="center"/>
          </w:tcPr>
          <w:p w:rsidR="00972F2C" w:rsidRPr="00684290" w:rsidRDefault="00972F2C" w:rsidP="008B2D1A">
            <w:pPr>
              <w:spacing w:before="0"/>
              <w:jc w:val="center"/>
              <w:rPr>
                <w:sz w:val="16"/>
                <w:szCs w:val="16"/>
                <w:lang w:val="en-GB"/>
              </w:rPr>
            </w:pPr>
            <w:bookmarkStart w:id="46" w:name="lt_pId105"/>
            <w:r w:rsidRPr="00684290">
              <w:rPr>
                <w:sz w:val="16"/>
                <w:szCs w:val="16"/>
                <w:lang w:val="en-GB"/>
              </w:rPr>
              <w:t>94 150 000</w:t>
            </w:r>
            <w:bookmarkEnd w:id="46"/>
          </w:p>
        </w:tc>
        <w:tc>
          <w:tcPr>
            <w:tcW w:w="1417" w:type="dxa"/>
            <w:tcBorders>
              <w:top w:val="nil"/>
              <w:left w:val="single" w:sz="8" w:space="0" w:color="000000"/>
              <w:bottom w:val="nil"/>
            </w:tcBorders>
            <w:shd w:val="clear" w:color="auto" w:fill="FCE4D6"/>
            <w:tcMar>
              <w:left w:w="57" w:type="dxa"/>
            </w:tcMar>
            <w:vAlign w:val="center"/>
          </w:tcPr>
          <w:p w:rsidR="00972F2C" w:rsidRPr="00684290" w:rsidRDefault="00972F2C" w:rsidP="008B2D1A">
            <w:pPr>
              <w:spacing w:before="0"/>
              <w:jc w:val="center"/>
              <w:rPr>
                <w:sz w:val="16"/>
                <w:szCs w:val="16"/>
                <w:lang w:val="en-GB"/>
              </w:rPr>
            </w:pPr>
            <w:bookmarkStart w:id="47" w:name="lt_pId106"/>
            <w:r w:rsidRPr="00684290">
              <w:rPr>
                <w:sz w:val="16"/>
                <w:szCs w:val="16"/>
                <w:lang w:val="en-GB"/>
              </w:rPr>
              <w:t>1 002 000</w:t>
            </w:r>
            <w:bookmarkEnd w:id="47"/>
          </w:p>
        </w:tc>
        <w:tc>
          <w:tcPr>
            <w:tcW w:w="1134" w:type="dxa"/>
            <w:tcBorders>
              <w:top w:val="nil"/>
              <w:bottom w:val="nil"/>
              <w:right w:val="single" w:sz="8" w:space="0" w:color="000000"/>
            </w:tcBorders>
            <w:shd w:val="clear" w:color="auto" w:fill="FFF2CC"/>
            <w:tcMar>
              <w:left w:w="57" w:type="dxa"/>
            </w:tcMar>
            <w:vAlign w:val="center"/>
          </w:tcPr>
          <w:p w:rsidR="00972F2C" w:rsidRPr="00684290" w:rsidRDefault="00972F2C" w:rsidP="008B2D1A">
            <w:pPr>
              <w:spacing w:before="0"/>
              <w:jc w:val="center"/>
              <w:rPr>
                <w:sz w:val="16"/>
                <w:szCs w:val="16"/>
                <w:lang w:val="en-GB"/>
              </w:rPr>
            </w:pPr>
            <w:bookmarkStart w:id="48" w:name="lt_pId107"/>
            <w:r w:rsidRPr="00684290">
              <w:rPr>
                <w:sz w:val="16"/>
                <w:szCs w:val="16"/>
                <w:lang w:val="en-GB"/>
              </w:rPr>
              <w:t>87</w:t>
            </w:r>
            <w:r w:rsidR="00321E7E" w:rsidRPr="00684290">
              <w:rPr>
                <w:sz w:val="16"/>
                <w:szCs w:val="16"/>
                <w:lang w:val="en-GB"/>
              </w:rPr>
              <w:t xml:space="preserve"> </w:t>
            </w:r>
            <w:r w:rsidRPr="00684290">
              <w:rPr>
                <w:sz w:val="16"/>
                <w:szCs w:val="16"/>
                <w:lang w:val="en-GB"/>
              </w:rPr>
              <w:t>093</w:t>
            </w:r>
            <w:r w:rsidR="00321E7E" w:rsidRPr="00684290">
              <w:rPr>
                <w:sz w:val="16"/>
                <w:szCs w:val="16"/>
                <w:lang w:val="en-GB"/>
              </w:rPr>
              <w:t xml:space="preserve"> </w:t>
            </w:r>
            <w:r w:rsidRPr="00684290">
              <w:rPr>
                <w:sz w:val="16"/>
                <w:szCs w:val="16"/>
                <w:lang w:val="en-GB"/>
              </w:rPr>
              <w:t>180</w:t>
            </w:r>
            <w:bookmarkEnd w:id="48"/>
          </w:p>
        </w:tc>
        <w:tc>
          <w:tcPr>
            <w:tcW w:w="1276" w:type="dxa"/>
            <w:tcBorders>
              <w:top w:val="nil"/>
              <w:left w:val="single" w:sz="8" w:space="0" w:color="000000"/>
              <w:bottom w:val="nil"/>
            </w:tcBorders>
            <w:shd w:val="clear" w:color="auto" w:fill="FFF2CC"/>
            <w:tcMar>
              <w:left w:w="57" w:type="dxa"/>
            </w:tcMar>
            <w:vAlign w:val="center"/>
          </w:tcPr>
          <w:p w:rsidR="00972F2C" w:rsidRPr="00684290" w:rsidRDefault="00972F2C" w:rsidP="008B2D1A">
            <w:pPr>
              <w:spacing w:before="0"/>
              <w:jc w:val="center"/>
              <w:rPr>
                <w:sz w:val="16"/>
                <w:szCs w:val="16"/>
                <w:lang w:val="en-GB"/>
              </w:rPr>
            </w:pPr>
            <w:bookmarkStart w:id="49" w:name="lt_pId108"/>
            <w:r w:rsidRPr="00684290">
              <w:rPr>
                <w:sz w:val="16"/>
                <w:szCs w:val="16"/>
                <w:lang w:val="en-GB"/>
              </w:rPr>
              <w:t>1</w:t>
            </w:r>
            <w:r w:rsidR="00321E7E" w:rsidRPr="00684290">
              <w:rPr>
                <w:sz w:val="16"/>
                <w:szCs w:val="16"/>
                <w:lang w:val="en-GB"/>
              </w:rPr>
              <w:t xml:space="preserve"> </w:t>
            </w:r>
            <w:r w:rsidRPr="00684290">
              <w:rPr>
                <w:sz w:val="16"/>
                <w:szCs w:val="16"/>
                <w:lang w:val="en-GB"/>
              </w:rPr>
              <w:t>002</w:t>
            </w:r>
            <w:r w:rsidR="00321E7E" w:rsidRPr="00684290">
              <w:rPr>
                <w:sz w:val="16"/>
                <w:szCs w:val="16"/>
                <w:lang w:val="en-GB"/>
              </w:rPr>
              <w:t xml:space="preserve"> </w:t>
            </w:r>
            <w:r w:rsidRPr="00684290">
              <w:rPr>
                <w:sz w:val="16"/>
                <w:szCs w:val="16"/>
                <w:lang w:val="en-GB"/>
              </w:rPr>
              <w:t>000</w:t>
            </w:r>
            <w:bookmarkEnd w:id="49"/>
          </w:p>
        </w:tc>
        <w:tc>
          <w:tcPr>
            <w:tcW w:w="1276" w:type="dxa"/>
            <w:tcBorders>
              <w:top w:val="nil"/>
              <w:bottom w:val="nil"/>
              <w:right w:val="single" w:sz="8" w:space="0" w:color="000000"/>
            </w:tcBorders>
            <w:shd w:val="clear" w:color="auto" w:fill="E2EFDA"/>
            <w:tcMar>
              <w:left w:w="57" w:type="dxa"/>
            </w:tcMar>
            <w:vAlign w:val="center"/>
          </w:tcPr>
          <w:p w:rsidR="00972F2C" w:rsidRPr="00684290" w:rsidRDefault="00972F2C" w:rsidP="008B2D1A">
            <w:pPr>
              <w:spacing w:before="0"/>
              <w:jc w:val="center"/>
              <w:rPr>
                <w:sz w:val="16"/>
                <w:szCs w:val="16"/>
                <w:lang w:val="en-GB"/>
              </w:rPr>
            </w:pPr>
            <w:bookmarkStart w:id="50" w:name="lt_pId109"/>
            <w:r w:rsidRPr="00684290">
              <w:rPr>
                <w:sz w:val="16"/>
                <w:szCs w:val="16"/>
                <w:lang w:val="en-GB"/>
              </w:rPr>
              <w:t>89</w:t>
            </w:r>
            <w:r w:rsidR="00321E7E" w:rsidRPr="00684290">
              <w:rPr>
                <w:sz w:val="16"/>
                <w:szCs w:val="16"/>
                <w:lang w:val="en-GB"/>
              </w:rPr>
              <w:t xml:space="preserve"> </w:t>
            </w:r>
            <w:r w:rsidRPr="00684290">
              <w:rPr>
                <w:sz w:val="16"/>
                <w:szCs w:val="16"/>
                <w:lang w:val="en-GB"/>
              </w:rPr>
              <w:t>976</w:t>
            </w:r>
            <w:r w:rsidR="00321E7E" w:rsidRPr="00684290">
              <w:rPr>
                <w:sz w:val="16"/>
                <w:szCs w:val="16"/>
                <w:lang w:val="en-GB"/>
              </w:rPr>
              <w:t xml:space="preserve"> </w:t>
            </w:r>
            <w:r w:rsidRPr="00684290">
              <w:rPr>
                <w:sz w:val="16"/>
                <w:szCs w:val="16"/>
                <w:lang w:val="en-GB"/>
              </w:rPr>
              <w:t>063</w:t>
            </w:r>
            <w:bookmarkEnd w:id="50"/>
          </w:p>
        </w:tc>
        <w:tc>
          <w:tcPr>
            <w:tcW w:w="1417" w:type="dxa"/>
            <w:tcBorders>
              <w:top w:val="nil"/>
              <w:left w:val="single" w:sz="8" w:space="0" w:color="000000"/>
              <w:bottom w:val="nil"/>
            </w:tcBorders>
            <w:shd w:val="clear" w:color="auto" w:fill="E2EFDA"/>
            <w:tcMar>
              <w:left w:w="57" w:type="dxa"/>
            </w:tcMar>
            <w:vAlign w:val="center"/>
          </w:tcPr>
          <w:p w:rsidR="00972F2C" w:rsidRPr="00684290" w:rsidRDefault="00972F2C" w:rsidP="008B2D1A">
            <w:pPr>
              <w:spacing w:before="0"/>
              <w:jc w:val="center"/>
              <w:rPr>
                <w:sz w:val="16"/>
                <w:szCs w:val="16"/>
                <w:lang w:val="en-GB"/>
              </w:rPr>
            </w:pPr>
            <w:bookmarkStart w:id="51" w:name="lt_pId110"/>
            <w:r w:rsidRPr="00684290">
              <w:rPr>
                <w:sz w:val="16"/>
                <w:szCs w:val="16"/>
                <w:lang w:val="en-GB"/>
              </w:rPr>
              <w:t>650 000</w:t>
            </w:r>
            <w:bookmarkEnd w:id="51"/>
          </w:p>
        </w:tc>
      </w:tr>
      <w:tr w:rsidR="008C641C" w:rsidRPr="00684290" w:rsidTr="00F97AFC">
        <w:trPr>
          <w:trHeight w:hRule="exact" w:val="227"/>
          <w:jc w:val="center"/>
        </w:trPr>
        <w:tc>
          <w:tcPr>
            <w:tcW w:w="2552" w:type="dxa"/>
            <w:gridSpan w:val="2"/>
            <w:tcBorders>
              <w:top w:val="nil"/>
              <w:bottom w:val="nil"/>
              <w:right w:val="double" w:sz="4" w:space="0" w:color="000000"/>
            </w:tcBorders>
            <w:tcMar>
              <w:left w:w="85" w:type="dxa"/>
            </w:tcMar>
          </w:tcPr>
          <w:p w:rsidR="008C641C" w:rsidRPr="00684290" w:rsidRDefault="008C641C" w:rsidP="008003D5">
            <w:pPr>
              <w:spacing w:before="0"/>
              <w:rPr>
                <w:sz w:val="16"/>
                <w:szCs w:val="16"/>
              </w:rPr>
            </w:pPr>
          </w:p>
        </w:tc>
        <w:tc>
          <w:tcPr>
            <w:tcW w:w="1134" w:type="dxa"/>
            <w:tcBorders>
              <w:top w:val="nil"/>
              <w:left w:val="double" w:sz="4" w:space="0" w:color="000000"/>
              <w:bottom w:val="nil"/>
              <w:right w:val="single" w:sz="8" w:space="0" w:color="000000"/>
            </w:tcBorders>
            <w:tcMar>
              <w:left w:w="57" w:type="dxa"/>
            </w:tcMar>
            <w:vAlign w:val="center"/>
          </w:tcPr>
          <w:p w:rsidR="008C641C" w:rsidRPr="00684290" w:rsidRDefault="008C641C" w:rsidP="008B2D1A">
            <w:pPr>
              <w:spacing w:before="0"/>
              <w:jc w:val="center"/>
              <w:rPr>
                <w:sz w:val="16"/>
                <w:szCs w:val="16"/>
              </w:rPr>
            </w:pPr>
          </w:p>
        </w:tc>
        <w:tc>
          <w:tcPr>
            <w:tcW w:w="1417" w:type="dxa"/>
            <w:tcBorders>
              <w:top w:val="nil"/>
              <w:left w:val="single" w:sz="8" w:space="0" w:color="000000"/>
              <w:bottom w:val="nil"/>
            </w:tcBorders>
            <w:tcMar>
              <w:left w:w="57" w:type="dxa"/>
            </w:tcMar>
            <w:vAlign w:val="center"/>
          </w:tcPr>
          <w:p w:rsidR="008C641C" w:rsidRPr="00684290" w:rsidRDefault="008C641C" w:rsidP="008B2D1A">
            <w:pPr>
              <w:spacing w:before="0"/>
              <w:jc w:val="center"/>
              <w:rPr>
                <w:sz w:val="16"/>
                <w:szCs w:val="16"/>
              </w:rPr>
            </w:pPr>
          </w:p>
        </w:tc>
        <w:tc>
          <w:tcPr>
            <w:tcW w:w="1134" w:type="dxa"/>
            <w:tcBorders>
              <w:top w:val="nil"/>
              <w:bottom w:val="nil"/>
              <w:right w:val="single" w:sz="8" w:space="0" w:color="000000"/>
            </w:tcBorders>
            <w:tcMar>
              <w:left w:w="57" w:type="dxa"/>
            </w:tcMar>
            <w:vAlign w:val="center"/>
          </w:tcPr>
          <w:p w:rsidR="008C641C" w:rsidRPr="00684290" w:rsidRDefault="008C641C" w:rsidP="008B2D1A">
            <w:pPr>
              <w:spacing w:before="0"/>
              <w:jc w:val="center"/>
              <w:rPr>
                <w:sz w:val="16"/>
                <w:szCs w:val="16"/>
              </w:rPr>
            </w:pPr>
          </w:p>
        </w:tc>
        <w:tc>
          <w:tcPr>
            <w:tcW w:w="1276" w:type="dxa"/>
            <w:tcBorders>
              <w:top w:val="nil"/>
              <w:left w:val="single" w:sz="8" w:space="0" w:color="000000"/>
              <w:bottom w:val="nil"/>
            </w:tcBorders>
            <w:tcMar>
              <w:left w:w="57" w:type="dxa"/>
            </w:tcMar>
            <w:vAlign w:val="center"/>
          </w:tcPr>
          <w:p w:rsidR="008C641C" w:rsidRPr="00684290" w:rsidRDefault="008C641C" w:rsidP="008B2D1A">
            <w:pPr>
              <w:spacing w:before="0"/>
              <w:jc w:val="center"/>
              <w:rPr>
                <w:sz w:val="16"/>
                <w:szCs w:val="16"/>
              </w:rPr>
            </w:pPr>
          </w:p>
        </w:tc>
        <w:tc>
          <w:tcPr>
            <w:tcW w:w="1276" w:type="dxa"/>
            <w:tcBorders>
              <w:top w:val="nil"/>
              <w:bottom w:val="nil"/>
              <w:right w:val="single" w:sz="8" w:space="0" w:color="000000"/>
            </w:tcBorders>
            <w:tcMar>
              <w:left w:w="57" w:type="dxa"/>
            </w:tcMar>
            <w:vAlign w:val="center"/>
          </w:tcPr>
          <w:p w:rsidR="008C641C" w:rsidRPr="00684290" w:rsidRDefault="008C641C" w:rsidP="008B2D1A">
            <w:pPr>
              <w:spacing w:before="0"/>
              <w:jc w:val="center"/>
              <w:rPr>
                <w:sz w:val="16"/>
                <w:szCs w:val="16"/>
              </w:rPr>
            </w:pPr>
          </w:p>
        </w:tc>
        <w:tc>
          <w:tcPr>
            <w:tcW w:w="1417" w:type="dxa"/>
            <w:tcBorders>
              <w:top w:val="nil"/>
              <w:left w:val="single" w:sz="8" w:space="0" w:color="000000"/>
              <w:bottom w:val="nil"/>
            </w:tcBorders>
            <w:tcMar>
              <w:left w:w="57" w:type="dxa"/>
            </w:tcMar>
            <w:vAlign w:val="center"/>
          </w:tcPr>
          <w:p w:rsidR="008C641C" w:rsidRPr="00684290" w:rsidRDefault="008C641C" w:rsidP="008B2D1A">
            <w:pPr>
              <w:spacing w:before="0"/>
              <w:jc w:val="center"/>
              <w:rPr>
                <w:sz w:val="16"/>
                <w:szCs w:val="16"/>
              </w:rPr>
            </w:pPr>
          </w:p>
        </w:tc>
      </w:tr>
      <w:tr w:rsidR="00972F2C" w:rsidRPr="00684290" w:rsidTr="00F97AFC">
        <w:trPr>
          <w:trHeight w:hRule="exact" w:val="624"/>
          <w:jc w:val="center"/>
        </w:trPr>
        <w:tc>
          <w:tcPr>
            <w:tcW w:w="567" w:type="dxa"/>
            <w:tcBorders>
              <w:top w:val="nil"/>
              <w:bottom w:val="nil"/>
              <w:right w:val="nil"/>
            </w:tcBorders>
            <w:tcMar>
              <w:left w:w="85" w:type="dxa"/>
            </w:tcMar>
          </w:tcPr>
          <w:p w:rsidR="00972F2C" w:rsidRPr="00684290" w:rsidRDefault="00972F2C" w:rsidP="008003D5">
            <w:pPr>
              <w:pStyle w:val="Tabletext"/>
              <w:spacing w:before="0" w:after="0"/>
              <w:rPr>
                <w:sz w:val="16"/>
                <w:szCs w:val="16"/>
              </w:rPr>
            </w:pPr>
            <w:r w:rsidRPr="00684290">
              <w:rPr>
                <w:sz w:val="16"/>
                <w:szCs w:val="16"/>
                <w:lang w:val="en-US"/>
              </w:rPr>
              <w:t>CFC 3</w:t>
            </w:r>
          </w:p>
        </w:tc>
        <w:tc>
          <w:tcPr>
            <w:tcW w:w="1985" w:type="dxa"/>
            <w:tcBorders>
              <w:top w:val="nil"/>
              <w:left w:val="nil"/>
              <w:bottom w:val="nil"/>
              <w:right w:val="double" w:sz="4" w:space="0" w:color="000000"/>
            </w:tcBorders>
          </w:tcPr>
          <w:p w:rsidR="00972F2C" w:rsidRPr="00684290" w:rsidRDefault="00F9756B" w:rsidP="008003D5">
            <w:pPr>
              <w:spacing w:before="0"/>
              <w:rPr>
                <w:sz w:val="16"/>
                <w:szCs w:val="16"/>
              </w:rPr>
            </w:pPr>
            <w:r w:rsidRPr="00684290">
              <w:rPr>
                <w:sz w:val="16"/>
                <w:szCs w:val="16"/>
              </w:rPr>
              <w:t>Équipements</w:t>
            </w:r>
            <w:r w:rsidR="00A707E8" w:rsidRPr="00684290">
              <w:rPr>
                <w:sz w:val="16"/>
                <w:szCs w:val="16"/>
              </w:rPr>
              <w:t xml:space="preserve"> d'exploitation</w:t>
            </w:r>
            <w:r w:rsidR="00972F2C" w:rsidRPr="00684290">
              <w:rPr>
                <w:sz w:val="16"/>
                <w:szCs w:val="16"/>
              </w:rPr>
              <w:t xml:space="preserve"> (</w:t>
            </w:r>
            <w:r w:rsidR="00A707E8" w:rsidRPr="00684290">
              <w:rPr>
                <w:sz w:val="16"/>
                <w:szCs w:val="16"/>
              </w:rPr>
              <w:t>cuisine</w:t>
            </w:r>
            <w:r w:rsidR="00972F2C" w:rsidRPr="00684290">
              <w:rPr>
                <w:sz w:val="16"/>
                <w:szCs w:val="16"/>
              </w:rPr>
              <w:t xml:space="preserve">, </w:t>
            </w:r>
            <w:r w:rsidR="00A707E8" w:rsidRPr="00684290">
              <w:rPr>
                <w:sz w:val="16"/>
                <w:szCs w:val="16"/>
              </w:rPr>
              <w:t>équipements audiovisuels, mobilier fixe)</w:t>
            </w:r>
          </w:p>
        </w:tc>
        <w:tc>
          <w:tcPr>
            <w:tcW w:w="1134" w:type="dxa"/>
            <w:tcBorders>
              <w:top w:val="nil"/>
              <w:left w:val="double" w:sz="4" w:space="0" w:color="000000"/>
              <w:bottom w:val="nil"/>
              <w:right w:val="single" w:sz="8" w:space="0" w:color="000000"/>
            </w:tcBorders>
            <w:shd w:val="clear" w:color="auto" w:fill="FCE4D6"/>
            <w:tcMar>
              <w:left w:w="57" w:type="dxa"/>
            </w:tcMar>
            <w:vAlign w:val="center"/>
          </w:tcPr>
          <w:p w:rsidR="00972F2C" w:rsidRPr="00684290" w:rsidRDefault="00972F2C" w:rsidP="008B2D1A">
            <w:pPr>
              <w:spacing w:before="0"/>
              <w:jc w:val="center"/>
              <w:rPr>
                <w:sz w:val="16"/>
                <w:szCs w:val="16"/>
                <w:lang w:val="en-GB"/>
              </w:rPr>
            </w:pPr>
            <w:bookmarkStart w:id="52" w:name="lt_pId111"/>
            <w:r w:rsidRPr="00684290">
              <w:rPr>
                <w:sz w:val="16"/>
                <w:szCs w:val="16"/>
                <w:lang w:val="en-GB"/>
              </w:rPr>
              <w:t>8 070 000</w:t>
            </w:r>
            <w:bookmarkEnd w:id="52"/>
          </w:p>
        </w:tc>
        <w:tc>
          <w:tcPr>
            <w:tcW w:w="1417" w:type="dxa"/>
            <w:tcBorders>
              <w:top w:val="nil"/>
              <w:left w:val="single" w:sz="8" w:space="0" w:color="000000"/>
              <w:bottom w:val="nil"/>
            </w:tcBorders>
            <w:shd w:val="clear" w:color="auto" w:fill="FCE4D6"/>
            <w:tcMar>
              <w:left w:w="57" w:type="dxa"/>
            </w:tcMar>
            <w:vAlign w:val="center"/>
          </w:tcPr>
          <w:p w:rsidR="00972F2C" w:rsidRPr="00684290" w:rsidRDefault="00972F2C" w:rsidP="008B2D1A">
            <w:pPr>
              <w:spacing w:before="0"/>
              <w:jc w:val="center"/>
              <w:rPr>
                <w:sz w:val="16"/>
                <w:szCs w:val="16"/>
                <w:lang w:val="en-GB"/>
              </w:rPr>
            </w:pPr>
            <w:bookmarkStart w:id="53" w:name="lt_pId112"/>
            <w:r w:rsidRPr="00684290">
              <w:rPr>
                <w:sz w:val="16"/>
                <w:szCs w:val="16"/>
                <w:lang w:val="en-GB"/>
              </w:rPr>
              <w:t>6 498 322</w:t>
            </w:r>
            <w:bookmarkEnd w:id="53"/>
          </w:p>
        </w:tc>
        <w:tc>
          <w:tcPr>
            <w:tcW w:w="1134" w:type="dxa"/>
            <w:tcBorders>
              <w:top w:val="nil"/>
              <w:bottom w:val="nil"/>
              <w:right w:val="single" w:sz="8" w:space="0" w:color="000000"/>
            </w:tcBorders>
            <w:shd w:val="clear" w:color="auto" w:fill="FFF2CC"/>
            <w:tcMar>
              <w:left w:w="57" w:type="dxa"/>
            </w:tcMar>
            <w:vAlign w:val="center"/>
          </w:tcPr>
          <w:p w:rsidR="00972F2C" w:rsidRPr="00684290" w:rsidRDefault="00972F2C" w:rsidP="008B2D1A">
            <w:pPr>
              <w:spacing w:before="0"/>
              <w:jc w:val="center"/>
              <w:rPr>
                <w:sz w:val="16"/>
                <w:szCs w:val="16"/>
                <w:lang w:val="en-GB"/>
              </w:rPr>
            </w:pPr>
            <w:bookmarkStart w:id="54" w:name="lt_pId113"/>
            <w:r w:rsidRPr="00684290">
              <w:rPr>
                <w:sz w:val="16"/>
                <w:szCs w:val="16"/>
                <w:lang w:val="en-GB"/>
              </w:rPr>
              <w:t>7 551 872</w:t>
            </w:r>
            <w:bookmarkEnd w:id="54"/>
          </w:p>
        </w:tc>
        <w:tc>
          <w:tcPr>
            <w:tcW w:w="1276" w:type="dxa"/>
            <w:tcBorders>
              <w:top w:val="nil"/>
              <w:left w:val="single" w:sz="8" w:space="0" w:color="000000"/>
              <w:bottom w:val="nil"/>
            </w:tcBorders>
            <w:shd w:val="clear" w:color="auto" w:fill="FFF2CC"/>
            <w:tcMar>
              <w:left w:w="57" w:type="dxa"/>
            </w:tcMar>
            <w:vAlign w:val="center"/>
          </w:tcPr>
          <w:p w:rsidR="00972F2C" w:rsidRPr="00684290" w:rsidRDefault="00972F2C" w:rsidP="008B2D1A">
            <w:pPr>
              <w:spacing w:before="0"/>
              <w:jc w:val="center"/>
              <w:rPr>
                <w:sz w:val="16"/>
                <w:szCs w:val="16"/>
                <w:lang w:val="en-GB"/>
              </w:rPr>
            </w:pPr>
            <w:bookmarkStart w:id="55" w:name="lt_pId114"/>
            <w:r w:rsidRPr="00684290">
              <w:rPr>
                <w:sz w:val="16"/>
                <w:szCs w:val="16"/>
                <w:lang w:val="en-GB"/>
              </w:rPr>
              <w:t>6 498 322</w:t>
            </w:r>
            <w:bookmarkEnd w:id="55"/>
          </w:p>
        </w:tc>
        <w:tc>
          <w:tcPr>
            <w:tcW w:w="1276" w:type="dxa"/>
            <w:tcBorders>
              <w:top w:val="nil"/>
              <w:bottom w:val="nil"/>
              <w:right w:val="single" w:sz="8" w:space="0" w:color="000000"/>
            </w:tcBorders>
            <w:shd w:val="clear" w:color="auto" w:fill="E2EFDA"/>
            <w:tcMar>
              <w:left w:w="57" w:type="dxa"/>
            </w:tcMar>
            <w:vAlign w:val="center"/>
          </w:tcPr>
          <w:p w:rsidR="00972F2C" w:rsidRPr="00684290" w:rsidRDefault="00972F2C" w:rsidP="008B2D1A">
            <w:pPr>
              <w:spacing w:before="0"/>
              <w:jc w:val="center"/>
              <w:rPr>
                <w:sz w:val="16"/>
                <w:szCs w:val="16"/>
                <w:lang w:val="en-GB"/>
              </w:rPr>
            </w:pPr>
            <w:bookmarkStart w:id="56" w:name="lt_pId115"/>
            <w:r w:rsidRPr="00684290">
              <w:rPr>
                <w:sz w:val="16"/>
                <w:szCs w:val="16"/>
                <w:lang w:val="en-GB"/>
              </w:rPr>
              <w:t>14 302 523</w:t>
            </w:r>
            <w:bookmarkEnd w:id="56"/>
          </w:p>
        </w:tc>
        <w:tc>
          <w:tcPr>
            <w:tcW w:w="1417" w:type="dxa"/>
            <w:tcBorders>
              <w:top w:val="nil"/>
              <w:left w:val="single" w:sz="8" w:space="0" w:color="000000"/>
              <w:bottom w:val="nil"/>
            </w:tcBorders>
            <w:shd w:val="clear" w:color="auto" w:fill="E2EFDA"/>
            <w:tcMar>
              <w:left w:w="57" w:type="dxa"/>
            </w:tcMar>
            <w:vAlign w:val="center"/>
          </w:tcPr>
          <w:p w:rsidR="00972F2C" w:rsidRPr="00684290" w:rsidRDefault="00972F2C" w:rsidP="008B2D1A">
            <w:pPr>
              <w:spacing w:before="0"/>
              <w:jc w:val="center"/>
              <w:rPr>
                <w:sz w:val="16"/>
                <w:szCs w:val="16"/>
                <w:lang w:val="en-GB"/>
              </w:rPr>
            </w:pPr>
            <w:bookmarkStart w:id="57" w:name="lt_pId116"/>
            <w:r w:rsidRPr="00684290">
              <w:rPr>
                <w:sz w:val="16"/>
                <w:szCs w:val="16"/>
                <w:lang w:val="en-GB"/>
              </w:rPr>
              <w:t>0</w:t>
            </w:r>
            <w:bookmarkEnd w:id="57"/>
          </w:p>
        </w:tc>
      </w:tr>
      <w:tr w:rsidR="008C641C" w:rsidRPr="00684290" w:rsidTr="00F97AFC">
        <w:trPr>
          <w:trHeight w:hRule="exact" w:val="403"/>
          <w:jc w:val="center"/>
        </w:trPr>
        <w:tc>
          <w:tcPr>
            <w:tcW w:w="2552" w:type="dxa"/>
            <w:gridSpan w:val="2"/>
            <w:tcBorders>
              <w:top w:val="nil"/>
              <w:bottom w:val="nil"/>
              <w:right w:val="double" w:sz="4" w:space="0" w:color="000000"/>
            </w:tcBorders>
            <w:tcMar>
              <w:left w:w="85" w:type="dxa"/>
            </w:tcMar>
          </w:tcPr>
          <w:p w:rsidR="008C641C" w:rsidRPr="00684290" w:rsidRDefault="008C641C" w:rsidP="008003D5">
            <w:pPr>
              <w:spacing w:before="0"/>
              <w:rPr>
                <w:sz w:val="16"/>
                <w:szCs w:val="16"/>
              </w:rPr>
            </w:pPr>
          </w:p>
        </w:tc>
        <w:tc>
          <w:tcPr>
            <w:tcW w:w="1134" w:type="dxa"/>
            <w:tcBorders>
              <w:top w:val="nil"/>
              <w:left w:val="double" w:sz="4" w:space="0" w:color="000000"/>
              <w:bottom w:val="nil"/>
              <w:right w:val="single" w:sz="8" w:space="0" w:color="000000"/>
            </w:tcBorders>
            <w:tcMar>
              <w:left w:w="57" w:type="dxa"/>
            </w:tcMar>
            <w:vAlign w:val="center"/>
          </w:tcPr>
          <w:p w:rsidR="008C641C" w:rsidRPr="00684290" w:rsidRDefault="008C641C" w:rsidP="008B2D1A">
            <w:pPr>
              <w:spacing w:before="0"/>
              <w:jc w:val="center"/>
              <w:rPr>
                <w:sz w:val="16"/>
                <w:szCs w:val="16"/>
              </w:rPr>
            </w:pPr>
          </w:p>
        </w:tc>
        <w:tc>
          <w:tcPr>
            <w:tcW w:w="1417" w:type="dxa"/>
            <w:tcBorders>
              <w:top w:val="nil"/>
              <w:left w:val="single" w:sz="8" w:space="0" w:color="000000"/>
              <w:bottom w:val="nil"/>
            </w:tcBorders>
            <w:tcMar>
              <w:left w:w="57" w:type="dxa"/>
            </w:tcMar>
            <w:vAlign w:val="center"/>
          </w:tcPr>
          <w:p w:rsidR="008C641C" w:rsidRPr="00684290" w:rsidRDefault="008C641C" w:rsidP="008B2D1A">
            <w:pPr>
              <w:spacing w:before="0"/>
              <w:jc w:val="center"/>
              <w:rPr>
                <w:sz w:val="16"/>
                <w:szCs w:val="16"/>
              </w:rPr>
            </w:pPr>
          </w:p>
        </w:tc>
        <w:tc>
          <w:tcPr>
            <w:tcW w:w="1134" w:type="dxa"/>
            <w:tcBorders>
              <w:top w:val="nil"/>
              <w:bottom w:val="nil"/>
              <w:right w:val="single" w:sz="8" w:space="0" w:color="000000"/>
            </w:tcBorders>
            <w:tcMar>
              <w:left w:w="57" w:type="dxa"/>
            </w:tcMar>
            <w:vAlign w:val="center"/>
          </w:tcPr>
          <w:p w:rsidR="008C641C" w:rsidRPr="00684290" w:rsidRDefault="008C641C" w:rsidP="008B2D1A">
            <w:pPr>
              <w:spacing w:before="0"/>
              <w:jc w:val="center"/>
              <w:rPr>
                <w:sz w:val="16"/>
                <w:szCs w:val="16"/>
              </w:rPr>
            </w:pPr>
          </w:p>
        </w:tc>
        <w:tc>
          <w:tcPr>
            <w:tcW w:w="1276" w:type="dxa"/>
            <w:tcBorders>
              <w:top w:val="nil"/>
              <w:left w:val="single" w:sz="8" w:space="0" w:color="000000"/>
              <w:bottom w:val="nil"/>
            </w:tcBorders>
            <w:tcMar>
              <w:left w:w="57" w:type="dxa"/>
            </w:tcMar>
            <w:vAlign w:val="center"/>
          </w:tcPr>
          <w:p w:rsidR="008C641C" w:rsidRPr="00684290" w:rsidRDefault="008C641C" w:rsidP="008B2D1A">
            <w:pPr>
              <w:spacing w:before="0"/>
              <w:jc w:val="center"/>
              <w:rPr>
                <w:sz w:val="16"/>
                <w:szCs w:val="16"/>
              </w:rPr>
            </w:pPr>
          </w:p>
        </w:tc>
        <w:tc>
          <w:tcPr>
            <w:tcW w:w="1276" w:type="dxa"/>
            <w:tcBorders>
              <w:top w:val="nil"/>
              <w:bottom w:val="nil"/>
              <w:right w:val="single" w:sz="8" w:space="0" w:color="000000"/>
            </w:tcBorders>
            <w:tcMar>
              <w:left w:w="57" w:type="dxa"/>
            </w:tcMar>
            <w:vAlign w:val="center"/>
          </w:tcPr>
          <w:p w:rsidR="008C641C" w:rsidRPr="00684290" w:rsidRDefault="008C641C" w:rsidP="008B2D1A">
            <w:pPr>
              <w:spacing w:before="0"/>
              <w:jc w:val="center"/>
              <w:rPr>
                <w:sz w:val="16"/>
                <w:szCs w:val="16"/>
              </w:rPr>
            </w:pPr>
          </w:p>
        </w:tc>
        <w:tc>
          <w:tcPr>
            <w:tcW w:w="1417" w:type="dxa"/>
            <w:tcBorders>
              <w:top w:val="nil"/>
              <w:left w:val="single" w:sz="8" w:space="0" w:color="000000"/>
              <w:bottom w:val="nil"/>
            </w:tcBorders>
            <w:tcMar>
              <w:left w:w="57" w:type="dxa"/>
            </w:tcMar>
            <w:vAlign w:val="center"/>
          </w:tcPr>
          <w:p w:rsidR="008C641C" w:rsidRPr="00684290" w:rsidRDefault="008C641C" w:rsidP="008B2D1A">
            <w:pPr>
              <w:spacing w:before="0"/>
              <w:jc w:val="center"/>
              <w:rPr>
                <w:sz w:val="16"/>
                <w:szCs w:val="16"/>
              </w:rPr>
            </w:pPr>
          </w:p>
        </w:tc>
      </w:tr>
      <w:tr w:rsidR="00972F2C" w:rsidRPr="00684290" w:rsidTr="00F97AFC">
        <w:trPr>
          <w:trHeight w:hRule="exact" w:val="624"/>
          <w:jc w:val="center"/>
        </w:trPr>
        <w:tc>
          <w:tcPr>
            <w:tcW w:w="567" w:type="dxa"/>
            <w:tcBorders>
              <w:top w:val="nil"/>
              <w:bottom w:val="nil"/>
              <w:right w:val="nil"/>
            </w:tcBorders>
            <w:tcMar>
              <w:left w:w="85" w:type="dxa"/>
            </w:tcMar>
            <w:vAlign w:val="center"/>
          </w:tcPr>
          <w:p w:rsidR="00972F2C" w:rsidRPr="00A93DB4" w:rsidRDefault="00972F2C" w:rsidP="00AC4D4F">
            <w:pPr>
              <w:pStyle w:val="Tabletext"/>
              <w:spacing w:before="0" w:after="0"/>
              <w:rPr>
                <w:sz w:val="16"/>
                <w:szCs w:val="16"/>
                <w:lang w:val="fr-BE"/>
              </w:rPr>
            </w:pPr>
            <w:r w:rsidRPr="00684290">
              <w:rPr>
                <w:sz w:val="16"/>
                <w:szCs w:val="16"/>
                <w:lang w:val="en-US"/>
              </w:rPr>
              <w:t xml:space="preserve">CFC </w:t>
            </w:r>
            <w:r w:rsidR="00A707E8" w:rsidRPr="00684290">
              <w:rPr>
                <w:sz w:val="16"/>
                <w:szCs w:val="16"/>
                <w:lang w:val="en-US"/>
              </w:rPr>
              <w:t>4</w:t>
            </w:r>
          </w:p>
        </w:tc>
        <w:tc>
          <w:tcPr>
            <w:tcW w:w="1985" w:type="dxa"/>
            <w:tcBorders>
              <w:top w:val="nil"/>
              <w:left w:val="nil"/>
              <w:bottom w:val="nil"/>
              <w:right w:val="double" w:sz="4" w:space="0" w:color="000000"/>
            </w:tcBorders>
            <w:vAlign w:val="center"/>
          </w:tcPr>
          <w:p w:rsidR="00972F2C" w:rsidRPr="00684290" w:rsidRDefault="00A707E8" w:rsidP="00AC4D4F">
            <w:pPr>
              <w:spacing w:before="0"/>
              <w:rPr>
                <w:sz w:val="16"/>
                <w:szCs w:val="16"/>
              </w:rPr>
            </w:pPr>
            <w:r w:rsidRPr="00A93DB4">
              <w:rPr>
                <w:sz w:val="16"/>
                <w:szCs w:val="16"/>
                <w:lang w:val="fr-BE"/>
              </w:rPr>
              <w:t>Aménagements extérieurs</w:t>
            </w:r>
          </w:p>
        </w:tc>
        <w:tc>
          <w:tcPr>
            <w:tcW w:w="1134" w:type="dxa"/>
            <w:tcBorders>
              <w:top w:val="nil"/>
              <w:left w:val="double" w:sz="4" w:space="0" w:color="000000"/>
              <w:bottom w:val="single" w:sz="4" w:space="0" w:color="E7E6E6"/>
              <w:right w:val="single" w:sz="8" w:space="0" w:color="000000"/>
            </w:tcBorders>
            <w:shd w:val="clear" w:color="auto" w:fill="FCE4D6"/>
            <w:tcMar>
              <w:left w:w="57" w:type="dxa"/>
            </w:tcMar>
            <w:vAlign w:val="center"/>
          </w:tcPr>
          <w:p w:rsidR="00972F2C" w:rsidRPr="00684290" w:rsidRDefault="00972F2C" w:rsidP="008B2D1A">
            <w:pPr>
              <w:spacing w:before="0"/>
              <w:jc w:val="center"/>
              <w:rPr>
                <w:sz w:val="16"/>
                <w:szCs w:val="16"/>
                <w:lang w:val="en-GB"/>
              </w:rPr>
            </w:pPr>
            <w:bookmarkStart w:id="58" w:name="lt_pId117"/>
            <w:r w:rsidRPr="00684290">
              <w:rPr>
                <w:sz w:val="16"/>
                <w:szCs w:val="16"/>
                <w:lang w:val="en-GB"/>
              </w:rPr>
              <w:t>3 260 000</w:t>
            </w:r>
            <w:bookmarkEnd w:id="58"/>
          </w:p>
        </w:tc>
        <w:tc>
          <w:tcPr>
            <w:tcW w:w="1417" w:type="dxa"/>
            <w:tcBorders>
              <w:top w:val="nil"/>
              <w:left w:val="single" w:sz="8" w:space="0" w:color="000000"/>
              <w:bottom w:val="single" w:sz="4" w:space="0" w:color="E7E6E6"/>
            </w:tcBorders>
            <w:shd w:val="clear" w:color="auto" w:fill="FCE4D6"/>
            <w:tcMar>
              <w:left w:w="57" w:type="dxa"/>
            </w:tcMar>
            <w:vAlign w:val="center"/>
          </w:tcPr>
          <w:p w:rsidR="00972F2C" w:rsidRPr="00684290" w:rsidRDefault="00972F2C" w:rsidP="008B2D1A">
            <w:pPr>
              <w:spacing w:before="0"/>
              <w:jc w:val="center"/>
              <w:rPr>
                <w:sz w:val="16"/>
                <w:szCs w:val="16"/>
                <w:lang w:val="en-GB"/>
              </w:rPr>
            </w:pPr>
            <w:bookmarkStart w:id="59" w:name="lt_pId118"/>
            <w:r w:rsidRPr="00684290">
              <w:rPr>
                <w:sz w:val="16"/>
                <w:szCs w:val="16"/>
                <w:lang w:val="en-GB"/>
              </w:rPr>
              <w:t>1 561 138</w:t>
            </w:r>
            <w:bookmarkEnd w:id="59"/>
          </w:p>
        </w:tc>
        <w:tc>
          <w:tcPr>
            <w:tcW w:w="1134" w:type="dxa"/>
            <w:tcBorders>
              <w:top w:val="nil"/>
              <w:bottom w:val="single" w:sz="4" w:space="0" w:color="E7E6E6"/>
              <w:right w:val="single" w:sz="8" w:space="0" w:color="000000"/>
            </w:tcBorders>
            <w:shd w:val="clear" w:color="auto" w:fill="FFF2CC"/>
            <w:tcMar>
              <w:left w:w="57" w:type="dxa"/>
            </w:tcMar>
            <w:vAlign w:val="center"/>
          </w:tcPr>
          <w:p w:rsidR="00972F2C" w:rsidRPr="00684290" w:rsidRDefault="00972F2C" w:rsidP="008B2D1A">
            <w:pPr>
              <w:spacing w:before="0"/>
              <w:jc w:val="center"/>
              <w:rPr>
                <w:sz w:val="16"/>
                <w:szCs w:val="16"/>
                <w:lang w:val="en-GB"/>
              </w:rPr>
            </w:pPr>
            <w:bookmarkStart w:id="60" w:name="lt_pId119"/>
            <w:r w:rsidRPr="00684290">
              <w:rPr>
                <w:sz w:val="16"/>
                <w:szCs w:val="16"/>
                <w:lang w:val="en-GB"/>
              </w:rPr>
              <w:t>2 980 093</w:t>
            </w:r>
            <w:bookmarkEnd w:id="60"/>
          </w:p>
        </w:tc>
        <w:tc>
          <w:tcPr>
            <w:tcW w:w="1276" w:type="dxa"/>
            <w:tcBorders>
              <w:top w:val="nil"/>
              <w:left w:val="single" w:sz="8" w:space="0" w:color="000000"/>
              <w:bottom w:val="single" w:sz="4" w:space="0" w:color="E7E6E6"/>
            </w:tcBorders>
            <w:shd w:val="clear" w:color="auto" w:fill="FFF2CC"/>
            <w:tcMar>
              <w:left w:w="57" w:type="dxa"/>
            </w:tcMar>
            <w:vAlign w:val="center"/>
          </w:tcPr>
          <w:p w:rsidR="00972F2C" w:rsidRPr="00684290" w:rsidRDefault="00972F2C" w:rsidP="008B2D1A">
            <w:pPr>
              <w:spacing w:before="0"/>
              <w:jc w:val="center"/>
              <w:rPr>
                <w:sz w:val="16"/>
                <w:szCs w:val="16"/>
                <w:lang w:val="en-GB"/>
              </w:rPr>
            </w:pPr>
            <w:bookmarkStart w:id="61" w:name="lt_pId120"/>
            <w:r w:rsidRPr="00684290">
              <w:rPr>
                <w:sz w:val="16"/>
                <w:szCs w:val="16"/>
                <w:lang w:val="en-GB"/>
              </w:rPr>
              <w:t>1 561 138</w:t>
            </w:r>
            <w:bookmarkEnd w:id="61"/>
          </w:p>
        </w:tc>
        <w:tc>
          <w:tcPr>
            <w:tcW w:w="1276" w:type="dxa"/>
            <w:tcBorders>
              <w:top w:val="nil"/>
              <w:bottom w:val="single" w:sz="4" w:space="0" w:color="E7E6E6"/>
              <w:right w:val="single" w:sz="8" w:space="0" w:color="000000"/>
            </w:tcBorders>
            <w:shd w:val="clear" w:color="auto" w:fill="E2EFDA"/>
            <w:tcMar>
              <w:left w:w="57" w:type="dxa"/>
            </w:tcMar>
            <w:vAlign w:val="center"/>
          </w:tcPr>
          <w:p w:rsidR="00972F2C" w:rsidRPr="00684290" w:rsidRDefault="00972F2C" w:rsidP="008B2D1A">
            <w:pPr>
              <w:spacing w:before="0"/>
              <w:jc w:val="center"/>
              <w:rPr>
                <w:sz w:val="16"/>
                <w:szCs w:val="16"/>
                <w:lang w:val="en-GB"/>
              </w:rPr>
            </w:pPr>
            <w:bookmarkStart w:id="62" w:name="lt_pId121"/>
            <w:r w:rsidRPr="00684290">
              <w:rPr>
                <w:sz w:val="16"/>
                <w:szCs w:val="16"/>
                <w:lang w:val="en-GB"/>
              </w:rPr>
              <w:t>4 872 909</w:t>
            </w:r>
            <w:bookmarkEnd w:id="62"/>
          </w:p>
        </w:tc>
        <w:tc>
          <w:tcPr>
            <w:tcW w:w="1417" w:type="dxa"/>
            <w:tcBorders>
              <w:top w:val="nil"/>
              <w:left w:val="single" w:sz="8" w:space="0" w:color="000000"/>
              <w:bottom w:val="single" w:sz="4" w:space="0" w:color="E7E6E6"/>
            </w:tcBorders>
            <w:shd w:val="clear" w:color="auto" w:fill="E2EFDA"/>
            <w:tcMar>
              <w:left w:w="57" w:type="dxa"/>
            </w:tcMar>
            <w:vAlign w:val="center"/>
          </w:tcPr>
          <w:p w:rsidR="00972F2C" w:rsidRPr="00684290" w:rsidRDefault="00972F2C" w:rsidP="008B2D1A">
            <w:pPr>
              <w:spacing w:before="0"/>
              <w:jc w:val="center"/>
              <w:rPr>
                <w:sz w:val="16"/>
                <w:szCs w:val="16"/>
                <w:lang w:val="en-GB"/>
              </w:rPr>
            </w:pPr>
            <w:bookmarkStart w:id="63" w:name="lt_pId122"/>
            <w:r w:rsidRPr="00684290">
              <w:rPr>
                <w:sz w:val="16"/>
                <w:szCs w:val="16"/>
                <w:lang w:val="en-GB"/>
              </w:rPr>
              <w:t>0</w:t>
            </w:r>
            <w:bookmarkEnd w:id="63"/>
          </w:p>
        </w:tc>
      </w:tr>
      <w:tr w:rsidR="008C641C" w:rsidRPr="00684290" w:rsidTr="00F97AFC">
        <w:trPr>
          <w:trHeight w:hRule="exact" w:val="227"/>
          <w:jc w:val="center"/>
        </w:trPr>
        <w:tc>
          <w:tcPr>
            <w:tcW w:w="2552" w:type="dxa"/>
            <w:gridSpan w:val="2"/>
            <w:tcBorders>
              <w:top w:val="nil"/>
              <w:bottom w:val="single" w:sz="12" w:space="0" w:color="000000"/>
              <w:right w:val="double" w:sz="4" w:space="0" w:color="000000"/>
            </w:tcBorders>
            <w:tcMar>
              <w:left w:w="85" w:type="dxa"/>
            </w:tcMar>
          </w:tcPr>
          <w:p w:rsidR="008C641C" w:rsidRPr="00684290" w:rsidRDefault="008C641C" w:rsidP="008003D5">
            <w:pPr>
              <w:spacing w:before="0"/>
              <w:rPr>
                <w:sz w:val="16"/>
                <w:szCs w:val="16"/>
              </w:rPr>
            </w:pPr>
          </w:p>
        </w:tc>
        <w:tc>
          <w:tcPr>
            <w:tcW w:w="1134" w:type="dxa"/>
            <w:tcBorders>
              <w:top w:val="single" w:sz="4" w:space="0" w:color="E7E6E6"/>
              <w:left w:val="double" w:sz="4" w:space="0" w:color="000000"/>
              <w:bottom w:val="single" w:sz="8" w:space="0" w:color="000000"/>
              <w:right w:val="single" w:sz="8" w:space="0" w:color="000000"/>
            </w:tcBorders>
            <w:tcMar>
              <w:left w:w="57" w:type="dxa"/>
            </w:tcMar>
          </w:tcPr>
          <w:p w:rsidR="008C641C" w:rsidRPr="00684290" w:rsidRDefault="008C641C" w:rsidP="008003D5">
            <w:pPr>
              <w:spacing w:before="0"/>
              <w:jc w:val="center"/>
              <w:rPr>
                <w:sz w:val="16"/>
                <w:szCs w:val="16"/>
              </w:rPr>
            </w:pPr>
          </w:p>
        </w:tc>
        <w:tc>
          <w:tcPr>
            <w:tcW w:w="1417" w:type="dxa"/>
            <w:tcBorders>
              <w:top w:val="single" w:sz="4" w:space="0" w:color="E7E6E6"/>
              <w:left w:val="single" w:sz="8" w:space="0" w:color="000000"/>
              <w:bottom w:val="single" w:sz="8" w:space="0" w:color="000000"/>
            </w:tcBorders>
            <w:tcMar>
              <w:left w:w="57" w:type="dxa"/>
            </w:tcMar>
          </w:tcPr>
          <w:p w:rsidR="008C641C" w:rsidRPr="00684290" w:rsidRDefault="008C641C" w:rsidP="008003D5">
            <w:pPr>
              <w:spacing w:before="0"/>
              <w:jc w:val="center"/>
              <w:rPr>
                <w:sz w:val="16"/>
                <w:szCs w:val="16"/>
              </w:rPr>
            </w:pPr>
          </w:p>
        </w:tc>
        <w:tc>
          <w:tcPr>
            <w:tcW w:w="1134" w:type="dxa"/>
            <w:tcBorders>
              <w:top w:val="single" w:sz="4" w:space="0" w:color="E7E6E6"/>
              <w:bottom w:val="single" w:sz="8" w:space="0" w:color="000000"/>
              <w:right w:val="single" w:sz="8" w:space="0" w:color="000000"/>
            </w:tcBorders>
            <w:tcMar>
              <w:left w:w="57" w:type="dxa"/>
            </w:tcMar>
          </w:tcPr>
          <w:p w:rsidR="008C641C" w:rsidRPr="00684290" w:rsidRDefault="008C641C" w:rsidP="008003D5">
            <w:pPr>
              <w:spacing w:before="0"/>
              <w:jc w:val="center"/>
              <w:rPr>
                <w:sz w:val="16"/>
                <w:szCs w:val="16"/>
              </w:rPr>
            </w:pPr>
          </w:p>
        </w:tc>
        <w:tc>
          <w:tcPr>
            <w:tcW w:w="1276" w:type="dxa"/>
            <w:tcBorders>
              <w:top w:val="single" w:sz="4" w:space="0" w:color="E7E6E6"/>
              <w:left w:val="single" w:sz="8" w:space="0" w:color="000000"/>
              <w:bottom w:val="single" w:sz="8" w:space="0" w:color="000000"/>
            </w:tcBorders>
            <w:tcMar>
              <w:left w:w="57" w:type="dxa"/>
            </w:tcMar>
          </w:tcPr>
          <w:p w:rsidR="008C641C" w:rsidRPr="00684290" w:rsidRDefault="008C641C" w:rsidP="008003D5">
            <w:pPr>
              <w:spacing w:before="0"/>
              <w:jc w:val="center"/>
              <w:rPr>
                <w:sz w:val="16"/>
                <w:szCs w:val="16"/>
              </w:rPr>
            </w:pPr>
          </w:p>
        </w:tc>
        <w:tc>
          <w:tcPr>
            <w:tcW w:w="1276" w:type="dxa"/>
            <w:tcBorders>
              <w:top w:val="single" w:sz="4" w:space="0" w:color="E7E6E6"/>
              <w:bottom w:val="single" w:sz="8" w:space="0" w:color="000000"/>
              <w:right w:val="single" w:sz="8" w:space="0" w:color="000000"/>
            </w:tcBorders>
            <w:tcMar>
              <w:left w:w="57" w:type="dxa"/>
            </w:tcMar>
          </w:tcPr>
          <w:p w:rsidR="008C641C" w:rsidRPr="00684290" w:rsidRDefault="008C641C" w:rsidP="008003D5">
            <w:pPr>
              <w:spacing w:before="0"/>
              <w:jc w:val="center"/>
              <w:rPr>
                <w:sz w:val="16"/>
                <w:szCs w:val="16"/>
              </w:rPr>
            </w:pPr>
          </w:p>
        </w:tc>
        <w:tc>
          <w:tcPr>
            <w:tcW w:w="1417" w:type="dxa"/>
            <w:tcBorders>
              <w:top w:val="single" w:sz="4" w:space="0" w:color="E7E6E6"/>
              <w:left w:val="single" w:sz="8" w:space="0" w:color="000000"/>
              <w:bottom w:val="single" w:sz="8" w:space="0" w:color="000000"/>
            </w:tcBorders>
            <w:tcMar>
              <w:left w:w="57" w:type="dxa"/>
            </w:tcMar>
          </w:tcPr>
          <w:p w:rsidR="008C641C" w:rsidRPr="00684290" w:rsidRDefault="008C641C" w:rsidP="008003D5">
            <w:pPr>
              <w:spacing w:before="0"/>
              <w:jc w:val="center"/>
              <w:rPr>
                <w:sz w:val="16"/>
                <w:szCs w:val="16"/>
              </w:rPr>
            </w:pPr>
          </w:p>
        </w:tc>
      </w:tr>
      <w:tr w:rsidR="008C641C" w:rsidRPr="00684290" w:rsidTr="00F97AFC">
        <w:trPr>
          <w:trHeight w:hRule="exact" w:val="585"/>
          <w:jc w:val="center"/>
        </w:trPr>
        <w:tc>
          <w:tcPr>
            <w:tcW w:w="2552" w:type="dxa"/>
            <w:gridSpan w:val="2"/>
            <w:tcBorders>
              <w:top w:val="single" w:sz="12" w:space="0" w:color="000000"/>
              <w:right w:val="double" w:sz="4" w:space="0" w:color="000000"/>
            </w:tcBorders>
            <w:tcMar>
              <w:left w:w="85" w:type="dxa"/>
            </w:tcMar>
            <w:vAlign w:val="center"/>
          </w:tcPr>
          <w:p w:rsidR="008C641C" w:rsidRPr="00684290" w:rsidRDefault="00496538" w:rsidP="00AC4D4F">
            <w:pPr>
              <w:spacing w:before="0"/>
              <w:rPr>
                <w:b/>
                <w:sz w:val="16"/>
                <w:szCs w:val="16"/>
              </w:rPr>
            </w:pPr>
            <w:bookmarkStart w:id="64" w:name="lt_pId123"/>
            <w:r w:rsidRPr="00684290">
              <w:rPr>
                <w:b/>
                <w:sz w:val="16"/>
                <w:szCs w:val="16"/>
              </w:rPr>
              <w:t>S</w:t>
            </w:r>
            <w:r w:rsidR="00971FB7" w:rsidRPr="00684290">
              <w:rPr>
                <w:b/>
                <w:sz w:val="16"/>
                <w:szCs w:val="16"/>
              </w:rPr>
              <w:t>ous-total, groupes CFC 1 à</w:t>
            </w:r>
            <w:r w:rsidR="008C641C" w:rsidRPr="00684290">
              <w:rPr>
                <w:b/>
                <w:sz w:val="16"/>
                <w:szCs w:val="16"/>
              </w:rPr>
              <w:t xml:space="preserve"> 4</w:t>
            </w:r>
            <w:bookmarkEnd w:id="64"/>
            <w:r w:rsidR="008C641C" w:rsidRPr="00684290">
              <w:rPr>
                <w:b/>
                <w:sz w:val="16"/>
                <w:szCs w:val="16"/>
              </w:rPr>
              <w:br/>
            </w:r>
            <w:bookmarkStart w:id="65" w:name="lt_pId124"/>
            <w:r w:rsidR="008C641C" w:rsidRPr="00684290">
              <w:rPr>
                <w:b/>
                <w:sz w:val="16"/>
                <w:szCs w:val="16"/>
              </w:rPr>
              <w:t>(</w:t>
            </w:r>
            <w:r w:rsidRPr="00684290">
              <w:rPr>
                <w:b/>
                <w:sz w:val="16"/>
                <w:szCs w:val="16"/>
              </w:rPr>
              <w:t>hors taxes</w:t>
            </w:r>
            <w:r w:rsidR="008C641C" w:rsidRPr="00684290">
              <w:rPr>
                <w:b/>
                <w:sz w:val="16"/>
                <w:szCs w:val="16"/>
              </w:rPr>
              <w:t>)</w:t>
            </w:r>
            <w:bookmarkEnd w:id="65"/>
          </w:p>
        </w:tc>
        <w:tc>
          <w:tcPr>
            <w:tcW w:w="1134" w:type="dxa"/>
            <w:tcBorders>
              <w:top w:val="single" w:sz="8" w:space="0" w:color="000000"/>
              <w:left w:val="double" w:sz="4" w:space="0" w:color="000000"/>
              <w:right w:val="single" w:sz="8" w:space="0" w:color="000000"/>
            </w:tcBorders>
            <w:shd w:val="clear" w:color="auto" w:fill="FCE4D6"/>
            <w:tcMar>
              <w:left w:w="57" w:type="dxa"/>
            </w:tcMar>
            <w:vAlign w:val="center"/>
          </w:tcPr>
          <w:p w:rsidR="008C641C" w:rsidRPr="00684290" w:rsidRDefault="008C641C" w:rsidP="008B2D1A">
            <w:pPr>
              <w:spacing w:before="0"/>
              <w:jc w:val="center"/>
              <w:rPr>
                <w:b/>
                <w:sz w:val="16"/>
                <w:szCs w:val="16"/>
                <w:lang w:val="en-GB"/>
              </w:rPr>
            </w:pPr>
            <w:bookmarkStart w:id="66" w:name="lt_pId125"/>
            <w:r w:rsidRPr="00684290">
              <w:rPr>
                <w:b/>
                <w:sz w:val="16"/>
                <w:szCs w:val="16"/>
                <w:lang w:val="en-GB"/>
              </w:rPr>
              <w:t>116</w:t>
            </w:r>
            <w:r w:rsidR="00972F2C" w:rsidRPr="00684290">
              <w:rPr>
                <w:b/>
                <w:sz w:val="16"/>
                <w:szCs w:val="16"/>
                <w:lang w:val="en-GB"/>
              </w:rPr>
              <w:t xml:space="preserve"> </w:t>
            </w:r>
            <w:r w:rsidRPr="00684290">
              <w:rPr>
                <w:b/>
                <w:sz w:val="16"/>
                <w:szCs w:val="16"/>
                <w:lang w:val="en-GB"/>
              </w:rPr>
              <w:t>250</w:t>
            </w:r>
            <w:r w:rsidR="00972F2C" w:rsidRPr="00684290">
              <w:rPr>
                <w:b/>
                <w:sz w:val="16"/>
                <w:szCs w:val="16"/>
                <w:lang w:val="en-GB"/>
              </w:rPr>
              <w:t xml:space="preserve"> </w:t>
            </w:r>
            <w:r w:rsidRPr="00684290">
              <w:rPr>
                <w:b/>
                <w:sz w:val="16"/>
                <w:szCs w:val="16"/>
                <w:lang w:val="en-GB"/>
              </w:rPr>
              <w:t>000</w:t>
            </w:r>
            <w:bookmarkEnd w:id="66"/>
          </w:p>
        </w:tc>
        <w:tc>
          <w:tcPr>
            <w:tcW w:w="1417" w:type="dxa"/>
            <w:tcBorders>
              <w:top w:val="single" w:sz="8" w:space="0" w:color="000000"/>
              <w:left w:val="single" w:sz="8" w:space="0" w:color="000000"/>
            </w:tcBorders>
            <w:shd w:val="clear" w:color="auto" w:fill="FCE4D6"/>
            <w:tcMar>
              <w:left w:w="57" w:type="dxa"/>
            </w:tcMar>
            <w:vAlign w:val="center"/>
          </w:tcPr>
          <w:p w:rsidR="008C641C" w:rsidRPr="00684290" w:rsidRDefault="008C641C" w:rsidP="008B2D1A">
            <w:pPr>
              <w:spacing w:before="0"/>
              <w:jc w:val="center"/>
              <w:rPr>
                <w:b/>
                <w:sz w:val="16"/>
                <w:szCs w:val="16"/>
                <w:lang w:val="en-GB"/>
              </w:rPr>
            </w:pPr>
            <w:bookmarkStart w:id="67" w:name="lt_pId126"/>
            <w:r w:rsidRPr="00684290">
              <w:rPr>
                <w:b/>
                <w:sz w:val="16"/>
                <w:szCs w:val="16"/>
                <w:lang w:val="en-GB"/>
              </w:rPr>
              <w:t>10</w:t>
            </w:r>
            <w:r w:rsidR="00972F2C" w:rsidRPr="00684290">
              <w:rPr>
                <w:b/>
                <w:sz w:val="16"/>
                <w:szCs w:val="16"/>
                <w:lang w:val="en-GB"/>
              </w:rPr>
              <w:t xml:space="preserve"> </w:t>
            </w:r>
            <w:r w:rsidRPr="00684290">
              <w:rPr>
                <w:b/>
                <w:sz w:val="16"/>
                <w:szCs w:val="16"/>
                <w:lang w:val="en-GB"/>
              </w:rPr>
              <w:t>111</w:t>
            </w:r>
            <w:r w:rsidR="00972F2C" w:rsidRPr="00684290">
              <w:rPr>
                <w:b/>
                <w:sz w:val="16"/>
                <w:szCs w:val="16"/>
                <w:lang w:val="en-GB"/>
              </w:rPr>
              <w:t xml:space="preserve"> </w:t>
            </w:r>
            <w:r w:rsidRPr="00684290">
              <w:rPr>
                <w:b/>
                <w:sz w:val="16"/>
                <w:szCs w:val="16"/>
                <w:lang w:val="en-GB"/>
              </w:rPr>
              <w:t>460</w:t>
            </w:r>
            <w:bookmarkEnd w:id="67"/>
          </w:p>
        </w:tc>
        <w:tc>
          <w:tcPr>
            <w:tcW w:w="1134" w:type="dxa"/>
            <w:tcBorders>
              <w:top w:val="single" w:sz="8" w:space="0" w:color="000000"/>
              <w:right w:val="single" w:sz="8" w:space="0" w:color="000000"/>
            </w:tcBorders>
            <w:shd w:val="clear" w:color="auto" w:fill="FFF2CC"/>
            <w:tcMar>
              <w:left w:w="57" w:type="dxa"/>
            </w:tcMar>
            <w:vAlign w:val="center"/>
          </w:tcPr>
          <w:p w:rsidR="008C641C" w:rsidRPr="00684290" w:rsidRDefault="008C641C" w:rsidP="008B2D1A">
            <w:pPr>
              <w:spacing w:before="0"/>
              <w:jc w:val="center"/>
              <w:rPr>
                <w:b/>
                <w:sz w:val="16"/>
                <w:szCs w:val="16"/>
                <w:lang w:val="en-GB"/>
              </w:rPr>
            </w:pPr>
            <w:bookmarkStart w:id="68" w:name="lt_pId127"/>
            <w:r w:rsidRPr="00684290">
              <w:rPr>
                <w:b/>
                <w:sz w:val="16"/>
                <w:szCs w:val="16"/>
                <w:lang w:val="en-GB"/>
              </w:rPr>
              <w:t>109</w:t>
            </w:r>
            <w:r w:rsidR="00972F2C" w:rsidRPr="00684290">
              <w:rPr>
                <w:b/>
                <w:sz w:val="16"/>
                <w:szCs w:val="16"/>
                <w:lang w:val="en-GB"/>
              </w:rPr>
              <w:t xml:space="preserve"> </w:t>
            </w:r>
            <w:r w:rsidRPr="00684290">
              <w:rPr>
                <w:b/>
                <w:sz w:val="16"/>
                <w:szCs w:val="16"/>
                <w:lang w:val="en-GB"/>
              </w:rPr>
              <w:t>883</w:t>
            </w:r>
            <w:r w:rsidR="00972F2C" w:rsidRPr="00684290">
              <w:rPr>
                <w:b/>
                <w:sz w:val="16"/>
                <w:szCs w:val="16"/>
                <w:lang w:val="en-GB"/>
              </w:rPr>
              <w:t xml:space="preserve"> </w:t>
            </w:r>
            <w:r w:rsidRPr="00684290">
              <w:rPr>
                <w:b/>
                <w:sz w:val="16"/>
                <w:szCs w:val="16"/>
                <w:lang w:val="en-GB"/>
              </w:rPr>
              <w:t>540</w:t>
            </w:r>
            <w:bookmarkEnd w:id="68"/>
          </w:p>
        </w:tc>
        <w:tc>
          <w:tcPr>
            <w:tcW w:w="1276" w:type="dxa"/>
            <w:tcBorders>
              <w:top w:val="single" w:sz="8" w:space="0" w:color="000000"/>
              <w:left w:val="single" w:sz="8" w:space="0" w:color="000000"/>
            </w:tcBorders>
            <w:shd w:val="clear" w:color="auto" w:fill="FFF2CC"/>
            <w:tcMar>
              <w:left w:w="57" w:type="dxa"/>
            </w:tcMar>
            <w:vAlign w:val="center"/>
          </w:tcPr>
          <w:p w:rsidR="008C641C" w:rsidRPr="00684290" w:rsidRDefault="008C641C" w:rsidP="008B2D1A">
            <w:pPr>
              <w:spacing w:before="0"/>
              <w:jc w:val="center"/>
              <w:rPr>
                <w:b/>
                <w:sz w:val="16"/>
                <w:szCs w:val="16"/>
                <w:lang w:val="en-GB"/>
              </w:rPr>
            </w:pPr>
            <w:bookmarkStart w:id="69" w:name="lt_pId128"/>
            <w:r w:rsidRPr="00684290">
              <w:rPr>
                <w:b/>
                <w:sz w:val="16"/>
                <w:szCs w:val="16"/>
                <w:lang w:val="en-GB"/>
              </w:rPr>
              <w:t>10</w:t>
            </w:r>
            <w:r w:rsidR="00972F2C" w:rsidRPr="00684290">
              <w:rPr>
                <w:b/>
                <w:sz w:val="16"/>
                <w:szCs w:val="16"/>
                <w:lang w:val="en-GB"/>
              </w:rPr>
              <w:t xml:space="preserve"> </w:t>
            </w:r>
            <w:r w:rsidRPr="00684290">
              <w:rPr>
                <w:b/>
                <w:sz w:val="16"/>
                <w:szCs w:val="16"/>
                <w:lang w:val="en-GB"/>
              </w:rPr>
              <w:t>111</w:t>
            </w:r>
            <w:r w:rsidR="00972F2C" w:rsidRPr="00684290">
              <w:rPr>
                <w:b/>
                <w:sz w:val="16"/>
                <w:szCs w:val="16"/>
                <w:lang w:val="en-GB"/>
              </w:rPr>
              <w:t xml:space="preserve"> </w:t>
            </w:r>
            <w:r w:rsidRPr="00684290">
              <w:rPr>
                <w:b/>
                <w:sz w:val="16"/>
                <w:szCs w:val="16"/>
                <w:lang w:val="en-GB"/>
              </w:rPr>
              <w:t>460</w:t>
            </w:r>
            <w:bookmarkEnd w:id="69"/>
          </w:p>
        </w:tc>
        <w:tc>
          <w:tcPr>
            <w:tcW w:w="1276" w:type="dxa"/>
            <w:tcBorders>
              <w:top w:val="single" w:sz="8" w:space="0" w:color="000000"/>
              <w:right w:val="single" w:sz="8" w:space="0" w:color="000000"/>
            </w:tcBorders>
            <w:shd w:val="clear" w:color="auto" w:fill="C6E0B4"/>
            <w:tcMar>
              <w:left w:w="57" w:type="dxa"/>
            </w:tcMar>
            <w:vAlign w:val="center"/>
          </w:tcPr>
          <w:p w:rsidR="008C641C" w:rsidRPr="00684290" w:rsidRDefault="008C641C" w:rsidP="008B2D1A">
            <w:pPr>
              <w:spacing w:before="0"/>
              <w:jc w:val="center"/>
              <w:rPr>
                <w:b/>
                <w:sz w:val="16"/>
                <w:szCs w:val="16"/>
                <w:lang w:val="en-GB"/>
              </w:rPr>
            </w:pPr>
            <w:bookmarkStart w:id="70" w:name="lt_pId129"/>
            <w:r w:rsidRPr="00684290">
              <w:rPr>
                <w:b/>
                <w:sz w:val="16"/>
                <w:szCs w:val="16"/>
                <w:lang w:val="en-GB"/>
              </w:rPr>
              <w:t>124</w:t>
            </w:r>
            <w:r w:rsidR="00972F2C" w:rsidRPr="00684290">
              <w:rPr>
                <w:b/>
                <w:sz w:val="16"/>
                <w:szCs w:val="16"/>
                <w:lang w:val="en-GB"/>
              </w:rPr>
              <w:t xml:space="preserve"> </w:t>
            </w:r>
            <w:r w:rsidRPr="00684290">
              <w:rPr>
                <w:b/>
                <w:sz w:val="16"/>
                <w:szCs w:val="16"/>
                <w:lang w:val="en-GB"/>
              </w:rPr>
              <w:t>789</w:t>
            </w:r>
            <w:r w:rsidR="00972F2C" w:rsidRPr="00684290">
              <w:rPr>
                <w:b/>
                <w:sz w:val="16"/>
                <w:szCs w:val="16"/>
                <w:lang w:val="en-GB"/>
              </w:rPr>
              <w:t xml:space="preserve"> </w:t>
            </w:r>
            <w:r w:rsidRPr="00684290">
              <w:rPr>
                <w:b/>
                <w:sz w:val="16"/>
                <w:szCs w:val="16"/>
                <w:lang w:val="en-GB"/>
              </w:rPr>
              <w:t>848</w:t>
            </w:r>
            <w:bookmarkEnd w:id="70"/>
          </w:p>
        </w:tc>
        <w:tc>
          <w:tcPr>
            <w:tcW w:w="1417" w:type="dxa"/>
            <w:tcBorders>
              <w:top w:val="single" w:sz="8" w:space="0" w:color="000000"/>
              <w:left w:val="single" w:sz="8" w:space="0" w:color="000000"/>
            </w:tcBorders>
            <w:tcMar>
              <w:left w:w="57" w:type="dxa"/>
            </w:tcMar>
          </w:tcPr>
          <w:p w:rsidR="008C641C" w:rsidRPr="00684290" w:rsidRDefault="008C641C" w:rsidP="008003D5">
            <w:pPr>
              <w:spacing w:before="0"/>
              <w:jc w:val="center"/>
              <w:rPr>
                <w:sz w:val="16"/>
                <w:szCs w:val="16"/>
              </w:rPr>
            </w:pPr>
          </w:p>
        </w:tc>
      </w:tr>
      <w:tr w:rsidR="008C641C" w:rsidRPr="00684290" w:rsidTr="00F97AFC">
        <w:trPr>
          <w:trHeight w:hRule="exact" w:val="454"/>
          <w:jc w:val="center"/>
        </w:trPr>
        <w:tc>
          <w:tcPr>
            <w:tcW w:w="2552" w:type="dxa"/>
            <w:gridSpan w:val="2"/>
            <w:tcBorders>
              <w:right w:val="double" w:sz="4" w:space="0" w:color="000000"/>
            </w:tcBorders>
            <w:tcMar>
              <w:left w:w="85" w:type="dxa"/>
            </w:tcMar>
            <w:vAlign w:val="center"/>
          </w:tcPr>
          <w:p w:rsidR="008C641C" w:rsidRPr="00684290" w:rsidRDefault="008C641C" w:rsidP="00AC4D4F">
            <w:pPr>
              <w:spacing w:before="0"/>
              <w:rPr>
                <w:b/>
                <w:sz w:val="16"/>
                <w:szCs w:val="16"/>
              </w:rPr>
            </w:pPr>
            <w:bookmarkStart w:id="71" w:name="lt_pId130"/>
            <w:r w:rsidRPr="00684290">
              <w:rPr>
                <w:b/>
                <w:sz w:val="16"/>
                <w:szCs w:val="16"/>
              </w:rPr>
              <w:t>Total</w:t>
            </w:r>
            <w:r w:rsidR="00971FB7" w:rsidRPr="00684290">
              <w:rPr>
                <w:b/>
                <w:sz w:val="16"/>
                <w:szCs w:val="16"/>
              </w:rPr>
              <w:t xml:space="preserve"> groupes</w:t>
            </w:r>
            <w:r w:rsidRPr="00684290">
              <w:rPr>
                <w:b/>
                <w:sz w:val="16"/>
                <w:szCs w:val="16"/>
              </w:rPr>
              <w:t xml:space="preserve"> CFC 1 </w:t>
            </w:r>
            <w:r w:rsidR="00971FB7" w:rsidRPr="00684290">
              <w:rPr>
                <w:b/>
                <w:sz w:val="16"/>
                <w:szCs w:val="16"/>
              </w:rPr>
              <w:t>à</w:t>
            </w:r>
            <w:r w:rsidRPr="00684290">
              <w:rPr>
                <w:b/>
                <w:sz w:val="16"/>
                <w:szCs w:val="16"/>
              </w:rPr>
              <w:t xml:space="preserve"> 4</w:t>
            </w:r>
            <w:bookmarkEnd w:id="71"/>
            <w:r w:rsidRPr="00684290">
              <w:rPr>
                <w:b/>
                <w:sz w:val="16"/>
                <w:szCs w:val="16"/>
              </w:rPr>
              <w:t xml:space="preserve"> </w:t>
            </w:r>
            <w:bookmarkStart w:id="72" w:name="lt_pId131"/>
            <w:r w:rsidR="008B2D1A">
              <w:rPr>
                <w:b/>
                <w:sz w:val="16"/>
                <w:szCs w:val="16"/>
              </w:rPr>
              <w:br/>
            </w:r>
            <w:r w:rsidRPr="00684290">
              <w:rPr>
                <w:b/>
                <w:sz w:val="16"/>
                <w:szCs w:val="16"/>
              </w:rPr>
              <w:t>(</w:t>
            </w:r>
            <w:r w:rsidR="008E060D" w:rsidRPr="00684290">
              <w:rPr>
                <w:b/>
                <w:sz w:val="16"/>
                <w:szCs w:val="16"/>
              </w:rPr>
              <w:t>hors taxe</w:t>
            </w:r>
            <w:r w:rsidR="00496538" w:rsidRPr="00684290">
              <w:rPr>
                <w:b/>
                <w:sz w:val="16"/>
                <w:szCs w:val="16"/>
              </w:rPr>
              <w:t>s</w:t>
            </w:r>
            <w:r w:rsidRPr="00684290">
              <w:rPr>
                <w:b/>
                <w:sz w:val="16"/>
                <w:szCs w:val="16"/>
              </w:rPr>
              <w:t>)</w:t>
            </w:r>
            <w:bookmarkEnd w:id="72"/>
          </w:p>
        </w:tc>
        <w:tc>
          <w:tcPr>
            <w:tcW w:w="2551" w:type="dxa"/>
            <w:gridSpan w:val="2"/>
            <w:tcBorders>
              <w:left w:val="double" w:sz="4" w:space="0" w:color="000000"/>
            </w:tcBorders>
            <w:shd w:val="clear" w:color="auto" w:fill="FCE4D6"/>
            <w:tcMar>
              <w:left w:w="57" w:type="dxa"/>
            </w:tcMar>
            <w:vAlign w:val="center"/>
          </w:tcPr>
          <w:p w:rsidR="008C641C" w:rsidRPr="008B2D1A" w:rsidRDefault="008C641C" w:rsidP="008B2D1A">
            <w:pPr>
              <w:spacing w:before="0"/>
              <w:jc w:val="center"/>
              <w:rPr>
                <w:b/>
                <w:sz w:val="16"/>
                <w:szCs w:val="16"/>
              </w:rPr>
            </w:pPr>
            <w:bookmarkStart w:id="73" w:name="lt_pId132"/>
            <w:r w:rsidRPr="008B2D1A">
              <w:rPr>
                <w:b/>
                <w:sz w:val="16"/>
                <w:szCs w:val="16"/>
              </w:rPr>
              <w:t>126</w:t>
            </w:r>
            <w:r w:rsidR="00972F2C" w:rsidRPr="008B2D1A">
              <w:rPr>
                <w:b/>
                <w:sz w:val="16"/>
                <w:szCs w:val="16"/>
              </w:rPr>
              <w:t xml:space="preserve"> </w:t>
            </w:r>
            <w:r w:rsidRPr="008B2D1A">
              <w:rPr>
                <w:b/>
                <w:sz w:val="16"/>
                <w:szCs w:val="16"/>
              </w:rPr>
              <w:t>361</w:t>
            </w:r>
            <w:r w:rsidR="00972F2C" w:rsidRPr="008B2D1A">
              <w:rPr>
                <w:b/>
                <w:sz w:val="16"/>
                <w:szCs w:val="16"/>
              </w:rPr>
              <w:t xml:space="preserve"> </w:t>
            </w:r>
            <w:r w:rsidRPr="008B2D1A">
              <w:rPr>
                <w:b/>
                <w:sz w:val="16"/>
                <w:szCs w:val="16"/>
              </w:rPr>
              <w:t>460</w:t>
            </w:r>
            <w:bookmarkEnd w:id="73"/>
            <w:r w:rsidR="00BD5B18">
              <w:rPr>
                <w:b/>
                <w:sz w:val="16"/>
                <w:szCs w:val="16"/>
              </w:rPr>
              <w:t xml:space="preserve"> CHF</w:t>
            </w:r>
          </w:p>
        </w:tc>
        <w:tc>
          <w:tcPr>
            <w:tcW w:w="2410" w:type="dxa"/>
            <w:gridSpan w:val="2"/>
            <w:shd w:val="clear" w:color="auto" w:fill="FFF2CC"/>
            <w:tcMar>
              <w:left w:w="57" w:type="dxa"/>
            </w:tcMar>
            <w:vAlign w:val="center"/>
          </w:tcPr>
          <w:p w:rsidR="008C641C" w:rsidRPr="008B2D1A" w:rsidRDefault="008C641C" w:rsidP="008B2D1A">
            <w:pPr>
              <w:spacing w:before="0"/>
              <w:jc w:val="center"/>
              <w:rPr>
                <w:b/>
                <w:sz w:val="16"/>
                <w:szCs w:val="16"/>
              </w:rPr>
            </w:pPr>
            <w:bookmarkStart w:id="74" w:name="lt_pId133"/>
            <w:r w:rsidRPr="008B2D1A">
              <w:rPr>
                <w:b/>
                <w:sz w:val="16"/>
                <w:szCs w:val="16"/>
              </w:rPr>
              <w:t>119</w:t>
            </w:r>
            <w:r w:rsidR="00972F2C" w:rsidRPr="008B2D1A">
              <w:rPr>
                <w:b/>
                <w:sz w:val="16"/>
                <w:szCs w:val="16"/>
              </w:rPr>
              <w:t xml:space="preserve"> </w:t>
            </w:r>
            <w:r w:rsidRPr="008B2D1A">
              <w:rPr>
                <w:b/>
                <w:sz w:val="16"/>
                <w:szCs w:val="16"/>
              </w:rPr>
              <w:t>995</w:t>
            </w:r>
            <w:r w:rsidR="00972F2C" w:rsidRPr="008B2D1A">
              <w:rPr>
                <w:b/>
                <w:sz w:val="16"/>
                <w:szCs w:val="16"/>
              </w:rPr>
              <w:t xml:space="preserve"> </w:t>
            </w:r>
            <w:r w:rsidRPr="008B2D1A">
              <w:rPr>
                <w:b/>
                <w:sz w:val="16"/>
                <w:szCs w:val="16"/>
              </w:rPr>
              <w:t>000</w:t>
            </w:r>
            <w:bookmarkEnd w:id="74"/>
            <w:r w:rsidR="00BD5B18">
              <w:rPr>
                <w:b/>
                <w:sz w:val="16"/>
                <w:szCs w:val="16"/>
              </w:rPr>
              <w:t xml:space="preserve"> CHF</w:t>
            </w:r>
          </w:p>
        </w:tc>
        <w:tc>
          <w:tcPr>
            <w:tcW w:w="2693" w:type="dxa"/>
            <w:gridSpan w:val="2"/>
            <w:shd w:val="clear" w:color="auto" w:fill="C6E0B4"/>
            <w:tcMar>
              <w:left w:w="57" w:type="dxa"/>
            </w:tcMar>
            <w:vAlign w:val="center"/>
          </w:tcPr>
          <w:p w:rsidR="008C641C" w:rsidRPr="008B2D1A" w:rsidRDefault="008C641C" w:rsidP="008B2D1A">
            <w:pPr>
              <w:spacing w:before="0"/>
              <w:jc w:val="center"/>
              <w:rPr>
                <w:b/>
                <w:sz w:val="16"/>
                <w:szCs w:val="16"/>
              </w:rPr>
            </w:pPr>
            <w:bookmarkStart w:id="75" w:name="lt_pId134"/>
            <w:r w:rsidRPr="008B2D1A">
              <w:rPr>
                <w:b/>
                <w:sz w:val="16"/>
                <w:szCs w:val="16"/>
              </w:rPr>
              <w:t>124</w:t>
            </w:r>
            <w:r w:rsidR="00972F2C" w:rsidRPr="008B2D1A">
              <w:rPr>
                <w:b/>
                <w:sz w:val="16"/>
                <w:szCs w:val="16"/>
              </w:rPr>
              <w:t xml:space="preserve"> </w:t>
            </w:r>
            <w:r w:rsidRPr="008B2D1A">
              <w:rPr>
                <w:b/>
                <w:sz w:val="16"/>
                <w:szCs w:val="16"/>
              </w:rPr>
              <w:t>789</w:t>
            </w:r>
            <w:r w:rsidR="00972F2C" w:rsidRPr="008B2D1A">
              <w:rPr>
                <w:b/>
                <w:sz w:val="16"/>
                <w:szCs w:val="16"/>
              </w:rPr>
              <w:t xml:space="preserve"> </w:t>
            </w:r>
            <w:r w:rsidRPr="008B2D1A">
              <w:rPr>
                <w:b/>
                <w:sz w:val="16"/>
                <w:szCs w:val="16"/>
              </w:rPr>
              <w:t>848</w:t>
            </w:r>
            <w:bookmarkEnd w:id="75"/>
            <w:r w:rsidR="00BD5B18">
              <w:rPr>
                <w:b/>
                <w:sz w:val="16"/>
                <w:szCs w:val="16"/>
              </w:rPr>
              <w:t xml:space="preserve"> CHF</w:t>
            </w:r>
          </w:p>
        </w:tc>
      </w:tr>
    </w:tbl>
    <w:p w:rsidR="008C641C" w:rsidRPr="00971FB7" w:rsidRDefault="00971FB7" w:rsidP="00D25091">
      <w:pPr>
        <w:pStyle w:val="Normalaftertitle"/>
        <w:tabs>
          <w:tab w:val="clear" w:pos="567"/>
          <w:tab w:val="clear" w:pos="1134"/>
          <w:tab w:val="clear" w:pos="1701"/>
          <w:tab w:val="clear" w:pos="2268"/>
          <w:tab w:val="clear" w:pos="2835"/>
        </w:tabs>
        <w:snapToGrid w:val="0"/>
        <w:spacing w:after="120"/>
        <w:rPr>
          <w:rFonts w:asciiTheme="minorHAnsi" w:hAnsiTheme="minorHAnsi"/>
          <w:color w:val="000000" w:themeColor="text1"/>
          <w:szCs w:val="24"/>
        </w:rPr>
      </w:pPr>
      <w:bookmarkStart w:id="76" w:name="lt_pId135"/>
      <w:r w:rsidRPr="00971FB7">
        <w:rPr>
          <w:rFonts w:asciiTheme="minorHAnsi" w:hAnsiTheme="minorHAnsi"/>
          <w:color w:val="000000" w:themeColor="text1"/>
          <w:szCs w:val="24"/>
        </w:rPr>
        <w:t>L'estimation initiale au terme du concours était fondée sur une surface de</w:t>
      </w:r>
      <w:r w:rsidR="006A2EBE">
        <w:rPr>
          <w:rFonts w:asciiTheme="minorHAnsi" w:hAnsiTheme="minorHAnsi"/>
          <w:color w:val="000000" w:themeColor="text1"/>
          <w:szCs w:val="24"/>
        </w:rPr>
        <w:t xml:space="preserve"> 26 </w:t>
      </w:r>
      <w:r w:rsidR="008C641C" w:rsidRPr="00971FB7">
        <w:rPr>
          <w:rFonts w:asciiTheme="minorHAnsi" w:hAnsiTheme="minorHAnsi"/>
          <w:color w:val="000000" w:themeColor="text1"/>
          <w:szCs w:val="24"/>
        </w:rPr>
        <w:t>626 m</w:t>
      </w:r>
      <w:r w:rsidR="008C641C" w:rsidRPr="00971FB7">
        <w:rPr>
          <w:rFonts w:asciiTheme="minorHAnsi" w:hAnsiTheme="minorHAnsi"/>
          <w:color w:val="000000" w:themeColor="text1"/>
          <w:szCs w:val="24"/>
          <w:vertAlign w:val="superscript"/>
        </w:rPr>
        <w:t>2</w:t>
      </w:r>
      <w:r>
        <w:rPr>
          <w:rFonts w:asciiTheme="minorHAnsi" w:hAnsiTheme="minorHAnsi"/>
          <w:color w:val="000000" w:themeColor="text1"/>
          <w:szCs w:val="24"/>
        </w:rPr>
        <w:t xml:space="preserve"> et un volume de</w:t>
      </w:r>
      <w:r w:rsidR="008C641C" w:rsidRPr="00971FB7">
        <w:rPr>
          <w:rFonts w:asciiTheme="minorHAnsi" w:hAnsiTheme="minorHAnsi"/>
          <w:color w:val="000000" w:themeColor="text1"/>
          <w:szCs w:val="24"/>
        </w:rPr>
        <w:t xml:space="preserve"> 139</w:t>
      </w:r>
      <w:r w:rsidR="006A2EBE">
        <w:rPr>
          <w:rFonts w:asciiTheme="minorHAnsi" w:hAnsiTheme="minorHAnsi"/>
          <w:color w:val="000000" w:themeColor="text1"/>
          <w:szCs w:val="24"/>
        </w:rPr>
        <w:t> </w:t>
      </w:r>
      <w:r w:rsidR="008C641C" w:rsidRPr="00971FB7">
        <w:rPr>
          <w:rFonts w:asciiTheme="minorHAnsi" w:hAnsiTheme="minorHAnsi"/>
          <w:color w:val="000000" w:themeColor="text1"/>
          <w:szCs w:val="24"/>
        </w:rPr>
        <w:t>298 m</w:t>
      </w:r>
      <w:r w:rsidR="008C641C" w:rsidRPr="00971FB7">
        <w:rPr>
          <w:rFonts w:asciiTheme="minorHAnsi" w:hAnsiTheme="minorHAnsi"/>
          <w:color w:val="000000" w:themeColor="text1"/>
          <w:szCs w:val="24"/>
          <w:vertAlign w:val="superscript"/>
        </w:rPr>
        <w:t>3</w:t>
      </w:r>
      <w:r>
        <w:rPr>
          <w:rFonts w:asciiTheme="minorHAnsi" w:hAnsiTheme="minorHAnsi"/>
          <w:color w:val="000000" w:themeColor="text1"/>
          <w:szCs w:val="24"/>
        </w:rPr>
        <w:t xml:space="preserve">, soit </w:t>
      </w:r>
      <w:r>
        <w:rPr>
          <w:rFonts w:asciiTheme="minorHAnsi" w:hAnsiTheme="minorHAnsi"/>
          <w:b/>
          <w:bCs/>
          <w:color w:val="000000" w:themeColor="text1"/>
          <w:szCs w:val="24"/>
        </w:rPr>
        <w:t xml:space="preserve">127 790 </w:t>
      </w:r>
      <w:r w:rsidR="008C641C" w:rsidRPr="00971FB7">
        <w:rPr>
          <w:rFonts w:asciiTheme="minorHAnsi" w:hAnsiTheme="minorHAnsi"/>
          <w:b/>
          <w:bCs/>
          <w:color w:val="000000" w:themeColor="text1"/>
          <w:szCs w:val="24"/>
        </w:rPr>
        <w:t>000</w:t>
      </w:r>
      <w:r>
        <w:rPr>
          <w:rFonts w:asciiTheme="minorHAnsi" w:hAnsiTheme="minorHAnsi"/>
          <w:b/>
          <w:bCs/>
          <w:color w:val="000000" w:themeColor="text1"/>
          <w:szCs w:val="24"/>
        </w:rPr>
        <w:t xml:space="preserve"> CHF</w:t>
      </w:r>
      <w:r w:rsidR="008C641C" w:rsidRPr="00971FB7">
        <w:rPr>
          <w:rFonts w:asciiTheme="minorHAnsi" w:hAnsiTheme="minorHAnsi"/>
          <w:color w:val="000000" w:themeColor="text1"/>
          <w:szCs w:val="24"/>
        </w:rPr>
        <w:t xml:space="preserve"> (</w:t>
      </w:r>
      <w:r>
        <w:rPr>
          <w:rFonts w:asciiTheme="minorHAnsi" w:hAnsiTheme="minorHAnsi"/>
          <w:color w:val="000000" w:themeColor="text1"/>
          <w:szCs w:val="24"/>
        </w:rPr>
        <w:t>voir le</w:t>
      </w:r>
      <w:r w:rsidR="00496538">
        <w:rPr>
          <w:rFonts w:asciiTheme="minorHAnsi" w:hAnsiTheme="minorHAnsi"/>
          <w:color w:val="000000" w:themeColor="text1"/>
          <w:szCs w:val="24"/>
        </w:rPr>
        <w:t xml:space="preserve"> </w:t>
      </w:r>
      <w:r w:rsidR="00D25091">
        <w:rPr>
          <w:rFonts w:asciiTheme="minorHAnsi" w:hAnsiTheme="minorHAnsi"/>
          <w:color w:val="000000" w:themeColor="text1"/>
          <w:szCs w:val="24"/>
        </w:rPr>
        <w:t>§ </w:t>
      </w:r>
      <w:r>
        <w:rPr>
          <w:rFonts w:asciiTheme="minorHAnsi" w:hAnsiTheme="minorHAnsi"/>
          <w:color w:val="000000" w:themeColor="text1"/>
          <w:szCs w:val="24"/>
        </w:rPr>
        <w:t>1.1</w:t>
      </w:r>
      <w:r w:rsidR="008C641C" w:rsidRPr="00971FB7">
        <w:rPr>
          <w:rFonts w:asciiTheme="minorHAnsi" w:hAnsiTheme="minorHAnsi"/>
          <w:color w:val="000000" w:themeColor="text1"/>
          <w:szCs w:val="24"/>
        </w:rPr>
        <w:t>).</w:t>
      </w:r>
      <w:bookmarkEnd w:id="76"/>
      <w:r w:rsidR="008C641C" w:rsidRPr="00971FB7">
        <w:rPr>
          <w:rFonts w:asciiTheme="minorHAnsi" w:hAnsiTheme="minorHAnsi"/>
          <w:color w:val="000000" w:themeColor="text1"/>
          <w:szCs w:val="24"/>
        </w:rPr>
        <w:t xml:space="preserve"> </w:t>
      </w:r>
      <w:bookmarkStart w:id="77" w:name="lt_pId136"/>
      <w:r w:rsidRPr="00971FB7">
        <w:rPr>
          <w:rFonts w:asciiTheme="minorHAnsi" w:hAnsiTheme="minorHAnsi"/>
          <w:color w:val="000000" w:themeColor="text1"/>
          <w:szCs w:val="24"/>
        </w:rPr>
        <w:t>Selon le Secrétariat, l'optimisation a permis, à ce jour, d'ajouter des éléments</w:t>
      </w:r>
      <w:r>
        <w:rPr>
          <w:rFonts w:asciiTheme="minorHAnsi" w:hAnsiTheme="minorHAnsi"/>
          <w:color w:val="000000" w:themeColor="text1"/>
          <w:szCs w:val="24"/>
        </w:rPr>
        <w:t xml:space="preserve"> supplémentaires au projet sans augmentation notable des coûts</w:t>
      </w:r>
      <w:r w:rsidR="008C641C" w:rsidRPr="00971FB7">
        <w:rPr>
          <w:rFonts w:asciiTheme="minorHAnsi" w:hAnsiTheme="minorHAnsi"/>
          <w:color w:val="000000" w:themeColor="text1"/>
          <w:szCs w:val="24"/>
        </w:rPr>
        <w:t>.</w:t>
      </w:r>
      <w:bookmarkEnd w:id="77"/>
    </w:p>
    <w:p w:rsidR="00321E7E" w:rsidRDefault="008C641C" w:rsidP="008003D5">
      <w:pPr>
        <w:pStyle w:val="Normalaftertitle"/>
        <w:tabs>
          <w:tab w:val="clear" w:pos="567"/>
          <w:tab w:val="clear" w:pos="1134"/>
          <w:tab w:val="clear" w:pos="1701"/>
          <w:tab w:val="clear" w:pos="2268"/>
          <w:tab w:val="clear" w:pos="2835"/>
        </w:tabs>
        <w:snapToGrid w:val="0"/>
        <w:spacing w:before="120" w:after="120"/>
        <w:jc w:val="both"/>
        <w:rPr>
          <w:lang w:val="fr-CH"/>
        </w:rPr>
      </w:pPr>
      <w:r w:rsidRPr="00321E7E">
        <w:rPr>
          <w:rFonts w:asciiTheme="minorHAnsi" w:hAnsiTheme="minorHAnsi"/>
          <w:color w:val="000000" w:themeColor="text1"/>
          <w:szCs w:val="24"/>
          <w:lang w:val="fr-CH"/>
        </w:rPr>
        <w:t>2.3</w:t>
      </w:r>
      <w:r w:rsidRPr="00321E7E">
        <w:rPr>
          <w:rFonts w:asciiTheme="minorHAnsi" w:hAnsiTheme="minorHAnsi"/>
          <w:color w:val="000000" w:themeColor="text1"/>
          <w:szCs w:val="24"/>
          <w:lang w:val="fr-CH"/>
        </w:rPr>
        <w:tab/>
      </w:r>
      <w:r w:rsidR="00321E7E">
        <w:rPr>
          <w:lang w:val="fr-CH"/>
        </w:rPr>
        <w:t xml:space="preserve">Le nouveau bâtiment doit être conforme aux </w:t>
      </w:r>
      <w:r w:rsidR="00321E7E" w:rsidRPr="002200E9">
        <w:rPr>
          <w:lang w:val="fr-CH"/>
        </w:rPr>
        <w:t>normes minimales de sécurité opérationnelle en vigueur dans le système des Nations Unies (UN</w:t>
      </w:r>
      <w:r w:rsidR="00321E7E" w:rsidRPr="002200E9">
        <w:rPr>
          <w:lang w:val="fr-CH"/>
        </w:rPr>
        <w:noBreakHyphen/>
        <w:t>MOSS) qui s'appliquent à tous les bâtiments des organisations du système des Nations Unies nouveaux ou modernisés</w:t>
      </w:r>
      <w:r w:rsidR="00496538">
        <w:rPr>
          <w:lang w:val="fr-CH"/>
        </w:rPr>
        <w:t>,</w:t>
      </w:r>
      <w:r w:rsidR="00321E7E">
        <w:rPr>
          <w:lang w:val="fr-CH"/>
        </w:rPr>
        <w:t xml:space="preserve"> partout dans le monde.</w:t>
      </w:r>
    </w:p>
    <w:p w:rsidR="008C641C" w:rsidRPr="007D6237" w:rsidRDefault="008C641C" w:rsidP="008003D5">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color w:val="000000" w:themeColor="text1"/>
          <w:szCs w:val="24"/>
        </w:rPr>
      </w:pPr>
      <w:r w:rsidRPr="00971CB2">
        <w:rPr>
          <w:rFonts w:asciiTheme="minorHAnsi" w:hAnsiTheme="minorHAnsi"/>
          <w:color w:val="000000" w:themeColor="text1"/>
          <w:szCs w:val="24"/>
          <w:lang w:val="fr-CH"/>
        </w:rPr>
        <w:t>2.4</w:t>
      </w:r>
      <w:r w:rsidRPr="00971CB2">
        <w:rPr>
          <w:rFonts w:asciiTheme="minorHAnsi" w:hAnsiTheme="minorHAnsi"/>
          <w:color w:val="000000" w:themeColor="text1"/>
          <w:szCs w:val="24"/>
          <w:lang w:val="fr-CH"/>
        </w:rPr>
        <w:tab/>
      </w:r>
      <w:bookmarkStart w:id="78" w:name="lt_pId140"/>
      <w:r w:rsidR="00971CB2" w:rsidRPr="00971CB2">
        <w:rPr>
          <w:rFonts w:asciiTheme="minorHAnsi" w:hAnsiTheme="minorHAnsi"/>
          <w:color w:val="000000" w:themeColor="text1"/>
          <w:szCs w:val="24"/>
          <w:lang w:val="fr-CH"/>
        </w:rPr>
        <w:t>L'Office fédéral de la police (FEDPOL) du pays hôte considère que certaines manifestations de l'UIT présentent un risque plus faible que celles qui sont organisées à l'Office d</w:t>
      </w:r>
      <w:r w:rsidR="00971CB2">
        <w:rPr>
          <w:rFonts w:asciiTheme="minorHAnsi" w:hAnsiTheme="minorHAnsi"/>
          <w:color w:val="000000" w:themeColor="text1"/>
          <w:szCs w:val="24"/>
          <w:lang w:val="fr-CH"/>
        </w:rPr>
        <w:t>es Nations Unies à Genève (ONU</w:t>
      </w:r>
      <w:r w:rsidR="00971CB2" w:rsidRPr="00971CB2">
        <w:rPr>
          <w:rFonts w:asciiTheme="minorHAnsi" w:hAnsiTheme="minorHAnsi"/>
          <w:color w:val="000000" w:themeColor="text1"/>
          <w:szCs w:val="24"/>
          <w:lang w:val="fr-CH"/>
        </w:rPr>
        <w:t>G)</w:t>
      </w:r>
      <w:r w:rsidR="00971CB2">
        <w:rPr>
          <w:rFonts w:asciiTheme="minorHAnsi" w:hAnsiTheme="minorHAnsi"/>
          <w:color w:val="000000" w:themeColor="text1"/>
          <w:szCs w:val="24"/>
          <w:lang w:val="fr-CH"/>
        </w:rPr>
        <w:t xml:space="preserve">, mais reconnaît qu'il faudrait prévoir des mesures pour remédier aux risques potentiels dans le nouveau bâtiment. </w:t>
      </w:r>
      <w:r w:rsidR="007D6237">
        <w:rPr>
          <w:rFonts w:asciiTheme="minorHAnsi" w:hAnsiTheme="minorHAnsi"/>
          <w:color w:val="000000" w:themeColor="text1"/>
          <w:szCs w:val="24"/>
          <w:lang w:val="fr-CH"/>
        </w:rPr>
        <w:t>Il ressort de l</w:t>
      </w:r>
      <w:r w:rsidR="00971CB2">
        <w:rPr>
          <w:rFonts w:asciiTheme="minorHAnsi" w:hAnsiTheme="minorHAnsi"/>
          <w:color w:val="000000" w:themeColor="text1"/>
          <w:szCs w:val="24"/>
          <w:lang w:val="fr-CH"/>
        </w:rPr>
        <w:t xml:space="preserve">'analyse spécialisée qui a été réalisée par le Département de la sûreté et de </w:t>
      </w:r>
      <w:r w:rsidR="00971CB2">
        <w:rPr>
          <w:rFonts w:asciiTheme="minorHAnsi" w:hAnsiTheme="minorHAnsi"/>
          <w:color w:val="000000" w:themeColor="text1"/>
          <w:szCs w:val="24"/>
          <w:lang w:val="fr-CH"/>
        </w:rPr>
        <w:lastRenderedPageBreak/>
        <w:t>la sécurité des Nations Unies (</w:t>
      </w:r>
      <w:r w:rsidR="007D6237">
        <w:rPr>
          <w:rFonts w:asciiTheme="minorHAnsi" w:hAnsiTheme="minorHAnsi"/>
          <w:color w:val="000000" w:themeColor="text1"/>
          <w:szCs w:val="24"/>
          <w:lang w:val="fr-CH"/>
        </w:rPr>
        <w:t>DSS</w:t>
      </w:r>
      <w:r w:rsidR="00971CB2">
        <w:rPr>
          <w:rFonts w:asciiTheme="minorHAnsi" w:hAnsiTheme="minorHAnsi"/>
          <w:color w:val="000000" w:themeColor="text1"/>
          <w:szCs w:val="24"/>
          <w:lang w:val="fr-CH"/>
        </w:rPr>
        <w:t xml:space="preserve">) </w:t>
      </w:r>
      <w:r w:rsidR="007D6237">
        <w:rPr>
          <w:rFonts w:asciiTheme="minorHAnsi" w:hAnsiTheme="minorHAnsi"/>
          <w:color w:val="000000" w:themeColor="text1"/>
          <w:szCs w:val="24"/>
          <w:lang w:val="fr-CH"/>
        </w:rPr>
        <w:t xml:space="preserve">qu'un nouveau bâtiment </w:t>
      </w:r>
      <w:r w:rsidR="00496538">
        <w:rPr>
          <w:rFonts w:asciiTheme="minorHAnsi" w:hAnsiTheme="minorHAnsi"/>
          <w:color w:val="000000" w:themeColor="text1"/>
          <w:szCs w:val="24"/>
          <w:lang w:val="fr-CH"/>
        </w:rPr>
        <w:t>qui n'intègrerait</w:t>
      </w:r>
      <w:r w:rsidR="007D6237">
        <w:rPr>
          <w:rFonts w:asciiTheme="minorHAnsi" w:hAnsiTheme="minorHAnsi"/>
          <w:color w:val="000000" w:themeColor="text1"/>
          <w:szCs w:val="24"/>
          <w:lang w:val="fr-CH"/>
        </w:rPr>
        <w:t xml:space="preserve"> pas les mesures d'atténuation recommandées par les normes UN-MOSS ne serait pas conforme à ces normes et serait "dans tous les cas, inacceptable au regard des normes de l'ONU"</w:t>
      </w:r>
      <w:bookmarkEnd w:id="78"/>
      <w:r w:rsidR="007D6237">
        <w:rPr>
          <w:rFonts w:asciiTheme="minorHAnsi" w:hAnsiTheme="minorHAnsi"/>
          <w:color w:val="000000" w:themeColor="text1"/>
          <w:szCs w:val="24"/>
        </w:rPr>
        <w:t>.</w:t>
      </w:r>
    </w:p>
    <w:p w:rsidR="008C641C" w:rsidRPr="00496538" w:rsidRDefault="008C641C" w:rsidP="003E2E1C">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color w:val="000000" w:themeColor="text1"/>
          <w:szCs w:val="24"/>
        </w:rPr>
      </w:pPr>
      <w:r w:rsidRPr="007D6237">
        <w:rPr>
          <w:rFonts w:asciiTheme="minorHAnsi" w:hAnsiTheme="minorHAnsi"/>
          <w:color w:val="000000" w:themeColor="text1"/>
          <w:szCs w:val="24"/>
        </w:rPr>
        <w:t>2.5</w:t>
      </w:r>
      <w:r w:rsidRPr="007D6237">
        <w:rPr>
          <w:rFonts w:asciiTheme="minorHAnsi" w:hAnsiTheme="minorHAnsi"/>
          <w:color w:val="000000" w:themeColor="text1"/>
          <w:szCs w:val="24"/>
        </w:rPr>
        <w:tab/>
      </w:r>
      <w:bookmarkStart w:id="79" w:name="lt_pId143"/>
      <w:r w:rsidR="007D6237" w:rsidRPr="007D6237">
        <w:rPr>
          <w:rFonts w:asciiTheme="minorHAnsi" w:hAnsiTheme="minorHAnsi"/>
          <w:color w:val="000000" w:themeColor="text1"/>
          <w:szCs w:val="24"/>
        </w:rPr>
        <w:t xml:space="preserve">Conformément aux décisions prises par le Conseil précédemment, le Groupe MSAG souscrit aux rapports de sécurité spécialisés </w:t>
      </w:r>
      <w:r w:rsidR="007D6237">
        <w:rPr>
          <w:rFonts w:asciiTheme="minorHAnsi" w:hAnsiTheme="minorHAnsi"/>
          <w:color w:val="000000" w:themeColor="text1"/>
          <w:szCs w:val="24"/>
        </w:rPr>
        <w:t>du DSS et demande au Secrétariat d'assurer la conformité aux normes UN-MOSS et d'</w:t>
      </w:r>
      <w:r w:rsidR="003E2E1C">
        <w:rPr>
          <w:rFonts w:asciiTheme="minorHAnsi" w:hAnsiTheme="minorHAnsi"/>
          <w:color w:val="000000" w:themeColor="text1"/>
          <w:szCs w:val="24"/>
        </w:rPr>
        <w:t xml:space="preserve">élargir </w:t>
      </w:r>
      <w:r w:rsidR="007D6237">
        <w:rPr>
          <w:rFonts w:asciiTheme="minorHAnsi" w:hAnsiTheme="minorHAnsi"/>
          <w:color w:val="000000" w:themeColor="text1"/>
          <w:szCs w:val="24"/>
        </w:rPr>
        <w:t>le processus de consultation avec la Suisse</w:t>
      </w:r>
      <w:r w:rsidR="00496538">
        <w:rPr>
          <w:rFonts w:asciiTheme="minorHAnsi" w:hAnsiTheme="minorHAnsi"/>
          <w:color w:val="000000" w:themeColor="text1"/>
          <w:szCs w:val="24"/>
        </w:rPr>
        <w:t>,</w:t>
      </w:r>
      <w:r w:rsidR="007D6237">
        <w:rPr>
          <w:rFonts w:asciiTheme="minorHAnsi" w:hAnsiTheme="minorHAnsi"/>
          <w:color w:val="000000" w:themeColor="text1"/>
          <w:szCs w:val="24"/>
        </w:rPr>
        <w:t xml:space="preserve"> afin de mettre en </w:t>
      </w:r>
      <w:r w:rsidR="00F9756B">
        <w:rPr>
          <w:rFonts w:asciiTheme="minorHAnsi" w:hAnsiTheme="minorHAnsi"/>
          <w:color w:val="000000" w:themeColor="text1"/>
          <w:szCs w:val="24"/>
        </w:rPr>
        <w:t>œuvre</w:t>
      </w:r>
      <w:r w:rsidR="00496538">
        <w:rPr>
          <w:rFonts w:asciiTheme="minorHAnsi" w:hAnsiTheme="minorHAnsi"/>
          <w:color w:val="000000" w:themeColor="text1"/>
          <w:szCs w:val="24"/>
        </w:rPr>
        <w:t xml:space="preserve"> les mesures d'atténuation qui s'imposent</w:t>
      </w:r>
      <w:r w:rsidR="007D6237">
        <w:rPr>
          <w:rFonts w:asciiTheme="minorHAnsi" w:hAnsiTheme="minorHAnsi"/>
          <w:color w:val="000000" w:themeColor="text1"/>
          <w:szCs w:val="24"/>
        </w:rPr>
        <w:t>.</w:t>
      </w:r>
      <w:bookmarkEnd w:id="79"/>
    </w:p>
    <w:p w:rsidR="008C641C" w:rsidRPr="006B72E9" w:rsidRDefault="008C641C" w:rsidP="008003D5">
      <w:pPr>
        <w:pStyle w:val="Heading1"/>
        <w:jc w:val="both"/>
      </w:pPr>
      <w:r w:rsidRPr="006B72E9">
        <w:t>3</w:t>
      </w:r>
      <w:r w:rsidRPr="006B72E9">
        <w:tab/>
      </w:r>
      <w:r w:rsidR="007D6237" w:rsidRPr="006B72E9">
        <w:t>Gestion et gouvernance</w:t>
      </w:r>
    </w:p>
    <w:p w:rsidR="008C641C" w:rsidRPr="006B72E9" w:rsidRDefault="008C641C" w:rsidP="008003D5">
      <w:pPr>
        <w:pStyle w:val="Normalaftertitle"/>
        <w:tabs>
          <w:tab w:val="clear" w:pos="567"/>
          <w:tab w:val="clear" w:pos="1134"/>
          <w:tab w:val="clear" w:pos="1701"/>
          <w:tab w:val="clear" w:pos="2268"/>
          <w:tab w:val="clear" w:pos="2835"/>
        </w:tabs>
        <w:snapToGrid w:val="0"/>
        <w:spacing w:before="120" w:after="120"/>
        <w:rPr>
          <w:rFonts w:asciiTheme="minorHAnsi" w:hAnsiTheme="minorHAnsi"/>
          <w:color w:val="000000" w:themeColor="text1"/>
          <w:szCs w:val="24"/>
        </w:rPr>
      </w:pPr>
      <w:r w:rsidRPr="006B72E9">
        <w:rPr>
          <w:rFonts w:asciiTheme="minorHAnsi" w:hAnsiTheme="minorHAnsi"/>
          <w:color w:val="000000" w:themeColor="text1"/>
          <w:szCs w:val="24"/>
        </w:rPr>
        <w:t>3.1</w:t>
      </w:r>
      <w:r w:rsidRPr="006B72E9">
        <w:rPr>
          <w:rFonts w:asciiTheme="minorHAnsi" w:hAnsiTheme="minorHAnsi"/>
          <w:color w:val="000000" w:themeColor="text1"/>
          <w:szCs w:val="24"/>
        </w:rPr>
        <w:tab/>
      </w:r>
      <w:bookmarkStart w:id="80" w:name="lt_pId147"/>
      <w:r w:rsidR="006B72E9" w:rsidRPr="006B72E9">
        <w:rPr>
          <w:rFonts w:asciiTheme="minorHAnsi" w:hAnsiTheme="minorHAnsi"/>
          <w:color w:val="000000" w:themeColor="text1"/>
          <w:szCs w:val="24"/>
        </w:rPr>
        <w:t>Les modalités de gouvernance du projet actualisées ont été présentées au Groupe MSAG</w:t>
      </w:r>
      <w:r w:rsidRPr="006B72E9">
        <w:rPr>
          <w:rFonts w:asciiTheme="minorHAnsi" w:hAnsiTheme="minorHAnsi"/>
          <w:color w:val="000000" w:themeColor="text1"/>
          <w:szCs w:val="24"/>
        </w:rPr>
        <w:t>.</w:t>
      </w:r>
      <w:bookmarkEnd w:id="80"/>
    </w:p>
    <w:p w:rsidR="008C641C" w:rsidRPr="006B72E9" w:rsidRDefault="008C641C" w:rsidP="008003D5">
      <w:pPr>
        <w:pStyle w:val="Heading1"/>
      </w:pPr>
      <w:r w:rsidRPr="006B72E9">
        <w:t>4</w:t>
      </w:r>
      <w:r w:rsidRPr="006B72E9">
        <w:tab/>
      </w:r>
      <w:bookmarkStart w:id="81" w:name="lt_pId149"/>
      <w:r w:rsidR="006B72E9" w:rsidRPr="006B72E9">
        <w:t>Financement</w:t>
      </w:r>
      <w:r w:rsidRPr="006B72E9">
        <w:t xml:space="preserve">: </w:t>
      </w:r>
      <w:r w:rsidR="006B72E9" w:rsidRPr="006B72E9">
        <w:t>Ré</w:t>
      </w:r>
      <w:r w:rsidRPr="006B72E9">
        <w:t>solution 212</w:t>
      </w:r>
      <w:r w:rsidR="00F9756B">
        <w:t xml:space="preserve"> </w:t>
      </w:r>
      <w:r w:rsidR="006B72E9" w:rsidRPr="006B72E9">
        <w:t>(Dubaï, 2018) et Dé</w:t>
      </w:r>
      <w:r w:rsidRPr="006B72E9">
        <w:t>cision 5</w:t>
      </w:r>
      <w:bookmarkEnd w:id="81"/>
      <w:r w:rsidR="006B72E9" w:rsidRPr="006B72E9">
        <w:t xml:space="preserve"> (Rév.</w:t>
      </w:r>
      <w:r w:rsidR="006B72E9">
        <w:t xml:space="preserve"> Dubaï, 2018) de la Conférence de plénipotentiaires</w:t>
      </w:r>
      <w:r w:rsidRPr="006B72E9">
        <w:t xml:space="preserve"> </w:t>
      </w:r>
    </w:p>
    <w:p w:rsidR="00321E7E" w:rsidRPr="005B37A3" w:rsidRDefault="008C641C" w:rsidP="003E2E1C">
      <w:pPr>
        <w:pStyle w:val="Normalaftertitle"/>
        <w:tabs>
          <w:tab w:val="clear" w:pos="567"/>
          <w:tab w:val="clear" w:pos="1134"/>
          <w:tab w:val="clear" w:pos="1701"/>
          <w:tab w:val="clear" w:pos="2268"/>
          <w:tab w:val="clear" w:pos="2835"/>
        </w:tabs>
        <w:snapToGrid w:val="0"/>
        <w:spacing w:before="120" w:after="120"/>
        <w:rPr>
          <w:lang w:val="fr-CH"/>
        </w:rPr>
      </w:pPr>
      <w:r w:rsidRPr="005B37A3">
        <w:rPr>
          <w:rFonts w:asciiTheme="minorHAnsi" w:hAnsiTheme="minorHAnsi"/>
          <w:color w:val="000000" w:themeColor="text1"/>
          <w:szCs w:val="24"/>
          <w:lang w:val="fr-CH"/>
        </w:rPr>
        <w:t>4.1</w:t>
      </w:r>
      <w:r w:rsidRPr="005B37A3">
        <w:rPr>
          <w:rFonts w:asciiTheme="minorHAnsi" w:hAnsiTheme="minorHAnsi"/>
          <w:color w:val="000000" w:themeColor="text1"/>
          <w:szCs w:val="24"/>
          <w:lang w:val="fr-CH"/>
        </w:rPr>
        <w:tab/>
      </w:r>
      <w:r w:rsidR="00496538">
        <w:rPr>
          <w:rFonts w:asciiTheme="minorHAnsi" w:hAnsiTheme="minorHAnsi"/>
          <w:color w:val="000000" w:themeColor="text1"/>
          <w:szCs w:val="24"/>
          <w:lang w:val="fr-CH"/>
        </w:rPr>
        <w:t xml:space="preserve">S'agissant de </w:t>
      </w:r>
      <w:r w:rsidR="00445298">
        <w:rPr>
          <w:rFonts w:asciiTheme="minorHAnsi" w:hAnsiTheme="minorHAnsi"/>
          <w:color w:val="000000" w:themeColor="text1"/>
          <w:szCs w:val="24"/>
          <w:lang w:val="fr-CH"/>
        </w:rPr>
        <w:t xml:space="preserve">la décision, prise </w:t>
      </w:r>
      <w:r w:rsidR="00490BF0">
        <w:rPr>
          <w:rFonts w:asciiTheme="minorHAnsi" w:hAnsiTheme="minorHAnsi"/>
          <w:color w:val="000000" w:themeColor="text1"/>
          <w:szCs w:val="24"/>
          <w:lang w:val="fr-CH"/>
        </w:rPr>
        <w:t xml:space="preserve">par la Conférence de </w:t>
      </w:r>
      <w:r w:rsidR="00496538">
        <w:rPr>
          <w:rFonts w:asciiTheme="minorHAnsi" w:hAnsiTheme="minorHAnsi"/>
          <w:color w:val="000000" w:themeColor="text1"/>
          <w:szCs w:val="24"/>
          <w:lang w:val="fr-CH"/>
        </w:rPr>
        <w:t>plénipotentiaires</w:t>
      </w:r>
      <w:r w:rsidR="00490BF0">
        <w:rPr>
          <w:rFonts w:asciiTheme="minorHAnsi" w:hAnsiTheme="minorHAnsi"/>
          <w:color w:val="000000" w:themeColor="text1"/>
          <w:szCs w:val="24"/>
          <w:lang w:val="fr-CH"/>
        </w:rPr>
        <w:t xml:space="preserve"> dans</w:t>
      </w:r>
      <w:r w:rsidR="00D25091">
        <w:rPr>
          <w:lang w:val="fr-CH"/>
        </w:rPr>
        <w:t xml:space="preserve"> sa Résolution </w:t>
      </w:r>
      <w:r w:rsidR="00321E7E" w:rsidRPr="005B37A3">
        <w:rPr>
          <w:lang w:val="fr-CH"/>
        </w:rPr>
        <w:t xml:space="preserve">212 (Dubaï, 2018), </w:t>
      </w:r>
      <w:r w:rsidR="00490BF0">
        <w:rPr>
          <w:lang w:val="fr-CH"/>
        </w:rPr>
        <w:t xml:space="preserve">selon laquelle le fonds provisoire (le "Fonds pour le projet de nouveau bâtiment") </w:t>
      </w:r>
      <w:r w:rsidR="00321E7E" w:rsidRPr="005B37A3">
        <w:rPr>
          <w:lang w:val="fr-CH"/>
        </w:rPr>
        <w:t xml:space="preserve">ainsi que tout parrainage </w:t>
      </w:r>
      <w:r w:rsidR="003E2E1C">
        <w:rPr>
          <w:lang w:val="fr-CH"/>
        </w:rPr>
        <w:t>ou</w:t>
      </w:r>
      <w:r w:rsidR="00321E7E" w:rsidRPr="005B37A3">
        <w:rPr>
          <w:lang w:val="fr-CH"/>
        </w:rPr>
        <w:t xml:space="preserve"> don reçu </w:t>
      </w:r>
      <w:r w:rsidR="00445298">
        <w:rPr>
          <w:lang w:val="fr-CH"/>
        </w:rPr>
        <w:t>pourront</w:t>
      </w:r>
      <w:r w:rsidR="00321E7E" w:rsidRPr="005B37A3">
        <w:rPr>
          <w:lang w:val="fr-CH"/>
        </w:rPr>
        <w:t xml:space="preserve"> compléter l'enveloppe financière du projet, </w:t>
      </w:r>
      <w:r w:rsidR="00445298">
        <w:rPr>
          <w:lang w:val="fr-CH"/>
        </w:rPr>
        <w:t>tan</w:t>
      </w:r>
      <w:r w:rsidR="003E2E1C">
        <w:rPr>
          <w:lang w:val="fr-CH"/>
        </w:rPr>
        <w:t>dis</w:t>
      </w:r>
      <w:r w:rsidR="00321E7E" w:rsidRPr="005B37A3">
        <w:rPr>
          <w:lang w:val="fr-CH"/>
        </w:rPr>
        <w:t xml:space="preserve"> que </w:t>
      </w:r>
      <w:r w:rsidR="00445298">
        <w:rPr>
          <w:lang w:val="fr-CH"/>
        </w:rPr>
        <w:t>la Décision 588 du Conseil reste</w:t>
      </w:r>
      <w:r w:rsidR="00321E7E" w:rsidRPr="005B37A3">
        <w:rPr>
          <w:lang w:val="fr-CH"/>
        </w:rPr>
        <w:t xml:space="preserve"> en vigueur</w:t>
      </w:r>
      <w:r w:rsidR="00496538">
        <w:rPr>
          <w:lang w:val="fr-CH"/>
        </w:rPr>
        <w:t>, le Groupe MSAG invite à la plus grande prudence</w:t>
      </w:r>
      <w:r w:rsidR="00321E7E" w:rsidRPr="005B37A3">
        <w:rPr>
          <w:lang w:val="fr-CH"/>
        </w:rPr>
        <w:t>.</w:t>
      </w:r>
    </w:p>
    <w:p w:rsidR="008C641C" w:rsidRPr="003322AA" w:rsidRDefault="008C641C" w:rsidP="008003D5">
      <w:pPr>
        <w:pStyle w:val="Normalaftertitle"/>
        <w:tabs>
          <w:tab w:val="clear" w:pos="567"/>
          <w:tab w:val="clear" w:pos="1134"/>
          <w:tab w:val="clear" w:pos="1701"/>
          <w:tab w:val="clear" w:pos="2268"/>
          <w:tab w:val="clear" w:pos="2835"/>
        </w:tabs>
        <w:snapToGrid w:val="0"/>
        <w:spacing w:before="120" w:after="120"/>
        <w:rPr>
          <w:rFonts w:asciiTheme="minorHAnsi" w:hAnsiTheme="minorHAnsi"/>
          <w:color w:val="000000" w:themeColor="text1"/>
          <w:szCs w:val="24"/>
        </w:rPr>
      </w:pPr>
      <w:r w:rsidRPr="00490BF0">
        <w:rPr>
          <w:rFonts w:asciiTheme="minorHAnsi" w:hAnsiTheme="minorHAnsi"/>
          <w:color w:val="000000" w:themeColor="text1"/>
          <w:szCs w:val="24"/>
        </w:rPr>
        <w:t>4.2</w:t>
      </w:r>
      <w:r w:rsidRPr="00490BF0">
        <w:rPr>
          <w:rFonts w:asciiTheme="minorHAnsi" w:hAnsiTheme="minorHAnsi"/>
          <w:color w:val="000000" w:themeColor="text1"/>
          <w:szCs w:val="24"/>
        </w:rPr>
        <w:tab/>
      </w:r>
      <w:bookmarkStart w:id="82" w:name="lt_pId153"/>
      <w:r w:rsidR="00490BF0" w:rsidRPr="00490BF0">
        <w:rPr>
          <w:rFonts w:asciiTheme="minorHAnsi" w:hAnsiTheme="minorHAnsi"/>
          <w:color w:val="000000" w:themeColor="text1"/>
          <w:szCs w:val="24"/>
        </w:rPr>
        <w:t xml:space="preserve">Le fonds provisoire n'a été créé que pour les éléments supplémentaires qui ne peuvent </w:t>
      </w:r>
      <w:r w:rsidR="00490BF0">
        <w:rPr>
          <w:rFonts w:asciiTheme="minorHAnsi" w:hAnsiTheme="minorHAnsi"/>
          <w:color w:val="000000" w:themeColor="text1"/>
          <w:szCs w:val="24"/>
        </w:rPr>
        <w:t>être financés par le prê</w:t>
      </w:r>
      <w:r w:rsidR="003E2E1C">
        <w:rPr>
          <w:rFonts w:asciiTheme="minorHAnsi" w:hAnsiTheme="minorHAnsi"/>
          <w:color w:val="000000" w:themeColor="text1"/>
          <w:szCs w:val="24"/>
        </w:rPr>
        <w:t>t, c'est-à-dire "afin de financ</w:t>
      </w:r>
      <w:r w:rsidR="00490BF0">
        <w:rPr>
          <w:rFonts w:asciiTheme="minorHAnsi" w:hAnsiTheme="minorHAnsi"/>
          <w:color w:val="000000" w:themeColor="text1"/>
          <w:szCs w:val="24"/>
        </w:rPr>
        <w:t>er les coûts qui ne peuvent pas être financés, d'un point de vue juridique, par le prêt consenti par le pays hôte", conformément à la Décision 5. Le Groupe MSAG souscrit au versement proposé de 6 millions CHF provenant d'économies réalisées en 2018 sur le Fonds pour le projet de nouveau bâtiment.</w:t>
      </w:r>
      <w:bookmarkEnd w:id="82"/>
    </w:p>
    <w:p w:rsidR="00490BF0" w:rsidRPr="00490BF0" w:rsidRDefault="008C641C" w:rsidP="008003D5">
      <w:pPr>
        <w:pStyle w:val="Normalaftertitle"/>
        <w:tabs>
          <w:tab w:val="clear" w:pos="567"/>
          <w:tab w:val="clear" w:pos="1134"/>
          <w:tab w:val="clear" w:pos="1701"/>
          <w:tab w:val="clear" w:pos="2268"/>
          <w:tab w:val="clear" w:pos="2835"/>
        </w:tabs>
        <w:snapToGrid w:val="0"/>
        <w:spacing w:before="120" w:after="120"/>
        <w:rPr>
          <w:rFonts w:asciiTheme="minorHAnsi" w:hAnsiTheme="minorHAnsi"/>
          <w:color w:val="000000" w:themeColor="text1"/>
          <w:szCs w:val="24"/>
        </w:rPr>
      </w:pPr>
      <w:r w:rsidRPr="00490BF0">
        <w:rPr>
          <w:rFonts w:asciiTheme="minorHAnsi" w:hAnsiTheme="minorHAnsi"/>
          <w:color w:val="000000" w:themeColor="text1"/>
          <w:szCs w:val="24"/>
        </w:rPr>
        <w:t>4.3</w:t>
      </w:r>
      <w:r w:rsidRPr="00490BF0">
        <w:rPr>
          <w:rFonts w:asciiTheme="minorHAnsi" w:hAnsiTheme="minorHAnsi"/>
          <w:color w:val="000000" w:themeColor="text1"/>
          <w:szCs w:val="24"/>
        </w:rPr>
        <w:tab/>
      </w:r>
      <w:bookmarkStart w:id="83" w:name="lt_pId156"/>
      <w:r w:rsidR="00490BF0" w:rsidRPr="00490BF0">
        <w:rPr>
          <w:rFonts w:asciiTheme="minorHAnsi" w:hAnsiTheme="minorHAnsi"/>
          <w:color w:val="000000" w:themeColor="text1"/>
          <w:szCs w:val="24"/>
        </w:rPr>
        <w:t xml:space="preserve">Le Groupe </w:t>
      </w:r>
      <w:r w:rsidRPr="00490BF0">
        <w:rPr>
          <w:rFonts w:asciiTheme="minorHAnsi" w:hAnsiTheme="minorHAnsi"/>
          <w:color w:val="000000" w:themeColor="text1"/>
          <w:szCs w:val="24"/>
        </w:rPr>
        <w:t>MSAG</w:t>
      </w:r>
      <w:r w:rsidR="00490BF0" w:rsidRPr="00490BF0">
        <w:rPr>
          <w:rFonts w:asciiTheme="minorHAnsi" w:hAnsiTheme="minorHAnsi"/>
          <w:color w:val="000000" w:themeColor="text1"/>
          <w:szCs w:val="24"/>
        </w:rPr>
        <w:t xml:space="preserve"> </w:t>
      </w:r>
      <w:r w:rsidR="003E2E1C">
        <w:rPr>
          <w:rFonts w:asciiTheme="minorHAnsi" w:hAnsiTheme="minorHAnsi"/>
          <w:color w:val="000000" w:themeColor="text1"/>
          <w:szCs w:val="24"/>
        </w:rPr>
        <w:t>a noté</w:t>
      </w:r>
      <w:r w:rsidR="00490BF0" w:rsidRPr="00490BF0">
        <w:rPr>
          <w:rFonts w:asciiTheme="minorHAnsi" w:hAnsiTheme="minorHAnsi"/>
          <w:color w:val="000000" w:themeColor="text1"/>
          <w:szCs w:val="24"/>
        </w:rPr>
        <w:t xml:space="preserve"> que</w:t>
      </w:r>
      <w:r w:rsidR="00113A4A">
        <w:rPr>
          <w:rFonts w:asciiTheme="minorHAnsi" w:hAnsiTheme="minorHAnsi"/>
          <w:color w:val="000000" w:themeColor="text1"/>
          <w:szCs w:val="24"/>
        </w:rPr>
        <w:t>, dans le Document C19/7,</w:t>
      </w:r>
      <w:r w:rsidR="00490BF0" w:rsidRPr="00490BF0">
        <w:rPr>
          <w:rFonts w:asciiTheme="minorHAnsi" w:hAnsiTheme="minorHAnsi"/>
          <w:color w:val="000000" w:themeColor="text1"/>
          <w:szCs w:val="24"/>
        </w:rPr>
        <w:t xml:space="preserve"> le fonds de </w:t>
      </w:r>
      <w:r w:rsidR="00D25091">
        <w:rPr>
          <w:rFonts w:asciiTheme="minorHAnsi" w:hAnsiTheme="minorHAnsi"/>
          <w:color w:val="000000" w:themeColor="text1"/>
          <w:szCs w:val="24"/>
        </w:rPr>
        <w:t>réserve de 7 millions </w:t>
      </w:r>
      <w:r w:rsidR="00445298">
        <w:rPr>
          <w:rFonts w:asciiTheme="minorHAnsi" w:hAnsiTheme="minorHAnsi"/>
          <w:color w:val="000000" w:themeColor="text1"/>
          <w:szCs w:val="24"/>
        </w:rPr>
        <w:t>CHF est compris dans les ressources de financement</w:t>
      </w:r>
      <w:r w:rsidR="00113A4A">
        <w:rPr>
          <w:rFonts w:asciiTheme="minorHAnsi" w:hAnsiTheme="minorHAnsi"/>
          <w:color w:val="000000" w:themeColor="text1"/>
          <w:szCs w:val="24"/>
        </w:rPr>
        <w:t xml:space="preserve">, mais pas dans les coûts (dépenses). </w:t>
      </w:r>
      <w:r w:rsidR="00445298">
        <w:rPr>
          <w:rFonts w:asciiTheme="minorHAnsi" w:hAnsiTheme="minorHAnsi"/>
          <w:color w:val="000000" w:themeColor="text1"/>
          <w:szCs w:val="24"/>
        </w:rPr>
        <w:t>Pour refléter convenablement la façon dont le</w:t>
      </w:r>
      <w:r w:rsidR="00113A4A">
        <w:rPr>
          <w:rFonts w:asciiTheme="minorHAnsi" w:hAnsiTheme="minorHAnsi"/>
          <w:color w:val="000000" w:themeColor="text1"/>
          <w:szCs w:val="24"/>
        </w:rPr>
        <w:t xml:space="preserve"> fonds de réserve</w:t>
      </w:r>
      <w:r w:rsidR="00445298">
        <w:rPr>
          <w:rFonts w:asciiTheme="minorHAnsi" w:hAnsiTheme="minorHAnsi"/>
          <w:color w:val="000000" w:themeColor="text1"/>
          <w:szCs w:val="24"/>
        </w:rPr>
        <w:t xml:space="preserve"> sera utilisé</w:t>
      </w:r>
      <w:r w:rsidR="00D25091">
        <w:rPr>
          <w:rFonts w:asciiTheme="minorHAnsi" w:hAnsiTheme="minorHAnsi"/>
          <w:color w:val="000000" w:themeColor="text1"/>
          <w:szCs w:val="24"/>
        </w:rPr>
        <w:t>, il faut </w:t>
      </w:r>
      <w:r w:rsidR="00113A4A">
        <w:rPr>
          <w:rFonts w:asciiTheme="minorHAnsi" w:hAnsiTheme="minorHAnsi"/>
          <w:color w:val="000000" w:themeColor="text1"/>
          <w:szCs w:val="24"/>
        </w:rPr>
        <w:t xml:space="preserve">prévoir un montant analogue </w:t>
      </w:r>
      <w:r w:rsidR="00445298">
        <w:rPr>
          <w:rFonts w:asciiTheme="minorHAnsi" w:hAnsiTheme="minorHAnsi"/>
          <w:color w:val="000000" w:themeColor="text1"/>
          <w:szCs w:val="24"/>
        </w:rPr>
        <w:t>de</w:t>
      </w:r>
      <w:r w:rsidR="00113A4A">
        <w:rPr>
          <w:rFonts w:asciiTheme="minorHAnsi" w:hAnsiTheme="minorHAnsi"/>
          <w:color w:val="000000" w:themeColor="text1"/>
          <w:szCs w:val="24"/>
        </w:rPr>
        <w:t xml:space="preserve"> coûts non prévus.</w:t>
      </w:r>
    </w:p>
    <w:bookmarkEnd w:id="83"/>
    <w:p w:rsidR="008C641C" w:rsidRPr="001879FD" w:rsidRDefault="008C641C" w:rsidP="00D25091">
      <w:pPr>
        <w:pStyle w:val="Normalaftertitle"/>
        <w:tabs>
          <w:tab w:val="clear" w:pos="567"/>
          <w:tab w:val="clear" w:pos="1134"/>
          <w:tab w:val="clear" w:pos="1701"/>
          <w:tab w:val="clear" w:pos="2268"/>
          <w:tab w:val="clear" w:pos="2835"/>
        </w:tabs>
        <w:snapToGrid w:val="0"/>
        <w:spacing w:before="120" w:after="120"/>
        <w:rPr>
          <w:rFonts w:asciiTheme="minorHAnsi" w:hAnsiTheme="minorHAnsi"/>
          <w:color w:val="000000" w:themeColor="text1"/>
          <w:szCs w:val="24"/>
        </w:rPr>
      </w:pPr>
      <w:r w:rsidRPr="00113A4A">
        <w:rPr>
          <w:rFonts w:asciiTheme="minorHAnsi" w:hAnsiTheme="minorHAnsi"/>
          <w:color w:val="000000" w:themeColor="text1"/>
          <w:szCs w:val="24"/>
        </w:rPr>
        <w:t>4.4</w:t>
      </w:r>
      <w:r w:rsidRPr="00113A4A">
        <w:rPr>
          <w:rFonts w:asciiTheme="minorHAnsi" w:hAnsiTheme="minorHAnsi"/>
          <w:color w:val="000000" w:themeColor="text1"/>
          <w:szCs w:val="24"/>
        </w:rPr>
        <w:tab/>
      </w:r>
      <w:bookmarkStart w:id="84" w:name="lt_pId159"/>
      <w:r w:rsidR="00496538">
        <w:rPr>
          <w:rFonts w:asciiTheme="minorHAnsi" w:hAnsiTheme="minorHAnsi"/>
          <w:color w:val="000000" w:themeColor="text1"/>
          <w:szCs w:val="24"/>
        </w:rPr>
        <w:t>À</w:t>
      </w:r>
      <w:r w:rsidR="00113A4A" w:rsidRPr="00113A4A">
        <w:rPr>
          <w:rFonts w:asciiTheme="minorHAnsi" w:hAnsiTheme="minorHAnsi"/>
          <w:color w:val="000000" w:themeColor="text1"/>
          <w:szCs w:val="24"/>
        </w:rPr>
        <w:t xml:space="preserve"> ce stade, il faudrait tenir compte, dans le cadre du scénario le plus défavorable, </w:t>
      </w:r>
      <w:r w:rsidR="00496538">
        <w:rPr>
          <w:rFonts w:asciiTheme="minorHAnsi" w:hAnsiTheme="minorHAnsi"/>
          <w:color w:val="000000" w:themeColor="text1"/>
          <w:szCs w:val="24"/>
        </w:rPr>
        <w:t xml:space="preserve">d'une marge d'erreur de +/- 15% </w:t>
      </w:r>
      <w:r w:rsidR="006A2EBE">
        <w:rPr>
          <w:rFonts w:asciiTheme="minorHAnsi" w:hAnsiTheme="minorHAnsi"/>
          <w:color w:val="000000" w:themeColor="text1"/>
          <w:szCs w:val="24"/>
        </w:rPr>
        <w:t>dans</w:t>
      </w:r>
      <w:r w:rsidR="00496538">
        <w:rPr>
          <w:rFonts w:asciiTheme="minorHAnsi" w:hAnsiTheme="minorHAnsi"/>
          <w:color w:val="000000" w:themeColor="text1"/>
          <w:szCs w:val="24"/>
        </w:rPr>
        <w:t xml:space="preserve"> les </w:t>
      </w:r>
      <w:r w:rsidR="00113A4A" w:rsidRPr="00113A4A">
        <w:rPr>
          <w:rFonts w:asciiTheme="minorHAnsi" w:hAnsiTheme="minorHAnsi"/>
          <w:color w:val="000000" w:themeColor="text1"/>
          <w:szCs w:val="24"/>
        </w:rPr>
        <w:t>estimations des co</w:t>
      </w:r>
      <w:r w:rsidR="00113A4A">
        <w:rPr>
          <w:rFonts w:asciiTheme="minorHAnsi" w:hAnsiTheme="minorHAnsi"/>
          <w:color w:val="000000" w:themeColor="text1"/>
          <w:szCs w:val="24"/>
        </w:rPr>
        <w:t>ûts pour les groupes CFC 1 à 4.</w:t>
      </w:r>
      <w:r w:rsidR="00113A4A" w:rsidRPr="00113A4A">
        <w:rPr>
          <w:rFonts w:asciiTheme="minorHAnsi" w:hAnsiTheme="minorHAnsi"/>
          <w:color w:val="000000" w:themeColor="text1"/>
          <w:szCs w:val="24"/>
        </w:rPr>
        <w:t xml:space="preserve"> </w:t>
      </w:r>
      <w:r w:rsidR="00496538">
        <w:rPr>
          <w:rFonts w:asciiTheme="minorHAnsi" w:hAnsiTheme="minorHAnsi"/>
          <w:color w:val="000000" w:themeColor="text1"/>
          <w:szCs w:val="24"/>
        </w:rPr>
        <w:t>Par conséquent</w:t>
      </w:r>
      <w:r w:rsidR="00113A4A">
        <w:rPr>
          <w:rFonts w:asciiTheme="minorHAnsi" w:hAnsiTheme="minorHAnsi"/>
          <w:color w:val="000000" w:themeColor="text1"/>
          <w:szCs w:val="24"/>
        </w:rPr>
        <w:t xml:space="preserve">, un montant </w:t>
      </w:r>
      <w:r w:rsidR="00496538">
        <w:rPr>
          <w:rFonts w:asciiTheme="minorHAnsi" w:hAnsiTheme="minorHAnsi"/>
          <w:color w:val="000000" w:themeColor="text1"/>
          <w:szCs w:val="24"/>
        </w:rPr>
        <w:t xml:space="preserve">supplémentaire </w:t>
      </w:r>
      <w:r w:rsidR="00113A4A">
        <w:rPr>
          <w:rFonts w:asciiTheme="minorHAnsi" w:hAnsiTheme="minorHAnsi"/>
          <w:color w:val="000000" w:themeColor="text1"/>
          <w:szCs w:val="24"/>
        </w:rPr>
        <w:t>de 18 717 000 CHF pourrait être nécessaire, et le montant total du reste des financement</w:t>
      </w:r>
      <w:r w:rsidR="00496538">
        <w:rPr>
          <w:rFonts w:asciiTheme="minorHAnsi" w:hAnsiTheme="minorHAnsi"/>
          <w:color w:val="000000" w:themeColor="text1"/>
          <w:szCs w:val="24"/>
        </w:rPr>
        <w:t>s nécessaires pourrait atteindre</w:t>
      </w:r>
      <w:r w:rsidR="001879FD">
        <w:rPr>
          <w:rFonts w:asciiTheme="minorHAnsi" w:hAnsiTheme="minorHAnsi"/>
          <w:color w:val="000000" w:themeColor="text1"/>
          <w:szCs w:val="24"/>
        </w:rPr>
        <w:t xml:space="preserve"> 52 159 000 CHF</w:t>
      </w:r>
      <w:r w:rsidR="00496538">
        <w:rPr>
          <w:rFonts w:asciiTheme="minorHAnsi" w:hAnsiTheme="minorHAnsi"/>
          <w:color w:val="000000" w:themeColor="text1"/>
          <w:szCs w:val="24"/>
        </w:rPr>
        <w:t>, au maximum</w:t>
      </w:r>
      <w:r w:rsidR="001879FD">
        <w:rPr>
          <w:rFonts w:asciiTheme="minorHAnsi" w:hAnsiTheme="minorHAnsi"/>
          <w:color w:val="000000" w:themeColor="text1"/>
          <w:szCs w:val="24"/>
        </w:rPr>
        <w:t>.</w:t>
      </w:r>
      <w:bookmarkEnd w:id="84"/>
      <w:r w:rsidR="001879FD">
        <w:rPr>
          <w:rFonts w:asciiTheme="minorHAnsi" w:hAnsiTheme="minorHAnsi"/>
          <w:color w:val="000000" w:themeColor="text1"/>
          <w:szCs w:val="24"/>
        </w:rPr>
        <w:t xml:space="preserve"> </w:t>
      </w:r>
      <w:r w:rsidR="001879FD" w:rsidRPr="001879FD">
        <w:rPr>
          <w:rFonts w:asciiTheme="minorHAnsi" w:hAnsiTheme="minorHAnsi"/>
          <w:color w:val="000000" w:themeColor="text1"/>
          <w:szCs w:val="24"/>
        </w:rPr>
        <w:t xml:space="preserve">Le coût total du projet (à l'exception </w:t>
      </w:r>
      <w:r w:rsidR="001879FD" w:rsidRPr="001879FD">
        <w:rPr>
          <w:rFonts w:asciiTheme="minorHAnsi" w:hAnsiTheme="minorHAnsi"/>
          <w:color w:val="000000" w:themeColor="text1"/>
          <w:szCs w:val="24"/>
        </w:rPr>
        <w:lastRenderedPageBreak/>
        <w:t xml:space="preserve">des traitements de l'équipe chargée du projet, qui seront financés sur le budget </w:t>
      </w:r>
      <w:r w:rsidR="00496538">
        <w:rPr>
          <w:rFonts w:asciiTheme="minorHAnsi" w:hAnsiTheme="minorHAnsi"/>
          <w:color w:val="000000" w:themeColor="text1"/>
          <w:szCs w:val="24"/>
        </w:rPr>
        <w:t>ordinaire</w:t>
      </w:r>
      <w:r w:rsidR="001879FD" w:rsidRPr="001879FD">
        <w:rPr>
          <w:rFonts w:asciiTheme="minorHAnsi" w:hAnsiTheme="minorHAnsi"/>
          <w:color w:val="000000" w:themeColor="text1"/>
          <w:szCs w:val="24"/>
        </w:rPr>
        <w:t xml:space="preserve">), pourrait atteindre 220 299 000 CHF, soit un montant supérieur </w:t>
      </w:r>
      <w:r w:rsidR="001879FD">
        <w:rPr>
          <w:rFonts w:asciiTheme="minorHAnsi" w:hAnsiTheme="minorHAnsi"/>
          <w:color w:val="000000" w:themeColor="text1"/>
          <w:szCs w:val="24"/>
        </w:rPr>
        <w:t xml:space="preserve">à l'option 1 proposée dans le </w:t>
      </w:r>
      <w:bookmarkStart w:id="85" w:name="lt_pId161"/>
      <w:r w:rsidR="008F6C93">
        <w:rPr>
          <w:rStyle w:val="Hyperlink"/>
          <w:rFonts w:asciiTheme="minorHAnsi" w:hAnsiTheme="minorHAnsi"/>
          <w:szCs w:val="24"/>
          <w:lang w:val="en-US"/>
        </w:rPr>
        <w:fldChar w:fldCharType="begin"/>
      </w:r>
      <w:r w:rsidR="008F6C93" w:rsidRPr="001879FD">
        <w:rPr>
          <w:rStyle w:val="Hyperlink"/>
          <w:rFonts w:asciiTheme="minorHAnsi" w:hAnsiTheme="minorHAnsi"/>
          <w:szCs w:val="24"/>
        </w:rPr>
        <w:instrText xml:space="preserve"> HYPERLINK "https://www.itu.int/md/S14-PP-C-0057/en" </w:instrText>
      </w:r>
      <w:r w:rsidR="008F6C93">
        <w:rPr>
          <w:rStyle w:val="Hyperlink"/>
          <w:rFonts w:asciiTheme="minorHAnsi" w:hAnsiTheme="minorHAnsi"/>
          <w:szCs w:val="24"/>
          <w:lang w:val="en-US"/>
        </w:rPr>
        <w:fldChar w:fldCharType="separate"/>
      </w:r>
      <w:r w:rsidRPr="001879FD">
        <w:rPr>
          <w:rStyle w:val="Hyperlink"/>
          <w:rFonts w:asciiTheme="minorHAnsi" w:hAnsiTheme="minorHAnsi"/>
          <w:szCs w:val="24"/>
        </w:rPr>
        <w:t>Document 57(R</w:t>
      </w:r>
      <w:r w:rsidR="00321E7E" w:rsidRPr="001879FD">
        <w:rPr>
          <w:rStyle w:val="Hyperlink"/>
          <w:rFonts w:asciiTheme="minorHAnsi" w:hAnsiTheme="minorHAnsi"/>
          <w:szCs w:val="24"/>
        </w:rPr>
        <w:t>é</w:t>
      </w:r>
      <w:r w:rsidRPr="001879FD">
        <w:rPr>
          <w:rStyle w:val="Hyperlink"/>
          <w:rFonts w:asciiTheme="minorHAnsi" w:hAnsiTheme="minorHAnsi"/>
          <w:szCs w:val="24"/>
        </w:rPr>
        <w:t>v.1)</w:t>
      </w:r>
      <w:r w:rsidR="008F6C93">
        <w:rPr>
          <w:rStyle w:val="Hyperlink"/>
          <w:rFonts w:asciiTheme="minorHAnsi" w:hAnsiTheme="minorHAnsi"/>
          <w:szCs w:val="24"/>
          <w:lang w:val="en-US"/>
        </w:rPr>
        <w:fldChar w:fldCharType="end"/>
      </w:r>
      <w:r w:rsidR="001879FD">
        <w:rPr>
          <w:rFonts w:asciiTheme="minorHAnsi" w:hAnsiTheme="minorHAnsi"/>
          <w:color w:val="000000" w:themeColor="text1"/>
          <w:szCs w:val="24"/>
        </w:rPr>
        <w:t>, présenté à la Conférence</w:t>
      </w:r>
      <w:r w:rsidR="00496538">
        <w:rPr>
          <w:rFonts w:asciiTheme="minorHAnsi" w:hAnsiTheme="minorHAnsi"/>
          <w:color w:val="000000" w:themeColor="text1"/>
          <w:szCs w:val="24"/>
        </w:rPr>
        <w:t xml:space="preserve"> de plénipotentiaires de 2014,</w:t>
      </w:r>
      <w:r w:rsidR="001879FD">
        <w:rPr>
          <w:rFonts w:asciiTheme="minorHAnsi" w:hAnsiTheme="minorHAnsi"/>
          <w:color w:val="000000" w:themeColor="text1"/>
          <w:szCs w:val="24"/>
        </w:rPr>
        <w:t xml:space="preserve"> que la Conférence n'a pas été en mesure d'approuver</w:t>
      </w:r>
      <w:r w:rsidRPr="001879FD">
        <w:rPr>
          <w:rFonts w:asciiTheme="minorHAnsi" w:hAnsiTheme="minorHAnsi"/>
          <w:color w:val="000000" w:themeColor="text1"/>
          <w:szCs w:val="24"/>
        </w:rPr>
        <w:t>.</w:t>
      </w:r>
      <w:bookmarkEnd w:id="85"/>
    </w:p>
    <w:p w:rsidR="008C641C" w:rsidRPr="000E5258" w:rsidRDefault="008C641C" w:rsidP="00D25091">
      <w:pPr>
        <w:pStyle w:val="Normalaftertitle"/>
        <w:tabs>
          <w:tab w:val="clear" w:pos="567"/>
          <w:tab w:val="clear" w:pos="1134"/>
          <w:tab w:val="clear" w:pos="1701"/>
          <w:tab w:val="clear" w:pos="2268"/>
          <w:tab w:val="clear" w:pos="2835"/>
        </w:tabs>
        <w:snapToGrid w:val="0"/>
        <w:spacing w:before="120" w:after="360"/>
        <w:rPr>
          <w:rFonts w:asciiTheme="minorHAnsi" w:hAnsiTheme="minorHAnsi"/>
          <w:color w:val="000000" w:themeColor="text1"/>
          <w:szCs w:val="24"/>
          <w:highlight w:val="cyan"/>
        </w:rPr>
      </w:pPr>
      <w:r w:rsidRPr="00321E7E">
        <w:rPr>
          <w:rFonts w:asciiTheme="minorHAnsi" w:hAnsiTheme="minorHAnsi"/>
          <w:color w:val="000000" w:themeColor="text1"/>
          <w:szCs w:val="24"/>
          <w:lang w:val="fr-CH"/>
        </w:rPr>
        <w:t>4.5</w:t>
      </w:r>
      <w:r w:rsidRPr="00321E7E">
        <w:rPr>
          <w:rFonts w:asciiTheme="minorHAnsi" w:hAnsiTheme="minorHAnsi"/>
          <w:color w:val="000000" w:themeColor="text1"/>
          <w:szCs w:val="24"/>
          <w:lang w:val="fr-CH"/>
        </w:rPr>
        <w:tab/>
      </w:r>
      <w:bookmarkStart w:id="86" w:name="lt_pId163"/>
      <w:r w:rsidR="001879FD">
        <w:rPr>
          <w:rFonts w:asciiTheme="minorHAnsi" w:hAnsiTheme="minorHAnsi"/>
          <w:color w:val="000000" w:themeColor="text1"/>
          <w:szCs w:val="24"/>
          <w:lang w:val="fr-CH"/>
        </w:rPr>
        <w:t xml:space="preserve">Le Groupe </w:t>
      </w:r>
      <w:r w:rsidRPr="00321E7E">
        <w:rPr>
          <w:rFonts w:asciiTheme="minorHAnsi" w:hAnsiTheme="minorHAnsi"/>
          <w:color w:val="000000" w:themeColor="text1"/>
          <w:szCs w:val="24"/>
          <w:lang w:val="fr-CH"/>
        </w:rPr>
        <w:t>MSAG</w:t>
      </w:r>
      <w:r w:rsidR="001879FD">
        <w:rPr>
          <w:rFonts w:asciiTheme="minorHAnsi" w:hAnsiTheme="minorHAnsi"/>
          <w:color w:val="000000" w:themeColor="text1"/>
          <w:szCs w:val="24"/>
          <w:lang w:val="fr-CH"/>
        </w:rPr>
        <w:t xml:space="preserve"> a révisé l'Annexe 2 du Document</w:t>
      </w:r>
      <w:r w:rsidRPr="00321E7E">
        <w:rPr>
          <w:rFonts w:asciiTheme="minorHAnsi" w:hAnsiTheme="minorHAnsi"/>
          <w:color w:val="000000" w:themeColor="text1"/>
          <w:szCs w:val="24"/>
          <w:lang w:val="fr-CH"/>
        </w:rPr>
        <w:t xml:space="preserve"> </w:t>
      </w:r>
      <w:hyperlink r:id="rId14" w:history="1">
        <w:r w:rsidRPr="00321E7E">
          <w:rPr>
            <w:rStyle w:val="Hyperlink"/>
            <w:rFonts w:asciiTheme="minorHAnsi" w:hAnsiTheme="minorHAnsi"/>
            <w:szCs w:val="24"/>
            <w:lang w:val="fr-CH"/>
          </w:rPr>
          <w:t>C19/7</w:t>
        </w:r>
      </w:hyperlink>
      <w:r w:rsidRPr="00321E7E">
        <w:rPr>
          <w:rFonts w:asciiTheme="minorHAnsi" w:hAnsiTheme="minorHAnsi"/>
          <w:color w:val="000000" w:themeColor="text1"/>
          <w:szCs w:val="24"/>
          <w:lang w:val="fr-CH"/>
        </w:rPr>
        <w:t xml:space="preserve"> </w:t>
      </w:r>
      <w:r w:rsidR="00496538">
        <w:rPr>
          <w:rFonts w:asciiTheme="minorHAnsi" w:hAnsiTheme="minorHAnsi"/>
          <w:color w:val="000000" w:themeColor="text1"/>
          <w:szCs w:val="24"/>
          <w:lang w:val="fr-CH"/>
        </w:rPr>
        <w:t>en</w:t>
      </w:r>
      <w:r w:rsidR="001879FD">
        <w:rPr>
          <w:rFonts w:asciiTheme="minorHAnsi" w:hAnsiTheme="minorHAnsi"/>
          <w:color w:val="000000" w:themeColor="text1"/>
          <w:szCs w:val="24"/>
          <w:lang w:val="fr-CH"/>
        </w:rPr>
        <w:t xml:space="preserve"> tenant également compte du scénario le plus défavorable, sur la base des estimations qui étaient à la disposition du Groupe en avril 2019, le financement comprenant alors les parrainages d'un</w:t>
      </w:r>
      <w:r w:rsidR="00E73BC0">
        <w:rPr>
          <w:rFonts w:asciiTheme="minorHAnsi" w:hAnsiTheme="minorHAnsi"/>
          <w:color w:val="000000" w:themeColor="text1"/>
          <w:szCs w:val="24"/>
          <w:lang w:val="fr-CH"/>
        </w:rPr>
        <w:t xml:space="preserve"> montant de 10 millions et de 5 </w:t>
      </w:r>
      <w:r w:rsidR="001879FD">
        <w:rPr>
          <w:rFonts w:asciiTheme="minorHAnsi" w:hAnsiTheme="minorHAnsi"/>
          <w:color w:val="000000" w:themeColor="text1"/>
          <w:szCs w:val="24"/>
          <w:lang w:val="fr-CH"/>
        </w:rPr>
        <w:t>millions CHF que</w:t>
      </w:r>
      <w:r w:rsidR="00496538">
        <w:rPr>
          <w:rFonts w:asciiTheme="minorHAnsi" w:hAnsiTheme="minorHAnsi"/>
          <w:color w:val="000000" w:themeColor="text1"/>
          <w:szCs w:val="24"/>
          <w:lang w:val="fr-CH"/>
        </w:rPr>
        <w:t xml:space="preserve"> se</w:t>
      </w:r>
      <w:r w:rsidR="001879FD">
        <w:rPr>
          <w:rFonts w:asciiTheme="minorHAnsi" w:hAnsiTheme="minorHAnsi"/>
          <w:color w:val="000000" w:themeColor="text1"/>
          <w:szCs w:val="24"/>
          <w:lang w:val="fr-CH"/>
        </w:rPr>
        <w:t xml:space="preserve"> sont</w:t>
      </w:r>
      <w:bookmarkEnd w:id="86"/>
      <w:r w:rsidR="00321E7E" w:rsidRPr="00D40A8E">
        <w:t xml:space="preserve"> généreusement engagés à apporter </w:t>
      </w:r>
      <w:r w:rsidR="001879FD" w:rsidRPr="00D40A8E">
        <w:t xml:space="preserve">l'Arabie saoudite et les </w:t>
      </w:r>
      <w:r w:rsidR="001879FD">
        <w:t xml:space="preserve">Émirats arabes unis, respectivement, et les </w:t>
      </w:r>
      <w:r w:rsidR="00321E7E" w:rsidRPr="00D40A8E">
        <w:t>don</w:t>
      </w:r>
      <w:r w:rsidR="00321E7E">
        <w:t>s de 100 </w:t>
      </w:r>
      <w:r w:rsidR="00321E7E" w:rsidRPr="00D40A8E">
        <w:t>000 USD</w:t>
      </w:r>
      <w:r w:rsidR="00321E7E">
        <w:t xml:space="preserve"> et de 40 000 CHF</w:t>
      </w:r>
      <w:r w:rsidR="00321E7E" w:rsidRPr="00D40A8E">
        <w:t xml:space="preserve"> </w:t>
      </w:r>
      <w:r w:rsidR="001879FD">
        <w:t>qui ont</w:t>
      </w:r>
      <w:r w:rsidR="00321E7E" w:rsidRPr="00D40A8E">
        <w:t xml:space="preserve"> généreusement été versé</w:t>
      </w:r>
      <w:r w:rsidR="00321E7E">
        <w:t>s</w:t>
      </w:r>
      <w:r w:rsidR="00321E7E" w:rsidRPr="00D40A8E">
        <w:t xml:space="preserve"> par la République tchèque</w:t>
      </w:r>
      <w:r w:rsidR="00321E7E">
        <w:t xml:space="preserve"> et le Ghana.</w:t>
      </w:r>
    </w:p>
    <w:tbl>
      <w:tblPr>
        <w:tblStyle w:val="TableGrid"/>
        <w:tblW w:w="0" w:type="auto"/>
        <w:jc w:val="center"/>
        <w:tblLook w:val="04A0" w:firstRow="1" w:lastRow="0" w:firstColumn="1" w:lastColumn="0" w:noHBand="0" w:noVBand="1"/>
      </w:tblPr>
      <w:tblGrid>
        <w:gridCol w:w="3107"/>
        <w:gridCol w:w="3107"/>
        <w:gridCol w:w="3108"/>
      </w:tblGrid>
      <w:tr w:rsidR="008C641C" w:rsidRPr="00407F58" w:rsidTr="00971FB7">
        <w:trPr>
          <w:jc w:val="center"/>
        </w:trPr>
        <w:tc>
          <w:tcPr>
            <w:tcW w:w="9322" w:type="dxa"/>
            <w:gridSpan w:val="3"/>
          </w:tcPr>
          <w:p w:rsidR="008C641C" w:rsidRPr="00407F58" w:rsidRDefault="008C641C" w:rsidP="008003D5">
            <w:pPr>
              <w:pStyle w:val="Tablehead"/>
              <w:rPr>
                <w:rFonts w:eastAsia="Calibri"/>
              </w:rPr>
            </w:pPr>
            <w:bookmarkStart w:id="87" w:name="lt_pId164"/>
            <w:r w:rsidRPr="00407F58">
              <w:rPr>
                <w:rFonts w:eastAsia="Calibri"/>
              </w:rPr>
              <w:t>Sc</w:t>
            </w:r>
            <w:r w:rsidR="00407F58">
              <w:rPr>
                <w:rFonts w:eastAsia="Calibri"/>
              </w:rPr>
              <w:t>é</w:t>
            </w:r>
            <w:r w:rsidRPr="00407F58">
              <w:rPr>
                <w:rFonts w:eastAsia="Calibri"/>
              </w:rPr>
              <w:t xml:space="preserve">nario </w:t>
            </w:r>
            <w:r w:rsidR="00407F58">
              <w:rPr>
                <w:rFonts w:eastAsia="Calibri"/>
              </w:rPr>
              <w:t>conformément au</w:t>
            </w:r>
            <w:r w:rsidR="00407F58" w:rsidRPr="00407F58">
              <w:rPr>
                <w:rFonts w:eastAsia="Calibri"/>
              </w:rPr>
              <w:t xml:space="preserve"> Document</w:t>
            </w:r>
            <w:r w:rsidRPr="00407F58">
              <w:rPr>
                <w:rFonts w:eastAsia="Calibri"/>
              </w:rPr>
              <w:t xml:space="preserve"> C19/7</w:t>
            </w:r>
            <w:bookmarkEnd w:id="87"/>
            <w:r w:rsidR="00407F58" w:rsidRPr="00407F58">
              <w:rPr>
                <w:rFonts w:eastAsia="Calibri"/>
              </w:rPr>
              <w:t>, ajusté pour tenir compte du fonds de réserve</w:t>
            </w:r>
          </w:p>
        </w:tc>
      </w:tr>
      <w:tr w:rsidR="008C641C" w:rsidRPr="004C0C33" w:rsidTr="00971FB7">
        <w:trPr>
          <w:jc w:val="center"/>
        </w:trPr>
        <w:tc>
          <w:tcPr>
            <w:tcW w:w="3107" w:type="dxa"/>
          </w:tcPr>
          <w:p w:rsidR="008C641C" w:rsidRPr="004C0C33" w:rsidRDefault="00407F58" w:rsidP="008003D5">
            <w:pPr>
              <w:pStyle w:val="Tablehead"/>
              <w:rPr>
                <w:rFonts w:eastAsia="Calibri"/>
              </w:rPr>
            </w:pPr>
            <w:bookmarkStart w:id="88" w:name="lt_pId165"/>
            <w:r w:rsidRPr="004C0C33">
              <w:rPr>
                <w:rFonts w:eastAsia="Calibri"/>
              </w:rPr>
              <w:t xml:space="preserve">Coût total du projet </w:t>
            </w:r>
            <w:r w:rsidR="00FB22C9">
              <w:rPr>
                <w:rFonts w:eastAsia="Calibri"/>
              </w:rPr>
              <w:br/>
            </w:r>
            <w:r w:rsidRPr="004C0C33">
              <w:rPr>
                <w:rFonts w:eastAsia="Calibri"/>
              </w:rPr>
              <w:t xml:space="preserve">(en milliers de </w:t>
            </w:r>
            <w:r w:rsidR="008C641C" w:rsidRPr="004C0C33">
              <w:rPr>
                <w:rFonts w:eastAsia="Calibri"/>
              </w:rPr>
              <w:t>CHF)</w:t>
            </w:r>
            <w:bookmarkEnd w:id="88"/>
          </w:p>
        </w:tc>
        <w:tc>
          <w:tcPr>
            <w:tcW w:w="3107" w:type="dxa"/>
          </w:tcPr>
          <w:p w:rsidR="008C641C" w:rsidRPr="004C0C33" w:rsidRDefault="00407F58" w:rsidP="008003D5">
            <w:pPr>
              <w:pStyle w:val="Tablehead"/>
              <w:rPr>
                <w:rFonts w:eastAsia="Calibri"/>
              </w:rPr>
            </w:pPr>
            <w:bookmarkStart w:id="89" w:name="lt_pId166"/>
            <w:r w:rsidRPr="004C0C33">
              <w:rPr>
                <w:rFonts w:eastAsia="Calibri"/>
              </w:rPr>
              <w:t xml:space="preserve">Reste des financements nécessaires </w:t>
            </w:r>
            <w:r w:rsidR="00FB22C9">
              <w:rPr>
                <w:rFonts w:eastAsia="Calibri"/>
              </w:rPr>
              <w:br/>
            </w:r>
            <w:r w:rsidRPr="004C0C33">
              <w:rPr>
                <w:rFonts w:eastAsia="Calibri"/>
              </w:rPr>
              <w:t xml:space="preserve">(en milliers de </w:t>
            </w:r>
            <w:r w:rsidR="008C641C" w:rsidRPr="004C0C33">
              <w:rPr>
                <w:rFonts w:eastAsia="Calibri"/>
              </w:rPr>
              <w:t>CHF)</w:t>
            </w:r>
            <w:bookmarkEnd w:id="89"/>
          </w:p>
        </w:tc>
        <w:tc>
          <w:tcPr>
            <w:tcW w:w="3108" w:type="dxa"/>
          </w:tcPr>
          <w:p w:rsidR="008C641C" w:rsidRPr="004C0C33" w:rsidRDefault="00FC6260" w:rsidP="008003D5">
            <w:pPr>
              <w:pStyle w:val="Tablehead"/>
              <w:rPr>
                <w:rFonts w:eastAsia="Calibri"/>
              </w:rPr>
            </w:pPr>
            <w:bookmarkStart w:id="90" w:name="lt_pId167"/>
            <w:r w:rsidRPr="004C0C33">
              <w:rPr>
                <w:rFonts w:eastAsia="Calibri"/>
              </w:rPr>
              <w:t>Excédent</w:t>
            </w:r>
            <w:r w:rsidR="008C641C" w:rsidRPr="004C0C33">
              <w:rPr>
                <w:rFonts w:eastAsia="Calibri"/>
              </w:rPr>
              <w:t xml:space="preserve"> </w:t>
            </w:r>
            <w:r w:rsidR="00407F58" w:rsidRPr="004C0C33">
              <w:rPr>
                <w:rFonts w:eastAsia="Calibri"/>
              </w:rPr>
              <w:t>ou partenariats</w:t>
            </w:r>
            <w:r w:rsidR="008C641C" w:rsidRPr="004C0C33">
              <w:rPr>
                <w:rFonts w:eastAsia="Calibri"/>
              </w:rPr>
              <w:t xml:space="preserve"> </w:t>
            </w:r>
            <w:r w:rsidR="00FB22C9">
              <w:rPr>
                <w:rFonts w:eastAsia="Calibri"/>
              </w:rPr>
              <w:br/>
            </w:r>
            <w:r w:rsidR="008C641C" w:rsidRPr="004C0C33">
              <w:rPr>
                <w:rFonts w:eastAsia="Calibri"/>
              </w:rPr>
              <w:t>(</w:t>
            </w:r>
            <w:r w:rsidR="00407F58" w:rsidRPr="004C0C33">
              <w:rPr>
                <w:rFonts w:eastAsia="Calibri"/>
              </w:rPr>
              <w:t>en milliers de CHF) pa</w:t>
            </w:r>
            <w:r w:rsidR="008C641C" w:rsidRPr="004C0C33">
              <w:rPr>
                <w:rFonts w:eastAsia="Calibri"/>
              </w:rPr>
              <w:t xml:space="preserve">r </w:t>
            </w:r>
            <w:r w:rsidR="00407F58" w:rsidRPr="004C0C33">
              <w:rPr>
                <w:rFonts w:eastAsia="Calibri"/>
              </w:rPr>
              <w:t xml:space="preserve">an </w:t>
            </w:r>
            <w:r w:rsidR="00FB22C9">
              <w:rPr>
                <w:rFonts w:eastAsia="Calibri"/>
              </w:rPr>
              <w:br/>
            </w:r>
            <w:r w:rsidR="00407F58" w:rsidRPr="004C0C33">
              <w:rPr>
                <w:rFonts w:eastAsia="Calibri"/>
              </w:rPr>
              <w:t>pour</w:t>
            </w:r>
            <w:r w:rsidR="008C641C" w:rsidRPr="004C0C33">
              <w:rPr>
                <w:rFonts w:eastAsia="Calibri"/>
              </w:rPr>
              <w:t xml:space="preserve"> 2019-2025</w:t>
            </w:r>
            <w:bookmarkEnd w:id="90"/>
          </w:p>
        </w:tc>
      </w:tr>
      <w:tr w:rsidR="008C641C" w:rsidRPr="004C0C33" w:rsidTr="00971FB7">
        <w:trPr>
          <w:jc w:val="center"/>
        </w:trPr>
        <w:tc>
          <w:tcPr>
            <w:tcW w:w="3107" w:type="dxa"/>
          </w:tcPr>
          <w:p w:rsidR="008C641C" w:rsidRPr="004C0C33" w:rsidRDefault="00321E7E" w:rsidP="008003D5">
            <w:pPr>
              <w:pStyle w:val="Tabletext"/>
              <w:jc w:val="center"/>
              <w:rPr>
                <w:rFonts w:eastAsia="Calibri"/>
              </w:rPr>
            </w:pPr>
            <w:r w:rsidRPr="004C0C33">
              <w:rPr>
                <w:rFonts w:eastAsia="Calibri"/>
              </w:rPr>
              <w:t xml:space="preserve">198 </w:t>
            </w:r>
            <w:r w:rsidR="008C641C" w:rsidRPr="004C0C33">
              <w:rPr>
                <w:rFonts w:eastAsia="Calibri"/>
              </w:rPr>
              <w:t>582</w:t>
            </w:r>
          </w:p>
        </w:tc>
        <w:tc>
          <w:tcPr>
            <w:tcW w:w="3107" w:type="dxa"/>
          </w:tcPr>
          <w:p w:rsidR="008C641C" w:rsidRPr="004C0C33" w:rsidRDefault="00321E7E" w:rsidP="008003D5">
            <w:pPr>
              <w:pStyle w:val="Tabletext"/>
              <w:jc w:val="center"/>
              <w:rPr>
                <w:rFonts w:eastAsia="Calibri"/>
              </w:rPr>
            </w:pPr>
            <w:r w:rsidRPr="004C0C33">
              <w:rPr>
                <w:rFonts w:eastAsia="Calibri"/>
              </w:rPr>
              <w:t xml:space="preserve">30 </w:t>
            </w:r>
            <w:r w:rsidR="008C641C" w:rsidRPr="004C0C33">
              <w:rPr>
                <w:rFonts w:eastAsia="Calibri"/>
              </w:rPr>
              <w:t>442</w:t>
            </w:r>
          </w:p>
        </w:tc>
        <w:tc>
          <w:tcPr>
            <w:tcW w:w="3108" w:type="dxa"/>
          </w:tcPr>
          <w:p w:rsidR="008C641C" w:rsidRPr="004C0C33" w:rsidRDefault="00321E7E" w:rsidP="008003D5">
            <w:pPr>
              <w:pStyle w:val="Tabletext"/>
              <w:jc w:val="center"/>
              <w:rPr>
                <w:rFonts w:eastAsia="Calibri"/>
              </w:rPr>
            </w:pPr>
            <w:r w:rsidRPr="004C0C33">
              <w:rPr>
                <w:rFonts w:eastAsia="Calibri"/>
              </w:rPr>
              <w:t xml:space="preserve">4 </w:t>
            </w:r>
            <w:r w:rsidR="008C641C" w:rsidRPr="004C0C33">
              <w:rPr>
                <w:rFonts w:eastAsia="Calibri"/>
              </w:rPr>
              <w:t>348</w:t>
            </w:r>
          </w:p>
        </w:tc>
      </w:tr>
      <w:tr w:rsidR="008C641C" w:rsidRPr="004C0C33" w:rsidTr="00971FB7">
        <w:trPr>
          <w:jc w:val="center"/>
        </w:trPr>
        <w:tc>
          <w:tcPr>
            <w:tcW w:w="3107" w:type="dxa"/>
          </w:tcPr>
          <w:p w:rsidR="008C641C" w:rsidRPr="004C0C33" w:rsidRDefault="00321E7E" w:rsidP="008003D5">
            <w:pPr>
              <w:pStyle w:val="Tabletext"/>
              <w:jc w:val="center"/>
              <w:rPr>
                <w:rFonts w:eastAsia="Calibri"/>
              </w:rPr>
            </w:pPr>
            <w:r w:rsidRPr="004C0C33">
              <w:rPr>
                <w:rFonts w:eastAsia="Calibri"/>
              </w:rPr>
              <w:t xml:space="preserve">201 </w:t>
            </w:r>
            <w:r w:rsidR="008C641C" w:rsidRPr="004C0C33">
              <w:rPr>
                <w:rFonts w:eastAsia="Calibri"/>
              </w:rPr>
              <w:t>582</w:t>
            </w:r>
          </w:p>
        </w:tc>
        <w:tc>
          <w:tcPr>
            <w:tcW w:w="3107" w:type="dxa"/>
          </w:tcPr>
          <w:p w:rsidR="008C641C" w:rsidRPr="004C0C33" w:rsidRDefault="00321E7E" w:rsidP="008003D5">
            <w:pPr>
              <w:pStyle w:val="Tabletext"/>
              <w:jc w:val="center"/>
              <w:rPr>
                <w:rFonts w:eastAsia="Calibri"/>
              </w:rPr>
            </w:pPr>
            <w:r w:rsidRPr="004C0C33">
              <w:rPr>
                <w:rFonts w:eastAsia="Calibri"/>
              </w:rPr>
              <w:t xml:space="preserve">33 </w:t>
            </w:r>
            <w:r w:rsidR="008C641C" w:rsidRPr="004C0C33">
              <w:rPr>
                <w:rFonts w:eastAsia="Calibri"/>
              </w:rPr>
              <w:t>442</w:t>
            </w:r>
          </w:p>
        </w:tc>
        <w:tc>
          <w:tcPr>
            <w:tcW w:w="3108" w:type="dxa"/>
          </w:tcPr>
          <w:p w:rsidR="008C641C" w:rsidRPr="004C0C33" w:rsidRDefault="00321E7E" w:rsidP="008003D5">
            <w:pPr>
              <w:pStyle w:val="Tabletext"/>
              <w:jc w:val="center"/>
              <w:rPr>
                <w:rFonts w:eastAsia="Calibri"/>
              </w:rPr>
            </w:pPr>
            <w:r w:rsidRPr="004C0C33">
              <w:rPr>
                <w:rFonts w:eastAsia="Calibri"/>
              </w:rPr>
              <w:t xml:space="preserve">4 </w:t>
            </w:r>
            <w:r w:rsidR="008C641C" w:rsidRPr="004C0C33">
              <w:rPr>
                <w:rFonts w:eastAsia="Calibri"/>
              </w:rPr>
              <w:t>777</w:t>
            </w:r>
          </w:p>
        </w:tc>
      </w:tr>
    </w:tbl>
    <w:p w:rsidR="0029398B" w:rsidRPr="004C0C33" w:rsidRDefault="0029398B" w:rsidP="008003D5">
      <w:pPr>
        <w:tabs>
          <w:tab w:val="left" w:pos="0"/>
        </w:tabs>
        <w:snapToGrid w:val="0"/>
        <w:spacing w:before="240" w:after="360"/>
        <w:jc w:val="center"/>
        <w:outlineLvl w:val="0"/>
        <w:rPr>
          <w:rFonts w:asciiTheme="majorHAnsi" w:eastAsia="Calibri" w:hAnsiTheme="majorHAnsi" w:cs="Arial"/>
          <w:color w:val="000000" w:themeColor="text1"/>
        </w:rPr>
      </w:pPr>
    </w:p>
    <w:tbl>
      <w:tblPr>
        <w:tblStyle w:val="TableGrid"/>
        <w:tblW w:w="0" w:type="auto"/>
        <w:jc w:val="center"/>
        <w:tblLook w:val="04A0" w:firstRow="1" w:lastRow="0" w:firstColumn="1" w:lastColumn="0" w:noHBand="0" w:noVBand="1"/>
      </w:tblPr>
      <w:tblGrid>
        <w:gridCol w:w="3107"/>
        <w:gridCol w:w="3107"/>
        <w:gridCol w:w="3108"/>
      </w:tblGrid>
      <w:tr w:rsidR="008C641C" w:rsidRPr="004C0C33" w:rsidTr="00971FB7">
        <w:trPr>
          <w:jc w:val="center"/>
        </w:trPr>
        <w:tc>
          <w:tcPr>
            <w:tcW w:w="9322" w:type="dxa"/>
            <w:gridSpan w:val="3"/>
          </w:tcPr>
          <w:p w:rsidR="008C641C" w:rsidRPr="004C0C33" w:rsidRDefault="00407F58" w:rsidP="008003D5">
            <w:pPr>
              <w:pStyle w:val="Tablehead"/>
              <w:rPr>
                <w:rFonts w:eastAsia="Calibri"/>
              </w:rPr>
            </w:pPr>
            <w:bookmarkStart w:id="91" w:name="lt_pId174"/>
            <w:r w:rsidRPr="004C0C33">
              <w:rPr>
                <w:rFonts w:eastAsia="Calibri"/>
              </w:rPr>
              <w:t>Scénario le plus défavorable conformément au Document</w:t>
            </w:r>
            <w:r w:rsidR="008C641C" w:rsidRPr="004C0C33">
              <w:rPr>
                <w:rFonts w:eastAsia="Calibri"/>
              </w:rPr>
              <w:t xml:space="preserve"> C19/7</w:t>
            </w:r>
            <w:r w:rsidR="00496538" w:rsidRPr="004C0C33">
              <w:rPr>
                <w:rFonts w:eastAsia="Calibri"/>
              </w:rPr>
              <w:t>,</w:t>
            </w:r>
            <w:r w:rsidR="008C641C" w:rsidRPr="004C0C33">
              <w:rPr>
                <w:rFonts w:eastAsia="Calibri"/>
              </w:rPr>
              <w:t xml:space="preserve"> </w:t>
            </w:r>
            <w:r w:rsidR="00FC6260" w:rsidRPr="004C0C33">
              <w:rPr>
                <w:rFonts w:eastAsia="Calibri"/>
              </w:rPr>
              <w:t xml:space="preserve">ajusté pour tenir compte du fonds de réserve et d'une augmentation de </w:t>
            </w:r>
            <w:r w:rsidR="008C641C" w:rsidRPr="004C0C33">
              <w:rPr>
                <w:rFonts w:eastAsia="Calibri"/>
              </w:rPr>
              <w:t>15</w:t>
            </w:r>
            <w:r w:rsidR="00496538" w:rsidRPr="004C0C33">
              <w:rPr>
                <w:rFonts w:eastAsia="Calibri"/>
              </w:rPr>
              <w:t xml:space="preserve"> </w:t>
            </w:r>
            <w:r w:rsidR="008C641C" w:rsidRPr="004C0C33">
              <w:rPr>
                <w:rFonts w:eastAsia="Calibri"/>
              </w:rPr>
              <w:t xml:space="preserve">% </w:t>
            </w:r>
            <w:r w:rsidR="00496538" w:rsidRPr="004C0C33">
              <w:rPr>
                <w:rFonts w:eastAsia="Calibri"/>
              </w:rPr>
              <w:t>des estimations pour l</w:t>
            </w:r>
            <w:r w:rsidR="00FC6260" w:rsidRPr="004C0C33">
              <w:rPr>
                <w:rFonts w:eastAsia="Calibri"/>
              </w:rPr>
              <w:t xml:space="preserve">es groupes CFC 1 à </w:t>
            </w:r>
            <w:r w:rsidR="008C641C" w:rsidRPr="004C0C33">
              <w:rPr>
                <w:rFonts w:eastAsia="Calibri"/>
              </w:rPr>
              <w:t>4</w:t>
            </w:r>
            <w:bookmarkEnd w:id="91"/>
          </w:p>
        </w:tc>
      </w:tr>
      <w:tr w:rsidR="008C641C" w:rsidRPr="00FC6260" w:rsidTr="00971FB7">
        <w:trPr>
          <w:jc w:val="center"/>
        </w:trPr>
        <w:tc>
          <w:tcPr>
            <w:tcW w:w="3107" w:type="dxa"/>
          </w:tcPr>
          <w:p w:rsidR="008C641C" w:rsidRPr="004C0C33" w:rsidRDefault="00FC6260" w:rsidP="008003D5">
            <w:pPr>
              <w:pStyle w:val="Tablehead"/>
              <w:rPr>
                <w:rFonts w:eastAsia="Calibri"/>
              </w:rPr>
            </w:pPr>
            <w:r w:rsidRPr="004C0C33">
              <w:rPr>
                <w:rFonts w:eastAsia="Calibri"/>
              </w:rPr>
              <w:t xml:space="preserve">Coût total du projet </w:t>
            </w:r>
            <w:r w:rsidR="00FB22C9">
              <w:rPr>
                <w:rFonts w:eastAsia="Calibri"/>
              </w:rPr>
              <w:br/>
            </w:r>
            <w:r w:rsidRPr="004C0C33">
              <w:rPr>
                <w:rFonts w:eastAsia="Calibri"/>
              </w:rPr>
              <w:t>(en milliers de CHF)</w:t>
            </w:r>
          </w:p>
        </w:tc>
        <w:tc>
          <w:tcPr>
            <w:tcW w:w="3107" w:type="dxa"/>
          </w:tcPr>
          <w:p w:rsidR="008C641C" w:rsidRPr="004C0C33" w:rsidRDefault="00FC6260" w:rsidP="008003D5">
            <w:pPr>
              <w:pStyle w:val="Tablehead"/>
              <w:rPr>
                <w:rFonts w:eastAsia="Calibri"/>
              </w:rPr>
            </w:pPr>
            <w:r w:rsidRPr="004C0C33">
              <w:rPr>
                <w:rFonts w:eastAsia="Calibri"/>
              </w:rPr>
              <w:t xml:space="preserve">Reste des financements nécessaires </w:t>
            </w:r>
            <w:r w:rsidR="00FB22C9">
              <w:rPr>
                <w:rFonts w:eastAsia="Calibri"/>
              </w:rPr>
              <w:br/>
            </w:r>
            <w:r w:rsidRPr="004C0C33">
              <w:rPr>
                <w:rFonts w:eastAsia="Calibri"/>
              </w:rPr>
              <w:t>(en milliers de CHF)</w:t>
            </w:r>
          </w:p>
        </w:tc>
        <w:tc>
          <w:tcPr>
            <w:tcW w:w="3108" w:type="dxa"/>
          </w:tcPr>
          <w:p w:rsidR="008C641C" w:rsidRPr="00FC6260" w:rsidRDefault="00FC6260" w:rsidP="008003D5">
            <w:pPr>
              <w:pStyle w:val="Tablehead"/>
              <w:rPr>
                <w:rFonts w:eastAsia="Calibri"/>
              </w:rPr>
            </w:pPr>
            <w:r w:rsidRPr="004C0C33">
              <w:rPr>
                <w:rFonts w:eastAsia="Calibri"/>
              </w:rPr>
              <w:t xml:space="preserve">Excédent ou partenariats </w:t>
            </w:r>
            <w:r w:rsidR="00FB22C9">
              <w:rPr>
                <w:rFonts w:eastAsia="Calibri"/>
              </w:rPr>
              <w:br/>
            </w:r>
            <w:r w:rsidRPr="004C0C33">
              <w:rPr>
                <w:rFonts w:eastAsia="Calibri"/>
              </w:rPr>
              <w:t xml:space="preserve">(en milliers de CHF) par an </w:t>
            </w:r>
            <w:r w:rsidR="00FB22C9">
              <w:rPr>
                <w:rFonts w:eastAsia="Calibri"/>
              </w:rPr>
              <w:br/>
            </w:r>
            <w:r w:rsidRPr="004C0C33">
              <w:rPr>
                <w:rFonts w:eastAsia="Calibri"/>
              </w:rPr>
              <w:t>pour 2019-2025</w:t>
            </w:r>
          </w:p>
        </w:tc>
      </w:tr>
      <w:tr w:rsidR="008C641C" w:rsidTr="00971FB7">
        <w:trPr>
          <w:jc w:val="center"/>
        </w:trPr>
        <w:tc>
          <w:tcPr>
            <w:tcW w:w="3107" w:type="dxa"/>
          </w:tcPr>
          <w:p w:rsidR="008C641C" w:rsidRPr="00FE7CFF" w:rsidRDefault="008C641C" w:rsidP="008003D5">
            <w:pPr>
              <w:pStyle w:val="Tabletext"/>
              <w:jc w:val="center"/>
              <w:rPr>
                <w:rFonts w:eastAsia="Calibri"/>
              </w:rPr>
            </w:pPr>
            <w:r w:rsidRPr="00FE7CFF">
              <w:rPr>
                <w:rFonts w:eastAsia="Calibri"/>
              </w:rPr>
              <w:t>217</w:t>
            </w:r>
            <w:r w:rsidR="00321E7E">
              <w:rPr>
                <w:rFonts w:eastAsia="Calibri"/>
              </w:rPr>
              <w:t xml:space="preserve"> </w:t>
            </w:r>
            <w:r w:rsidRPr="00FE7CFF">
              <w:rPr>
                <w:rFonts w:eastAsia="Calibri"/>
              </w:rPr>
              <w:t>299</w:t>
            </w:r>
          </w:p>
        </w:tc>
        <w:tc>
          <w:tcPr>
            <w:tcW w:w="3107" w:type="dxa"/>
          </w:tcPr>
          <w:p w:rsidR="008C641C" w:rsidRPr="00FE7CFF" w:rsidRDefault="008C641C" w:rsidP="008003D5">
            <w:pPr>
              <w:pStyle w:val="Tabletext"/>
              <w:jc w:val="center"/>
              <w:rPr>
                <w:rFonts w:eastAsia="Calibri"/>
              </w:rPr>
            </w:pPr>
            <w:r w:rsidRPr="00FE7CFF">
              <w:rPr>
                <w:rFonts w:eastAsia="Calibri"/>
              </w:rPr>
              <w:t>49</w:t>
            </w:r>
            <w:r w:rsidR="00321E7E">
              <w:rPr>
                <w:rFonts w:eastAsia="Calibri"/>
              </w:rPr>
              <w:t xml:space="preserve"> </w:t>
            </w:r>
            <w:r w:rsidRPr="00FE7CFF">
              <w:rPr>
                <w:rFonts w:eastAsia="Calibri"/>
              </w:rPr>
              <w:t>159</w:t>
            </w:r>
          </w:p>
        </w:tc>
        <w:tc>
          <w:tcPr>
            <w:tcW w:w="3108" w:type="dxa"/>
          </w:tcPr>
          <w:p w:rsidR="008C641C" w:rsidRPr="00FE7CFF" w:rsidRDefault="008C641C" w:rsidP="008003D5">
            <w:pPr>
              <w:pStyle w:val="Tabletext"/>
              <w:jc w:val="center"/>
              <w:rPr>
                <w:rFonts w:eastAsia="Calibri"/>
              </w:rPr>
            </w:pPr>
            <w:r w:rsidRPr="00FE7CFF">
              <w:rPr>
                <w:rFonts w:eastAsia="Calibri"/>
              </w:rPr>
              <w:t>7</w:t>
            </w:r>
            <w:r w:rsidR="00321E7E">
              <w:rPr>
                <w:rFonts w:eastAsia="Calibri"/>
              </w:rPr>
              <w:t xml:space="preserve"> </w:t>
            </w:r>
            <w:r w:rsidRPr="00FE7CFF">
              <w:rPr>
                <w:rFonts w:eastAsia="Calibri"/>
              </w:rPr>
              <w:t>022</w:t>
            </w:r>
          </w:p>
        </w:tc>
      </w:tr>
      <w:tr w:rsidR="008C641C" w:rsidTr="00971FB7">
        <w:trPr>
          <w:jc w:val="center"/>
        </w:trPr>
        <w:tc>
          <w:tcPr>
            <w:tcW w:w="3107" w:type="dxa"/>
          </w:tcPr>
          <w:p w:rsidR="008C641C" w:rsidRPr="00FE7CFF" w:rsidRDefault="008C641C" w:rsidP="008003D5">
            <w:pPr>
              <w:pStyle w:val="Tabletext"/>
              <w:jc w:val="center"/>
              <w:rPr>
                <w:rFonts w:eastAsia="Calibri"/>
              </w:rPr>
            </w:pPr>
            <w:r w:rsidRPr="00FE7CFF">
              <w:rPr>
                <w:rFonts w:eastAsia="Calibri"/>
              </w:rPr>
              <w:t>220</w:t>
            </w:r>
            <w:r w:rsidR="00321E7E">
              <w:rPr>
                <w:rFonts w:eastAsia="Calibri"/>
              </w:rPr>
              <w:t xml:space="preserve"> </w:t>
            </w:r>
            <w:r w:rsidRPr="00FE7CFF">
              <w:rPr>
                <w:rFonts w:eastAsia="Calibri"/>
              </w:rPr>
              <w:t>299</w:t>
            </w:r>
          </w:p>
        </w:tc>
        <w:tc>
          <w:tcPr>
            <w:tcW w:w="3107" w:type="dxa"/>
          </w:tcPr>
          <w:p w:rsidR="008C641C" w:rsidRPr="00FE7CFF" w:rsidRDefault="008C641C" w:rsidP="008003D5">
            <w:pPr>
              <w:pStyle w:val="Tabletext"/>
              <w:jc w:val="center"/>
              <w:rPr>
                <w:rFonts w:eastAsia="Calibri"/>
              </w:rPr>
            </w:pPr>
            <w:r w:rsidRPr="00FE7CFF">
              <w:rPr>
                <w:rFonts w:eastAsia="Calibri"/>
              </w:rPr>
              <w:t>52</w:t>
            </w:r>
            <w:r w:rsidR="00321E7E">
              <w:rPr>
                <w:rFonts w:eastAsia="Calibri"/>
              </w:rPr>
              <w:t xml:space="preserve"> </w:t>
            </w:r>
            <w:r w:rsidRPr="00FE7CFF">
              <w:rPr>
                <w:rFonts w:eastAsia="Calibri"/>
              </w:rPr>
              <w:t>159</w:t>
            </w:r>
          </w:p>
        </w:tc>
        <w:tc>
          <w:tcPr>
            <w:tcW w:w="3108" w:type="dxa"/>
          </w:tcPr>
          <w:p w:rsidR="008C641C" w:rsidRPr="00FE7CFF" w:rsidRDefault="008C641C" w:rsidP="008003D5">
            <w:pPr>
              <w:pStyle w:val="Tabletext"/>
              <w:jc w:val="center"/>
              <w:rPr>
                <w:rFonts w:eastAsia="Calibri"/>
              </w:rPr>
            </w:pPr>
            <w:r w:rsidRPr="00FE7CFF">
              <w:rPr>
                <w:rFonts w:eastAsia="Calibri"/>
              </w:rPr>
              <w:t>7</w:t>
            </w:r>
            <w:r w:rsidR="00321E7E">
              <w:rPr>
                <w:rFonts w:eastAsia="Calibri"/>
              </w:rPr>
              <w:t xml:space="preserve"> </w:t>
            </w:r>
            <w:r w:rsidRPr="00FE7CFF">
              <w:rPr>
                <w:rFonts w:eastAsia="Calibri"/>
              </w:rPr>
              <w:t>451</w:t>
            </w:r>
          </w:p>
        </w:tc>
      </w:tr>
    </w:tbl>
    <w:p w:rsidR="008C641C" w:rsidRPr="008E060D" w:rsidRDefault="008C641C" w:rsidP="006B4352">
      <w:pPr>
        <w:pStyle w:val="Normalaftertitle"/>
        <w:keepNext/>
        <w:keepLines/>
        <w:tabs>
          <w:tab w:val="clear" w:pos="567"/>
          <w:tab w:val="clear" w:pos="1134"/>
          <w:tab w:val="clear" w:pos="1701"/>
          <w:tab w:val="clear" w:pos="2268"/>
          <w:tab w:val="clear" w:pos="2835"/>
        </w:tabs>
        <w:snapToGrid w:val="0"/>
        <w:spacing w:after="120"/>
        <w:rPr>
          <w:rFonts w:asciiTheme="minorHAnsi" w:hAnsiTheme="minorHAnsi"/>
          <w:color w:val="000000" w:themeColor="text1"/>
          <w:szCs w:val="24"/>
        </w:rPr>
      </w:pPr>
      <w:r w:rsidRPr="00FC6260">
        <w:rPr>
          <w:rFonts w:asciiTheme="minorHAnsi" w:hAnsiTheme="minorHAnsi"/>
          <w:color w:val="000000" w:themeColor="text1"/>
          <w:szCs w:val="24"/>
        </w:rPr>
        <w:lastRenderedPageBreak/>
        <w:t>4.6</w:t>
      </w:r>
      <w:r w:rsidRPr="00FC6260">
        <w:rPr>
          <w:rFonts w:asciiTheme="minorHAnsi" w:hAnsiTheme="minorHAnsi"/>
          <w:color w:val="000000" w:themeColor="text1"/>
          <w:szCs w:val="24"/>
        </w:rPr>
        <w:tab/>
      </w:r>
      <w:bookmarkStart w:id="92" w:name="lt_pId185"/>
      <w:r w:rsidR="00FC6260" w:rsidRPr="00FC6260">
        <w:rPr>
          <w:rFonts w:asciiTheme="minorHAnsi" w:hAnsiTheme="minorHAnsi"/>
          <w:color w:val="000000" w:themeColor="text1"/>
          <w:szCs w:val="24"/>
        </w:rPr>
        <w:t xml:space="preserve">Le Secrétariat estime que </w:t>
      </w:r>
      <w:r w:rsidR="00496538">
        <w:rPr>
          <w:rFonts w:asciiTheme="minorHAnsi" w:hAnsiTheme="minorHAnsi"/>
          <w:color w:val="000000" w:themeColor="text1"/>
          <w:szCs w:val="24"/>
        </w:rPr>
        <w:t>cette marge</w:t>
      </w:r>
      <w:r w:rsidR="00FC6260" w:rsidRPr="00FC6260">
        <w:rPr>
          <w:rFonts w:asciiTheme="minorHAnsi" w:hAnsiTheme="minorHAnsi"/>
          <w:color w:val="000000" w:themeColor="text1"/>
          <w:szCs w:val="24"/>
        </w:rPr>
        <w:t xml:space="preserve"> d'erreur de </w:t>
      </w:r>
      <w:r w:rsidR="00496538">
        <w:rPr>
          <w:rFonts w:asciiTheme="minorHAnsi" w:hAnsiTheme="minorHAnsi"/>
          <w:color w:val="000000" w:themeColor="text1"/>
          <w:szCs w:val="24"/>
        </w:rPr>
        <w:t>+/-</w:t>
      </w:r>
      <w:r w:rsidR="00FC6260" w:rsidRPr="00FC6260">
        <w:rPr>
          <w:rFonts w:asciiTheme="minorHAnsi" w:hAnsiTheme="minorHAnsi"/>
          <w:color w:val="000000" w:themeColor="text1"/>
          <w:szCs w:val="24"/>
        </w:rPr>
        <w:t xml:space="preserve"> 15</w:t>
      </w:r>
      <w:r w:rsidR="00496538">
        <w:rPr>
          <w:rFonts w:asciiTheme="minorHAnsi" w:hAnsiTheme="minorHAnsi"/>
          <w:color w:val="000000" w:themeColor="text1"/>
          <w:szCs w:val="24"/>
        </w:rPr>
        <w:t>%</w:t>
      </w:r>
      <w:r w:rsidR="00FC6260" w:rsidRPr="00FC6260">
        <w:rPr>
          <w:rFonts w:asciiTheme="minorHAnsi" w:hAnsiTheme="minorHAnsi"/>
          <w:color w:val="000000" w:themeColor="text1"/>
          <w:szCs w:val="24"/>
        </w:rPr>
        <w:t xml:space="preserve"> </w:t>
      </w:r>
      <w:r w:rsidR="00496538">
        <w:rPr>
          <w:rFonts w:asciiTheme="minorHAnsi" w:hAnsiTheme="minorHAnsi"/>
          <w:color w:val="000000" w:themeColor="text1"/>
          <w:szCs w:val="24"/>
        </w:rPr>
        <w:t>est</w:t>
      </w:r>
      <w:r w:rsidR="00FC6260" w:rsidRPr="00FC6260">
        <w:rPr>
          <w:rFonts w:asciiTheme="minorHAnsi" w:hAnsiTheme="minorHAnsi"/>
          <w:color w:val="000000" w:themeColor="text1"/>
          <w:szCs w:val="24"/>
        </w:rPr>
        <w:t xml:space="preserve"> extr</w:t>
      </w:r>
      <w:r w:rsidR="00FC6260">
        <w:rPr>
          <w:rFonts w:asciiTheme="minorHAnsi" w:hAnsiTheme="minorHAnsi"/>
          <w:color w:val="000000" w:themeColor="text1"/>
          <w:szCs w:val="24"/>
        </w:rPr>
        <w:t xml:space="preserve">êmement prudente (voir le </w:t>
      </w:r>
      <w:r w:rsidR="006B4352">
        <w:rPr>
          <w:rFonts w:asciiTheme="minorHAnsi" w:hAnsiTheme="minorHAnsi"/>
          <w:color w:val="000000" w:themeColor="text1"/>
          <w:szCs w:val="24"/>
        </w:rPr>
        <w:t>§ </w:t>
      </w:r>
      <w:r w:rsidR="00FC6260">
        <w:rPr>
          <w:rFonts w:asciiTheme="minorHAnsi" w:hAnsiTheme="minorHAnsi"/>
          <w:color w:val="000000" w:themeColor="text1"/>
          <w:szCs w:val="24"/>
        </w:rPr>
        <w:t xml:space="preserve">2.1). </w:t>
      </w:r>
      <w:r w:rsidR="008E060D">
        <w:rPr>
          <w:rFonts w:asciiTheme="minorHAnsi" w:hAnsiTheme="minorHAnsi"/>
          <w:color w:val="000000" w:themeColor="text1"/>
          <w:szCs w:val="24"/>
        </w:rPr>
        <w:t xml:space="preserve">Si l'on part du principe que les estimations de l'architecte sont exactes, le montant total des coûts </w:t>
      </w:r>
      <w:r w:rsidR="00496538">
        <w:rPr>
          <w:rFonts w:asciiTheme="minorHAnsi" w:hAnsiTheme="minorHAnsi"/>
          <w:color w:val="000000" w:themeColor="text1"/>
          <w:szCs w:val="24"/>
        </w:rPr>
        <w:t xml:space="preserve">directs et indirects dépasse la somme </w:t>
      </w:r>
      <w:r w:rsidR="008E060D">
        <w:rPr>
          <w:rFonts w:asciiTheme="minorHAnsi" w:hAnsiTheme="minorHAnsi"/>
          <w:color w:val="000000" w:themeColor="text1"/>
          <w:szCs w:val="24"/>
        </w:rPr>
        <w:t>de 180 millions CHF, indiqué</w:t>
      </w:r>
      <w:r w:rsidR="00496538">
        <w:rPr>
          <w:rFonts w:asciiTheme="minorHAnsi" w:hAnsiTheme="minorHAnsi"/>
          <w:color w:val="000000" w:themeColor="text1"/>
          <w:szCs w:val="24"/>
        </w:rPr>
        <w:t>e</w:t>
      </w:r>
      <w:r w:rsidR="008E060D">
        <w:rPr>
          <w:rFonts w:asciiTheme="minorHAnsi" w:hAnsiTheme="minorHAnsi"/>
          <w:color w:val="000000" w:themeColor="text1"/>
          <w:szCs w:val="24"/>
        </w:rPr>
        <w:t xml:space="preserve"> dans le Document</w:t>
      </w:r>
      <w:bookmarkStart w:id="93" w:name="lt_pId186"/>
      <w:bookmarkEnd w:id="92"/>
      <w:r w:rsidR="00441585">
        <w:rPr>
          <w:rFonts w:asciiTheme="minorHAnsi" w:hAnsiTheme="minorHAnsi"/>
          <w:color w:val="000000" w:themeColor="text1"/>
          <w:szCs w:val="24"/>
        </w:rPr>
        <w:t> </w:t>
      </w:r>
      <w:hyperlink r:id="rId15" w:history="1">
        <w:r w:rsidRPr="008E060D">
          <w:rPr>
            <w:rStyle w:val="Hyperlink"/>
            <w:rFonts w:asciiTheme="minorHAnsi" w:hAnsiTheme="minorHAnsi"/>
            <w:szCs w:val="24"/>
          </w:rPr>
          <w:t>C18/123</w:t>
        </w:r>
      </w:hyperlink>
      <w:r w:rsidR="00496538">
        <w:rPr>
          <w:rFonts w:asciiTheme="minorHAnsi" w:hAnsiTheme="minorHAnsi"/>
          <w:color w:val="000000" w:themeColor="text1"/>
          <w:szCs w:val="24"/>
        </w:rPr>
        <w:t xml:space="preserve">, </w:t>
      </w:r>
      <w:r w:rsidR="008E060D" w:rsidRPr="008E060D">
        <w:rPr>
          <w:rFonts w:asciiTheme="minorHAnsi" w:hAnsiTheme="minorHAnsi"/>
          <w:color w:val="000000" w:themeColor="text1"/>
          <w:szCs w:val="24"/>
        </w:rPr>
        <w:t xml:space="preserve">de 20 millions CHF, et de près de 25 millions CHF si l'on tient compte </w:t>
      </w:r>
      <w:r w:rsidR="008E060D">
        <w:rPr>
          <w:rFonts w:asciiTheme="minorHAnsi" w:hAnsiTheme="minorHAnsi"/>
          <w:color w:val="000000" w:themeColor="text1"/>
          <w:szCs w:val="24"/>
        </w:rPr>
        <w:t>des coût</w:t>
      </w:r>
      <w:r w:rsidR="00496538">
        <w:rPr>
          <w:rFonts w:asciiTheme="minorHAnsi" w:hAnsiTheme="minorHAnsi"/>
          <w:color w:val="000000" w:themeColor="text1"/>
          <w:szCs w:val="24"/>
        </w:rPr>
        <w:t>s de personnel liés à l'équipe chargée du</w:t>
      </w:r>
      <w:r w:rsidR="008E060D">
        <w:rPr>
          <w:rFonts w:asciiTheme="minorHAnsi" w:hAnsiTheme="minorHAnsi"/>
          <w:color w:val="000000" w:themeColor="text1"/>
          <w:szCs w:val="24"/>
        </w:rPr>
        <w:t xml:space="preserve"> projet</w:t>
      </w:r>
      <w:r w:rsidRPr="008E060D">
        <w:rPr>
          <w:rFonts w:asciiTheme="minorHAnsi" w:hAnsiTheme="minorHAnsi"/>
          <w:color w:val="000000" w:themeColor="text1"/>
          <w:szCs w:val="24"/>
        </w:rPr>
        <w:t>.</w:t>
      </w:r>
      <w:bookmarkEnd w:id="93"/>
    </w:p>
    <w:p w:rsidR="008C641C" w:rsidRPr="008E060D" w:rsidRDefault="008C641C" w:rsidP="006B4352">
      <w:pPr>
        <w:pStyle w:val="Normalaftertitle"/>
        <w:keepNext/>
        <w:keepLines/>
        <w:tabs>
          <w:tab w:val="clear" w:pos="567"/>
          <w:tab w:val="clear" w:pos="1134"/>
          <w:tab w:val="clear" w:pos="1701"/>
          <w:tab w:val="clear" w:pos="2268"/>
          <w:tab w:val="clear" w:pos="2835"/>
        </w:tabs>
        <w:snapToGrid w:val="0"/>
        <w:spacing w:before="120" w:after="120"/>
        <w:rPr>
          <w:rFonts w:asciiTheme="minorHAnsi" w:hAnsiTheme="minorHAnsi"/>
          <w:color w:val="000000" w:themeColor="text1"/>
          <w:szCs w:val="24"/>
        </w:rPr>
      </w:pPr>
      <w:r w:rsidRPr="008E060D">
        <w:rPr>
          <w:rFonts w:asciiTheme="minorHAnsi" w:hAnsiTheme="minorHAnsi"/>
          <w:color w:val="000000" w:themeColor="text1"/>
          <w:szCs w:val="24"/>
        </w:rPr>
        <w:t>4.7</w:t>
      </w:r>
      <w:r w:rsidRPr="008E060D">
        <w:rPr>
          <w:rFonts w:asciiTheme="minorHAnsi" w:hAnsiTheme="minorHAnsi"/>
          <w:color w:val="000000" w:themeColor="text1"/>
          <w:szCs w:val="24"/>
        </w:rPr>
        <w:tab/>
      </w:r>
      <w:bookmarkStart w:id="94" w:name="lt_pId188"/>
      <w:r w:rsidR="008E060D" w:rsidRPr="008E060D">
        <w:rPr>
          <w:rFonts w:asciiTheme="minorHAnsi" w:hAnsiTheme="minorHAnsi"/>
          <w:color w:val="000000" w:themeColor="text1"/>
          <w:szCs w:val="24"/>
        </w:rPr>
        <w:t xml:space="preserve">Le Groupe </w:t>
      </w:r>
      <w:r w:rsidRPr="008E060D">
        <w:rPr>
          <w:rFonts w:asciiTheme="minorHAnsi" w:hAnsiTheme="minorHAnsi"/>
          <w:color w:val="000000" w:themeColor="text1"/>
          <w:szCs w:val="24"/>
        </w:rPr>
        <w:t xml:space="preserve">MSAG </w:t>
      </w:r>
      <w:r w:rsidR="008E060D" w:rsidRPr="008E060D">
        <w:rPr>
          <w:rFonts w:asciiTheme="minorHAnsi" w:hAnsiTheme="minorHAnsi"/>
          <w:color w:val="000000" w:themeColor="text1"/>
          <w:szCs w:val="24"/>
        </w:rPr>
        <w:t xml:space="preserve">craint que les économies futures, sur lesquelles repose le projet, ne puissent pas </w:t>
      </w:r>
      <w:r w:rsidR="008E060D">
        <w:rPr>
          <w:rFonts w:asciiTheme="minorHAnsi" w:hAnsiTheme="minorHAnsi"/>
          <w:color w:val="000000" w:themeColor="text1"/>
          <w:szCs w:val="24"/>
        </w:rPr>
        <w:t>êt</w:t>
      </w:r>
      <w:r w:rsidR="00496538">
        <w:rPr>
          <w:rFonts w:asciiTheme="minorHAnsi" w:hAnsiTheme="minorHAnsi"/>
          <w:color w:val="000000" w:themeColor="text1"/>
          <w:szCs w:val="24"/>
        </w:rPr>
        <w:t>re garanties, sans préjudice de la proposition consistant à utiliser les</w:t>
      </w:r>
      <w:r w:rsidR="008E060D">
        <w:rPr>
          <w:rFonts w:asciiTheme="minorHAnsi" w:hAnsiTheme="minorHAnsi"/>
          <w:color w:val="000000" w:themeColor="text1"/>
          <w:szCs w:val="24"/>
        </w:rPr>
        <w:t xml:space="preserve"> économies </w:t>
      </w:r>
      <w:r w:rsidR="00496538">
        <w:rPr>
          <w:rFonts w:asciiTheme="minorHAnsi" w:hAnsiTheme="minorHAnsi"/>
          <w:color w:val="000000" w:themeColor="text1"/>
          <w:szCs w:val="24"/>
        </w:rPr>
        <w:t>issues</w:t>
      </w:r>
      <w:r w:rsidR="003E2E1C">
        <w:rPr>
          <w:rFonts w:asciiTheme="minorHAnsi" w:hAnsiTheme="minorHAnsi"/>
          <w:color w:val="000000" w:themeColor="text1"/>
          <w:szCs w:val="24"/>
        </w:rPr>
        <w:t xml:space="preserve"> de</w:t>
      </w:r>
      <w:r w:rsidR="008E060D">
        <w:rPr>
          <w:rFonts w:asciiTheme="minorHAnsi" w:hAnsiTheme="minorHAnsi"/>
          <w:color w:val="000000" w:themeColor="text1"/>
          <w:szCs w:val="24"/>
        </w:rPr>
        <w:t xml:space="preserve"> la mise en </w:t>
      </w:r>
      <w:r w:rsidR="00496538">
        <w:rPr>
          <w:rFonts w:asciiTheme="minorHAnsi" w:hAnsiTheme="minorHAnsi"/>
          <w:color w:val="000000" w:themeColor="text1"/>
          <w:szCs w:val="24"/>
        </w:rPr>
        <w:t>œuvre</w:t>
      </w:r>
      <w:r w:rsidR="008E060D">
        <w:rPr>
          <w:rFonts w:asciiTheme="minorHAnsi" w:hAnsiTheme="minorHAnsi"/>
          <w:color w:val="000000" w:themeColor="text1"/>
          <w:szCs w:val="24"/>
        </w:rPr>
        <w:t xml:space="preserve"> du budget pour 2018. Si des économies sont </w:t>
      </w:r>
      <w:r w:rsidR="00496538">
        <w:rPr>
          <w:rFonts w:asciiTheme="minorHAnsi" w:hAnsiTheme="minorHAnsi"/>
          <w:color w:val="000000" w:themeColor="text1"/>
          <w:szCs w:val="24"/>
        </w:rPr>
        <w:t xml:space="preserve">effectivement </w:t>
      </w:r>
      <w:r w:rsidR="008E060D">
        <w:rPr>
          <w:rFonts w:asciiTheme="minorHAnsi" w:hAnsiTheme="minorHAnsi"/>
          <w:color w:val="000000" w:themeColor="text1"/>
          <w:szCs w:val="24"/>
        </w:rPr>
        <w:t>réalisées, le projet en absorbera la majeure partie, si ce n'est la totalité, au cours des sept prochaines années. La capacité de l'Union à faire face aux dépenses imprévue</w:t>
      </w:r>
      <w:r w:rsidR="00496538">
        <w:rPr>
          <w:rFonts w:asciiTheme="minorHAnsi" w:hAnsiTheme="minorHAnsi"/>
          <w:color w:val="000000" w:themeColor="text1"/>
          <w:szCs w:val="24"/>
        </w:rPr>
        <w:t>s</w:t>
      </w:r>
      <w:r w:rsidR="008E060D">
        <w:rPr>
          <w:rFonts w:asciiTheme="minorHAnsi" w:hAnsiTheme="minorHAnsi"/>
          <w:color w:val="000000" w:themeColor="text1"/>
          <w:szCs w:val="24"/>
        </w:rPr>
        <w:t xml:space="preserve"> s'en trouvera </w:t>
      </w:r>
      <w:r w:rsidR="00496538">
        <w:rPr>
          <w:rFonts w:asciiTheme="minorHAnsi" w:hAnsiTheme="minorHAnsi"/>
          <w:color w:val="000000" w:themeColor="text1"/>
          <w:szCs w:val="24"/>
        </w:rPr>
        <w:t>limitée</w:t>
      </w:r>
      <w:r w:rsidR="008E060D">
        <w:rPr>
          <w:rFonts w:asciiTheme="minorHAnsi" w:hAnsiTheme="minorHAnsi"/>
          <w:color w:val="000000" w:themeColor="text1"/>
          <w:szCs w:val="24"/>
        </w:rPr>
        <w:t>.</w:t>
      </w:r>
      <w:bookmarkEnd w:id="94"/>
    </w:p>
    <w:p w:rsidR="008C641C" w:rsidRPr="008E060D" w:rsidRDefault="008C641C" w:rsidP="008003D5">
      <w:pPr>
        <w:pStyle w:val="Heading1"/>
      </w:pPr>
      <w:r w:rsidRPr="008E060D">
        <w:t>5</w:t>
      </w:r>
      <w:r w:rsidRPr="008E060D">
        <w:tab/>
      </w:r>
      <w:bookmarkStart w:id="95" w:name="lt_pId192"/>
      <w:r w:rsidRPr="008E060D">
        <w:t>Conclusion</w:t>
      </w:r>
      <w:bookmarkEnd w:id="95"/>
    </w:p>
    <w:p w:rsidR="008C641C" w:rsidRPr="00496538" w:rsidRDefault="008C641C" w:rsidP="008003D5">
      <w:pPr>
        <w:pStyle w:val="Normalaftertitle"/>
        <w:tabs>
          <w:tab w:val="clear" w:pos="567"/>
          <w:tab w:val="clear" w:pos="1134"/>
          <w:tab w:val="clear" w:pos="1701"/>
          <w:tab w:val="clear" w:pos="2268"/>
          <w:tab w:val="clear" w:pos="2835"/>
        </w:tabs>
        <w:snapToGrid w:val="0"/>
        <w:spacing w:before="120" w:after="120"/>
        <w:jc w:val="both"/>
        <w:rPr>
          <w:rFonts w:asciiTheme="minorHAnsi" w:hAnsiTheme="minorHAnsi" w:cstheme="minorHAnsi"/>
          <w:color w:val="000000" w:themeColor="text1"/>
          <w:szCs w:val="24"/>
        </w:rPr>
      </w:pPr>
      <w:r w:rsidRPr="008E060D">
        <w:rPr>
          <w:rFonts w:asciiTheme="minorHAnsi" w:hAnsiTheme="minorHAnsi" w:cstheme="minorHAnsi"/>
          <w:color w:val="000000" w:themeColor="text1"/>
          <w:szCs w:val="24"/>
        </w:rPr>
        <w:t>5.1</w:t>
      </w:r>
      <w:r w:rsidRPr="008E060D">
        <w:rPr>
          <w:rFonts w:asciiTheme="minorHAnsi" w:hAnsiTheme="minorHAnsi" w:cstheme="minorHAnsi"/>
          <w:color w:val="000000" w:themeColor="text1"/>
          <w:szCs w:val="24"/>
        </w:rPr>
        <w:tab/>
      </w:r>
      <w:bookmarkStart w:id="96" w:name="lt_pId194"/>
      <w:r w:rsidR="008E060D" w:rsidRPr="008E060D">
        <w:rPr>
          <w:rFonts w:asciiTheme="minorHAnsi" w:hAnsiTheme="minorHAnsi" w:cstheme="minorHAnsi"/>
          <w:color w:val="000000" w:themeColor="text1"/>
          <w:szCs w:val="24"/>
        </w:rPr>
        <w:t>Le Conseil est invité à prendre note des risques financiers liés à la construction du projet retenu pour le b</w:t>
      </w:r>
      <w:r w:rsidR="008E060D">
        <w:rPr>
          <w:rFonts w:asciiTheme="minorHAnsi" w:hAnsiTheme="minorHAnsi" w:cstheme="minorHAnsi"/>
          <w:color w:val="000000" w:themeColor="text1"/>
          <w:szCs w:val="24"/>
        </w:rPr>
        <w:t xml:space="preserve">âtiment du siège de </w:t>
      </w:r>
      <w:r w:rsidR="00496538">
        <w:rPr>
          <w:rFonts w:asciiTheme="minorHAnsi" w:hAnsiTheme="minorHAnsi" w:cstheme="minorHAnsi"/>
          <w:color w:val="000000" w:themeColor="text1"/>
          <w:szCs w:val="24"/>
        </w:rPr>
        <w:t>l'Union</w:t>
      </w:r>
      <w:r w:rsidR="008E060D">
        <w:rPr>
          <w:rFonts w:asciiTheme="minorHAnsi" w:hAnsiTheme="minorHAnsi" w:cstheme="minorHAnsi"/>
          <w:color w:val="000000" w:themeColor="text1"/>
          <w:szCs w:val="24"/>
        </w:rPr>
        <w:t>. Afin d'atténuer ces risques, il est proposé que le coût total maximum de tous les éléments pouvant être financés par le prêt du pays hôte ne dépasse pas le montant du prêt</w:t>
      </w:r>
      <w:r w:rsidR="00496538">
        <w:rPr>
          <w:rFonts w:asciiTheme="minorHAnsi" w:hAnsiTheme="minorHAnsi" w:cstheme="minorHAnsi"/>
          <w:color w:val="000000" w:themeColor="text1"/>
          <w:szCs w:val="24"/>
        </w:rPr>
        <w:t>,</w:t>
      </w:r>
      <w:r w:rsidR="008E060D">
        <w:rPr>
          <w:rFonts w:asciiTheme="minorHAnsi" w:hAnsiTheme="minorHAnsi" w:cstheme="minorHAnsi"/>
          <w:color w:val="000000" w:themeColor="text1"/>
          <w:szCs w:val="24"/>
        </w:rPr>
        <w:t xml:space="preserve"> complété par les dons et parrainages </w:t>
      </w:r>
      <w:r w:rsidR="00496538">
        <w:rPr>
          <w:rFonts w:asciiTheme="minorHAnsi" w:hAnsiTheme="minorHAnsi" w:cstheme="minorHAnsi"/>
          <w:color w:val="000000" w:themeColor="text1"/>
          <w:szCs w:val="24"/>
        </w:rPr>
        <w:t>acceptés</w:t>
      </w:r>
      <w:r w:rsidR="008E060D">
        <w:rPr>
          <w:rFonts w:asciiTheme="minorHAnsi" w:hAnsiTheme="minorHAnsi" w:cstheme="minorHAnsi"/>
          <w:color w:val="000000" w:themeColor="text1"/>
          <w:szCs w:val="24"/>
        </w:rPr>
        <w:t>.</w:t>
      </w:r>
      <w:bookmarkEnd w:id="96"/>
    </w:p>
    <w:p w:rsidR="008C641C" w:rsidRPr="005B37A3" w:rsidRDefault="0029398B" w:rsidP="008003D5">
      <w:pPr>
        <w:spacing w:before="840"/>
        <w:rPr>
          <w:lang w:val="fr-CH"/>
        </w:rPr>
      </w:pPr>
      <w:r w:rsidRPr="005B37A3">
        <w:rPr>
          <w:b/>
          <w:bCs/>
          <w:lang w:val="fr-CH"/>
        </w:rPr>
        <w:t>Annexe</w:t>
      </w:r>
      <w:r w:rsidRPr="005B37A3">
        <w:rPr>
          <w:lang w:val="fr-CH"/>
        </w:rPr>
        <w:t>: 1</w:t>
      </w:r>
    </w:p>
    <w:p w:rsidR="008C641C" w:rsidRPr="005B37A3" w:rsidRDefault="008C641C" w:rsidP="008003D5">
      <w:pPr>
        <w:rPr>
          <w:rFonts w:asciiTheme="minorHAnsi" w:hAnsiTheme="minorHAnsi" w:cstheme="minorHAnsi"/>
          <w:lang w:val="fr-CH"/>
        </w:rPr>
      </w:pPr>
      <w:r w:rsidRPr="005B37A3">
        <w:rPr>
          <w:rFonts w:asciiTheme="minorHAnsi" w:hAnsiTheme="minorHAnsi" w:cstheme="minorHAnsi"/>
          <w:lang w:val="fr-CH"/>
        </w:rPr>
        <w:br w:type="page"/>
      </w:r>
    </w:p>
    <w:p w:rsidR="008C641C" w:rsidRPr="005B37A3" w:rsidRDefault="008C641C" w:rsidP="008003D5">
      <w:pPr>
        <w:pStyle w:val="AnnexNo"/>
        <w:rPr>
          <w:lang w:val="fr-CH"/>
        </w:rPr>
      </w:pPr>
      <w:bookmarkStart w:id="97" w:name="lt_pId197"/>
      <w:r w:rsidRPr="005B37A3">
        <w:rPr>
          <w:lang w:val="fr-CH"/>
        </w:rPr>
        <w:lastRenderedPageBreak/>
        <w:t>Annex</w:t>
      </w:r>
      <w:bookmarkEnd w:id="97"/>
      <w:r w:rsidR="0029398B" w:rsidRPr="005B37A3">
        <w:rPr>
          <w:lang w:val="fr-CH"/>
        </w:rPr>
        <w:t>e</w:t>
      </w:r>
    </w:p>
    <w:p w:rsidR="008C641C" w:rsidRPr="005B37A3" w:rsidRDefault="0029398B" w:rsidP="00435926">
      <w:pPr>
        <w:pStyle w:val="Annextitle"/>
        <w:spacing w:after="0"/>
        <w:rPr>
          <w:lang w:val="fr-CH"/>
        </w:rPr>
      </w:pPr>
      <w:r w:rsidRPr="00AE505A">
        <w:rPr>
          <w:bCs/>
        </w:rPr>
        <w:t>Informations financières sur le budget</w:t>
      </w:r>
    </w:p>
    <w:p w:rsidR="008C641C" w:rsidRPr="008E060D" w:rsidRDefault="008E060D" w:rsidP="00435926">
      <w:pPr>
        <w:tabs>
          <w:tab w:val="left" w:pos="7088"/>
        </w:tabs>
        <w:jc w:val="center"/>
        <w:rPr>
          <w:rFonts w:asciiTheme="minorHAnsi" w:hAnsiTheme="minorHAnsi"/>
        </w:rPr>
      </w:pPr>
      <w:bookmarkStart w:id="98" w:name="lt_pId199"/>
      <w:r>
        <w:rPr>
          <w:rFonts w:asciiTheme="minorHAnsi" w:hAnsiTheme="minorHAnsi"/>
        </w:rPr>
        <w:t>Modifiées</w:t>
      </w:r>
      <w:r w:rsidRPr="008E060D">
        <w:rPr>
          <w:rFonts w:asciiTheme="minorHAnsi" w:hAnsiTheme="minorHAnsi"/>
        </w:rPr>
        <w:t xml:space="preserve"> par le Groupe</w:t>
      </w:r>
      <w:r w:rsidR="008C641C" w:rsidRPr="008E060D">
        <w:rPr>
          <w:rFonts w:asciiTheme="minorHAnsi" w:hAnsiTheme="minorHAnsi"/>
        </w:rPr>
        <w:t xml:space="preserve"> MSAG (</w:t>
      </w:r>
      <w:r>
        <w:rPr>
          <w:rFonts w:asciiTheme="minorHAnsi" w:hAnsiTheme="minorHAnsi"/>
        </w:rPr>
        <w:t>les nouveaux chiffres sont indiqués en</w:t>
      </w:r>
      <w:r w:rsidR="008C641C" w:rsidRPr="008E060D">
        <w:rPr>
          <w:rFonts w:asciiTheme="minorHAnsi" w:hAnsiTheme="minorHAnsi"/>
        </w:rPr>
        <w:t xml:space="preserve"> </w:t>
      </w:r>
      <w:r w:rsidR="008C641C" w:rsidRPr="008E060D">
        <w:rPr>
          <w:rFonts w:asciiTheme="minorHAnsi" w:hAnsiTheme="minorHAnsi"/>
          <w:i/>
          <w:color w:val="FF0000"/>
        </w:rPr>
        <w:t>itali</w:t>
      </w:r>
      <w:r>
        <w:rPr>
          <w:rFonts w:asciiTheme="minorHAnsi" w:hAnsiTheme="minorHAnsi"/>
          <w:i/>
          <w:color w:val="FF0000"/>
        </w:rPr>
        <w:t>que</w:t>
      </w:r>
      <w:r w:rsidR="008C641C" w:rsidRPr="008E060D">
        <w:rPr>
          <w:rFonts w:asciiTheme="minorHAnsi" w:hAnsiTheme="minorHAnsi"/>
        </w:rPr>
        <w:t>)</w:t>
      </w:r>
      <w:bookmarkEnd w:id="98"/>
    </w:p>
    <w:p w:rsidR="0029398B" w:rsidRPr="00471EAD" w:rsidRDefault="0029398B" w:rsidP="00AD6ED1">
      <w:pPr>
        <w:pStyle w:val="Tabletitle"/>
        <w:spacing w:before="120"/>
      </w:pPr>
      <w:r w:rsidRPr="00471EAD">
        <w:t>Tableau</w:t>
      </w:r>
      <w:r>
        <w:t xml:space="preserve"> –</w:t>
      </w:r>
      <w:r w:rsidRPr="00471EAD">
        <w:t xml:space="preserve"> Informations financières, catégories CFC</w:t>
      </w:r>
      <w:r>
        <w:t>:</w:t>
      </w:r>
      <w:r w:rsidRPr="00471EAD">
        <w:t xml:space="preserve"> en milliers de CHF (avril 2019)</w:t>
      </w:r>
    </w:p>
    <w:tbl>
      <w:tblPr>
        <w:tblStyle w:val="TableGrid"/>
        <w:tblW w:w="9361" w:type="dxa"/>
        <w:jc w:val="center"/>
        <w:tblLayout w:type="fixed"/>
        <w:tblLook w:val="04A0" w:firstRow="1" w:lastRow="0" w:firstColumn="1" w:lastColumn="0" w:noHBand="0" w:noVBand="1"/>
      </w:tblPr>
      <w:tblGrid>
        <w:gridCol w:w="5524"/>
        <w:gridCol w:w="2409"/>
        <w:gridCol w:w="1428"/>
      </w:tblGrid>
      <w:tr w:rsidR="0029398B" w:rsidRPr="005B37A3" w:rsidTr="00FC78C5">
        <w:trPr>
          <w:jc w:val="center"/>
        </w:trPr>
        <w:tc>
          <w:tcPr>
            <w:tcW w:w="5524" w:type="dxa"/>
          </w:tcPr>
          <w:p w:rsidR="0029398B" w:rsidRPr="005B37A3" w:rsidRDefault="0029398B" w:rsidP="00435926">
            <w:pPr>
              <w:pStyle w:val="Tablehead"/>
              <w:spacing w:before="20" w:after="20"/>
              <w:jc w:val="left"/>
            </w:pPr>
            <w:r w:rsidRPr="005B37A3">
              <w:t>Élément</w:t>
            </w:r>
          </w:p>
        </w:tc>
        <w:tc>
          <w:tcPr>
            <w:tcW w:w="2409" w:type="dxa"/>
          </w:tcPr>
          <w:p w:rsidR="0029398B" w:rsidRPr="005B37A3" w:rsidRDefault="0029398B" w:rsidP="00435926">
            <w:pPr>
              <w:pStyle w:val="Tablehead"/>
              <w:spacing w:before="20" w:after="20"/>
            </w:pPr>
            <w:r w:rsidRPr="005B37A3">
              <w:t>Coût (fourchette)</w:t>
            </w:r>
          </w:p>
        </w:tc>
        <w:tc>
          <w:tcPr>
            <w:tcW w:w="1428" w:type="dxa"/>
          </w:tcPr>
          <w:p w:rsidR="0029398B" w:rsidRPr="005B37A3" w:rsidRDefault="0029398B" w:rsidP="00435926">
            <w:pPr>
              <w:pStyle w:val="Tablehead"/>
              <w:spacing w:before="20" w:after="20"/>
            </w:pPr>
            <w:r w:rsidRPr="005B37A3">
              <w:t>Financement</w:t>
            </w:r>
          </w:p>
        </w:tc>
      </w:tr>
      <w:tr w:rsidR="0029398B" w:rsidRPr="00084B74" w:rsidTr="00FC78C5">
        <w:trPr>
          <w:jc w:val="center"/>
        </w:trPr>
        <w:tc>
          <w:tcPr>
            <w:tcW w:w="5524" w:type="dxa"/>
          </w:tcPr>
          <w:p w:rsidR="0029398B" w:rsidRPr="00084B74" w:rsidRDefault="0029398B" w:rsidP="00435926">
            <w:pPr>
              <w:pStyle w:val="Tabletext"/>
              <w:spacing w:before="20" w:after="20"/>
              <w:rPr>
                <w:szCs w:val="22"/>
              </w:rPr>
            </w:pPr>
            <w:r w:rsidRPr="00084B74">
              <w:rPr>
                <w:szCs w:val="22"/>
              </w:rPr>
              <w:t>Traitements des fonctionnaires de grade P5, P3, G6 financés grâce au budget de l'UIT</w:t>
            </w:r>
          </w:p>
        </w:tc>
        <w:tc>
          <w:tcPr>
            <w:tcW w:w="2409" w:type="dxa"/>
          </w:tcPr>
          <w:p w:rsidR="0029398B" w:rsidRPr="00084B74" w:rsidRDefault="00441585" w:rsidP="00FC78C5">
            <w:pPr>
              <w:pStyle w:val="Tabletext"/>
              <w:tabs>
                <w:tab w:val="clear" w:pos="794"/>
                <w:tab w:val="clear" w:pos="1191"/>
                <w:tab w:val="clear" w:pos="1588"/>
                <w:tab w:val="clear" w:pos="1985"/>
                <w:tab w:val="right" w:pos="2018"/>
              </w:tabs>
              <w:spacing w:before="20" w:after="20"/>
              <w:rPr>
                <w:szCs w:val="22"/>
              </w:rPr>
            </w:pPr>
            <w:r>
              <w:rPr>
                <w:szCs w:val="22"/>
              </w:rPr>
              <w:tab/>
            </w:r>
            <w:r w:rsidR="0029398B" w:rsidRPr="00084B74">
              <w:rPr>
                <w:szCs w:val="22"/>
              </w:rPr>
              <w:t>4 840</w:t>
            </w:r>
          </w:p>
        </w:tc>
        <w:tc>
          <w:tcPr>
            <w:tcW w:w="1428" w:type="dxa"/>
          </w:tcPr>
          <w:p w:rsidR="0029398B" w:rsidRPr="00084B74" w:rsidRDefault="00435926" w:rsidP="00435926">
            <w:pPr>
              <w:pStyle w:val="Tabletext"/>
              <w:tabs>
                <w:tab w:val="clear" w:pos="794"/>
                <w:tab w:val="clear" w:pos="1191"/>
                <w:tab w:val="right" w:pos="1057"/>
              </w:tabs>
              <w:spacing w:before="20" w:after="20"/>
              <w:rPr>
                <w:b/>
                <w:szCs w:val="22"/>
              </w:rPr>
            </w:pPr>
            <w:r>
              <w:rPr>
                <w:b/>
                <w:szCs w:val="22"/>
              </w:rPr>
              <w:tab/>
            </w:r>
            <w:r w:rsidR="0029398B" w:rsidRPr="00084B74">
              <w:rPr>
                <w:b/>
                <w:szCs w:val="22"/>
              </w:rPr>
              <w:t>4 840</w:t>
            </w:r>
          </w:p>
        </w:tc>
      </w:tr>
    </w:tbl>
    <w:p w:rsidR="0029398B" w:rsidRPr="00FC78C5" w:rsidRDefault="0029398B" w:rsidP="00435926">
      <w:pPr>
        <w:spacing w:before="20" w:after="20"/>
        <w:rPr>
          <w:sz w:val="16"/>
          <w:szCs w:val="16"/>
        </w:rPr>
      </w:pPr>
    </w:p>
    <w:tbl>
      <w:tblPr>
        <w:tblStyle w:val="TableGrid"/>
        <w:tblW w:w="9363" w:type="dxa"/>
        <w:jc w:val="center"/>
        <w:tblLayout w:type="fixed"/>
        <w:tblLook w:val="04A0" w:firstRow="1" w:lastRow="0" w:firstColumn="1" w:lastColumn="0" w:noHBand="0" w:noVBand="1"/>
      </w:tblPr>
      <w:tblGrid>
        <w:gridCol w:w="5524"/>
        <w:gridCol w:w="2409"/>
        <w:gridCol w:w="1430"/>
      </w:tblGrid>
      <w:tr w:rsidR="0029398B" w:rsidRPr="00084B74" w:rsidTr="00FC78C5">
        <w:trPr>
          <w:jc w:val="center"/>
        </w:trPr>
        <w:tc>
          <w:tcPr>
            <w:tcW w:w="5524" w:type="dxa"/>
          </w:tcPr>
          <w:p w:rsidR="0029398B" w:rsidRPr="00084B74" w:rsidRDefault="0029398B" w:rsidP="00435926">
            <w:pPr>
              <w:pStyle w:val="Tablehead"/>
              <w:spacing w:before="20" w:after="20"/>
              <w:jc w:val="left"/>
              <w:rPr>
                <w:szCs w:val="22"/>
              </w:rPr>
            </w:pPr>
            <w:r w:rsidRPr="00084B74">
              <w:rPr>
                <w:szCs w:val="22"/>
              </w:rPr>
              <w:t>Éléments pouvant être financés par le prêt accordé</w:t>
            </w:r>
            <w:r w:rsidRPr="00084B74">
              <w:rPr>
                <w:szCs w:val="22"/>
              </w:rPr>
              <w:br/>
              <w:t>par le pays hôte</w:t>
            </w:r>
          </w:p>
        </w:tc>
        <w:tc>
          <w:tcPr>
            <w:tcW w:w="2409" w:type="dxa"/>
          </w:tcPr>
          <w:p w:rsidR="0029398B" w:rsidRPr="00084B74" w:rsidRDefault="0029398B" w:rsidP="00FC78C5">
            <w:pPr>
              <w:pStyle w:val="Tablehead"/>
              <w:tabs>
                <w:tab w:val="clear" w:pos="794"/>
                <w:tab w:val="clear" w:pos="1191"/>
                <w:tab w:val="clear" w:pos="1588"/>
                <w:tab w:val="clear" w:pos="1985"/>
                <w:tab w:val="right" w:pos="2018"/>
              </w:tabs>
              <w:spacing w:before="20" w:after="20"/>
              <w:jc w:val="left"/>
              <w:rPr>
                <w:szCs w:val="22"/>
              </w:rPr>
            </w:pPr>
          </w:p>
        </w:tc>
        <w:tc>
          <w:tcPr>
            <w:tcW w:w="1430" w:type="dxa"/>
          </w:tcPr>
          <w:p w:rsidR="0029398B" w:rsidRPr="00084B74" w:rsidRDefault="0029398B" w:rsidP="00435926">
            <w:pPr>
              <w:pStyle w:val="Tablehead"/>
              <w:spacing w:before="20" w:after="20"/>
              <w:rPr>
                <w:szCs w:val="22"/>
              </w:rPr>
            </w:pPr>
          </w:p>
        </w:tc>
      </w:tr>
      <w:tr w:rsidR="0029398B" w:rsidRPr="00084B74" w:rsidTr="00FC78C5">
        <w:trPr>
          <w:jc w:val="center"/>
        </w:trPr>
        <w:tc>
          <w:tcPr>
            <w:tcW w:w="5524" w:type="dxa"/>
          </w:tcPr>
          <w:p w:rsidR="0029398B" w:rsidRPr="00084B74" w:rsidRDefault="008E060D" w:rsidP="00435926">
            <w:pPr>
              <w:pStyle w:val="Tabletext"/>
              <w:spacing w:before="20" w:after="20"/>
              <w:rPr>
                <w:szCs w:val="22"/>
              </w:rPr>
            </w:pPr>
            <w:r>
              <w:rPr>
                <w:szCs w:val="22"/>
              </w:rPr>
              <w:t xml:space="preserve">CFC 1 à </w:t>
            </w:r>
            <w:r w:rsidR="0029398B" w:rsidRPr="00084B74">
              <w:rPr>
                <w:szCs w:val="22"/>
              </w:rPr>
              <w:t>4 Construction</w:t>
            </w:r>
            <w:r>
              <w:rPr>
                <w:szCs w:val="22"/>
              </w:rPr>
              <w:t xml:space="preserve"> (+/- 15%)</w:t>
            </w:r>
          </w:p>
        </w:tc>
        <w:tc>
          <w:tcPr>
            <w:tcW w:w="2409" w:type="dxa"/>
          </w:tcPr>
          <w:p w:rsidR="0029398B" w:rsidRPr="00084B74" w:rsidRDefault="00441585" w:rsidP="00FC78C5">
            <w:pPr>
              <w:tabs>
                <w:tab w:val="clear" w:pos="567"/>
                <w:tab w:val="clear" w:pos="794"/>
                <w:tab w:val="clear" w:pos="1134"/>
                <w:tab w:val="clear" w:pos="1191"/>
                <w:tab w:val="clear" w:pos="1588"/>
                <w:tab w:val="clear" w:pos="1701"/>
                <w:tab w:val="clear" w:pos="1985"/>
                <w:tab w:val="right" w:pos="2018"/>
              </w:tabs>
              <w:spacing w:before="20" w:after="20"/>
              <w:rPr>
                <w:rFonts w:asciiTheme="minorHAnsi" w:hAnsiTheme="minorHAnsi" w:cstheme="minorHAnsi"/>
                <w:sz w:val="22"/>
                <w:szCs w:val="22"/>
              </w:rPr>
            </w:pPr>
            <w:r>
              <w:rPr>
                <w:rFonts w:asciiTheme="minorHAnsi" w:hAnsiTheme="minorHAnsi" w:cstheme="minorHAnsi"/>
                <w:sz w:val="22"/>
                <w:szCs w:val="22"/>
              </w:rPr>
              <w:tab/>
            </w:r>
            <w:r w:rsidR="0029398B" w:rsidRPr="00084B74">
              <w:rPr>
                <w:rFonts w:asciiTheme="minorHAnsi" w:hAnsiTheme="minorHAnsi" w:cstheme="minorHAnsi"/>
                <w:sz w:val="22"/>
                <w:szCs w:val="22"/>
              </w:rPr>
              <w:t>124 780</w:t>
            </w:r>
          </w:p>
        </w:tc>
        <w:tc>
          <w:tcPr>
            <w:tcW w:w="1430" w:type="dxa"/>
          </w:tcPr>
          <w:p w:rsidR="0029398B" w:rsidRPr="00084B74" w:rsidRDefault="0029398B" w:rsidP="00435926">
            <w:pPr>
              <w:spacing w:before="20" w:after="20"/>
              <w:jc w:val="right"/>
              <w:rPr>
                <w:rFonts w:asciiTheme="minorHAnsi" w:hAnsiTheme="minorHAnsi" w:cstheme="minorHAnsi"/>
                <w:sz w:val="22"/>
                <w:szCs w:val="22"/>
              </w:rPr>
            </w:pPr>
          </w:p>
        </w:tc>
      </w:tr>
      <w:tr w:rsidR="0029398B" w:rsidRPr="00084B74" w:rsidTr="00FC78C5">
        <w:trPr>
          <w:jc w:val="center"/>
        </w:trPr>
        <w:tc>
          <w:tcPr>
            <w:tcW w:w="5524" w:type="dxa"/>
          </w:tcPr>
          <w:p w:rsidR="0029398B" w:rsidRPr="005B37A3" w:rsidRDefault="008E060D" w:rsidP="00435926">
            <w:pPr>
              <w:pStyle w:val="Tabletext"/>
              <w:spacing w:before="20" w:after="20"/>
              <w:rPr>
                <w:color w:val="FF0000"/>
              </w:rPr>
            </w:pPr>
            <w:r>
              <w:rPr>
                <w:color w:val="FF0000"/>
              </w:rPr>
              <w:t>Fonds de réserve</w:t>
            </w:r>
          </w:p>
        </w:tc>
        <w:tc>
          <w:tcPr>
            <w:tcW w:w="2409" w:type="dxa"/>
          </w:tcPr>
          <w:p w:rsidR="0029398B" w:rsidRPr="003E2E1C" w:rsidRDefault="00441585" w:rsidP="00FC78C5">
            <w:pPr>
              <w:pStyle w:val="Tabletext"/>
              <w:tabs>
                <w:tab w:val="clear" w:pos="794"/>
                <w:tab w:val="clear" w:pos="1191"/>
                <w:tab w:val="clear" w:pos="1588"/>
                <w:tab w:val="clear" w:pos="1985"/>
                <w:tab w:val="right" w:pos="2018"/>
              </w:tabs>
              <w:spacing w:before="20" w:after="20"/>
              <w:rPr>
                <w:i/>
                <w:color w:val="FF0000"/>
              </w:rPr>
            </w:pPr>
            <w:r>
              <w:rPr>
                <w:i/>
                <w:color w:val="FF0000"/>
              </w:rPr>
              <w:tab/>
            </w:r>
            <w:r w:rsidR="0029398B" w:rsidRPr="003E2E1C">
              <w:rPr>
                <w:i/>
                <w:color w:val="FF0000"/>
              </w:rPr>
              <w:t>7 000</w:t>
            </w:r>
          </w:p>
        </w:tc>
        <w:tc>
          <w:tcPr>
            <w:tcW w:w="1430" w:type="dxa"/>
          </w:tcPr>
          <w:p w:rsidR="0029398B" w:rsidRPr="003E2E1C" w:rsidRDefault="00435926" w:rsidP="00435926">
            <w:pPr>
              <w:pStyle w:val="Tabletext"/>
              <w:tabs>
                <w:tab w:val="clear" w:pos="794"/>
                <w:tab w:val="clear" w:pos="1191"/>
                <w:tab w:val="right" w:pos="1094"/>
              </w:tabs>
              <w:spacing w:before="20" w:after="20"/>
              <w:rPr>
                <w:b/>
                <w:i/>
                <w:color w:val="FF0000"/>
              </w:rPr>
            </w:pPr>
            <w:r>
              <w:rPr>
                <w:b/>
                <w:i/>
                <w:color w:val="FF0000"/>
              </w:rPr>
              <w:tab/>
            </w:r>
            <w:r w:rsidR="0029398B" w:rsidRPr="003E2E1C">
              <w:rPr>
                <w:b/>
                <w:i/>
                <w:color w:val="FF0000"/>
              </w:rPr>
              <w:t>7 000</w:t>
            </w:r>
          </w:p>
        </w:tc>
      </w:tr>
      <w:tr w:rsidR="0029398B" w:rsidRPr="00084B74" w:rsidTr="00FC78C5">
        <w:trPr>
          <w:jc w:val="center"/>
        </w:trPr>
        <w:tc>
          <w:tcPr>
            <w:tcW w:w="5524" w:type="dxa"/>
          </w:tcPr>
          <w:p w:rsidR="0029398B" w:rsidRPr="00084B74" w:rsidRDefault="0029398B" w:rsidP="00435926">
            <w:pPr>
              <w:pStyle w:val="Tabletext"/>
              <w:spacing w:before="20" w:after="20"/>
              <w:rPr>
                <w:szCs w:val="22"/>
              </w:rPr>
            </w:pPr>
            <w:r w:rsidRPr="00084B74">
              <w:rPr>
                <w:szCs w:val="22"/>
              </w:rPr>
              <w:t>CFC 4 Mesures de sûreté et de sécurité supplémentaires conformément aux normes UN-MOSS</w:t>
            </w:r>
          </w:p>
        </w:tc>
        <w:tc>
          <w:tcPr>
            <w:tcW w:w="2409" w:type="dxa"/>
          </w:tcPr>
          <w:p w:rsidR="0029398B" w:rsidRPr="00084B74" w:rsidRDefault="00441585" w:rsidP="00FC78C5">
            <w:pPr>
              <w:tabs>
                <w:tab w:val="clear" w:pos="567"/>
                <w:tab w:val="clear" w:pos="794"/>
                <w:tab w:val="clear" w:pos="1134"/>
                <w:tab w:val="clear" w:pos="1191"/>
                <w:tab w:val="clear" w:pos="1588"/>
                <w:tab w:val="clear" w:pos="1701"/>
                <w:tab w:val="clear" w:pos="1985"/>
                <w:tab w:val="right" w:pos="2018"/>
              </w:tabs>
              <w:spacing w:before="20" w:after="20"/>
              <w:rPr>
                <w:rFonts w:asciiTheme="minorHAnsi" w:hAnsiTheme="minorHAnsi" w:cstheme="minorHAnsi"/>
                <w:sz w:val="22"/>
                <w:szCs w:val="22"/>
              </w:rPr>
            </w:pPr>
            <w:r>
              <w:rPr>
                <w:rFonts w:asciiTheme="minorHAnsi" w:hAnsiTheme="minorHAnsi" w:cstheme="minorHAnsi"/>
                <w:sz w:val="22"/>
                <w:szCs w:val="22"/>
              </w:rPr>
              <w:tab/>
            </w:r>
            <w:r w:rsidR="0029398B" w:rsidRPr="00084B74">
              <w:rPr>
                <w:rFonts w:asciiTheme="minorHAnsi" w:hAnsiTheme="minorHAnsi" w:cstheme="minorHAnsi"/>
                <w:sz w:val="22"/>
                <w:szCs w:val="22"/>
              </w:rPr>
              <w:t>de 3 000 à 6 000</w:t>
            </w:r>
          </w:p>
        </w:tc>
        <w:tc>
          <w:tcPr>
            <w:tcW w:w="1430" w:type="dxa"/>
          </w:tcPr>
          <w:p w:rsidR="0029398B" w:rsidRPr="00084B74" w:rsidRDefault="0029398B" w:rsidP="00435926">
            <w:pPr>
              <w:spacing w:before="20" w:after="20"/>
              <w:jc w:val="right"/>
              <w:rPr>
                <w:rFonts w:asciiTheme="minorHAnsi" w:hAnsiTheme="minorHAnsi" w:cstheme="minorHAnsi"/>
                <w:sz w:val="22"/>
                <w:szCs w:val="22"/>
              </w:rPr>
            </w:pPr>
          </w:p>
        </w:tc>
      </w:tr>
      <w:tr w:rsidR="0029398B" w:rsidRPr="00084B74" w:rsidTr="00FC78C5">
        <w:trPr>
          <w:jc w:val="center"/>
        </w:trPr>
        <w:tc>
          <w:tcPr>
            <w:tcW w:w="5524" w:type="dxa"/>
          </w:tcPr>
          <w:p w:rsidR="0029398B" w:rsidRPr="00084B74" w:rsidRDefault="0029398B" w:rsidP="00435926">
            <w:pPr>
              <w:pStyle w:val="Tabletext"/>
              <w:spacing w:before="20" w:after="20"/>
              <w:rPr>
                <w:szCs w:val="22"/>
              </w:rPr>
            </w:pPr>
            <w:r w:rsidRPr="00084B74">
              <w:rPr>
                <w:szCs w:val="22"/>
              </w:rPr>
              <w:t>CFC 5 Permis de construire, taxes et assurances</w:t>
            </w:r>
          </w:p>
        </w:tc>
        <w:tc>
          <w:tcPr>
            <w:tcW w:w="2409" w:type="dxa"/>
          </w:tcPr>
          <w:p w:rsidR="0029398B" w:rsidRPr="00084B74" w:rsidRDefault="00441585" w:rsidP="00FC78C5">
            <w:pPr>
              <w:tabs>
                <w:tab w:val="clear" w:pos="567"/>
                <w:tab w:val="clear" w:pos="794"/>
                <w:tab w:val="clear" w:pos="1134"/>
                <w:tab w:val="clear" w:pos="1191"/>
                <w:tab w:val="clear" w:pos="1588"/>
                <w:tab w:val="clear" w:pos="1701"/>
                <w:tab w:val="clear" w:pos="1985"/>
                <w:tab w:val="right" w:pos="2018"/>
              </w:tabs>
              <w:spacing w:before="20" w:after="20"/>
              <w:rPr>
                <w:rFonts w:asciiTheme="minorHAnsi" w:hAnsiTheme="minorHAnsi" w:cstheme="minorHAnsi"/>
                <w:sz w:val="22"/>
                <w:szCs w:val="22"/>
              </w:rPr>
            </w:pPr>
            <w:r>
              <w:rPr>
                <w:rFonts w:asciiTheme="minorHAnsi" w:hAnsiTheme="minorHAnsi" w:cstheme="minorHAnsi"/>
                <w:sz w:val="22"/>
                <w:szCs w:val="22"/>
              </w:rPr>
              <w:tab/>
            </w:r>
            <w:r w:rsidR="0029398B" w:rsidRPr="00084B74">
              <w:rPr>
                <w:rFonts w:asciiTheme="minorHAnsi" w:hAnsiTheme="minorHAnsi" w:cstheme="minorHAnsi"/>
                <w:sz w:val="22"/>
                <w:szCs w:val="22"/>
              </w:rPr>
              <w:t>1 280</w:t>
            </w:r>
          </w:p>
        </w:tc>
        <w:tc>
          <w:tcPr>
            <w:tcW w:w="1430" w:type="dxa"/>
          </w:tcPr>
          <w:p w:rsidR="0029398B" w:rsidRPr="00084B74" w:rsidRDefault="0029398B" w:rsidP="00435926">
            <w:pPr>
              <w:spacing w:before="20" w:after="20"/>
              <w:jc w:val="right"/>
              <w:rPr>
                <w:rFonts w:asciiTheme="minorHAnsi" w:hAnsiTheme="minorHAnsi" w:cstheme="minorHAnsi"/>
                <w:sz w:val="22"/>
                <w:szCs w:val="22"/>
              </w:rPr>
            </w:pPr>
          </w:p>
        </w:tc>
      </w:tr>
      <w:tr w:rsidR="0029398B" w:rsidRPr="00084B74" w:rsidTr="00FC78C5">
        <w:trPr>
          <w:jc w:val="center"/>
        </w:trPr>
        <w:tc>
          <w:tcPr>
            <w:tcW w:w="5524" w:type="dxa"/>
          </w:tcPr>
          <w:p w:rsidR="0029398B" w:rsidRPr="00084B74" w:rsidRDefault="0029398B" w:rsidP="00435926">
            <w:pPr>
              <w:pStyle w:val="Tabletext"/>
              <w:spacing w:before="20" w:after="20"/>
              <w:rPr>
                <w:szCs w:val="22"/>
              </w:rPr>
            </w:pPr>
            <w:r w:rsidRPr="00084B74">
              <w:rPr>
                <w:szCs w:val="22"/>
              </w:rPr>
              <w:t>CFC 5 Concours d'architecture</w:t>
            </w:r>
          </w:p>
        </w:tc>
        <w:tc>
          <w:tcPr>
            <w:tcW w:w="2409" w:type="dxa"/>
          </w:tcPr>
          <w:p w:rsidR="0029398B" w:rsidRPr="00084B74" w:rsidRDefault="00441585" w:rsidP="00FC78C5">
            <w:pPr>
              <w:tabs>
                <w:tab w:val="clear" w:pos="567"/>
                <w:tab w:val="clear" w:pos="794"/>
                <w:tab w:val="clear" w:pos="1134"/>
                <w:tab w:val="clear" w:pos="1191"/>
                <w:tab w:val="clear" w:pos="1588"/>
                <w:tab w:val="clear" w:pos="1701"/>
                <w:tab w:val="clear" w:pos="1985"/>
                <w:tab w:val="right" w:pos="2018"/>
              </w:tabs>
              <w:spacing w:before="20" w:after="20"/>
              <w:rPr>
                <w:rFonts w:asciiTheme="minorHAnsi" w:hAnsiTheme="minorHAnsi" w:cstheme="minorHAnsi"/>
                <w:sz w:val="22"/>
                <w:szCs w:val="22"/>
              </w:rPr>
            </w:pPr>
            <w:r>
              <w:rPr>
                <w:rFonts w:asciiTheme="minorHAnsi" w:hAnsiTheme="minorHAnsi" w:cstheme="minorHAnsi"/>
                <w:sz w:val="22"/>
                <w:szCs w:val="22"/>
              </w:rPr>
              <w:tab/>
            </w:r>
            <w:r w:rsidR="0029398B" w:rsidRPr="00084B74">
              <w:rPr>
                <w:rFonts w:asciiTheme="minorHAnsi" w:hAnsiTheme="minorHAnsi" w:cstheme="minorHAnsi"/>
                <w:sz w:val="22"/>
                <w:szCs w:val="22"/>
              </w:rPr>
              <w:t>722</w:t>
            </w:r>
          </w:p>
        </w:tc>
        <w:tc>
          <w:tcPr>
            <w:tcW w:w="1430" w:type="dxa"/>
          </w:tcPr>
          <w:p w:rsidR="0029398B" w:rsidRPr="00084B74" w:rsidRDefault="0029398B" w:rsidP="00435926">
            <w:pPr>
              <w:spacing w:before="20" w:after="20"/>
              <w:jc w:val="right"/>
              <w:rPr>
                <w:rFonts w:asciiTheme="minorHAnsi" w:hAnsiTheme="minorHAnsi" w:cstheme="minorHAnsi"/>
                <w:sz w:val="22"/>
                <w:szCs w:val="22"/>
              </w:rPr>
            </w:pPr>
          </w:p>
        </w:tc>
      </w:tr>
      <w:tr w:rsidR="0029398B" w:rsidRPr="00084B74" w:rsidTr="00FC78C5">
        <w:trPr>
          <w:jc w:val="center"/>
        </w:trPr>
        <w:tc>
          <w:tcPr>
            <w:tcW w:w="5524" w:type="dxa"/>
          </w:tcPr>
          <w:p w:rsidR="0029398B" w:rsidRPr="00084B74" w:rsidRDefault="0029398B" w:rsidP="00435926">
            <w:pPr>
              <w:pStyle w:val="Tabletext"/>
              <w:spacing w:before="20" w:after="20"/>
              <w:rPr>
                <w:szCs w:val="22"/>
              </w:rPr>
            </w:pPr>
            <w:r w:rsidRPr="00084B74">
              <w:rPr>
                <w:szCs w:val="22"/>
              </w:rPr>
              <w:t>CFC 5 Services d'appui extérieurs</w:t>
            </w:r>
          </w:p>
        </w:tc>
        <w:tc>
          <w:tcPr>
            <w:tcW w:w="2409" w:type="dxa"/>
          </w:tcPr>
          <w:p w:rsidR="0029398B" w:rsidRPr="00084B74" w:rsidRDefault="00441585" w:rsidP="00FC78C5">
            <w:pPr>
              <w:tabs>
                <w:tab w:val="clear" w:pos="567"/>
                <w:tab w:val="clear" w:pos="794"/>
                <w:tab w:val="clear" w:pos="1134"/>
                <w:tab w:val="clear" w:pos="1191"/>
                <w:tab w:val="clear" w:pos="1588"/>
                <w:tab w:val="clear" w:pos="1701"/>
                <w:tab w:val="clear" w:pos="1985"/>
                <w:tab w:val="right" w:pos="2018"/>
              </w:tabs>
              <w:spacing w:before="20" w:after="20"/>
              <w:rPr>
                <w:rFonts w:asciiTheme="minorHAnsi" w:hAnsiTheme="minorHAnsi" w:cstheme="minorHAnsi"/>
                <w:sz w:val="22"/>
                <w:szCs w:val="22"/>
              </w:rPr>
            </w:pPr>
            <w:r>
              <w:rPr>
                <w:rFonts w:asciiTheme="minorHAnsi" w:hAnsiTheme="minorHAnsi" w:cstheme="minorHAnsi"/>
                <w:sz w:val="22"/>
                <w:szCs w:val="22"/>
              </w:rPr>
              <w:tab/>
            </w:r>
            <w:r w:rsidR="0029398B" w:rsidRPr="00084B74">
              <w:rPr>
                <w:rFonts w:asciiTheme="minorHAnsi" w:hAnsiTheme="minorHAnsi" w:cstheme="minorHAnsi"/>
                <w:sz w:val="22"/>
                <w:szCs w:val="22"/>
              </w:rPr>
              <w:t>5 700</w:t>
            </w:r>
          </w:p>
        </w:tc>
        <w:tc>
          <w:tcPr>
            <w:tcW w:w="1430" w:type="dxa"/>
          </w:tcPr>
          <w:p w:rsidR="0029398B" w:rsidRPr="00084B74" w:rsidRDefault="0029398B" w:rsidP="00435926">
            <w:pPr>
              <w:spacing w:before="20" w:after="20"/>
              <w:jc w:val="right"/>
              <w:rPr>
                <w:rFonts w:asciiTheme="minorHAnsi" w:hAnsiTheme="minorHAnsi" w:cstheme="minorHAnsi"/>
                <w:sz w:val="22"/>
                <w:szCs w:val="22"/>
              </w:rPr>
            </w:pPr>
          </w:p>
        </w:tc>
      </w:tr>
      <w:tr w:rsidR="0029398B" w:rsidRPr="00084B74" w:rsidTr="00FC78C5">
        <w:trPr>
          <w:trHeight w:val="261"/>
          <w:jc w:val="center"/>
        </w:trPr>
        <w:tc>
          <w:tcPr>
            <w:tcW w:w="5524" w:type="dxa"/>
          </w:tcPr>
          <w:p w:rsidR="0029398B" w:rsidRPr="00084B74" w:rsidRDefault="0029398B" w:rsidP="00435926">
            <w:pPr>
              <w:pStyle w:val="Tabletext"/>
              <w:spacing w:before="20" w:after="20"/>
              <w:rPr>
                <w:szCs w:val="22"/>
              </w:rPr>
            </w:pPr>
            <w:r w:rsidRPr="00084B74">
              <w:rPr>
                <w:szCs w:val="22"/>
              </w:rPr>
              <w:t xml:space="preserve">CFC 5 Honoraires de CDTK </w:t>
            </w:r>
          </w:p>
        </w:tc>
        <w:tc>
          <w:tcPr>
            <w:tcW w:w="2409" w:type="dxa"/>
          </w:tcPr>
          <w:p w:rsidR="0029398B" w:rsidRPr="00084B74" w:rsidRDefault="00441585" w:rsidP="00FC78C5">
            <w:pPr>
              <w:tabs>
                <w:tab w:val="clear" w:pos="567"/>
                <w:tab w:val="clear" w:pos="794"/>
                <w:tab w:val="clear" w:pos="1134"/>
                <w:tab w:val="clear" w:pos="1191"/>
                <w:tab w:val="clear" w:pos="1588"/>
                <w:tab w:val="clear" w:pos="1701"/>
                <w:tab w:val="clear" w:pos="1985"/>
                <w:tab w:val="right" w:pos="2018"/>
              </w:tabs>
              <w:spacing w:before="20" w:after="20"/>
              <w:rPr>
                <w:rFonts w:asciiTheme="minorHAnsi" w:hAnsiTheme="minorHAnsi" w:cstheme="minorHAnsi"/>
                <w:sz w:val="22"/>
                <w:szCs w:val="22"/>
              </w:rPr>
            </w:pPr>
            <w:r>
              <w:rPr>
                <w:rFonts w:asciiTheme="minorHAnsi" w:hAnsiTheme="minorHAnsi" w:cstheme="minorHAnsi"/>
                <w:sz w:val="22"/>
                <w:szCs w:val="22"/>
              </w:rPr>
              <w:tab/>
            </w:r>
            <w:r w:rsidR="0029398B" w:rsidRPr="00084B74">
              <w:rPr>
                <w:rFonts w:asciiTheme="minorHAnsi" w:hAnsiTheme="minorHAnsi" w:cstheme="minorHAnsi"/>
                <w:sz w:val="22"/>
                <w:szCs w:val="22"/>
              </w:rPr>
              <w:t>26 000</w:t>
            </w:r>
          </w:p>
        </w:tc>
        <w:tc>
          <w:tcPr>
            <w:tcW w:w="1430" w:type="dxa"/>
          </w:tcPr>
          <w:p w:rsidR="0029398B" w:rsidRPr="00084B74" w:rsidRDefault="0029398B" w:rsidP="00435926">
            <w:pPr>
              <w:spacing w:before="20" w:after="20"/>
              <w:jc w:val="right"/>
              <w:rPr>
                <w:rFonts w:asciiTheme="minorHAnsi" w:hAnsiTheme="minorHAnsi" w:cstheme="minorHAnsi"/>
                <w:sz w:val="22"/>
                <w:szCs w:val="22"/>
              </w:rPr>
            </w:pPr>
          </w:p>
        </w:tc>
      </w:tr>
      <w:tr w:rsidR="0029398B" w:rsidRPr="00084B74" w:rsidTr="00FC78C5">
        <w:trPr>
          <w:jc w:val="center"/>
        </w:trPr>
        <w:tc>
          <w:tcPr>
            <w:tcW w:w="5524" w:type="dxa"/>
          </w:tcPr>
          <w:p w:rsidR="0029398B" w:rsidRPr="00084B74" w:rsidRDefault="0029398B" w:rsidP="00435926">
            <w:pPr>
              <w:pStyle w:val="Tabletext"/>
              <w:spacing w:before="20" w:after="20"/>
              <w:rPr>
                <w:szCs w:val="22"/>
              </w:rPr>
            </w:pPr>
            <w:r w:rsidRPr="00084B74">
              <w:rPr>
                <w:szCs w:val="22"/>
              </w:rPr>
              <w:t>CFC 5 Honoraires de l'entreprise générale</w:t>
            </w:r>
          </w:p>
        </w:tc>
        <w:tc>
          <w:tcPr>
            <w:tcW w:w="2409" w:type="dxa"/>
          </w:tcPr>
          <w:p w:rsidR="0029398B" w:rsidRPr="00084B74" w:rsidRDefault="00441585" w:rsidP="00FC78C5">
            <w:pPr>
              <w:tabs>
                <w:tab w:val="clear" w:pos="567"/>
                <w:tab w:val="clear" w:pos="794"/>
                <w:tab w:val="clear" w:pos="1134"/>
                <w:tab w:val="clear" w:pos="1191"/>
                <w:tab w:val="clear" w:pos="1588"/>
                <w:tab w:val="clear" w:pos="1701"/>
                <w:tab w:val="clear" w:pos="1985"/>
                <w:tab w:val="right" w:pos="2018"/>
              </w:tabs>
              <w:spacing w:before="20" w:after="20"/>
              <w:rPr>
                <w:rFonts w:asciiTheme="minorHAnsi" w:hAnsiTheme="minorHAnsi" w:cstheme="minorHAnsi"/>
                <w:sz w:val="22"/>
                <w:szCs w:val="22"/>
              </w:rPr>
            </w:pPr>
            <w:r>
              <w:rPr>
                <w:rFonts w:asciiTheme="minorHAnsi" w:hAnsiTheme="minorHAnsi" w:cstheme="minorHAnsi"/>
                <w:sz w:val="22"/>
                <w:szCs w:val="22"/>
              </w:rPr>
              <w:tab/>
            </w:r>
            <w:r w:rsidR="0029398B" w:rsidRPr="00084B74">
              <w:rPr>
                <w:rFonts w:asciiTheme="minorHAnsi" w:hAnsiTheme="minorHAnsi" w:cstheme="minorHAnsi"/>
                <w:sz w:val="22"/>
                <w:szCs w:val="22"/>
              </w:rPr>
              <w:t>4 600</w:t>
            </w:r>
          </w:p>
        </w:tc>
        <w:tc>
          <w:tcPr>
            <w:tcW w:w="1430" w:type="dxa"/>
          </w:tcPr>
          <w:p w:rsidR="0029398B" w:rsidRPr="00084B74" w:rsidRDefault="0029398B" w:rsidP="00435926">
            <w:pPr>
              <w:spacing w:before="20" w:after="20"/>
              <w:jc w:val="right"/>
              <w:rPr>
                <w:rFonts w:asciiTheme="minorHAnsi" w:hAnsiTheme="minorHAnsi" w:cstheme="minorHAnsi"/>
                <w:sz w:val="22"/>
                <w:szCs w:val="22"/>
              </w:rPr>
            </w:pPr>
          </w:p>
        </w:tc>
      </w:tr>
      <w:tr w:rsidR="0029398B" w:rsidRPr="00084B74" w:rsidTr="00FC78C5">
        <w:trPr>
          <w:jc w:val="center"/>
        </w:trPr>
        <w:tc>
          <w:tcPr>
            <w:tcW w:w="5524" w:type="dxa"/>
          </w:tcPr>
          <w:p w:rsidR="0029398B" w:rsidRPr="00084B74" w:rsidRDefault="0029398B" w:rsidP="00435926">
            <w:pPr>
              <w:pStyle w:val="Tabletext"/>
              <w:spacing w:before="20" w:after="20"/>
              <w:rPr>
                <w:szCs w:val="22"/>
              </w:rPr>
            </w:pPr>
            <w:r w:rsidRPr="00084B74">
              <w:rPr>
                <w:szCs w:val="22"/>
              </w:rPr>
              <w:t>CFC 8 Relogement du personnel</w:t>
            </w:r>
          </w:p>
        </w:tc>
        <w:tc>
          <w:tcPr>
            <w:tcW w:w="2409" w:type="dxa"/>
          </w:tcPr>
          <w:p w:rsidR="0029398B" w:rsidRPr="00084B74" w:rsidRDefault="00441585" w:rsidP="00FC78C5">
            <w:pPr>
              <w:tabs>
                <w:tab w:val="clear" w:pos="567"/>
                <w:tab w:val="clear" w:pos="794"/>
                <w:tab w:val="clear" w:pos="1134"/>
                <w:tab w:val="clear" w:pos="1191"/>
                <w:tab w:val="clear" w:pos="1588"/>
                <w:tab w:val="clear" w:pos="1701"/>
                <w:tab w:val="clear" w:pos="1985"/>
                <w:tab w:val="right" w:pos="2018"/>
              </w:tabs>
              <w:spacing w:before="20" w:after="20"/>
              <w:rPr>
                <w:rFonts w:asciiTheme="minorHAnsi" w:hAnsiTheme="minorHAnsi" w:cstheme="minorHAnsi"/>
                <w:sz w:val="22"/>
                <w:szCs w:val="22"/>
              </w:rPr>
            </w:pPr>
            <w:r>
              <w:rPr>
                <w:rFonts w:asciiTheme="minorHAnsi" w:hAnsiTheme="minorHAnsi" w:cstheme="minorHAnsi"/>
                <w:sz w:val="22"/>
                <w:szCs w:val="22"/>
              </w:rPr>
              <w:tab/>
            </w:r>
            <w:r w:rsidR="0029398B" w:rsidRPr="00084B74">
              <w:rPr>
                <w:rFonts w:asciiTheme="minorHAnsi" w:hAnsiTheme="minorHAnsi" w:cstheme="minorHAnsi"/>
                <w:sz w:val="22"/>
                <w:szCs w:val="22"/>
              </w:rPr>
              <w:t>11 000</w:t>
            </w:r>
          </w:p>
        </w:tc>
        <w:tc>
          <w:tcPr>
            <w:tcW w:w="1430" w:type="dxa"/>
          </w:tcPr>
          <w:p w:rsidR="0029398B" w:rsidRPr="00084B74" w:rsidRDefault="0029398B" w:rsidP="00435926">
            <w:pPr>
              <w:spacing w:before="20" w:after="20"/>
              <w:jc w:val="right"/>
              <w:rPr>
                <w:rFonts w:asciiTheme="minorHAnsi" w:hAnsiTheme="minorHAnsi" w:cstheme="minorHAnsi"/>
                <w:sz w:val="22"/>
                <w:szCs w:val="22"/>
              </w:rPr>
            </w:pPr>
          </w:p>
        </w:tc>
      </w:tr>
      <w:tr w:rsidR="0029398B" w:rsidRPr="00084B74" w:rsidTr="00FC78C5">
        <w:trPr>
          <w:jc w:val="center"/>
        </w:trPr>
        <w:tc>
          <w:tcPr>
            <w:tcW w:w="5524" w:type="dxa"/>
          </w:tcPr>
          <w:p w:rsidR="0029398B" w:rsidRPr="00084B74" w:rsidRDefault="0029398B" w:rsidP="00435926">
            <w:pPr>
              <w:spacing w:before="20" w:after="20"/>
              <w:rPr>
                <w:rFonts w:asciiTheme="minorHAnsi" w:hAnsiTheme="minorHAnsi" w:cstheme="minorHAnsi"/>
                <w:b/>
                <w:sz w:val="22"/>
                <w:szCs w:val="22"/>
              </w:rPr>
            </w:pPr>
            <w:r w:rsidRPr="00084B74">
              <w:rPr>
                <w:rFonts w:asciiTheme="minorHAnsi" w:hAnsiTheme="minorHAnsi" w:cstheme="minorHAnsi"/>
                <w:b/>
                <w:sz w:val="22"/>
                <w:szCs w:val="22"/>
              </w:rPr>
              <w:t xml:space="preserve">Total </w:t>
            </w:r>
          </w:p>
        </w:tc>
        <w:tc>
          <w:tcPr>
            <w:tcW w:w="2409" w:type="dxa"/>
          </w:tcPr>
          <w:p w:rsidR="0029398B" w:rsidRPr="00084B74" w:rsidRDefault="00441585" w:rsidP="00FC78C5">
            <w:pPr>
              <w:tabs>
                <w:tab w:val="clear" w:pos="567"/>
                <w:tab w:val="clear" w:pos="794"/>
                <w:tab w:val="clear" w:pos="1134"/>
                <w:tab w:val="clear" w:pos="1191"/>
                <w:tab w:val="clear" w:pos="1588"/>
                <w:tab w:val="clear" w:pos="1701"/>
                <w:tab w:val="clear" w:pos="1985"/>
                <w:tab w:val="right" w:pos="2018"/>
              </w:tabs>
              <w:spacing w:before="20" w:after="20"/>
              <w:rPr>
                <w:rFonts w:asciiTheme="minorHAnsi" w:hAnsiTheme="minorHAnsi" w:cstheme="minorHAnsi"/>
                <w:b/>
                <w:sz w:val="22"/>
                <w:szCs w:val="22"/>
              </w:rPr>
            </w:pPr>
            <w:r>
              <w:rPr>
                <w:rFonts w:asciiTheme="minorHAnsi" w:hAnsiTheme="minorHAnsi" w:cstheme="minorHAnsi"/>
                <w:b/>
                <w:sz w:val="22"/>
                <w:szCs w:val="22"/>
              </w:rPr>
              <w:tab/>
            </w:r>
            <w:r w:rsidR="0029398B" w:rsidRPr="00084B74">
              <w:rPr>
                <w:rFonts w:asciiTheme="minorHAnsi" w:hAnsiTheme="minorHAnsi" w:cstheme="minorHAnsi"/>
                <w:b/>
                <w:sz w:val="22"/>
                <w:szCs w:val="22"/>
              </w:rPr>
              <w:t xml:space="preserve">de </w:t>
            </w:r>
            <w:r w:rsidR="0029398B" w:rsidRPr="003E2E1C">
              <w:rPr>
                <w:rFonts w:asciiTheme="minorHAnsi" w:hAnsiTheme="minorHAnsi" w:cstheme="minorHAnsi"/>
                <w:b/>
                <w:i/>
                <w:iCs/>
                <w:color w:val="FF0000"/>
                <w:sz w:val="22"/>
                <w:szCs w:val="22"/>
              </w:rPr>
              <w:t>1</w:t>
            </w:r>
            <w:r w:rsidR="005B37A3" w:rsidRPr="003E2E1C">
              <w:rPr>
                <w:rFonts w:asciiTheme="minorHAnsi" w:hAnsiTheme="minorHAnsi" w:cstheme="minorHAnsi"/>
                <w:b/>
                <w:i/>
                <w:iCs/>
                <w:color w:val="FF0000"/>
                <w:sz w:val="22"/>
                <w:szCs w:val="22"/>
              </w:rPr>
              <w:t>84</w:t>
            </w:r>
            <w:r w:rsidR="0029398B" w:rsidRPr="003E2E1C">
              <w:rPr>
                <w:rFonts w:asciiTheme="minorHAnsi" w:hAnsiTheme="minorHAnsi" w:cstheme="minorHAnsi"/>
                <w:b/>
                <w:i/>
                <w:iCs/>
                <w:color w:val="FF0000"/>
                <w:sz w:val="22"/>
                <w:szCs w:val="22"/>
              </w:rPr>
              <w:t> 082</w:t>
            </w:r>
            <w:r w:rsidR="0029398B" w:rsidRPr="005B37A3">
              <w:rPr>
                <w:rFonts w:asciiTheme="minorHAnsi" w:hAnsiTheme="minorHAnsi" w:cstheme="minorHAnsi"/>
                <w:b/>
                <w:color w:val="FF0000"/>
                <w:sz w:val="22"/>
                <w:szCs w:val="22"/>
              </w:rPr>
              <w:t xml:space="preserve"> </w:t>
            </w:r>
            <w:r w:rsidR="0029398B" w:rsidRPr="00084B74">
              <w:rPr>
                <w:rFonts w:asciiTheme="minorHAnsi" w:hAnsiTheme="minorHAnsi" w:cstheme="minorHAnsi"/>
                <w:b/>
                <w:sz w:val="22"/>
                <w:szCs w:val="22"/>
              </w:rPr>
              <w:t xml:space="preserve">à </w:t>
            </w:r>
            <w:r w:rsidR="0029398B" w:rsidRPr="003E2E1C">
              <w:rPr>
                <w:rFonts w:asciiTheme="minorHAnsi" w:hAnsiTheme="minorHAnsi" w:cstheme="minorHAnsi"/>
                <w:b/>
                <w:i/>
                <w:iCs/>
                <w:color w:val="FF0000"/>
                <w:sz w:val="22"/>
                <w:szCs w:val="22"/>
              </w:rPr>
              <w:t>18</w:t>
            </w:r>
            <w:r w:rsidR="005B37A3" w:rsidRPr="003E2E1C">
              <w:rPr>
                <w:rFonts w:asciiTheme="minorHAnsi" w:hAnsiTheme="minorHAnsi" w:cstheme="minorHAnsi"/>
                <w:b/>
                <w:i/>
                <w:iCs/>
                <w:color w:val="FF0000"/>
                <w:sz w:val="22"/>
                <w:szCs w:val="22"/>
              </w:rPr>
              <w:t>7</w:t>
            </w:r>
            <w:r w:rsidR="0029398B" w:rsidRPr="003E2E1C">
              <w:rPr>
                <w:rFonts w:asciiTheme="minorHAnsi" w:hAnsiTheme="minorHAnsi" w:cstheme="minorHAnsi"/>
                <w:b/>
                <w:i/>
                <w:iCs/>
                <w:color w:val="FF0000"/>
                <w:sz w:val="22"/>
                <w:szCs w:val="22"/>
              </w:rPr>
              <w:t> 082</w:t>
            </w:r>
          </w:p>
        </w:tc>
        <w:tc>
          <w:tcPr>
            <w:tcW w:w="1430" w:type="dxa"/>
          </w:tcPr>
          <w:p w:rsidR="0029398B" w:rsidRPr="00084B74" w:rsidRDefault="0029398B" w:rsidP="00435926">
            <w:pPr>
              <w:spacing w:before="20" w:after="20"/>
              <w:jc w:val="right"/>
              <w:rPr>
                <w:rFonts w:asciiTheme="minorHAnsi" w:hAnsiTheme="minorHAnsi" w:cstheme="minorHAnsi"/>
                <w:sz w:val="22"/>
                <w:szCs w:val="22"/>
              </w:rPr>
            </w:pPr>
          </w:p>
        </w:tc>
      </w:tr>
      <w:tr w:rsidR="0029398B" w:rsidRPr="00084B74" w:rsidTr="00FC78C5">
        <w:trPr>
          <w:jc w:val="center"/>
        </w:trPr>
        <w:tc>
          <w:tcPr>
            <w:tcW w:w="5524" w:type="dxa"/>
          </w:tcPr>
          <w:p w:rsidR="0029398B" w:rsidRPr="00084B74" w:rsidRDefault="0029398B" w:rsidP="00435926">
            <w:pPr>
              <w:spacing w:before="20" w:after="20"/>
              <w:jc w:val="right"/>
              <w:rPr>
                <w:rFonts w:asciiTheme="minorHAnsi" w:hAnsiTheme="minorHAnsi" w:cstheme="minorHAnsi"/>
                <w:b/>
                <w:sz w:val="22"/>
                <w:szCs w:val="22"/>
              </w:rPr>
            </w:pPr>
            <w:r w:rsidRPr="00084B74">
              <w:rPr>
                <w:rFonts w:asciiTheme="minorHAnsi" w:hAnsiTheme="minorHAnsi" w:cstheme="minorHAnsi"/>
                <w:b/>
                <w:sz w:val="22"/>
                <w:szCs w:val="22"/>
              </w:rPr>
              <w:t>Prêt accordé par le pays hôte</w:t>
            </w:r>
          </w:p>
        </w:tc>
        <w:tc>
          <w:tcPr>
            <w:tcW w:w="2409" w:type="dxa"/>
          </w:tcPr>
          <w:p w:rsidR="0029398B" w:rsidRPr="00084B74" w:rsidRDefault="0029398B" w:rsidP="00FC78C5">
            <w:pPr>
              <w:tabs>
                <w:tab w:val="clear" w:pos="567"/>
                <w:tab w:val="clear" w:pos="794"/>
                <w:tab w:val="clear" w:pos="1134"/>
                <w:tab w:val="clear" w:pos="1191"/>
                <w:tab w:val="clear" w:pos="1588"/>
                <w:tab w:val="clear" w:pos="1701"/>
                <w:tab w:val="clear" w:pos="1985"/>
                <w:tab w:val="right" w:pos="2018"/>
              </w:tabs>
              <w:spacing w:before="20" w:after="20"/>
              <w:rPr>
                <w:rFonts w:asciiTheme="minorHAnsi" w:hAnsiTheme="minorHAnsi" w:cstheme="minorHAnsi"/>
                <w:b/>
                <w:sz w:val="22"/>
                <w:szCs w:val="22"/>
              </w:rPr>
            </w:pPr>
          </w:p>
        </w:tc>
        <w:tc>
          <w:tcPr>
            <w:tcW w:w="1430" w:type="dxa"/>
          </w:tcPr>
          <w:p w:rsidR="0029398B" w:rsidRPr="003E2E1C" w:rsidRDefault="00435926" w:rsidP="00435926">
            <w:pPr>
              <w:tabs>
                <w:tab w:val="clear" w:pos="567"/>
                <w:tab w:val="clear" w:pos="794"/>
                <w:tab w:val="clear" w:pos="1134"/>
                <w:tab w:val="clear" w:pos="1191"/>
                <w:tab w:val="right" w:pos="1094"/>
              </w:tabs>
              <w:spacing w:before="20" w:after="20"/>
              <w:rPr>
                <w:rFonts w:asciiTheme="minorHAnsi" w:hAnsiTheme="minorHAnsi" w:cstheme="minorHAnsi"/>
                <w:i/>
                <w:iCs/>
                <w:sz w:val="22"/>
                <w:szCs w:val="22"/>
              </w:rPr>
            </w:pPr>
            <w:r>
              <w:rPr>
                <w:rFonts w:asciiTheme="minorHAnsi" w:hAnsiTheme="minorHAnsi" w:cstheme="minorHAnsi"/>
                <w:b/>
                <w:i/>
                <w:iCs/>
                <w:color w:val="FF0000"/>
                <w:sz w:val="22"/>
                <w:szCs w:val="22"/>
              </w:rPr>
              <w:tab/>
            </w:r>
            <w:r w:rsidR="0029398B" w:rsidRPr="003E2E1C">
              <w:rPr>
                <w:rFonts w:asciiTheme="minorHAnsi" w:hAnsiTheme="minorHAnsi" w:cstheme="minorHAnsi"/>
                <w:b/>
                <w:i/>
                <w:iCs/>
                <w:color w:val="FF0000"/>
                <w:sz w:val="22"/>
                <w:szCs w:val="22"/>
              </w:rPr>
              <w:t>14</w:t>
            </w:r>
            <w:r w:rsidR="005B37A3" w:rsidRPr="003E2E1C">
              <w:rPr>
                <w:rFonts w:asciiTheme="minorHAnsi" w:hAnsiTheme="minorHAnsi" w:cstheme="minorHAnsi"/>
                <w:b/>
                <w:i/>
                <w:iCs/>
                <w:color w:val="FF0000"/>
                <w:sz w:val="22"/>
                <w:szCs w:val="22"/>
              </w:rPr>
              <w:t>0</w:t>
            </w:r>
            <w:r w:rsidR="0029398B" w:rsidRPr="003E2E1C">
              <w:rPr>
                <w:rFonts w:asciiTheme="minorHAnsi" w:hAnsiTheme="minorHAnsi" w:cstheme="minorHAnsi"/>
                <w:b/>
                <w:i/>
                <w:iCs/>
                <w:color w:val="FF0000"/>
                <w:sz w:val="22"/>
                <w:szCs w:val="22"/>
              </w:rPr>
              <w:t> 000</w:t>
            </w:r>
          </w:p>
        </w:tc>
      </w:tr>
      <w:tr w:rsidR="0029398B" w:rsidRPr="00084B74" w:rsidTr="00FC78C5">
        <w:trPr>
          <w:jc w:val="center"/>
        </w:trPr>
        <w:tc>
          <w:tcPr>
            <w:tcW w:w="5524" w:type="dxa"/>
          </w:tcPr>
          <w:p w:rsidR="0029398B" w:rsidRPr="00084B74" w:rsidRDefault="0029398B" w:rsidP="00435926">
            <w:pPr>
              <w:spacing w:before="20" w:after="20"/>
              <w:jc w:val="right"/>
              <w:rPr>
                <w:rFonts w:asciiTheme="minorHAnsi" w:hAnsiTheme="minorHAnsi" w:cstheme="minorHAnsi"/>
                <w:sz w:val="22"/>
                <w:szCs w:val="22"/>
              </w:rPr>
            </w:pPr>
            <w:r w:rsidRPr="00084B74">
              <w:rPr>
                <w:rFonts w:asciiTheme="minorHAnsi" w:hAnsiTheme="minorHAnsi" w:cstheme="minorHAnsi"/>
                <w:b/>
                <w:sz w:val="22"/>
                <w:szCs w:val="22"/>
              </w:rPr>
              <w:t xml:space="preserve">Reste des éléments pouvant être couverts par </w:t>
            </w:r>
            <w:r>
              <w:rPr>
                <w:rFonts w:asciiTheme="minorHAnsi" w:hAnsiTheme="minorHAnsi" w:cstheme="minorHAnsi"/>
                <w:b/>
                <w:sz w:val="22"/>
                <w:szCs w:val="22"/>
              </w:rPr>
              <w:br/>
            </w:r>
            <w:r w:rsidRPr="00084B74">
              <w:rPr>
                <w:rFonts w:asciiTheme="minorHAnsi" w:hAnsiTheme="minorHAnsi" w:cstheme="minorHAnsi"/>
                <w:b/>
                <w:sz w:val="22"/>
                <w:szCs w:val="22"/>
              </w:rPr>
              <w:t>le prêt à financer</w:t>
            </w:r>
          </w:p>
        </w:tc>
        <w:tc>
          <w:tcPr>
            <w:tcW w:w="2409" w:type="dxa"/>
          </w:tcPr>
          <w:p w:rsidR="0029398B" w:rsidRPr="00084B74" w:rsidRDefault="00441585" w:rsidP="00FC78C5">
            <w:pPr>
              <w:tabs>
                <w:tab w:val="clear" w:pos="567"/>
                <w:tab w:val="clear" w:pos="794"/>
                <w:tab w:val="clear" w:pos="1134"/>
                <w:tab w:val="clear" w:pos="1191"/>
                <w:tab w:val="clear" w:pos="1588"/>
                <w:tab w:val="clear" w:pos="1701"/>
                <w:tab w:val="clear" w:pos="1985"/>
                <w:tab w:val="right" w:pos="2018"/>
              </w:tabs>
              <w:spacing w:before="20" w:after="20"/>
              <w:rPr>
                <w:rFonts w:asciiTheme="minorHAnsi" w:hAnsiTheme="minorHAnsi" w:cstheme="minorHAnsi"/>
                <w:b/>
                <w:sz w:val="22"/>
                <w:szCs w:val="22"/>
              </w:rPr>
            </w:pPr>
            <w:r>
              <w:rPr>
                <w:rFonts w:asciiTheme="minorHAnsi" w:hAnsiTheme="minorHAnsi" w:cstheme="minorHAnsi"/>
                <w:b/>
                <w:sz w:val="22"/>
                <w:szCs w:val="22"/>
              </w:rPr>
              <w:tab/>
            </w:r>
            <w:r w:rsidR="0029398B" w:rsidRPr="00084B74">
              <w:rPr>
                <w:rFonts w:asciiTheme="minorHAnsi" w:hAnsiTheme="minorHAnsi" w:cstheme="minorHAnsi"/>
                <w:b/>
                <w:sz w:val="22"/>
                <w:szCs w:val="22"/>
              </w:rPr>
              <w:t xml:space="preserve">de </w:t>
            </w:r>
            <w:r w:rsidR="0029398B" w:rsidRPr="003E2E1C">
              <w:rPr>
                <w:rFonts w:asciiTheme="minorHAnsi" w:hAnsiTheme="minorHAnsi" w:cstheme="minorHAnsi"/>
                <w:b/>
                <w:i/>
                <w:iCs/>
                <w:color w:val="FF0000"/>
                <w:sz w:val="22"/>
                <w:szCs w:val="22"/>
              </w:rPr>
              <w:t>3</w:t>
            </w:r>
            <w:r w:rsidR="005B37A3" w:rsidRPr="003E2E1C">
              <w:rPr>
                <w:rFonts w:asciiTheme="minorHAnsi" w:hAnsiTheme="minorHAnsi" w:cstheme="minorHAnsi"/>
                <w:b/>
                <w:i/>
                <w:iCs/>
                <w:color w:val="FF0000"/>
                <w:sz w:val="22"/>
                <w:szCs w:val="22"/>
              </w:rPr>
              <w:t>7</w:t>
            </w:r>
            <w:r w:rsidR="0029398B" w:rsidRPr="003E2E1C">
              <w:rPr>
                <w:rFonts w:asciiTheme="minorHAnsi" w:hAnsiTheme="minorHAnsi" w:cstheme="minorHAnsi"/>
                <w:b/>
                <w:i/>
                <w:iCs/>
                <w:color w:val="FF0000"/>
                <w:sz w:val="22"/>
                <w:szCs w:val="22"/>
              </w:rPr>
              <w:t> 082</w:t>
            </w:r>
            <w:r w:rsidR="0029398B" w:rsidRPr="005B37A3">
              <w:rPr>
                <w:rFonts w:asciiTheme="minorHAnsi" w:hAnsiTheme="minorHAnsi" w:cstheme="minorHAnsi"/>
                <w:b/>
                <w:color w:val="FF0000"/>
                <w:sz w:val="22"/>
                <w:szCs w:val="22"/>
              </w:rPr>
              <w:t xml:space="preserve"> </w:t>
            </w:r>
            <w:r w:rsidR="0029398B" w:rsidRPr="00084B74">
              <w:rPr>
                <w:rFonts w:asciiTheme="minorHAnsi" w:hAnsiTheme="minorHAnsi" w:cstheme="minorHAnsi"/>
                <w:b/>
                <w:sz w:val="22"/>
                <w:szCs w:val="22"/>
              </w:rPr>
              <w:t xml:space="preserve">à </w:t>
            </w:r>
            <w:r w:rsidR="005B37A3" w:rsidRPr="003E2E1C">
              <w:rPr>
                <w:rFonts w:asciiTheme="minorHAnsi" w:hAnsiTheme="minorHAnsi" w:cstheme="minorHAnsi"/>
                <w:b/>
                <w:i/>
                <w:iCs/>
                <w:color w:val="FF0000"/>
                <w:sz w:val="22"/>
                <w:szCs w:val="22"/>
              </w:rPr>
              <w:t>40</w:t>
            </w:r>
            <w:r w:rsidR="0029398B" w:rsidRPr="003E2E1C">
              <w:rPr>
                <w:rFonts w:asciiTheme="minorHAnsi" w:hAnsiTheme="minorHAnsi" w:cstheme="minorHAnsi"/>
                <w:b/>
                <w:i/>
                <w:iCs/>
                <w:color w:val="FF0000"/>
                <w:sz w:val="22"/>
                <w:szCs w:val="22"/>
              </w:rPr>
              <w:t> 082</w:t>
            </w:r>
          </w:p>
        </w:tc>
        <w:tc>
          <w:tcPr>
            <w:tcW w:w="1430" w:type="dxa"/>
          </w:tcPr>
          <w:p w:rsidR="0029398B" w:rsidRPr="00084B74" w:rsidRDefault="0029398B" w:rsidP="00435926">
            <w:pPr>
              <w:spacing w:before="20" w:after="20"/>
              <w:jc w:val="right"/>
              <w:rPr>
                <w:rFonts w:asciiTheme="minorHAnsi" w:hAnsiTheme="minorHAnsi" w:cstheme="minorHAnsi"/>
                <w:sz w:val="22"/>
                <w:szCs w:val="22"/>
              </w:rPr>
            </w:pPr>
          </w:p>
        </w:tc>
      </w:tr>
    </w:tbl>
    <w:p w:rsidR="0029398B" w:rsidRPr="00FC78C5" w:rsidRDefault="0029398B" w:rsidP="00435926">
      <w:pPr>
        <w:spacing w:before="20" w:after="20"/>
        <w:rPr>
          <w:sz w:val="16"/>
          <w:szCs w:val="16"/>
        </w:rPr>
      </w:pPr>
    </w:p>
    <w:tbl>
      <w:tblPr>
        <w:tblStyle w:val="TableGrid"/>
        <w:tblW w:w="9358" w:type="dxa"/>
        <w:jc w:val="center"/>
        <w:tblLayout w:type="fixed"/>
        <w:tblLook w:val="04A0" w:firstRow="1" w:lastRow="0" w:firstColumn="1" w:lastColumn="0" w:noHBand="0" w:noVBand="1"/>
      </w:tblPr>
      <w:tblGrid>
        <w:gridCol w:w="5524"/>
        <w:gridCol w:w="2409"/>
        <w:gridCol w:w="1425"/>
      </w:tblGrid>
      <w:tr w:rsidR="0029398B" w:rsidRPr="00084B74" w:rsidTr="00FC78C5">
        <w:trPr>
          <w:jc w:val="center"/>
        </w:trPr>
        <w:tc>
          <w:tcPr>
            <w:tcW w:w="5524" w:type="dxa"/>
          </w:tcPr>
          <w:p w:rsidR="0029398B" w:rsidRPr="00084B74" w:rsidRDefault="0029398B" w:rsidP="00435926">
            <w:pPr>
              <w:pStyle w:val="Tablehead"/>
              <w:spacing w:before="20" w:after="20"/>
              <w:jc w:val="left"/>
              <w:rPr>
                <w:szCs w:val="22"/>
              </w:rPr>
            </w:pPr>
            <w:r w:rsidRPr="00084B74">
              <w:rPr>
                <w:szCs w:val="22"/>
              </w:rPr>
              <w:t>Autres éléments ne pouvant être financés par le prêt</w:t>
            </w:r>
          </w:p>
        </w:tc>
        <w:tc>
          <w:tcPr>
            <w:tcW w:w="2409" w:type="dxa"/>
          </w:tcPr>
          <w:p w:rsidR="0029398B" w:rsidRPr="00084B74" w:rsidRDefault="0029398B" w:rsidP="00FC78C5">
            <w:pPr>
              <w:pStyle w:val="Tablehead"/>
              <w:tabs>
                <w:tab w:val="clear" w:pos="794"/>
                <w:tab w:val="clear" w:pos="1191"/>
                <w:tab w:val="clear" w:pos="1588"/>
                <w:tab w:val="clear" w:pos="1985"/>
                <w:tab w:val="right" w:pos="2018"/>
              </w:tabs>
              <w:spacing w:before="20" w:after="20"/>
              <w:jc w:val="left"/>
              <w:rPr>
                <w:szCs w:val="22"/>
              </w:rPr>
            </w:pPr>
          </w:p>
        </w:tc>
        <w:tc>
          <w:tcPr>
            <w:tcW w:w="1425" w:type="dxa"/>
          </w:tcPr>
          <w:p w:rsidR="0029398B" w:rsidRPr="00084B74" w:rsidRDefault="0029398B" w:rsidP="00435926">
            <w:pPr>
              <w:pStyle w:val="Tablehead"/>
              <w:spacing w:before="20" w:after="20"/>
              <w:rPr>
                <w:szCs w:val="22"/>
              </w:rPr>
            </w:pPr>
          </w:p>
        </w:tc>
      </w:tr>
      <w:tr w:rsidR="0029398B" w:rsidRPr="00084B74" w:rsidTr="00FC78C5">
        <w:trPr>
          <w:jc w:val="center"/>
        </w:trPr>
        <w:tc>
          <w:tcPr>
            <w:tcW w:w="5524" w:type="dxa"/>
          </w:tcPr>
          <w:p w:rsidR="0029398B" w:rsidRPr="00084B74" w:rsidRDefault="0029398B" w:rsidP="00435926">
            <w:pPr>
              <w:pStyle w:val="Tabletext"/>
              <w:spacing w:before="20" w:after="20"/>
              <w:rPr>
                <w:szCs w:val="22"/>
              </w:rPr>
            </w:pPr>
            <w:r w:rsidRPr="00084B74">
              <w:rPr>
                <w:szCs w:val="22"/>
              </w:rPr>
              <w:t>CFC 8 Location de salles de conférence et de réunion</w:t>
            </w:r>
          </w:p>
        </w:tc>
        <w:tc>
          <w:tcPr>
            <w:tcW w:w="2409" w:type="dxa"/>
          </w:tcPr>
          <w:p w:rsidR="0029398B" w:rsidRPr="00084B74" w:rsidRDefault="00441585" w:rsidP="00FC78C5">
            <w:pPr>
              <w:tabs>
                <w:tab w:val="clear" w:pos="567"/>
                <w:tab w:val="clear" w:pos="794"/>
                <w:tab w:val="clear" w:pos="1134"/>
                <w:tab w:val="clear" w:pos="1191"/>
                <w:tab w:val="clear" w:pos="1588"/>
                <w:tab w:val="clear" w:pos="1701"/>
                <w:tab w:val="clear" w:pos="1985"/>
                <w:tab w:val="right" w:pos="2018"/>
              </w:tabs>
              <w:spacing w:before="20" w:after="20"/>
              <w:rPr>
                <w:rFonts w:asciiTheme="minorHAnsi" w:hAnsiTheme="minorHAnsi" w:cstheme="minorHAnsi"/>
                <w:sz w:val="22"/>
                <w:szCs w:val="22"/>
              </w:rPr>
            </w:pPr>
            <w:r>
              <w:rPr>
                <w:rFonts w:asciiTheme="minorHAnsi" w:hAnsiTheme="minorHAnsi" w:cstheme="minorHAnsi"/>
                <w:sz w:val="22"/>
                <w:szCs w:val="22"/>
              </w:rPr>
              <w:tab/>
            </w:r>
            <w:r w:rsidR="0029398B" w:rsidRPr="00084B74">
              <w:rPr>
                <w:rFonts w:asciiTheme="minorHAnsi" w:hAnsiTheme="minorHAnsi" w:cstheme="minorHAnsi"/>
                <w:sz w:val="22"/>
                <w:szCs w:val="22"/>
              </w:rPr>
              <w:t>2 500</w:t>
            </w:r>
          </w:p>
        </w:tc>
        <w:tc>
          <w:tcPr>
            <w:tcW w:w="1425" w:type="dxa"/>
          </w:tcPr>
          <w:p w:rsidR="0029398B" w:rsidRPr="00084B74" w:rsidRDefault="0029398B" w:rsidP="00435926">
            <w:pPr>
              <w:spacing w:before="20" w:after="20"/>
              <w:jc w:val="right"/>
              <w:rPr>
                <w:rFonts w:asciiTheme="minorHAnsi" w:hAnsiTheme="minorHAnsi" w:cstheme="minorHAnsi"/>
                <w:sz w:val="22"/>
                <w:szCs w:val="22"/>
              </w:rPr>
            </w:pPr>
          </w:p>
        </w:tc>
      </w:tr>
      <w:tr w:rsidR="0029398B" w:rsidRPr="00084B74" w:rsidTr="00FC78C5">
        <w:trPr>
          <w:jc w:val="center"/>
        </w:trPr>
        <w:tc>
          <w:tcPr>
            <w:tcW w:w="5524" w:type="dxa"/>
          </w:tcPr>
          <w:p w:rsidR="0029398B" w:rsidRPr="00084B74" w:rsidRDefault="0029398B" w:rsidP="00435926">
            <w:pPr>
              <w:pStyle w:val="Tabletext"/>
              <w:spacing w:before="20" w:after="20"/>
              <w:rPr>
                <w:szCs w:val="22"/>
              </w:rPr>
            </w:pPr>
            <w:r w:rsidRPr="00084B74">
              <w:rPr>
                <w:szCs w:val="22"/>
              </w:rPr>
              <w:t>CFC 9 Mobilier amovible</w:t>
            </w:r>
          </w:p>
        </w:tc>
        <w:tc>
          <w:tcPr>
            <w:tcW w:w="2409" w:type="dxa"/>
          </w:tcPr>
          <w:p w:rsidR="0029398B" w:rsidRPr="00084B74" w:rsidRDefault="00441585" w:rsidP="00FC78C5">
            <w:pPr>
              <w:tabs>
                <w:tab w:val="clear" w:pos="567"/>
                <w:tab w:val="clear" w:pos="794"/>
                <w:tab w:val="clear" w:pos="1134"/>
                <w:tab w:val="clear" w:pos="1191"/>
                <w:tab w:val="clear" w:pos="1588"/>
                <w:tab w:val="clear" w:pos="1701"/>
                <w:tab w:val="clear" w:pos="1985"/>
                <w:tab w:val="right" w:pos="2018"/>
              </w:tabs>
              <w:spacing w:before="20" w:after="20"/>
              <w:rPr>
                <w:rFonts w:asciiTheme="minorHAnsi" w:hAnsiTheme="minorHAnsi" w:cstheme="minorHAnsi"/>
                <w:sz w:val="22"/>
                <w:szCs w:val="22"/>
              </w:rPr>
            </w:pPr>
            <w:r>
              <w:rPr>
                <w:rFonts w:asciiTheme="minorHAnsi" w:hAnsiTheme="minorHAnsi" w:cstheme="minorHAnsi"/>
                <w:sz w:val="22"/>
                <w:szCs w:val="22"/>
              </w:rPr>
              <w:tab/>
            </w:r>
            <w:r w:rsidR="0029398B" w:rsidRPr="00084B74">
              <w:rPr>
                <w:rFonts w:asciiTheme="minorHAnsi" w:hAnsiTheme="minorHAnsi" w:cstheme="minorHAnsi"/>
                <w:sz w:val="22"/>
                <w:szCs w:val="22"/>
              </w:rPr>
              <w:t>5 000</w:t>
            </w:r>
          </w:p>
        </w:tc>
        <w:tc>
          <w:tcPr>
            <w:tcW w:w="1425" w:type="dxa"/>
          </w:tcPr>
          <w:p w:rsidR="0029398B" w:rsidRPr="00084B74" w:rsidRDefault="0029398B" w:rsidP="00435926">
            <w:pPr>
              <w:spacing w:before="20" w:after="20"/>
              <w:jc w:val="right"/>
              <w:rPr>
                <w:rFonts w:asciiTheme="minorHAnsi" w:hAnsiTheme="minorHAnsi" w:cstheme="minorHAnsi"/>
                <w:sz w:val="22"/>
                <w:szCs w:val="22"/>
              </w:rPr>
            </w:pPr>
          </w:p>
        </w:tc>
      </w:tr>
      <w:tr w:rsidR="0029398B" w:rsidRPr="00084B74" w:rsidTr="00FC78C5">
        <w:trPr>
          <w:jc w:val="center"/>
        </w:trPr>
        <w:tc>
          <w:tcPr>
            <w:tcW w:w="5524" w:type="dxa"/>
          </w:tcPr>
          <w:p w:rsidR="0029398B" w:rsidRPr="00084B74" w:rsidRDefault="0029398B" w:rsidP="00435926">
            <w:pPr>
              <w:pStyle w:val="Tabletext"/>
              <w:spacing w:before="20" w:after="20"/>
              <w:rPr>
                <w:szCs w:val="22"/>
              </w:rPr>
            </w:pPr>
            <w:r w:rsidRPr="00084B74">
              <w:rPr>
                <w:szCs w:val="22"/>
              </w:rPr>
              <w:t>CFC 9 Équipements TIC actifs</w:t>
            </w:r>
          </w:p>
        </w:tc>
        <w:tc>
          <w:tcPr>
            <w:tcW w:w="2409" w:type="dxa"/>
          </w:tcPr>
          <w:p w:rsidR="0029398B" w:rsidRPr="00084B74" w:rsidRDefault="00441585" w:rsidP="00FC78C5">
            <w:pPr>
              <w:tabs>
                <w:tab w:val="clear" w:pos="567"/>
                <w:tab w:val="clear" w:pos="794"/>
                <w:tab w:val="clear" w:pos="1134"/>
                <w:tab w:val="clear" w:pos="1191"/>
                <w:tab w:val="clear" w:pos="1588"/>
                <w:tab w:val="clear" w:pos="1701"/>
                <w:tab w:val="clear" w:pos="1985"/>
                <w:tab w:val="right" w:pos="2018"/>
              </w:tabs>
              <w:spacing w:before="20" w:after="20"/>
              <w:rPr>
                <w:rFonts w:asciiTheme="minorHAnsi" w:hAnsiTheme="minorHAnsi" w:cstheme="minorHAnsi"/>
                <w:sz w:val="22"/>
                <w:szCs w:val="22"/>
              </w:rPr>
            </w:pPr>
            <w:r>
              <w:rPr>
                <w:rFonts w:asciiTheme="minorHAnsi" w:hAnsiTheme="minorHAnsi" w:cstheme="minorHAnsi"/>
                <w:sz w:val="22"/>
                <w:szCs w:val="22"/>
              </w:rPr>
              <w:tab/>
            </w:r>
            <w:r w:rsidR="0029398B" w:rsidRPr="00084B74">
              <w:rPr>
                <w:rFonts w:asciiTheme="minorHAnsi" w:hAnsiTheme="minorHAnsi" w:cstheme="minorHAnsi"/>
                <w:sz w:val="22"/>
                <w:szCs w:val="22"/>
              </w:rPr>
              <w:t>7 000</w:t>
            </w:r>
          </w:p>
        </w:tc>
        <w:tc>
          <w:tcPr>
            <w:tcW w:w="1425" w:type="dxa"/>
          </w:tcPr>
          <w:p w:rsidR="0029398B" w:rsidRPr="00084B74" w:rsidRDefault="0029398B" w:rsidP="00435926">
            <w:pPr>
              <w:spacing w:before="20" w:after="20"/>
              <w:jc w:val="right"/>
              <w:rPr>
                <w:rFonts w:asciiTheme="minorHAnsi" w:hAnsiTheme="minorHAnsi" w:cstheme="minorHAnsi"/>
                <w:sz w:val="22"/>
                <w:szCs w:val="22"/>
              </w:rPr>
            </w:pPr>
          </w:p>
        </w:tc>
      </w:tr>
      <w:tr w:rsidR="0029398B" w:rsidRPr="00084B74" w:rsidTr="00FC78C5">
        <w:trPr>
          <w:jc w:val="center"/>
        </w:trPr>
        <w:tc>
          <w:tcPr>
            <w:tcW w:w="5524" w:type="dxa"/>
          </w:tcPr>
          <w:p w:rsidR="0029398B" w:rsidRPr="00084B74" w:rsidRDefault="0029398B" w:rsidP="00435926">
            <w:pPr>
              <w:spacing w:before="20" w:after="20"/>
              <w:rPr>
                <w:rFonts w:asciiTheme="minorHAnsi" w:hAnsiTheme="minorHAnsi" w:cstheme="minorHAnsi"/>
                <w:b/>
                <w:sz w:val="22"/>
                <w:szCs w:val="22"/>
              </w:rPr>
            </w:pPr>
            <w:r w:rsidRPr="00084B74">
              <w:rPr>
                <w:rFonts w:asciiTheme="minorHAnsi" w:hAnsiTheme="minorHAnsi" w:cstheme="minorHAnsi"/>
                <w:b/>
                <w:sz w:val="22"/>
                <w:szCs w:val="22"/>
              </w:rPr>
              <w:t>Total à financer sans avoir recours au prêt avant optimisation</w:t>
            </w:r>
          </w:p>
        </w:tc>
        <w:tc>
          <w:tcPr>
            <w:tcW w:w="2409" w:type="dxa"/>
          </w:tcPr>
          <w:p w:rsidR="0029398B" w:rsidRPr="00084B74" w:rsidRDefault="00441585" w:rsidP="00FC78C5">
            <w:pPr>
              <w:tabs>
                <w:tab w:val="clear" w:pos="567"/>
                <w:tab w:val="clear" w:pos="794"/>
                <w:tab w:val="clear" w:pos="1134"/>
                <w:tab w:val="clear" w:pos="1191"/>
                <w:tab w:val="clear" w:pos="1588"/>
                <w:tab w:val="clear" w:pos="1701"/>
                <w:tab w:val="clear" w:pos="1985"/>
                <w:tab w:val="right" w:pos="2018"/>
              </w:tabs>
              <w:spacing w:before="20" w:after="20"/>
              <w:rPr>
                <w:rFonts w:asciiTheme="minorHAnsi" w:hAnsiTheme="minorHAnsi" w:cstheme="minorHAnsi"/>
                <w:b/>
                <w:sz w:val="22"/>
                <w:szCs w:val="22"/>
              </w:rPr>
            </w:pPr>
            <w:r>
              <w:rPr>
                <w:rFonts w:asciiTheme="minorHAnsi" w:hAnsiTheme="minorHAnsi" w:cstheme="minorHAnsi"/>
                <w:b/>
                <w:sz w:val="22"/>
                <w:szCs w:val="22"/>
              </w:rPr>
              <w:tab/>
            </w:r>
            <w:r w:rsidR="0029398B" w:rsidRPr="00084B74">
              <w:rPr>
                <w:rFonts w:asciiTheme="minorHAnsi" w:hAnsiTheme="minorHAnsi" w:cstheme="minorHAnsi"/>
                <w:b/>
                <w:sz w:val="22"/>
                <w:szCs w:val="22"/>
              </w:rPr>
              <w:t xml:space="preserve">de </w:t>
            </w:r>
            <w:r w:rsidR="005B37A3" w:rsidRPr="003E2E1C">
              <w:rPr>
                <w:rFonts w:asciiTheme="minorHAnsi" w:hAnsiTheme="minorHAnsi" w:cstheme="minorHAnsi"/>
                <w:b/>
                <w:i/>
                <w:iCs/>
                <w:color w:val="FF0000"/>
                <w:sz w:val="22"/>
                <w:szCs w:val="22"/>
              </w:rPr>
              <w:t>51</w:t>
            </w:r>
            <w:r w:rsidR="0029398B" w:rsidRPr="003E2E1C">
              <w:rPr>
                <w:rFonts w:asciiTheme="minorHAnsi" w:hAnsiTheme="minorHAnsi" w:cstheme="minorHAnsi"/>
                <w:b/>
                <w:i/>
                <w:iCs/>
                <w:color w:val="FF0000"/>
                <w:sz w:val="22"/>
                <w:szCs w:val="22"/>
              </w:rPr>
              <w:t> 582</w:t>
            </w:r>
            <w:r w:rsidR="0029398B" w:rsidRPr="005B37A3">
              <w:rPr>
                <w:rFonts w:asciiTheme="minorHAnsi" w:hAnsiTheme="minorHAnsi" w:cstheme="minorHAnsi"/>
                <w:b/>
                <w:color w:val="FF0000"/>
                <w:sz w:val="22"/>
                <w:szCs w:val="22"/>
              </w:rPr>
              <w:t xml:space="preserve"> </w:t>
            </w:r>
            <w:r w:rsidR="0029398B" w:rsidRPr="00084B74">
              <w:rPr>
                <w:rFonts w:asciiTheme="minorHAnsi" w:hAnsiTheme="minorHAnsi" w:cstheme="minorHAnsi"/>
                <w:b/>
                <w:sz w:val="22"/>
                <w:szCs w:val="22"/>
              </w:rPr>
              <w:t xml:space="preserve">à </w:t>
            </w:r>
            <w:r w:rsidR="005B37A3" w:rsidRPr="003E2E1C">
              <w:rPr>
                <w:rFonts w:asciiTheme="minorHAnsi" w:hAnsiTheme="minorHAnsi" w:cstheme="minorHAnsi"/>
                <w:b/>
                <w:i/>
                <w:iCs/>
                <w:color w:val="FF0000"/>
                <w:sz w:val="22"/>
                <w:szCs w:val="22"/>
              </w:rPr>
              <w:t>54</w:t>
            </w:r>
            <w:r w:rsidR="0029398B" w:rsidRPr="003E2E1C">
              <w:rPr>
                <w:rFonts w:asciiTheme="minorHAnsi" w:hAnsiTheme="minorHAnsi" w:cstheme="minorHAnsi"/>
                <w:b/>
                <w:i/>
                <w:iCs/>
                <w:color w:val="FF0000"/>
                <w:sz w:val="22"/>
                <w:szCs w:val="22"/>
              </w:rPr>
              <w:t> 582</w:t>
            </w:r>
          </w:p>
        </w:tc>
        <w:tc>
          <w:tcPr>
            <w:tcW w:w="1425" w:type="dxa"/>
          </w:tcPr>
          <w:p w:rsidR="0029398B" w:rsidRPr="00084B74" w:rsidRDefault="0029398B" w:rsidP="00435926">
            <w:pPr>
              <w:spacing w:before="20" w:after="20"/>
              <w:jc w:val="right"/>
              <w:rPr>
                <w:rFonts w:asciiTheme="minorHAnsi" w:hAnsiTheme="minorHAnsi" w:cstheme="minorHAnsi"/>
                <w:b/>
                <w:sz w:val="22"/>
                <w:szCs w:val="22"/>
              </w:rPr>
            </w:pPr>
          </w:p>
        </w:tc>
      </w:tr>
    </w:tbl>
    <w:p w:rsidR="0029398B" w:rsidRPr="00FC78C5" w:rsidRDefault="0029398B" w:rsidP="00435926">
      <w:pPr>
        <w:spacing w:before="20" w:after="20"/>
        <w:rPr>
          <w:sz w:val="16"/>
          <w:szCs w:val="16"/>
        </w:rPr>
      </w:pPr>
    </w:p>
    <w:tbl>
      <w:tblPr>
        <w:tblStyle w:val="TableGrid"/>
        <w:tblW w:w="9372" w:type="dxa"/>
        <w:jc w:val="center"/>
        <w:tblLayout w:type="fixed"/>
        <w:tblLook w:val="04A0" w:firstRow="1" w:lastRow="0" w:firstColumn="1" w:lastColumn="0" w:noHBand="0" w:noVBand="1"/>
      </w:tblPr>
      <w:tblGrid>
        <w:gridCol w:w="5524"/>
        <w:gridCol w:w="2409"/>
        <w:gridCol w:w="1439"/>
      </w:tblGrid>
      <w:tr w:rsidR="0029398B" w:rsidRPr="00084B74" w:rsidTr="00FC78C5">
        <w:trPr>
          <w:tblHeader/>
          <w:jc w:val="center"/>
        </w:trPr>
        <w:tc>
          <w:tcPr>
            <w:tcW w:w="5524" w:type="dxa"/>
          </w:tcPr>
          <w:p w:rsidR="0029398B" w:rsidRPr="00084B74" w:rsidRDefault="0029398B" w:rsidP="00435926">
            <w:pPr>
              <w:pStyle w:val="Tablehead"/>
              <w:spacing w:before="20" w:after="20"/>
              <w:jc w:val="left"/>
              <w:rPr>
                <w:szCs w:val="22"/>
              </w:rPr>
            </w:pPr>
            <w:r w:rsidRPr="00084B74">
              <w:rPr>
                <w:szCs w:val="22"/>
              </w:rPr>
              <w:t>Autres financements</w:t>
            </w:r>
          </w:p>
        </w:tc>
        <w:tc>
          <w:tcPr>
            <w:tcW w:w="2409" w:type="dxa"/>
          </w:tcPr>
          <w:p w:rsidR="0029398B" w:rsidRPr="00084B74" w:rsidRDefault="0029398B" w:rsidP="00435926">
            <w:pPr>
              <w:pStyle w:val="Tablehead"/>
              <w:spacing w:before="20" w:after="20"/>
              <w:rPr>
                <w:szCs w:val="22"/>
              </w:rPr>
            </w:pPr>
          </w:p>
        </w:tc>
        <w:tc>
          <w:tcPr>
            <w:tcW w:w="1439" w:type="dxa"/>
          </w:tcPr>
          <w:p w:rsidR="0029398B" w:rsidRPr="00084B74" w:rsidRDefault="0029398B" w:rsidP="00435926">
            <w:pPr>
              <w:pStyle w:val="Tablehead"/>
              <w:spacing w:before="20" w:after="20"/>
              <w:rPr>
                <w:szCs w:val="22"/>
              </w:rPr>
            </w:pPr>
          </w:p>
        </w:tc>
      </w:tr>
      <w:tr w:rsidR="0029398B" w:rsidRPr="00084B74" w:rsidTr="00FC78C5">
        <w:trPr>
          <w:jc w:val="center"/>
        </w:trPr>
        <w:tc>
          <w:tcPr>
            <w:tcW w:w="5524" w:type="dxa"/>
          </w:tcPr>
          <w:p w:rsidR="0029398B" w:rsidRPr="00084B74" w:rsidRDefault="0029398B" w:rsidP="00435926">
            <w:pPr>
              <w:pStyle w:val="Tabletext"/>
              <w:spacing w:before="20" w:after="20"/>
              <w:rPr>
                <w:szCs w:val="22"/>
              </w:rPr>
            </w:pPr>
            <w:r w:rsidRPr="00084B74">
              <w:rPr>
                <w:szCs w:val="22"/>
              </w:rPr>
              <w:t>Dons et parrainages acceptés</w:t>
            </w:r>
          </w:p>
        </w:tc>
        <w:tc>
          <w:tcPr>
            <w:tcW w:w="2409" w:type="dxa"/>
          </w:tcPr>
          <w:p w:rsidR="0029398B" w:rsidRPr="00084B74" w:rsidRDefault="0029398B" w:rsidP="00435926">
            <w:pPr>
              <w:spacing w:before="20" w:after="20"/>
              <w:jc w:val="right"/>
              <w:rPr>
                <w:rFonts w:asciiTheme="minorHAnsi" w:hAnsiTheme="minorHAnsi" w:cstheme="minorHAnsi"/>
                <w:sz w:val="22"/>
                <w:szCs w:val="22"/>
              </w:rPr>
            </w:pPr>
          </w:p>
        </w:tc>
        <w:tc>
          <w:tcPr>
            <w:tcW w:w="1439" w:type="dxa"/>
          </w:tcPr>
          <w:p w:rsidR="0029398B" w:rsidRPr="00084B74" w:rsidRDefault="00082A7F" w:rsidP="00082A7F">
            <w:pPr>
              <w:tabs>
                <w:tab w:val="clear" w:pos="567"/>
                <w:tab w:val="clear" w:pos="794"/>
                <w:tab w:val="clear" w:pos="1134"/>
                <w:tab w:val="clear" w:pos="1191"/>
                <w:tab w:val="right" w:pos="1117"/>
              </w:tabs>
              <w:spacing w:before="20" w:after="20"/>
              <w:rPr>
                <w:rFonts w:asciiTheme="minorHAnsi" w:hAnsiTheme="minorHAnsi" w:cstheme="minorHAnsi"/>
                <w:b/>
                <w:sz w:val="22"/>
                <w:szCs w:val="22"/>
              </w:rPr>
            </w:pPr>
            <w:r>
              <w:rPr>
                <w:rFonts w:asciiTheme="minorHAnsi" w:hAnsiTheme="minorHAnsi" w:cstheme="minorHAnsi"/>
                <w:b/>
                <w:sz w:val="22"/>
                <w:szCs w:val="22"/>
              </w:rPr>
              <w:tab/>
            </w:r>
            <w:r w:rsidR="0029398B" w:rsidRPr="00084B74">
              <w:rPr>
                <w:rFonts w:asciiTheme="minorHAnsi" w:hAnsiTheme="minorHAnsi" w:cstheme="minorHAnsi"/>
                <w:b/>
                <w:sz w:val="22"/>
                <w:szCs w:val="22"/>
              </w:rPr>
              <w:t>15 140</w:t>
            </w:r>
          </w:p>
        </w:tc>
      </w:tr>
      <w:tr w:rsidR="0029398B" w:rsidRPr="00084B74" w:rsidTr="00FC78C5">
        <w:trPr>
          <w:jc w:val="center"/>
        </w:trPr>
        <w:tc>
          <w:tcPr>
            <w:tcW w:w="5524" w:type="dxa"/>
          </w:tcPr>
          <w:p w:rsidR="0029398B" w:rsidRPr="00084B74" w:rsidRDefault="0029398B" w:rsidP="00435926">
            <w:pPr>
              <w:pStyle w:val="Tabletext"/>
              <w:spacing w:before="20" w:after="20"/>
              <w:rPr>
                <w:szCs w:val="22"/>
              </w:rPr>
            </w:pPr>
            <w:r w:rsidRPr="00084B74">
              <w:rPr>
                <w:szCs w:val="22"/>
              </w:rPr>
              <w:lastRenderedPageBreak/>
              <w:t>Fonds dédiés: excédent budgétaire 2018</w:t>
            </w:r>
            <w:r w:rsidRPr="005B37A3">
              <w:rPr>
                <w:rStyle w:val="FootnoteReference"/>
                <w:szCs w:val="16"/>
              </w:rPr>
              <w:footnoteReference w:id="1"/>
            </w:r>
          </w:p>
        </w:tc>
        <w:tc>
          <w:tcPr>
            <w:tcW w:w="2409" w:type="dxa"/>
          </w:tcPr>
          <w:p w:rsidR="0029398B" w:rsidRPr="00084B74" w:rsidRDefault="0029398B" w:rsidP="00435926">
            <w:pPr>
              <w:spacing w:before="20" w:after="20"/>
              <w:jc w:val="right"/>
              <w:rPr>
                <w:rFonts w:asciiTheme="minorHAnsi" w:hAnsiTheme="minorHAnsi" w:cstheme="minorHAnsi"/>
                <w:sz w:val="22"/>
                <w:szCs w:val="22"/>
              </w:rPr>
            </w:pPr>
          </w:p>
        </w:tc>
        <w:tc>
          <w:tcPr>
            <w:tcW w:w="1439" w:type="dxa"/>
          </w:tcPr>
          <w:p w:rsidR="0029398B" w:rsidRPr="00084B74" w:rsidRDefault="00082A7F" w:rsidP="00082A7F">
            <w:pPr>
              <w:tabs>
                <w:tab w:val="clear" w:pos="567"/>
                <w:tab w:val="clear" w:pos="794"/>
                <w:tab w:val="clear" w:pos="1134"/>
                <w:tab w:val="clear" w:pos="1191"/>
                <w:tab w:val="right" w:pos="1117"/>
              </w:tabs>
              <w:spacing w:before="20" w:after="20"/>
              <w:rPr>
                <w:rFonts w:asciiTheme="minorHAnsi" w:hAnsiTheme="minorHAnsi" w:cstheme="minorHAnsi"/>
                <w:b/>
                <w:sz w:val="22"/>
                <w:szCs w:val="22"/>
              </w:rPr>
            </w:pPr>
            <w:r>
              <w:rPr>
                <w:rFonts w:asciiTheme="minorHAnsi" w:hAnsiTheme="minorHAnsi" w:cstheme="minorHAnsi"/>
                <w:b/>
                <w:sz w:val="22"/>
                <w:szCs w:val="22"/>
              </w:rPr>
              <w:tab/>
            </w:r>
            <w:r w:rsidR="0029398B" w:rsidRPr="00084B74">
              <w:rPr>
                <w:rFonts w:asciiTheme="minorHAnsi" w:hAnsiTheme="minorHAnsi" w:cstheme="minorHAnsi"/>
                <w:b/>
                <w:sz w:val="22"/>
                <w:szCs w:val="22"/>
              </w:rPr>
              <w:t>6 000</w:t>
            </w:r>
          </w:p>
        </w:tc>
      </w:tr>
      <w:tr w:rsidR="0029398B" w:rsidRPr="00084B74" w:rsidTr="00FC78C5">
        <w:trPr>
          <w:jc w:val="center"/>
        </w:trPr>
        <w:tc>
          <w:tcPr>
            <w:tcW w:w="5524" w:type="dxa"/>
          </w:tcPr>
          <w:p w:rsidR="0029398B" w:rsidRPr="00084B74" w:rsidRDefault="0029398B" w:rsidP="00435926">
            <w:pPr>
              <w:pStyle w:val="Tabletext"/>
              <w:spacing w:before="20" w:after="20"/>
              <w:rPr>
                <w:b/>
                <w:bCs/>
                <w:szCs w:val="22"/>
              </w:rPr>
            </w:pPr>
            <w:r w:rsidRPr="00084B74">
              <w:rPr>
                <w:b/>
                <w:bCs/>
                <w:szCs w:val="22"/>
              </w:rPr>
              <w:t>Reste des financements nécessaires: moyennant des optimisations supplémentaires, de nouveaux versements sur le Fonds pour le projet de nouveau bâtiment provenant des excédents budgétaires enregistrés pour les années 2019 à 2025, des parrainages et des dons</w:t>
            </w:r>
          </w:p>
        </w:tc>
        <w:tc>
          <w:tcPr>
            <w:tcW w:w="2409" w:type="dxa"/>
          </w:tcPr>
          <w:p w:rsidR="0029398B" w:rsidRPr="00084B74" w:rsidRDefault="00435926" w:rsidP="00FC78C5">
            <w:pPr>
              <w:pStyle w:val="Tabletext"/>
              <w:tabs>
                <w:tab w:val="clear" w:pos="794"/>
                <w:tab w:val="clear" w:pos="1191"/>
                <w:tab w:val="clear" w:pos="1588"/>
                <w:tab w:val="clear" w:pos="1985"/>
                <w:tab w:val="right" w:pos="2018"/>
              </w:tabs>
              <w:spacing w:before="20" w:after="20"/>
              <w:rPr>
                <w:rFonts w:asciiTheme="minorHAnsi" w:hAnsiTheme="minorHAnsi" w:cstheme="minorHAnsi"/>
                <w:szCs w:val="22"/>
              </w:rPr>
            </w:pPr>
            <w:r>
              <w:rPr>
                <w:rFonts w:asciiTheme="minorHAnsi" w:hAnsiTheme="minorHAnsi" w:cstheme="minorHAnsi"/>
                <w:b/>
                <w:szCs w:val="22"/>
              </w:rPr>
              <w:tab/>
            </w:r>
            <w:r w:rsidR="0029398B" w:rsidRPr="00084B74">
              <w:rPr>
                <w:rFonts w:asciiTheme="minorHAnsi" w:hAnsiTheme="minorHAnsi" w:cstheme="minorHAnsi"/>
                <w:b/>
                <w:szCs w:val="22"/>
              </w:rPr>
              <w:t xml:space="preserve">de </w:t>
            </w:r>
            <w:r w:rsidR="005B37A3" w:rsidRPr="003E2E1C">
              <w:rPr>
                <w:rFonts w:asciiTheme="minorHAnsi" w:hAnsiTheme="minorHAnsi" w:cstheme="minorHAnsi"/>
                <w:b/>
                <w:i/>
                <w:iCs/>
                <w:color w:val="FF0000"/>
                <w:szCs w:val="22"/>
              </w:rPr>
              <w:t>30</w:t>
            </w:r>
            <w:r w:rsidR="0029398B" w:rsidRPr="003E2E1C">
              <w:rPr>
                <w:rFonts w:asciiTheme="minorHAnsi" w:hAnsiTheme="minorHAnsi" w:cstheme="minorHAnsi"/>
                <w:b/>
                <w:i/>
                <w:iCs/>
                <w:color w:val="FF0000"/>
                <w:szCs w:val="22"/>
              </w:rPr>
              <w:t> 442</w:t>
            </w:r>
            <w:r w:rsidR="0029398B" w:rsidRPr="005B37A3">
              <w:rPr>
                <w:rFonts w:asciiTheme="minorHAnsi" w:hAnsiTheme="minorHAnsi" w:cstheme="minorHAnsi"/>
                <w:b/>
                <w:color w:val="FF0000"/>
                <w:szCs w:val="22"/>
              </w:rPr>
              <w:t xml:space="preserve"> </w:t>
            </w:r>
            <w:r w:rsidR="0029398B" w:rsidRPr="00084B74">
              <w:rPr>
                <w:rFonts w:asciiTheme="minorHAnsi" w:hAnsiTheme="minorHAnsi" w:cstheme="minorHAnsi"/>
                <w:b/>
                <w:szCs w:val="22"/>
              </w:rPr>
              <w:t xml:space="preserve">à </w:t>
            </w:r>
            <w:r w:rsidR="005B37A3" w:rsidRPr="003E2E1C">
              <w:rPr>
                <w:rFonts w:asciiTheme="minorHAnsi" w:hAnsiTheme="minorHAnsi" w:cstheme="minorHAnsi"/>
                <w:b/>
                <w:i/>
                <w:iCs/>
                <w:color w:val="FF0000"/>
                <w:szCs w:val="22"/>
              </w:rPr>
              <w:t>33</w:t>
            </w:r>
            <w:r w:rsidR="0029398B" w:rsidRPr="003E2E1C">
              <w:rPr>
                <w:rFonts w:asciiTheme="minorHAnsi" w:hAnsiTheme="minorHAnsi" w:cstheme="minorHAnsi"/>
                <w:b/>
                <w:i/>
                <w:iCs/>
                <w:color w:val="FF0000"/>
                <w:szCs w:val="22"/>
              </w:rPr>
              <w:t> 442</w:t>
            </w:r>
          </w:p>
        </w:tc>
        <w:tc>
          <w:tcPr>
            <w:tcW w:w="1439" w:type="dxa"/>
          </w:tcPr>
          <w:p w:rsidR="0029398B" w:rsidRPr="00084B74" w:rsidRDefault="0029398B" w:rsidP="00435926">
            <w:pPr>
              <w:pStyle w:val="Tabletext"/>
              <w:spacing w:before="20" w:after="20"/>
              <w:rPr>
                <w:b/>
                <w:bCs/>
                <w:szCs w:val="22"/>
              </w:rPr>
            </w:pPr>
          </w:p>
        </w:tc>
      </w:tr>
    </w:tbl>
    <w:p w:rsidR="008C641C" w:rsidRDefault="008C641C" w:rsidP="0027510C">
      <w:pPr>
        <w:jc w:val="center"/>
      </w:pPr>
      <w:r>
        <w:t>______________</w:t>
      </w:r>
    </w:p>
    <w:sectPr w:rsidR="008C641C" w:rsidSect="005C3890">
      <w:headerReference w:type="even" r:id="rId16"/>
      <w:headerReference w:type="default" r:id="rId17"/>
      <w:footerReference w:type="even" r:id="rId18"/>
      <w:footerReference w:type="default" r:id="rId19"/>
      <w:footerReference w:type="first" r:id="rId2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C93" w:rsidRDefault="008F6C93">
      <w:r>
        <w:separator/>
      </w:r>
    </w:p>
  </w:endnote>
  <w:endnote w:type="continuationSeparator" w:id="0">
    <w:p w:rsidR="008F6C93" w:rsidRDefault="008F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93" w:rsidRPr="004C0C33" w:rsidRDefault="008F6C93">
    <w:pPr>
      <w:pStyle w:val="Footer"/>
      <w:rPr>
        <w:lang w:val="fr-CH"/>
      </w:rPr>
    </w:pPr>
    <w:r>
      <w:fldChar w:fldCharType="begin"/>
    </w:r>
    <w:r w:rsidRPr="004C0C33">
      <w:rPr>
        <w:lang w:val="fr-CH"/>
      </w:rPr>
      <w:instrText xml:space="preserve"> FILENAME \p \* MERGEFORMAT </w:instrText>
    </w:r>
    <w:r>
      <w:fldChar w:fldCharType="separate"/>
    </w:r>
    <w:r w:rsidR="0027510C">
      <w:rPr>
        <w:lang w:val="fr-CH"/>
      </w:rPr>
      <w:t>P:\FRA\SG\CONSEIL\C19\000\048F.docx</w:t>
    </w:r>
    <w:r>
      <w:fldChar w:fldCharType="end"/>
    </w:r>
    <w:r w:rsidRPr="004C0C33">
      <w:rPr>
        <w:lang w:val="fr-CH"/>
      </w:rPr>
      <w:tab/>
    </w:r>
    <w:r>
      <w:fldChar w:fldCharType="begin"/>
    </w:r>
    <w:r>
      <w:instrText xml:space="preserve"> savedate \@ dd.MM.yy </w:instrText>
    </w:r>
    <w:r>
      <w:fldChar w:fldCharType="separate"/>
    </w:r>
    <w:r w:rsidR="00D73F8B">
      <w:t>31.05.19</w:t>
    </w:r>
    <w:r>
      <w:fldChar w:fldCharType="end"/>
    </w:r>
    <w:r w:rsidRPr="004C0C33">
      <w:rPr>
        <w:lang w:val="fr-CH"/>
      </w:rPr>
      <w:tab/>
    </w:r>
    <w:r>
      <w:fldChar w:fldCharType="begin"/>
    </w:r>
    <w:r>
      <w:instrText xml:space="preserve"> printdate \@ dd.MM.yy </w:instrText>
    </w:r>
    <w:r>
      <w:fldChar w:fldCharType="separate"/>
    </w:r>
    <w:r w:rsidR="0027510C">
      <w:t>31.05.19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93" w:rsidRPr="007A74BA" w:rsidRDefault="0027510C" w:rsidP="007A74BA">
    <w:pPr>
      <w:pStyle w:val="Footer"/>
    </w:pPr>
    <w:fldSimple w:instr=" FILENAME \p  \* MERGEFORMAT ">
      <w:r>
        <w:t>P:\FRA\SG\CONSEIL\C19\000\048F.docx</w:t>
      </w:r>
    </w:fldSimple>
    <w:r w:rsidR="007A74BA">
      <w:t xml:space="preserve"> (450272)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93" w:rsidRDefault="008F6C9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C93" w:rsidRDefault="008F6C93">
      <w:r>
        <w:t>____________________</w:t>
      </w:r>
    </w:p>
  </w:footnote>
  <w:footnote w:type="continuationSeparator" w:id="0">
    <w:p w:rsidR="008F6C93" w:rsidRDefault="008F6C93">
      <w:r>
        <w:continuationSeparator/>
      </w:r>
    </w:p>
  </w:footnote>
  <w:footnote w:id="1">
    <w:p w:rsidR="008F6C93" w:rsidRPr="001A69F1" w:rsidRDefault="008F6C93" w:rsidP="0029398B">
      <w:pPr>
        <w:pStyle w:val="FootnoteText"/>
        <w:rPr>
          <w:lang w:val="fr-CH"/>
        </w:rPr>
      </w:pPr>
      <w:r>
        <w:rPr>
          <w:rStyle w:val="FootnoteReference"/>
        </w:rPr>
        <w:footnoteRef/>
      </w:r>
      <w:r>
        <w:t xml:space="preserve"> </w:t>
      </w:r>
      <w:r>
        <w:rPr>
          <w:lang w:val="fr-CH"/>
        </w:rPr>
        <w:tab/>
      </w:r>
      <w:r>
        <w:rPr>
          <w:rFonts w:asciiTheme="minorHAnsi" w:hAnsiTheme="minorHAnsi" w:cstheme="minorHAnsi"/>
          <w:sz w:val="22"/>
          <w:szCs w:val="22"/>
        </w:rPr>
        <w:t>Sous réserve de l'approbation du Conseil à sa session de</w:t>
      </w:r>
      <w:r w:rsidRPr="002C44E3">
        <w:rPr>
          <w:rFonts w:asciiTheme="minorHAnsi" w:hAnsiTheme="minorHAnsi" w:cstheme="minorHAnsi"/>
          <w:sz w:val="22"/>
          <w:szCs w:val="22"/>
        </w:rPr>
        <w:t xml:space="preserve"> 2019</w:t>
      </w:r>
      <w:r>
        <w:rPr>
          <w:rFonts w:asciiTheme="minorHAnsi" w:hAnsiTheme="minorHAnsi" w:cstheme="minorHAnsi"/>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93" w:rsidRDefault="008F6C93">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8F6C93" w:rsidRDefault="008F6C93">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93" w:rsidRDefault="008F6C93" w:rsidP="00475FB3">
    <w:pPr>
      <w:pStyle w:val="Header"/>
    </w:pPr>
    <w:r>
      <w:fldChar w:fldCharType="begin"/>
    </w:r>
    <w:r>
      <w:instrText>PAGE</w:instrText>
    </w:r>
    <w:r>
      <w:fldChar w:fldCharType="separate"/>
    </w:r>
    <w:r w:rsidR="00D73F8B">
      <w:rPr>
        <w:noProof/>
      </w:rPr>
      <w:t>2</w:t>
    </w:r>
    <w:r>
      <w:rPr>
        <w:noProof/>
      </w:rPr>
      <w:fldChar w:fldCharType="end"/>
    </w:r>
  </w:p>
  <w:p w:rsidR="008F6C93" w:rsidRDefault="008F6C93" w:rsidP="00106B19">
    <w:pPr>
      <w:pStyle w:val="Header"/>
    </w:pPr>
    <w:r>
      <w:t>C19/48-F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25"/>
    <w:rsid w:val="00034025"/>
    <w:rsid w:val="00082A7F"/>
    <w:rsid w:val="000C7318"/>
    <w:rsid w:val="000D0D0A"/>
    <w:rsid w:val="000F4FF1"/>
    <w:rsid w:val="00103163"/>
    <w:rsid w:val="00106B19"/>
    <w:rsid w:val="00113A4A"/>
    <w:rsid w:val="00115D93"/>
    <w:rsid w:val="00116B8D"/>
    <w:rsid w:val="001247A8"/>
    <w:rsid w:val="001378C0"/>
    <w:rsid w:val="0018694A"/>
    <w:rsid w:val="001879FD"/>
    <w:rsid w:val="001A3287"/>
    <w:rsid w:val="001A6508"/>
    <w:rsid w:val="001C44B7"/>
    <w:rsid w:val="001D4C31"/>
    <w:rsid w:val="001E4D21"/>
    <w:rsid w:val="001F0B9A"/>
    <w:rsid w:val="00207CD1"/>
    <w:rsid w:val="002477A2"/>
    <w:rsid w:val="00263A51"/>
    <w:rsid w:val="00267E02"/>
    <w:rsid w:val="0027510C"/>
    <w:rsid w:val="002855C8"/>
    <w:rsid w:val="0029398B"/>
    <w:rsid w:val="002A5D44"/>
    <w:rsid w:val="002E0BC4"/>
    <w:rsid w:val="002F1872"/>
    <w:rsid w:val="002F1B76"/>
    <w:rsid w:val="00321E7E"/>
    <w:rsid w:val="00330AB8"/>
    <w:rsid w:val="003322AA"/>
    <w:rsid w:val="0033568E"/>
    <w:rsid w:val="003358C2"/>
    <w:rsid w:val="00355FF5"/>
    <w:rsid w:val="00361350"/>
    <w:rsid w:val="00364CC8"/>
    <w:rsid w:val="003C3FAE"/>
    <w:rsid w:val="003E2E1C"/>
    <w:rsid w:val="004038CB"/>
    <w:rsid w:val="0040546F"/>
    <w:rsid w:val="00407F58"/>
    <w:rsid w:val="0042404A"/>
    <w:rsid w:val="00435926"/>
    <w:rsid w:val="00441585"/>
    <w:rsid w:val="00445298"/>
    <w:rsid w:val="0044618F"/>
    <w:rsid w:val="00454F14"/>
    <w:rsid w:val="0046769A"/>
    <w:rsid w:val="00475FB3"/>
    <w:rsid w:val="00490BF0"/>
    <w:rsid w:val="00496538"/>
    <w:rsid w:val="004C0C33"/>
    <w:rsid w:val="004C37A9"/>
    <w:rsid w:val="004C4C05"/>
    <w:rsid w:val="004F259E"/>
    <w:rsid w:val="00511F1D"/>
    <w:rsid w:val="00520F36"/>
    <w:rsid w:val="00540615"/>
    <w:rsid w:val="00540A6D"/>
    <w:rsid w:val="00571EEA"/>
    <w:rsid w:val="00575417"/>
    <w:rsid w:val="005768E1"/>
    <w:rsid w:val="005B1938"/>
    <w:rsid w:val="005B37A3"/>
    <w:rsid w:val="005C3890"/>
    <w:rsid w:val="005F7BFE"/>
    <w:rsid w:val="00600017"/>
    <w:rsid w:val="006235CA"/>
    <w:rsid w:val="006643AB"/>
    <w:rsid w:val="00684290"/>
    <w:rsid w:val="006A2EBE"/>
    <w:rsid w:val="006B4352"/>
    <w:rsid w:val="006B72E9"/>
    <w:rsid w:val="007210CD"/>
    <w:rsid w:val="00732045"/>
    <w:rsid w:val="007369DB"/>
    <w:rsid w:val="00743A82"/>
    <w:rsid w:val="007956C2"/>
    <w:rsid w:val="007A187E"/>
    <w:rsid w:val="007A74BA"/>
    <w:rsid w:val="007B1CB5"/>
    <w:rsid w:val="007C0CF3"/>
    <w:rsid w:val="007C72C2"/>
    <w:rsid w:val="007D4436"/>
    <w:rsid w:val="007D6237"/>
    <w:rsid w:val="007F257A"/>
    <w:rsid w:val="007F3665"/>
    <w:rsid w:val="00800037"/>
    <w:rsid w:val="008003D5"/>
    <w:rsid w:val="00831BE6"/>
    <w:rsid w:val="008521D8"/>
    <w:rsid w:val="00861D73"/>
    <w:rsid w:val="008A4E87"/>
    <w:rsid w:val="008B2D1A"/>
    <w:rsid w:val="008C641C"/>
    <w:rsid w:val="008D76E6"/>
    <w:rsid w:val="008E060D"/>
    <w:rsid w:val="008F6C93"/>
    <w:rsid w:val="00907DAF"/>
    <w:rsid w:val="0092392D"/>
    <w:rsid w:val="0093234A"/>
    <w:rsid w:val="00971CB2"/>
    <w:rsid w:val="00971FB7"/>
    <w:rsid w:val="00972F2C"/>
    <w:rsid w:val="009C307F"/>
    <w:rsid w:val="009F4928"/>
    <w:rsid w:val="00A2113E"/>
    <w:rsid w:val="00A23A51"/>
    <w:rsid w:val="00A24607"/>
    <w:rsid w:val="00A25CD3"/>
    <w:rsid w:val="00A42BB1"/>
    <w:rsid w:val="00A707E8"/>
    <w:rsid w:val="00A82767"/>
    <w:rsid w:val="00A85EF6"/>
    <w:rsid w:val="00A93DB4"/>
    <w:rsid w:val="00AA332F"/>
    <w:rsid w:val="00AA7BBB"/>
    <w:rsid w:val="00AB64A8"/>
    <w:rsid w:val="00AC0266"/>
    <w:rsid w:val="00AC4D4F"/>
    <w:rsid w:val="00AD24EC"/>
    <w:rsid w:val="00AD6ED1"/>
    <w:rsid w:val="00AE731D"/>
    <w:rsid w:val="00B012AB"/>
    <w:rsid w:val="00B309F9"/>
    <w:rsid w:val="00B32B60"/>
    <w:rsid w:val="00B57798"/>
    <w:rsid w:val="00B61619"/>
    <w:rsid w:val="00B9261E"/>
    <w:rsid w:val="00BB4545"/>
    <w:rsid w:val="00BC090F"/>
    <w:rsid w:val="00BD5873"/>
    <w:rsid w:val="00BD5B18"/>
    <w:rsid w:val="00C04BE3"/>
    <w:rsid w:val="00C25D29"/>
    <w:rsid w:val="00C27A7C"/>
    <w:rsid w:val="00CA08ED"/>
    <w:rsid w:val="00CA6F6E"/>
    <w:rsid w:val="00CF183B"/>
    <w:rsid w:val="00D25091"/>
    <w:rsid w:val="00D375CD"/>
    <w:rsid w:val="00D400C2"/>
    <w:rsid w:val="00D553A2"/>
    <w:rsid w:val="00D63419"/>
    <w:rsid w:val="00D73F8B"/>
    <w:rsid w:val="00D774D3"/>
    <w:rsid w:val="00D904E8"/>
    <w:rsid w:val="00DA08C3"/>
    <w:rsid w:val="00DB5A3E"/>
    <w:rsid w:val="00DC22AA"/>
    <w:rsid w:val="00DF74DD"/>
    <w:rsid w:val="00E21630"/>
    <w:rsid w:val="00E25AD0"/>
    <w:rsid w:val="00E73BC0"/>
    <w:rsid w:val="00EB6350"/>
    <w:rsid w:val="00F04891"/>
    <w:rsid w:val="00F15B57"/>
    <w:rsid w:val="00F427DB"/>
    <w:rsid w:val="00F9210C"/>
    <w:rsid w:val="00F9756B"/>
    <w:rsid w:val="00F97AFC"/>
    <w:rsid w:val="00FA2954"/>
    <w:rsid w:val="00FA5EB1"/>
    <w:rsid w:val="00FA7439"/>
    <w:rsid w:val="00FB22C9"/>
    <w:rsid w:val="00FB4870"/>
    <w:rsid w:val="00FC4EC0"/>
    <w:rsid w:val="00FC6260"/>
    <w:rsid w:val="00FC78C5"/>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01D6515-BCF6-424D-961F-2A4F5465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basedOn w:val="DefaultParagraphFont"/>
    <w:link w:val="Heading1"/>
    <w:rsid w:val="008C641C"/>
    <w:rPr>
      <w:rFonts w:ascii="Calibri" w:hAnsi="Calibri"/>
      <w:b/>
      <w:sz w:val="28"/>
      <w:lang w:val="fr-FR" w:eastAsia="en-US"/>
    </w:rPr>
  </w:style>
  <w:style w:type="table" w:customStyle="1" w:styleId="TableNormal1">
    <w:name w:val="Table Normal1"/>
    <w:uiPriority w:val="2"/>
    <w:semiHidden/>
    <w:unhideWhenUsed/>
    <w:qFormat/>
    <w:rsid w:val="008C641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641C"/>
    <w:pPr>
      <w:widowControl w:val="0"/>
      <w:tabs>
        <w:tab w:val="clear" w:pos="567"/>
        <w:tab w:val="clear" w:pos="1134"/>
        <w:tab w:val="clear" w:pos="1701"/>
        <w:tab w:val="clear" w:pos="2268"/>
        <w:tab w:val="clear" w:pos="2835"/>
      </w:tabs>
      <w:overflowPunct/>
      <w:adjustRightInd/>
      <w:spacing w:before="0"/>
      <w:textAlignment w:val="auto"/>
    </w:pPr>
    <w:rPr>
      <w:rFonts w:eastAsia="Calibri" w:cs="Calibri"/>
      <w:sz w:val="22"/>
      <w:szCs w:val="22"/>
      <w:lang w:val="en-US"/>
    </w:rPr>
  </w:style>
  <w:style w:type="table" w:styleId="TableGrid">
    <w:name w:val="Table Grid"/>
    <w:basedOn w:val="TableNormal"/>
    <w:uiPriority w:val="39"/>
    <w:rsid w:val="008C641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locked/>
    <w:rsid w:val="008C641C"/>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212-F.pdf" TargetMode="External"/><Relationship Id="rId13" Type="http://schemas.openxmlformats.org/officeDocument/2006/relationships/hyperlink" Target="https://www.itu.int/md/S19-CL-C-0007/en"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itu.int/md/S16-CL-C-0124/en" TargetMode="External"/><Relationship Id="rId12" Type="http://schemas.openxmlformats.org/officeDocument/2006/relationships/hyperlink" Target="https://www.itu.int/md/S18-CL-C-0123/en"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9-CL-C-0007/en" TargetMode="External"/><Relationship Id="rId5" Type="http://schemas.openxmlformats.org/officeDocument/2006/relationships/endnotes" Target="endnotes.xml"/><Relationship Id="rId15" Type="http://schemas.openxmlformats.org/officeDocument/2006/relationships/hyperlink" Target="https://www.itu.int/md/S18-CL-C-0123/en" TargetMode="External"/><Relationship Id="rId10" Type="http://schemas.openxmlformats.org/officeDocument/2006/relationships/hyperlink" Target="https://www.itu.int/en/hq-building/Pages/default.asp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itu.int/md/S18-CL-C-0048/en" TargetMode="External"/><Relationship Id="rId14" Type="http://schemas.openxmlformats.org/officeDocument/2006/relationships/hyperlink" Target="https://www.itu.int/md/S19-CL-C-0007/e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Template>
  <TotalTime>0</TotalTime>
  <Pages>8</Pages>
  <Words>2940</Words>
  <Characters>15595</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18499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Royer, Veronique</dc:creator>
  <cp:keywords>C2019, C19</cp:keywords>
  <dc:description/>
  <cp:lastModifiedBy>Janin, Patricia</cp:lastModifiedBy>
  <cp:revision>2</cp:revision>
  <cp:lastPrinted>2019-05-31T15:14:00Z</cp:lastPrinted>
  <dcterms:created xsi:type="dcterms:W3CDTF">2019-06-03T07:34:00Z</dcterms:created>
  <dcterms:modified xsi:type="dcterms:W3CDTF">2019-06-03T07:34:00Z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