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3607BA" w14:paraId="7DA78ADB" w14:textId="77777777">
        <w:trPr>
          <w:cantSplit/>
        </w:trPr>
        <w:tc>
          <w:tcPr>
            <w:tcW w:w="6912" w:type="dxa"/>
          </w:tcPr>
          <w:p w14:paraId="44039B99" w14:textId="77777777" w:rsidR="00520F36" w:rsidRPr="003607BA" w:rsidRDefault="00520F36" w:rsidP="00B72E22">
            <w:pPr>
              <w:spacing w:before="360"/>
              <w:rPr>
                <w:lang w:val="fr-CH"/>
              </w:rPr>
            </w:pPr>
            <w:bookmarkStart w:id="0" w:name="dc06"/>
            <w:bookmarkEnd w:id="0"/>
            <w:r w:rsidRPr="003607BA">
              <w:rPr>
                <w:b/>
                <w:bCs/>
                <w:sz w:val="30"/>
                <w:szCs w:val="30"/>
                <w:lang w:val="fr-CH"/>
              </w:rPr>
              <w:t>Conseil 201</w:t>
            </w:r>
            <w:r w:rsidR="00106B19" w:rsidRPr="003607BA">
              <w:rPr>
                <w:b/>
                <w:bCs/>
                <w:sz w:val="30"/>
                <w:szCs w:val="30"/>
                <w:lang w:val="fr-CH"/>
              </w:rPr>
              <w:t>9</w:t>
            </w:r>
            <w:r w:rsidRPr="003607BA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r w:rsidRPr="003607BA">
              <w:rPr>
                <w:b/>
                <w:bCs/>
                <w:szCs w:val="24"/>
                <w:lang w:val="fr-CH"/>
              </w:rPr>
              <w:t>Gen</w:t>
            </w:r>
            <w:r w:rsidRPr="00C854AD">
              <w:rPr>
                <w:b/>
                <w:bCs/>
                <w:szCs w:val="24"/>
                <w:lang w:val="fr-CH"/>
              </w:rPr>
              <w:t xml:space="preserve">ève, </w:t>
            </w:r>
            <w:r w:rsidR="00106B19" w:rsidRPr="003607BA">
              <w:rPr>
                <w:b/>
                <w:bCs/>
                <w:szCs w:val="24"/>
                <w:lang w:val="fr-CH"/>
              </w:rPr>
              <w:t>10</w:t>
            </w:r>
            <w:r w:rsidRPr="003607BA">
              <w:rPr>
                <w:b/>
                <w:bCs/>
                <w:szCs w:val="24"/>
                <w:lang w:val="fr-CH"/>
              </w:rPr>
              <w:t>-</w:t>
            </w:r>
            <w:r w:rsidR="00106B19" w:rsidRPr="003607BA">
              <w:rPr>
                <w:b/>
                <w:bCs/>
                <w:szCs w:val="24"/>
                <w:lang w:val="fr-CH"/>
              </w:rPr>
              <w:t>20 juin</w:t>
            </w:r>
            <w:r w:rsidRPr="003607BA">
              <w:rPr>
                <w:b/>
                <w:bCs/>
                <w:szCs w:val="24"/>
                <w:lang w:val="fr-CH"/>
              </w:rPr>
              <w:t xml:space="preserve"> 201</w:t>
            </w:r>
            <w:r w:rsidR="00106B19" w:rsidRPr="003607BA">
              <w:rPr>
                <w:b/>
                <w:bCs/>
                <w:szCs w:val="24"/>
                <w:lang w:val="fr-CH"/>
              </w:rPr>
              <w:t>9</w:t>
            </w:r>
          </w:p>
        </w:tc>
        <w:tc>
          <w:tcPr>
            <w:tcW w:w="3261" w:type="dxa"/>
          </w:tcPr>
          <w:p w14:paraId="59752209" w14:textId="77777777" w:rsidR="00520F36" w:rsidRPr="003607BA" w:rsidRDefault="00520F36" w:rsidP="00B72E22">
            <w:pPr>
              <w:spacing w:before="0"/>
              <w:jc w:val="right"/>
              <w:rPr>
                <w:lang w:val="fr-CH"/>
              </w:rPr>
            </w:pPr>
            <w:bookmarkStart w:id="1" w:name="ditulogo"/>
            <w:bookmarkEnd w:id="1"/>
            <w:r w:rsidRPr="00825989">
              <w:rPr>
                <w:rFonts w:cstheme="minorHAnsi"/>
                <w:b/>
                <w:bCs/>
                <w:noProof/>
                <w:lang w:val="en-GB" w:eastAsia="zh-CN"/>
              </w:rPr>
              <w:drawing>
                <wp:inline distT="0" distB="0" distL="0" distR="0" wp14:anchorId="224859C6" wp14:editId="4CA8C39E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3607BA" w14:paraId="6BD37710" w14:textId="77777777" w:rsidTr="004C68A4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1F8700BA" w14:textId="77777777" w:rsidR="00520F36" w:rsidRPr="003607BA" w:rsidRDefault="00520F36" w:rsidP="00B72E22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19339B24" w14:textId="77777777" w:rsidR="00520F36" w:rsidRPr="00C854AD" w:rsidRDefault="00520F36" w:rsidP="00B72E22">
            <w:pPr>
              <w:spacing w:before="0"/>
              <w:rPr>
                <w:b/>
                <w:bCs/>
                <w:lang w:val="fr-CH"/>
              </w:rPr>
            </w:pPr>
          </w:p>
        </w:tc>
      </w:tr>
      <w:tr w:rsidR="00520F36" w:rsidRPr="003607BA" w14:paraId="46F6EB38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2A8B897D" w14:textId="77777777" w:rsidR="00520F36" w:rsidRPr="003607BA" w:rsidRDefault="00520F36" w:rsidP="00B72E22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462650CF" w14:textId="77777777" w:rsidR="00520F36" w:rsidRPr="00C854AD" w:rsidRDefault="00520F36" w:rsidP="00B72E22">
            <w:pPr>
              <w:spacing w:before="0"/>
              <w:rPr>
                <w:b/>
                <w:bCs/>
                <w:lang w:val="fr-CH"/>
              </w:rPr>
            </w:pPr>
          </w:p>
        </w:tc>
      </w:tr>
      <w:tr w:rsidR="00520F36" w:rsidRPr="003607BA" w14:paraId="78C9BC74" w14:textId="77777777">
        <w:trPr>
          <w:cantSplit/>
          <w:trHeight w:val="20"/>
        </w:trPr>
        <w:tc>
          <w:tcPr>
            <w:tcW w:w="6912" w:type="dxa"/>
            <w:vMerge w:val="restart"/>
          </w:tcPr>
          <w:p w14:paraId="09AA8AE7" w14:textId="77777777" w:rsidR="00520F36" w:rsidRPr="003607BA" w:rsidRDefault="00C321AB" w:rsidP="00B72E22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  <w:r w:rsidRPr="003607BA">
              <w:rPr>
                <w:rFonts w:cs="Times"/>
                <w:b/>
                <w:bCs/>
                <w:szCs w:val="24"/>
                <w:lang w:val="fr-CH"/>
              </w:rPr>
              <w:t>Point de l'ordre du jour: ADM 5</w:t>
            </w:r>
          </w:p>
        </w:tc>
        <w:tc>
          <w:tcPr>
            <w:tcW w:w="3261" w:type="dxa"/>
          </w:tcPr>
          <w:p w14:paraId="6E9F854D" w14:textId="77777777" w:rsidR="00520F36" w:rsidRPr="00C854AD" w:rsidRDefault="00520F36" w:rsidP="00B72E22">
            <w:pPr>
              <w:spacing w:before="0"/>
              <w:rPr>
                <w:b/>
                <w:bCs/>
                <w:lang w:val="fr-CH"/>
              </w:rPr>
            </w:pPr>
            <w:r w:rsidRPr="00C854AD">
              <w:rPr>
                <w:b/>
                <w:bCs/>
                <w:lang w:val="fr-CH"/>
              </w:rPr>
              <w:t>Document C1</w:t>
            </w:r>
            <w:r w:rsidR="00106B19" w:rsidRPr="00C854AD">
              <w:rPr>
                <w:b/>
                <w:bCs/>
                <w:lang w:val="fr-CH"/>
              </w:rPr>
              <w:t>9</w:t>
            </w:r>
            <w:r w:rsidRPr="00C854AD">
              <w:rPr>
                <w:b/>
                <w:bCs/>
                <w:lang w:val="fr-CH"/>
              </w:rPr>
              <w:t>/</w:t>
            </w:r>
            <w:r w:rsidR="00C321AB" w:rsidRPr="00C854AD">
              <w:rPr>
                <w:b/>
                <w:bCs/>
                <w:lang w:val="fr-CH"/>
              </w:rPr>
              <w:t>47</w:t>
            </w:r>
            <w:r w:rsidRPr="00C854AD">
              <w:rPr>
                <w:b/>
                <w:bCs/>
                <w:lang w:val="fr-CH"/>
              </w:rPr>
              <w:t>-F</w:t>
            </w:r>
          </w:p>
        </w:tc>
      </w:tr>
      <w:tr w:rsidR="00520F36" w:rsidRPr="003607BA" w14:paraId="4D81822E" w14:textId="77777777">
        <w:trPr>
          <w:cantSplit/>
          <w:trHeight w:val="20"/>
        </w:trPr>
        <w:tc>
          <w:tcPr>
            <w:tcW w:w="6912" w:type="dxa"/>
            <w:vMerge/>
          </w:tcPr>
          <w:p w14:paraId="6E4F941E" w14:textId="77777777" w:rsidR="00520F36" w:rsidRPr="003607BA" w:rsidRDefault="00520F36" w:rsidP="00B72E22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7DF224FA" w14:textId="77777777" w:rsidR="00520F36" w:rsidRPr="00C854AD" w:rsidRDefault="00C321AB" w:rsidP="00B72E22">
            <w:pPr>
              <w:spacing w:before="0"/>
              <w:rPr>
                <w:b/>
                <w:bCs/>
                <w:lang w:val="fr-CH"/>
              </w:rPr>
            </w:pPr>
            <w:r w:rsidRPr="00C854AD">
              <w:rPr>
                <w:b/>
                <w:bCs/>
                <w:lang w:val="fr-CH"/>
              </w:rPr>
              <w:t>18 avril</w:t>
            </w:r>
            <w:r w:rsidR="00520F36" w:rsidRPr="00C854AD">
              <w:rPr>
                <w:b/>
                <w:bCs/>
                <w:lang w:val="fr-CH"/>
              </w:rPr>
              <w:t xml:space="preserve"> 201</w:t>
            </w:r>
            <w:r w:rsidR="00106B19" w:rsidRPr="00C854AD">
              <w:rPr>
                <w:b/>
                <w:bCs/>
                <w:lang w:val="fr-CH"/>
              </w:rPr>
              <w:t>9</w:t>
            </w:r>
          </w:p>
        </w:tc>
      </w:tr>
      <w:tr w:rsidR="00520F36" w:rsidRPr="003607BA" w14:paraId="555D14AE" w14:textId="77777777">
        <w:trPr>
          <w:cantSplit/>
          <w:trHeight w:val="20"/>
        </w:trPr>
        <w:tc>
          <w:tcPr>
            <w:tcW w:w="6912" w:type="dxa"/>
            <w:vMerge/>
          </w:tcPr>
          <w:p w14:paraId="7C6C062F" w14:textId="77777777" w:rsidR="00520F36" w:rsidRPr="003607BA" w:rsidRDefault="00520F36" w:rsidP="00B72E22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5736335B" w14:textId="77777777" w:rsidR="00520F36" w:rsidRPr="00C854AD" w:rsidRDefault="00520F36" w:rsidP="00B72E22">
            <w:pPr>
              <w:spacing w:before="0"/>
              <w:rPr>
                <w:b/>
                <w:bCs/>
                <w:lang w:val="fr-CH"/>
              </w:rPr>
            </w:pPr>
            <w:r w:rsidRPr="00C854AD">
              <w:rPr>
                <w:b/>
                <w:bCs/>
                <w:lang w:val="fr-CH"/>
              </w:rPr>
              <w:t>Original: anglais</w:t>
            </w:r>
          </w:p>
        </w:tc>
      </w:tr>
      <w:tr w:rsidR="00520F36" w:rsidRPr="003607BA" w14:paraId="6BF411F7" w14:textId="77777777">
        <w:trPr>
          <w:cantSplit/>
        </w:trPr>
        <w:tc>
          <w:tcPr>
            <w:tcW w:w="10173" w:type="dxa"/>
            <w:gridSpan w:val="2"/>
          </w:tcPr>
          <w:p w14:paraId="6EEF4341" w14:textId="77777777" w:rsidR="00520F36" w:rsidRPr="00C854AD" w:rsidRDefault="00C321AB" w:rsidP="00651840">
            <w:pPr>
              <w:pStyle w:val="Source"/>
              <w:spacing w:before="720"/>
              <w:rPr>
                <w:lang w:val="fr-CH"/>
              </w:rPr>
            </w:pPr>
            <w:bookmarkStart w:id="6" w:name="dsource" w:colFirst="0" w:colLast="0"/>
            <w:bookmarkEnd w:id="5"/>
            <w:r w:rsidRPr="00C854AD">
              <w:rPr>
                <w:lang w:val="fr-CH"/>
              </w:rPr>
              <w:t>Rapport du Secrétaire général</w:t>
            </w:r>
          </w:p>
        </w:tc>
      </w:tr>
      <w:tr w:rsidR="00520F36" w:rsidRPr="003607BA" w14:paraId="0A555A13" w14:textId="77777777">
        <w:trPr>
          <w:cantSplit/>
        </w:trPr>
        <w:tc>
          <w:tcPr>
            <w:tcW w:w="10173" w:type="dxa"/>
            <w:gridSpan w:val="2"/>
          </w:tcPr>
          <w:p w14:paraId="0D622C97" w14:textId="7054788A" w:rsidR="00520F36" w:rsidRPr="00C854AD" w:rsidRDefault="00C321AB" w:rsidP="00B72E22">
            <w:pPr>
              <w:pStyle w:val="Title1"/>
              <w:rPr>
                <w:lang w:val="fr-CH"/>
              </w:rPr>
            </w:pPr>
            <w:bookmarkStart w:id="7" w:name="dtitle1" w:colFirst="0" w:colLast="0"/>
            <w:bookmarkEnd w:id="6"/>
            <w:r w:rsidRPr="00C854AD">
              <w:rPr>
                <w:lang w:val="fr-CH"/>
              </w:rPr>
              <w:t xml:space="preserve">Rapport d'activité </w:t>
            </w:r>
            <w:r w:rsidR="007D392C">
              <w:rPr>
                <w:lang w:val="fr-CH"/>
              </w:rPr>
              <w:t xml:space="preserve">sur la mise en </w:t>
            </w:r>
            <w:r w:rsidR="00C24EE7" w:rsidRPr="003607BA">
              <w:rPr>
                <w:lang w:val="fr-CH"/>
              </w:rPr>
              <w:t>œuvre</w:t>
            </w:r>
            <w:r w:rsidR="00C24EE7">
              <w:rPr>
                <w:lang w:val="fr-CH"/>
              </w:rPr>
              <w:t xml:space="preserve"> </w:t>
            </w:r>
            <w:r w:rsidRPr="00C854AD">
              <w:rPr>
                <w:lang w:val="fr-CH"/>
              </w:rPr>
              <w:t>des décisions 600 et 601</w:t>
            </w:r>
            <w:r w:rsidRPr="00C854AD">
              <w:rPr>
                <w:lang w:val="fr-CH"/>
              </w:rPr>
              <w:br/>
              <w:t>du conseil (numéros UIFN et IIN)</w:t>
            </w:r>
          </w:p>
        </w:tc>
      </w:tr>
      <w:bookmarkEnd w:id="7"/>
    </w:tbl>
    <w:p w14:paraId="076D4DBE" w14:textId="77777777" w:rsidR="00520F36" w:rsidRPr="003607BA" w:rsidRDefault="00520F36" w:rsidP="00B72E22">
      <w:pPr>
        <w:rPr>
          <w:lang w:val="fr-CH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520F36" w:rsidRPr="003607BA" w14:paraId="543D4FA4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4C2667" w14:textId="77777777" w:rsidR="00520F36" w:rsidRPr="00C854AD" w:rsidRDefault="00520F36" w:rsidP="00B72E22">
            <w:pPr>
              <w:pStyle w:val="Headingb"/>
              <w:rPr>
                <w:lang w:val="fr-CH"/>
              </w:rPr>
            </w:pPr>
            <w:r w:rsidRPr="00C854AD">
              <w:rPr>
                <w:lang w:val="fr-CH"/>
              </w:rPr>
              <w:t>Résumé</w:t>
            </w:r>
          </w:p>
          <w:p w14:paraId="6E1A750F" w14:textId="04C916BD" w:rsidR="004C68A4" w:rsidRPr="00C854AD" w:rsidRDefault="004C68A4" w:rsidP="00B72E22">
            <w:pPr>
              <w:rPr>
                <w:lang w:val="fr-CH"/>
              </w:rPr>
            </w:pPr>
            <w:r w:rsidRPr="00C854AD">
              <w:rPr>
                <w:lang w:val="fr-CH"/>
              </w:rPr>
              <w:t>Suite à l'approbation des Décisions 600 et 601</w:t>
            </w:r>
            <w:r w:rsidR="00B72E22">
              <w:rPr>
                <w:lang w:val="fr-CH"/>
              </w:rPr>
              <w:t xml:space="preserve"> par le Conseil à sa session de </w:t>
            </w:r>
            <w:r w:rsidRPr="00C854AD">
              <w:rPr>
                <w:lang w:val="fr-CH"/>
              </w:rPr>
              <w:t xml:space="preserve">2017, l'UIT </w:t>
            </w:r>
            <w:r w:rsidR="00252625" w:rsidRPr="003607BA">
              <w:rPr>
                <w:lang w:val="fr-CH"/>
              </w:rPr>
              <w:t xml:space="preserve">a procédé à la mise en œuvre de ces Décisions. Le présent rapport rend compte de l'état d'avancement </w:t>
            </w:r>
            <w:r w:rsidR="00B469F0" w:rsidRPr="003607BA">
              <w:rPr>
                <w:lang w:val="fr-CH"/>
              </w:rPr>
              <w:t xml:space="preserve">de la mise en œuvre et des consultations avec les États Membres. </w:t>
            </w:r>
          </w:p>
          <w:p w14:paraId="0809B989" w14:textId="77777777" w:rsidR="00520F36" w:rsidRPr="00C854AD" w:rsidRDefault="00520F36" w:rsidP="00B72E22">
            <w:pPr>
              <w:pStyle w:val="Headingb"/>
              <w:rPr>
                <w:lang w:val="fr-CH"/>
              </w:rPr>
            </w:pPr>
            <w:r w:rsidRPr="00C854AD">
              <w:rPr>
                <w:lang w:val="fr-CH"/>
              </w:rPr>
              <w:t>Suite à donner</w:t>
            </w:r>
          </w:p>
          <w:p w14:paraId="6C2FCF61" w14:textId="772A0B7E" w:rsidR="00FD54F3" w:rsidRPr="00C854AD" w:rsidRDefault="00FD54F3" w:rsidP="00B72E22">
            <w:pPr>
              <w:rPr>
                <w:lang w:val="fr-CH"/>
              </w:rPr>
            </w:pPr>
            <w:r w:rsidRPr="00C854AD">
              <w:rPr>
                <w:rFonts w:asciiTheme="minorHAnsi" w:hAnsiTheme="minorHAnsi" w:cstheme="minorHAnsi"/>
                <w:szCs w:val="24"/>
                <w:lang w:val="fr-CH"/>
              </w:rPr>
              <w:t xml:space="preserve">Le Conseil est invité à </w:t>
            </w:r>
            <w:r w:rsidR="00D61496" w:rsidRPr="003607BA">
              <w:rPr>
                <w:rFonts w:asciiTheme="minorHAnsi" w:hAnsiTheme="minorHAnsi" w:cstheme="minorHAnsi"/>
                <w:b/>
                <w:bCs/>
                <w:szCs w:val="24"/>
                <w:lang w:val="fr-CH"/>
              </w:rPr>
              <w:t>approuver</w:t>
            </w:r>
            <w:r w:rsidR="0074675F" w:rsidRPr="00C854AD">
              <w:rPr>
                <w:rFonts w:asciiTheme="minorHAnsi" w:hAnsiTheme="minorHAnsi" w:cstheme="minorHAnsi"/>
                <w:szCs w:val="24"/>
                <w:lang w:val="fr-CH"/>
              </w:rPr>
              <w:t xml:space="preserve"> la proposition </w:t>
            </w:r>
            <w:r w:rsidR="00843801" w:rsidRPr="003607BA">
              <w:rPr>
                <w:rFonts w:asciiTheme="minorHAnsi" w:hAnsiTheme="minorHAnsi" w:cstheme="minorHAnsi"/>
                <w:szCs w:val="24"/>
                <w:lang w:val="fr-CH"/>
              </w:rPr>
              <w:t>relative aux numéros universels de libre appel international (UIFN) et aux numéros identificateurs d'entité émettrice (IIN)</w:t>
            </w:r>
            <w:r w:rsidR="00966A06" w:rsidRPr="003607BA">
              <w:rPr>
                <w:rFonts w:asciiTheme="minorHAnsi" w:hAnsiTheme="minorHAnsi" w:cstheme="minorHAnsi"/>
                <w:szCs w:val="24"/>
                <w:lang w:val="fr-CH"/>
              </w:rPr>
              <w:t xml:space="preserve"> qui figure </w:t>
            </w:r>
            <w:r w:rsidR="00C854AD">
              <w:rPr>
                <w:rFonts w:asciiTheme="minorHAnsi" w:hAnsiTheme="minorHAnsi" w:cstheme="minorHAnsi"/>
                <w:szCs w:val="24"/>
                <w:lang w:val="fr-CH"/>
              </w:rPr>
              <w:t>au §</w:t>
            </w:r>
            <w:r w:rsidR="00966A06" w:rsidRPr="003607BA">
              <w:rPr>
                <w:rFonts w:asciiTheme="minorHAnsi" w:hAnsiTheme="minorHAnsi" w:cstheme="minorHAnsi"/>
                <w:szCs w:val="24"/>
                <w:lang w:val="fr-CH"/>
              </w:rPr>
              <w:t xml:space="preserve"> 5.</w:t>
            </w:r>
          </w:p>
          <w:p w14:paraId="0133B3C1" w14:textId="77777777" w:rsidR="00520F36" w:rsidRPr="003607BA" w:rsidRDefault="00520F36" w:rsidP="00B72E22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  <w:lang w:val="fr-CH"/>
              </w:rPr>
            </w:pPr>
            <w:r w:rsidRPr="003607BA">
              <w:rPr>
                <w:rFonts w:ascii="Calibri" w:hAnsi="Calibri"/>
                <w:caps w:val="0"/>
                <w:sz w:val="22"/>
                <w:lang w:val="fr-CH"/>
              </w:rPr>
              <w:t>____________</w:t>
            </w:r>
          </w:p>
          <w:p w14:paraId="37839BCD" w14:textId="77777777" w:rsidR="00520F36" w:rsidRPr="003607BA" w:rsidRDefault="00520F36" w:rsidP="00B72E22">
            <w:pPr>
              <w:pStyle w:val="Headingb"/>
              <w:rPr>
                <w:lang w:val="fr-CH"/>
              </w:rPr>
            </w:pPr>
            <w:r w:rsidRPr="003607BA">
              <w:rPr>
                <w:lang w:val="fr-CH"/>
              </w:rPr>
              <w:t>Références</w:t>
            </w:r>
          </w:p>
          <w:p w14:paraId="4EFCD327" w14:textId="37E961A8" w:rsidR="00520F36" w:rsidRPr="00C854AD" w:rsidRDefault="00C321AB" w:rsidP="00B72E22">
            <w:pPr>
              <w:spacing w:after="120"/>
              <w:rPr>
                <w:i/>
                <w:iCs/>
                <w:lang w:val="fr-CH"/>
              </w:rPr>
            </w:pPr>
            <w:r w:rsidRPr="003607BA">
              <w:rPr>
                <w:i/>
                <w:iCs/>
                <w:lang w:val="fr-CH"/>
              </w:rPr>
              <w:t xml:space="preserve">Documents </w:t>
            </w:r>
            <w:hyperlink r:id="rId7" w:history="1">
              <w:r w:rsidRPr="003607BA">
                <w:rPr>
                  <w:rStyle w:val="Hyperlink"/>
                  <w:rFonts w:asciiTheme="minorHAnsi" w:hAnsiTheme="minorHAnsi" w:cstheme="majorBidi"/>
                  <w:i/>
                  <w:iCs/>
                  <w:lang w:val="fr-CH"/>
                </w:rPr>
                <w:t>C17/133</w:t>
              </w:r>
            </w:hyperlink>
            <w:r w:rsidRPr="003607BA">
              <w:rPr>
                <w:rFonts w:asciiTheme="minorHAnsi" w:hAnsiTheme="minorHAnsi" w:cstheme="majorBidi"/>
                <w:i/>
                <w:iCs/>
                <w:color w:val="000000"/>
                <w:lang w:val="fr-CH"/>
              </w:rPr>
              <w:t xml:space="preserve">, </w:t>
            </w:r>
            <w:hyperlink r:id="rId8" w:history="1">
              <w:r w:rsidRPr="003607BA">
                <w:rPr>
                  <w:rStyle w:val="Hyperlink"/>
                  <w:rFonts w:asciiTheme="minorHAnsi" w:hAnsiTheme="minorHAnsi" w:cstheme="majorBidi"/>
                  <w:i/>
                  <w:iCs/>
                  <w:lang w:val="fr-CH"/>
                </w:rPr>
                <w:t>C17/134</w:t>
              </w:r>
            </w:hyperlink>
            <w:r w:rsidRPr="003607BA">
              <w:rPr>
                <w:rFonts w:asciiTheme="minorHAnsi" w:hAnsiTheme="minorHAnsi"/>
                <w:i/>
                <w:iCs/>
                <w:szCs w:val="24"/>
                <w:lang w:val="fr-CH"/>
              </w:rPr>
              <w:t>,</w:t>
            </w:r>
            <w:r w:rsidRPr="003607BA">
              <w:rPr>
                <w:rFonts w:cstheme="majorBidi"/>
                <w:lang w:val="fr-CH"/>
              </w:rPr>
              <w:t xml:space="preserve"> </w:t>
            </w:r>
            <w:hyperlink r:id="rId9" w:history="1">
              <w:r w:rsidRPr="003607BA">
                <w:rPr>
                  <w:rStyle w:val="Hyperlink"/>
                  <w:rFonts w:cstheme="majorBidi"/>
                  <w:i/>
                  <w:iCs/>
                  <w:lang w:val="fr-CH"/>
                </w:rPr>
                <w:t>C18/100</w:t>
              </w:r>
            </w:hyperlink>
            <w:r w:rsidRPr="003607BA">
              <w:rPr>
                <w:i/>
                <w:iCs/>
                <w:lang w:val="fr-CH"/>
              </w:rPr>
              <w:t xml:space="preserve">; </w:t>
            </w:r>
            <w:hyperlink r:id="rId10" w:history="1">
              <w:r w:rsidRPr="003607BA">
                <w:rPr>
                  <w:rStyle w:val="Hyperlink"/>
                  <w:rFonts w:asciiTheme="minorHAnsi" w:hAnsiTheme="minorHAnsi"/>
                  <w:i/>
                  <w:iCs/>
                  <w:spacing w:val="4"/>
                  <w:szCs w:val="24"/>
                  <w:lang w:val="fr-CH"/>
                </w:rPr>
                <w:t>CWG-FHR 9/1</w:t>
              </w:r>
            </w:hyperlink>
            <w:r w:rsidRPr="003607BA">
              <w:rPr>
                <w:rStyle w:val="Hyperlink"/>
                <w:rFonts w:asciiTheme="minorHAnsi" w:hAnsiTheme="minorHAnsi"/>
                <w:i/>
                <w:iCs/>
                <w:spacing w:val="4"/>
                <w:szCs w:val="24"/>
                <w:lang w:val="fr-CH"/>
              </w:rPr>
              <w:t>4</w:t>
            </w:r>
            <w:r w:rsidRPr="003607BA">
              <w:rPr>
                <w:i/>
                <w:iCs/>
                <w:lang w:val="fr-CH"/>
              </w:rPr>
              <w:t xml:space="preserve">; </w:t>
            </w:r>
            <w:hyperlink r:id="rId11" w:history="1">
              <w:r w:rsidRPr="003607BA">
                <w:rPr>
                  <w:rStyle w:val="Hyperlink"/>
                  <w:rFonts w:cstheme="majorBidi"/>
                  <w:i/>
                  <w:iCs/>
                  <w:spacing w:val="4"/>
                  <w:lang w:val="fr-CH"/>
                </w:rPr>
                <w:t>CWG-FHR 9/15</w:t>
              </w:r>
            </w:hyperlink>
          </w:p>
        </w:tc>
        <w:bookmarkStart w:id="8" w:name="_GoBack"/>
        <w:bookmarkEnd w:id="8"/>
      </w:tr>
    </w:tbl>
    <w:p w14:paraId="4F252390" w14:textId="77777777" w:rsidR="00E64E17" w:rsidRPr="00C854AD" w:rsidRDefault="00E64E17" w:rsidP="00B72E22">
      <w:pPr>
        <w:pStyle w:val="Heading1"/>
        <w:rPr>
          <w:lang w:val="fr-CH"/>
        </w:rPr>
      </w:pPr>
      <w:r w:rsidRPr="00C854AD">
        <w:rPr>
          <w:lang w:val="fr-CH"/>
        </w:rPr>
        <w:t>1</w:t>
      </w:r>
      <w:r w:rsidRPr="00C854AD">
        <w:rPr>
          <w:lang w:val="fr-CH"/>
        </w:rPr>
        <w:tab/>
        <w:t>Rappel</w:t>
      </w:r>
    </w:p>
    <w:p w14:paraId="45789490" w14:textId="622E6C14" w:rsidR="0013790C" w:rsidRDefault="00E64E17" w:rsidP="00B72E22">
      <w:pPr>
        <w:rPr>
          <w:rFonts w:cstheme="majorBidi"/>
          <w:color w:val="000000"/>
          <w:lang w:val="fr-CH"/>
        </w:rPr>
      </w:pPr>
      <w:r w:rsidRPr="00C854AD">
        <w:rPr>
          <w:lang w:val="fr-CH"/>
        </w:rPr>
        <w:t>1.1</w:t>
      </w:r>
      <w:r w:rsidRPr="00C854AD">
        <w:rPr>
          <w:lang w:val="fr-CH"/>
        </w:rPr>
        <w:tab/>
      </w:r>
      <w:r w:rsidRPr="003607BA">
        <w:rPr>
          <w:szCs w:val="24"/>
          <w:lang w:val="fr-CH"/>
        </w:rPr>
        <w:t xml:space="preserve">Suite à l'approbation des Décisions 600 </w:t>
      </w:r>
      <w:r w:rsidRPr="003607BA">
        <w:rPr>
          <w:rFonts w:cstheme="majorBidi"/>
          <w:color w:val="000000"/>
          <w:lang w:val="fr-CH"/>
        </w:rPr>
        <w:t>(</w:t>
      </w:r>
      <w:hyperlink r:id="rId12" w:history="1">
        <w:r w:rsidRPr="003607BA">
          <w:rPr>
            <w:rStyle w:val="Hyperlink"/>
            <w:rFonts w:asciiTheme="minorHAnsi" w:hAnsiTheme="minorHAnsi" w:cstheme="majorBidi"/>
            <w:lang w:val="fr-CH"/>
          </w:rPr>
          <w:t>C17/133</w:t>
        </w:r>
      </w:hyperlink>
      <w:r w:rsidRPr="003607BA">
        <w:rPr>
          <w:rFonts w:cstheme="majorBidi"/>
          <w:color w:val="000000"/>
          <w:lang w:val="fr-CH"/>
        </w:rPr>
        <w:t xml:space="preserve">) </w:t>
      </w:r>
      <w:r w:rsidRPr="003607BA">
        <w:rPr>
          <w:szCs w:val="24"/>
          <w:lang w:val="fr-CH"/>
        </w:rPr>
        <w:t xml:space="preserve">et 601 </w:t>
      </w:r>
      <w:r w:rsidRPr="003607BA">
        <w:rPr>
          <w:rFonts w:cstheme="majorBidi"/>
          <w:color w:val="000000"/>
          <w:lang w:val="fr-CH"/>
        </w:rPr>
        <w:t>(</w:t>
      </w:r>
      <w:hyperlink r:id="rId13" w:history="1">
        <w:r w:rsidRPr="003607BA">
          <w:rPr>
            <w:rStyle w:val="Hyperlink"/>
            <w:rFonts w:asciiTheme="minorHAnsi" w:hAnsiTheme="minorHAnsi" w:cstheme="majorBidi"/>
            <w:lang w:val="fr-CH"/>
          </w:rPr>
          <w:t>C17/134</w:t>
        </w:r>
      </w:hyperlink>
      <w:r w:rsidRPr="003607BA">
        <w:rPr>
          <w:rFonts w:cstheme="majorBidi"/>
          <w:color w:val="000000"/>
          <w:lang w:val="fr-CH"/>
        </w:rPr>
        <w:t xml:space="preserve">) par le Conseil à sa session de 2017, le </w:t>
      </w:r>
      <w:r w:rsidR="009B0B1F">
        <w:rPr>
          <w:rFonts w:cstheme="majorBidi"/>
          <w:color w:val="000000"/>
          <w:lang w:val="fr-CH"/>
        </w:rPr>
        <w:t>Secrétariat</w:t>
      </w:r>
      <w:r w:rsidRPr="003607BA">
        <w:rPr>
          <w:rFonts w:cstheme="majorBidi"/>
          <w:color w:val="000000"/>
          <w:lang w:val="fr-CH"/>
        </w:rPr>
        <w:t xml:space="preserve"> de l'UIT a procédé à la mise en </w:t>
      </w:r>
      <w:r w:rsidR="001D7CC0" w:rsidRPr="003607BA">
        <w:rPr>
          <w:rFonts w:cstheme="majorBidi"/>
          <w:color w:val="000000"/>
          <w:lang w:val="fr-CH"/>
        </w:rPr>
        <w:t>œuvre</w:t>
      </w:r>
      <w:r w:rsidRPr="003607BA">
        <w:rPr>
          <w:rFonts w:cstheme="majorBidi"/>
          <w:color w:val="000000"/>
          <w:lang w:val="fr-CH"/>
        </w:rPr>
        <w:t xml:space="preserve"> de ces Décisions.</w:t>
      </w:r>
    </w:p>
    <w:p w14:paraId="414C5F4B" w14:textId="688C87CE" w:rsidR="00E64E17" w:rsidRPr="003607BA" w:rsidRDefault="00E64E17" w:rsidP="00B72E22">
      <w:pPr>
        <w:rPr>
          <w:lang w:val="fr-CH"/>
        </w:rPr>
      </w:pPr>
      <w:r w:rsidRPr="00C854AD">
        <w:rPr>
          <w:lang w:val="fr-CH"/>
        </w:rPr>
        <w:t>1.2</w:t>
      </w:r>
      <w:r w:rsidRPr="00C854AD">
        <w:rPr>
          <w:lang w:val="fr-CH"/>
        </w:rPr>
        <w:tab/>
      </w:r>
      <w:r w:rsidR="00851B72" w:rsidRPr="00C854AD">
        <w:rPr>
          <w:lang w:val="fr-CH"/>
        </w:rPr>
        <w:t>Le TSB a présenté au Conseil à sa session de 2018</w:t>
      </w:r>
      <w:r w:rsidR="00543A84" w:rsidRPr="00C854AD">
        <w:rPr>
          <w:lang w:val="fr-CH"/>
        </w:rPr>
        <w:t xml:space="preserve"> le Document </w:t>
      </w:r>
      <w:hyperlink r:id="rId14" w:history="1">
        <w:r w:rsidR="00543A84" w:rsidRPr="00B72E22">
          <w:rPr>
            <w:rStyle w:val="Hyperlink"/>
            <w:lang w:val="fr-CH"/>
          </w:rPr>
          <w:t>C18/100</w:t>
        </w:r>
      </w:hyperlink>
      <w:r w:rsidR="00543A84" w:rsidRPr="00C854AD">
        <w:rPr>
          <w:lang w:val="fr-CH"/>
        </w:rPr>
        <w:t xml:space="preserve">, qui </w:t>
      </w:r>
      <w:r w:rsidR="002A6518" w:rsidRPr="00C854AD">
        <w:rPr>
          <w:lang w:val="fr-CH"/>
        </w:rPr>
        <w:t>fait le point</w:t>
      </w:r>
      <w:r w:rsidR="00EA32DC" w:rsidRPr="00C854AD">
        <w:rPr>
          <w:lang w:val="fr-CH"/>
        </w:rPr>
        <w:t xml:space="preserve"> de la mise e</w:t>
      </w:r>
      <w:r w:rsidR="0013790C">
        <w:rPr>
          <w:lang w:val="fr-CH"/>
        </w:rPr>
        <w:t xml:space="preserve">n </w:t>
      </w:r>
      <w:r w:rsidR="001D7CC0">
        <w:rPr>
          <w:lang w:val="fr-CH"/>
        </w:rPr>
        <w:t>œuvre</w:t>
      </w:r>
      <w:r w:rsidR="0013790C">
        <w:rPr>
          <w:lang w:val="fr-CH"/>
        </w:rPr>
        <w:t xml:space="preserve"> </w:t>
      </w:r>
      <w:r w:rsidR="00E43AB8" w:rsidRPr="00C854AD">
        <w:rPr>
          <w:lang w:val="fr-CH"/>
        </w:rPr>
        <w:t>des Décisions 600 et 6</w:t>
      </w:r>
      <w:r w:rsidR="00EA32DC" w:rsidRPr="00C854AD">
        <w:rPr>
          <w:lang w:val="fr-CH"/>
        </w:rPr>
        <w:t>01 du Conseil</w:t>
      </w:r>
      <w:r w:rsidR="002A6518" w:rsidRPr="00C854AD">
        <w:rPr>
          <w:lang w:val="fr-CH"/>
        </w:rPr>
        <w:t xml:space="preserve">, </w:t>
      </w:r>
      <w:r w:rsidR="0013790C">
        <w:rPr>
          <w:lang w:val="fr-CH"/>
        </w:rPr>
        <w:t>et notamment</w:t>
      </w:r>
      <w:r w:rsidRPr="003607BA">
        <w:rPr>
          <w:lang w:val="fr-CH"/>
        </w:rPr>
        <w:t xml:space="preserve"> de la situation des points de contact pour les fournisseurs de services UIFN et les bénéficiaires de numéros IIN. On y trouve la première proposition présentée au GTC-FHR en janvier 2018 ainsi que la seconde proposition modifiée conformément à la recommandation formulée par le GTC</w:t>
      </w:r>
      <w:r w:rsidRPr="003607BA">
        <w:rPr>
          <w:lang w:val="fr-CH"/>
        </w:rPr>
        <w:noBreakHyphen/>
        <w:t xml:space="preserve">FHR. Le Conseil </w:t>
      </w:r>
      <w:r w:rsidR="000E327D" w:rsidRPr="003607BA">
        <w:rPr>
          <w:lang w:val="fr-CH"/>
        </w:rPr>
        <w:t xml:space="preserve">a été </w:t>
      </w:r>
      <w:r w:rsidRPr="003607BA">
        <w:rPr>
          <w:lang w:val="fr-CH"/>
        </w:rPr>
        <w:t xml:space="preserve">invité à prendre note de la première proposition et à </w:t>
      </w:r>
      <w:r w:rsidR="0013790C">
        <w:rPr>
          <w:lang w:val="fr-CH"/>
        </w:rPr>
        <w:t>entériner</w:t>
      </w:r>
      <w:r w:rsidR="00D61496" w:rsidRPr="003607BA">
        <w:rPr>
          <w:lang w:val="fr-CH"/>
        </w:rPr>
        <w:t xml:space="preserve"> </w:t>
      </w:r>
      <w:r w:rsidRPr="003607BA">
        <w:rPr>
          <w:lang w:val="fr-CH"/>
        </w:rPr>
        <w:t>la seconde proposition modifiée.</w:t>
      </w:r>
    </w:p>
    <w:p w14:paraId="29F09E35" w14:textId="55E7E082" w:rsidR="00E64E17" w:rsidRPr="003607BA" w:rsidRDefault="00E64E17" w:rsidP="00B72E22">
      <w:pPr>
        <w:rPr>
          <w:lang w:val="fr-CH"/>
        </w:rPr>
      </w:pPr>
      <w:r w:rsidRPr="003607BA">
        <w:rPr>
          <w:lang w:val="fr-CH"/>
        </w:rPr>
        <w:t>1.3</w:t>
      </w:r>
      <w:r w:rsidRPr="003607BA">
        <w:rPr>
          <w:lang w:val="fr-CH"/>
        </w:rPr>
        <w:tab/>
      </w:r>
      <w:r w:rsidR="0013790C">
        <w:rPr>
          <w:lang w:val="fr-CH"/>
        </w:rPr>
        <w:t xml:space="preserve">Le Conseil à sa session de 2018 </w:t>
      </w:r>
      <w:r w:rsidR="00D61496" w:rsidRPr="003607BA">
        <w:rPr>
          <w:lang w:val="fr-CH"/>
        </w:rPr>
        <w:t>a pris note de la</w:t>
      </w:r>
      <w:r w:rsidRPr="003607BA">
        <w:rPr>
          <w:lang w:val="fr-CH"/>
        </w:rPr>
        <w:t xml:space="preserve"> proposition figurant dans le Document</w:t>
      </w:r>
      <w:r w:rsidR="00B72E22">
        <w:rPr>
          <w:lang w:val="fr-CH"/>
        </w:rPr>
        <w:t> </w:t>
      </w:r>
      <w:hyperlink r:id="rId15" w:history="1">
        <w:r w:rsidRPr="003607BA">
          <w:rPr>
            <w:rStyle w:val="Hyperlink"/>
            <w:lang w:val="fr-CH"/>
          </w:rPr>
          <w:t>C18/100</w:t>
        </w:r>
      </w:hyperlink>
      <w:r w:rsidRPr="003607BA">
        <w:rPr>
          <w:lang w:val="fr-CH"/>
        </w:rPr>
        <w:t>:</w:t>
      </w:r>
    </w:p>
    <w:p w14:paraId="0EF2288E" w14:textId="678E4570" w:rsidR="00E64E17" w:rsidRPr="0013790C" w:rsidRDefault="00E64E17" w:rsidP="00B72E22">
      <w:pPr>
        <w:pStyle w:val="NormalIndent"/>
        <w:rPr>
          <w:i/>
          <w:iCs/>
          <w:lang w:val="fr-CH"/>
        </w:rPr>
      </w:pPr>
      <w:r w:rsidRPr="0013790C">
        <w:rPr>
          <w:i/>
          <w:iCs/>
          <w:lang w:val="fr-CH"/>
        </w:rPr>
        <w:t>Les administrations/autorités de régulation nationales sont invitées à servir de point de contact pour communiquer ou rechercher les coordonnées actualisées des fournisseurs de services UIFN (exploitations reconnues-ER) et des bénéficiaires de numéros IIN.</w:t>
      </w:r>
    </w:p>
    <w:p w14:paraId="7B0A8621" w14:textId="170797F9" w:rsidR="00E64E17" w:rsidRPr="003607BA" w:rsidRDefault="00E64E17" w:rsidP="00B72E22">
      <w:pPr>
        <w:rPr>
          <w:lang w:val="fr-CH"/>
        </w:rPr>
      </w:pPr>
      <w:r w:rsidRPr="003607BA">
        <w:rPr>
          <w:lang w:val="fr-CH"/>
        </w:rPr>
        <w:t>1.4</w:t>
      </w:r>
      <w:r w:rsidRPr="003607BA">
        <w:rPr>
          <w:lang w:val="fr-CH"/>
        </w:rPr>
        <w:tab/>
      </w:r>
      <w:r w:rsidR="004904A9">
        <w:rPr>
          <w:lang w:val="fr-CH"/>
        </w:rPr>
        <w:t>L</w:t>
      </w:r>
      <w:r w:rsidR="00D61496" w:rsidRPr="003607BA">
        <w:rPr>
          <w:lang w:val="fr-CH"/>
        </w:rPr>
        <w:t xml:space="preserve">e Conseil </w:t>
      </w:r>
      <w:r w:rsidR="004904A9">
        <w:rPr>
          <w:lang w:val="fr-CH"/>
        </w:rPr>
        <w:t xml:space="preserve">à </w:t>
      </w:r>
      <w:r w:rsidR="004904A9" w:rsidRPr="003607BA">
        <w:rPr>
          <w:lang w:val="fr-CH"/>
        </w:rPr>
        <w:t>sa session de 2018</w:t>
      </w:r>
      <w:r w:rsidR="004904A9">
        <w:rPr>
          <w:lang w:val="fr-CH"/>
        </w:rPr>
        <w:t xml:space="preserve"> </w:t>
      </w:r>
      <w:r w:rsidR="00D61496" w:rsidRPr="003607BA">
        <w:rPr>
          <w:lang w:val="fr-CH"/>
        </w:rPr>
        <w:t>a approuvé</w:t>
      </w:r>
      <w:r w:rsidRPr="003607BA">
        <w:rPr>
          <w:lang w:val="fr-CH"/>
        </w:rPr>
        <w:t xml:space="preserve"> la seconde proposition révisée figurant dans le Document C18/100:</w:t>
      </w:r>
    </w:p>
    <w:p w14:paraId="5DC8A92E" w14:textId="292E8273" w:rsidR="00E64E17" w:rsidRPr="003607BA" w:rsidRDefault="00E64E17" w:rsidP="00B72E22">
      <w:pPr>
        <w:pStyle w:val="NormalIndent"/>
        <w:rPr>
          <w:i/>
          <w:iCs/>
          <w:lang w:val="fr-CH"/>
        </w:rPr>
      </w:pPr>
      <w:r w:rsidRPr="003607BA">
        <w:rPr>
          <w:i/>
          <w:iCs/>
          <w:lang w:val="fr-CH"/>
        </w:rPr>
        <w:t>En ce qui concerne les entités avec lesquelles les administrations/autorités de régulation nationales ont perdu tout contact ou ne pourront trouver de nouveaux points de contact d'ici à la fin de la session de 2019 du Conseil, tous les enregistrements se rapportant à ces entités seront supprimés de la base de données de l'UIT sur la base des confirmations/notifications fournies par les administrations/autorités de régulation nationales.</w:t>
      </w:r>
    </w:p>
    <w:p w14:paraId="760F3A07" w14:textId="3A99458C" w:rsidR="00E64E17" w:rsidRPr="003607BA" w:rsidRDefault="00E64E17" w:rsidP="009B0B1F">
      <w:pPr>
        <w:rPr>
          <w:lang w:val="fr-CH"/>
        </w:rPr>
      </w:pPr>
      <w:r w:rsidRPr="003607BA">
        <w:rPr>
          <w:lang w:val="fr-CH"/>
        </w:rPr>
        <w:t>1.5</w:t>
      </w:r>
      <w:r w:rsidRPr="003607BA">
        <w:rPr>
          <w:lang w:val="fr-CH"/>
        </w:rPr>
        <w:tab/>
      </w:r>
      <w:r w:rsidR="004904A9">
        <w:rPr>
          <w:lang w:val="fr-CH"/>
        </w:rPr>
        <w:t xml:space="preserve">Le Conseil à </w:t>
      </w:r>
      <w:r w:rsidR="00436409" w:rsidRPr="003607BA">
        <w:rPr>
          <w:lang w:val="fr-CH"/>
        </w:rPr>
        <w:t>sa session de 2018 a en outre chargé</w:t>
      </w:r>
      <w:r w:rsidRPr="003607BA">
        <w:rPr>
          <w:lang w:val="fr-CH"/>
        </w:rPr>
        <w:t xml:space="preserve"> le </w:t>
      </w:r>
      <w:r w:rsidR="009B0B1F">
        <w:rPr>
          <w:lang w:val="fr-CH"/>
        </w:rPr>
        <w:t>Secrétariat</w:t>
      </w:r>
      <w:r w:rsidRPr="003607BA">
        <w:rPr>
          <w:lang w:val="fr-CH"/>
        </w:rPr>
        <w:t xml:space="preserve">, </w:t>
      </w:r>
      <w:r w:rsidR="00AD051E" w:rsidRPr="003607BA">
        <w:rPr>
          <w:lang w:val="fr-CH"/>
        </w:rPr>
        <w:t>"</w:t>
      </w:r>
      <w:r w:rsidRPr="003607BA">
        <w:rPr>
          <w:lang w:val="fr-CH"/>
        </w:rPr>
        <w:t>à titre provisoire, de mener des consultations avec les administrations nationales</w:t>
      </w:r>
      <w:r w:rsidR="004904A9">
        <w:rPr>
          <w:lang w:val="fr-CH"/>
        </w:rPr>
        <w:t>,</w:t>
      </w:r>
      <w:r w:rsidRPr="003607BA">
        <w:rPr>
          <w:lang w:val="fr-CH"/>
        </w:rPr>
        <w:t xml:space="preserve"> afin de soumettre au GTC-FHR un rapport sur l'état d'avancement de ces consultations</w:t>
      </w:r>
      <w:r w:rsidR="00AD051E" w:rsidRPr="003607BA">
        <w:rPr>
          <w:lang w:val="fr-CH"/>
        </w:rPr>
        <w:t>"</w:t>
      </w:r>
      <w:r w:rsidR="009B0B1F">
        <w:rPr>
          <w:lang w:val="fr-CH"/>
        </w:rPr>
        <w:t>.</w:t>
      </w:r>
    </w:p>
    <w:p w14:paraId="70AA8D32" w14:textId="548A0CA3" w:rsidR="003607BA" w:rsidRPr="00C854AD" w:rsidRDefault="008269EE" w:rsidP="00B72E22">
      <w:pPr>
        <w:rPr>
          <w:rFonts w:asciiTheme="minorHAnsi" w:hAnsiTheme="minorHAnsi" w:cstheme="majorBidi"/>
          <w:lang w:val="fr-CH"/>
        </w:rPr>
      </w:pPr>
      <w:r w:rsidRPr="00C854AD">
        <w:rPr>
          <w:rFonts w:asciiTheme="minorHAnsi" w:hAnsiTheme="minorHAnsi"/>
          <w:szCs w:val="24"/>
          <w:lang w:val="fr-CH"/>
        </w:rPr>
        <w:t>1.6</w:t>
      </w:r>
      <w:r w:rsidRPr="00C854AD">
        <w:rPr>
          <w:rFonts w:asciiTheme="minorHAnsi" w:hAnsiTheme="minorHAnsi"/>
          <w:szCs w:val="24"/>
          <w:lang w:val="fr-CH"/>
        </w:rPr>
        <w:tab/>
      </w:r>
      <w:r w:rsidR="00665BBD">
        <w:rPr>
          <w:rFonts w:asciiTheme="minorHAnsi" w:hAnsiTheme="minorHAnsi" w:cstheme="majorBidi"/>
          <w:lang w:val="fr-CH"/>
        </w:rPr>
        <w:t>L</w:t>
      </w:r>
      <w:r w:rsidR="003607BA">
        <w:rPr>
          <w:rFonts w:asciiTheme="minorHAnsi" w:hAnsiTheme="minorHAnsi" w:cstheme="majorBidi"/>
          <w:lang w:val="fr-CH"/>
        </w:rPr>
        <w:t xml:space="preserve">e </w:t>
      </w:r>
      <w:r w:rsidR="009B0B1F">
        <w:rPr>
          <w:rFonts w:asciiTheme="minorHAnsi" w:hAnsiTheme="minorHAnsi" w:cstheme="majorBidi"/>
          <w:lang w:val="fr-CH"/>
        </w:rPr>
        <w:t>Secrétariat</w:t>
      </w:r>
      <w:r w:rsidR="003607BA">
        <w:rPr>
          <w:rFonts w:asciiTheme="minorHAnsi" w:hAnsiTheme="minorHAnsi" w:cstheme="majorBidi"/>
          <w:lang w:val="fr-CH"/>
        </w:rPr>
        <w:t xml:space="preserve"> de l'UIT a présenté </w:t>
      </w:r>
      <w:r w:rsidR="00665BBD">
        <w:rPr>
          <w:rFonts w:asciiTheme="minorHAnsi" w:hAnsiTheme="minorHAnsi" w:cstheme="majorBidi"/>
          <w:lang w:val="fr-CH"/>
        </w:rPr>
        <w:t xml:space="preserve">au GTC-FHR à sa neuvième réunion (29 et 30 janvier 2019) </w:t>
      </w:r>
      <w:r w:rsidR="003607BA">
        <w:rPr>
          <w:rFonts w:asciiTheme="minorHAnsi" w:hAnsiTheme="minorHAnsi" w:cstheme="majorBidi"/>
          <w:lang w:val="fr-CH"/>
        </w:rPr>
        <w:t xml:space="preserve">un rapport </w:t>
      </w:r>
      <w:r w:rsidR="00665BBD">
        <w:rPr>
          <w:rFonts w:asciiTheme="minorHAnsi" w:hAnsiTheme="minorHAnsi" w:cstheme="majorBidi"/>
          <w:lang w:val="fr-CH"/>
        </w:rPr>
        <w:t xml:space="preserve">sur l'état d'avancement de </w:t>
      </w:r>
      <w:r w:rsidR="003607BA">
        <w:rPr>
          <w:rFonts w:asciiTheme="minorHAnsi" w:hAnsiTheme="minorHAnsi" w:cstheme="majorBidi"/>
          <w:lang w:val="fr-CH"/>
        </w:rPr>
        <w:t xml:space="preserve">la mise en </w:t>
      </w:r>
      <w:r w:rsidR="00955185">
        <w:rPr>
          <w:rFonts w:asciiTheme="minorHAnsi" w:hAnsiTheme="minorHAnsi" w:cstheme="majorBidi"/>
          <w:lang w:val="fr-CH"/>
        </w:rPr>
        <w:t>œuvre</w:t>
      </w:r>
      <w:r w:rsidR="003607BA">
        <w:rPr>
          <w:rFonts w:asciiTheme="minorHAnsi" w:hAnsiTheme="minorHAnsi" w:cstheme="majorBidi"/>
          <w:lang w:val="fr-CH"/>
        </w:rPr>
        <w:t xml:space="preserve"> (Document </w:t>
      </w:r>
      <w:hyperlink r:id="rId16" w:history="1">
        <w:r w:rsidR="003607BA" w:rsidRPr="007A046F">
          <w:rPr>
            <w:rStyle w:val="Hyperlink"/>
            <w:rFonts w:asciiTheme="minorHAnsi" w:hAnsiTheme="minorHAnsi"/>
            <w:spacing w:val="4"/>
            <w:szCs w:val="24"/>
            <w:lang w:val="fr-CH"/>
          </w:rPr>
          <w:t>CWG-FHR 9/1</w:t>
        </w:r>
      </w:hyperlink>
      <w:r w:rsidR="003607BA" w:rsidRPr="007A046F">
        <w:rPr>
          <w:rStyle w:val="Hyperlink"/>
          <w:rFonts w:asciiTheme="minorHAnsi" w:hAnsiTheme="minorHAnsi"/>
          <w:spacing w:val="4"/>
          <w:szCs w:val="24"/>
          <w:lang w:val="fr-CH"/>
        </w:rPr>
        <w:t>4</w:t>
      </w:r>
      <w:r w:rsidR="003607BA" w:rsidRPr="007A046F">
        <w:rPr>
          <w:rFonts w:asciiTheme="minorHAnsi" w:hAnsiTheme="minorHAnsi" w:cstheme="minorHAnsi"/>
          <w:spacing w:val="4"/>
          <w:szCs w:val="24"/>
          <w:lang w:val="fr-CH"/>
        </w:rPr>
        <w:t>)</w:t>
      </w:r>
      <w:r w:rsidR="00665BBD">
        <w:rPr>
          <w:rFonts w:asciiTheme="minorHAnsi" w:hAnsiTheme="minorHAnsi" w:cstheme="minorHAnsi"/>
          <w:spacing w:val="4"/>
          <w:szCs w:val="24"/>
          <w:lang w:val="fr-CH"/>
        </w:rPr>
        <w:t>,</w:t>
      </w:r>
      <w:r w:rsidR="003607BA">
        <w:rPr>
          <w:rFonts w:asciiTheme="minorHAnsi" w:hAnsiTheme="minorHAnsi" w:cstheme="minorHAnsi"/>
          <w:spacing w:val="4"/>
          <w:szCs w:val="24"/>
          <w:lang w:val="fr-CH"/>
        </w:rPr>
        <w:t xml:space="preserve"> </w:t>
      </w:r>
      <w:r w:rsidR="00665BBD">
        <w:rPr>
          <w:rFonts w:asciiTheme="minorHAnsi" w:hAnsiTheme="minorHAnsi" w:cstheme="minorHAnsi"/>
          <w:spacing w:val="4"/>
          <w:szCs w:val="24"/>
          <w:lang w:val="fr-CH"/>
        </w:rPr>
        <w:t>notamment</w:t>
      </w:r>
      <w:r w:rsidR="003607BA">
        <w:rPr>
          <w:rFonts w:asciiTheme="minorHAnsi" w:hAnsiTheme="minorHAnsi" w:cstheme="minorHAnsi"/>
          <w:spacing w:val="4"/>
          <w:szCs w:val="24"/>
          <w:lang w:val="fr-CH"/>
        </w:rPr>
        <w:t xml:space="preserve"> sur l'état d'avancement des consultations avec les administrations/autorités de régulation nationales ou exploitations autorisées, ainsi qu'il en avait été chargé par le Conseil à sa session de 2018. </w:t>
      </w:r>
      <w:r w:rsidR="003F6D75">
        <w:rPr>
          <w:rFonts w:asciiTheme="minorHAnsi" w:hAnsiTheme="minorHAnsi" w:cstheme="minorHAnsi"/>
          <w:spacing w:val="4"/>
          <w:szCs w:val="24"/>
          <w:lang w:val="fr-CH"/>
        </w:rPr>
        <w:t>Le</w:t>
      </w:r>
      <w:r w:rsidR="00665BBD">
        <w:rPr>
          <w:rFonts w:asciiTheme="minorHAnsi" w:hAnsiTheme="minorHAnsi" w:cstheme="minorHAnsi"/>
          <w:spacing w:val="4"/>
          <w:szCs w:val="24"/>
          <w:lang w:val="fr-CH"/>
        </w:rPr>
        <w:t>s débats sont résumés dans le</w:t>
      </w:r>
      <w:r w:rsidR="003F6D75">
        <w:rPr>
          <w:rFonts w:asciiTheme="minorHAnsi" w:hAnsiTheme="minorHAnsi" w:cstheme="minorHAnsi"/>
          <w:spacing w:val="4"/>
          <w:szCs w:val="24"/>
          <w:lang w:val="fr-CH"/>
        </w:rPr>
        <w:t xml:space="preserve"> </w:t>
      </w:r>
      <w:r w:rsidR="00C077CE">
        <w:rPr>
          <w:rFonts w:asciiTheme="minorHAnsi" w:hAnsiTheme="minorHAnsi" w:cstheme="minorHAnsi"/>
          <w:spacing w:val="4"/>
          <w:szCs w:val="24"/>
          <w:lang w:val="fr-CH"/>
        </w:rPr>
        <w:t>R</w:t>
      </w:r>
      <w:r w:rsidR="003F6D75">
        <w:rPr>
          <w:rFonts w:asciiTheme="minorHAnsi" w:hAnsiTheme="minorHAnsi" w:cstheme="minorHAnsi"/>
          <w:spacing w:val="4"/>
          <w:szCs w:val="24"/>
          <w:lang w:val="fr-CH"/>
        </w:rPr>
        <w:t xml:space="preserve">apport (Document </w:t>
      </w:r>
      <w:hyperlink r:id="rId17" w:history="1">
        <w:r w:rsidR="003F6D75" w:rsidRPr="007A046F">
          <w:rPr>
            <w:rStyle w:val="Hyperlink"/>
            <w:rFonts w:asciiTheme="minorHAnsi" w:hAnsiTheme="minorHAnsi" w:cstheme="majorBidi"/>
            <w:spacing w:val="4"/>
            <w:lang w:val="fr-CH"/>
          </w:rPr>
          <w:t>CWG-FHR 9/15</w:t>
        </w:r>
      </w:hyperlink>
      <w:r w:rsidR="003F6D75" w:rsidRPr="007A046F">
        <w:rPr>
          <w:rFonts w:asciiTheme="minorHAnsi" w:hAnsiTheme="minorHAnsi" w:cstheme="majorBidi"/>
          <w:lang w:val="fr-CH"/>
        </w:rPr>
        <w:t>)</w:t>
      </w:r>
      <w:r w:rsidR="00955185">
        <w:rPr>
          <w:rFonts w:asciiTheme="minorHAnsi" w:hAnsiTheme="minorHAnsi" w:cstheme="majorBidi"/>
          <w:lang w:val="fr-CH"/>
        </w:rPr>
        <w:t xml:space="preserve"> du Président.</w:t>
      </w:r>
    </w:p>
    <w:p w14:paraId="36ADA6EE" w14:textId="1CE7572A" w:rsidR="00304969" w:rsidRPr="00C854AD" w:rsidRDefault="00304969" w:rsidP="00B72E22">
      <w:pPr>
        <w:rPr>
          <w:rFonts w:asciiTheme="minorHAnsi" w:hAnsiTheme="minorHAnsi" w:cstheme="majorBidi"/>
          <w:lang w:val="fr-CH"/>
        </w:rPr>
      </w:pPr>
      <w:r w:rsidRPr="00C854AD">
        <w:rPr>
          <w:rFonts w:asciiTheme="minorHAnsi" w:hAnsiTheme="minorHAnsi" w:cstheme="majorBidi"/>
          <w:lang w:val="fr-CH"/>
        </w:rPr>
        <w:t>1.7</w:t>
      </w:r>
      <w:r w:rsidRPr="00C854AD">
        <w:rPr>
          <w:rFonts w:asciiTheme="minorHAnsi" w:hAnsiTheme="minorHAnsi" w:cstheme="majorBidi"/>
          <w:lang w:val="fr-CH"/>
        </w:rPr>
        <w:tab/>
      </w:r>
      <w:r w:rsidR="00516AB6" w:rsidRPr="003607BA">
        <w:rPr>
          <w:lang w:val="fr-CH"/>
        </w:rPr>
        <w:t xml:space="preserve">Le </w:t>
      </w:r>
      <w:r w:rsidR="00955185">
        <w:rPr>
          <w:lang w:val="fr-CH"/>
        </w:rPr>
        <w:t>S</w:t>
      </w:r>
      <w:r w:rsidR="00516AB6" w:rsidRPr="003607BA">
        <w:rPr>
          <w:lang w:val="fr-CH"/>
        </w:rPr>
        <w:t xml:space="preserve">ecrétariat a </w:t>
      </w:r>
      <w:r w:rsidR="009418B2" w:rsidRPr="003607BA">
        <w:rPr>
          <w:lang w:val="fr-CH"/>
        </w:rPr>
        <w:t xml:space="preserve">également </w:t>
      </w:r>
      <w:r w:rsidR="00F7382C">
        <w:rPr>
          <w:lang w:val="fr-CH"/>
        </w:rPr>
        <w:t xml:space="preserve">rappelé qu'en </w:t>
      </w:r>
      <w:r w:rsidR="00516AB6" w:rsidRPr="003607BA">
        <w:rPr>
          <w:lang w:val="fr-CH"/>
        </w:rPr>
        <w:t>fin d</w:t>
      </w:r>
      <w:r w:rsidR="00F7382C">
        <w:rPr>
          <w:lang w:val="fr-CH"/>
        </w:rPr>
        <w:t>'exercice</w:t>
      </w:r>
      <w:r w:rsidR="00516AB6" w:rsidRPr="003607BA">
        <w:rPr>
          <w:lang w:val="fr-CH"/>
        </w:rPr>
        <w:t xml:space="preserve">, selon les règles IPSAS, il </w:t>
      </w:r>
      <w:r w:rsidR="00F7382C">
        <w:rPr>
          <w:lang w:val="fr-CH"/>
        </w:rPr>
        <w:t xml:space="preserve">sera </w:t>
      </w:r>
      <w:r w:rsidR="00516AB6" w:rsidRPr="003607BA">
        <w:rPr>
          <w:lang w:val="fr-CH"/>
        </w:rPr>
        <w:t xml:space="preserve">constitué une provision pour les </w:t>
      </w:r>
      <w:r w:rsidR="00F7382C">
        <w:rPr>
          <w:lang w:val="fr-CH"/>
        </w:rPr>
        <w:t xml:space="preserve">éventuelles </w:t>
      </w:r>
      <w:r w:rsidR="00516AB6" w:rsidRPr="003607BA">
        <w:rPr>
          <w:lang w:val="fr-CH"/>
        </w:rPr>
        <w:t>factures impayées. Si les factures restent impayées pendant une période</w:t>
      </w:r>
      <w:r w:rsidR="00F7382C">
        <w:rPr>
          <w:lang w:val="fr-CH"/>
        </w:rPr>
        <w:t xml:space="preserve"> prolongée</w:t>
      </w:r>
      <w:r w:rsidR="00516AB6" w:rsidRPr="003607BA">
        <w:rPr>
          <w:lang w:val="fr-CH"/>
        </w:rPr>
        <w:t xml:space="preserve">, le </w:t>
      </w:r>
      <w:r w:rsidR="009B0B1F">
        <w:rPr>
          <w:lang w:val="fr-CH"/>
        </w:rPr>
        <w:t>Secrétariat</w:t>
      </w:r>
      <w:r w:rsidR="00516AB6" w:rsidRPr="003607BA">
        <w:rPr>
          <w:lang w:val="fr-CH"/>
        </w:rPr>
        <w:t xml:space="preserve"> demande</w:t>
      </w:r>
      <w:r w:rsidR="00F7382C">
        <w:rPr>
          <w:lang w:val="fr-CH"/>
        </w:rPr>
        <w:t>ra</w:t>
      </w:r>
      <w:r w:rsidR="00516AB6" w:rsidRPr="003607BA">
        <w:rPr>
          <w:lang w:val="fr-CH"/>
        </w:rPr>
        <w:t xml:space="preserve"> aux États Membres </w:t>
      </w:r>
      <w:r w:rsidR="00F7382C">
        <w:rPr>
          <w:lang w:val="fr-CH"/>
        </w:rPr>
        <w:t xml:space="preserve">de lui prêter assistance </w:t>
      </w:r>
      <w:r w:rsidR="00516AB6" w:rsidRPr="003607BA">
        <w:rPr>
          <w:lang w:val="fr-CH"/>
        </w:rPr>
        <w:t xml:space="preserve">pour </w:t>
      </w:r>
      <w:r w:rsidR="00F7382C">
        <w:rPr>
          <w:lang w:val="fr-CH"/>
        </w:rPr>
        <w:t>le recouvrement de</w:t>
      </w:r>
      <w:r w:rsidR="00516AB6" w:rsidRPr="003607BA">
        <w:rPr>
          <w:lang w:val="fr-CH"/>
        </w:rPr>
        <w:t xml:space="preserve"> la dette. Enfin, si </w:t>
      </w:r>
      <w:r w:rsidR="00F7382C">
        <w:rPr>
          <w:lang w:val="fr-CH"/>
        </w:rPr>
        <w:t>cette démarche n'aboutit pas, il appartiendra</w:t>
      </w:r>
      <w:r w:rsidR="00516AB6" w:rsidRPr="003607BA">
        <w:rPr>
          <w:lang w:val="fr-CH"/>
        </w:rPr>
        <w:t xml:space="preserve"> au Conseil de décider s'il convient </w:t>
      </w:r>
      <w:r w:rsidR="00F7382C">
        <w:rPr>
          <w:lang w:val="fr-CH"/>
        </w:rPr>
        <w:t xml:space="preserve">ou non </w:t>
      </w:r>
      <w:r w:rsidR="00516AB6" w:rsidRPr="003607BA">
        <w:rPr>
          <w:lang w:val="fr-CH"/>
        </w:rPr>
        <w:t>d'annuler la dette.</w:t>
      </w:r>
    </w:p>
    <w:p w14:paraId="3EE9D1ED" w14:textId="56EE379A" w:rsidR="00304969" w:rsidRPr="00C854AD" w:rsidRDefault="00304969" w:rsidP="00B72E22">
      <w:pPr>
        <w:pStyle w:val="Heading1"/>
        <w:rPr>
          <w:lang w:val="fr-CH"/>
        </w:rPr>
      </w:pPr>
      <w:r w:rsidRPr="00C854AD">
        <w:rPr>
          <w:lang w:val="fr-CH"/>
        </w:rPr>
        <w:t>2</w:t>
      </w:r>
      <w:r w:rsidRPr="00C854AD">
        <w:rPr>
          <w:lang w:val="fr-CH"/>
        </w:rPr>
        <w:tab/>
      </w:r>
      <w:bookmarkStart w:id="9" w:name="lt_pId045"/>
      <w:r w:rsidR="00152D0A" w:rsidRPr="00C854AD">
        <w:rPr>
          <w:lang w:val="fr-CH"/>
        </w:rPr>
        <w:t xml:space="preserve">État d'avancement de la mise en </w:t>
      </w:r>
      <w:r w:rsidR="001D7CC0" w:rsidRPr="00C854AD">
        <w:rPr>
          <w:lang w:val="fr-CH"/>
        </w:rPr>
        <w:t>œuvre</w:t>
      </w:r>
      <w:r w:rsidR="00152D0A" w:rsidRPr="00C854AD">
        <w:rPr>
          <w:lang w:val="fr-CH"/>
        </w:rPr>
        <w:t xml:space="preserve"> des</w:t>
      </w:r>
      <w:r w:rsidRPr="00C854AD">
        <w:rPr>
          <w:lang w:val="fr-CH"/>
        </w:rPr>
        <w:t xml:space="preserve"> D</w:t>
      </w:r>
      <w:r w:rsidR="00152D0A" w:rsidRPr="003607BA">
        <w:rPr>
          <w:lang w:val="fr-CH"/>
        </w:rPr>
        <w:t>é</w:t>
      </w:r>
      <w:r w:rsidRPr="00C854AD">
        <w:rPr>
          <w:lang w:val="fr-CH"/>
        </w:rPr>
        <w:t xml:space="preserve">cisions 600 </w:t>
      </w:r>
      <w:r w:rsidR="00152D0A" w:rsidRPr="003607BA">
        <w:rPr>
          <w:lang w:val="fr-CH"/>
        </w:rPr>
        <w:t xml:space="preserve">et </w:t>
      </w:r>
      <w:r w:rsidRPr="00C854AD">
        <w:rPr>
          <w:lang w:val="fr-CH"/>
        </w:rPr>
        <w:t>601</w:t>
      </w:r>
      <w:bookmarkEnd w:id="9"/>
    </w:p>
    <w:p w14:paraId="2B27464B" w14:textId="77777777" w:rsidR="00304969" w:rsidRPr="003607BA" w:rsidRDefault="00304969" w:rsidP="00B72E22">
      <w:pPr>
        <w:rPr>
          <w:color w:val="000000"/>
          <w:lang w:val="fr-CH"/>
        </w:rPr>
      </w:pPr>
      <w:r w:rsidRPr="00C854AD">
        <w:rPr>
          <w:rFonts w:asciiTheme="minorHAnsi" w:hAnsiTheme="minorHAnsi" w:cstheme="majorBidi"/>
          <w:lang w:val="fr-CH"/>
        </w:rPr>
        <w:t>2.1</w:t>
      </w:r>
      <w:r w:rsidRPr="00C854AD">
        <w:rPr>
          <w:rFonts w:asciiTheme="minorHAnsi" w:hAnsiTheme="minorHAnsi" w:cstheme="majorBidi"/>
          <w:lang w:val="fr-CH"/>
        </w:rPr>
        <w:tab/>
      </w:r>
      <w:r w:rsidRPr="003607BA">
        <w:rPr>
          <w:color w:val="000000"/>
          <w:lang w:val="fr-CH"/>
        </w:rPr>
        <w:t xml:space="preserve">Les </w:t>
      </w:r>
      <w:r w:rsidRPr="0013790C">
        <w:rPr>
          <w:lang w:val="fr-CH"/>
        </w:rPr>
        <w:t>systèmes</w:t>
      </w:r>
      <w:r w:rsidRPr="003607BA">
        <w:rPr>
          <w:color w:val="000000"/>
          <w:lang w:val="fr-CH"/>
        </w:rPr>
        <w:t xml:space="preserve"> mis à jour d'attribution et d'enregistrement des numéros UIFN et IIN sont opérationnels depuis le 16 janvier 2018.</w:t>
      </w:r>
    </w:p>
    <w:p w14:paraId="1CC072E1" w14:textId="1BAF04C0" w:rsidR="00304969" w:rsidRPr="00C854AD" w:rsidRDefault="00C17166" w:rsidP="00B72E22">
      <w:pPr>
        <w:rPr>
          <w:rFonts w:asciiTheme="minorHAnsi" w:hAnsiTheme="minorHAnsi" w:cstheme="majorBidi"/>
          <w:lang w:val="fr-CH"/>
        </w:rPr>
      </w:pPr>
      <w:r w:rsidRPr="00C854AD">
        <w:rPr>
          <w:rFonts w:asciiTheme="minorHAnsi" w:hAnsiTheme="minorHAnsi" w:cstheme="majorBidi"/>
          <w:lang w:val="fr-CH"/>
        </w:rPr>
        <w:t>2.2</w:t>
      </w:r>
      <w:r w:rsidRPr="00C854AD">
        <w:rPr>
          <w:rFonts w:asciiTheme="minorHAnsi" w:hAnsiTheme="minorHAnsi" w:cstheme="majorBidi"/>
          <w:lang w:val="fr-CH"/>
        </w:rPr>
        <w:tab/>
      </w:r>
      <w:r w:rsidR="00152D0A" w:rsidRPr="003607BA">
        <w:rPr>
          <w:color w:val="000000"/>
          <w:lang w:val="fr-CH"/>
        </w:rPr>
        <w:t>En 2018, 505</w:t>
      </w:r>
      <w:r w:rsidRPr="003607BA">
        <w:rPr>
          <w:lang w:val="fr-CH" w:eastAsia="zh-CN"/>
        </w:rPr>
        <w:t xml:space="preserve"> nouveaux numéros UIFN </w:t>
      </w:r>
      <w:r w:rsidR="00152D0A" w:rsidRPr="003607BA">
        <w:rPr>
          <w:lang w:val="fr-CH" w:eastAsia="zh-CN"/>
        </w:rPr>
        <w:t>ont</w:t>
      </w:r>
      <w:r w:rsidRPr="003607BA">
        <w:rPr>
          <w:lang w:val="fr-CH" w:eastAsia="zh-CN"/>
        </w:rPr>
        <w:t xml:space="preserve"> été réservés ou attribués conformément à la nouvelle structure </w:t>
      </w:r>
      <w:r w:rsidRPr="003607BA">
        <w:rPr>
          <w:color w:val="000000"/>
          <w:lang w:val="fr-CH"/>
        </w:rPr>
        <w:t xml:space="preserve">des droits approuvée dans la Décision 600 du Conseil </w:t>
      </w:r>
      <w:r w:rsidRPr="003607BA">
        <w:rPr>
          <w:lang w:val="fr-CH" w:eastAsia="zh-CN"/>
        </w:rPr>
        <w:t xml:space="preserve">et </w:t>
      </w:r>
      <w:r w:rsidR="00233639">
        <w:rPr>
          <w:lang w:val="fr-CH" w:eastAsia="zh-CN"/>
        </w:rPr>
        <w:t>35</w:t>
      </w:r>
      <w:r w:rsidR="00233639" w:rsidRPr="003607BA">
        <w:rPr>
          <w:lang w:val="fr-CH" w:eastAsia="zh-CN"/>
        </w:rPr>
        <w:t xml:space="preserve"> </w:t>
      </w:r>
      <w:r w:rsidR="00C077CE">
        <w:rPr>
          <w:lang w:val="fr-CH" w:eastAsia="zh-CN"/>
        </w:rPr>
        <w:t>nouveaux numéros </w:t>
      </w:r>
      <w:r w:rsidRPr="003607BA">
        <w:rPr>
          <w:lang w:val="fr-CH" w:eastAsia="zh-CN"/>
        </w:rPr>
        <w:t xml:space="preserve">IIN </w:t>
      </w:r>
      <w:r w:rsidR="00152D0A" w:rsidRPr="003607BA">
        <w:rPr>
          <w:lang w:val="fr-CH" w:eastAsia="zh-CN"/>
        </w:rPr>
        <w:t xml:space="preserve">ont </w:t>
      </w:r>
      <w:r w:rsidRPr="003607BA">
        <w:rPr>
          <w:lang w:val="fr-CH" w:eastAsia="zh-CN"/>
        </w:rPr>
        <w:t xml:space="preserve">été enregistrés suivant la nouvelle </w:t>
      </w:r>
      <w:r w:rsidRPr="003607BA">
        <w:rPr>
          <w:lang w:val="fr-CH" w:eastAsia="zh-CN"/>
        </w:rPr>
        <w:lastRenderedPageBreak/>
        <w:t xml:space="preserve">structure des droits </w:t>
      </w:r>
      <w:r w:rsidRPr="003607BA">
        <w:rPr>
          <w:color w:val="000000"/>
          <w:lang w:val="fr-CH"/>
        </w:rPr>
        <w:t>approuvée dans la Décision 601 du Conseil</w:t>
      </w:r>
      <w:r w:rsidRPr="003607BA">
        <w:rPr>
          <w:lang w:val="fr-CH" w:eastAsia="zh-CN"/>
        </w:rPr>
        <w:t xml:space="preserve">. </w:t>
      </w:r>
      <w:r w:rsidR="00152D0A" w:rsidRPr="00C854AD">
        <w:rPr>
          <w:rFonts w:eastAsia="SimSun" w:cs="Arial"/>
          <w:color w:val="000000" w:themeColor="text1"/>
          <w:szCs w:val="24"/>
          <w:lang w:val="fr-CH" w:eastAsia="zh-CN"/>
        </w:rPr>
        <w:t xml:space="preserve">Les entités qui ne sont pas Membres du Secteur de l'UIT-T ou de l'UIT-R ont acquitté à la fois un droit unique et un droit de gestion annuel. </w:t>
      </w:r>
      <w:r w:rsidR="003863F5" w:rsidRPr="003607BA">
        <w:rPr>
          <w:rFonts w:eastAsia="SimSun" w:cs="Arial"/>
          <w:color w:val="000000" w:themeColor="text1"/>
          <w:szCs w:val="24"/>
          <w:lang w:val="fr-CH" w:eastAsia="zh-CN"/>
        </w:rPr>
        <w:t xml:space="preserve">Parmi les 505 nouveaux numéros UIFN, 95 (18%) ont été attribués à </w:t>
      </w:r>
      <w:r w:rsidR="00E617E7" w:rsidRPr="003607BA">
        <w:rPr>
          <w:rFonts w:eastAsia="SimSun" w:cs="Arial"/>
          <w:color w:val="000000" w:themeColor="text1"/>
          <w:szCs w:val="24"/>
          <w:lang w:val="fr-CH" w:eastAsia="zh-CN"/>
        </w:rPr>
        <w:t xml:space="preserve">des entités </w:t>
      </w:r>
      <w:r w:rsidR="00DE4F46">
        <w:rPr>
          <w:rFonts w:eastAsia="SimSun" w:cs="Arial"/>
          <w:color w:val="000000" w:themeColor="text1"/>
          <w:szCs w:val="24"/>
          <w:lang w:val="fr-CH" w:eastAsia="zh-CN"/>
        </w:rPr>
        <w:t>qui ne sont pas Membres du Secteur de l'UIT-T ou de l'UIT-R et, p</w:t>
      </w:r>
      <w:r w:rsidR="00E617E7" w:rsidRPr="003607BA">
        <w:rPr>
          <w:rFonts w:eastAsia="SimSun" w:cs="Arial"/>
          <w:color w:val="000000" w:themeColor="text1"/>
          <w:szCs w:val="24"/>
          <w:lang w:val="fr-CH" w:eastAsia="zh-CN"/>
        </w:rPr>
        <w:t xml:space="preserve">armi les 35 nouveaux numéros IIN, 25 (70%) ont été enregistrés pour des entités de ce type. </w:t>
      </w:r>
    </w:p>
    <w:p w14:paraId="1E03EE18" w14:textId="5BF53E4C" w:rsidR="009F5537" w:rsidRPr="00C854AD" w:rsidRDefault="00C17166" w:rsidP="004B2E69">
      <w:pPr>
        <w:rPr>
          <w:rFonts w:eastAsia="Calibri" w:cs="Calibri"/>
          <w:lang w:val="fr-CH"/>
        </w:rPr>
      </w:pPr>
      <w:r w:rsidRPr="00C854AD">
        <w:rPr>
          <w:rFonts w:eastAsia="Calibri" w:cs="Calibri"/>
          <w:lang w:val="fr-CH"/>
        </w:rPr>
        <w:t>2.3</w:t>
      </w:r>
      <w:r w:rsidRPr="00C854AD">
        <w:rPr>
          <w:rFonts w:eastAsia="Calibri" w:cs="Calibri"/>
          <w:lang w:val="fr-CH"/>
        </w:rPr>
        <w:tab/>
      </w:r>
      <w:r w:rsidR="007F1D0E">
        <w:rPr>
          <w:rFonts w:eastAsia="Calibri" w:cs="Calibri"/>
          <w:lang w:val="fr-CH"/>
        </w:rPr>
        <w:t xml:space="preserve">S'agissant des </w:t>
      </w:r>
      <w:r w:rsidR="00D705F7" w:rsidRPr="00C854AD">
        <w:rPr>
          <w:rFonts w:eastAsia="Calibri" w:cs="Calibri"/>
          <w:lang w:val="fr-CH"/>
        </w:rPr>
        <w:t xml:space="preserve">droits </w:t>
      </w:r>
      <w:r w:rsidR="008270D3" w:rsidRPr="003607BA">
        <w:rPr>
          <w:rFonts w:eastAsia="Calibri" w:cs="Calibri"/>
          <w:lang w:val="fr-CH"/>
        </w:rPr>
        <w:t>de gestion annuels</w:t>
      </w:r>
      <w:r w:rsidR="00D705F7" w:rsidRPr="00C854AD">
        <w:rPr>
          <w:rFonts w:eastAsia="Calibri" w:cs="Calibri"/>
          <w:lang w:val="fr-CH"/>
        </w:rPr>
        <w:t xml:space="preserve"> pour les numéros UIFN</w:t>
      </w:r>
      <w:r w:rsidR="00D705F7" w:rsidRPr="003607BA">
        <w:rPr>
          <w:rFonts w:eastAsia="Calibri" w:cs="Calibri"/>
          <w:lang w:val="fr-CH"/>
        </w:rPr>
        <w:t xml:space="preserve"> pour 2018, des factures </w:t>
      </w:r>
      <w:r w:rsidR="007F1D0E">
        <w:rPr>
          <w:rFonts w:eastAsia="Calibri" w:cs="Calibri"/>
          <w:lang w:val="fr-CH"/>
        </w:rPr>
        <w:t>d'</w:t>
      </w:r>
      <w:r w:rsidR="00576AE5" w:rsidRPr="0013790C">
        <w:rPr>
          <w:lang w:val="fr-CH"/>
        </w:rPr>
        <w:t>un</w:t>
      </w:r>
      <w:r w:rsidR="00576AE5" w:rsidRPr="00C854AD">
        <w:rPr>
          <w:rFonts w:eastAsia="Calibri" w:cs="Calibri"/>
          <w:lang w:val="fr-CH"/>
        </w:rPr>
        <w:t xml:space="preserve"> montant de</w:t>
      </w:r>
      <w:r w:rsidR="00D705F7" w:rsidRPr="003607BA">
        <w:rPr>
          <w:rFonts w:eastAsia="Calibri" w:cs="Calibri"/>
          <w:lang w:val="fr-CH"/>
        </w:rPr>
        <w:t xml:space="preserve"> 752 700 CHF ont été envoyées en janvier 2018. </w:t>
      </w:r>
      <w:r w:rsidR="007F1D0E">
        <w:rPr>
          <w:rFonts w:eastAsia="Calibri" w:cs="Calibri"/>
          <w:lang w:val="fr-CH"/>
        </w:rPr>
        <w:t xml:space="preserve">Sur la base du </w:t>
      </w:r>
      <w:r w:rsidR="00137E28" w:rsidRPr="003607BA">
        <w:rPr>
          <w:rFonts w:eastAsia="Calibri" w:cs="Calibri"/>
          <w:lang w:val="fr-CH"/>
        </w:rPr>
        <w:t xml:space="preserve">principe </w:t>
      </w:r>
      <w:r w:rsidR="00911DEA" w:rsidRPr="003607BA">
        <w:rPr>
          <w:rFonts w:eastAsia="Calibri" w:cs="Calibri"/>
          <w:lang w:val="fr-CH"/>
        </w:rPr>
        <w:t>du calcul</w:t>
      </w:r>
      <w:r w:rsidR="00AF67C4" w:rsidRPr="003607BA">
        <w:rPr>
          <w:rFonts w:eastAsia="Calibri" w:cs="Calibri"/>
          <w:lang w:val="fr-CH"/>
        </w:rPr>
        <w:t xml:space="preserve"> au </w:t>
      </w:r>
      <w:r w:rsidR="001D7CC0" w:rsidRPr="003607BA">
        <w:rPr>
          <w:rFonts w:eastAsia="Calibri" w:cs="Calibri"/>
          <w:lang w:val="fr-CH"/>
        </w:rPr>
        <w:t>prorata</w:t>
      </w:r>
      <w:r w:rsidR="00AF67C4" w:rsidRPr="003607BA">
        <w:rPr>
          <w:rFonts w:eastAsia="Calibri" w:cs="Calibri"/>
          <w:lang w:val="fr-CH"/>
        </w:rPr>
        <w:t xml:space="preserve"> </w:t>
      </w:r>
      <w:r w:rsidR="007F1D0E">
        <w:rPr>
          <w:rFonts w:eastAsia="Calibri" w:cs="Calibri"/>
          <w:lang w:val="fr-CH"/>
        </w:rPr>
        <w:t>d</w:t>
      </w:r>
      <w:r w:rsidR="00911DEA" w:rsidRPr="003607BA">
        <w:rPr>
          <w:rFonts w:eastAsia="Calibri" w:cs="Calibri"/>
          <w:lang w:val="fr-CH"/>
        </w:rPr>
        <w:t xml:space="preserve">es droits </w:t>
      </w:r>
      <w:r w:rsidR="007F1D0E">
        <w:rPr>
          <w:rFonts w:eastAsia="Calibri" w:cs="Calibri"/>
          <w:lang w:val="fr-CH"/>
        </w:rPr>
        <w:t xml:space="preserve">applicables aux </w:t>
      </w:r>
      <w:r w:rsidR="00AF67C4" w:rsidRPr="003607BA">
        <w:rPr>
          <w:rFonts w:eastAsia="Calibri" w:cs="Calibri"/>
          <w:lang w:val="fr-CH"/>
        </w:rPr>
        <w:t>entités qui sont devenues Membres de Secteur en 2018</w:t>
      </w:r>
      <w:r w:rsidR="00137E28" w:rsidRPr="003607BA">
        <w:rPr>
          <w:rFonts w:eastAsia="Calibri" w:cs="Calibri"/>
          <w:lang w:val="fr-CH"/>
        </w:rPr>
        <w:t xml:space="preserve">, le montant total à payer </w:t>
      </w:r>
      <w:r w:rsidR="007F1D0E">
        <w:rPr>
          <w:rFonts w:eastAsia="Calibri" w:cs="Calibri"/>
          <w:lang w:val="fr-CH"/>
        </w:rPr>
        <w:t xml:space="preserve">s'est élevé à </w:t>
      </w:r>
      <w:r w:rsidR="00137E28" w:rsidRPr="003607BA">
        <w:rPr>
          <w:rFonts w:eastAsia="Calibri" w:cs="Calibri"/>
          <w:lang w:val="fr-CH"/>
        </w:rPr>
        <w:t xml:space="preserve">562 067 CHF. </w:t>
      </w:r>
      <w:r w:rsidR="00F75455" w:rsidRPr="003607BA">
        <w:rPr>
          <w:rFonts w:eastAsia="Calibri" w:cs="Calibri"/>
          <w:lang w:val="fr-CH"/>
        </w:rPr>
        <w:t xml:space="preserve">Au 10 avril 2019, </w:t>
      </w:r>
      <w:r w:rsidR="00576AE5" w:rsidRPr="003607BA">
        <w:rPr>
          <w:rFonts w:eastAsia="Calibri" w:cs="Calibri"/>
          <w:lang w:val="fr-CH"/>
        </w:rPr>
        <w:t xml:space="preserve">un montant de </w:t>
      </w:r>
      <w:r w:rsidR="00F75455" w:rsidRPr="003607BA">
        <w:rPr>
          <w:rFonts w:eastAsia="Calibri" w:cs="Calibri"/>
          <w:lang w:val="fr-CH"/>
        </w:rPr>
        <w:t xml:space="preserve">104 900 </w:t>
      </w:r>
      <w:r w:rsidR="00576AE5" w:rsidRPr="003607BA">
        <w:rPr>
          <w:rFonts w:eastAsia="Calibri" w:cs="Calibri"/>
          <w:lang w:val="fr-CH"/>
        </w:rPr>
        <w:t xml:space="preserve">CHF </w:t>
      </w:r>
      <w:r w:rsidR="00F75455" w:rsidRPr="003607BA">
        <w:rPr>
          <w:rFonts w:eastAsia="Calibri" w:cs="Calibri"/>
          <w:lang w:val="fr-CH"/>
        </w:rPr>
        <w:t>(18%) a</w:t>
      </w:r>
      <w:r w:rsidR="007F1D0E">
        <w:rPr>
          <w:rFonts w:eastAsia="Calibri" w:cs="Calibri"/>
          <w:lang w:val="fr-CH"/>
        </w:rPr>
        <w:t>vait</w:t>
      </w:r>
      <w:r w:rsidR="00F75455" w:rsidRPr="003607BA">
        <w:rPr>
          <w:rFonts w:eastAsia="Calibri" w:cs="Calibri"/>
          <w:lang w:val="fr-CH"/>
        </w:rPr>
        <w:t xml:space="preserve"> été </w:t>
      </w:r>
      <w:r w:rsidR="007F1D0E">
        <w:rPr>
          <w:rFonts w:eastAsia="Calibri" w:cs="Calibri"/>
          <w:lang w:val="fr-CH"/>
        </w:rPr>
        <w:t>acquitté</w:t>
      </w:r>
      <w:r w:rsidR="00F75455" w:rsidRPr="003607BA">
        <w:rPr>
          <w:rFonts w:eastAsia="Calibri" w:cs="Calibri"/>
          <w:lang w:val="fr-CH"/>
        </w:rPr>
        <w:t xml:space="preserve">. </w:t>
      </w:r>
      <w:r w:rsidR="00911DEA" w:rsidRPr="003607BA">
        <w:rPr>
          <w:rFonts w:eastAsia="Calibri" w:cs="Calibri"/>
          <w:lang w:val="fr-CH"/>
        </w:rPr>
        <w:t>Toutefois, i</w:t>
      </w:r>
      <w:r w:rsidR="004B2E69">
        <w:rPr>
          <w:rFonts w:eastAsia="Calibri" w:cs="Calibri"/>
          <w:lang w:val="fr-CH"/>
        </w:rPr>
        <w:t>l est important de noter que 60%</w:t>
      </w:r>
      <w:r w:rsidR="00911DEA" w:rsidRPr="003607BA">
        <w:rPr>
          <w:rFonts w:eastAsia="Calibri" w:cs="Calibri"/>
          <w:lang w:val="fr-CH"/>
        </w:rPr>
        <w:t xml:space="preserve"> d</w:t>
      </w:r>
      <w:r w:rsidR="007F1D0E">
        <w:rPr>
          <w:rFonts w:eastAsia="Calibri" w:cs="Calibri"/>
          <w:lang w:val="fr-CH"/>
        </w:rPr>
        <w:t>u montant impayé (</w:t>
      </w:r>
      <w:r w:rsidR="004B2E69">
        <w:rPr>
          <w:rFonts w:eastAsia="Calibri" w:cs="Calibri"/>
          <w:lang w:val="fr-CH"/>
        </w:rPr>
        <w:t>457 167 </w:t>
      </w:r>
      <w:r w:rsidR="00911DEA" w:rsidRPr="003607BA">
        <w:rPr>
          <w:rFonts w:eastAsia="Calibri" w:cs="Calibri"/>
          <w:lang w:val="fr-CH"/>
        </w:rPr>
        <w:t>CHF</w:t>
      </w:r>
      <w:r w:rsidR="007F1D0E">
        <w:rPr>
          <w:rFonts w:eastAsia="Calibri" w:cs="Calibri"/>
          <w:lang w:val="fr-CH"/>
        </w:rPr>
        <w:t>)</w:t>
      </w:r>
      <w:r w:rsidR="00911DEA" w:rsidRPr="003607BA">
        <w:rPr>
          <w:rFonts w:eastAsia="Calibri" w:cs="Calibri"/>
          <w:lang w:val="fr-CH"/>
        </w:rPr>
        <w:t xml:space="preserve"> </w:t>
      </w:r>
      <w:r w:rsidR="007F1D0E">
        <w:rPr>
          <w:rFonts w:eastAsia="Calibri" w:cs="Calibri"/>
          <w:lang w:val="fr-CH"/>
        </w:rPr>
        <w:t xml:space="preserve">concernent </w:t>
      </w:r>
      <w:r w:rsidR="00911DEA" w:rsidRPr="003607BA">
        <w:rPr>
          <w:rFonts w:eastAsia="Calibri" w:cs="Calibri"/>
          <w:lang w:val="fr-CH"/>
        </w:rPr>
        <w:t>seulement cinq fournisseurs de services UIFN.</w:t>
      </w:r>
    </w:p>
    <w:p w14:paraId="2F35D01C" w14:textId="5E4CBF78" w:rsidR="00F162CA" w:rsidRPr="00C854AD" w:rsidRDefault="00C17166" w:rsidP="00B72E22">
      <w:pPr>
        <w:rPr>
          <w:rFonts w:eastAsia="Calibri" w:cs="Calibri"/>
          <w:lang w:val="fr-CH"/>
        </w:rPr>
      </w:pPr>
      <w:r w:rsidRPr="00C854AD">
        <w:rPr>
          <w:rFonts w:eastAsia="Calibri" w:cs="Calibri"/>
          <w:lang w:val="fr-CH"/>
        </w:rPr>
        <w:t>2.4</w:t>
      </w:r>
      <w:r w:rsidRPr="00C854AD">
        <w:rPr>
          <w:rFonts w:eastAsia="Calibri" w:cs="Calibri"/>
          <w:lang w:val="fr-CH"/>
        </w:rPr>
        <w:tab/>
      </w:r>
      <w:r w:rsidR="00513488">
        <w:rPr>
          <w:rFonts w:eastAsia="Calibri" w:cs="Calibri"/>
          <w:lang w:val="fr-CH"/>
        </w:rPr>
        <w:t>L</w:t>
      </w:r>
      <w:r w:rsidR="00513488" w:rsidRPr="003607BA">
        <w:rPr>
          <w:rFonts w:eastAsia="Calibri" w:cs="Calibri"/>
          <w:lang w:val="fr-CH"/>
        </w:rPr>
        <w:t>a CE 2 de l'UIT-T</w:t>
      </w:r>
      <w:r w:rsidR="00513488">
        <w:rPr>
          <w:rFonts w:eastAsia="Calibri" w:cs="Calibri"/>
          <w:lang w:val="fr-CH"/>
        </w:rPr>
        <w:t>, lors de l</w:t>
      </w:r>
      <w:r w:rsidR="008143D7" w:rsidRPr="003607BA">
        <w:rPr>
          <w:rFonts w:eastAsia="Calibri" w:cs="Calibri"/>
          <w:lang w:val="fr-CH"/>
        </w:rPr>
        <w:t xml:space="preserve">a réunion </w:t>
      </w:r>
      <w:r w:rsidR="00513488">
        <w:rPr>
          <w:rFonts w:eastAsia="Calibri" w:cs="Calibri"/>
          <w:lang w:val="fr-CH"/>
        </w:rPr>
        <w:t xml:space="preserve">qu'elle a </w:t>
      </w:r>
      <w:r w:rsidR="008143D7" w:rsidRPr="003607BA">
        <w:rPr>
          <w:rFonts w:eastAsia="Calibri" w:cs="Calibri"/>
          <w:lang w:val="fr-CH"/>
        </w:rPr>
        <w:t>t</w:t>
      </w:r>
      <w:r w:rsidR="00513488">
        <w:rPr>
          <w:rFonts w:eastAsia="Calibri" w:cs="Calibri"/>
          <w:lang w:val="fr-CH"/>
        </w:rPr>
        <w:t xml:space="preserve">enue du 19 au 28 février 2019, </w:t>
      </w:r>
      <w:r w:rsidR="008143D7" w:rsidRPr="003607BA">
        <w:rPr>
          <w:rFonts w:eastAsia="Calibri" w:cs="Calibri"/>
          <w:lang w:val="fr-CH"/>
        </w:rPr>
        <w:t xml:space="preserve">a approuvé </w:t>
      </w:r>
      <w:r w:rsidR="00576AE5" w:rsidRPr="003607BA">
        <w:rPr>
          <w:rFonts w:eastAsia="Calibri" w:cs="Calibri"/>
          <w:lang w:val="fr-CH"/>
        </w:rPr>
        <w:t xml:space="preserve">des </w:t>
      </w:r>
      <w:r w:rsidR="00576AE5" w:rsidRPr="00B03F58">
        <w:rPr>
          <w:rFonts w:eastAsia="Calibri"/>
        </w:rPr>
        <w:t xml:space="preserve">modifications </w:t>
      </w:r>
      <w:r w:rsidR="00513488" w:rsidRPr="00B03F58">
        <w:rPr>
          <w:rFonts w:eastAsia="Calibri"/>
        </w:rPr>
        <w:t xml:space="preserve">apportées aux </w:t>
      </w:r>
      <w:r w:rsidR="008143D7" w:rsidRPr="00B03F58">
        <w:rPr>
          <w:rFonts w:eastAsia="Calibri"/>
        </w:rPr>
        <w:t>Recommandation</w:t>
      </w:r>
      <w:r w:rsidR="00576AE5" w:rsidRPr="00B03F58">
        <w:rPr>
          <w:rFonts w:eastAsia="Calibri"/>
        </w:rPr>
        <w:t>s</w:t>
      </w:r>
      <w:r w:rsidR="0079543C" w:rsidRPr="00B03F58">
        <w:t xml:space="preserve"> </w:t>
      </w:r>
      <w:hyperlink r:id="rId18" w:history="1">
        <w:r w:rsidR="0079543C" w:rsidRPr="00B03F58">
          <w:t>UIT-T E.169.1 "Application du plan de numérotage de la Recommandation E.164 aux numéros universels du service de libre appel international"</w:t>
        </w:r>
      </w:hyperlink>
      <w:r w:rsidR="008143D7" w:rsidRPr="00B03F58">
        <w:t xml:space="preserve"> et </w:t>
      </w:r>
      <w:r w:rsidR="00C73CCA" w:rsidRPr="00B03F58">
        <w:t>UIT-T E.118 "Carte internationale de facturation des télécommunications"</w:t>
      </w:r>
      <w:r w:rsidR="00F162CA" w:rsidRPr="00B03F58">
        <w:rPr>
          <w:rFonts w:eastAsia="Calibri"/>
        </w:rPr>
        <w:t xml:space="preserve"> afin de </w:t>
      </w:r>
      <w:r w:rsidR="00513488" w:rsidRPr="00B03F58">
        <w:rPr>
          <w:rFonts w:eastAsia="Calibri"/>
        </w:rPr>
        <w:t>tenir compte</w:t>
      </w:r>
      <w:r w:rsidR="00513488">
        <w:rPr>
          <w:rFonts w:eastAsia="Calibri" w:cs="Calibri"/>
          <w:lang w:val="fr-CH"/>
        </w:rPr>
        <w:t xml:space="preserve"> d</w:t>
      </w:r>
      <w:r w:rsidR="00F162CA" w:rsidRPr="00C854AD">
        <w:rPr>
          <w:rFonts w:eastAsia="Calibri" w:cs="Calibri"/>
          <w:lang w:val="fr-CH"/>
        </w:rPr>
        <w:t xml:space="preserve">es Décisions 600 et 601 du Conseil. </w:t>
      </w:r>
    </w:p>
    <w:p w14:paraId="45535EAF" w14:textId="15DEA228" w:rsidR="008270D3" w:rsidRPr="00C854AD" w:rsidRDefault="00487C3D" w:rsidP="00B72E22">
      <w:pPr>
        <w:rPr>
          <w:rFonts w:eastAsia="Calibri" w:cs="Calibri"/>
          <w:lang w:val="fr-CH"/>
        </w:rPr>
      </w:pPr>
      <w:r w:rsidRPr="00C854AD">
        <w:rPr>
          <w:rFonts w:eastAsia="Calibri" w:cs="Calibri"/>
          <w:lang w:val="fr-CH"/>
        </w:rPr>
        <w:t>2.5</w:t>
      </w:r>
      <w:r w:rsidRPr="00C854AD">
        <w:rPr>
          <w:rFonts w:eastAsia="Calibri" w:cs="Calibri"/>
          <w:lang w:val="fr-CH"/>
        </w:rPr>
        <w:tab/>
      </w:r>
      <w:r w:rsidR="008270D3" w:rsidRPr="00C854AD">
        <w:rPr>
          <w:rFonts w:eastAsia="Calibri" w:cs="Calibri"/>
          <w:lang w:val="fr-CH"/>
        </w:rPr>
        <w:t xml:space="preserve">La liste des factures </w:t>
      </w:r>
      <w:r w:rsidR="00576AE5" w:rsidRPr="0013790C">
        <w:rPr>
          <w:lang w:val="fr-CH"/>
        </w:rPr>
        <w:t>relatives</w:t>
      </w:r>
      <w:r w:rsidR="00513488">
        <w:rPr>
          <w:rFonts w:eastAsia="Calibri" w:cs="Calibri"/>
          <w:lang w:val="fr-CH"/>
        </w:rPr>
        <w:t xml:space="preserve"> au droit</w:t>
      </w:r>
      <w:r w:rsidR="008270D3" w:rsidRPr="00C854AD">
        <w:rPr>
          <w:rFonts w:eastAsia="Calibri" w:cs="Calibri"/>
          <w:lang w:val="fr-CH"/>
        </w:rPr>
        <w:t xml:space="preserve"> de </w:t>
      </w:r>
      <w:r w:rsidR="00513488">
        <w:rPr>
          <w:rFonts w:eastAsia="Calibri" w:cs="Calibri"/>
          <w:lang w:val="fr-CH"/>
        </w:rPr>
        <w:t xml:space="preserve">gestion annuel applicable aux </w:t>
      </w:r>
      <w:r w:rsidR="008270D3" w:rsidRPr="003607BA">
        <w:rPr>
          <w:rFonts w:eastAsia="Calibri" w:cs="Calibri"/>
          <w:lang w:val="fr-CH"/>
        </w:rPr>
        <w:t xml:space="preserve">numéros IIN </w:t>
      </w:r>
      <w:r w:rsidR="00455662">
        <w:rPr>
          <w:rFonts w:eastAsia="Calibri" w:cs="Calibri"/>
          <w:lang w:val="fr-CH"/>
        </w:rPr>
        <w:t>2018 et </w:t>
      </w:r>
      <w:r w:rsidR="00513488">
        <w:rPr>
          <w:rFonts w:eastAsia="Calibri" w:cs="Calibri"/>
          <w:lang w:val="fr-CH"/>
        </w:rPr>
        <w:t>2019</w:t>
      </w:r>
      <w:r w:rsidR="00513488" w:rsidRPr="003607BA">
        <w:rPr>
          <w:rFonts w:eastAsia="Calibri" w:cs="Calibri"/>
          <w:lang w:val="fr-CH"/>
        </w:rPr>
        <w:t xml:space="preserve"> </w:t>
      </w:r>
      <w:r w:rsidR="007915A5" w:rsidRPr="003607BA">
        <w:rPr>
          <w:rFonts w:eastAsia="Calibri" w:cs="Calibri"/>
          <w:lang w:val="fr-CH"/>
        </w:rPr>
        <w:t xml:space="preserve">n'a </w:t>
      </w:r>
      <w:r w:rsidR="00EF4674" w:rsidRPr="003607BA">
        <w:rPr>
          <w:rFonts w:eastAsia="Calibri" w:cs="Calibri"/>
          <w:lang w:val="fr-CH"/>
        </w:rPr>
        <w:t>pas encore été établie</w:t>
      </w:r>
      <w:r w:rsidR="00955185">
        <w:rPr>
          <w:rFonts w:eastAsia="Calibri" w:cs="Calibri"/>
          <w:lang w:val="fr-CH"/>
        </w:rPr>
        <w:t xml:space="preserve">, car le </w:t>
      </w:r>
      <w:r w:rsidR="009B0B1F">
        <w:rPr>
          <w:rFonts w:eastAsia="Calibri" w:cs="Calibri"/>
          <w:lang w:val="fr-CH"/>
        </w:rPr>
        <w:t>Secrétariat</w:t>
      </w:r>
      <w:r w:rsidR="00EF4674" w:rsidRPr="003607BA">
        <w:rPr>
          <w:rFonts w:eastAsia="Calibri" w:cs="Calibri"/>
          <w:lang w:val="fr-CH"/>
        </w:rPr>
        <w:t xml:space="preserve"> </w:t>
      </w:r>
      <w:r w:rsidR="00513488">
        <w:rPr>
          <w:rFonts w:eastAsia="Calibri" w:cs="Calibri"/>
          <w:lang w:val="fr-CH"/>
        </w:rPr>
        <w:t xml:space="preserve">cherche </w:t>
      </w:r>
      <w:r w:rsidR="001C4DDA">
        <w:rPr>
          <w:rFonts w:eastAsia="Calibri" w:cs="Calibri"/>
          <w:lang w:val="fr-CH"/>
        </w:rPr>
        <w:t>encore</w:t>
      </w:r>
      <w:r w:rsidR="00080036" w:rsidRPr="00C854AD">
        <w:rPr>
          <w:rFonts w:eastAsia="Calibri" w:cs="Calibri"/>
          <w:lang w:val="fr-CH"/>
        </w:rPr>
        <w:t xml:space="preserve"> </w:t>
      </w:r>
      <w:r w:rsidR="00513488">
        <w:rPr>
          <w:rFonts w:eastAsia="Calibri" w:cs="Calibri"/>
          <w:lang w:val="fr-CH"/>
        </w:rPr>
        <w:t xml:space="preserve">à </w:t>
      </w:r>
      <w:r w:rsidR="0059268E" w:rsidRPr="003607BA">
        <w:rPr>
          <w:rFonts w:eastAsia="Calibri" w:cs="Calibri"/>
          <w:lang w:val="fr-CH"/>
        </w:rPr>
        <w:t xml:space="preserve">obtenir confirmation des </w:t>
      </w:r>
      <w:r w:rsidR="00BA46C6" w:rsidRPr="00C854AD">
        <w:rPr>
          <w:rFonts w:eastAsia="Calibri" w:cs="Calibri"/>
          <w:lang w:val="fr-CH"/>
        </w:rPr>
        <w:t>coordonnées des</w:t>
      </w:r>
      <w:r w:rsidR="009C64B5" w:rsidRPr="003607BA">
        <w:rPr>
          <w:rFonts w:eastAsia="Calibri" w:cs="Calibri"/>
          <w:lang w:val="fr-CH"/>
        </w:rPr>
        <w:t xml:space="preserve"> bénéficiaires de numéros IIN auprès des administrations/autorités de régulation nationales ou des exploitations autorisées. </w:t>
      </w:r>
    </w:p>
    <w:p w14:paraId="2A644567" w14:textId="2BF6629B" w:rsidR="00F975BD" w:rsidRPr="003607BA" w:rsidRDefault="00F975BD" w:rsidP="00651840">
      <w:pPr>
        <w:pStyle w:val="Heading1"/>
        <w:rPr>
          <w:lang w:val="fr-CH"/>
        </w:rPr>
      </w:pPr>
      <w:r w:rsidRPr="003607BA">
        <w:rPr>
          <w:lang w:val="fr-CH"/>
        </w:rPr>
        <w:t>3</w:t>
      </w:r>
      <w:r w:rsidRPr="003607BA">
        <w:rPr>
          <w:lang w:val="fr-CH"/>
        </w:rPr>
        <w:tab/>
        <w:t>Situation des points de contact pour le</w:t>
      </w:r>
      <w:r w:rsidR="0018092A">
        <w:rPr>
          <w:lang w:val="fr-CH"/>
        </w:rPr>
        <w:t>s fournisseurs de services UIFN</w:t>
      </w:r>
      <w:r w:rsidR="0018092A">
        <w:rPr>
          <w:lang w:val="fr-CH"/>
        </w:rPr>
        <w:br/>
      </w:r>
      <w:r w:rsidRPr="003607BA">
        <w:rPr>
          <w:lang w:val="fr-CH"/>
        </w:rPr>
        <w:t xml:space="preserve">et les bénéficiaires de numéros IIN </w:t>
      </w:r>
    </w:p>
    <w:p w14:paraId="63C7547C" w14:textId="19ABFF00" w:rsidR="00232B51" w:rsidRPr="00C854AD" w:rsidRDefault="00232B51" w:rsidP="00B72E22">
      <w:pPr>
        <w:rPr>
          <w:rFonts w:asciiTheme="minorHAnsi" w:hAnsiTheme="minorHAnsi"/>
          <w:lang w:val="fr-CH"/>
        </w:rPr>
      </w:pPr>
      <w:r w:rsidRPr="003607BA">
        <w:rPr>
          <w:lang w:val="fr-CH"/>
        </w:rPr>
        <w:t>3.1</w:t>
      </w:r>
      <w:r w:rsidRPr="003607BA">
        <w:rPr>
          <w:lang w:val="fr-CH"/>
        </w:rPr>
        <w:tab/>
      </w:r>
      <w:r w:rsidR="00301959" w:rsidRPr="003607BA">
        <w:rPr>
          <w:lang w:val="fr-CH"/>
        </w:rPr>
        <w:t xml:space="preserve">En 2017, </w:t>
      </w:r>
      <w:r w:rsidRPr="003607BA">
        <w:rPr>
          <w:lang w:val="fr-CH"/>
        </w:rPr>
        <w:t>l</w:t>
      </w:r>
      <w:r w:rsidR="00F975BD" w:rsidRPr="003607BA">
        <w:rPr>
          <w:lang w:val="fr-CH"/>
        </w:rPr>
        <w:t>e TSB a engagé le processus visant à se mettre en r</w:t>
      </w:r>
      <w:r w:rsidR="00455662">
        <w:rPr>
          <w:lang w:val="fr-CH"/>
        </w:rPr>
        <w:t>apport avec 166 fournisseurs de </w:t>
      </w:r>
      <w:r w:rsidR="00F975BD" w:rsidRPr="003607BA">
        <w:rPr>
          <w:lang w:val="fr-CH"/>
        </w:rPr>
        <w:t>services UIFN (</w:t>
      </w:r>
      <w:r w:rsidR="00F975BD" w:rsidRPr="003607BA">
        <w:rPr>
          <w:color w:val="000000"/>
          <w:lang w:val="fr-CH"/>
        </w:rPr>
        <w:t>numéros universels de libre appel international</w:t>
      </w:r>
      <w:r w:rsidR="00F975BD" w:rsidRPr="003607BA">
        <w:rPr>
          <w:lang w:val="fr-CH"/>
        </w:rPr>
        <w:t>) et 787 bénéficiaires de numéro</w:t>
      </w:r>
      <w:r w:rsidR="00455662">
        <w:rPr>
          <w:lang w:val="fr-CH"/>
        </w:rPr>
        <w:t>s </w:t>
      </w:r>
      <w:r w:rsidR="00F975BD" w:rsidRPr="003607BA">
        <w:rPr>
          <w:lang w:val="fr-CH"/>
        </w:rPr>
        <w:t>IIN (</w:t>
      </w:r>
      <w:r w:rsidR="00F975BD" w:rsidRPr="003607BA">
        <w:rPr>
          <w:color w:val="000000"/>
          <w:lang w:val="fr-CH"/>
        </w:rPr>
        <w:t>numéros d'identification d'entité émettrice</w:t>
      </w:r>
      <w:r w:rsidR="00F975BD" w:rsidRPr="003607BA">
        <w:rPr>
          <w:lang w:val="fr-CH"/>
        </w:rPr>
        <w:t>).</w:t>
      </w:r>
      <w:r w:rsidRPr="00C854AD">
        <w:rPr>
          <w:rFonts w:asciiTheme="minorHAnsi" w:hAnsiTheme="minorHAnsi"/>
          <w:lang w:val="fr-CH"/>
        </w:rPr>
        <w:t xml:space="preserve"> </w:t>
      </w:r>
      <w:r w:rsidR="004B496F">
        <w:rPr>
          <w:rFonts w:asciiTheme="minorHAnsi" w:hAnsiTheme="minorHAnsi"/>
          <w:lang w:val="fr-CH"/>
        </w:rPr>
        <w:t>Cette même année</w:t>
      </w:r>
      <w:r w:rsidR="00301959" w:rsidRPr="00C854AD">
        <w:rPr>
          <w:rFonts w:asciiTheme="minorHAnsi" w:hAnsiTheme="minorHAnsi"/>
          <w:lang w:val="fr-CH"/>
        </w:rPr>
        <w:t xml:space="preserve">, plus de 3 000 courriels ont été envoyés </w:t>
      </w:r>
      <w:r w:rsidR="004B496F">
        <w:rPr>
          <w:rFonts w:asciiTheme="minorHAnsi" w:hAnsiTheme="minorHAnsi"/>
          <w:lang w:val="fr-CH"/>
        </w:rPr>
        <w:t xml:space="preserve">aux </w:t>
      </w:r>
      <w:r w:rsidR="00301959" w:rsidRPr="00C854AD">
        <w:rPr>
          <w:rFonts w:asciiTheme="minorHAnsi" w:hAnsiTheme="minorHAnsi"/>
          <w:lang w:val="fr-CH"/>
        </w:rPr>
        <w:t xml:space="preserve">bénéficiaires de </w:t>
      </w:r>
      <w:r w:rsidR="004B496F">
        <w:rPr>
          <w:rFonts w:asciiTheme="minorHAnsi" w:hAnsiTheme="minorHAnsi"/>
          <w:lang w:val="fr-CH"/>
        </w:rPr>
        <w:t xml:space="preserve">ces </w:t>
      </w:r>
      <w:r w:rsidR="00301959" w:rsidRPr="00C854AD">
        <w:rPr>
          <w:rFonts w:asciiTheme="minorHAnsi" w:hAnsiTheme="minorHAnsi"/>
          <w:lang w:val="fr-CH"/>
        </w:rPr>
        <w:t xml:space="preserve">numéros et </w:t>
      </w:r>
      <w:r w:rsidR="004B496F">
        <w:rPr>
          <w:rFonts w:asciiTheme="minorHAnsi" w:hAnsiTheme="minorHAnsi"/>
          <w:lang w:val="fr-CH"/>
        </w:rPr>
        <w:t xml:space="preserve">aux </w:t>
      </w:r>
      <w:r w:rsidR="00301959" w:rsidRPr="00C854AD">
        <w:rPr>
          <w:rFonts w:asciiTheme="minorHAnsi" w:hAnsiTheme="minorHAnsi"/>
          <w:lang w:val="fr-CH"/>
        </w:rPr>
        <w:t>autorités de régulation</w:t>
      </w:r>
      <w:r w:rsidR="004B496F">
        <w:rPr>
          <w:rFonts w:asciiTheme="minorHAnsi" w:hAnsiTheme="minorHAnsi"/>
          <w:lang w:val="fr-CH"/>
        </w:rPr>
        <w:t xml:space="preserve"> ainsi que pour </w:t>
      </w:r>
      <w:r w:rsidR="00301959" w:rsidRPr="003607BA">
        <w:rPr>
          <w:rFonts w:asciiTheme="minorHAnsi" w:hAnsiTheme="minorHAnsi"/>
          <w:lang w:val="fr-CH"/>
        </w:rPr>
        <w:t xml:space="preserve">répondre </w:t>
      </w:r>
      <w:r w:rsidR="004B496F">
        <w:rPr>
          <w:rFonts w:asciiTheme="minorHAnsi" w:hAnsiTheme="minorHAnsi"/>
          <w:lang w:val="fr-CH"/>
        </w:rPr>
        <w:t xml:space="preserve">à diverses </w:t>
      </w:r>
      <w:r w:rsidR="00301959" w:rsidRPr="003607BA">
        <w:rPr>
          <w:rFonts w:asciiTheme="minorHAnsi" w:hAnsiTheme="minorHAnsi"/>
          <w:lang w:val="fr-CH"/>
        </w:rPr>
        <w:t>demandes</w:t>
      </w:r>
      <w:r w:rsidR="004B496F">
        <w:rPr>
          <w:rFonts w:asciiTheme="minorHAnsi" w:hAnsiTheme="minorHAnsi"/>
          <w:lang w:val="fr-CH"/>
        </w:rPr>
        <w:t xml:space="preserve"> de renseignements</w:t>
      </w:r>
      <w:r w:rsidR="00301959" w:rsidRPr="003607BA">
        <w:rPr>
          <w:rFonts w:asciiTheme="minorHAnsi" w:hAnsiTheme="minorHAnsi"/>
          <w:lang w:val="fr-CH"/>
        </w:rPr>
        <w:t>.</w:t>
      </w:r>
    </w:p>
    <w:p w14:paraId="72B7B093" w14:textId="5C4F44EB" w:rsidR="00506A78" w:rsidRPr="00C854AD" w:rsidRDefault="00232B51" w:rsidP="00B72E22">
      <w:pPr>
        <w:rPr>
          <w:rFonts w:asciiTheme="minorHAnsi" w:hAnsiTheme="minorHAnsi"/>
          <w:lang w:val="fr-CH"/>
        </w:rPr>
      </w:pPr>
      <w:r w:rsidRPr="00C854AD">
        <w:rPr>
          <w:rFonts w:asciiTheme="minorHAnsi" w:hAnsiTheme="minorHAnsi"/>
          <w:lang w:val="fr-CH"/>
        </w:rPr>
        <w:t>3.2</w:t>
      </w:r>
      <w:r w:rsidRPr="00C854AD">
        <w:rPr>
          <w:rFonts w:asciiTheme="minorHAnsi" w:hAnsiTheme="minorHAnsi"/>
          <w:lang w:val="fr-CH"/>
        </w:rPr>
        <w:tab/>
      </w:r>
      <w:r w:rsidR="00506A78" w:rsidRPr="003607BA">
        <w:rPr>
          <w:rFonts w:asciiTheme="minorHAnsi" w:hAnsiTheme="minorHAnsi"/>
          <w:lang w:val="fr-CH"/>
        </w:rPr>
        <w:t>Entre</w:t>
      </w:r>
      <w:r w:rsidR="00506A78" w:rsidRPr="00C854AD">
        <w:rPr>
          <w:rFonts w:asciiTheme="minorHAnsi" w:hAnsiTheme="minorHAnsi"/>
          <w:lang w:val="fr-CH"/>
        </w:rPr>
        <w:t xml:space="preserve"> la session de 2018 du Conseil et </w:t>
      </w:r>
      <w:r w:rsidR="00506A78" w:rsidRPr="003607BA">
        <w:rPr>
          <w:rFonts w:asciiTheme="minorHAnsi" w:hAnsiTheme="minorHAnsi"/>
          <w:lang w:val="fr-CH"/>
        </w:rPr>
        <w:t xml:space="preserve">le </w:t>
      </w:r>
      <w:r w:rsidR="00506A78" w:rsidRPr="00C854AD">
        <w:rPr>
          <w:rFonts w:asciiTheme="minorHAnsi" w:hAnsiTheme="minorHAnsi"/>
          <w:lang w:val="fr-CH"/>
        </w:rPr>
        <w:t xml:space="preserve">10 avril 2019, le TSB </w:t>
      </w:r>
      <w:r w:rsidR="0099381A">
        <w:rPr>
          <w:rFonts w:asciiTheme="minorHAnsi" w:hAnsiTheme="minorHAnsi"/>
          <w:lang w:val="fr-CH"/>
        </w:rPr>
        <w:t xml:space="preserve">s'est mis en rapport avec </w:t>
      </w:r>
      <w:r w:rsidR="0018092A">
        <w:rPr>
          <w:rFonts w:asciiTheme="minorHAnsi" w:hAnsiTheme="minorHAnsi"/>
          <w:lang w:val="fr-CH"/>
        </w:rPr>
        <w:t>134 </w:t>
      </w:r>
      <w:r w:rsidR="00506A78" w:rsidRPr="00C854AD">
        <w:rPr>
          <w:rFonts w:asciiTheme="minorHAnsi" w:hAnsiTheme="minorHAnsi"/>
          <w:lang w:val="fr-CH"/>
        </w:rPr>
        <w:t xml:space="preserve">administrations/autorités de </w:t>
      </w:r>
      <w:r w:rsidR="0099381A">
        <w:rPr>
          <w:lang w:val="fr-CH"/>
        </w:rPr>
        <w:t>régulation</w:t>
      </w:r>
      <w:r w:rsidR="00506A78" w:rsidRPr="00C854AD">
        <w:rPr>
          <w:rFonts w:asciiTheme="minorHAnsi" w:hAnsiTheme="minorHAnsi"/>
          <w:lang w:val="fr-CH"/>
        </w:rPr>
        <w:t xml:space="preserve"> nationales ou exploita</w:t>
      </w:r>
      <w:r w:rsidR="0018092A">
        <w:rPr>
          <w:rFonts w:asciiTheme="minorHAnsi" w:hAnsiTheme="minorHAnsi"/>
          <w:lang w:val="fr-CH"/>
        </w:rPr>
        <w:lastRenderedPageBreak/>
        <w:t>tions autorisées concernant 573 </w:t>
      </w:r>
      <w:r w:rsidR="00506A78" w:rsidRPr="00C854AD">
        <w:rPr>
          <w:rFonts w:asciiTheme="minorHAnsi" w:hAnsiTheme="minorHAnsi"/>
          <w:lang w:val="fr-CH"/>
        </w:rPr>
        <w:t xml:space="preserve">numéros IIN. </w:t>
      </w:r>
      <w:r w:rsidR="0099381A">
        <w:rPr>
          <w:rFonts w:asciiTheme="minorHAnsi" w:hAnsiTheme="minorHAnsi"/>
          <w:lang w:val="fr-CH"/>
        </w:rPr>
        <w:t>Cinquante et une autorités de régulation</w:t>
      </w:r>
      <w:r w:rsidR="00506A78" w:rsidRPr="003607BA">
        <w:rPr>
          <w:rFonts w:asciiTheme="minorHAnsi" w:hAnsiTheme="minorHAnsi"/>
          <w:lang w:val="fr-CH"/>
        </w:rPr>
        <w:t xml:space="preserve"> nationales (38%) ont répondu et fourni une assistance </w:t>
      </w:r>
      <w:r w:rsidR="0099381A">
        <w:rPr>
          <w:rFonts w:asciiTheme="minorHAnsi" w:hAnsiTheme="minorHAnsi"/>
          <w:lang w:val="fr-CH"/>
        </w:rPr>
        <w:t xml:space="preserve">concernant </w:t>
      </w:r>
      <w:r w:rsidR="00506A78" w:rsidRPr="003607BA">
        <w:rPr>
          <w:rFonts w:asciiTheme="minorHAnsi" w:hAnsiTheme="minorHAnsi"/>
          <w:lang w:val="fr-CH"/>
        </w:rPr>
        <w:t xml:space="preserve">186 numéros IIN (32%). </w:t>
      </w:r>
    </w:p>
    <w:p w14:paraId="770B30B2" w14:textId="63FBEB75" w:rsidR="00562453" w:rsidRDefault="00232B51" w:rsidP="00B72E22">
      <w:pPr>
        <w:rPr>
          <w:rFonts w:asciiTheme="minorHAnsi" w:hAnsiTheme="minorHAnsi"/>
          <w:szCs w:val="24"/>
          <w:lang w:val="fr-CH"/>
        </w:rPr>
      </w:pPr>
      <w:r w:rsidRPr="00C854AD">
        <w:rPr>
          <w:rFonts w:asciiTheme="minorHAnsi" w:hAnsiTheme="minorHAnsi"/>
          <w:szCs w:val="24"/>
          <w:lang w:val="fr-CH"/>
        </w:rPr>
        <w:t>3.3</w:t>
      </w:r>
      <w:r w:rsidRPr="00C854AD">
        <w:rPr>
          <w:rFonts w:asciiTheme="minorHAnsi" w:hAnsiTheme="minorHAnsi"/>
          <w:szCs w:val="24"/>
          <w:lang w:val="fr-CH"/>
        </w:rPr>
        <w:tab/>
      </w:r>
      <w:r w:rsidR="00BA46C6" w:rsidRPr="003607BA">
        <w:rPr>
          <w:rFonts w:asciiTheme="minorHAnsi" w:hAnsiTheme="minorHAnsi"/>
          <w:szCs w:val="24"/>
          <w:lang w:val="fr-CH"/>
        </w:rPr>
        <w:t>La situation</w:t>
      </w:r>
      <w:r w:rsidR="00197C47">
        <w:rPr>
          <w:rFonts w:asciiTheme="minorHAnsi" w:hAnsiTheme="minorHAnsi"/>
          <w:szCs w:val="24"/>
          <w:lang w:val="fr-CH"/>
        </w:rPr>
        <w:t xml:space="preserve"> au 10 avril 2019</w:t>
      </w:r>
      <w:r w:rsidR="00562453" w:rsidRPr="00C854AD">
        <w:rPr>
          <w:rFonts w:asciiTheme="minorHAnsi" w:hAnsiTheme="minorHAnsi"/>
          <w:szCs w:val="24"/>
          <w:lang w:val="fr-CH"/>
        </w:rPr>
        <w:t xml:space="preserve"> </w:t>
      </w:r>
      <w:r w:rsidR="00BA46C6" w:rsidRPr="003607BA">
        <w:rPr>
          <w:rFonts w:asciiTheme="minorHAnsi" w:hAnsiTheme="minorHAnsi"/>
          <w:szCs w:val="24"/>
          <w:lang w:val="fr-CH"/>
        </w:rPr>
        <w:t>concernant les</w:t>
      </w:r>
      <w:r w:rsidR="00562453" w:rsidRPr="00C854AD">
        <w:rPr>
          <w:rFonts w:asciiTheme="minorHAnsi" w:hAnsiTheme="minorHAnsi"/>
          <w:szCs w:val="24"/>
          <w:lang w:val="fr-CH"/>
        </w:rPr>
        <w:t xml:space="preserve"> coordonnées </w:t>
      </w:r>
      <w:r w:rsidR="00197C47">
        <w:rPr>
          <w:rFonts w:asciiTheme="minorHAnsi" w:hAnsiTheme="minorHAnsi"/>
          <w:szCs w:val="24"/>
          <w:lang w:val="fr-CH"/>
        </w:rPr>
        <w:t xml:space="preserve">relatives aux </w:t>
      </w:r>
      <w:r w:rsidR="00562453" w:rsidRPr="003607BA">
        <w:rPr>
          <w:rFonts w:asciiTheme="minorHAnsi" w:hAnsiTheme="minorHAnsi"/>
          <w:szCs w:val="24"/>
          <w:lang w:val="fr-CH"/>
        </w:rPr>
        <w:t xml:space="preserve">798 numéros IIN </w:t>
      </w:r>
      <w:r w:rsidR="00BA46C6" w:rsidRPr="003607BA">
        <w:rPr>
          <w:rFonts w:asciiTheme="minorHAnsi" w:hAnsiTheme="minorHAnsi"/>
          <w:szCs w:val="24"/>
          <w:lang w:val="fr-CH"/>
        </w:rPr>
        <w:t>enregistrés</w:t>
      </w:r>
      <w:r w:rsidR="00562453" w:rsidRPr="003607BA">
        <w:rPr>
          <w:rFonts w:asciiTheme="minorHAnsi" w:hAnsiTheme="minorHAnsi"/>
          <w:szCs w:val="24"/>
          <w:lang w:val="fr-CH"/>
        </w:rPr>
        <w:t xml:space="preserve"> dans la base de </w:t>
      </w:r>
      <w:r w:rsidR="00562453" w:rsidRPr="0013790C">
        <w:rPr>
          <w:lang w:val="fr-CH"/>
        </w:rPr>
        <w:t>données</w:t>
      </w:r>
      <w:r w:rsidR="00562453" w:rsidRPr="003607BA">
        <w:rPr>
          <w:rFonts w:asciiTheme="minorHAnsi" w:hAnsiTheme="minorHAnsi"/>
          <w:szCs w:val="24"/>
          <w:lang w:val="fr-CH"/>
        </w:rPr>
        <w:t xml:space="preserve"> de l'UIT est présenté</w:t>
      </w:r>
      <w:r w:rsidR="00BA46C6" w:rsidRPr="003607BA">
        <w:rPr>
          <w:rFonts w:asciiTheme="minorHAnsi" w:hAnsiTheme="minorHAnsi"/>
          <w:szCs w:val="24"/>
          <w:lang w:val="fr-CH"/>
        </w:rPr>
        <w:t>e</w:t>
      </w:r>
      <w:r w:rsidR="00562453" w:rsidRPr="003607BA">
        <w:rPr>
          <w:rFonts w:asciiTheme="minorHAnsi" w:hAnsiTheme="minorHAnsi"/>
          <w:szCs w:val="24"/>
          <w:lang w:val="fr-CH"/>
        </w:rPr>
        <w:t xml:space="preserve"> </w:t>
      </w:r>
      <w:r w:rsidR="00197C47">
        <w:rPr>
          <w:rFonts w:asciiTheme="minorHAnsi" w:hAnsiTheme="minorHAnsi"/>
          <w:szCs w:val="24"/>
          <w:lang w:val="fr-CH"/>
        </w:rPr>
        <w:t xml:space="preserve">dans la figure </w:t>
      </w:r>
      <w:r w:rsidR="00562453" w:rsidRPr="003607BA">
        <w:rPr>
          <w:rFonts w:asciiTheme="minorHAnsi" w:hAnsiTheme="minorHAnsi"/>
          <w:szCs w:val="24"/>
          <w:lang w:val="fr-CH"/>
        </w:rPr>
        <w:t>ci-dessous.</w:t>
      </w:r>
    </w:p>
    <w:p w14:paraId="0F5C9263" w14:textId="6006384A" w:rsidR="00455662" w:rsidRDefault="0045566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  <w:lang w:val="fr-CH"/>
        </w:rPr>
      </w:pPr>
    </w:p>
    <w:p w14:paraId="06076F48" w14:textId="77777777" w:rsidR="00F975BD" w:rsidRPr="00C854AD" w:rsidRDefault="00254ADD" w:rsidP="00B72E22">
      <w:pPr>
        <w:jc w:val="center"/>
        <w:rPr>
          <w:rFonts w:eastAsia="Calibri" w:cs="Calibri"/>
          <w:lang w:val="fr-CH"/>
        </w:rPr>
      </w:pPr>
      <w:r w:rsidRPr="00825989">
        <w:rPr>
          <w:rFonts w:asciiTheme="minorHAnsi" w:hAnsiTheme="minorHAnsi"/>
          <w:noProof/>
          <w:szCs w:val="24"/>
          <w:lang w:val="en-GB" w:eastAsia="zh-CN"/>
        </w:rPr>
        <w:lastRenderedPageBreak/>
        <w:drawing>
          <wp:inline distT="0" distB="0" distL="0" distR="0" wp14:anchorId="01655134" wp14:editId="26E8F256">
            <wp:extent cx="4493260" cy="275590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950684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26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5171F5" w14:textId="7662616A" w:rsidR="003904FD" w:rsidRPr="00A532FF" w:rsidRDefault="00254ADD" w:rsidP="00F9201C">
      <w:pPr>
        <w:pStyle w:val="Figurelegend"/>
        <w:spacing w:before="120"/>
      </w:pPr>
      <w:bookmarkStart w:id="10" w:name="lt_pId072"/>
      <w:r w:rsidRPr="00A532FF">
        <w:t xml:space="preserve">Note: </w:t>
      </w:r>
      <w:bookmarkEnd w:id="10"/>
      <w:r w:rsidR="0018092A">
        <w:t>L</w:t>
      </w:r>
      <w:r w:rsidR="00BA46C6" w:rsidRPr="00A532FF">
        <w:t>e nombre d</w:t>
      </w:r>
      <w:r w:rsidR="00A13CE1">
        <w:t xml:space="preserve">'enregistrements </w:t>
      </w:r>
      <w:r w:rsidR="0034164F">
        <w:t xml:space="preserve">de numéros </w:t>
      </w:r>
      <w:r w:rsidR="00BA46C6" w:rsidRPr="00A532FF">
        <w:t xml:space="preserve">IIN pour les pays </w:t>
      </w:r>
      <w:r w:rsidR="00A13CE1">
        <w:t xml:space="preserve">indiqués </w:t>
      </w:r>
      <w:r w:rsidR="00BA46C6" w:rsidRPr="00A532FF">
        <w:t xml:space="preserve">dans la figure ci-dessus comprend les zones géographiques </w:t>
      </w:r>
      <w:r w:rsidR="00A13CE1">
        <w:t xml:space="preserve">relevant </w:t>
      </w:r>
      <w:r w:rsidR="00BA46C6" w:rsidRPr="00A532FF">
        <w:t>des administrations de ces pays.</w:t>
      </w:r>
      <w:r w:rsidR="00A532FF" w:rsidRPr="00A532FF">
        <w:t xml:space="preserve"> </w:t>
      </w:r>
    </w:p>
    <w:p w14:paraId="7B31812B" w14:textId="32B6EA99" w:rsidR="00BA46C6" w:rsidRPr="003607BA" w:rsidRDefault="00CA7B60" w:rsidP="00651840">
      <w:pPr>
        <w:pStyle w:val="Figurelegend"/>
        <w:spacing w:before="240"/>
        <w:rPr>
          <w:lang w:val="fr-CH"/>
        </w:rPr>
      </w:pPr>
      <w:r>
        <w:rPr>
          <w:lang w:val="fr-CH"/>
        </w:rPr>
        <w:t>Légende:</w:t>
      </w:r>
    </w:p>
    <w:p w14:paraId="48C8BB27" w14:textId="74340EFA" w:rsidR="00BA46C6" w:rsidRPr="00CA7B60" w:rsidRDefault="00CA7B60" w:rsidP="005B6E7B">
      <w:pPr>
        <w:pStyle w:val="Figurelegend"/>
        <w:keepNext w:val="0"/>
        <w:keepLines w:val="0"/>
        <w:rPr>
          <w:lang w:val="fr-CH"/>
        </w:rPr>
      </w:pPr>
      <w:r w:rsidRPr="00CA7B60">
        <w:rPr>
          <w:lang w:val="fr-CH"/>
        </w:rPr>
        <w:t>10 avril 2019 –</w:t>
      </w:r>
      <w:r w:rsidR="00BA46C6" w:rsidRPr="00CA7B60">
        <w:rPr>
          <w:lang w:val="fr-CH"/>
        </w:rPr>
        <w:t xml:space="preserve"> Situation concernant les coordonnées </w:t>
      </w:r>
      <w:r w:rsidRPr="00CA7B60">
        <w:rPr>
          <w:lang w:val="fr-CH"/>
        </w:rPr>
        <w:t xml:space="preserve">relatives aux </w:t>
      </w:r>
      <w:r w:rsidR="00BA46C6" w:rsidRPr="00CA7B60">
        <w:rPr>
          <w:lang w:val="fr-CH"/>
        </w:rPr>
        <w:t>numéros IIN</w:t>
      </w:r>
    </w:p>
    <w:p w14:paraId="13007F76" w14:textId="098996BF" w:rsidR="00BA46C6" w:rsidRPr="00CA7B60" w:rsidRDefault="00BA46C6" w:rsidP="005B6E7B">
      <w:pPr>
        <w:pStyle w:val="Figurelegend"/>
        <w:keepNext w:val="0"/>
        <w:keepLines w:val="0"/>
        <w:rPr>
          <w:lang w:val="fr-CH"/>
        </w:rPr>
      </w:pPr>
      <w:r w:rsidRPr="00CA7B60">
        <w:rPr>
          <w:lang w:val="fr-CH"/>
        </w:rPr>
        <w:t xml:space="preserve">(nombre total </w:t>
      </w:r>
      <w:r w:rsidR="00CA7B60" w:rsidRPr="00CA7B60">
        <w:rPr>
          <w:lang w:val="fr-CH"/>
        </w:rPr>
        <w:t xml:space="preserve">d'enregistrements </w:t>
      </w:r>
      <w:r w:rsidRPr="00CA7B60">
        <w:rPr>
          <w:lang w:val="fr-CH"/>
        </w:rPr>
        <w:t>de numéros IIN = 798)</w:t>
      </w:r>
    </w:p>
    <w:p w14:paraId="75A9FCB6" w14:textId="7D3F4CD7" w:rsidR="00BA46C6" w:rsidRPr="00CA7B60" w:rsidRDefault="00BA46C6" w:rsidP="00455662">
      <w:pPr>
        <w:pStyle w:val="Figurelegend"/>
        <w:keepNext w:val="0"/>
        <w:keepLines w:val="0"/>
        <w:tabs>
          <w:tab w:val="clear" w:pos="1134"/>
          <w:tab w:val="clear" w:pos="1701"/>
          <w:tab w:val="clear" w:pos="2268"/>
          <w:tab w:val="clear" w:pos="2835"/>
          <w:tab w:val="left" w:pos="5103"/>
        </w:tabs>
        <w:rPr>
          <w:lang w:val="fr-CH"/>
        </w:rPr>
      </w:pPr>
      <w:r w:rsidRPr="00CA7B60">
        <w:rPr>
          <w:lang w:val="fr-CH"/>
        </w:rPr>
        <w:t>Canada</w:t>
      </w:r>
      <w:r w:rsidR="00CA7B60" w:rsidRPr="00CA7B60">
        <w:rPr>
          <w:lang w:val="fr-CH"/>
        </w:rPr>
        <w:t xml:space="preserve"> –</w:t>
      </w:r>
      <w:r w:rsidRPr="00CA7B60">
        <w:rPr>
          <w:lang w:val="fr-CH"/>
        </w:rPr>
        <w:t xml:space="preserve"> </w:t>
      </w:r>
      <w:r w:rsidR="003904FD" w:rsidRPr="00CA7B60">
        <w:rPr>
          <w:lang w:val="fr-CH"/>
        </w:rPr>
        <w:t>coordonnées en cours de confirmation</w:t>
      </w:r>
      <w:r w:rsidR="00455662">
        <w:rPr>
          <w:lang w:val="fr-CH"/>
        </w:rPr>
        <w:t>;</w:t>
      </w:r>
    </w:p>
    <w:p w14:paraId="47BEFE59" w14:textId="74A22384" w:rsidR="003904FD" w:rsidRPr="00CA7B60" w:rsidRDefault="00CA7B60" w:rsidP="00455662">
      <w:pPr>
        <w:pStyle w:val="Figurelegend"/>
        <w:keepNext w:val="0"/>
        <w:keepLines w:val="0"/>
        <w:tabs>
          <w:tab w:val="clear" w:pos="1134"/>
          <w:tab w:val="clear" w:pos="1701"/>
          <w:tab w:val="clear" w:pos="2268"/>
          <w:tab w:val="clear" w:pos="2835"/>
          <w:tab w:val="left" w:pos="5103"/>
        </w:tabs>
        <w:rPr>
          <w:lang w:val="fr-CH"/>
        </w:rPr>
      </w:pPr>
      <w:r>
        <w:rPr>
          <w:lang w:val="fr-CH"/>
        </w:rPr>
        <w:t xml:space="preserve">États-Unis </w:t>
      </w:r>
      <w:r w:rsidRPr="00CA7B60">
        <w:rPr>
          <w:lang w:val="fr-CH"/>
        </w:rPr>
        <w:t>–</w:t>
      </w:r>
      <w:r w:rsidR="003904FD" w:rsidRPr="00CA7B60">
        <w:rPr>
          <w:lang w:val="fr-CH"/>
        </w:rPr>
        <w:t xml:space="preserve"> coordonnées en cours de confirmation</w:t>
      </w:r>
    </w:p>
    <w:p w14:paraId="5F404E91" w14:textId="390F1063" w:rsidR="003904FD" w:rsidRPr="00CA7B60" w:rsidRDefault="00CA7B60" w:rsidP="00455662">
      <w:pPr>
        <w:pStyle w:val="Figurelegend"/>
        <w:keepNext w:val="0"/>
        <w:keepLines w:val="0"/>
        <w:tabs>
          <w:tab w:val="clear" w:pos="1134"/>
          <w:tab w:val="clear" w:pos="1701"/>
          <w:tab w:val="clear" w:pos="2268"/>
          <w:tab w:val="clear" w:pos="2835"/>
          <w:tab w:val="left" w:pos="5103"/>
        </w:tabs>
        <w:rPr>
          <w:lang w:val="fr-CH"/>
        </w:rPr>
      </w:pPr>
      <w:r>
        <w:rPr>
          <w:lang w:val="fr-CH"/>
        </w:rPr>
        <w:t xml:space="preserve">Royaume-Uni </w:t>
      </w:r>
      <w:r w:rsidRPr="00CA7B60">
        <w:rPr>
          <w:lang w:val="fr-CH"/>
        </w:rPr>
        <w:t>–</w:t>
      </w:r>
      <w:r w:rsidR="003904FD" w:rsidRPr="00CA7B60">
        <w:rPr>
          <w:lang w:val="fr-CH"/>
        </w:rPr>
        <w:t xml:space="preserve"> coordonnées en cours de confirmation</w:t>
      </w:r>
    </w:p>
    <w:p w14:paraId="30BD91B7" w14:textId="6C0E710C" w:rsidR="00080036" w:rsidRPr="00CA7B60" w:rsidRDefault="00CA7B60" w:rsidP="00455662">
      <w:pPr>
        <w:pStyle w:val="Figurelegend"/>
        <w:keepNext w:val="0"/>
        <w:keepLines w:val="0"/>
        <w:tabs>
          <w:tab w:val="clear" w:pos="1134"/>
          <w:tab w:val="clear" w:pos="1701"/>
          <w:tab w:val="clear" w:pos="2268"/>
          <w:tab w:val="clear" w:pos="2835"/>
          <w:tab w:val="left" w:pos="5103"/>
        </w:tabs>
        <w:rPr>
          <w:lang w:val="fr-CH"/>
        </w:rPr>
      </w:pPr>
      <w:r>
        <w:rPr>
          <w:lang w:val="fr-CH"/>
        </w:rPr>
        <w:t xml:space="preserve">Pays-Bas </w:t>
      </w:r>
      <w:r w:rsidRPr="00CA7B60">
        <w:rPr>
          <w:lang w:val="fr-CH"/>
        </w:rPr>
        <w:t>–</w:t>
      </w:r>
      <w:r w:rsidR="00080036" w:rsidRPr="00CA7B60">
        <w:rPr>
          <w:lang w:val="fr-CH"/>
        </w:rPr>
        <w:t xml:space="preserve"> coordonnées en cours de confirmation</w:t>
      </w:r>
    </w:p>
    <w:p w14:paraId="60169AD2" w14:textId="71409E79" w:rsidR="003904FD" w:rsidRPr="00CA7B60" w:rsidRDefault="00CA7B60" w:rsidP="00455662">
      <w:pPr>
        <w:pStyle w:val="Figurelegend"/>
        <w:keepNext w:val="0"/>
        <w:keepLines w:val="0"/>
        <w:tabs>
          <w:tab w:val="clear" w:pos="1134"/>
          <w:tab w:val="clear" w:pos="1701"/>
          <w:tab w:val="clear" w:pos="2268"/>
          <w:tab w:val="clear" w:pos="2835"/>
          <w:tab w:val="left" w:pos="5103"/>
        </w:tabs>
        <w:rPr>
          <w:lang w:val="fr-CH"/>
        </w:rPr>
      </w:pPr>
      <w:r>
        <w:rPr>
          <w:lang w:val="fr-CH"/>
        </w:rPr>
        <w:t xml:space="preserve">Autres pays </w:t>
      </w:r>
      <w:r w:rsidRPr="00CA7B60">
        <w:rPr>
          <w:lang w:val="fr-CH"/>
        </w:rPr>
        <w:t>–</w:t>
      </w:r>
      <w:r w:rsidR="003904FD" w:rsidRPr="00CA7B60">
        <w:rPr>
          <w:lang w:val="fr-CH"/>
        </w:rPr>
        <w:t xml:space="preserve"> coordonnées en cours de confirmation</w:t>
      </w:r>
    </w:p>
    <w:p w14:paraId="501EE994" w14:textId="162C917B" w:rsidR="003904FD" w:rsidRPr="00CA7B60" w:rsidRDefault="00523BCA" w:rsidP="00455662">
      <w:pPr>
        <w:pStyle w:val="Figurelegend"/>
        <w:keepNext w:val="0"/>
        <w:keepLines w:val="0"/>
        <w:tabs>
          <w:tab w:val="clear" w:pos="1134"/>
          <w:tab w:val="clear" w:pos="1701"/>
          <w:tab w:val="clear" w:pos="2268"/>
          <w:tab w:val="clear" w:pos="2835"/>
          <w:tab w:val="left" w:pos="5103"/>
        </w:tabs>
        <w:rPr>
          <w:lang w:val="fr-CH"/>
        </w:rPr>
      </w:pPr>
      <w:r w:rsidRPr="00CA7B60">
        <w:rPr>
          <w:lang w:val="fr-CH"/>
        </w:rPr>
        <w:t>C</w:t>
      </w:r>
      <w:r w:rsidR="003904FD" w:rsidRPr="00CA7B60">
        <w:rPr>
          <w:lang w:val="fr-CH"/>
        </w:rPr>
        <w:t>oordonnées confirmées</w:t>
      </w:r>
    </w:p>
    <w:p w14:paraId="448F056F" w14:textId="2CC7D903" w:rsidR="008D7BD6" w:rsidRPr="00C854AD" w:rsidRDefault="00254ADD" w:rsidP="00B72E22">
      <w:pPr>
        <w:rPr>
          <w:lang w:val="fr-CH"/>
        </w:rPr>
      </w:pPr>
      <w:r w:rsidRPr="00C854AD">
        <w:rPr>
          <w:lang w:val="fr-CH"/>
        </w:rPr>
        <w:t>3.4</w:t>
      </w:r>
      <w:r w:rsidRPr="00C854AD">
        <w:rPr>
          <w:lang w:val="fr-CH"/>
        </w:rPr>
        <w:tab/>
      </w:r>
      <w:r w:rsidR="00872E7D">
        <w:rPr>
          <w:lang w:val="fr-CH"/>
        </w:rPr>
        <w:t>L</w:t>
      </w:r>
      <w:r w:rsidR="008D7BD6" w:rsidRPr="00C854AD">
        <w:rPr>
          <w:lang w:val="fr-CH"/>
        </w:rPr>
        <w:t xml:space="preserve">es consultations </w:t>
      </w:r>
      <w:r w:rsidR="00872E7D">
        <w:rPr>
          <w:lang w:val="fr-CH"/>
        </w:rPr>
        <w:t xml:space="preserve">sur </w:t>
      </w:r>
      <w:r w:rsidR="00872E7D" w:rsidRPr="00C854AD">
        <w:rPr>
          <w:lang w:val="fr-CH"/>
        </w:rPr>
        <w:t>les coordonnées actual</w:t>
      </w:r>
      <w:r w:rsidR="00872E7D" w:rsidRPr="003607BA">
        <w:rPr>
          <w:lang w:val="fr-CH"/>
        </w:rPr>
        <w:t>isées</w:t>
      </w:r>
      <w:r w:rsidR="00872E7D" w:rsidRPr="00C854AD">
        <w:rPr>
          <w:lang w:val="fr-CH"/>
        </w:rPr>
        <w:t xml:space="preserve"> </w:t>
      </w:r>
      <w:r w:rsidR="00872E7D">
        <w:rPr>
          <w:lang w:val="fr-CH"/>
        </w:rPr>
        <w:t xml:space="preserve">de </w:t>
      </w:r>
      <w:r w:rsidR="00E37136" w:rsidRPr="003607BA">
        <w:rPr>
          <w:lang w:val="fr-CH"/>
        </w:rPr>
        <w:t xml:space="preserve">33 fournisseurs de services pour </w:t>
      </w:r>
      <w:r w:rsidR="002703C5">
        <w:rPr>
          <w:lang w:val="fr-CH"/>
        </w:rPr>
        <w:t>204 </w:t>
      </w:r>
      <w:r w:rsidR="008D7BD6" w:rsidRPr="00C854AD">
        <w:rPr>
          <w:lang w:val="fr-CH"/>
        </w:rPr>
        <w:t>numéros UIFN</w:t>
      </w:r>
      <w:r w:rsidR="00872E7D">
        <w:rPr>
          <w:lang w:val="fr-CH"/>
        </w:rPr>
        <w:t xml:space="preserve"> se poursuivent encore</w:t>
      </w:r>
      <w:r w:rsidR="008D7BD6" w:rsidRPr="00C854AD">
        <w:rPr>
          <w:lang w:val="fr-CH"/>
        </w:rPr>
        <w:t xml:space="preserve">. </w:t>
      </w:r>
      <w:r w:rsidR="00E37136" w:rsidRPr="003607BA">
        <w:rPr>
          <w:lang w:val="fr-CH"/>
        </w:rPr>
        <w:t xml:space="preserve">La liste des fournisseurs de services UIFN figure </w:t>
      </w:r>
      <w:r w:rsidR="00872E7D">
        <w:rPr>
          <w:lang w:val="fr-CH"/>
        </w:rPr>
        <w:t>dans</w:t>
      </w:r>
      <w:r w:rsidR="00E37136" w:rsidRPr="003607BA">
        <w:rPr>
          <w:lang w:val="fr-CH"/>
        </w:rPr>
        <w:t xml:space="preserve"> l'Annexe C.</w:t>
      </w:r>
    </w:p>
    <w:p w14:paraId="2D6DEFBE" w14:textId="77777777" w:rsidR="00254ADD" w:rsidRPr="00C854AD" w:rsidRDefault="00254ADD" w:rsidP="00B72E22">
      <w:pPr>
        <w:pStyle w:val="Heading1"/>
        <w:rPr>
          <w:rFonts w:eastAsia="Calibri"/>
          <w:lang w:val="fr-CH"/>
        </w:rPr>
      </w:pPr>
      <w:r w:rsidRPr="00C854AD">
        <w:rPr>
          <w:rFonts w:eastAsia="Calibri"/>
          <w:lang w:val="fr-CH"/>
        </w:rPr>
        <w:t>4</w:t>
      </w:r>
      <w:r w:rsidRPr="00C854AD">
        <w:rPr>
          <w:rFonts w:eastAsia="Calibri"/>
          <w:lang w:val="fr-CH"/>
        </w:rPr>
        <w:tab/>
      </w:r>
      <w:bookmarkStart w:id="11" w:name="lt_pId077"/>
      <w:r w:rsidRPr="00C854AD">
        <w:rPr>
          <w:rFonts w:eastAsia="Calibri"/>
          <w:lang w:val="fr-CH"/>
        </w:rPr>
        <w:t>Observations</w:t>
      </w:r>
      <w:bookmarkEnd w:id="11"/>
    </w:p>
    <w:p w14:paraId="6D93197F" w14:textId="5C33C771" w:rsidR="00254ADD" w:rsidRPr="00501777" w:rsidRDefault="00254ADD" w:rsidP="002C2712">
      <w:pPr>
        <w:pStyle w:val="Heading2"/>
        <w:rPr>
          <w:lang w:val="fr-CH"/>
        </w:rPr>
      </w:pPr>
      <w:r w:rsidRPr="00501777">
        <w:rPr>
          <w:lang w:val="fr-CH"/>
        </w:rPr>
        <w:t>4.1</w:t>
      </w:r>
      <w:r w:rsidRPr="00501777">
        <w:rPr>
          <w:lang w:val="fr-CH"/>
        </w:rPr>
        <w:tab/>
      </w:r>
      <w:r w:rsidR="00177B87" w:rsidRPr="00501777">
        <w:rPr>
          <w:lang w:val="fr-CH"/>
        </w:rPr>
        <w:t>R</w:t>
      </w:r>
      <w:r w:rsidR="00E051CF">
        <w:rPr>
          <w:lang w:val="fr-CH"/>
        </w:rPr>
        <w:t xml:space="preserve">etrait </w:t>
      </w:r>
      <w:r w:rsidR="00177B87" w:rsidRPr="00501777">
        <w:rPr>
          <w:lang w:val="fr-CH"/>
        </w:rPr>
        <w:t>de numéros UIFN</w:t>
      </w:r>
    </w:p>
    <w:p w14:paraId="3E167AD0" w14:textId="52517C0D" w:rsidR="00177B87" w:rsidRPr="00C854AD" w:rsidRDefault="00177B87" w:rsidP="002703C5">
      <w:pPr>
        <w:rPr>
          <w:rFonts w:asciiTheme="minorHAnsi" w:hAnsiTheme="minorHAnsi"/>
          <w:lang w:val="fr-CH"/>
        </w:rPr>
      </w:pPr>
      <w:r w:rsidRPr="00C854AD">
        <w:rPr>
          <w:rFonts w:asciiTheme="minorHAnsi" w:hAnsiTheme="minorHAnsi"/>
          <w:lang w:val="fr-CH"/>
        </w:rPr>
        <w:t xml:space="preserve">Entre le 23 juin 2017 et le 10 avril 2019, </w:t>
      </w:r>
      <w:r w:rsidRPr="003607BA">
        <w:rPr>
          <w:rFonts w:asciiTheme="minorHAnsi" w:hAnsiTheme="minorHAnsi"/>
          <w:b/>
          <w:bCs/>
          <w:lang w:val="fr-CH"/>
        </w:rPr>
        <w:t>1</w:t>
      </w:r>
      <w:r w:rsidR="002703C5">
        <w:rPr>
          <w:rFonts w:asciiTheme="minorHAnsi" w:hAnsiTheme="minorHAnsi"/>
          <w:b/>
          <w:bCs/>
          <w:lang w:val="fr-CH"/>
        </w:rPr>
        <w:t> </w:t>
      </w:r>
      <w:r w:rsidRPr="003607BA">
        <w:rPr>
          <w:rFonts w:asciiTheme="minorHAnsi" w:hAnsiTheme="minorHAnsi"/>
          <w:b/>
          <w:bCs/>
          <w:lang w:val="fr-CH"/>
        </w:rPr>
        <w:t>021</w:t>
      </w:r>
      <w:r w:rsidRPr="003607BA">
        <w:rPr>
          <w:rFonts w:asciiTheme="minorHAnsi" w:hAnsiTheme="minorHAnsi"/>
          <w:lang w:val="fr-CH"/>
        </w:rPr>
        <w:t xml:space="preserve"> numéros UIFN ont été </w:t>
      </w:r>
      <w:r w:rsidR="000718E9" w:rsidRPr="003607BA">
        <w:rPr>
          <w:rFonts w:asciiTheme="minorHAnsi" w:hAnsiTheme="minorHAnsi"/>
          <w:lang w:val="fr-CH"/>
        </w:rPr>
        <w:t>restitués</w:t>
      </w:r>
      <w:r w:rsidR="00873E50">
        <w:rPr>
          <w:rFonts w:asciiTheme="minorHAnsi" w:hAnsiTheme="minorHAnsi"/>
          <w:lang w:val="fr-CH"/>
        </w:rPr>
        <w:t>;</w:t>
      </w:r>
      <w:r w:rsidR="00E051CF">
        <w:rPr>
          <w:rFonts w:asciiTheme="minorHAnsi" w:hAnsiTheme="minorHAnsi"/>
          <w:lang w:val="fr-CH"/>
        </w:rPr>
        <w:t xml:space="preserve"> à</w:t>
      </w:r>
      <w:r w:rsidR="00E32E83" w:rsidRPr="003607BA">
        <w:rPr>
          <w:rFonts w:asciiTheme="minorHAnsi" w:hAnsiTheme="minorHAnsi"/>
          <w:lang w:val="fr-CH"/>
        </w:rPr>
        <w:t xml:space="preserve"> titre de comparaison</w:t>
      </w:r>
      <w:r w:rsidR="00D10144">
        <w:rPr>
          <w:rFonts w:asciiTheme="minorHAnsi" w:hAnsiTheme="minorHAnsi"/>
          <w:lang w:val="fr-CH"/>
        </w:rPr>
        <w:t>,</w:t>
      </w:r>
      <w:r w:rsidR="00E051CF">
        <w:rPr>
          <w:rFonts w:asciiTheme="minorHAnsi" w:hAnsiTheme="minorHAnsi"/>
          <w:lang w:val="fr-CH"/>
        </w:rPr>
        <w:t xml:space="preserve"> </w:t>
      </w:r>
      <w:r w:rsidR="002703C5" w:rsidRPr="003607BA">
        <w:rPr>
          <w:rFonts w:asciiTheme="minorHAnsi" w:hAnsiTheme="minorHAnsi"/>
          <w:lang w:val="fr-CH"/>
        </w:rPr>
        <w:t xml:space="preserve">268 </w:t>
      </w:r>
      <w:r w:rsidR="002703C5">
        <w:rPr>
          <w:rFonts w:asciiTheme="minorHAnsi" w:hAnsiTheme="minorHAnsi"/>
          <w:lang w:val="fr-CH"/>
        </w:rPr>
        <w:t xml:space="preserve">numéros UIFN ont été restitués </w:t>
      </w:r>
      <w:r w:rsidR="00E051CF">
        <w:rPr>
          <w:rFonts w:asciiTheme="minorHAnsi" w:hAnsiTheme="minorHAnsi"/>
          <w:lang w:val="fr-CH"/>
        </w:rPr>
        <w:t xml:space="preserve">en </w:t>
      </w:r>
      <w:r w:rsidR="00466509" w:rsidRPr="003607BA">
        <w:rPr>
          <w:rFonts w:asciiTheme="minorHAnsi" w:hAnsiTheme="minorHAnsi"/>
          <w:lang w:val="fr-CH"/>
        </w:rPr>
        <w:t>2016, q</w:t>
      </w:r>
      <w:r w:rsidR="00D10144">
        <w:rPr>
          <w:rFonts w:asciiTheme="minorHAnsi" w:hAnsiTheme="minorHAnsi"/>
          <w:lang w:val="fr-CH"/>
        </w:rPr>
        <w:t>ui représente une année moyenne</w:t>
      </w:r>
      <w:r w:rsidR="00E051CF">
        <w:rPr>
          <w:rFonts w:asciiTheme="minorHAnsi" w:hAnsiTheme="minorHAnsi"/>
          <w:lang w:val="fr-CH"/>
        </w:rPr>
        <w:t xml:space="preserve">. En vertu de </w:t>
      </w:r>
      <w:r w:rsidR="00466509" w:rsidRPr="003607BA">
        <w:rPr>
          <w:rFonts w:asciiTheme="minorHAnsi" w:hAnsiTheme="minorHAnsi"/>
          <w:lang w:val="fr-CH"/>
        </w:rPr>
        <w:t xml:space="preserve">ses Décisions 600 et 601, le Conseil a encouragé les opérateurs à </w:t>
      </w:r>
      <w:r w:rsidR="005B4F93" w:rsidRPr="003607BA">
        <w:rPr>
          <w:rFonts w:asciiTheme="minorHAnsi" w:hAnsiTheme="minorHAnsi"/>
          <w:lang w:val="fr-CH"/>
        </w:rPr>
        <w:t>actualiser leurs listes de numéros UIFN en service</w:t>
      </w:r>
      <w:r w:rsidR="003C524F" w:rsidRPr="003607BA">
        <w:rPr>
          <w:rFonts w:asciiTheme="minorHAnsi" w:hAnsiTheme="minorHAnsi"/>
          <w:lang w:val="fr-CH"/>
        </w:rPr>
        <w:t xml:space="preserve"> et à restituer </w:t>
      </w:r>
      <w:r w:rsidR="00E051CF" w:rsidRPr="003607BA">
        <w:rPr>
          <w:rFonts w:asciiTheme="minorHAnsi" w:hAnsiTheme="minorHAnsi"/>
          <w:lang w:val="fr-CH"/>
        </w:rPr>
        <w:t xml:space="preserve">à l'UIT </w:t>
      </w:r>
      <w:r w:rsidR="003C524F" w:rsidRPr="003607BA">
        <w:rPr>
          <w:rFonts w:asciiTheme="minorHAnsi" w:hAnsiTheme="minorHAnsi"/>
          <w:lang w:val="fr-CH"/>
        </w:rPr>
        <w:t xml:space="preserve">les numéros UIFN </w:t>
      </w:r>
      <w:r w:rsidR="00E051CF">
        <w:rPr>
          <w:rFonts w:asciiTheme="minorHAnsi" w:hAnsiTheme="minorHAnsi"/>
          <w:lang w:val="fr-CH"/>
        </w:rPr>
        <w:t>qu'ils n'utilisent pas</w:t>
      </w:r>
      <w:r w:rsidR="003C524F" w:rsidRPr="003607BA">
        <w:rPr>
          <w:rFonts w:asciiTheme="minorHAnsi" w:hAnsiTheme="minorHAnsi"/>
          <w:lang w:val="fr-CH"/>
        </w:rPr>
        <w:t>.</w:t>
      </w:r>
    </w:p>
    <w:p w14:paraId="7ED23081" w14:textId="45CAE57B" w:rsidR="00254ADD" w:rsidRPr="00501777" w:rsidRDefault="00254ADD" w:rsidP="002C2712">
      <w:pPr>
        <w:pStyle w:val="Heading2"/>
        <w:rPr>
          <w:lang w:val="fr-CH"/>
        </w:rPr>
      </w:pPr>
      <w:r w:rsidRPr="00C854AD">
        <w:rPr>
          <w:lang w:val="fr-CH"/>
        </w:rPr>
        <w:t>4.2</w:t>
      </w:r>
      <w:r w:rsidRPr="00C854AD">
        <w:rPr>
          <w:lang w:val="fr-CH"/>
        </w:rPr>
        <w:tab/>
      </w:r>
      <w:r w:rsidR="006005C4" w:rsidRPr="003607BA">
        <w:rPr>
          <w:lang w:val="fr-CH"/>
        </w:rPr>
        <w:t>Mise</w:t>
      </w:r>
      <w:r w:rsidR="0002014A" w:rsidRPr="003607BA">
        <w:rPr>
          <w:lang w:val="fr-CH"/>
        </w:rPr>
        <w:t>s</w:t>
      </w:r>
      <w:r w:rsidR="006005C4" w:rsidRPr="003607BA">
        <w:rPr>
          <w:lang w:val="fr-CH"/>
        </w:rPr>
        <w:t xml:space="preserve"> à jour </w:t>
      </w:r>
      <w:r w:rsidR="001B1C15">
        <w:rPr>
          <w:lang w:val="fr-CH"/>
        </w:rPr>
        <w:t xml:space="preserve">des enregistrements de </w:t>
      </w:r>
      <w:r w:rsidR="006005C4" w:rsidRPr="00C854AD">
        <w:rPr>
          <w:lang w:val="fr-CH"/>
        </w:rPr>
        <w:t>numéros IIN</w:t>
      </w:r>
    </w:p>
    <w:p w14:paraId="1059A450" w14:textId="78C88D53" w:rsidR="006005C4" w:rsidRPr="00501777" w:rsidRDefault="008469C6" w:rsidP="00651840">
      <w:pPr>
        <w:spacing w:after="240"/>
        <w:rPr>
          <w:rFonts w:asciiTheme="minorHAnsi" w:hAnsiTheme="minorHAnsi"/>
          <w:lang w:val="fr-CH"/>
        </w:rPr>
      </w:pPr>
      <w:r>
        <w:rPr>
          <w:lang w:val="fr-CH"/>
        </w:rPr>
        <w:t>Compte tenu</w:t>
      </w:r>
      <w:r w:rsidR="006005C4" w:rsidRPr="00C854AD">
        <w:rPr>
          <w:lang w:val="fr-CH"/>
        </w:rPr>
        <w:t xml:space="preserve"> des notifications et des réponses fournies par les administrations/autorités de régulation nationales ou par </w:t>
      </w:r>
      <w:r w:rsidR="006005C4" w:rsidRPr="003607BA">
        <w:rPr>
          <w:lang w:val="fr-CH"/>
        </w:rPr>
        <w:t>l</w:t>
      </w:r>
      <w:r w:rsidR="006005C4" w:rsidRPr="00C854AD">
        <w:rPr>
          <w:lang w:val="fr-CH"/>
        </w:rPr>
        <w:t xml:space="preserve">es exploitations autorisées, le nombre de </w:t>
      </w:r>
      <w:r w:rsidR="0002014A" w:rsidRPr="003607BA">
        <w:rPr>
          <w:lang w:val="fr-CH"/>
        </w:rPr>
        <w:t xml:space="preserve">mises à jour </w:t>
      </w:r>
      <w:r>
        <w:rPr>
          <w:lang w:val="fr-CH"/>
        </w:rPr>
        <w:t xml:space="preserve">des enregistrements de </w:t>
      </w:r>
      <w:r w:rsidR="006005C4" w:rsidRPr="00501777">
        <w:rPr>
          <w:rFonts w:asciiTheme="minorHAnsi" w:hAnsiTheme="minorHAnsi"/>
          <w:lang w:val="fr-CH"/>
        </w:rPr>
        <w:t xml:space="preserve">numéros IIN </w:t>
      </w:r>
      <w:r>
        <w:rPr>
          <w:rFonts w:asciiTheme="minorHAnsi" w:hAnsiTheme="minorHAnsi"/>
          <w:lang w:val="fr-CH"/>
        </w:rPr>
        <w:t xml:space="preserve">effectuées chaque </w:t>
      </w:r>
      <w:r w:rsidR="006005C4" w:rsidRPr="00501777">
        <w:rPr>
          <w:rFonts w:asciiTheme="minorHAnsi" w:hAnsiTheme="minorHAnsi"/>
          <w:lang w:val="fr-CH"/>
        </w:rPr>
        <w:t xml:space="preserve">année depuis 2014 est </w:t>
      </w:r>
      <w:r>
        <w:rPr>
          <w:rFonts w:asciiTheme="minorHAnsi" w:hAnsiTheme="minorHAnsi"/>
          <w:lang w:val="fr-CH"/>
        </w:rPr>
        <w:t xml:space="preserve">indiqué </w:t>
      </w:r>
      <w:r w:rsidR="006005C4" w:rsidRPr="00501777">
        <w:rPr>
          <w:rFonts w:asciiTheme="minorHAnsi" w:hAnsiTheme="minorHAnsi"/>
          <w:lang w:val="fr-CH"/>
        </w:rPr>
        <w:t>dans le tableau ci-dessous: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717"/>
        <w:gridCol w:w="1714"/>
        <w:gridCol w:w="1243"/>
        <w:gridCol w:w="1343"/>
      </w:tblGrid>
      <w:tr w:rsidR="00254ADD" w:rsidRPr="003607BA" w14:paraId="456E0123" w14:textId="77777777" w:rsidTr="002C2712">
        <w:trPr>
          <w:trHeight w:val="300"/>
          <w:jc w:val="center"/>
        </w:trPr>
        <w:tc>
          <w:tcPr>
            <w:tcW w:w="1555" w:type="dxa"/>
            <w:noWrap/>
            <w:hideMark/>
          </w:tcPr>
          <w:p w14:paraId="10FD7F3F" w14:textId="0AE361B1" w:rsidR="00254ADD" w:rsidRPr="00C854AD" w:rsidRDefault="006005C4" w:rsidP="002C2712">
            <w:pPr>
              <w:pStyle w:val="Tablehead"/>
              <w:spacing w:before="40" w:after="40"/>
              <w:jc w:val="left"/>
              <w:rPr>
                <w:lang w:val="fr-CH"/>
              </w:rPr>
            </w:pPr>
            <w:r w:rsidRPr="00C854AD">
              <w:rPr>
                <w:lang w:val="fr-CH"/>
              </w:rPr>
              <w:t>Année</w:t>
            </w:r>
          </w:p>
        </w:tc>
        <w:tc>
          <w:tcPr>
            <w:tcW w:w="1717" w:type="dxa"/>
            <w:noWrap/>
            <w:hideMark/>
          </w:tcPr>
          <w:p w14:paraId="680748B6" w14:textId="6CAF1A89" w:rsidR="00254ADD" w:rsidRPr="00C854AD" w:rsidRDefault="00A271D7" w:rsidP="002C2712">
            <w:pPr>
              <w:pStyle w:val="Tablehead"/>
              <w:spacing w:before="40" w:after="40"/>
              <w:rPr>
                <w:lang w:val="fr-CH"/>
              </w:rPr>
            </w:pPr>
            <w:r>
              <w:rPr>
                <w:lang w:val="fr-CH"/>
              </w:rPr>
              <w:t>Nouveaux enregistrements</w:t>
            </w:r>
          </w:p>
        </w:tc>
        <w:tc>
          <w:tcPr>
            <w:tcW w:w="1714" w:type="dxa"/>
            <w:noWrap/>
            <w:hideMark/>
          </w:tcPr>
          <w:p w14:paraId="7A7D4A20" w14:textId="0C29A230" w:rsidR="00254ADD" w:rsidRPr="00C854AD" w:rsidRDefault="00A271D7" w:rsidP="002C2712">
            <w:pPr>
              <w:pStyle w:val="Tablehead"/>
              <w:spacing w:before="40" w:after="40"/>
              <w:rPr>
                <w:lang w:val="fr-CH"/>
              </w:rPr>
            </w:pPr>
            <w:r>
              <w:rPr>
                <w:lang w:val="fr-CH"/>
              </w:rPr>
              <w:t>Enregistrements supprimés</w:t>
            </w:r>
          </w:p>
        </w:tc>
        <w:tc>
          <w:tcPr>
            <w:tcW w:w="1243" w:type="dxa"/>
            <w:noWrap/>
            <w:hideMark/>
          </w:tcPr>
          <w:p w14:paraId="3391AFED" w14:textId="1A855912" w:rsidR="00254ADD" w:rsidRPr="00C854AD" w:rsidRDefault="0002014A" w:rsidP="002C2712">
            <w:pPr>
              <w:pStyle w:val="Tablehead"/>
              <w:spacing w:before="40" w:after="40"/>
              <w:rPr>
                <w:lang w:val="fr-CH"/>
              </w:rPr>
            </w:pPr>
            <w:r w:rsidRPr="00C854AD">
              <w:rPr>
                <w:lang w:val="fr-CH"/>
              </w:rPr>
              <w:t>Mises à jour</w:t>
            </w:r>
          </w:p>
        </w:tc>
        <w:tc>
          <w:tcPr>
            <w:tcW w:w="1343" w:type="dxa"/>
          </w:tcPr>
          <w:p w14:paraId="7716EC23" w14:textId="5E821892" w:rsidR="00254ADD" w:rsidRPr="00C854AD" w:rsidRDefault="00254ADD" w:rsidP="002C2712">
            <w:pPr>
              <w:pStyle w:val="Tablehead"/>
              <w:spacing w:before="40" w:after="40"/>
              <w:rPr>
                <w:lang w:val="fr-CH"/>
              </w:rPr>
            </w:pPr>
            <w:bookmarkStart w:id="12" w:name="lt_pId089"/>
            <w:r w:rsidRPr="00C854AD">
              <w:rPr>
                <w:lang w:val="fr-CH"/>
              </w:rPr>
              <w:t>Total/</w:t>
            </w:r>
            <w:bookmarkEnd w:id="12"/>
            <w:r w:rsidR="006005C4" w:rsidRPr="00C854AD">
              <w:rPr>
                <w:lang w:val="fr-CH"/>
              </w:rPr>
              <w:t>année</w:t>
            </w:r>
          </w:p>
        </w:tc>
      </w:tr>
      <w:tr w:rsidR="00254ADD" w:rsidRPr="003607BA" w14:paraId="680D4BD3" w14:textId="77777777" w:rsidTr="002C2712">
        <w:trPr>
          <w:trHeight w:val="300"/>
          <w:jc w:val="center"/>
        </w:trPr>
        <w:tc>
          <w:tcPr>
            <w:tcW w:w="1555" w:type="dxa"/>
            <w:noWrap/>
            <w:hideMark/>
          </w:tcPr>
          <w:p w14:paraId="282E7076" w14:textId="77777777" w:rsidR="00254ADD" w:rsidRPr="00C854AD" w:rsidRDefault="00254ADD" w:rsidP="002C2712">
            <w:pPr>
              <w:pStyle w:val="Tabletext"/>
              <w:spacing w:before="40" w:after="40"/>
              <w:rPr>
                <w:lang w:val="fr-CH"/>
              </w:rPr>
            </w:pPr>
            <w:r w:rsidRPr="00C854AD">
              <w:rPr>
                <w:lang w:val="fr-CH"/>
              </w:rPr>
              <w:t>2014</w:t>
            </w:r>
          </w:p>
        </w:tc>
        <w:tc>
          <w:tcPr>
            <w:tcW w:w="1717" w:type="dxa"/>
            <w:noWrap/>
            <w:hideMark/>
          </w:tcPr>
          <w:p w14:paraId="189D230E" w14:textId="77777777" w:rsidR="00254ADD" w:rsidRPr="00C854AD" w:rsidRDefault="00254ADD" w:rsidP="002C2712">
            <w:pPr>
              <w:pStyle w:val="Tabletext"/>
              <w:spacing w:before="40" w:after="40"/>
              <w:jc w:val="center"/>
              <w:rPr>
                <w:lang w:val="fr-CH"/>
              </w:rPr>
            </w:pPr>
            <w:r w:rsidRPr="00C854AD">
              <w:rPr>
                <w:lang w:val="fr-CH"/>
              </w:rPr>
              <w:t>22</w:t>
            </w:r>
          </w:p>
        </w:tc>
        <w:tc>
          <w:tcPr>
            <w:tcW w:w="1714" w:type="dxa"/>
            <w:noWrap/>
            <w:hideMark/>
          </w:tcPr>
          <w:p w14:paraId="5F568ECD" w14:textId="77777777" w:rsidR="00254ADD" w:rsidRPr="00C854AD" w:rsidRDefault="00254ADD" w:rsidP="002C2712">
            <w:pPr>
              <w:pStyle w:val="Tabletext"/>
              <w:spacing w:before="40" w:after="40"/>
              <w:jc w:val="center"/>
              <w:rPr>
                <w:lang w:val="fr-CH"/>
              </w:rPr>
            </w:pPr>
            <w:r w:rsidRPr="00C854AD">
              <w:rPr>
                <w:lang w:val="fr-CH"/>
              </w:rPr>
              <w:t>3</w:t>
            </w:r>
          </w:p>
        </w:tc>
        <w:tc>
          <w:tcPr>
            <w:tcW w:w="1243" w:type="dxa"/>
            <w:noWrap/>
            <w:hideMark/>
          </w:tcPr>
          <w:p w14:paraId="16B12997" w14:textId="77777777" w:rsidR="00254ADD" w:rsidRPr="00C854AD" w:rsidRDefault="00254ADD" w:rsidP="002C2712">
            <w:pPr>
              <w:pStyle w:val="Tabletext"/>
              <w:spacing w:before="40" w:after="40"/>
              <w:jc w:val="center"/>
              <w:rPr>
                <w:lang w:val="fr-CH"/>
              </w:rPr>
            </w:pPr>
            <w:r w:rsidRPr="00C854AD">
              <w:rPr>
                <w:lang w:val="fr-CH"/>
              </w:rPr>
              <w:t>12</w:t>
            </w:r>
          </w:p>
        </w:tc>
        <w:tc>
          <w:tcPr>
            <w:tcW w:w="1343" w:type="dxa"/>
          </w:tcPr>
          <w:p w14:paraId="2595348A" w14:textId="77777777" w:rsidR="00254ADD" w:rsidRPr="00C854AD" w:rsidRDefault="00254ADD" w:rsidP="002C2712">
            <w:pPr>
              <w:pStyle w:val="Tabletext"/>
              <w:spacing w:before="40" w:after="40"/>
              <w:jc w:val="center"/>
              <w:rPr>
                <w:lang w:val="fr-CH"/>
              </w:rPr>
            </w:pPr>
            <w:r w:rsidRPr="00C854AD">
              <w:rPr>
                <w:lang w:val="fr-CH"/>
              </w:rPr>
              <w:t>37</w:t>
            </w:r>
          </w:p>
        </w:tc>
      </w:tr>
      <w:tr w:rsidR="00254ADD" w:rsidRPr="003607BA" w14:paraId="7F79A10A" w14:textId="77777777" w:rsidTr="002C2712">
        <w:trPr>
          <w:trHeight w:val="300"/>
          <w:jc w:val="center"/>
        </w:trPr>
        <w:tc>
          <w:tcPr>
            <w:tcW w:w="1555" w:type="dxa"/>
            <w:noWrap/>
            <w:hideMark/>
          </w:tcPr>
          <w:p w14:paraId="6122D89C" w14:textId="77777777" w:rsidR="00254ADD" w:rsidRPr="00C854AD" w:rsidRDefault="00254ADD" w:rsidP="002C2712">
            <w:pPr>
              <w:pStyle w:val="Tabletext"/>
              <w:spacing w:before="40" w:after="40"/>
              <w:rPr>
                <w:lang w:val="fr-CH"/>
              </w:rPr>
            </w:pPr>
            <w:r w:rsidRPr="00C854AD">
              <w:rPr>
                <w:lang w:val="fr-CH"/>
              </w:rPr>
              <w:t>2015</w:t>
            </w:r>
          </w:p>
        </w:tc>
        <w:tc>
          <w:tcPr>
            <w:tcW w:w="1717" w:type="dxa"/>
            <w:noWrap/>
            <w:hideMark/>
          </w:tcPr>
          <w:p w14:paraId="10DCB549" w14:textId="77777777" w:rsidR="00254ADD" w:rsidRPr="00C854AD" w:rsidRDefault="00254ADD" w:rsidP="002C2712">
            <w:pPr>
              <w:pStyle w:val="Tabletext"/>
              <w:spacing w:before="40" w:after="40"/>
              <w:jc w:val="center"/>
              <w:rPr>
                <w:lang w:val="fr-CH"/>
              </w:rPr>
            </w:pPr>
            <w:r w:rsidRPr="00C854AD">
              <w:rPr>
                <w:lang w:val="fr-CH"/>
              </w:rPr>
              <w:t>24</w:t>
            </w:r>
          </w:p>
        </w:tc>
        <w:tc>
          <w:tcPr>
            <w:tcW w:w="1714" w:type="dxa"/>
            <w:noWrap/>
            <w:hideMark/>
          </w:tcPr>
          <w:p w14:paraId="7E237879" w14:textId="77777777" w:rsidR="00254ADD" w:rsidRPr="00C854AD" w:rsidRDefault="00254ADD" w:rsidP="002C2712">
            <w:pPr>
              <w:pStyle w:val="Tabletext"/>
              <w:spacing w:before="40" w:after="40"/>
              <w:jc w:val="center"/>
              <w:rPr>
                <w:lang w:val="fr-CH"/>
              </w:rPr>
            </w:pPr>
            <w:r w:rsidRPr="00C854AD">
              <w:rPr>
                <w:lang w:val="fr-CH"/>
              </w:rPr>
              <w:t>1</w:t>
            </w:r>
          </w:p>
        </w:tc>
        <w:tc>
          <w:tcPr>
            <w:tcW w:w="1243" w:type="dxa"/>
            <w:noWrap/>
            <w:hideMark/>
          </w:tcPr>
          <w:p w14:paraId="31D1BAAF" w14:textId="77777777" w:rsidR="00254ADD" w:rsidRPr="00C854AD" w:rsidRDefault="00254ADD" w:rsidP="002C2712">
            <w:pPr>
              <w:pStyle w:val="Tabletext"/>
              <w:spacing w:before="40" w:after="40"/>
              <w:jc w:val="center"/>
              <w:rPr>
                <w:lang w:val="fr-CH"/>
              </w:rPr>
            </w:pPr>
            <w:r w:rsidRPr="00C854AD">
              <w:rPr>
                <w:lang w:val="fr-CH"/>
              </w:rPr>
              <w:t>6</w:t>
            </w:r>
          </w:p>
        </w:tc>
        <w:tc>
          <w:tcPr>
            <w:tcW w:w="1343" w:type="dxa"/>
          </w:tcPr>
          <w:p w14:paraId="55F3A7CF" w14:textId="77777777" w:rsidR="00254ADD" w:rsidRPr="00C854AD" w:rsidRDefault="00254ADD" w:rsidP="002C2712">
            <w:pPr>
              <w:pStyle w:val="Tabletext"/>
              <w:spacing w:before="40" w:after="40"/>
              <w:jc w:val="center"/>
              <w:rPr>
                <w:lang w:val="fr-CH"/>
              </w:rPr>
            </w:pPr>
            <w:r w:rsidRPr="00C854AD">
              <w:rPr>
                <w:lang w:val="fr-CH"/>
              </w:rPr>
              <w:t>30</w:t>
            </w:r>
          </w:p>
        </w:tc>
      </w:tr>
      <w:tr w:rsidR="00254ADD" w:rsidRPr="003607BA" w14:paraId="31DB3A37" w14:textId="77777777" w:rsidTr="002C2712">
        <w:trPr>
          <w:trHeight w:val="300"/>
          <w:jc w:val="center"/>
        </w:trPr>
        <w:tc>
          <w:tcPr>
            <w:tcW w:w="1555" w:type="dxa"/>
            <w:noWrap/>
            <w:hideMark/>
          </w:tcPr>
          <w:p w14:paraId="7823EB99" w14:textId="77777777" w:rsidR="00254ADD" w:rsidRPr="00C854AD" w:rsidRDefault="00254ADD" w:rsidP="002C2712">
            <w:pPr>
              <w:pStyle w:val="Tabletext"/>
              <w:spacing w:before="40" w:after="40"/>
              <w:rPr>
                <w:lang w:val="fr-CH"/>
              </w:rPr>
            </w:pPr>
            <w:r w:rsidRPr="00C854AD">
              <w:rPr>
                <w:lang w:val="fr-CH"/>
              </w:rPr>
              <w:t>2016</w:t>
            </w:r>
          </w:p>
        </w:tc>
        <w:tc>
          <w:tcPr>
            <w:tcW w:w="1717" w:type="dxa"/>
            <w:noWrap/>
            <w:hideMark/>
          </w:tcPr>
          <w:p w14:paraId="15124D3D" w14:textId="77777777" w:rsidR="00254ADD" w:rsidRPr="00C854AD" w:rsidRDefault="00254ADD" w:rsidP="002C2712">
            <w:pPr>
              <w:pStyle w:val="Tabletext"/>
              <w:spacing w:before="40" w:after="40"/>
              <w:jc w:val="center"/>
              <w:rPr>
                <w:lang w:val="fr-CH"/>
              </w:rPr>
            </w:pPr>
            <w:r w:rsidRPr="00C854AD">
              <w:rPr>
                <w:lang w:val="fr-CH"/>
              </w:rPr>
              <w:t>22</w:t>
            </w:r>
          </w:p>
        </w:tc>
        <w:tc>
          <w:tcPr>
            <w:tcW w:w="1714" w:type="dxa"/>
            <w:noWrap/>
            <w:hideMark/>
          </w:tcPr>
          <w:p w14:paraId="7A29CBFD" w14:textId="77777777" w:rsidR="00254ADD" w:rsidRPr="00C854AD" w:rsidRDefault="00254ADD" w:rsidP="002C2712">
            <w:pPr>
              <w:pStyle w:val="Tabletext"/>
              <w:spacing w:before="40" w:after="40"/>
              <w:jc w:val="center"/>
              <w:rPr>
                <w:lang w:val="fr-CH"/>
              </w:rPr>
            </w:pPr>
            <w:r w:rsidRPr="00C854AD">
              <w:rPr>
                <w:lang w:val="fr-CH"/>
              </w:rPr>
              <w:t>1</w:t>
            </w:r>
          </w:p>
        </w:tc>
        <w:tc>
          <w:tcPr>
            <w:tcW w:w="1243" w:type="dxa"/>
            <w:noWrap/>
            <w:hideMark/>
          </w:tcPr>
          <w:p w14:paraId="308396E8" w14:textId="77777777" w:rsidR="00254ADD" w:rsidRPr="00C854AD" w:rsidRDefault="00254ADD" w:rsidP="002C2712">
            <w:pPr>
              <w:pStyle w:val="Tabletext"/>
              <w:spacing w:before="40" w:after="40"/>
              <w:jc w:val="center"/>
              <w:rPr>
                <w:lang w:val="fr-CH"/>
              </w:rPr>
            </w:pPr>
            <w:r w:rsidRPr="00C854AD">
              <w:rPr>
                <w:lang w:val="fr-CH"/>
              </w:rPr>
              <w:t>14</w:t>
            </w:r>
          </w:p>
        </w:tc>
        <w:tc>
          <w:tcPr>
            <w:tcW w:w="1343" w:type="dxa"/>
          </w:tcPr>
          <w:p w14:paraId="43410EA2" w14:textId="77777777" w:rsidR="00254ADD" w:rsidRPr="00C854AD" w:rsidRDefault="00254ADD" w:rsidP="002C2712">
            <w:pPr>
              <w:pStyle w:val="Tabletext"/>
              <w:spacing w:before="40" w:after="40"/>
              <w:jc w:val="center"/>
              <w:rPr>
                <w:lang w:val="fr-CH"/>
              </w:rPr>
            </w:pPr>
            <w:r w:rsidRPr="00C854AD">
              <w:rPr>
                <w:lang w:val="fr-CH"/>
              </w:rPr>
              <w:t>37</w:t>
            </w:r>
          </w:p>
        </w:tc>
      </w:tr>
      <w:tr w:rsidR="00254ADD" w:rsidRPr="003607BA" w14:paraId="356F76CB" w14:textId="77777777" w:rsidTr="002C2712">
        <w:trPr>
          <w:trHeight w:val="300"/>
          <w:jc w:val="center"/>
        </w:trPr>
        <w:tc>
          <w:tcPr>
            <w:tcW w:w="1555" w:type="dxa"/>
            <w:noWrap/>
            <w:hideMark/>
          </w:tcPr>
          <w:p w14:paraId="42550FE5" w14:textId="77777777" w:rsidR="00254ADD" w:rsidRPr="00C854AD" w:rsidRDefault="00254ADD" w:rsidP="002C2712">
            <w:pPr>
              <w:pStyle w:val="Tabletext"/>
              <w:spacing w:before="40" w:after="40"/>
              <w:rPr>
                <w:lang w:val="fr-CH"/>
              </w:rPr>
            </w:pPr>
            <w:r w:rsidRPr="00C854AD">
              <w:rPr>
                <w:lang w:val="fr-CH"/>
              </w:rPr>
              <w:t>2017</w:t>
            </w:r>
          </w:p>
        </w:tc>
        <w:tc>
          <w:tcPr>
            <w:tcW w:w="1717" w:type="dxa"/>
            <w:noWrap/>
            <w:hideMark/>
          </w:tcPr>
          <w:p w14:paraId="544F9BB5" w14:textId="77777777" w:rsidR="00254ADD" w:rsidRPr="00C854AD" w:rsidRDefault="00254ADD" w:rsidP="002C2712">
            <w:pPr>
              <w:pStyle w:val="Tabletext"/>
              <w:spacing w:before="40" w:after="40"/>
              <w:jc w:val="center"/>
              <w:rPr>
                <w:lang w:val="fr-CH"/>
              </w:rPr>
            </w:pPr>
            <w:r w:rsidRPr="00C854AD">
              <w:rPr>
                <w:lang w:val="fr-CH"/>
              </w:rPr>
              <w:t>22</w:t>
            </w:r>
          </w:p>
        </w:tc>
        <w:tc>
          <w:tcPr>
            <w:tcW w:w="1714" w:type="dxa"/>
            <w:noWrap/>
            <w:hideMark/>
          </w:tcPr>
          <w:p w14:paraId="0D154E97" w14:textId="77777777" w:rsidR="00254ADD" w:rsidRPr="00C854AD" w:rsidRDefault="00254ADD" w:rsidP="002C2712">
            <w:pPr>
              <w:pStyle w:val="Tabletext"/>
              <w:spacing w:before="40" w:after="40"/>
              <w:jc w:val="center"/>
              <w:rPr>
                <w:lang w:val="fr-CH"/>
              </w:rPr>
            </w:pPr>
            <w:r w:rsidRPr="00C854AD">
              <w:rPr>
                <w:lang w:val="fr-CH"/>
              </w:rPr>
              <w:t>7</w:t>
            </w:r>
          </w:p>
        </w:tc>
        <w:tc>
          <w:tcPr>
            <w:tcW w:w="1243" w:type="dxa"/>
            <w:noWrap/>
            <w:hideMark/>
          </w:tcPr>
          <w:p w14:paraId="0574B68C" w14:textId="77777777" w:rsidR="00254ADD" w:rsidRPr="00C854AD" w:rsidRDefault="00254ADD" w:rsidP="002C2712">
            <w:pPr>
              <w:pStyle w:val="Tabletext"/>
              <w:spacing w:before="40" w:after="40"/>
              <w:jc w:val="center"/>
              <w:rPr>
                <w:lang w:val="fr-CH"/>
              </w:rPr>
            </w:pPr>
            <w:r w:rsidRPr="00C854AD">
              <w:rPr>
                <w:lang w:val="fr-CH"/>
              </w:rPr>
              <w:t>83</w:t>
            </w:r>
          </w:p>
        </w:tc>
        <w:tc>
          <w:tcPr>
            <w:tcW w:w="1343" w:type="dxa"/>
          </w:tcPr>
          <w:p w14:paraId="698BDB78" w14:textId="77777777" w:rsidR="00254ADD" w:rsidRPr="00C854AD" w:rsidRDefault="00254ADD" w:rsidP="002C2712">
            <w:pPr>
              <w:pStyle w:val="Tabletext"/>
              <w:spacing w:before="40" w:after="40"/>
              <w:jc w:val="center"/>
              <w:rPr>
                <w:lang w:val="fr-CH"/>
              </w:rPr>
            </w:pPr>
            <w:r w:rsidRPr="00C854AD">
              <w:rPr>
                <w:lang w:val="fr-CH"/>
              </w:rPr>
              <w:t>112</w:t>
            </w:r>
          </w:p>
        </w:tc>
      </w:tr>
      <w:tr w:rsidR="00254ADD" w:rsidRPr="003607BA" w14:paraId="51D4ECED" w14:textId="77777777" w:rsidTr="002C2712">
        <w:trPr>
          <w:trHeight w:val="300"/>
          <w:jc w:val="center"/>
        </w:trPr>
        <w:tc>
          <w:tcPr>
            <w:tcW w:w="1555" w:type="dxa"/>
            <w:noWrap/>
            <w:hideMark/>
          </w:tcPr>
          <w:p w14:paraId="102D0851" w14:textId="77777777" w:rsidR="00254ADD" w:rsidRPr="00C854AD" w:rsidRDefault="00254ADD" w:rsidP="002C2712">
            <w:pPr>
              <w:pStyle w:val="Tabletext"/>
              <w:spacing w:before="40" w:after="40"/>
              <w:rPr>
                <w:lang w:val="fr-CH"/>
              </w:rPr>
            </w:pPr>
            <w:r w:rsidRPr="00C854AD">
              <w:rPr>
                <w:lang w:val="fr-CH"/>
              </w:rPr>
              <w:t>2018</w:t>
            </w:r>
          </w:p>
        </w:tc>
        <w:tc>
          <w:tcPr>
            <w:tcW w:w="1717" w:type="dxa"/>
            <w:noWrap/>
            <w:hideMark/>
          </w:tcPr>
          <w:p w14:paraId="2AA4B23E" w14:textId="77777777" w:rsidR="00254ADD" w:rsidRPr="00C854AD" w:rsidRDefault="00254ADD" w:rsidP="002C2712">
            <w:pPr>
              <w:pStyle w:val="Tabletext"/>
              <w:spacing w:before="40" w:after="40"/>
              <w:jc w:val="center"/>
              <w:rPr>
                <w:lang w:val="fr-CH"/>
              </w:rPr>
            </w:pPr>
            <w:r w:rsidRPr="00C854AD">
              <w:rPr>
                <w:lang w:val="fr-CH"/>
              </w:rPr>
              <w:t>35</w:t>
            </w:r>
          </w:p>
        </w:tc>
        <w:tc>
          <w:tcPr>
            <w:tcW w:w="1714" w:type="dxa"/>
            <w:noWrap/>
            <w:hideMark/>
          </w:tcPr>
          <w:p w14:paraId="0B56AB73" w14:textId="77777777" w:rsidR="00254ADD" w:rsidRPr="00C854AD" w:rsidRDefault="00254ADD" w:rsidP="002C2712">
            <w:pPr>
              <w:pStyle w:val="Tabletext"/>
              <w:spacing w:before="40" w:after="40"/>
              <w:jc w:val="center"/>
              <w:rPr>
                <w:lang w:val="fr-CH"/>
              </w:rPr>
            </w:pPr>
            <w:r w:rsidRPr="00C854AD">
              <w:rPr>
                <w:lang w:val="fr-CH"/>
              </w:rPr>
              <w:t>29</w:t>
            </w:r>
          </w:p>
        </w:tc>
        <w:tc>
          <w:tcPr>
            <w:tcW w:w="1243" w:type="dxa"/>
            <w:noWrap/>
            <w:hideMark/>
          </w:tcPr>
          <w:p w14:paraId="16FC13BA" w14:textId="77777777" w:rsidR="00254ADD" w:rsidRPr="00C854AD" w:rsidRDefault="00254ADD" w:rsidP="002C2712">
            <w:pPr>
              <w:pStyle w:val="Tabletext"/>
              <w:spacing w:before="40" w:after="40"/>
              <w:jc w:val="center"/>
              <w:rPr>
                <w:lang w:val="fr-CH"/>
              </w:rPr>
            </w:pPr>
            <w:r w:rsidRPr="00C854AD">
              <w:rPr>
                <w:lang w:val="fr-CH"/>
              </w:rPr>
              <w:t>154</w:t>
            </w:r>
          </w:p>
        </w:tc>
        <w:tc>
          <w:tcPr>
            <w:tcW w:w="1343" w:type="dxa"/>
          </w:tcPr>
          <w:p w14:paraId="5F8D7BD8" w14:textId="77777777" w:rsidR="00254ADD" w:rsidRPr="00C854AD" w:rsidRDefault="00254ADD" w:rsidP="002C2712">
            <w:pPr>
              <w:pStyle w:val="Tabletext"/>
              <w:spacing w:before="40" w:after="40"/>
              <w:jc w:val="center"/>
              <w:rPr>
                <w:lang w:val="fr-CH"/>
              </w:rPr>
            </w:pPr>
            <w:r w:rsidRPr="00C854AD">
              <w:rPr>
                <w:lang w:val="fr-CH"/>
              </w:rPr>
              <w:t>218</w:t>
            </w:r>
          </w:p>
        </w:tc>
      </w:tr>
      <w:tr w:rsidR="00254ADD" w:rsidRPr="003607BA" w14:paraId="54AD1A8C" w14:textId="77777777" w:rsidTr="002C2712">
        <w:trPr>
          <w:trHeight w:val="300"/>
          <w:jc w:val="center"/>
        </w:trPr>
        <w:tc>
          <w:tcPr>
            <w:tcW w:w="1555" w:type="dxa"/>
            <w:noWrap/>
            <w:hideMark/>
          </w:tcPr>
          <w:p w14:paraId="709229AB" w14:textId="77777777" w:rsidR="00254ADD" w:rsidRPr="00C854AD" w:rsidRDefault="00254ADD" w:rsidP="002C2712">
            <w:pPr>
              <w:pStyle w:val="Tabletext"/>
              <w:spacing w:before="40" w:after="40"/>
              <w:rPr>
                <w:lang w:val="fr-CH"/>
              </w:rPr>
            </w:pPr>
            <w:r w:rsidRPr="00C854AD">
              <w:rPr>
                <w:lang w:val="fr-CH"/>
              </w:rPr>
              <w:t xml:space="preserve">10 </w:t>
            </w:r>
            <w:bookmarkStart w:id="13" w:name="lt_pId116"/>
            <w:r w:rsidR="003447EF" w:rsidRPr="00C854AD">
              <w:rPr>
                <w:lang w:val="fr-CH"/>
              </w:rPr>
              <w:t>avril</w:t>
            </w:r>
            <w:r w:rsidRPr="00C854AD">
              <w:rPr>
                <w:lang w:val="fr-CH"/>
              </w:rPr>
              <w:t xml:space="preserve"> 2019</w:t>
            </w:r>
            <w:bookmarkEnd w:id="13"/>
          </w:p>
        </w:tc>
        <w:tc>
          <w:tcPr>
            <w:tcW w:w="1717" w:type="dxa"/>
            <w:noWrap/>
            <w:hideMark/>
          </w:tcPr>
          <w:p w14:paraId="325582B4" w14:textId="77777777" w:rsidR="00254ADD" w:rsidRPr="00C854AD" w:rsidRDefault="00254ADD" w:rsidP="002C2712">
            <w:pPr>
              <w:pStyle w:val="Tabletext"/>
              <w:spacing w:before="40" w:after="40"/>
              <w:jc w:val="center"/>
              <w:rPr>
                <w:lang w:val="fr-CH"/>
              </w:rPr>
            </w:pPr>
            <w:r w:rsidRPr="00C854AD">
              <w:rPr>
                <w:lang w:val="fr-CH"/>
              </w:rPr>
              <w:t>4</w:t>
            </w:r>
          </w:p>
        </w:tc>
        <w:tc>
          <w:tcPr>
            <w:tcW w:w="1714" w:type="dxa"/>
            <w:noWrap/>
            <w:hideMark/>
          </w:tcPr>
          <w:p w14:paraId="1583F75A" w14:textId="77777777" w:rsidR="00254ADD" w:rsidRPr="00C854AD" w:rsidRDefault="00254ADD" w:rsidP="002C2712">
            <w:pPr>
              <w:pStyle w:val="Tabletext"/>
              <w:spacing w:before="40" w:after="40"/>
              <w:jc w:val="center"/>
              <w:rPr>
                <w:lang w:val="fr-CH"/>
              </w:rPr>
            </w:pPr>
            <w:r w:rsidRPr="00C854AD">
              <w:rPr>
                <w:lang w:val="fr-CH"/>
              </w:rPr>
              <w:t>5</w:t>
            </w:r>
          </w:p>
        </w:tc>
        <w:tc>
          <w:tcPr>
            <w:tcW w:w="1243" w:type="dxa"/>
            <w:noWrap/>
            <w:hideMark/>
          </w:tcPr>
          <w:p w14:paraId="02B507DF" w14:textId="77777777" w:rsidR="00254ADD" w:rsidRPr="00C854AD" w:rsidRDefault="00254ADD" w:rsidP="002C2712">
            <w:pPr>
              <w:pStyle w:val="Tabletext"/>
              <w:spacing w:before="40" w:after="40"/>
              <w:jc w:val="center"/>
              <w:rPr>
                <w:lang w:val="fr-CH"/>
              </w:rPr>
            </w:pPr>
            <w:r w:rsidRPr="00C854AD">
              <w:rPr>
                <w:lang w:val="fr-CH"/>
              </w:rPr>
              <w:t>33</w:t>
            </w:r>
          </w:p>
        </w:tc>
        <w:tc>
          <w:tcPr>
            <w:tcW w:w="1343" w:type="dxa"/>
          </w:tcPr>
          <w:p w14:paraId="75FBB71F" w14:textId="77777777" w:rsidR="00254ADD" w:rsidRPr="00C854AD" w:rsidRDefault="00254ADD" w:rsidP="002C2712">
            <w:pPr>
              <w:pStyle w:val="Tabletext"/>
              <w:spacing w:before="40" w:after="40"/>
              <w:jc w:val="center"/>
              <w:rPr>
                <w:lang w:val="fr-CH"/>
              </w:rPr>
            </w:pPr>
            <w:r w:rsidRPr="00C854AD">
              <w:rPr>
                <w:lang w:val="fr-CH"/>
              </w:rPr>
              <w:t>42</w:t>
            </w:r>
          </w:p>
        </w:tc>
      </w:tr>
    </w:tbl>
    <w:p w14:paraId="2A3E901D" w14:textId="77777777" w:rsidR="00254ADD" w:rsidRPr="00C854AD" w:rsidRDefault="00254ADD" w:rsidP="00651840">
      <w:pPr>
        <w:keepNext/>
        <w:keepLines/>
        <w:spacing w:before="360"/>
        <w:jc w:val="center"/>
        <w:rPr>
          <w:rFonts w:asciiTheme="minorHAnsi" w:hAnsiTheme="minorHAnsi"/>
          <w:lang w:val="fr-CH"/>
        </w:rPr>
      </w:pPr>
      <w:r w:rsidRPr="00825989">
        <w:rPr>
          <w:rFonts w:asciiTheme="minorHAnsi" w:hAnsiTheme="minorHAnsi"/>
          <w:noProof/>
          <w:lang w:val="en-GB" w:eastAsia="zh-CN"/>
        </w:rPr>
        <w:drawing>
          <wp:inline distT="0" distB="0" distL="0" distR="0" wp14:anchorId="51A59ACB" wp14:editId="59304303">
            <wp:extent cx="4962525" cy="2755900"/>
            <wp:effectExtent l="0" t="0" r="9525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298704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949C08" w14:textId="77777777" w:rsidR="00872E7D" w:rsidRDefault="00872E7D" w:rsidP="00651840">
      <w:pPr>
        <w:pStyle w:val="Figurelegend"/>
        <w:rPr>
          <w:lang w:val="fr-CH"/>
        </w:rPr>
      </w:pPr>
      <w:bookmarkStart w:id="14" w:name="lt_pId121"/>
      <w:r w:rsidRPr="00C854AD">
        <w:rPr>
          <w:lang w:val="fr-CH"/>
        </w:rPr>
        <w:t xml:space="preserve">Légende: </w:t>
      </w:r>
    </w:p>
    <w:p w14:paraId="7BA2BBB1" w14:textId="4216B23E" w:rsidR="0002014A" w:rsidRPr="00AC1590" w:rsidRDefault="00AC1590" w:rsidP="00651840">
      <w:pPr>
        <w:pStyle w:val="Figurelegend"/>
        <w:rPr>
          <w:lang w:val="fr-CH"/>
        </w:rPr>
      </w:pPr>
      <w:r>
        <w:rPr>
          <w:rFonts w:asciiTheme="minorHAnsi" w:hAnsiTheme="minorHAnsi"/>
          <w:sz w:val="20"/>
          <w:lang w:val="fr-CH"/>
        </w:rPr>
        <w:t>M</w:t>
      </w:r>
      <w:r w:rsidR="0002014A" w:rsidRPr="00AC1590">
        <w:rPr>
          <w:rFonts w:asciiTheme="minorHAnsi" w:hAnsiTheme="minorHAnsi"/>
          <w:sz w:val="20"/>
          <w:lang w:val="fr-CH"/>
        </w:rPr>
        <w:t>ises à jour</w:t>
      </w:r>
      <w:r w:rsidRPr="00AC1590">
        <w:rPr>
          <w:rFonts w:asciiTheme="minorHAnsi" w:hAnsiTheme="minorHAnsi"/>
          <w:sz w:val="20"/>
          <w:lang w:val="fr-CH"/>
        </w:rPr>
        <w:t xml:space="preserve"> des </w:t>
      </w:r>
      <w:r w:rsidRPr="00AC1590">
        <w:rPr>
          <w:lang w:val="fr-CH"/>
        </w:rPr>
        <w:t>enregistrements</w:t>
      </w:r>
    </w:p>
    <w:p w14:paraId="11FA2A33" w14:textId="13F4C402" w:rsidR="0002014A" w:rsidRPr="00AC1590" w:rsidRDefault="002C2712" w:rsidP="00651840">
      <w:pPr>
        <w:pStyle w:val="Figurelegend"/>
        <w:tabs>
          <w:tab w:val="clear" w:pos="1134"/>
          <w:tab w:val="clear" w:pos="1701"/>
          <w:tab w:val="clear" w:pos="2268"/>
          <w:tab w:val="left" w:pos="6804"/>
        </w:tabs>
        <w:rPr>
          <w:lang w:val="fr-CH"/>
        </w:rPr>
      </w:pPr>
      <w:r>
        <w:rPr>
          <w:lang w:val="fr-CH"/>
        </w:rPr>
        <w:tab/>
      </w:r>
      <w:r w:rsidR="00AC1590" w:rsidRPr="00AC1590">
        <w:rPr>
          <w:lang w:val="fr-CH"/>
        </w:rPr>
        <w:t>Coordonnées mises à jour</w:t>
      </w:r>
    </w:p>
    <w:p w14:paraId="1CC274F5" w14:textId="7ACEC81E" w:rsidR="0002014A" w:rsidRPr="00AC1590" w:rsidRDefault="002C2712" w:rsidP="00651840">
      <w:pPr>
        <w:pStyle w:val="Figurelegend"/>
        <w:tabs>
          <w:tab w:val="clear" w:pos="1134"/>
          <w:tab w:val="clear" w:pos="1701"/>
          <w:tab w:val="clear" w:pos="2268"/>
          <w:tab w:val="left" w:pos="6804"/>
        </w:tabs>
        <w:rPr>
          <w:lang w:val="fr-CH"/>
        </w:rPr>
      </w:pPr>
      <w:r>
        <w:rPr>
          <w:lang w:val="fr-CH"/>
        </w:rPr>
        <w:tab/>
      </w:r>
      <w:r w:rsidR="00AC1590" w:rsidRPr="00AC1590">
        <w:rPr>
          <w:lang w:val="fr-CH"/>
        </w:rPr>
        <w:t>Enregistrements supprimé</w:t>
      </w:r>
      <w:r w:rsidR="0002014A" w:rsidRPr="00AC1590">
        <w:rPr>
          <w:lang w:val="fr-CH"/>
        </w:rPr>
        <w:t>s</w:t>
      </w:r>
    </w:p>
    <w:p w14:paraId="23D291BD" w14:textId="557A1716" w:rsidR="0002014A" w:rsidRPr="00AC1590" w:rsidRDefault="002C2712" w:rsidP="00651840">
      <w:pPr>
        <w:pStyle w:val="Figurelegend"/>
        <w:tabs>
          <w:tab w:val="clear" w:pos="1134"/>
          <w:tab w:val="clear" w:pos="1701"/>
          <w:tab w:val="clear" w:pos="2268"/>
          <w:tab w:val="left" w:pos="6804"/>
        </w:tabs>
        <w:rPr>
          <w:lang w:val="fr-CH"/>
        </w:rPr>
      </w:pPr>
      <w:r>
        <w:rPr>
          <w:lang w:val="fr-CH"/>
        </w:rPr>
        <w:tab/>
      </w:r>
      <w:r w:rsidR="00AC1590" w:rsidRPr="00AC1590">
        <w:rPr>
          <w:lang w:val="fr-CH"/>
        </w:rPr>
        <w:t>Nouveaux enregistrements</w:t>
      </w:r>
    </w:p>
    <w:p w14:paraId="6B88D48D" w14:textId="7BC0DEEB" w:rsidR="0002014A" w:rsidRPr="00AC1590" w:rsidRDefault="00AC1590" w:rsidP="00651840">
      <w:pPr>
        <w:pStyle w:val="Figurelegend"/>
        <w:tabs>
          <w:tab w:val="clear" w:pos="1134"/>
          <w:tab w:val="clear" w:pos="1701"/>
          <w:tab w:val="clear" w:pos="2268"/>
          <w:tab w:val="clear" w:pos="2835"/>
          <w:tab w:val="left" w:pos="6379"/>
        </w:tabs>
        <w:rPr>
          <w:lang w:val="fr-CH"/>
        </w:rPr>
      </w:pPr>
      <w:r w:rsidRPr="00AC1590">
        <w:rPr>
          <w:lang w:val="fr-CH"/>
        </w:rPr>
        <w:t>A</w:t>
      </w:r>
      <w:r w:rsidR="0002014A" w:rsidRPr="00AC1590">
        <w:rPr>
          <w:lang w:val="fr-CH"/>
        </w:rPr>
        <w:t>vril 2019</w:t>
      </w:r>
    </w:p>
    <w:p w14:paraId="3D2B7C3B" w14:textId="3E76C9FB" w:rsidR="00A9045D" w:rsidRPr="00D41A24" w:rsidRDefault="0002014A" w:rsidP="00651840">
      <w:pPr>
        <w:pStyle w:val="Figurelegend"/>
        <w:rPr>
          <w:rFonts w:asciiTheme="minorHAnsi" w:hAnsiTheme="minorHAnsi"/>
          <w:sz w:val="20"/>
          <w:lang w:val="fr-CH"/>
        </w:rPr>
      </w:pPr>
      <w:r w:rsidRPr="003607BA">
        <w:rPr>
          <w:rFonts w:asciiTheme="minorHAnsi" w:hAnsiTheme="minorHAnsi"/>
          <w:sz w:val="20"/>
          <w:lang w:val="fr-CH"/>
        </w:rPr>
        <w:t>Année</w:t>
      </w:r>
    </w:p>
    <w:bookmarkEnd w:id="14"/>
    <w:p w14:paraId="00B5FD3E" w14:textId="5A290D4F" w:rsidR="0002014A" w:rsidRPr="00C854AD" w:rsidRDefault="008E3707" w:rsidP="00F9201C">
      <w:pPr>
        <w:spacing w:before="240"/>
        <w:rPr>
          <w:lang w:val="fr-CH"/>
        </w:rPr>
      </w:pPr>
      <w:r>
        <w:rPr>
          <w:lang w:val="fr-CH"/>
        </w:rPr>
        <w:t xml:space="preserve">Cette figure fait apparaître une nette </w:t>
      </w:r>
      <w:r w:rsidR="0002014A" w:rsidRPr="00C854AD">
        <w:rPr>
          <w:lang w:val="fr-CH"/>
        </w:rPr>
        <w:t>augmentation du nombre de mises à jour</w:t>
      </w:r>
      <w:r>
        <w:rPr>
          <w:lang w:val="fr-CH"/>
        </w:rPr>
        <w:t xml:space="preserve"> d'enregistrements</w:t>
      </w:r>
      <w:r w:rsidR="009E5564">
        <w:rPr>
          <w:lang w:val="fr-CH"/>
        </w:rPr>
        <w:t> </w:t>
      </w:r>
      <w:r w:rsidR="0002014A" w:rsidRPr="00C854AD">
        <w:rPr>
          <w:lang w:val="fr-CH"/>
        </w:rPr>
        <w:t xml:space="preserve">IIN </w:t>
      </w:r>
      <w:r>
        <w:rPr>
          <w:lang w:val="fr-CH"/>
        </w:rPr>
        <w:t xml:space="preserve">effectuées chaque année </w:t>
      </w:r>
      <w:r w:rsidR="0002014A" w:rsidRPr="00C854AD">
        <w:rPr>
          <w:lang w:val="fr-CH"/>
        </w:rPr>
        <w:t xml:space="preserve">suite à l'approbation </w:t>
      </w:r>
      <w:r w:rsidR="0002014A" w:rsidRPr="003607BA">
        <w:rPr>
          <w:lang w:val="fr-CH"/>
        </w:rPr>
        <w:t>par le Conseil de</w:t>
      </w:r>
      <w:r w:rsidR="009E5564">
        <w:rPr>
          <w:lang w:val="fr-CH"/>
        </w:rPr>
        <w:t xml:space="preserve"> la Décision </w:t>
      </w:r>
      <w:r w:rsidR="0002014A" w:rsidRPr="003607BA">
        <w:rPr>
          <w:lang w:val="fr-CH"/>
        </w:rPr>
        <w:t>601.</w:t>
      </w:r>
    </w:p>
    <w:p w14:paraId="4F50DF37" w14:textId="6B1E8D02" w:rsidR="00254ADD" w:rsidRPr="00C854AD" w:rsidRDefault="00254ADD" w:rsidP="00B72E22">
      <w:pPr>
        <w:pStyle w:val="Heading1"/>
        <w:rPr>
          <w:rFonts w:eastAsia="Calibri"/>
          <w:lang w:val="fr-CH"/>
        </w:rPr>
      </w:pPr>
      <w:r w:rsidRPr="00C854AD">
        <w:rPr>
          <w:rFonts w:eastAsia="Calibri"/>
          <w:lang w:val="fr-CH"/>
        </w:rPr>
        <w:t>5</w:t>
      </w:r>
      <w:r w:rsidRPr="00C854AD">
        <w:rPr>
          <w:rFonts w:eastAsia="Calibri"/>
          <w:lang w:val="fr-CH"/>
        </w:rPr>
        <w:tab/>
      </w:r>
      <w:r w:rsidR="0002014A" w:rsidRPr="00C854AD">
        <w:rPr>
          <w:rFonts w:eastAsia="Calibri"/>
          <w:lang w:val="fr-CH"/>
        </w:rPr>
        <w:t>Proposition</w:t>
      </w:r>
    </w:p>
    <w:p w14:paraId="014C1659" w14:textId="08E119F3" w:rsidR="0002014A" w:rsidRPr="00C854AD" w:rsidRDefault="00254ADD" w:rsidP="00B72E22">
      <w:pPr>
        <w:rPr>
          <w:lang w:val="fr-CH" w:eastAsia="zh-CN"/>
        </w:rPr>
      </w:pPr>
      <w:r w:rsidRPr="00C854AD">
        <w:rPr>
          <w:rFonts w:eastAsia="SimSun"/>
          <w:lang w:val="fr-CH" w:eastAsia="zh-CN"/>
        </w:rPr>
        <w:t>5.1</w:t>
      </w:r>
      <w:r w:rsidRPr="00C854AD">
        <w:rPr>
          <w:rFonts w:eastAsia="SimSun"/>
          <w:lang w:val="fr-CH" w:eastAsia="zh-CN"/>
        </w:rPr>
        <w:tab/>
      </w:r>
      <w:r w:rsidR="0002014A" w:rsidRPr="003607BA">
        <w:rPr>
          <w:lang w:val="fr-CH" w:eastAsia="zh-CN"/>
        </w:rPr>
        <w:t>Les</w:t>
      </w:r>
      <w:r w:rsidR="0002014A" w:rsidRPr="00C854AD">
        <w:rPr>
          <w:lang w:val="fr-CH" w:eastAsia="zh-CN"/>
        </w:rPr>
        <w:t xml:space="preserve"> fournisseurs de services UIFN </w:t>
      </w:r>
      <w:r w:rsidR="008E3707">
        <w:rPr>
          <w:lang w:val="fr-CH" w:eastAsia="zh-CN"/>
        </w:rPr>
        <w:t>dont les noms figure</w:t>
      </w:r>
      <w:r w:rsidR="0002014A" w:rsidRPr="00C854AD">
        <w:rPr>
          <w:lang w:val="fr-CH" w:eastAsia="zh-CN"/>
        </w:rPr>
        <w:t xml:space="preserve">nt </w:t>
      </w:r>
      <w:r w:rsidR="00D46EB2" w:rsidRPr="003607BA">
        <w:rPr>
          <w:lang w:val="fr-CH" w:eastAsia="zh-CN"/>
        </w:rPr>
        <w:t xml:space="preserve">sur la liste reproduite </w:t>
      </w:r>
      <w:r w:rsidR="008E3707">
        <w:rPr>
          <w:lang w:val="fr-CH" w:eastAsia="zh-CN"/>
        </w:rPr>
        <w:t>dans l'Annexe </w:t>
      </w:r>
      <w:r w:rsidR="00D46EB2" w:rsidRPr="003607BA">
        <w:rPr>
          <w:lang w:val="fr-CH" w:eastAsia="zh-CN"/>
        </w:rPr>
        <w:t>A d</w:t>
      </w:r>
      <w:r w:rsidR="008E3707">
        <w:rPr>
          <w:lang w:val="fr-CH" w:eastAsia="zh-CN"/>
        </w:rPr>
        <w:t>u présent d</w:t>
      </w:r>
      <w:r w:rsidR="00D46EB2" w:rsidRPr="003607BA">
        <w:rPr>
          <w:lang w:val="fr-CH" w:eastAsia="zh-CN"/>
        </w:rPr>
        <w:t xml:space="preserve">ocument seront indiqués comme étant "injoignables" dans la base de données de l'UIT. </w:t>
      </w:r>
      <w:r w:rsidR="008B4ED3" w:rsidRPr="003607BA">
        <w:rPr>
          <w:lang w:val="fr-CH" w:eastAsia="zh-CN"/>
        </w:rPr>
        <w:t xml:space="preserve">Les </w:t>
      </w:r>
      <w:r w:rsidR="008E3707">
        <w:rPr>
          <w:lang w:val="fr-CH" w:eastAsia="zh-CN"/>
        </w:rPr>
        <w:t xml:space="preserve">enregistrements concernant </w:t>
      </w:r>
      <w:r w:rsidR="008B4ED3" w:rsidRPr="003607BA">
        <w:rPr>
          <w:lang w:val="fr-CH" w:eastAsia="zh-CN"/>
        </w:rPr>
        <w:t xml:space="preserve">ces fournisseurs de services UIFN </w:t>
      </w:r>
      <w:r w:rsidR="008E3707">
        <w:rPr>
          <w:lang w:val="fr-CH" w:eastAsia="zh-CN"/>
        </w:rPr>
        <w:t>pourront être supprimé</w:t>
      </w:r>
      <w:r w:rsidR="00A77750" w:rsidRPr="003607BA">
        <w:rPr>
          <w:lang w:val="fr-CH" w:eastAsia="zh-CN"/>
        </w:rPr>
        <w:t>s</w:t>
      </w:r>
      <w:r w:rsidR="008E3707">
        <w:rPr>
          <w:lang w:val="fr-CH" w:eastAsia="zh-CN"/>
        </w:rPr>
        <w:t xml:space="preserve"> de la base de données de l'UIT</w:t>
      </w:r>
      <w:r w:rsidR="008B4ED3" w:rsidRPr="003607BA">
        <w:rPr>
          <w:lang w:val="fr-CH" w:eastAsia="zh-CN"/>
        </w:rPr>
        <w:t xml:space="preserve"> et les numéros UIFN qui leur ont été</w:t>
      </w:r>
      <w:r w:rsidR="008E3707">
        <w:rPr>
          <w:lang w:val="fr-CH" w:eastAsia="zh-CN"/>
        </w:rPr>
        <w:t xml:space="preserve"> attribués pourront être retirés </w:t>
      </w:r>
      <w:r w:rsidR="008B4ED3" w:rsidRPr="003607BA">
        <w:rPr>
          <w:lang w:val="fr-CH" w:eastAsia="zh-CN"/>
        </w:rPr>
        <w:t>sur la base des confirmations/notifications envoyées par les administrations/auto</w:t>
      </w:r>
      <w:r w:rsidR="000D5D13" w:rsidRPr="003607BA">
        <w:rPr>
          <w:lang w:val="fr-CH" w:eastAsia="zh-CN"/>
        </w:rPr>
        <w:t>rités de régulation</w:t>
      </w:r>
      <w:r w:rsidR="0095449B">
        <w:rPr>
          <w:lang w:val="fr-CH" w:eastAsia="zh-CN"/>
        </w:rPr>
        <w:t xml:space="preserve"> nationales</w:t>
      </w:r>
      <w:r w:rsidR="000D5D13" w:rsidRPr="003607BA">
        <w:rPr>
          <w:lang w:val="fr-CH" w:eastAsia="zh-CN"/>
        </w:rPr>
        <w:t xml:space="preserve">, </w:t>
      </w:r>
      <w:r w:rsidR="00EC4F35" w:rsidRPr="003607BA">
        <w:rPr>
          <w:lang w:val="fr-CH" w:eastAsia="zh-CN"/>
        </w:rPr>
        <w:t xml:space="preserve">comme le Conseil l'a recommandé à sa session de 2018. </w:t>
      </w:r>
      <w:r w:rsidR="00710D22">
        <w:rPr>
          <w:lang w:val="fr-CH" w:eastAsia="zh-CN"/>
        </w:rPr>
        <w:t>Concernant les</w:t>
      </w:r>
      <w:r w:rsidR="000E3B9C" w:rsidRPr="003607BA">
        <w:rPr>
          <w:lang w:val="fr-CH" w:eastAsia="zh-CN"/>
        </w:rPr>
        <w:t xml:space="preserve"> factures</w:t>
      </w:r>
      <w:r w:rsidR="008E3707">
        <w:rPr>
          <w:lang w:val="fr-CH" w:eastAsia="zh-CN"/>
        </w:rPr>
        <w:t xml:space="preserve"> relatives au </w:t>
      </w:r>
      <w:r w:rsidR="000E3B9C" w:rsidRPr="003607BA">
        <w:rPr>
          <w:lang w:val="fr-CH" w:eastAsia="zh-CN"/>
        </w:rPr>
        <w:t xml:space="preserve">droit de gestion pour 2018 </w:t>
      </w:r>
      <w:r w:rsidR="00710D22">
        <w:rPr>
          <w:lang w:val="fr-CH" w:eastAsia="zh-CN"/>
        </w:rPr>
        <w:t xml:space="preserve">qui </w:t>
      </w:r>
      <w:r w:rsidR="000E3B9C" w:rsidRPr="003607BA">
        <w:rPr>
          <w:lang w:val="fr-CH" w:eastAsia="zh-CN"/>
        </w:rPr>
        <w:t>ont été envoyées à certains de ces fournisseurs de services</w:t>
      </w:r>
      <w:r w:rsidR="0018092A">
        <w:rPr>
          <w:lang w:val="fr-CH" w:eastAsia="zh-CN"/>
        </w:rPr>
        <w:t xml:space="preserve"> UIFN</w:t>
      </w:r>
      <w:r w:rsidR="000E3B9C" w:rsidRPr="003607BA">
        <w:rPr>
          <w:lang w:val="fr-CH" w:eastAsia="zh-CN"/>
        </w:rPr>
        <w:t xml:space="preserve">, il </w:t>
      </w:r>
      <w:r w:rsidR="008E3707">
        <w:rPr>
          <w:lang w:val="fr-CH" w:eastAsia="zh-CN"/>
        </w:rPr>
        <w:t>appartiendra</w:t>
      </w:r>
      <w:r w:rsidR="000E3B9C" w:rsidRPr="003607BA">
        <w:rPr>
          <w:lang w:val="fr-CH" w:eastAsia="zh-CN"/>
        </w:rPr>
        <w:t xml:space="preserve"> au Conseil de décider s'il convient </w:t>
      </w:r>
      <w:r w:rsidR="004F45FC">
        <w:rPr>
          <w:lang w:val="fr-CH" w:eastAsia="zh-CN"/>
        </w:rPr>
        <w:t xml:space="preserve">ou non </w:t>
      </w:r>
      <w:r w:rsidR="000E3B9C" w:rsidRPr="003607BA">
        <w:rPr>
          <w:lang w:val="fr-CH" w:eastAsia="zh-CN"/>
        </w:rPr>
        <w:t xml:space="preserve">d'annuler la dette. </w:t>
      </w:r>
    </w:p>
    <w:p w14:paraId="6EC962D0" w14:textId="4905DFDE" w:rsidR="00F975BD" w:rsidRPr="00C854AD" w:rsidRDefault="00254ADD" w:rsidP="00B72E22">
      <w:pPr>
        <w:rPr>
          <w:rFonts w:eastAsia="SimSun"/>
          <w:lang w:val="fr-CH" w:eastAsia="zh-CN"/>
        </w:rPr>
      </w:pPr>
      <w:r w:rsidRPr="00C854AD">
        <w:rPr>
          <w:rFonts w:eastAsia="SimSun"/>
          <w:lang w:val="fr-CH" w:eastAsia="zh-CN"/>
        </w:rPr>
        <w:t>5.2</w:t>
      </w:r>
      <w:r w:rsidRPr="00C854AD">
        <w:rPr>
          <w:rFonts w:eastAsia="SimSun"/>
          <w:lang w:val="fr-CH" w:eastAsia="zh-CN"/>
        </w:rPr>
        <w:tab/>
      </w:r>
      <w:r w:rsidR="0007640D" w:rsidRPr="00C854AD">
        <w:rPr>
          <w:rFonts w:eastAsia="SimSun"/>
          <w:lang w:val="fr-CH" w:eastAsia="zh-CN"/>
        </w:rPr>
        <w:t xml:space="preserve">Les fournisseurs de services UIFN </w:t>
      </w:r>
      <w:r w:rsidR="00C828BB">
        <w:rPr>
          <w:rFonts w:eastAsia="SimSun"/>
          <w:lang w:val="fr-CH" w:eastAsia="zh-CN"/>
        </w:rPr>
        <w:t>dont les noms figure</w:t>
      </w:r>
      <w:r w:rsidR="0007640D" w:rsidRPr="00C854AD">
        <w:rPr>
          <w:rFonts w:eastAsia="SimSun"/>
          <w:lang w:val="fr-CH" w:eastAsia="zh-CN"/>
        </w:rPr>
        <w:t xml:space="preserve">nt sur la liste reproduite </w:t>
      </w:r>
      <w:r w:rsidR="00C828BB">
        <w:rPr>
          <w:rFonts w:eastAsia="SimSun"/>
          <w:lang w:val="fr-CH" w:eastAsia="zh-CN"/>
        </w:rPr>
        <w:t>dans l'Annexe </w:t>
      </w:r>
      <w:r w:rsidR="0007640D" w:rsidRPr="00C854AD">
        <w:rPr>
          <w:rFonts w:eastAsia="SimSun"/>
          <w:lang w:val="fr-CH" w:eastAsia="zh-CN"/>
        </w:rPr>
        <w:t xml:space="preserve">B ont été contactés et ont reçu les factures </w:t>
      </w:r>
      <w:r w:rsidR="00C828BB">
        <w:rPr>
          <w:rFonts w:eastAsia="SimSun"/>
          <w:lang w:val="fr-CH" w:eastAsia="zh-CN"/>
        </w:rPr>
        <w:t>relatives au droit</w:t>
      </w:r>
      <w:r w:rsidR="0007640D" w:rsidRPr="00C854AD">
        <w:rPr>
          <w:rFonts w:eastAsia="SimSun"/>
          <w:lang w:val="fr-CH" w:eastAsia="zh-CN"/>
        </w:rPr>
        <w:t xml:space="preserve"> de gestion pour 2018. </w:t>
      </w:r>
      <w:r w:rsidR="00853AA0">
        <w:rPr>
          <w:rFonts w:eastAsia="SimSun"/>
          <w:lang w:val="fr-CH" w:eastAsia="zh-CN"/>
        </w:rPr>
        <w:t xml:space="preserve">Le </w:t>
      </w:r>
      <w:r w:rsidR="0007640D" w:rsidRPr="00C854AD">
        <w:rPr>
          <w:rFonts w:eastAsia="SimSun"/>
          <w:lang w:val="fr-CH" w:eastAsia="zh-CN"/>
        </w:rPr>
        <w:t xml:space="preserve">règlement des </w:t>
      </w:r>
      <w:r w:rsidR="0007640D" w:rsidRPr="00501777">
        <w:rPr>
          <w:rFonts w:asciiTheme="minorHAnsi" w:hAnsiTheme="minorHAnsi"/>
          <w:lang w:val="fr-CH"/>
        </w:rPr>
        <w:t>factures</w:t>
      </w:r>
      <w:r w:rsidR="00853AA0">
        <w:rPr>
          <w:rFonts w:asciiTheme="minorHAnsi" w:hAnsiTheme="minorHAnsi"/>
          <w:lang w:val="fr-CH"/>
        </w:rPr>
        <w:t xml:space="preserve"> fait toujours l'objet d'un examen de la part de ces fournisseurs de services. </w:t>
      </w:r>
      <w:r w:rsidRPr="003607BA">
        <w:rPr>
          <w:lang w:val="fr-CH"/>
        </w:rPr>
        <w:t>Si les factures restent impayées pendant une période</w:t>
      </w:r>
      <w:r w:rsidR="00853AA0">
        <w:rPr>
          <w:lang w:val="fr-CH"/>
        </w:rPr>
        <w:t xml:space="preserve"> prolongée</w:t>
      </w:r>
      <w:r w:rsidRPr="003607BA">
        <w:rPr>
          <w:lang w:val="fr-CH"/>
        </w:rPr>
        <w:t xml:space="preserve">, le </w:t>
      </w:r>
      <w:r w:rsidR="009B0B1F">
        <w:rPr>
          <w:lang w:val="fr-CH"/>
        </w:rPr>
        <w:t>Secrétariat</w:t>
      </w:r>
      <w:r w:rsidRPr="003607BA">
        <w:rPr>
          <w:lang w:val="fr-CH"/>
        </w:rPr>
        <w:t xml:space="preserve"> demande</w:t>
      </w:r>
      <w:r w:rsidR="00853AA0">
        <w:rPr>
          <w:lang w:val="fr-CH"/>
        </w:rPr>
        <w:t>ra</w:t>
      </w:r>
      <w:r w:rsidRPr="003607BA">
        <w:rPr>
          <w:lang w:val="fr-CH"/>
        </w:rPr>
        <w:t xml:space="preserve"> aux États Membres </w:t>
      </w:r>
      <w:r w:rsidR="00853AA0">
        <w:rPr>
          <w:lang w:val="fr-CH"/>
        </w:rPr>
        <w:t xml:space="preserve">de lui prêter assistance </w:t>
      </w:r>
      <w:r w:rsidRPr="003607BA">
        <w:rPr>
          <w:lang w:val="fr-CH"/>
        </w:rPr>
        <w:t xml:space="preserve">pour </w:t>
      </w:r>
      <w:r w:rsidR="00853AA0">
        <w:rPr>
          <w:lang w:val="fr-CH"/>
        </w:rPr>
        <w:t>le recouvrement de</w:t>
      </w:r>
      <w:r w:rsidRPr="003607BA">
        <w:rPr>
          <w:lang w:val="fr-CH"/>
        </w:rPr>
        <w:t xml:space="preserve"> la dette.</w:t>
      </w:r>
    </w:p>
    <w:p w14:paraId="0676630E" w14:textId="317D59E6" w:rsidR="00641003" w:rsidRPr="00C854AD" w:rsidRDefault="00254ADD" w:rsidP="00B72E22">
      <w:pPr>
        <w:rPr>
          <w:rFonts w:eastAsia="SimSun"/>
          <w:lang w:val="fr-CH" w:eastAsia="zh-CN"/>
        </w:rPr>
      </w:pPr>
      <w:r w:rsidRPr="00C854AD">
        <w:rPr>
          <w:lang w:val="fr-CH" w:eastAsia="zh-CN"/>
        </w:rPr>
        <w:t>5.3</w:t>
      </w:r>
      <w:r w:rsidRPr="00C854AD">
        <w:rPr>
          <w:lang w:val="fr-CH" w:eastAsia="zh-CN"/>
        </w:rPr>
        <w:tab/>
      </w:r>
      <w:r w:rsidR="00641003" w:rsidRPr="00C854AD">
        <w:rPr>
          <w:rFonts w:eastAsia="SimSun"/>
          <w:lang w:val="fr-CH" w:eastAsia="zh-CN"/>
        </w:rPr>
        <w:t>La liste des fournisseurs de services UIFN</w:t>
      </w:r>
      <w:r w:rsidR="00641003" w:rsidRPr="003607BA">
        <w:rPr>
          <w:rFonts w:eastAsia="SimSun"/>
          <w:lang w:val="fr-CH" w:eastAsia="zh-CN"/>
        </w:rPr>
        <w:t xml:space="preserve"> pour lesquels des renseignements </w:t>
      </w:r>
      <w:r w:rsidR="00D66FD5">
        <w:rPr>
          <w:rFonts w:eastAsia="SimSun"/>
          <w:lang w:val="fr-CH" w:eastAsia="zh-CN"/>
        </w:rPr>
        <w:t>com</w:t>
      </w:r>
      <w:r w:rsidR="00641003" w:rsidRPr="003607BA">
        <w:rPr>
          <w:rFonts w:eastAsia="SimSun"/>
          <w:lang w:val="fr-CH" w:eastAsia="zh-CN"/>
        </w:rPr>
        <w:t xml:space="preserve">plémentaires </w:t>
      </w:r>
      <w:r w:rsidR="00D66FD5">
        <w:rPr>
          <w:rFonts w:eastAsia="SimSun"/>
          <w:lang w:val="fr-CH" w:eastAsia="zh-CN"/>
        </w:rPr>
        <w:t xml:space="preserve">doivent être obtenus </w:t>
      </w:r>
      <w:r w:rsidR="00641003" w:rsidRPr="003607BA">
        <w:rPr>
          <w:rFonts w:eastAsia="SimSun"/>
          <w:lang w:val="fr-CH" w:eastAsia="zh-CN"/>
        </w:rPr>
        <w:t xml:space="preserve">est reproduite </w:t>
      </w:r>
      <w:r w:rsidR="00D66FD5">
        <w:rPr>
          <w:rFonts w:eastAsia="SimSun"/>
          <w:lang w:val="fr-CH" w:eastAsia="zh-CN"/>
        </w:rPr>
        <w:t>dans</w:t>
      </w:r>
      <w:r w:rsidR="00641003" w:rsidRPr="003607BA">
        <w:rPr>
          <w:rFonts w:eastAsia="SimSun"/>
          <w:lang w:val="fr-CH" w:eastAsia="zh-CN"/>
        </w:rPr>
        <w:t xml:space="preserve"> l'Annexe C. </w:t>
      </w:r>
      <w:r w:rsidR="00E9213C" w:rsidRPr="003607BA">
        <w:rPr>
          <w:rFonts w:eastAsia="SimSun"/>
          <w:lang w:val="fr-CH" w:eastAsia="zh-CN"/>
        </w:rPr>
        <w:t xml:space="preserve">Les administrations/autorités de régulation nationales ou les exploitations autorisées sont encouragées à fournir une assistance </w:t>
      </w:r>
      <w:r w:rsidR="00516231" w:rsidRPr="003607BA">
        <w:rPr>
          <w:rFonts w:eastAsia="SimSun"/>
          <w:lang w:val="fr-CH" w:eastAsia="zh-CN"/>
        </w:rPr>
        <w:t xml:space="preserve">pour </w:t>
      </w:r>
      <w:r w:rsidR="00D66FD5">
        <w:rPr>
          <w:rFonts w:eastAsia="SimSun"/>
          <w:lang w:val="fr-CH" w:eastAsia="zh-CN"/>
        </w:rPr>
        <w:t xml:space="preserve">préciser </w:t>
      </w:r>
      <w:r w:rsidR="00516231" w:rsidRPr="003607BA">
        <w:rPr>
          <w:rFonts w:eastAsia="SimSun"/>
          <w:lang w:val="fr-CH" w:eastAsia="zh-CN"/>
        </w:rPr>
        <w:t>les coordonnées ou</w:t>
      </w:r>
      <w:r w:rsidR="000B6970">
        <w:rPr>
          <w:rFonts w:eastAsia="SimSun"/>
          <w:lang w:val="fr-CH" w:eastAsia="zh-CN"/>
        </w:rPr>
        <w:t xml:space="preserve"> </w:t>
      </w:r>
      <w:r w:rsidR="00BD7FC1" w:rsidRPr="003607BA">
        <w:rPr>
          <w:rFonts w:eastAsia="SimSun"/>
          <w:lang w:val="fr-CH" w:eastAsia="zh-CN"/>
        </w:rPr>
        <w:t>la situation</w:t>
      </w:r>
      <w:r w:rsidR="00516231" w:rsidRPr="003607BA">
        <w:rPr>
          <w:rFonts w:eastAsia="SimSun"/>
          <w:lang w:val="fr-CH" w:eastAsia="zh-CN"/>
        </w:rPr>
        <w:t xml:space="preserve"> </w:t>
      </w:r>
      <w:r w:rsidR="00D66FD5">
        <w:rPr>
          <w:rFonts w:eastAsia="SimSun"/>
          <w:lang w:val="fr-CH" w:eastAsia="zh-CN"/>
        </w:rPr>
        <w:t xml:space="preserve">actualisées </w:t>
      </w:r>
      <w:r w:rsidR="00516231" w:rsidRPr="003607BA">
        <w:rPr>
          <w:rFonts w:eastAsia="SimSun"/>
          <w:lang w:val="fr-CH" w:eastAsia="zh-CN"/>
        </w:rPr>
        <w:t>de ces entités (</w:t>
      </w:r>
      <w:r w:rsidR="00D66FD5">
        <w:rPr>
          <w:rFonts w:eastAsia="SimSun"/>
          <w:lang w:val="fr-CH" w:eastAsia="zh-CN"/>
        </w:rPr>
        <w:t xml:space="preserve">en indiquant </w:t>
      </w:r>
      <w:r w:rsidR="00516231" w:rsidRPr="003607BA">
        <w:rPr>
          <w:rFonts w:eastAsia="SimSun"/>
          <w:lang w:val="fr-CH" w:eastAsia="zh-CN"/>
        </w:rPr>
        <w:t>par exemple si elles ne sont plus en activité).</w:t>
      </w:r>
    </w:p>
    <w:p w14:paraId="18EC6C22" w14:textId="1354E864" w:rsidR="00516231" w:rsidRPr="00C854AD" w:rsidRDefault="00254ADD" w:rsidP="00B72E22">
      <w:pPr>
        <w:keepNext/>
        <w:keepLines/>
        <w:rPr>
          <w:rFonts w:eastAsia="SimSun"/>
          <w:lang w:val="fr-CH" w:eastAsia="zh-CN"/>
        </w:rPr>
      </w:pPr>
      <w:r w:rsidRPr="00C854AD">
        <w:rPr>
          <w:rFonts w:eastAsia="SimSun"/>
          <w:lang w:val="fr-CH" w:eastAsia="zh-CN"/>
        </w:rPr>
        <w:t>5</w:t>
      </w:r>
      <w:r w:rsidRPr="00C854AD">
        <w:rPr>
          <w:rFonts w:eastAsia="Calibri"/>
          <w:lang w:val="fr-CH"/>
        </w:rPr>
        <w:t>.4</w:t>
      </w:r>
      <w:r w:rsidRPr="00C854AD">
        <w:rPr>
          <w:rFonts w:eastAsia="Calibri"/>
          <w:lang w:val="fr-CH"/>
        </w:rPr>
        <w:tab/>
      </w:r>
      <w:r w:rsidR="001D5A02" w:rsidRPr="00C854AD">
        <w:rPr>
          <w:rFonts w:eastAsia="SimSun"/>
          <w:lang w:val="fr-CH" w:eastAsia="zh-CN"/>
        </w:rPr>
        <w:t>L</w:t>
      </w:r>
      <w:r w:rsidR="00A461A0">
        <w:rPr>
          <w:rFonts w:eastAsia="SimSun"/>
          <w:lang w:val="fr-CH" w:eastAsia="zh-CN"/>
        </w:rPr>
        <w:t>a liste d</w:t>
      </w:r>
      <w:r w:rsidR="001D5A02" w:rsidRPr="00C854AD">
        <w:rPr>
          <w:rFonts w:eastAsia="SimSun"/>
          <w:lang w:val="fr-CH" w:eastAsia="zh-CN"/>
        </w:rPr>
        <w:t xml:space="preserve">es </w:t>
      </w:r>
      <w:r w:rsidR="00516231" w:rsidRPr="00C854AD">
        <w:rPr>
          <w:rFonts w:eastAsia="SimSun"/>
          <w:lang w:val="fr-CH" w:eastAsia="zh-CN"/>
        </w:rPr>
        <w:t xml:space="preserve">numéros IIN </w:t>
      </w:r>
      <w:r w:rsidR="00516231" w:rsidRPr="003607BA">
        <w:rPr>
          <w:rFonts w:eastAsia="SimSun"/>
          <w:lang w:val="fr-CH" w:eastAsia="zh-CN"/>
        </w:rPr>
        <w:t xml:space="preserve">pour lesquels </w:t>
      </w:r>
      <w:r w:rsidR="00826904" w:rsidRPr="00C854AD">
        <w:rPr>
          <w:rFonts w:eastAsia="SimSun"/>
          <w:lang w:val="fr-CH" w:eastAsia="zh-CN"/>
        </w:rPr>
        <w:t>l</w:t>
      </w:r>
      <w:r w:rsidR="00A461A0">
        <w:rPr>
          <w:rFonts w:eastAsia="SimSun"/>
          <w:lang w:val="fr-CH" w:eastAsia="zh-CN"/>
        </w:rPr>
        <w:t xml:space="preserve">es coordonnées n'ont pas encore été obtenues sera publiée </w:t>
      </w:r>
      <w:r w:rsidR="00826904" w:rsidRPr="003607BA">
        <w:rPr>
          <w:rFonts w:eastAsia="SimSun"/>
          <w:lang w:val="fr-CH" w:eastAsia="zh-CN"/>
        </w:rPr>
        <w:t>sur le site web de l'UIT avec la mention "</w:t>
      </w:r>
      <w:r w:rsidR="00A461A0">
        <w:rPr>
          <w:rFonts w:eastAsia="SimSun"/>
          <w:lang w:val="fr-CH" w:eastAsia="zh-CN"/>
        </w:rPr>
        <w:t xml:space="preserve">numéro IIN dont le </w:t>
      </w:r>
      <w:r w:rsidR="001D5A02" w:rsidRPr="00501777">
        <w:rPr>
          <w:rFonts w:asciiTheme="minorHAnsi" w:hAnsiTheme="minorHAnsi"/>
          <w:lang w:val="fr-CH"/>
        </w:rPr>
        <w:t>bénéficiaire</w:t>
      </w:r>
      <w:r w:rsidR="001D5A02" w:rsidRPr="003607BA">
        <w:rPr>
          <w:rFonts w:eastAsia="SimSun"/>
          <w:lang w:val="fr-CH" w:eastAsia="zh-CN"/>
        </w:rPr>
        <w:t xml:space="preserve"> </w:t>
      </w:r>
      <w:r w:rsidR="00A461A0">
        <w:rPr>
          <w:rFonts w:eastAsia="SimSun"/>
          <w:lang w:val="fr-CH" w:eastAsia="zh-CN"/>
        </w:rPr>
        <w:t xml:space="preserve">est </w:t>
      </w:r>
      <w:r w:rsidR="001D5A02" w:rsidRPr="003607BA">
        <w:rPr>
          <w:rFonts w:eastAsia="SimSun"/>
          <w:lang w:val="fr-CH" w:eastAsia="zh-CN"/>
        </w:rPr>
        <w:t xml:space="preserve">injoignable" et </w:t>
      </w:r>
      <w:r w:rsidR="00A461A0">
        <w:rPr>
          <w:rFonts w:eastAsia="SimSun"/>
          <w:lang w:val="fr-CH" w:eastAsia="zh-CN"/>
        </w:rPr>
        <w:t>fera l'objet d'une annonce</w:t>
      </w:r>
      <w:r w:rsidR="00035A2D" w:rsidRPr="003607BA">
        <w:rPr>
          <w:rFonts w:eastAsia="SimSun"/>
          <w:lang w:val="fr-CH" w:eastAsia="zh-CN"/>
        </w:rPr>
        <w:t xml:space="preserve"> dans le Bulletin d'exploitation de l'UIT. </w:t>
      </w:r>
      <w:r w:rsidR="00CB5C0C" w:rsidRPr="003607BA">
        <w:rPr>
          <w:rFonts w:eastAsia="SimSun"/>
          <w:lang w:val="fr-CH" w:eastAsia="zh-CN"/>
        </w:rPr>
        <w:t xml:space="preserve">Les administrations/autorités de régulation nationales ou les exploitations autorisées sont encouragées à </w:t>
      </w:r>
      <w:r w:rsidR="00A461A0">
        <w:rPr>
          <w:rFonts w:eastAsia="SimSun"/>
          <w:lang w:val="fr-CH" w:eastAsia="zh-CN"/>
        </w:rPr>
        <w:t xml:space="preserve">apporter </w:t>
      </w:r>
      <w:r w:rsidR="00090EEB" w:rsidRPr="003607BA">
        <w:rPr>
          <w:rFonts w:eastAsia="SimSun"/>
          <w:lang w:val="fr-CH" w:eastAsia="zh-CN"/>
        </w:rPr>
        <w:t xml:space="preserve">une assistance pour </w:t>
      </w:r>
      <w:r w:rsidR="00A461A0">
        <w:rPr>
          <w:rFonts w:eastAsia="SimSun"/>
          <w:lang w:val="fr-CH" w:eastAsia="zh-CN"/>
        </w:rPr>
        <w:t xml:space="preserve">fournir </w:t>
      </w:r>
      <w:r w:rsidR="00090EEB" w:rsidRPr="003607BA">
        <w:rPr>
          <w:rFonts w:eastAsia="SimSun"/>
          <w:lang w:val="fr-CH" w:eastAsia="zh-CN"/>
        </w:rPr>
        <w:t>des renseigne</w:t>
      </w:r>
      <w:r w:rsidR="00A77DCF" w:rsidRPr="003607BA">
        <w:rPr>
          <w:rFonts w:eastAsia="SimSun"/>
          <w:lang w:val="fr-CH" w:eastAsia="zh-CN"/>
        </w:rPr>
        <w:t xml:space="preserve">ments actualisés </w:t>
      </w:r>
      <w:r w:rsidR="000B594C" w:rsidRPr="003607BA">
        <w:rPr>
          <w:rFonts w:eastAsia="SimSun"/>
          <w:lang w:val="fr-CH" w:eastAsia="zh-CN"/>
        </w:rPr>
        <w:t>sur</w:t>
      </w:r>
      <w:r w:rsidR="00A77DCF" w:rsidRPr="003607BA">
        <w:rPr>
          <w:rFonts w:eastAsia="SimSun"/>
          <w:lang w:val="fr-CH" w:eastAsia="zh-CN"/>
        </w:rPr>
        <w:t xml:space="preserve"> </w:t>
      </w:r>
      <w:r w:rsidR="00A658A0" w:rsidRPr="003607BA">
        <w:rPr>
          <w:rFonts w:eastAsia="SimSun"/>
          <w:lang w:val="fr-CH" w:eastAsia="zh-CN"/>
        </w:rPr>
        <w:t>le</w:t>
      </w:r>
      <w:r w:rsidR="00A461A0">
        <w:rPr>
          <w:rFonts w:eastAsia="SimSun"/>
          <w:lang w:val="fr-CH" w:eastAsia="zh-CN"/>
        </w:rPr>
        <w:t>ur situation</w:t>
      </w:r>
      <w:r w:rsidR="00A658A0" w:rsidRPr="003607BA">
        <w:rPr>
          <w:rFonts w:eastAsia="SimSun"/>
          <w:lang w:val="fr-CH" w:eastAsia="zh-CN"/>
        </w:rPr>
        <w:t xml:space="preserve"> </w:t>
      </w:r>
      <w:r w:rsidR="00BD7FC1" w:rsidRPr="003607BA">
        <w:rPr>
          <w:rFonts w:eastAsia="SimSun"/>
          <w:lang w:val="fr-CH" w:eastAsia="zh-CN"/>
        </w:rPr>
        <w:t xml:space="preserve">et/ou </w:t>
      </w:r>
      <w:r w:rsidR="00A461A0">
        <w:rPr>
          <w:rFonts w:eastAsia="SimSun"/>
          <w:lang w:val="fr-CH" w:eastAsia="zh-CN"/>
        </w:rPr>
        <w:t>leurs</w:t>
      </w:r>
      <w:r w:rsidR="00BD7FC1" w:rsidRPr="003607BA">
        <w:rPr>
          <w:rFonts w:eastAsia="SimSun"/>
          <w:lang w:val="fr-CH" w:eastAsia="zh-CN"/>
        </w:rPr>
        <w:t xml:space="preserve"> coordonnées</w:t>
      </w:r>
      <w:r w:rsidR="00A77DCF" w:rsidRPr="003607BA">
        <w:rPr>
          <w:rFonts w:eastAsia="SimSun"/>
          <w:lang w:val="fr-CH" w:eastAsia="zh-CN"/>
        </w:rPr>
        <w:t xml:space="preserve">. </w:t>
      </w:r>
    </w:p>
    <w:p w14:paraId="6701BD4E" w14:textId="42A0BC02" w:rsidR="0011328E" w:rsidRPr="00C854AD" w:rsidRDefault="00254ADD" w:rsidP="00B72E22">
      <w:pPr>
        <w:rPr>
          <w:rFonts w:eastAsia="SimSun"/>
          <w:lang w:val="fr-CH" w:eastAsia="zh-CN"/>
        </w:rPr>
      </w:pPr>
      <w:r w:rsidRPr="00C854AD">
        <w:rPr>
          <w:rFonts w:eastAsia="SimSun"/>
          <w:lang w:val="fr-CH" w:eastAsia="zh-CN"/>
        </w:rPr>
        <w:t>5.5</w:t>
      </w:r>
      <w:r w:rsidRPr="00C854AD">
        <w:rPr>
          <w:rFonts w:eastAsia="SimSun"/>
          <w:lang w:val="fr-CH" w:eastAsia="zh-CN"/>
        </w:rPr>
        <w:tab/>
      </w:r>
      <w:r w:rsidR="00B7246B">
        <w:rPr>
          <w:rFonts w:eastAsia="SimSun"/>
          <w:lang w:val="fr-CH" w:eastAsia="zh-CN"/>
        </w:rPr>
        <w:t>S'agissant des</w:t>
      </w:r>
      <w:r w:rsidR="00BD7FC1" w:rsidRPr="00C854AD">
        <w:rPr>
          <w:rFonts w:eastAsia="SimSun"/>
          <w:lang w:val="fr-CH" w:eastAsia="zh-CN"/>
        </w:rPr>
        <w:t xml:space="preserve"> numéros UIFN et IIN qui </w:t>
      </w:r>
      <w:r w:rsidR="00BD7FC1" w:rsidRPr="003607BA">
        <w:rPr>
          <w:rFonts w:eastAsia="SimSun"/>
          <w:lang w:val="fr-CH" w:eastAsia="zh-CN"/>
        </w:rPr>
        <w:t>f</w:t>
      </w:r>
      <w:r w:rsidR="00BD7FC1" w:rsidRPr="00C854AD">
        <w:rPr>
          <w:rFonts w:eastAsia="SimSun"/>
          <w:lang w:val="fr-CH" w:eastAsia="zh-CN"/>
        </w:rPr>
        <w:t xml:space="preserve">ont encore l'objet de consultations avec les administrations/autorités de régulation nationales ou avec les exploitations autorisées, </w:t>
      </w:r>
      <w:r w:rsidR="001A24AF" w:rsidRPr="003607BA">
        <w:rPr>
          <w:rFonts w:eastAsia="SimSun"/>
          <w:lang w:val="fr-CH" w:eastAsia="zh-CN"/>
        </w:rPr>
        <w:t xml:space="preserve">il conviendra de confirmer </w:t>
      </w:r>
      <w:r w:rsidR="001A24AF" w:rsidRPr="00501777">
        <w:rPr>
          <w:rFonts w:asciiTheme="minorHAnsi" w:hAnsiTheme="minorHAnsi"/>
          <w:lang w:val="fr-CH"/>
        </w:rPr>
        <w:t>leur</w:t>
      </w:r>
      <w:r w:rsidR="000B594C" w:rsidRPr="003607BA">
        <w:rPr>
          <w:rFonts w:eastAsia="SimSun"/>
          <w:lang w:val="fr-CH" w:eastAsia="zh-CN"/>
        </w:rPr>
        <w:t xml:space="preserve"> </w:t>
      </w:r>
      <w:r w:rsidR="00B7246B">
        <w:rPr>
          <w:rFonts w:eastAsia="SimSun"/>
          <w:lang w:val="fr-CH" w:eastAsia="zh-CN"/>
        </w:rPr>
        <w:t xml:space="preserve">situation </w:t>
      </w:r>
      <w:r w:rsidR="000B594C" w:rsidRPr="003607BA">
        <w:rPr>
          <w:rFonts w:eastAsia="SimSun"/>
          <w:lang w:val="fr-CH" w:eastAsia="zh-CN"/>
        </w:rPr>
        <w:t xml:space="preserve">avant le 31 octobre 2019. </w:t>
      </w:r>
      <w:r w:rsidR="00B7246B">
        <w:rPr>
          <w:rFonts w:eastAsia="SimSun"/>
          <w:lang w:val="fr-CH" w:eastAsia="zh-CN"/>
        </w:rPr>
        <w:t>En l'absence d'</w:t>
      </w:r>
      <w:r w:rsidR="00320FF3" w:rsidRPr="003607BA">
        <w:rPr>
          <w:rFonts w:eastAsia="SimSun"/>
          <w:lang w:val="fr-CH" w:eastAsia="zh-CN"/>
        </w:rPr>
        <w:t>objection</w:t>
      </w:r>
      <w:r w:rsidR="00B7246B">
        <w:rPr>
          <w:rFonts w:eastAsia="SimSun"/>
          <w:lang w:val="fr-CH" w:eastAsia="zh-CN"/>
        </w:rPr>
        <w:t>s</w:t>
      </w:r>
      <w:r w:rsidR="00320FF3" w:rsidRPr="003607BA">
        <w:rPr>
          <w:rFonts w:eastAsia="SimSun"/>
          <w:lang w:val="fr-CH" w:eastAsia="zh-CN"/>
        </w:rPr>
        <w:t xml:space="preserve"> </w:t>
      </w:r>
      <w:r w:rsidR="00B7246B">
        <w:rPr>
          <w:rFonts w:eastAsia="SimSun"/>
          <w:lang w:val="fr-CH" w:eastAsia="zh-CN"/>
        </w:rPr>
        <w:t xml:space="preserve">de la part </w:t>
      </w:r>
      <w:r w:rsidR="00320FF3" w:rsidRPr="003607BA">
        <w:rPr>
          <w:rFonts w:eastAsia="SimSun"/>
          <w:lang w:val="fr-CH" w:eastAsia="zh-CN"/>
        </w:rPr>
        <w:t xml:space="preserve">des administrations/autorités de régulation nationales ou exploitations autorisées, les numéros UIFN et IIN </w:t>
      </w:r>
      <w:r w:rsidR="00B7246B">
        <w:rPr>
          <w:rFonts w:eastAsia="SimSun"/>
          <w:lang w:val="fr-CH" w:eastAsia="zh-CN"/>
        </w:rPr>
        <w:t xml:space="preserve">correspondants </w:t>
      </w:r>
      <w:r w:rsidR="00320FF3" w:rsidRPr="003607BA">
        <w:rPr>
          <w:rFonts w:eastAsia="SimSun"/>
          <w:lang w:val="fr-CH" w:eastAsia="zh-CN"/>
        </w:rPr>
        <w:t xml:space="preserve">seront considérés comme n'étant plus actifs et seront retirés des bases de données de l'UIT. </w:t>
      </w:r>
    </w:p>
    <w:p w14:paraId="065BD3BA" w14:textId="73E0392C" w:rsidR="00832704" w:rsidRPr="00C854AD" w:rsidRDefault="00254ADD" w:rsidP="00B72E22">
      <w:pPr>
        <w:rPr>
          <w:rFonts w:eastAsia="SimSun"/>
          <w:lang w:val="fr-CH" w:eastAsia="zh-CN"/>
        </w:rPr>
      </w:pPr>
      <w:r w:rsidRPr="00C854AD">
        <w:rPr>
          <w:rFonts w:eastAsia="SimSun"/>
          <w:lang w:val="fr-CH" w:eastAsia="zh-CN"/>
        </w:rPr>
        <w:lastRenderedPageBreak/>
        <w:t>5.6</w:t>
      </w:r>
      <w:r w:rsidRPr="00C854AD">
        <w:rPr>
          <w:rFonts w:eastAsia="SimSun"/>
          <w:lang w:val="fr-CH" w:eastAsia="zh-CN"/>
        </w:rPr>
        <w:tab/>
      </w:r>
      <w:r w:rsidR="00832704" w:rsidRPr="00C854AD">
        <w:rPr>
          <w:rFonts w:eastAsia="SimSun"/>
          <w:lang w:val="fr-CH" w:eastAsia="zh-CN"/>
        </w:rPr>
        <w:t xml:space="preserve">Les fournisseurs de services UIFN ou les bénéficiaires de numéros IIN </w:t>
      </w:r>
      <w:r w:rsidR="00B7246B">
        <w:rPr>
          <w:rFonts w:eastAsia="SimSun"/>
          <w:lang w:val="fr-CH" w:eastAsia="zh-CN"/>
        </w:rPr>
        <w:t xml:space="preserve">portant la mention </w:t>
      </w:r>
      <w:r w:rsidR="00832704" w:rsidRPr="00C854AD">
        <w:rPr>
          <w:rFonts w:eastAsia="SimSun"/>
          <w:lang w:val="fr-CH" w:eastAsia="zh-CN"/>
        </w:rPr>
        <w:t>"</w:t>
      </w:r>
      <w:r w:rsidR="00F910DC" w:rsidRPr="003607BA">
        <w:rPr>
          <w:rFonts w:eastAsia="SimSun"/>
          <w:lang w:val="fr-CH" w:eastAsia="zh-CN"/>
        </w:rPr>
        <w:t>RATTACHÉ À L'ADMINISTRATION</w:t>
      </w:r>
      <w:r w:rsidR="00832704" w:rsidRPr="003607BA">
        <w:rPr>
          <w:rFonts w:eastAsia="SimSun"/>
          <w:lang w:val="fr-CH" w:eastAsia="zh-CN"/>
        </w:rPr>
        <w:t xml:space="preserve">" ne sont pas soumis au paiement du droit de gestion annuel. </w:t>
      </w:r>
    </w:p>
    <w:p w14:paraId="316BA624" w14:textId="77777777" w:rsidR="00D65BB2" w:rsidRPr="00C854AD" w:rsidRDefault="00D65BB2" w:rsidP="00B72E22">
      <w:pPr>
        <w:rPr>
          <w:rFonts w:eastAsia="Calibri" w:cs="Calibri"/>
          <w:lang w:val="fr-CH"/>
        </w:rPr>
      </w:pPr>
    </w:p>
    <w:p w14:paraId="09D17BFD" w14:textId="77777777" w:rsidR="00D65BB2" w:rsidRPr="00C854AD" w:rsidRDefault="00D65BB2" w:rsidP="00B72E22">
      <w:pPr>
        <w:rPr>
          <w:rFonts w:eastAsia="Calibri" w:cs="Calibri"/>
          <w:lang w:val="fr-CH"/>
        </w:rPr>
        <w:sectPr w:rsidR="00D65BB2" w:rsidRPr="00C854AD" w:rsidSect="005C3890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40" w:code="9"/>
          <w:pgMar w:top="1418" w:right="1134" w:bottom="1418" w:left="1134" w:header="720" w:footer="720" w:gutter="0"/>
          <w:paperSrc w:first="261" w:other="261"/>
          <w:cols w:space="720"/>
          <w:titlePg/>
        </w:sectPr>
      </w:pPr>
    </w:p>
    <w:p w14:paraId="448E4245" w14:textId="5F3821E0" w:rsidR="000C6719" w:rsidRPr="00C854AD" w:rsidRDefault="000C6719" w:rsidP="00B72E22">
      <w:pPr>
        <w:pStyle w:val="ListParagraph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0"/>
        <w:contextualSpacing w:val="0"/>
        <w:jc w:val="both"/>
        <w:rPr>
          <w:b/>
          <w:szCs w:val="24"/>
          <w:lang w:val="fr-CH"/>
        </w:rPr>
      </w:pPr>
      <w:r w:rsidRPr="00C854AD">
        <w:rPr>
          <w:b/>
          <w:szCs w:val="24"/>
          <w:lang w:val="fr-CH"/>
        </w:rPr>
        <w:lastRenderedPageBreak/>
        <w:t>Annex</w:t>
      </w:r>
      <w:r w:rsidR="002079DB" w:rsidRPr="00C854AD">
        <w:rPr>
          <w:b/>
          <w:szCs w:val="24"/>
          <w:lang w:val="fr-CH"/>
        </w:rPr>
        <w:t>e</w:t>
      </w:r>
      <w:r w:rsidR="00BF0C52">
        <w:rPr>
          <w:b/>
          <w:szCs w:val="24"/>
          <w:lang w:val="fr-CH"/>
        </w:rPr>
        <w:t xml:space="preserve"> A </w:t>
      </w:r>
      <w:r w:rsidR="00BF0C52" w:rsidRPr="00BF0C52">
        <w:rPr>
          <w:b/>
          <w:szCs w:val="24"/>
          <w:lang w:val="fr-CH"/>
        </w:rPr>
        <w:t>–</w:t>
      </w:r>
      <w:r w:rsidRPr="00C854AD">
        <w:rPr>
          <w:b/>
          <w:szCs w:val="24"/>
          <w:lang w:val="fr-CH"/>
        </w:rPr>
        <w:t xml:space="preserve"> List</w:t>
      </w:r>
      <w:r w:rsidR="006D6E42" w:rsidRPr="00C854AD">
        <w:rPr>
          <w:b/>
          <w:szCs w:val="24"/>
          <w:lang w:val="fr-CH"/>
        </w:rPr>
        <w:t>e</w:t>
      </w:r>
      <w:r w:rsidRPr="00C854AD">
        <w:rPr>
          <w:b/>
          <w:szCs w:val="24"/>
          <w:lang w:val="fr-CH"/>
        </w:rPr>
        <w:t xml:space="preserve"> </w:t>
      </w:r>
      <w:r w:rsidR="006D6E42" w:rsidRPr="00C854AD">
        <w:rPr>
          <w:b/>
          <w:szCs w:val="24"/>
          <w:lang w:val="fr-CH"/>
        </w:rPr>
        <w:t xml:space="preserve">des fournisseurs de services UIFN </w:t>
      </w:r>
      <w:r w:rsidR="00BF0C52">
        <w:rPr>
          <w:b/>
          <w:szCs w:val="24"/>
          <w:lang w:val="fr-CH"/>
        </w:rPr>
        <w:t>dont les enregistrements sont susceptibles d'être supprimés</w:t>
      </w:r>
    </w:p>
    <w:tbl>
      <w:tblPr>
        <w:tblW w:w="1358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6"/>
        <w:gridCol w:w="936"/>
        <w:gridCol w:w="1492"/>
        <w:gridCol w:w="5522"/>
        <w:gridCol w:w="2409"/>
        <w:gridCol w:w="1823"/>
      </w:tblGrid>
      <w:tr w:rsidR="000C6719" w:rsidRPr="00651840" w14:paraId="550AFF59" w14:textId="77777777" w:rsidTr="00AD1AFA">
        <w:trPr>
          <w:cantSplit/>
          <w:trHeight w:val="255"/>
          <w:tblHeader/>
        </w:trPr>
        <w:tc>
          <w:tcPr>
            <w:tcW w:w="1406" w:type="dxa"/>
            <w:shd w:val="clear" w:color="000000" w:fill="DDDDDD"/>
            <w:noWrap/>
            <w:hideMark/>
          </w:tcPr>
          <w:p w14:paraId="20913519" w14:textId="3452BCAB" w:rsidR="000C6719" w:rsidRPr="00651840" w:rsidRDefault="006D6E42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b/>
                <w:sz w:val="20"/>
                <w:lang w:val="fr-CH" w:eastAsia="zh-CN"/>
              </w:rPr>
              <w:t>Montant</w:t>
            </w:r>
          </w:p>
        </w:tc>
        <w:tc>
          <w:tcPr>
            <w:tcW w:w="936" w:type="dxa"/>
            <w:shd w:val="clear" w:color="000000" w:fill="DDDDDD"/>
            <w:noWrap/>
            <w:hideMark/>
          </w:tcPr>
          <w:p w14:paraId="7DAEC65D" w14:textId="651CACB5" w:rsidR="000C6719" w:rsidRPr="00651840" w:rsidRDefault="006D6E42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b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b/>
                <w:sz w:val="20"/>
                <w:lang w:val="fr-CH" w:eastAsia="zh-CN"/>
              </w:rPr>
              <w:t>Devise</w:t>
            </w:r>
          </w:p>
        </w:tc>
        <w:tc>
          <w:tcPr>
            <w:tcW w:w="1492" w:type="dxa"/>
            <w:shd w:val="clear" w:color="000000" w:fill="DDDDDD"/>
          </w:tcPr>
          <w:p w14:paraId="34FCC629" w14:textId="181A8BA0" w:rsidR="000C6719" w:rsidRPr="00651840" w:rsidRDefault="006D6E42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b/>
                <w:sz w:val="20"/>
                <w:lang w:val="fr-CH" w:eastAsia="zh-CN"/>
              </w:rPr>
              <w:t>Nombre de numéros UIFN</w:t>
            </w:r>
          </w:p>
          <w:p w14:paraId="604AEDC8" w14:textId="0888710E" w:rsidR="000C6719" w:rsidRPr="00651840" w:rsidRDefault="006D6E42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b/>
                <w:sz w:val="20"/>
                <w:lang w:val="fr-CH" w:eastAsia="zh-CN"/>
              </w:rPr>
              <w:t>0</w:t>
            </w:r>
            <w:r w:rsidR="000C6719" w:rsidRPr="00651840">
              <w:rPr>
                <w:rFonts w:asciiTheme="minorHAnsi" w:hAnsiTheme="minorHAnsi" w:cstheme="minorHAnsi"/>
                <w:b/>
                <w:sz w:val="20"/>
                <w:lang w:val="fr-CH" w:eastAsia="zh-CN"/>
              </w:rPr>
              <w:t>1/</w:t>
            </w:r>
            <w:r w:rsidRPr="00651840">
              <w:rPr>
                <w:rFonts w:asciiTheme="minorHAnsi" w:hAnsiTheme="minorHAnsi" w:cstheme="minorHAnsi"/>
                <w:b/>
                <w:sz w:val="20"/>
                <w:lang w:val="fr-CH" w:eastAsia="zh-CN"/>
              </w:rPr>
              <w:t>0</w:t>
            </w:r>
            <w:r w:rsidR="000C6719" w:rsidRPr="00651840">
              <w:rPr>
                <w:rFonts w:asciiTheme="minorHAnsi" w:hAnsiTheme="minorHAnsi" w:cstheme="minorHAnsi"/>
                <w:b/>
                <w:sz w:val="20"/>
                <w:lang w:val="fr-CH" w:eastAsia="zh-CN"/>
              </w:rPr>
              <w:t>1/2018</w:t>
            </w:r>
          </w:p>
        </w:tc>
        <w:tc>
          <w:tcPr>
            <w:tcW w:w="5522" w:type="dxa"/>
            <w:shd w:val="clear" w:color="000000" w:fill="DDDDDD"/>
            <w:noWrap/>
            <w:hideMark/>
          </w:tcPr>
          <w:p w14:paraId="3590F829" w14:textId="4D6B33DE" w:rsidR="000C6719" w:rsidRPr="00651840" w:rsidRDefault="006D6E42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b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b/>
                <w:sz w:val="20"/>
                <w:lang w:val="fr-CH" w:eastAsia="zh-CN"/>
              </w:rPr>
              <w:t>Nom de l'entreprise</w:t>
            </w:r>
          </w:p>
        </w:tc>
        <w:tc>
          <w:tcPr>
            <w:tcW w:w="2409" w:type="dxa"/>
            <w:shd w:val="clear" w:color="000000" w:fill="DDDDDD"/>
            <w:noWrap/>
            <w:hideMark/>
          </w:tcPr>
          <w:p w14:paraId="158D02F5" w14:textId="507C632E" w:rsidR="000C6719" w:rsidRPr="00651840" w:rsidRDefault="006D6E42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b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b/>
                <w:sz w:val="20"/>
                <w:lang w:val="fr-CH" w:eastAsia="zh-CN"/>
              </w:rPr>
              <w:t>Pays</w:t>
            </w:r>
            <w:r w:rsidR="000C6719" w:rsidRPr="00651840">
              <w:rPr>
                <w:rFonts w:asciiTheme="minorHAnsi" w:hAnsiTheme="minorHAnsi" w:cstheme="minorHAnsi"/>
                <w:b/>
                <w:sz w:val="20"/>
                <w:lang w:val="fr-CH" w:eastAsia="zh-CN"/>
              </w:rPr>
              <w:t>/</w:t>
            </w:r>
            <w:r w:rsidRPr="00651840">
              <w:rPr>
                <w:rFonts w:asciiTheme="minorHAnsi" w:hAnsiTheme="minorHAnsi" w:cstheme="minorHAnsi"/>
                <w:b/>
                <w:sz w:val="20"/>
                <w:lang w:val="fr-CH" w:eastAsia="zh-CN"/>
              </w:rPr>
              <w:t>zone géographique</w:t>
            </w:r>
          </w:p>
        </w:tc>
        <w:tc>
          <w:tcPr>
            <w:tcW w:w="1823" w:type="dxa"/>
            <w:shd w:val="clear" w:color="000000" w:fill="DDDDDD"/>
          </w:tcPr>
          <w:p w14:paraId="5DB71E1C" w14:textId="087B7DEA" w:rsidR="000C6719" w:rsidRPr="00651840" w:rsidRDefault="009E5564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b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b/>
                <w:sz w:val="20"/>
                <w:lang w:val="fr-CH" w:eastAsia="zh-CN"/>
              </w:rPr>
              <w:t>N</w:t>
            </w:r>
            <w:r w:rsidR="000C6719" w:rsidRPr="00651840">
              <w:rPr>
                <w:rFonts w:asciiTheme="minorHAnsi" w:hAnsiTheme="minorHAnsi" w:cstheme="minorHAnsi"/>
                <w:b/>
                <w:sz w:val="20"/>
                <w:lang w:val="fr-CH" w:eastAsia="zh-CN"/>
              </w:rPr>
              <w:t>ote</w:t>
            </w:r>
          </w:p>
        </w:tc>
      </w:tr>
      <w:tr w:rsidR="000C6719" w:rsidRPr="00651840" w14:paraId="56CA3B42" w14:textId="77777777" w:rsidTr="00AD1AFA">
        <w:trPr>
          <w:cantSplit/>
          <w:trHeight w:val="262"/>
        </w:trPr>
        <w:tc>
          <w:tcPr>
            <w:tcW w:w="1406" w:type="dxa"/>
            <w:shd w:val="clear" w:color="auto" w:fill="auto"/>
            <w:noWrap/>
            <w:hideMark/>
          </w:tcPr>
          <w:p w14:paraId="21F2D7BE" w14:textId="77777777" w:rsidR="000C6719" w:rsidRPr="00651840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sz w:val="20"/>
                <w:lang w:val="fr-CH" w:eastAsia="zh-CN"/>
              </w:rPr>
              <w:t>147</w:t>
            </w:r>
            <w:r w:rsidR="002079DB" w:rsidRPr="00651840">
              <w:rPr>
                <w:rFonts w:asciiTheme="minorHAnsi" w:hAnsiTheme="minorHAnsi" w:cstheme="minorHAnsi"/>
                <w:sz w:val="20"/>
                <w:lang w:val="fr-CH" w:eastAsia="zh-CN"/>
              </w:rPr>
              <w:t xml:space="preserve"> </w:t>
            </w:r>
            <w:r w:rsidRPr="00651840">
              <w:rPr>
                <w:rFonts w:asciiTheme="minorHAnsi" w:hAnsiTheme="minorHAnsi" w:cstheme="minorHAnsi"/>
                <w:sz w:val="20"/>
                <w:lang w:val="fr-CH" w:eastAsia="zh-CN"/>
              </w:rPr>
              <w:t>400</w:t>
            </w:r>
            <w:r w:rsidR="002079DB" w:rsidRPr="00651840">
              <w:rPr>
                <w:rFonts w:asciiTheme="minorHAnsi" w:hAnsiTheme="minorHAnsi" w:cstheme="minorHAnsi"/>
                <w:sz w:val="20"/>
                <w:lang w:val="fr-CH" w:eastAsia="zh-CN"/>
              </w:rPr>
              <w:t>,</w:t>
            </w:r>
            <w:r w:rsidRPr="00651840">
              <w:rPr>
                <w:rFonts w:asciiTheme="minorHAnsi" w:hAnsiTheme="minorHAnsi" w:cstheme="minorHAnsi"/>
                <w:sz w:val="20"/>
                <w:lang w:val="fr-CH" w:eastAsia="zh-CN"/>
              </w:rPr>
              <w:t>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7C4B68C4" w14:textId="77777777" w:rsidR="000C6719" w:rsidRPr="00651840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sz w:val="20"/>
                <w:lang w:val="fr-CH" w:eastAsia="zh-CN"/>
              </w:rPr>
              <w:t>CHF</w:t>
            </w:r>
          </w:p>
        </w:tc>
        <w:tc>
          <w:tcPr>
            <w:tcW w:w="1492" w:type="dxa"/>
          </w:tcPr>
          <w:p w14:paraId="73FF11C0" w14:textId="4AC8DEAF" w:rsidR="000C6719" w:rsidRPr="00651840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sz w:val="20"/>
                <w:lang w:val="fr-CH" w:eastAsia="zh-CN"/>
              </w:rPr>
              <w:t>1</w:t>
            </w:r>
            <w:r w:rsidR="009E5564" w:rsidRPr="00651840">
              <w:rPr>
                <w:rFonts w:asciiTheme="minorHAnsi" w:hAnsiTheme="minorHAnsi" w:cstheme="minorHAnsi"/>
                <w:sz w:val="20"/>
                <w:lang w:val="fr-CH" w:eastAsia="zh-CN"/>
              </w:rPr>
              <w:t xml:space="preserve"> </w:t>
            </w:r>
            <w:r w:rsidRPr="00651840">
              <w:rPr>
                <w:rFonts w:asciiTheme="minorHAnsi" w:hAnsiTheme="minorHAnsi" w:cstheme="minorHAnsi"/>
                <w:sz w:val="20"/>
                <w:lang w:val="fr-CH" w:eastAsia="zh-CN"/>
              </w:rPr>
              <w:t>474</w:t>
            </w:r>
          </w:p>
        </w:tc>
        <w:tc>
          <w:tcPr>
            <w:tcW w:w="5522" w:type="dxa"/>
            <w:shd w:val="clear" w:color="auto" w:fill="auto"/>
            <w:noWrap/>
            <w:hideMark/>
          </w:tcPr>
          <w:p w14:paraId="1B58D7FB" w14:textId="77777777" w:rsidR="000C6719" w:rsidRPr="00651840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sz w:val="20"/>
                <w:lang w:val="fr-CH" w:eastAsia="zh-CN"/>
              </w:rPr>
              <w:t>USA Global Link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14:paraId="3A627AF2" w14:textId="4EF5CE47" w:rsidR="000C6719" w:rsidRPr="00651840" w:rsidRDefault="006D6E42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sz w:val="20"/>
                <w:lang w:val="fr-CH" w:eastAsia="zh-CN"/>
              </w:rPr>
              <w:t>États-Unis</w:t>
            </w:r>
          </w:p>
        </w:tc>
        <w:tc>
          <w:tcPr>
            <w:tcW w:w="1823" w:type="dxa"/>
          </w:tcPr>
          <w:p w14:paraId="6F1369AE" w14:textId="5A395EF7" w:rsidR="000C6719" w:rsidRPr="00651840" w:rsidRDefault="006D6E42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sz w:val="20"/>
                <w:lang w:val="fr-CH" w:eastAsia="zh-CN"/>
              </w:rPr>
              <w:t xml:space="preserve">Plus </w:t>
            </w:r>
            <w:r w:rsidR="00F3690C" w:rsidRPr="00651840">
              <w:rPr>
                <w:rFonts w:asciiTheme="minorHAnsi" w:hAnsiTheme="minorHAnsi" w:cstheme="minorHAnsi"/>
                <w:sz w:val="20"/>
                <w:lang w:val="fr-CH" w:eastAsia="zh-CN"/>
              </w:rPr>
              <w:t>actif</w:t>
            </w:r>
          </w:p>
        </w:tc>
      </w:tr>
      <w:tr w:rsidR="000C6719" w:rsidRPr="00651840" w14:paraId="2E57EF56" w14:textId="77777777" w:rsidTr="00AD1AFA">
        <w:trPr>
          <w:cantSplit/>
          <w:trHeight w:val="255"/>
        </w:trPr>
        <w:tc>
          <w:tcPr>
            <w:tcW w:w="1406" w:type="dxa"/>
            <w:shd w:val="clear" w:color="auto" w:fill="auto"/>
            <w:noWrap/>
            <w:hideMark/>
          </w:tcPr>
          <w:p w14:paraId="27504758" w14:textId="77777777" w:rsidR="000C6719" w:rsidRPr="00651840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outlineLvl w:val="2"/>
              <w:rPr>
                <w:rFonts w:asciiTheme="minorHAnsi" w:hAnsiTheme="minorHAnsi" w:cstheme="minorHAnsi"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sz w:val="20"/>
                <w:lang w:val="fr-CH" w:eastAsia="zh-CN"/>
              </w:rPr>
              <w:t>5</w:t>
            </w:r>
            <w:r w:rsidR="002079DB" w:rsidRPr="00651840">
              <w:rPr>
                <w:rFonts w:asciiTheme="minorHAnsi" w:hAnsiTheme="minorHAnsi" w:cstheme="minorHAnsi"/>
                <w:sz w:val="20"/>
                <w:lang w:val="fr-CH" w:eastAsia="zh-CN"/>
              </w:rPr>
              <w:t xml:space="preserve"> </w:t>
            </w:r>
            <w:r w:rsidRPr="00651840">
              <w:rPr>
                <w:rFonts w:asciiTheme="minorHAnsi" w:hAnsiTheme="minorHAnsi" w:cstheme="minorHAnsi"/>
                <w:sz w:val="20"/>
                <w:lang w:val="fr-CH" w:eastAsia="zh-CN"/>
              </w:rPr>
              <w:t>000</w:t>
            </w:r>
            <w:r w:rsidR="002079DB" w:rsidRPr="00651840">
              <w:rPr>
                <w:rFonts w:asciiTheme="minorHAnsi" w:hAnsiTheme="minorHAnsi" w:cstheme="minorHAnsi"/>
                <w:sz w:val="20"/>
                <w:lang w:val="fr-CH" w:eastAsia="zh-CN"/>
              </w:rPr>
              <w:t>,</w:t>
            </w:r>
            <w:r w:rsidRPr="00651840">
              <w:rPr>
                <w:rFonts w:asciiTheme="minorHAnsi" w:hAnsiTheme="minorHAnsi" w:cstheme="minorHAnsi"/>
                <w:sz w:val="20"/>
                <w:lang w:val="fr-CH" w:eastAsia="zh-CN"/>
              </w:rPr>
              <w:t>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4DCDB1D1" w14:textId="77777777" w:rsidR="000C6719" w:rsidRPr="00651840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sz w:val="20"/>
                <w:lang w:val="fr-CH" w:eastAsia="zh-CN"/>
              </w:rPr>
              <w:t>CHF</w:t>
            </w:r>
          </w:p>
        </w:tc>
        <w:tc>
          <w:tcPr>
            <w:tcW w:w="1492" w:type="dxa"/>
          </w:tcPr>
          <w:p w14:paraId="672B7744" w14:textId="77777777" w:rsidR="000C6719" w:rsidRPr="00651840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outlineLvl w:val="2"/>
              <w:rPr>
                <w:rFonts w:asciiTheme="minorHAnsi" w:hAnsiTheme="minorHAnsi" w:cstheme="minorHAnsi"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sz w:val="20"/>
                <w:lang w:val="fr-CH" w:eastAsia="zh-CN"/>
              </w:rPr>
              <w:t>50</w:t>
            </w:r>
          </w:p>
        </w:tc>
        <w:tc>
          <w:tcPr>
            <w:tcW w:w="5522" w:type="dxa"/>
            <w:shd w:val="clear" w:color="auto" w:fill="auto"/>
            <w:noWrap/>
            <w:hideMark/>
          </w:tcPr>
          <w:p w14:paraId="098B4B77" w14:textId="77777777" w:rsidR="000C6719" w:rsidRPr="00651840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sz w:val="20"/>
                <w:lang w:val="fr-CH" w:eastAsia="zh-CN"/>
              </w:rPr>
              <w:t>RSL Com USA, Inc.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14:paraId="3FDACCF4" w14:textId="17C0B181" w:rsidR="000C6719" w:rsidRPr="00651840" w:rsidRDefault="006D6E42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sz w:val="20"/>
                <w:lang w:val="fr-CH" w:eastAsia="zh-CN"/>
              </w:rPr>
              <w:t>États-Unis</w:t>
            </w:r>
          </w:p>
        </w:tc>
        <w:tc>
          <w:tcPr>
            <w:tcW w:w="1823" w:type="dxa"/>
          </w:tcPr>
          <w:p w14:paraId="47F5735F" w14:textId="373101B2" w:rsidR="000C6719" w:rsidRPr="00651840" w:rsidRDefault="006D6E42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b/>
                <w:bCs/>
                <w:sz w:val="20"/>
                <w:lang w:val="fr-CH"/>
              </w:rPr>
            </w:pPr>
            <w:r w:rsidRPr="00651840">
              <w:rPr>
                <w:rFonts w:asciiTheme="minorHAnsi" w:hAnsiTheme="minorHAnsi" w:cstheme="minorHAnsi"/>
                <w:sz w:val="20"/>
                <w:lang w:val="fr-CH" w:eastAsia="zh-CN"/>
              </w:rPr>
              <w:t xml:space="preserve">Plus </w:t>
            </w:r>
            <w:r w:rsidR="00F3690C" w:rsidRPr="00651840">
              <w:rPr>
                <w:rFonts w:asciiTheme="minorHAnsi" w:hAnsiTheme="minorHAnsi" w:cstheme="minorHAnsi"/>
                <w:sz w:val="20"/>
                <w:lang w:val="fr-CH" w:eastAsia="zh-CN"/>
              </w:rPr>
              <w:t>actif</w:t>
            </w:r>
          </w:p>
        </w:tc>
      </w:tr>
      <w:tr w:rsidR="000C6719" w:rsidRPr="00651840" w14:paraId="40C710B4" w14:textId="77777777" w:rsidTr="00AD1AFA">
        <w:trPr>
          <w:cantSplit/>
          <w:trHeight w:val="255"/>
        </w:trPr>
        <w:tc>
          <w:tcPr>
            <w:tcW w:w="1406" w:type="dxa"/>
            <w:shd w:val="clear" w:color="auto" w:fill="auto"/>
            <w:noWrap/>
            <w:hideMark/>
          </w:tcPr>
          <w:p w14:paraId="7E857853" w14:textId="77777777" w:rsidR="000C6719" w:rsidRPr="00651840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outlineLvl w:val="2"/>
              <w:rPr>
                <w:rFonts w:asciiTheme="minorHAnsi" w:hAnsiTheme="minorHAnsi" w:cstheme="minorHAnsi"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sz w:val="20"/>
                <w:lang w:val="fr-CH" w:eastAsia="zh-CN"/>
              </w:rPr>
              <w:t>3</w:t>
            </w:r>
            <w:r w:rsidR="002079DB" w:rsidRPr="00651840">
              <w:rPr>
                <w:rFonts w:asciiTheme="minorHAnsi" w:hAnsiTheme="minorHAnsi" w:cstheme="minorHAnsi"/>
                <w:sz w:val="20"/>
                <w:lang w:val="fr-CH" w:eastAsia="zh-CN"/>
              </w:rPr>
              <w:t xml:space="preserve"> </w:t>
            </w:r>
            <w:r w:rsidRPr="00651840">
              <w:rPr>
                <w:rFonts w:asciiTheme="minorHAnsi" w:hAnsiTheme="minorHAnsi" w:cstheme="minorHAnsi"/>
                <w:sz w:val="20"/>
                <w:lang w:val="fr-CH" w:eastAsia="zh-CN"/>
              </w:rPr>
              <w:t>300</w:t>
            </w:r>
            <w:r w:rsidR="002079DB" w:rsidRPr="00651840">
              <w:rPr>
                <w:rFonts w:asciiTheme="minorHAnsi" w:hAnsiTheme="minorHAnsi" w:cstheme="minorHAnsi"/>
                <w:sz w:val="20"/>
                <w:lang w:val="fr-CH" w:eastAsia="zh-CN"/>
              </w:rPr>
              <w:t>,</w:t>
            </w:r>
            <w:r w:rsidRPr="00651840">
              <w:rPr>
                <w:rFonts w:asciiTheme="minorHAnsi" w:hAnsiTheme="minorHAnsi" w:cstheme="minorHAnsi"/>
                <w:sz w:val="20"/>
                <w:lang w:val="fr-CH" w:eastAsia="zh-CN"/>
              </w:rPr>
              <w:t>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6166104C" w14:textId="77777777" w:rsidR="000C6719" w:rsidRPr="00651840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sz w:val="20"/>
                <w:lang w:val="fr-CH" w:eastAsia="zh-CN"/>
              </w:rPr>
              <w:t>CHF</w:t>
            </w:r>
          </w:p>
        </w:tc>
        <w:tc>
          <w:tcPr>
            <w:tcW w:w="1492" w:type="dxa"/>
          </w:tcPr>
          <w:p w14:paraId="238C0F19" w14:textId="77777777" w:rsidR="000C6719" w:rsidRPr="00651840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outlineLvl w:val="2"/>
              <w:rPr>
                <w:rFonts w:asciiTheme="minorHAnsi" w:hAnsiTheme="minorHAnsi" w:cstheme="minorHAnsi"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sz w:val="20"/>
                <w:lang w:val="fr-CH" w:eastAsia="zh-CN"/>
              </w:rPr>
              <w:t>33</w:t>
            </w:r>
          </w:p>
        </w:tc>
        <w:tc>
          <w:tcPr>
            <w:tcW w:w="5522" w:type="dxa"/>
            <w:shd w:val="clear" w:color="auto" w:fill="auto"/>
            <w:noWrap/>
            <w:hideMark/>
          </w:tcPr>
          <w:p w14:paraId="4F2C039A" w14:textId="77777777" w:rsidR="000C6719" w:rsidRPr="00651840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sz w:val="20"/>
                <w:lang w:val="fr-CH" w:eastAsia="zh-CN"/>
              </w:rPr>
              <w:t>Executive Telecard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14:paraId="66931CC2" w14:textId="2E6EE195" w:rsidR="000C6719" w:rsidRPr="00651840" w:rsidRDefault="006D6E42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sz w:val="20"/>
                <w:lang w:val="fr-CH" w:eastAsia="zh-CN"/>
              </w:rPr>
              <w:t>États-Unis</w:t>
            </w:r>
          </w:p>
        </w:tc>
        <w:tc>
          <w:tcPr>
            <w:tcW w:w="1823" w:type="dxa"/>
          </w:tcPr>
          <w:p w14:paraId="34C33B4F" w14:textId="14B9CA07" w:rsidR="000C6719" w:rsidRPr="00651840" w:rsidRDefault="006D6E42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b/>
                <w:bCs/>
                <w:sz w:val="20"/>
                <w:lang w:val="fr-CH"/>
              </w:rPr>
            </w:pPr>
            <w:r w:rsidRPr="00651840">
              <w:rPr>
                <w:rFonts w:asciiTheme="minorHAnsi" w:hAnsiTheme="minorHAnsi" w:cstheme="minorHAnsi"/>
                <w:sz w:val="20"/>
                <w:lang w:val="fr-CH" w:eastAsia="zh-CN"/>
              </w:rPr>
              <w:t xml:space="preserve">Plus </w:t>
            </w:r>
            <w:r w:rsidR="00F3690C" w:rsidRPr="00651840">
              <w:rPr>
                <w:rFonts w:asciiTheme="minorHAnsi" w:hAnsiTheme="minorHAnsi" w:cstheme="minorHAnsi"/>
                <w:sz w:val="20"/>
                <w:lang w:val="fr-CH" w:eastAsia="zh-CN"/>
              </w:rPr>
              <w:t>actif</w:t>
            </w:r>
          </w:p>
        </w:tc>
      </w:tr>
      <w:tr w:rsidR="000C6719" w:rsidRPr="00651840" w14:paraId="6DE19AF3" w14:textId="77777777" w:rsidTr="00AD1AFA">
        <w:trPr>
          <w:cantSplit/>
          <w:trHeight w:val="255"/>
        </w:trPr>
        <w:tc>
          <w:tcPr>
            <w:tcW w:w="1406" w:type="dxa"/>
            <w:shd w:val="clear" w:color="auto" w:fill="auto"/>
            <w:noWrap/>
            <w:hideMark/>
          </w:tcPr>
          <w:p w14:paraId="2FD89C6A" w14:textId="77777777" w:rsidR="000C6719" w:rsidRPr="00651840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outlineLvl w:val="2"/>
              <w:rPr>
                <w:rFonts w:asciiTheme="minorHAnsi" w:hAnsiTheme="minorHAnsi" w:cstheme="minorHAnsi"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sz w:val="20"/>
                <w:lang w:val="fr-CH" w:eastAsia="zh-CN"/>
              </w:rPr>
              <w:t>100</w:t>
            </w:r>
            <w:r w:rsidR="002079DB" w:rsidRPr="00651840">
              <w:rPr>
                <w:rFonts w:asciiTheme="minorHAnsi" w:hAnsiTheme="minorHAnsi" w:cstheme="minorHAnsi"/>
                <w:sz w:val="20"/>
                <w:lang w:val="fr-CH" w:eastAsia="zh-CN"/>
              </w:rPr>
              <w:t>,</w:t>
            </w:r>
            <w:r w:rsidRPr="00651840">
              <w:rPr>
                <w:rFonts w:asciiTheme="minorHAnsi" w:hAnsiTheme="minorHAnsi" w:cstheme="minorHAnsi"/>
                <w:sz w:val="20"/>
                <w:lang w:val="fr-CH" w:eastAsia="zh-CN"/>
              </w:rPr>
              <w:t>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23F54BE0" w14:textId="77777777" w:rsidR="000C6719" w:rsidRPr="00651840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sz w:val="20"/>
                <w:lang w:val="fr-CH" w:eastAsia="zh-CN"/>
              </w:rPr>
              <w:t>CHF</w:t>
            </w:r>
          </w:p>
        </w:tc>
        <w:tc>
          <w:tcPr>
            <w:tcW w:w="1492" w:type="dxa"/>
          </w:tcPr>
          <w:p w14:paraId="146CA127" w14:textId="77777777" w:rsidR="000C6719" w:rsidRPr="00651840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outlineLvl w:val="2"/>
              <w:rPr>
                <w:rFonts w:asciiTheme="minorHAnsi" w:hAnsiTheme="minorHAnsi" w:cstheme="minorHAnsi"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sz w:val="20"/>
                <w:lang w:val="fr-CH" w:eastAsia="zh-CN"/>
              </w:rPr>
              <w:t>1</w:t>
            </w:r>
          </w:p>
        </w:tc>
        <w:tc>
          <w:tcPr>
            <w:tcW w:w="5522" w:type="dxa"/>
            <w:shd w:val="clear" w:color="auto" w:fill="auto"/>
            <w:noWrap/>
            <w:hideMark/>
          </w:tcPr>
          <w:p w14:paraId="266F014D" w14:textId="77777777" w:rsidR="000C6719" w:rsidRPr="00651840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sz w:val="20"/>
                <w:lang w:val="fr-CH" w:eastAsia="zh-CN"/>
              </w:rPr>
              <w:t>Carrier1 International GmbH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14:paraId="0B91C04A" w14:textId="5C5505FC" w:rsidR="000C6719" w:rsidRPr="00651840" w:rsidRDefault="006D6E42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sz w:val="20"/>
                <w:lang w:val="fr-CH" w:eastAsia="zh-CN"/>
              </w:rPr>
              <w:t>Suisse</w:t>
            </w:r>
          </w:p>
        </w:tc>
        <w:tc>
          <w:tcPr>
            <w:tcW w:w="1823" w:type="dxa"/>
          </w:tcPr>
          <w:p w14:paraId="718A9E23" w14:textId="1F3D6F1D" w:rsidR="000C6719" w:rsidRPr="00651840" w:rsidRDefault="006D6E42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sz w:val="20"/>
                <w:lang w:val="fr-CH" w:eastAsia="zh-CN"/>
              </w:rPr>
              <w:t xml:space="preserve">Plus </w:t>
            </w:r>
            <w:r w:rsidR="00F3690C" w:rsidRPr="00651840">
              <w:rPr>
                <w:rFonts w:asciiTheme="minorHAnsi" w:hAnsiTheme="minorHAnsi" w:cstheme="minorHAnsi"/>
                <w:sz w:val="20"/>
                <w:lang w:val="fr-CH" w:eastAsia="zh-CN"/>
              </w:rPr>
              <w:t>actif</w:t>
            </w:r>
          </w:p>
        </w:tc>
      </w:tr>
      <w:tr w:rsidR="000C6719" w:rsidRPr="00651840" w14:paraId="520262A4" w14:textId="77777777" w:rsidTr="00AD1AFA">
        <w:trPr>
          <w:cantSplit/>
          <w:trHeight w:val="255"/>
        </w:trPr>
        <w:tc>
          <w:tcPr>
            <w:tcW w:w="1406" w:type="dxa"/>
          </w:tcPr>
          <w:p w14:paraId="03024E66" w14:textId="77777777" w:rsidR="000C6719" w:rsidRPr="00651840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sz w:val="20"/>
                <w:lang w:val="fr-CH" w:eastAsia="zh-CN"/>
              </w:rPr>
              <w:t>-</w:t>
            </w:r>
          </w:p>
        </w:tc>
        <w:tc>
          <w:tcPr>
            <w:tcW w:w="936" w:type="dxa"/>
          </w:tcPr>
          <w:p w14:paraId="0A8644BF" w14:textId="77777777" w:rsidR="000C6719" w:rsidRPr="00651840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sz w:val="20"/>
                <w:lang w:val="fr-CH" w:eastAsia="zh-CN"/>
              </w:rPr>
              <w:t>-</w:t>
            </w:r>
          </w:p>
        </w:tc>
        <w:tc>
          <w:tcPr>
            <w:tcW w:w="1492" w:type="dxa"/>
          </w:tcPr>
          <w:p w14:paraId="5C0814E0" w14:textId="77777777" w:rsidR="000C6719" w:rsidRPr="00651840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sz w:val="20"/>
                <w:lang w:val="fr-CH" w:eastAsia="zh-CN"/>
              </w:rPr>
              <w:t>3</w:t>
            </w:r>
          </w:p>
        </w:tc>
        <w:tc>
          <w:tcPr>
            <w:tcW w:w="5522" w:type="dxa"/>
            <w:shd w:val="clear" w:color="auto" w:fill="auto"/>
            <w:noWrap/>
          </w:tcPr>
          <w:p w14:paraId="3D15BCC4" w14:textId="77777777" w:rsidR="000C6719" w:rsidRPr="00651840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val="en-US" w:eastAsia="zh-CN"/>
              </w:rPr>
            </w:pPr>
            <w:r w:rsidRPr="00651840">
              <w:rPr>
                <w:rFonts w:asciiTheme="minorHAnsi" w:hAnsiTheme="minorHAnsi" w:cstheme="minorHAnsi"/>
                <w:sz w:val="20"/>
                <w:lang w:val="en-US" w:eastAsia="zh-CN"/>
              </w:rPr>
              <w:t>Cable and Wireless plc, Bermuda</w:t>
            </w:r>
          </w:p>
        </w:tc>
        <w:tc>
          <w:tcPr>
            <w:tcW w:w="2409" w:type="dxa"/>
            <w:shd w:val="clear" w:color="auto" w:fill="auto"/>
            <w:noWrap/>
          </w:tcPr>
          <w:p w14:paraId="05F78F3C" w14:textId="00890342" w:rsidR="000C6719" w:rsidRPr="00651840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sz w:val="20"/>
                <w:lang w:val="fr-CH" w:eastAsia="zh-CN"/>
              </w:rPr>
              <w:t>Bermud</w:t>
            </w:r>
            <w:r w:rsidR="006D6E42" w:rsidRPr="00651840">
              <w:rPr>
                <w:rFonts w:asciiTheme="minorHAnsi" w:hAnsiTheme="minorHAnsi" w:cstheme="minorHAnsi"/>
                <w:sz w:val="20"/>
                <w:lang w:val="fr-CH" w:eastAsia="zh-CN"/>
              </w:rPr>
              <w:t>es</w:t>
            </w:r>
          </w:p>
        </w:tc>
        <w:tc>
          <w:tcPr>
            <w:tcW w:w="1823" w:type="dxa"/>
          </w:tcPr>
          <w:p w14:paraId="053EB715" w14:textId="2B300806" w:rsidR="000C6719" w:rsidRPr="00651840" w:rsidRDefault="006D6E42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sz w:val="20"/>
                <w:lang w:val="fr-CH" w:eastAsia="zh-CN"/>
              </w:rPr>
              <w:t xml:space="preserve">Plus </w:t>
            </w:r>
            <w:r w:rsidR="00F3690C" w:rsidRPr="00651840">
              <w:rPr>
                <w:rFonts w:asciiTheme="minorHAnsi" w:hAnsiTheme="minorHAnsi" w:cstheme="minorHAnsi"/>
                <w:sz w:val="20"/>
                <w:lang w:val="fr-CH" w:eastAsia="zh-CN"/>
              </w:rPr>
              <w:t>actif</w:t>
            </w:r>
          </w:p>
        </w:tc>
      </w:tr>
      <w:tr w:rsidR="000C6719" w:rsidRPr="00651840" w14:paraId="0E7673B5" w14:textId="77777777" w:rsidTr="00AD1AFA">
        <w:trPr>
          <w:cantSplit/>
          <w:trHeight w:val="255"/>
        </w:trPr>
        <w:tc>
          <w:tcPr>
            <w:tcW w:w="1406" w:type="dxa"/>
          </w:tcPr>
          <w:p w14:paraId="408F0864" w14:textId="77777777" w:rsidR="000C6719" w:rsidRPr="00651840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sz w:val="20"/>
                <w:lang w:val="fr-CH" w:eastAsia="zh-CN"/>
              </w:rPr>
              <w:t>-</w:t>
            </w:r>
          </w:p>
        </w:tc>
        <w:tc>
          <w:tcPr>
            <w:tcW w:w="936" w:type="dxa"/>
          </w:tcPr>
          <w:p w14:paraId="4A41C3DD" w14:textId="77777777" w:rsidR="000C6719" w:rsidRPr="00651840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sz w:val="20"/>
                <w:lang w:val="fr-CH" w:eastAsia="zh-CN"/>
              </w:rPr>
              <w:t>-</w:t>
            </w:r>
          </w:p>
        </w:tc>
        <w:tc>
          <w:tcPr>
            <w:tcW w:w="1492" w:type="dxa"/>
          </w:tcPr>
          <w:p w14:paraId="5803BF77" w14:textId="77777777" w:rsidR="000C6719" w:rsidRPr="00651840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sz w:val="20"/>
                <w:lang w:val="fr-CH" w:eastAsia="zh-CN"/>
              </w:rPr>
              <w:t>399</w:t>
            </w:r>
          </w:p>
        </w:tc>
        <w:tc>
          <w:tcPr>
            <w:tcW w:w="5522" w:type="dxa"/>
            <w:shd w:val="clear" w:color="auto" w:fill="auto"/>
            <w:noWrap/>
          </w:tcPr>
          <w:p w14:paraId="22D50B54" w14:textId="6C4C7733" w:rsidR="000C6719" w:rsidRPr="00651840" w:rsidRDefault="000C6719" w:rsidP="009E55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sz w:val="20"/>
                <w:lang w:val="fr-CH" w:eastAsia="zh-CN"/>
              </w:rPr>
              <w:t>Global Telesystems (Europe) Limited (</w:t>
            </w:r>
            <w:r w:rsidR="009E5564" w:rsidRPr="00651840">
              <w:rPr>
                <w:rFonts w:asciiTheme="minorHAnsi" w:hAnsiTheme="minorHAnsi" w:cstheme="minorHAnsi"/>
                <w:sz w:val="20"/>
                <w:lang w:val="fr-CH" w:eastAsia="zh-CN"/>
              </w:rPr>
              <w:t>e</w:t>
            </w:r>
            <w:r w:rsidR="006D6E42" w:rsidRPr="00651840">
              <w:rPr>
                <w:rFonts w:asciiTheme="minorHAnsi" w:hAnsiTheme="minorHAnsi" w:cstheme="minorHAnsi"/>
                <w:sz w:val="20"/>
                <w:lang w:val="fr-CH" w:eastAsia="zh-CN"/>
              </w:rPr>
              <w:t xml:space="preserve">x. </w:t>
            </w:r>
            <w:r w:rsidRPr="00651840">
              <w:rPr>
                <w:rFonts w:asciiTheme="minorHAnsi" w:hAnsiTheme="minorHAnsi" w:cstheme="minorHAnsi"/>
                <w:sz w:val="20"/>
                <w:lang w:val="fr-CH" w:eastAsia="zh-CN"/>
              </w:rPr>
              <w:t>Esprit Telecom)</w:t>
            </w:r>
          </w:p>
        </w:tc>
        <w:tc>
          <w:tcPr>
            <w:tcW w:w="2409" w:type="dxa"/>
            <w:shd w:val="clear" w:color="auto" w:fill="auto"/>
            <w:noWrap/>
          </w:tcPr>
          <w:p w14:paraId="622059D9" w14:textId="7066ED4C" w:rsidR="000C6719" w:rsidRPr="00651840" w:rsidRDefault="006D6E42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sz w:val="20"/>
                <w:lang w:val="fr-CH" w:eastAsia="zh-CN"/>
              </w:rPr>
              <w:t>Royaume-Uni</w:t>
            </w:r>
          </w:p>
        </w:tc>
        <w:tc>
          <w:tcPr>
            <w:tcW w:w="1823" w:type="dxa"/>
          </w:tcPr>
          <w:p w14:paraId="0E23CCDA" w14:textId="4B95CE41" w:rsidR="000C6719" w:rsidRPr="00651840" w:rsidRDefault="006D6E42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sz w:val="20"/>
                <w:lang w:val="fr-CH" w:eastAsia="zh-CN"/>
              </w:rPr>
              <w:t xml:space="preserve">Plus </w:t>
            </w:r>
            <w:r w:rsidR="00F3690C" w:rsidRPr="00651840">
              <w:rPr>
                <w:rFonts w:asciiTheme="minorHAnsi" w:hAnsiTheme="minorHAnsi" w:cstheme="minorHAnsi"/>
                <w:sz w:val="20"/>
                <w:lang w:val="fr-CH" w:eastAsia="zh-CN"/>
              </w:rPr>
              <w:t>actif</w:t>
            </w:r>
          </w:p>
        </w:tc>
      </w:tr>
      <w:tr w:rsidR="000C6719" w:rsidRPr="00651840" w14:paraId="3A238F9D" w14:textId="77777777" w:rsidTr="00AD1AFA">
        <w:trPr>
          <w:cantSplit/>
          <w:trHeight w:val="255"/>
        </w:trPr>
        <w:tc>
          <w:tcPr>
            <w:tcW w:w="1406" w:type="dxa"/>
          </w:tcPr>
          <w:p w14:paraId="7141962E" w14:textId="77777777" w:rsidR="000C6719" w:rsidRPr="00651840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sz w:val="20"/>
                <w:lang w:val="fr-CH" w:eastAsia="zh-CN"/>
              </w:rPr>
              <w:t>-</w:t>
            </w:r>
          </w:p>
        </w:tc>
        <w:tc>
          <w:tcPr>
            <w:tcW w:w="936" w:type="dxa"/>
          </w:tcPr>
          <w:p w14:paraId="7C2B6216" w14:textId="77777777" w:rsidR="000C6719" w:rsidRPr="00651840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sz w:val="20"/>
                <w:lang w:val="fr-CH" w:eastAsia="zh-CN"/>
              </w:rPr>
              <w:t>-</w:t>
            </w:r>
          </w:p>
        </w:tc>
        <w:tc>
          <w:tcPr>
            <w:tcW w:w="1492" w:type="dxa"/>
          </w:tcPr>
          <w:p w14:paraId="275EDE1B" w14:textId="77777777" w:rsidR="000C6719" w:rsidRPr="00651840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sz w:val="20"/>
                <w:lang w:val="fr-CH" w:eastAsia="zh-CN"/>
              </w:rPr>
              <w:t>50</w:t>
            </w:r>
          </w:p>
        </w:tc>
        <w:tc>
          <w:tcPr>
            <w:tcW w:w="5522" w:type="dxa"/>
            <w:shd w:val="clear" w:color="auto" w:fill="auto"/>
            <w:noWrap/>
            <w:hideMark/>
          </w:tcPr>
          <w:p w14:paraId="7D7B6BE0" w14:textId="77777777" w:rsidR="000C6719" w:rsidRPr="00651840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sz w:val="20"/>
                <w:lang w:val="fr-CH" w:eastAsia="zh-CN"/>
              </w:rPr>
              <w:t>RSL Communications Ltd</w:t>
            </w:r>
          </w:p>
        </w:tc>
        <w:tc>
          <w:tcPr>
            <w:tcW w:w="2409" w:type="dxa"/>
            <w:shd w:val="clear" w:color="auto" w:fill="auto"/>
            <w:noWrap/>
            <w:hideMark/>
          </w:tcPr>
          <w:p w14:paraId="02E667D1" w14:textId="1F59DDAE" w:rsidR="000C6719" w:rsidRPr="00651840" w:rsidRDefault="006D6E42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sz w:val="20"/>
                <w:lang w:val="fr-CH" w:eastAsia="zh-CN"/>
              </w:rPr>
              <w:t>Royaume-Uni</w:t>
            </w:r>
          </w:p>
        </w:tc>
        <w:tc>
          <w:tcPr>
            <w:tcW w:w="1823" w:type="dxa"/>
          </w:tcPr>
          <w:p w14:paraId="5C295EB8" w14:textId="6F6958B5" w:rsidR="000C6719" w:rsidRPr="00651840" w:rsidRDefault="006D6E42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sz w:val="20"/>
                <w:lang w:val="fr-CH" w:eastAsia="zh-CN"/>
              </w:rPr>
              <w:t xml:space="preserve">Plus </w:t>
            </w:r>
            <w:r w:rsidR="00F3690C" w:rsidRPr="00651840">
              <w:rPr>
                <w:rFonts w:asciiTheme="minorHAnsi" w:hAnsiTheme="minorHAnsi" w:cstheme="minorHAnsi"/>
                <w:sz w:val="20"/>
                <w:lang w:val="fr-CH" w:eastAsia="zh-CN"/>
              </w:rPr>
              <w:t>actif</w:t>
            </w:r>
          </w:p>
        </w:tc>
      </w:tr>
      <w:tr w:rsidR="000C6719" w:rsidRPr="00651840" w14:paraId="07E73390" w14:textId="77777777" w:rsidTr="00AD1AFA">
        <w:trPr>
          <w:cantSplit/>
          <w:trHeight w:val="255"/>
        </w:trPr>
        <w:tc>
          <w:tcPr>
            <w:tcW w:w="1406" w:type="dxa"/>
          </w:tcPr>
          <w:p w14:paraId="0149518E" w14:textId="77777777" w:rsidR="000C6719" w:rsidRPr="00651840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sz w:val="20"/>
                <w:lang w:val="fr-CH" w:eastAsia="zh-CN"/>
              </w:rPr>
              <w:t>-</w:t>
            </w:r>
          </w:p>
        </w:tc>
        <w:tc>
          <w:tcPr>
            <w:tcW w:w="936" w:type="dxa"/>
          </w:tcPr>
          <w:p w14:paraId="74CA6E0E" w14:textId="77777777" w:rsidR="000C6719" w:rsidRPr="00651840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sz w:val="20"/>
                <w:lang w:val="fr-CH" w:eastAsia="zh-CN"/>
              </w:rPr>
              <w:t>-</w:t>
            </w:r>
          </w:p>
        </w:tc>
        <w:tc>
          <w:tcPr>
            <w:tcW w:w="1492" w:type="dxa"/>
          </w:tcPr>
          <w:p w14:paraId="14ECF524" w14:textId="77777777" w:rsidR="000C6719" w:rsidRPr="00651840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sz w:val="20"/>
                <w:lang w:val="fr-CH" w:eastAsia="zh-CN"/>
              </w:rPr>
              <w:t>2</w:t>
            </w:r>
          </w:p>
        </w:tc>
        <w:tc>
          <w:tcPr>
            <w:tcW w:w="5522" w:type="dxa"/>
            <w:shd w:val="clear" w:color="auto" w:fill="auto"/>
            <w:noWrap/>
          </w:tcPr>
          <w:p w14:paraId="6185343A" w14:textId="77777777" w:rsidR="000C6719" w:rsidRPr="00651840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sz w:val="20"/>
                <w:lang w:val="fr-CH" w:eastAsia="zh-CN"/>
              </w:rPr>
              <w:t>Axicom Communications Group Inc.</w:t>
            </w:r>
          </w:p>
        </w:tc>
        <w:tc>
          <w:tcPr>
            <w:tcW w:w="2409" w:type="dxa"/>
            <w:shd w:val="clear" w:color="auto" w:fill="auto"/>
            <w:noWrap/>
          </w:tcPr>
          <w:p w14:paraId="4E318038" w14:textId="142D2F88" w:rsidR="000C6719" w:rsidRPr="00651840" w:rsidRDefault="006D6E42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sz w:val="20"/>
                <w:lang w:val="fr-CH" w:eastAsia="zh-CN"/>
              </w:rPr>
              <w:t>États-Unis</w:t>
            </w:r>
          </w:p>
        </w:tc>
        <w:tc>
          <w:tcPr>
            <w:tcW w:w="1823" w:type="dxa"/>
          </w:tcPr>
          <w:p w14:paraId="5C10B471" w14:textId="544F2C49" w:rsidR="000C6719" w:rsidRPr="00651840" w:rsidRDefault="006D6E42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sz w:val="20"/>
                <w:lang w:val="fr-CH" w:eastAsia="zh-CN"/>
              </w:rPr>
              <w:t xml:space="preserve">Plus </w:t>
            </w:r>
            <w:r w:rsidR="00F3690C" w:rsidRPr="00651840">
              <w:rPr>
                <w:rFonts w:asciiTheme="minorHAnsi" w:hAnsiTheme="minorHAnsi" w:cstheme="minorHAnsi"/>
                <w:sz w:val="20"/>
                <w:lang w:val="fr-CH" w:eastAsia="zh-CN"/>
              </w:rPr>
              <w:t>actif</w:t>
            </w:r>
          </w:p>
        </w:tc>
      </w:tr>
      <w:tr w:rsidR="000C6719" w:rsidRPr="00651840" w14:paraId="56C7105C" w14:textId="77777777" w:rsidTr="00AD1AFA">
        <w:trPr>
          <w:cantSplit/>
          <w:trHeight w:val="255"/>
        </w:trPr>
        <w:tc>
          <w:tcPr>
            <w:tcW w:w="1406" w:type="dxa"/>
          </w:tcPr>
          <w:p w14:paraId="4BB1CCFD" w14:textId="77777777" w:rsidR="000C6719" w:rsidRPr="00651840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sz w:val="20"/>
                <w:lang w:val="fr-CH" w:eastAsia="zh-CN"/>
              </w:rPr>
              <w:t>-</w:t>
            </w:r>
          </w:p>
        </w:tc>
        <w:tc>
          <w:tcPr>
            <w:tcW w:w="936" w:type="dxa"/>
          </w:tcPr>
          <w:p w14:paraId="7F11F028" w14:textId="77777777" w:rsidR="000C6719" w:rsidRPr="00651840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sz w:val="20"/>
                <w:lang w:val="fr-CH" w:eastAsia="zh-CN"/>
              </w:rPr>
              <w:t>-</w:t>
            </w:r>
          </w:p>
        </w:tc>
        <w:tc>
          <w:tcPr>
            <w:tcW w:w="1492" w:type="dxa"/>
          </w:tcPr>
          <w:p w14:paraId="6E371E19" w14:textId="77777777" w:rsidR="000C6719" w:rsidRPr="00651840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sz w:val="20"/>
                <w:lang w:val="fr-CH" w:eastAsia="zh-CN"/>
              </w:rPr>
              <w:t>10</w:t>
            </w:r>
          </w:p>
        </w:tc>
        <w:tc>
          <w:tcPr>
            <w:tcW w:w="5522" w:type="dxa"/>
            <w:shd w:val="clear" w:color="auto" w:fill="auto"/>
            <w:noWrap/>
          </w:tcPr>
          <w:p w14:paraId="538A90C1" w14:textId="77777777" w:rsidR="000C6719" w:rsidRPr="00651840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sz w:val="20"/>
                <w:lang w:val="fr-CH" w:eastAsia="zh-CN"/>
              </w:rPr>
              <w:t>WorldXchange Communications</w:t>
            </w:r>
          </w:p>
        </w:tc>
        <w:tc>
          <w:tcPr>
            <w:tcW w:w="2409" w:type="dxa"/>
            <w:shd w:val="clear" w:color="auto" w:fill="auto"/>
            <w:noWrap/>
          </w:tcPr>
          <w:p w14:paraId="05E016B5" w14:textId="26181B17" w:rsidR="000C6719" w:rsidRPr="00651840" w:rsidRDefault="006D6E42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sz w:val="20"/>
                <w:lang w:val="fr-CH" w:eastAsia="zh-CN"/>
              </w:rPr>
              <w:t>États-Unis</w:t>
            </w:r>
          </w:p>
        </w:tc>
        <w:tc>
          <w:tcPr>
            <w:tcW w:w="1823" w:type="dxa"/>
          </w:tcPr>
          <w:p w14:paraId="00D3C206" w14:textId="75DED7E4" w:rsidR="000C6719" w:rsidRPr="00651840" w:rsidRDefault="006D6E42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sz w:val="20"/>
                <w:lang w:val="fr-CH" w:eastAsia="zh-CN"/>
              </w:rPr>
              <w:t xml:space="preserve">Plus </w:t>
            </w:r>
            <w:r w:rsidR="00F3690C" w:rsidRPr="00651840">
              <w:rPr>
                <w:rFonts w:asciiTheme="minorHAnsi" w:hAnsiTheme="minorHAnsi" w:cstheme="minorHAnsi"/>
                <w:sz w:val="20"/>
                <w:lang w:val="fr-CH" w:eastAsia="zh-CN"/>
              </w:rPr>
              <w:t>actif</w:t>
            </w:r>
          </w:p>
        </w:tc>
      </w:tr>
    </w:tbl>
    <w:p w14:paraId="6EFBF667" w14:textId="61AA3419" w:rsidR="006D6E42" w:rsidRPr="00C854AD" w:rsidRDefault="000C6719" w:rsidP="00B72E22">
      <w:pPr>
        <w:pStyle w:val="ListParagraph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0"/>
        <w:contextualSpacing w:val="0"/>
        <w:jc w:val="both"/>
        <w:rPr>
          <w:sz w:val="20"/>
          <w:lang w:val="fr-CH"/>
        </w:rPr>
      </w:pPr>
      <w:r w:rsidRPr="00C854AD">
        <w:rPr>
          <w:sz w:val="20"/>
          <w:lang w:val="fr-CH"/>
        </w:rPr>
        <w:t xml:space="preserve">Note: </w:t>
      </w:r>
      <w:r w:rsidR="00C823FB" w:rsidRPr="00C854AD">
        <w:rPr>
          <w:sz w:val="20"/>
          <w:lang w:val="fr-CH"/>
        </w:rPr>
        <w:t>"</w:t>
      </w:r>
      <w:r w:rsidR="00BF0C52">
        <w:rPr>
          <w:sz w:val="20"/>
          <w:lang w:val="fr-CH"/>
        </w:rPr>
        <w:t>-</w:t>
      </w:r>
      <w:r w:rsidR="00C823FB" w:rsidRPr="00C854AD">
        <w:rPr>
          <w:sz w:val="20"/>
          <w:lang w:val="fr-CH"/>
        </w:rPr>
        <w:t>"</w:t>
      </w:r>
      <w:r w:rsidRPr="00C854AD">
        <w:rPr>
          <w:sz w:val="20"/>
          <w:lang w:val="fr-CH"/>
        </w:rPr>
        <w:t xml:space="preserve"> </w:t>
      </w:r>
      <w:r w:rsidR="006D6E42" w:rsidRPr="00C854AD">
        <w:rPr>
          <w:sz w:val="20"/>
          <w:lang w:val="fr-CH"/>
        </w:rPr>
        <w:t>indique qu'aucune facture n'a été envoy</w:t>
      </w:r>
      <w:r w:rsidR="001F4BB4">
        <w:rPr>
          <w:sz w:val="20"/>
          <w:lang w:val="fr-CH"/>
        </w:rPr>
        <w:t>ée et que des renseignements com</w:t>
      </w:r>
      <w:r w:rsidR="006D6E42" w:rsidRPr="00C854AD">
        <w:rPr>
          <w:sz w:val="20"/>
          <w:lang w:val="fr-CH"/>
        </w:rPr>
        <w:t xml:space="preserve">plémentaires </w:t>
      </w:r>
      <w:r w:rsidR="001F4BB4">
        <w:rPr>
          <w:sz w:val="20"/>
          <w:lang w:val="fr-CH"/>
        </w:rPr>
        <w:t xml:space="preserve">ont été demandés </w:t>
      </w:r>
      <w:r w:rsidR="006D6E42" w:rsidRPr="003607BA">
        <w:rPr>
          <w:sz w:val="20"/>
          <w:lang w:val="fr-CH"/>
        </w:rPr>
        <w:t>au moment d</w:t>
      </w:r>
      <w:r w:rsidR="001F4BB4">
        <w:rPr>
          <w:sz w:val="20"/>
          <w:lang w:val="fr-CH"/>
        </w:rPr>
        <w:t>e la facturation</w:t>
      </w:r>
      <w:r w:rsidR="006D6E42" w:rsidRPr="003607BA">
        <w:rPr>
          <w:sz w:val="20"/>
          <w:lang w:val="fr-CH"/>
        </w:rPr>
        <w:t>.</w:t>
      </w:r>
    </w:p>
    <w:p w14:paraId="6FE3DC0D" w14:textId="0A767AA5" w:rsidR="000C6719" w:rsidRPr="00C854AD" w:rsidRDefault="000C6719" w:rsidP="00B72E22">
      <w:pPr>
        <w:pStyle w:val="ListParagraph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360" w:after="120"/>
        <w:ind w:left="0"/>
        <w:contextualSpacing w:val="0"/>
        <w:jc w:val="both"/>
        <w:rPr>
          <w:b/>
          <w:szCs w:val="24"/>
          <w:lang w:val="fr-CH"/>
        </w:rPr>
      </w:pPr>
      <w:r w:rsidRPr="00C854AD">
        <w:rPr>
          <w:b/>
          <w:szCs w:val="24"/>
          <w:lang w:val="fr-CH"/>
        </w:rPr>
        <w:t>Annex</w:t>
      </w:r>
      <w:r w:rsidR="002079DB" w:rsidRPr="00C854AD">
        <w:rPr>
          <w:b/>
          <w:szCs w:val="24"/>
          <w:lang w:val="fr-CH"/>
        </w:rPr>
        <w:t>e</w:t>
      </w:r>
      <w:r w:rsidRPr="00C854AD">
        <w:rPr>
          <w:b/>
          <w:szCs w:val="24"/>
          <w:lang w:val="fr-CH"/>
        </w:rPr>
        <w:t xml:space="preserve"> B </w:t>
      </w:r>
      <w:r w:rsidR="00BF0C52" w:rsidRPr="00BF0C52">
        <w:rPr>
          <w:b/>
          <w:szCs w:val="24"/>
          <w:lang w:val="fr-CH"/>
        </w:rPr>
        <w:t>–</w:t>
      </w:r>
      <w:r w:rsidRPr="00C854AD">
        <w:rPr>
          <w:b/>
          <w:szCs w:val="24"/>
          <w:lang w:val="fr-CH"/>
        </w:rPr>
        <w:t xml:space="preserve"> </w:t>
      </w:r>
      <w:r w:rsidR="006D6E42" w:rsidRPr="00C854AD">
        <w:rPr>
          <w:b/>
          <w:szCs w:val="24"/>
          <w:lang w:val="fr-CH"/>
        </w:rPr>
        <w:t>Liste des fournisseurs de services UIFN</w:t>
      </w:r>
      <w:r w:rsidRPr="00C854AD">
        <w:rPr>
          <w:b/>
          <w:szCs w:val="24"/>
          <w:lang w:val="fr-CH"/>
        </w:rPr>
        <w:t xml:space="preserve"> </w:t>
      </w:r>
      <w:r w:rsidR="006D6E42" w:rsidRPr="003607BA">
        <w:rPr>
          <w:b/>
          <w:szCs w:val="24"/>
          <w:lang w:val="fr-CH"/>
        </w:rPr>
        <w:t>n'ayant pas encore procédé au paiement pour</w:t>
      </w:r>
      <w:r w:rsidRPr="00C854AD">
        <w:rPr>
          <w:b/>
          <w:szCs w:val="24"/>
          <w:lang w:val="fr-CH"/>
        </w:rPr>
        <w:t xml:space="preserve"> 2018</w:t>
      </w:r>
    </w:p>
    <w:tbl>
      <w:tblPr>
        <w:tblW w:w="13608" w:type="dxa"/>
        <w:tblInd w:w="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6"/>
        <w:gridCol w:w="956"/>
        <w:gridCol w:w="1486"/>
        <w:gridCol w:w="3940"/>
        <w:gridCol w:w="2316"/>
        <w:gridCol w:w="3764"/>
      </w:tblGrid>
      <w:tr w:rsidR="000C6719" w:rsidRPr="00651840" w14:paraId="00C5EDE7" w14:textId="77777777" w:rsidTr="00651840">
        <w:trPr>
          <w:cantSplit/>
          <w:trHeight w:val="255"/>
        </w:trPr>
        <w:tc>
          <w:tcPr>
            <w:tcW w:w="1122" w:type="dxa"/>
            <w:shd w:val="clear" w:color="auto" w:fill="D9D9D9" w:themeFill="background1" w:themeFillShade="D9"/>
            <w:noWrap/>
          </w:tcPr>
          <w:p w14:paraId="137DE12D" w14:textId="0881733D" w:rsidR="000C6719" w:rsidRPr="00651840" w:rsidRDefault="006D6E42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b/>
                <w:sz w:val="20"/>
                <w:lang w:val="fr-CH" w:eastAsia="zh-CN"/>
              </w:rPr>
              <w:t>Montant</w:t>
            </w:r>
          </w:p>
        </w:tc>
        <w:tc>
          <w:tcPr>
            <w:tcW w:w="936" w:type="dxa"/>
            <w:shd w:val="clear" w:color="auto" w:fill="D9D9D9" w:themeFill="background1" w:themeFillShade="D9"/>
            <w:noWrap/>
          </w:tcPr>
          <w:p w14:paraId="5F3437F7" w14:textId="692E8EF9" w:rsidR="000C6719" w:rsidRPr="00651840" w:rsidRDefault="006D6E42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b/>
                <w:sz w:val="20"/>
                <w:lang w:val="fr-CH" w:eastAsia="zh-CN"/>
              </w:rPr>
              <w:t>Devise</w:t>
            </w:r>
          </w:p>
        </w:tc>
        <w:tc>
          <w:tcPr>
            <w:tcW w:w="1455" w:type="dxa"/>
            <w:shd w:val="clear" w:color="auto" w:fill="D9D9D9" w:themeFill="background1" w:themeFillShade="D9"/>
          </w:tcPr>
          <w:p w14:paraId="5B064B93" w14:textId="77777777" w:rsidR="006D6E42" w:rsidRPr="00651840" w:rsidRDefault="006D6E42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b/>
                <w:sz w:val="20"/>
                <w:lang w:val="fr-CH" w:eastAsia="zh-CN"/>
              </w:rPr>
              <w:t>Nombre de numéros UIFN</w:t>
            </w:r>
          </w:p>
          <w:p w14:paraId="385A8E34" w14:textId="03113269" w:rsidR="000C6719" w:rsidRPr="00651840" w:rsidRDefault="006D6E42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b/>
                <w:sz w:val="20"/>
                <w:lang w:val="fr-CH" w:eastAsia="zh-CN"/>
              </w:rPr>
              <w:t>01/01/2018</w:t>
            </w:r>
          </w:p>
        </w:tc>
        <w:tc>
          <w:tcPr>
            <w:tcW w:w="3858" w:type="dxa"/>
            <w:shd w:val="clear" w:color="auto" w:fill="D9D9D9" w:themeFill="background1" w:themeFillShade="D9"/>
            <w:noWrap/>
          </w:tcPr>
          <w:p w14:paraId="050E368A" w14:textId="45C792A7" w:rsidR="000C6719" w:rsidRPr="00651840" w:rsidRDefault="006D6E42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b/>
                <w:sz w:val="20"/>
                <w:lang w:val="fr-CH" w:eastAsia="zh-CN"/>
              </w:rPr>
              <w:t>Nom de l'entreprise</w:t>
            </w:r>
          </w:p>
        </w:tc>
        <w:tc>
          <w:tcPr>
            <w:tcW w:w="2268" w:type="dxa"/>
            <w:shd w:val="clear" w:color="auto" w:fill="D9D9D9" w:themeFill="background1" w:themeFillShade="D9"/>
            <w:noWrap/>
          </w:tcPr>
          <w:p w14:paraId="0D4EF0DA" w14:textId="25032CE3" w:rsidR="000C6719" w:rsidRPr="00651840" w:rsidRDefault="006D6E42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b/>
                <w:sz w:val="20"/>
                <w:lang w:val="fr-CH" w:eastAsia="zh-CN"/>
              </w:rPr>
              <w:t>Pays</w:t>
            </w:r>
            <w:r w:rsidR="000C6719" w:rsidRPr="00651840">
              <w:rPr>
                <w:rFonts w:asciiTheme="minorHAnsi" w:hAnsiTheme="minorHAnsi" w:cstheme="minorHAnsi"/>
                <w:b/>
                <w:sz w:val="20"/>
                <w:lang w:val="fr-CH" w:eastAsia="zh-CN"/>
              </w:rPr>
              <w:t>/</w:t>
            </w:r>
            <w:r w:rsidRPr="00651840">
              <w:rPr>
                <w:rFonts w:asciiTheme="minorHAnsi" w:hAnsiTheme="minorHAnsi" w:cstheme="minorHAnsi"/>
                <w:b/>
                <w:sz w:val="20"/>
                <w:lang w:val="fr-CH" w:eastAsia="zh-CN"/>
              </w:rPr>
              <w:t>zone géographique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287A8ED3" w14:textId="28379216" w:rsidR="000C6719" w:rsidRPr="00651840" w:rsidRDefault="009E5564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b/>
                <w:sz w:val="20"/>
                <w:lang w:val="fr-CH" w:eastAsia="zh-CN"/>
              </w:rPr>
              <w:t>N</w:t>
            </w:r>
            <w:r w:rsidR="000C6719" w:rsidRPr="00651840">
              <w:rPr>
                <w:rFonts w:asciiTheme="minorHAnsi" w:hAnsiTheme="minorHAnsi" w:cstheme="minorHAnsi"/>
                <w:b/>
                <w:sz w:val="20"/>
                <w:lang w:val="fr-CH" w:eastAsia="zh-CN"/>
              </w:rPr>
              <w:t>ote</w:t>
            </w:r>
          </w:p>
        </w:tc>
      </w:tr>
      <w:tr w:rsidR="000C6719" w:rsidRPr="00651840" w14:paraId="602621A6" w14:textId="77777777" w:rsidTr="00651840">
        <w:trPr>
          <w:cantSplit/>
          <w:trHeight w:val="255"/>
        </w:trPr>
        <w:tc>
          <w:tcPr>
            <w:tcW w:w="1122" w:type="dxa"/>
            <w:shd w:val="clear" w:color="auto" w:fill="auto"/>
            <w:noWrap/>
            <w:hideMark/>
          </w:tcPr>
          <w:p w14:paraId="444461B4" w14:textId="77777777" w:rsidR="000C6719" w:rsidRPr="00651840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  <w:t>55</w:t>
            </w:r>
            <w:r w:rsidR="00AD1AFA" w:rsidRPr="00651840"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  <w:t xml:space="preserve"> </w:t>
            </w:r>
            <w:r w:rsidRPr="00651840"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  <w:t>700</w:t>
            </w:r>
            <w:r w:rsidR="00AD1AFA" w:rsidRPr="00651840"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  <w:t>,</w:t>
            </w:r>
            <w:r w:rsidRPr="00651840"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  <w:t>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0E65055F" w14:textId="77777777" w:rsidR="000C6719" w:rsidRPr="00651840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  <w:t>CHF</w:t>
            </w:r>
          </w:p>
        </w:tc>
        <w:tc>
          <w:tcPr>
            <w:tcW w:w="1455" w:type="dxa"/>
          </w:tcPr>
          <w:p w14:paraId="548BB752" w14:textId="77777777" w:rsidR="000C6719" w:rsidRPr="00651840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  <w:t>557</w:t>
            </w:r>
          </w:p>
        </w:tc>
        <w:tc>
          <w:tcPr>
            <w:tcW w:w="3858" w:type="dxa"/>
            <w:shd w:val="clear" w:color="auto" w:fill="auto"/>
            <w:noWrap/>
            <w:hideMark/>
          </w:tcPr>
          <w:p w14:paraId="0F04AC45" w14:textId="77777777" w:rsidR="000C6719" w:rsidRPr="00651840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  <w:t>Eircom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15180A0" w14:textId="05DDC926" w:rsidR="000C6719" w:rsidRPr="00651840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  <w:t>Irland</w:t>
            </w:r>
            <w:r w:rsidR="006D6E42" w:rsidRPr="00651840"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  <w:t>e</w:t>
            </w:r>
          </w:p>
        </w:tc>
        <w:tc>
          <w:tcPr>
            <w:tcW w:w="3685" w:type="dxa"/>
          </w:tcPr>
          <w:p w14:paraId="6EC03E62" w14:textId="77777777" w:rsidR="000C6719" w:rsidRPr="00651840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</w:pPr>
          </w:p>
        </w:tc>
      </w:tr>
      <w:tr w:rsidR="000C6719" w:rsidRPr="00651840" w14:paraId="0360D52C" w14:textId="77777777" w:rsidTr="00651840">
        <w:trPr>
          <w:cantSplit/>
          <w:trHeight w:val="255"/>
        </w:trPr>
        <w:tc>
          <w:tcPr>
            <w:tcW w:w="1122" w:type="dxa"/>
            <w:shd w:val="clear" w:color="auto" w:fill="auto"/>
            <w:noWrap/>
            <w:hideMark/>
          </w:tcPr>
          <w:p w14:paraId="31E5B473" w14:textId="77777777" w:rsidR="000C6719" w:rsidRPr="00651840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  <w:t>46</w:t>
            </w:r>
            <w:r w:rsidR="00AD1AFA" w:rsidRPr="00651840"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  <w:t xml:space="preserve"> </w:t>
            </w:r>
            <w:r w:rsidRPr="00651840"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  <w:t>300</w:t>
            </w:r>
            <w:r w:rsidR="00AD1AFA" w:rsidRPr="00651840"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  <w:t>,</w:t>
            </w:r>
            <w:r w:rsidRPr="00651840"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  <w:t>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54485CC5" w14:textId="77777777" w:rsidR="000C6719" w:rsidRPr="00651840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  <w:t>CHF</w:t>
            </w:r>
          </w:p>
        </w:tc>
        <w:tc>
          <w:tcPr>
            <w:tcW w:w="1455" w:type="dxa"/>
          </w:tcPr>
          <w:p w14:paraId="771BC5DC" w14:textId="77777777" w:rsidR="000C6719" w:rsidRPr="00651840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  <w:t>463</w:t>
            </w:r>
          </w:p>
        </w:tc>
        <w:tc>
          <w:tcPr>
            <w:tcW w:w="3858" w:type="dxa"/>
            <w:shd w:val="clear" w:color="auto" w:fill="auto"/>
            <w:noWrap/>
            <w:hideMark/>
          </w:tcPr>
          <w:p w14:paraId="7F827005" w14:textId="77777777" w:rsidR="000C6719" w:rsidRPr="00651840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  <w:t>Singtel Telecommunications Limited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A106D9F" w14:textId="287A71A0" w:rsidR="000C6719" w:rsidRPr="00651840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  <w:t>Singapo</w:t>
            </w:r>
            <w:r w:rsidR="006D6E42" w:rsidRPr="00651840"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  <w:t>ur</w:t>
            </w:r>
          </w:p>
        </w:tc>
        <w:tc>
          <w:tcPr>
            <w:tcW w:w="3685" w:type="dxa"/>
          </w:tcPr>
          <w:p w14:paraId="734A45B3" w14:textId="77777777" w:rsidR="000C6719" w:rsidRPr="00651840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</w:pPr>
          </w:p>
        </w:tc>
      </w:tr>
      <w:tr w:rsidR="000C6719" w:rsidRPr="00651840" w14:paraId="1EABD62A" w14:textId="77777777" w:rsidTr="00651840">
        <w:trPr>
          <w:cantSplit/>
          <w:trHeight w:val="255"/>
        </w:trPr>
        <w:tc>
          <w:tcPr>
            <w:tcW w:w="1122" w:type="dxa"/>
            <w:shd w:val="clear" w:color="auto" w:fill="auto"/>
            <w:noWrap/>
            <w:hideMark/>
          </w:tcPr>
          <w:p w14:paraId="34DEB740" w14:textId="77777777" w:rsidR="000C6719" w:rsidRPr="00651840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  <w:t>25</w:t>
            </w:r>
            <w:r w:rsidR="00AD1AFA" w:rsidRPr="00651840"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  <w:t xml:space="preserve"> </w:t>
            </w:r>
            <w:r w:rsidRPr="00651840"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  <w:t>800</w:t>
            </w:r>
            <w:r w:rsidR="00AD1AFA" w:rsidRPr="00651840"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  <w:t>,</w:t>
            </w:r>
            <w:r w:rsidRPr="00651840"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  <w:t>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5F28E9EA" w14:textId="77777777" w:rsidR="000C6719" w:rsidRPr="00651840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  <w:t>CHF</w:t>
            </w:r>
          </w:p>
        </w:tc>
        <w:tc>
          <w:tcPr>
            <w:tcW w:w="1455" w:type="dxa"/>
          </w:tcPr>
          <w:p w14:paraId="3FA2A3C7" w14:textId="77777777" w:rsidR="000C6719" w:rsidRPr="00651840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  <w:t>258</w:t>
            </w:r>
          </w:p>
        </w:tc>
        <w:tc>
          <w:tcPr>
            <w:tcW w:w="3858" w:type="dxa"/>
            <w:shd w:val="clear" w:color="auto" w:fill="auto"/>
            <w:noWrap/>
            <w:hideMark/>
          </w:tcPr>
          <w:p w14:paraId="5D71E71A" w14:textId="473836DB" w:rsidR="000C6719" w:rsidRPr="00651840" w:rsidRDefault="000C6719" w:rsidP="009E55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  <w:t>Orange Business Services</w:t>
            </w:r>
            <w:r w:rsidR="00DE4D3B" w:rsidRPr="00651840"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  <w:t xml:space="preserve"> </w:t>
            </w:r>
            <w:r w:rsidRPr="00651840"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  <w:t>(</w:t>
            </w:r>
            <w:r w:rsidR="009E5564" w:rsidRPr="00651840"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  <w:t>e</w:t>
            </w:r>
            <w:r w:rsidR="00DE4D3B" w:rsidRPr="00651840"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  <w:t>x.</w:t>
            </w:r>
            <w:r w:rsidRPr="00651840"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  <w:t xml:space="preserve"> Equant)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5BBBA2B" w14:textId="77777777" w:rsidR="000C6719" w:rsidRPr="00651840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  <w:t>France</w:t>
            </w:r>
          </w:p>
        </w:tc>
        <w:tc>
          <w:tcPr>
            <w:tcW w:w="3685" w:type="dxa"/>
          </w:tcPr>
          <w:p w14:paraId="3DE1E8C6" w14:textId="77777777" w:rsidR="000C6719" w:rsidRPr="00651840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</w:pPr>
          </w:p>
        </w:tc>
      </w:tr>
      <w:tr w:rsidR="000C6719" w:rsidRPr="00651840" w14:paraId="1729EAFF" w14:textId="77777777" w:rsidTr="00651840">
        <w:trPr>
          <w:cantSplit/>
          <w:trHeight w:val="255"/>
        </w:trPr>
        <w:tc>
          <w:tcPr>
            <w:tcW w:w="1122" w:type="dxa"/>
            <w:shd w:val="clear" w:color="auto" w:fill="auto"/>
            <w:noWrap/>
            <w:hideMark/>
          </w:tcPr>
          <w:p w14:paraId="4143C1C1" w14:textId="77777777" w:rsidR="000C6719" w:rsidRPr="00651840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  <w:t>14</w:t>
            </w:r>
            <w:r w:rsidR="00AD1AFA" w:rsidRPr="00651840"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  <w:t xml:space="preserve"> </w:t>
            </w:r>
            <w:r w:rsidRPr="00651840"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  <w:t>000</w:t>
            </w:r>
            <w:r w:rsidR="00AD1AFA" w:rsidRPr="00651840"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  <w:t>,</w:t>
            </w:r>
            <w:r w:rsidRPr="00651840"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  <w:t>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5F6CE14D" w14:textId="77777777" w:rsidR="000C6719" w:rsidRPr="00651840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  <w:t>CHF</w:t>
            </w:r>
          </w:p>
        </w:tc>
        <w:tc>
          <w:tcPr>
            <w:tcW w:w="1455" w:type="dxa"/>
          </w:tcPr>
          <w:p w14:paraId="6F0C3F28" w14:textId="77777777" w:rsidR="000C6719" w:rsidRPr="00651840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  <w:t>140</w:t>
            </w:r>
          </w:p>
        </w:tc>
        <w:tc>
          <w:tcPr>
            <w:tcW w:w="3858" w:type="dxa"/>
            <w:shd w:val="clear" w:color="auto" w:fill="auto"/>
            <w:noWrap/>
            <w:hideMark/>
          </w:tcPr>
          <w:p w14:paraId="43DFC8DC" w14:textId="77777777" w:rsidR="000C6719" w:rsidRPr="00651840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  <w:t>Bezeq International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7B2965FA" w14:textId="6915B0B0" w:rsidR="000C6719" w:rsidRPr="00651840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  <w:t>Isra</w:t>
            </w:r>
            <w:r w:rsidR="006D6E42" w:rsidRPr="00651840"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  <w:t>ë</w:t>
            </w:r>
            <w:r w:rsidRPr="00651840"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  <w:t>l</w:t>
            </w:r>
          </w:p>
        </w:tc>
        <w:tc>
          <w:tcPr>
            <w:tcW w:w="3685" w:type="dxa"/>
          </w:tcPr>
          <w:p w14:paraId="7E3A21A6" w14:textId="77777777" w:rsidR="000C6719" w:rsidRPr="00651840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</w:pPr>
          </w:p>
        </w:tc>
      </w:tr>
      <w:tr w:rsidR="000C6719" w:rsidRPr="00651840" w14:paraId="00D4CD63" w14:textId="77777777" w:rsidTr="00651840">
        <w:trPr>
          <w:cantSplit/>
          <w:trHeight w:val="255"/>
        </w:trPr>
        <w:tc>
          <w:tcPr>
            <w:tcW w:w="1122" w:type="dxa"/>
            <w:shd w:val="clear" w:color="auto" w:fill="auto"/>
            <w:noWrap/>
            <w:hideMark/>
          </w:tcPr>
          <w:p w14:paraId="3E28FEB2" w14:textId="77777777" w:rsidR="000C6719" w:rsidRPr="00651840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  <w:t>3</w:t>
            </w:r>
            <w:r w:rsidR="00AD1AFA" w:rsidRPr="00651840"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  <w:t xml:space="preserve"> </w:t>
            </w:r>
            <w:r w:rsidRPr="00651840"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  <w:t>700</w:t>
            </w:r>
            <w:r w:rsidR="00AD1AFA" w:rsidRPr="00651840"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  <w:t>,</w:t>
            </w:r>
            <w:r w:rsidRPr="00651840"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  <w:t>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45BFC622" w14:textId="77777777" w:rsidR="000C6719" w:rsidRPr="00651840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  <w:t>CHF</w:t>
            </w:r>
          </w:p>
        </w:tc>
        <w:tc>
          <w:tcPr>
            <w:tcW w:w="1455" w:type="dxa"/>
          </w:tcPr>
          <w:p w14:paraId="6920ED87" w14:textId="77777777" w:rsidR="000C6719" w:rsidRPr="00651840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  <w:t>37</w:t>
            </w:r>
          </w:p>
        </w:tc>
        <w:tc>
          <w:tcPr>
            <w:tcW w:w="3858" w:type="dxa"/>
            <w:shd w:val="clear" w:color="auto" w:fill="auto"/>
            <w:noWrap/>
            <w:hideMark/>
          </w:tcPr>
          <w:p w14:paraId="2F453274" w14:textId="77777777" w:rsidR="000C6719" w:rsidRPr="00651840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  <w:t>Magyar Telekom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CAD60E3" w14:textId="002842F5" w:rsidR="000C6719" w:rsidRPr="00651840" w:rsidRDefault="006D6E42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  <w:t>Hongrie</w:t>
            </w:r>
          </w:p>
        </w:tc>
        <w:tc>
          <w:tcPr>
            <w:tcW w:w="3685" w:type="dxa"/>
          </w:tcPr>
          <w:p w14:paraId="726AA8A6" w14:textId="77777777" w:rsidR="000C6719" w:rsidRPr="00651840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</w:pPr>
          </w:p>
        </w:tc>
      </w:tr>
      <w:tr w:rsidR="000C6719" w:rsidRPr="00651840" w14:paraId="1087A7E3" w14:textId="77777777" w:rsidTr="00651840">
        <w:trPr>
          <w:cantSplit/>
          <w:trHeight w:val="255"/>
        </w:trPr>
        <w:tc>
          <w:tcPr>
            <w:tcW w:w="1122" w:type="dxa"/>
            <w:shd w:val="clear" w:color="auto" w:fill="auto"/>
            <w:noWrap/>
            <w:hideMark/>
          </w:tcPr>
          <w:p w14:paraId="7ED803C9" w14:textId="77777777" w:rsidR="000C6719" w:rsidRPr="00651840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  <w:t>1</w:t>
            </w:r>
            <w:r w:rsidR="00AD1AFA" w:rsidRPr="00651840"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  <w:t xml:space="preserve"> </w:t>
            </w:r>
            <w:r w:rsidRPr="00651840"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  <w:t>000</w:t>
            </w:r>
            <w:r w:rsidR="00AD1AFA" w:rsidRPr="00651840"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  <w:t>,</w:t>
            </w:r>
            <w:r w:rsidRPr="00651840"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  <w:t>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40163865" w14:textId="77777777" w:rsidR="000C6719" w:rsidRPr="00651840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  <w:t>CHF</w:t>
            </w:r>
          </w:p>
        </w:tc>
        <w:tc>
          <w:tcPr>
            <w:tcW w:w="1455" w:type="dxa"/>
            <w:shd w:val="clear" w:color="auto" w:fill="auto"/>
          </w:tcPr>
          <w:p w14:paraId="2F7E622B" w14:textId="77777777" w:rsidR="000C6719" w:rsidRPr="00651840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  <w:t>10</w:t>
            </w:r>
          </w:p>
        </w:tc>
        <w:tc>
          <w:tcPr>
            <w:tcW w:w="3858" w:type="dxa"/>
            <w:shd w:val="clear" w:color="auto" w:fill="auto"/>
            <w:noWrap/>
            <w:hideMark/>
          </w:tcPr>
          <w:p w14:paraId="1E88DF8B" w14:textId="77777777" w:rsidR="000C6719" w:rsidRPr="00651840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  <w:t>Eutelia S.p.A.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3F49BC2" w14:textId="239D5D83" w:rsidR="000C6719" w:rsidRPr="00651840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  <w:t>Ital</w:t>
            </w:r>
            <w:r w:rsidR="006D6E42" w:rsidRPr="00651840"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  <w:t>ie</w:t>
            </w:r>
          </w:p>
        </w:tc>
        <w:tc>
          <w:tcPr>
            <w:tcW w:w="3685" w:type="dxa"/>
          </w:tcPr>
          <w:p w14:paraId="05D326E4" w14:textId="573D3A0B" w:rsidR="006D6E42" w:rsidRPr="00651840" w:rsidRDefault="00C06234" w:rsidP="009E556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  <w:t>E</w:t>
            </w:r>
            <w:r w:rsidR="006D6E42" w:rsidRPr="00651840"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  <w:t xml:space="preserve">n partie racheté par </w:t>
            </w:r>
            <w:r w:rsidR="000C6719" w:rsidRPr="00651840"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  <w:t>CloudItali</w:t>
            </w:r>
            <w:r w:rsidR="0097554D" w:rsidRPr="00651840"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  <w:t>a</w:t>
            </w:r>
            <w:r w:rsidR="003B3683" w:rsidRPr="00651840"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  <w:t>, qui n'a aucune responsabilité en matière de numéros UIFN;</w:t>
            </w:r>
            <w:r w:rsidR="009E5564" w:rsidRPr="00651840"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  <w:t xml:space="preserve"> </w:t>
            </w:r>
            <w:r w:rsidR="006D6E42" w:rsidRPr="00651840"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  <w:t>toutefois</w:t>
            </w:r>
            <w:r w:rsidR="000C6719" w:rsidRPr="00651840"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  <w:t>,</w:t>
            </w:r>
            <w:r w:rsidR="009E5564" w:rsidRPr="00651840"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  <w:t xml:space="preserve"> 3 </w:t>
            </w:r>
            <w:r w:rsidR="006D6E42" w:rsidRPr="00651840"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  <w:t xml:space="preserve">numéros </w:t>
            </w:r>
            <w:r w:rsidR="000C6719" w:rsidRPr="00651840"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  <w:t xml:space="preserve">UIFN </w:t>
            </w:r>
            <w:r w:rsidR="006D6E42" w:rsidRPr="00651840"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  <w:t xml:space="preserve">sont </w:t>
            </w:r>
            <w:r w:rsidR="003B3683" w:rsidRPr="00651840"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  <w:t>accessibles</w:t>
            </w:r>
            <w:r w:rsidR="006B3B91" w:rsidRPr="00651840"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  <w:t>.</w:t>
            </w:r>
          </w:p>
        </w:tc>
      </w:tr>
      <w:tr w:rsidR="000C6719" w:rsidRPr="00651840" w14:paraId="6BA08757" w14:textId="77777777" w:rsidTr="00651840">
        <w:trPr>
          <w:cantSplit/>
          <w:trHeight w:val="255"/>
        </w:trPr>
        <w:tc>
          <w:tcPr>
            <w:tcW w:w="1122" w:type="dxa"/>
            <w:shd w:val="clear" w:color="auto" w:fill="auto"/>
            <w:noWrap/>
            <w:hideMark/>
          </w:tcPr>
          <w:p w14:paraId="3F4065A3" w14:textId="3C828FDF" w:rsidR="000C6719" w:rsidRPr="00651840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  <w:t>500</w:t>
            </w:r>
            <w:r w:rsidR="00AD1AFA" w:rsidRPr="00651840"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  <w:t>,</w:t>
            </w:r>
            <w:r w:rsidRPr="00651840"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  <w:t>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24880492" w14:textId="77777777" w:rsidR="000C6719" w:rsidRPr="00651840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  <w:t>CHF</w:t>
            </w:r>
          </w:p>
        </w:tc>
        <w:tc>
          <w:tcPr>
            <w:tcW w:w="1455" w:type="dxa"/>
            <w:shd w:val="clear" w:color="auto" w:fill="auto"/>
          </w:tcPr>
          <w:p w14:paraId="11240D2A" w14:textId="77777777" w:rsidR="000C6719" w:rsidRPr="00651840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  <w:t>5</w:t>
            </w:r>
          </w:p>
        </w:tc>
        <w:tc>
          <w:tcPr>
            <w:tcW w:w="3858" w:type="dxa"/>
            <w:shd w:val="clear" w:color="auto" w:fill="auto"/>
            <w:noWrap/>
            <w:hideMark/>
          </w:tcPr>
          <w:p w14:paraId="2F19B99C" w14:textId="77777777" w:rsidR="000C6719" w:rsidRPr="00651840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  <w:t>Kingston communications/Affiniti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08F255BD" w14:textId="6A62603D" w:rsidR="000C6719" w:rsidRPr="00651840" w:rsidRDefault="006D6E42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  <w:t>Royaume-Uni</w:t>
            </w:r>
          </w:p>
        </w:tc>
        <w:tc>
          <w:tcPr>
            <w:tcW w:w="3685" w:type="dxa"/>
          </w:tcPr>
          <w:p w14:paraId="53CFF2C0" w14:textId="77777777" w:rsidR="000C6719" w:rsidRPr="00651840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</w:pPr>
          </w:p>
        </w:tc>
      </w:tr>
      <w:tr w:rsidR="000C6719" w:rsidRPr="00651840" w14:paraId="558415DC" w14:textId="77777777" w:rsidTr="00651840">
        <w:trPr>
          <w:cantSplit/>
          <w:trHeight w:val="255"/>
        </w:trPr>
        <w:tc>
          <w:tcPr>
            <w:tcW w:w="1122" w:type="dxa"/>
            <w:shd w:val="clear" w:color="auto" w:fill="auto"/>
            <w:noWrap/>
            <w:hideMark/>
          </w:tcPr>
          <w:p w14:paraId="0874FB69" w14:textId="77777777" w:rsidR="000C6719" w:rsidRPr="00651840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  <w:t>400</w:t>
            </w:r>
            <w:r w:rsidR="00AD1AFA" w:rsidRPr="00651840"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  <w:t>,</w:t>
            </w:r>
            <w:r w:rsidRPr="00651840"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  <w:t>00</w:t>
            </w:r>
          </w:p>
        </w:tc>
        <w:tc>
          <w:tcPr>
            <w:tcW w:w="936" w:type="dxa"/>
            <w:shd w:val="clear" w:color="auto" w:fill="auto"/>
            <w:noWrap/>
            <w:hideMark/>
          </w:tcPr>
          <w:p w14:paraId="0ADDA6B7" w14:textId="77777777" w:rsidR="000C6719" w:rsidRPr="00651840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  <w:t>CHF</w:t>
            </w:r>
          </w:p>
        </w:tc>
        <w:tc>
          <w:tcPr>
            <w:tcW w:w="1455" w:type="dxa"/>
          </w:tcPr>
          <w:p w14:paraId="74517D77" w14:textId="77777777" w:rsidR="000C6719" w:rsidRPr="00651840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  <w:t>4</w:t>
            </w:r>
          </w:p>
        </w:tc>
        <w:tc>
          <w:tcPr>
            <w:tcW w:w="3858" w:type="dxa"/>
            <w:shd w:val="clear" w:color="auto" w:fill="auto"/>
            <w:noWrap/>
            <w:hideMark/>
          </w:tcPr>
          <w:p w14:paraId="754726E7" w14:textId="5B12ECC2" w:rsidR="000C6719" w:rsidRPr="00651840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20"/>
                <w:lang w:val="en-US" w:eastAsia="zh-CN"/>
              </w:rPr>
            </w:pPr>
            <w:r w:rsidRPr="00651840">
              <w:rPr>
                <w:rFonts w:asciiTheme="minorHAnsi" w:hAnsiTheme="minorHAnsi" w:cstheme="minorHAnsi"/>
                <w:color w:val="000000" w:themeColor="text1"/>
                <w:sz w:val="20"/>
                <w:lang w:val="en-US" w:eastAsia="zh-CN"/>
              </w:rPr>
              <w:t>Qupra Wholesale (E</w:t>
            </w:r>
            <w:r w:rsidR="00DE4D3B" w:rsidRPr="00651840">
              <w:rPr>
                <w:rFonts w:asciiTheme="minorHAnsi" w:hAnsiTheme="minorHAnsi" w:cstheme="minorHAnsi"/>
                <w:color w:val="000000" w:themeColor="text1"/>
                <w:sz w:val="20"/>
                <w:lang w:val="en-US" w:eastAsia="zh-CN"/>
              </w:rPr>
              <w:t xml:space="preserve">x. </w:t>
            </w:r>
            <w:r w:rsidRPr="00651840">
              <w:rPr>
                <w:rFonts w:asciiTheme="minorHAnsi" w:hAnsiTheme="minorHAnsi" w:cstheme="minorHAnsi"/>
                <w:color w:val="000000" w:themeColor="text1"/>
                <w:sz w:val="20"/>
                <w:lang w:val="en-US" w:eastAsia="zh-CN"/>
              </w:rPr>
              <w:t>MTTM Partners B.V)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5AC62AE" w14:textId="0011BE33" w:rsidR="000C6719" w:rsidRPr="00651840" w:rsidRDefault="006D6E42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</w:pPr>
            <w:r w:rsidRPr="00651840"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  <w:t>Pays-Bas</w:t>
            </w:r>
          </w:p>
        </w:tc>
        <w:tc>
          <w:tcPr>
            <w:tcW w:w="3685" w:type="dxa"/>
          </w:tcPr>
          <w:p w14:paraId="0152834F" w14:textId="77777777" w:rsidR="000C6719" w:rsidRPr="00651840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20"/>
                <w:lang w:val="fr-CH" w:eastAsia="zh-CN"/>
              </w:rPr>
            </w:pPr>
          </w:p>
        </w:tc>
      </w:tr>
    </w:tbl>
    <w:p w14:paraId="4747808C" w14:textId="77777777" w:rsidR="000C6719" w:rsidRPr="00C854AD" w:rsidRDefault="000C6719" w:rsidP="00B72E2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sz w:val="20"/>
          <w:lang w:val="fr-CH"/>
        </w:rPr>
      </w:pPr>
      <w:r w:rsidRPr="00C854AD">
        <w:rPr>
          <w:sz w:val="20"/>
          <w:lang w:val="fr-CH"/>
        </w:rPr>
        <w:br w:type="page"/>
      </w:r>
    </w:p>
    <w:p w14:paraId="1FAE6FE1" w14:textId="77777777" w:rsidR="00F9201C" w:rsidRDefault="00F9201C" w:rsidP="00F9201C">
      <w:pPr>
        <w:pStyle w:val="ListParagraph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0" w:after="120"/>
        <w:ind w:left="0"/>
        <w:contextualSpacing w:val="0"/>
        <w:jc w:val="both"/>
        <w:rPr>
          <w:b/>
          <w:szCs w:val="24"/>
          <w:lang w:val="fr-CH"/>
        </w:rPr>
        <w:sectPr w:rsidR="00F9201C" w:rsidSect="00825989">
          <w:pgSz w:w="16840" w:h="11907" w:orient="landscape" w:code="9"/>
          <w:pgMar w:top="1134" w:right="1418" w:bottom="1134" w:left="1418" w:header="720" w:footer="720" w:gutter="0"/>
          <w:paperSrc w:first="261" w:other="261"/>
          <w:cols w:space="720"/>
          <w:docGrid w:linePitch="326"/>
        </w:sectPr>
      </w:pPr>
    </w:p>
    <w:p w14:paraId="1D1B682F" w14:textId="34724ADA" w:rsidR="000C6719" w:rsidRPr="00C854AD" w:rsidRDefault="000C6719" w:rsidP="00F9201C">
      <w:pPr>
        <w:pStyle w:val="ListParagraph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0" w:after="120"/>
        <w:ind w:left="0"/>
        <w:contextualSpacing w:val="0"/>
        <w:jc w:val="both"/>
        <w:rPr>
          <w:b/>
          <w:szCs w:val="24"/>
          <w:lang w:val="fr-CH"/>
        </w:rPr>
      </w:pPr>
      <w:r w:rsidRPr="00C854AD">
        <w:rPr>
          <w:b/>
          <w:szCs w:val="24"/>
          <w:lang w:val="fr-CH"/>
        </w:rPr>
        <w:t>Annex</w:t>
      </w:r>
      <w:r w:rsidR="002079DB" w:rsidRPr="00C854AD">
        <w:rPr>
          <w:b/>
          <w:szCs w:val="24"/>
          <w:lang w:val="fr-CH"/>
        </w:rPr>
        <w:t>e</w:t>
      </w:r>
      <w:r w:rsidR="00CF5186">
        <w:rPr>
          <w:b/>
          <w:szCs w:val="24"/>
          <w:lang w:val="fr-CH"/>
        </w:rPr>
        <w:t xml:space="preserve"> C </w:t>
      </w:r>
      <w:r w:rsidR="00CF5186" w:rsidRPr="00CF5186">
        <w:rPr>
          <w:b/>
          <w:szCs w:val="24"/>
          <w:lang w:val="fr-CH"/>
        </w:rPr>
        <w:t>–</w:t>
      </w:r>
      <w:r w:rsidRPr="00C854AD">
        <w:rPr>
          <w:b/>
          <w:szCs w:val="24"/>
          <w:lang w:val="fr-CH"/>
        </w:rPr>
        <w:t xml:space="preserve"> </w:t>
      </w:r>
      <w:r w:rsidR="00DE4D3B" w:rsidRPr="00C854AD">
        <w:rPr>
          <w:b/>
          <w:szCs w:val="24"/>
          <w:lang w:val="fr-CH"/>
        </w:rPr>
        <w:t>Liste des fournisseurs de services</w:t>
      </w:r>
      <w:r w:rsidR="00DD34B9">
        <w:rPr>
          <w:b/>
          <w:szCs w:val="24"/>
          <w:lang w:val="fr-CH"/>
        </w:rPr>
        <w:t xml:space="preserve"> </w:t>
      </w:r>
      <w:r w:rsidR="006B3B91" w:rsidRPr="00C854AD">
        <w:rPr>
          <w:b/>
          <w:szCs w:val="24"/>
          <w:lang w:val="fr-CH"/>
        </w:rPr>
        <w:t xml:space="preserve">UIFN </w:t>
      </w:r>
      <w:r w:rsidR="00DE4D3B" w:rsidRPr="003607BA">
        <w:rPr>
          <w:b/>
          <w:szCs w:val="24"/>
          <w:lang w:val="fr-CH"/>
        </w:rPr>
        <w:t>pour</w:t>
      </w:r>
      <w:r w:rsidR="00CF5186">
        <w:rPr>
          <w:b/>
          <w:szCs w:val="24"/>
          <w:lang w:val="fr-CH"/>
        </w:rPr>
        <w:t xml:space="preserve"> lesquels des renseignements com</w:t>
      </w:r>
      <w:r w:rsidR="00DE4D3B" w:rsidRPr="003607BA">
        <w:rPr>
          <w:b/>
          <w:szCs w:val="24"/>
          <w:lang w:val="fr-CH"/>
        </w:rPr>
        <w:t xml:space="preserve">plémentaires sont </w:t>
      </w:r>
      <w:r w:rsidR="00CF5186">
        <w:rPr>
          <w:b/>
          <w:szCs w:val="24"/>
          <w:lang w:val="fr-CH"/>
        </w:rPr>
        <w:t>demandés</w:t>
      </w:r>
    </w:p>
    <w:tbl>
      <w:tblPr>
        <w:tblW w:w="13608" w:type="dxa"/>
        <w:tblInd w:w="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"/>
        <w:gridCol w:w="712"/>
        <w:gridCol w:w="1727"/>
        <w:gridCol w:w="5282"/>
        <w:gridCol w:w="2017"/>
        <w:gridCol w:w="2834"/>
      </w:tblGrid>
      <w:tr w:rsidR="000C6719" w:rsidRPr="00F9201C" w14:paraId="2949544E" w14:textId="77777777" w:rsidTr="00F9201C">
        <w:trPr>
          <w:cantSplit/>
          <w:trHeight w:val="255"/>
          <w:tblHeader/>
        </w:trPr>
        <w:tc>
          <w:tcPr>
            <w:tcW w:w="1036" w:type="dxa"/>
            <w:shd w:val="clear" w:color="auto" w:fill="D9D9D9" w:themeFill="background1" w:themeFillShade="D9"/>
            <w:noWrap/>
          </w:tcPr>
          <w:p w14:paraId="3F788713" w14:textId="2598200A" w:rsidR="000C6719" w:rsidRPr="00F9201C" w:rsidRDefault="00DE4D3B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fr-CH" w:eastAsia="zh-CN"/>
              </w:rPr>
              <w:t>Montant</w:t>
            </w:r>
          </w:p>
        </w:tc>
        <w:tc>
          <w:tcPr>
            <w:tcW w:w="712" w:type="dxa"/>
            <w:shd w:val="clear" w:color="auto" w:fill="D9D9D9" w:themeFill="background1" w:themeFillShade="D9"/>
            <w:noWrap/>
          </w:tcPr>
          <w:p w14:paraId="0DE2BFFE" w14:textId="5811DCD9" w:rsidR="000C6719" w:rsidRPr="00F9201C" w:rsidRDefault="00DE4D3B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fr-CH" w:eastAsia="zh-CN"/>
              </w:rPr>
              <w:t>Devise</w:t>
            </w:r>
          </w:p>
        </w:tc>
        <w:tc>
          <w:tcPr>
            <w:tcW w:w="1727" w:type="dxa"/>
            <w:shd w:val="clear" w:color="auto" w:fill="D9D9D9" w:themeFill="background1" w:themeFillShade="D9"/>
          </w:tcPr>
          <w:p w14:paraId="4EEC2FD1" w14:textId="40525A08" w:rsidR="000C6719" w:rsidRPr="00F9201C" w:rsidRDefault="00DE4D3B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spacing w:val="-4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b/>
                <w:color w:val="000000" w:themeColor="text1"/>
                <w:spacing w:val="-4"/>
                <w:sz w:val="18"/>
                <w:szCs w:val="18"/>
                <w:lang w:val="fr-CH" w:eastAsia="zh-CN"/>
              </w:rPr>
              <w:t>Nombre de numéros UIFN</w:t>
            </w:r>
          </w:p>
          <w:p w14:paraId="55F335C6" w14:textId="0A3E9590" w:rsidR="000C6719" w:rsidRPr="00F9201C" w:rsidRDefault="00DE4D3B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spacing w:val="-4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b/>
                <w:color w:val="000000" w:themeColor="text1"/>
                <w:spacing w:val="-4"/>
                <w:sz w:val="18"/>
                <w:szCs w:val="18"/>
                <w:lang w:val="fr-CH" w:eastAsia="zh-CN"/>
              </w:rPr>
              <w:t>0</w:t>
            </w:r>
            <w:r w:rsidR="000C6719" w:rsidRPr="00F9201C">
              <w:rPr>
                <w:rFonts w:asciiTheme="minorHAnsi" w:hAnsiTheme="minorHAnsi" w:cstheme="minorHAnsi"/>
                <w:b/>
                <w:color w:val="000000" w:themeColor="text1"/>
                <w:spacing w:val="-4"/>
                <w:sz w:val="18"/>
                <w:szCs w:val="18"/>
                <w:lang w:val="fr-CH" w:eastAsia="zh-CN"/>
              </w:rPr>
              <w:t>1/</w:t>
            </w:r>
            <w:r w:rsidRPr="00F9201C">
              <w:rPr>
                <w:rFonts w:asciiTheme="minorHAnsi" w:hAnsiTheme="minorHAnsi" w:cstheme="minorHAnsi"/>
                <w:b/>
                <w:color w:val="000000" w:themeColor="text1"/>
                <w:spacing w:val="-4"/>
                <w:sz w:val="18"/>
                <w:szCs w:val="18"/>
                <w:lang w:val="fr-CH" w:eastAsia="zh-CN"/>
              </w:rPr>
              <w:t>0</w:t>
            </w:r>
            <w:r w:rsidR="000C6719" w:rsidRPr="00F9201C">
              <w:rPr>
                <w:rFonts w:asciiTheme="minorHAnsi" w:hAnsiTheme="minorHAnsi" w:cstheme="minorHAnsi"/>
                <w:b/>
                <w:color w:val="000000" w:themeColor="text1"/>
                <w:spacing w:val="-4"/>
                <w:sz w:val="18"/>
                <w:szCs w:val="18"/>
                <w:lang w:val="fr-CH" w:eastAsia="zh-CN"/>
              </w:rPr>
              <w:t>1/2018</w:t>
            </w:r>
          </w:p>
        </w:tc>
        <w:tc>
          <w:tcPr>
            <w:tcW w:w="5282" w:type="dxa"/>
            <w:shd w:val="clear" w:color="auto" w:fill="D9D9D9" w:themeFill="background1" w:themeFillShade="D9"/>
            <w:noWrap/>
          </w:tcPr>
          <w:p w14:paraId="6E62C664" w14:textId="3254BFA5" w:rsidR="000C6719" w:rsidRPr="00F9201C" w:rsidRDefault="00DE4D3B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fr-CH" w:eastAsia="zh-CN"/>
              </w:rPr>
              <w:t>Nom de l'entreprise</w:t>
            </w:r>
          </w:p>
        </w:tc>
        <w:tc>
          <w:tcPr>
            <w:tcW w:w="2017" w:type="dxa"/>
            <w:shd w:val="clear" w:color="auto" w:fill="D9D9D9" w:themeFill="background1" w:themeFillShade="D9"/>
            <w:noWrap/>
          </w:tcPr>
          <w:p w14:paraId="5E61E5E2" w14:textId="21FF4A87" w:rsidR="000C6719" w:rsidRPr="00F9201C" w:rsidRDefault="00DE4D3B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fr-CH" w:eastAsia="zh-CN"/>
              </w:rPr>
              <w:t>Pays</w:t>
            </w:r>
            <w:r w:rsidR="000C6719" w:rsidRPr="00F9201C">
              <w:rPr>
                <w:rFonts w:asciiTheme="minorHAnsi" w:hAnsiTheme="minorHAnsi" w:cstheme="minorHAnsi"/>
                <w:b/>
                <w:sz w:val="18"/>
                <w:szCs w:val="18"/>
                <w:lang w:val="fr-CH" w:eastAsia="zh-CN"/>
              </w:rPr>
              <w:t>/</w:t>
            </w:r>
            <w:r w:rsidRPr="00F9201C">
              <w:rPr>
                <w:rFonts w:asciiTheme="minorHAnsi" w:hAnsiTheme="minorHAnsi" w:cstheme="minorHAnsi"/>
                <w:b/>
                <w:sz w:val="18"/>
                <w:szCs w:val="18"/>
                <w:lang w:val="fr-CH" w:eastAsia="zh-CN"/>
              </w:rPr>
              <w:t>zone géographique</w:t>
            </w:r>
          </w:p>
        </w:tc>
        <w:tc>
          <w:tcPr>
            <w:tcW w:w="2834" w:type="dxa"/>
            <w:shd w:val="clear" w:color="auto" w:fill="D9D9D9" w:themeFill="background1" w:themeFillShade="D9"/>
          </w:tcPr>
          <w:p w14:paraId="6CBCFD2B" w14:textId="5998823A" w:rsidR="000C6719" w:rsidRPr="00F9201C" w:rsidRDefault="009E5564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fr-CH" w:eastAsia="zh-CN"/>
              </w:rPr>
              <w:t>N</w:t>
            </w:r>
            <w:r w:rsidR="000C6719" w:rsidRPr="00F9201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fr-CH" w:eastAsia="zh-CN"/>
              </w:rPr>
              <w:t>ote</w:t>
            </w:r>
          </w:p>
        </w:tc>
      </w:tr>
      <w:tr w:rsidR="000C6719" w:rsidRPr="00F9201C" w14:paraId="1F69A825" w14:textId="77777777" w:rsidTr="00F9201C">
        <w:trPr>
          <w:cantSplit/>
          <w:trHeight w:val="227"/>
        </w:trPr>
        <w:tc>
          <w:tcPr>
            <w:tcW w:w="1036" w:type="dxa"/>
            <w:shd w:val="clear" w:color="auto" w:fill="auto"/>
            <w:noWrap/>
            <w:hideMark/>
          </w:tcPr>
          <w:p w14:paraId="7D340D92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6</w:t>
            </w:r>
            <w:r w:rsidR="00D706DB"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 xml:space="preserve"> </w:t>
            </w: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800</w:t>
            </w:r>
            <w:r w:rsidR="00D706DB"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,</w:t>
            </w: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14:paraId="50F9A70E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CHF</w:t>
            </w:r>
          </w:p>
        </w:tc>
        <w:tc>
          <w:tcPr>
            <w:tcW w:w="1727" w:type="dxa"/>
          </w:tcPr>
          <w:p w14:paraId="148A983C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68</w:t>
            </w:r>
          </w:p>
        </w:tc>
        <w:tc>
          <w:tcPr>
            <w:tcW w:w="5282" w:type="dxa"/>
            <w:shd w:val="clear" w:color="auto" w:fill="auto"/>
            <w:noWrap/>
            <w:hideMark/>
          </w:tcPr>
          <w:p w14:paraId="23FEE89A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Smile Telecom 012</w:t>
            </w:r>
          </w:p>
        </w:tc>
        <w:tc>
          <w:tcPr>
            <w:tcW w:w="2017" w:type="dxa"/>
            <w:shd w:val="clear" w:color="auto" w:fill="auto"/>
            <w:noWrap/>
            <w:hideMark/>
          </w:tcPr>
          <w:p w14:paraId="052E1545" w14:textId="59DAEFD6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Isra</w:t>
            </w:r>
            <w:r w:rsidR="00DE4D3B"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ë</w:t>
            </w: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l</w:t>
            </w:r>
          </w:p>
        </w:tc>
        <w:tc>
          <w:tcPr>
            <w:tcW w:w="2834" w:type="dxa"/>
          </w:tcPr>
          <w:p w14:paraId="53F2A9D1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</w:p>
        </w:tc>
      </w:tr>
      <w:tr w:rsidR="000C6719" w:rsidRPr="00F9201C" w14:paraId="30A6B362" w14:textId="77777777" w:rsidTr="00F9201C">
        <w:trPr>
          <w:cantSplit/>
          <w:trHeight w:val="227"/>
        </w:trPr>
        <w:tc>
          <w:tcPr>
            <w:tcW w:w="1036" w:type="dxa"/>
            <w:shd w:val="clear" w:color="auto" w:fill="auto"/>
            <w:noWrap/>
            <w:hideMark/>
          </w:tcPr>
          <w:p w14:paraId="33645887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5</w:t>
            </w:r>
            <w:r w:rsidR="00D706DB"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 xml:space="preserve"> </w:t>
            </w: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600</w:t>
            </w:r>
            <w:r w:rsidR="00D706DB"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,</w:t>
            </w: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14:paraId="2BA4F8A7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CHF</w:t>
            </w:r>
          </w:p>
        </w:tc>
        <w:tc>
          <w:tcPr>
            <w:tcW w:w="1727" w:type="dxa"/>
            <w:shd w:val="clear" w:color="auto" w:fill="auto"/>
          </w:tcPr>
          <w:p w14:paraId="72E3EEB0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56</w:t>
            </w:r>
          </w:p>
        </w:tc>
        <w:tc>
          <w:tcPr>
            <w:tcW w:w="5282" w:type="dxa"/>
            <w:shd w:val="clear" w:color="auto" w:fill="auto"/>
            <w:noWrap/>
            <w:hideMark/>
          </w:tcPr>
          <w:p w14:paraId="2D48D5D7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International Telcom Ltd.</w:t>
            </w:r>
          </w:p>
        </w:tc>
        <w:tc>
          <w:tcPr>
            <w:tcW w:w="2017" w:type="dxa"/>
            <w:shd w:val="clear" w:color="auto" w:fill="auto"/>
            <w:noWrap/>
            <w:hideMark/>
          </w:tcPr>
          <w:p w14:paraId="5E407557" w14:textId="3F2FD9EE" w:rsidR="000C6719" w:rsidRPr="00F9201C" w:rsidRDefault="00DE4D3B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États-Unis</w:t>
            </w:r>
          </w:p>
        </w:tc>
        <w:tc>
          <w:tcPr>
            <w:tcW w:w="2834" w:type="dxa"/>
          </w:tcPr>
          <w:p w14:paraId="69E27B72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</w:p>
        </w:tc>
      </w:tr>
      <w:tr w:rsidR="000C6719" w:rsidRPr="00F9201C" w14:paraId="7B35B40D" w14:textId="77777777" w:rsidTr="00F9201C">
        <w:trPr>
          <w:cantSplit/>
          <w:trHeight w:val="227"/>
        </w:trPr>
        <w:tc>
          <w:tcPr>
            <w:tcW w:w="1036" w:type="dxa"/>
            <w:shd w:val="clear" w:color="auto" w:fill="auto"/>
            <w:noWrap/>
            <w:hideMark/>
          </w:tcPr>
          <w:p w14:paraId="063C90D2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900</w:t>
            </w:r>
            <w:r w:rsidR="00D706DB"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,</w:t>
            </w: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14:paraId="5C8C7013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CHF</w:t>
            </w:r>
          </w:p>
        </w:tc>
        <w:tc>
          <w:tcPr>
            <w:tcW w:w="1727" w:type="dxa"/>
            <w:shd w:val="clear" w:color="auto" w:fill="auto"/>
          </w:tcPr>
          <w:p w14:paraId="12B4740E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9</w:t>
            </w:r>
          </w:p>
        </w:tc>
        <w:tc>
          <w:tcPr>
            <w:tcW w:w="5282" w:type="dxa"/>
            <w:shd w:val="clear" w:color="auto" w:fill="auto"/>
            <w:noWrap/>
            <w:hideMark/>
          </w:tcPr>
          <w:p w14:paraId="2FD4E6D3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Tele 2 AB</w:t>
            </w:r>
          </w:p>
        </w:tc>
        <w:tc>
          <w:tcPr>
            <w:tcW w:w="2017" w:type="dxa"/>
            <w:shd w:val="clear" w:color="auto" w:fill="auto"/>
            <w:noWrap/>
            <w:hideMark/>
          </w:tcPr>
          <w:p w14:paraId="15A7E6CD" w14:textId="29C85C99" w:rsidR="000C6719" w:rsidRPr="00F9201C" w:rsidRDefault="00DE4D3B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Suède</w:t>
            </w:r>
          </w:p>
        </w:tc>
        <w:tc>
          <w:tcPr>
            <w:tcW w:w="2834" w:type="dxa"/>
          </w:tcPr>
          <w:p w14:paraId="654DF826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</w:p>
        </w:tc>
      </w:tr>
      <w:tr w:rsidR="000C6719" w:rsidRPr="00F9201C" w14:paraId="4125B602" w14:textId="77777777" w:rsidTr="00F9201C">
        <w:trPr>
          <w:cantSplit/>
          <w:trHeight w:val="227"/>
        </w:trPr>
        <w:tc>
          <w:tcPr>
            <w:tcW w:w="1036" w:type="dxa"/>
            <w:shd w:val="clear" w:color="auto" w:fill="auto"/>
            <w:noWrap/>
            <w:hideMark/>
          </w:tcPr>
          <w:p w14:paraId="5649464A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700</w:t>
            </w:r>
            <w:r w:rsidR="00D706DB"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,</w:t>
            </w: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14:paraId="541A708E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CHF</w:t>
            </w:r>
          </w:p>
        </w:tc>
        <w:tc>
          <w:tcPr>
            <w:tcW w:w="1727" w:type="dxa"/>
          </w:tcPr>
          <w:p w14:paraId="155CD21A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7</w:t>
            </w:r>
          </w:p>
        </w:tc>
        <w:tc>
          <w:tcPr>
            <w:tcW w:w="5282" w:type="dxa"/>
            <w:shd w:val="clear" w:color="auto" w:fill="auto"/>
            <w:noWrap/>
            <w:hideMark/>
          </w:tcPr>
          <w:p w14:paraId="24F4F31C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Cable &amp; Wireless Panamá S.A.</w:t>
            </w:r>
          </w:p>
        </w:tc>
        <w:tc>
          <w:tcPr>
            <w:tcW w:w="2017" w:type="dxa"/>
            <w:shd w:val="clear" w:color="auto" w:fill="auto"/>
            <w:noWrap/>
            <w:hideMark/>
          </w:tcPr>
          <w:p w14:paraId="641F2D78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Panama</w:t>
            </w:r>
          </w:p>
        </w:tc>
        <w:tc>
          <w:tcPr>
            <w:tcW w:w="2834" w:type="dxa"/>
          </w:tcPr>
          <w:p w14:paraId="1B204C8E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</w:p>
        </w:tc>
      </w:tr>
      <w:tr w:rsidR="000C6719" w:rsidRPr="00F9201C" w14:paraId="7BED7AF5" w14:textId="77777777" w:rsidTr="00F9201C">
        <w:trPr>
          <w:cantSplit/>
          <w:trHeight w:val="227"/>
        </w:trPr>
        <w:tc>
          <w:tcPr>
            <w:tcW w:w="1036" w:type="dxa"/>
            <w:shd w:val="clear" w:color="auto" w:fill="auto"/>
            <w:noWrap/>
            <w:hideMark/>
          </w:tcPr>
          <w:p w14:paraId="5EC43D12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500</w:t>
            </w:r>
            <w:r w:rsidR="00D706DB"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,</w:t>
            </w: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14:paraId="2967CD48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CHF</w:t>
            </w:r>
          </w:p>
        </w:tc>
        <w:tc>
          <w:tcPr>
            <w:tcW w:w="1727" w:type="dxa"/>
          </w:tcPr>
          <w:p w14:paraId="0E3B12A9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5</w:t>
            </w:r>
          </w:p>
        </w:tc>
        <w:tc>
          <w:tcPr>
            <w:tcW w:w="5282" w:type="dxa"/>
            <w:shd w:val="clear" w:color="auto" w:fill="auto"/>
            <w:noWrap/>
            <w:hideMark/>
          </w:tcPr>
          <w:p w14:paraId="0B478629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s-ES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s-ES" w:eastAsia="zh-CN"/>
              </w:rPr>
              <w:t>Colombia Telecomunicaciones S.A. ESP - Telecom Colombia</w:t>
            </w:r>
          </w:p>
        </w:tc>
        <w:tc>
          <w:tcPr>
            <w:tcW w:w="2017" w:type="dxa"/>
            <w:shd w:val="clear" w:color="auto" w:fill="auto"/>
            <w:noWrap/>
            <w:hideMark/>
          </w:tcPr>
          <w:p w14:paraId="51F27F2D" w14:textId="06952AF5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Colombi</w:t>
            </w:r>
            <w:r w:rsidR="00DE4D3B"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e</w:t>
            </w:r>
          </w:p>
        </w:tc>
        <w:tc>
          <w:tcPr>
            <w:tcW w:w="2834" w:type="dxa"/>
          </w:tcPr>
          <w:p w14:paraId="5F05C899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</w:p>
        </w:tc>
      </w:tr>
      <w:tr w:rsidR="000C6719" w:rsidRPr="00F9201C" w14:paraId="31ABA7DC" w14:textId="77777777" w:rsidTr="00F9201C">
        <w:trPr>
          <w:cantSplit/>
          <w:trHeight w:val="227"/>
        </w:trPr>
        <w:tc>
          <w:tcPr>
            <w:tcW w:w="1036" w:type="dxa"/>
            <w:shd w:val="clear" w:color="auto" w:fill="auto"/>
            <w:noWrap/>
            <w:hideMark/>
          </w:tcPr>
          <w:p w14:paraId="6092FFFD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400</w:t>
            </w:r>
            <w:r w:rsidR="00D706DB"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,</w:t>
            </w: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14:paraId="027377D6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CHF</w:t>
            </w:r>
          </w:p>
        </w:tc>
        <w:tc>
          <w:tcPr>
            <w:tcW w:w="1727" w:type="dxa"/>
          </w:tcPr>
          <w:p w14:paraId="22C907F0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4</w:t>
            </w:r>
          </w:p>
        </w:tc>
        <w:tc>
          <w:tcPr>
            <w:tcW w:w="5282" w:type="dxa"/>
            <w:shd w:val="clear" w:color="auto" w:fill="auto"/>
            <w:noWrap/>
            <w:hideMark/>
          </w:tcPr>
          <w:p w14:paraId="154248B3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PLANinterNET VoIP-GmbH</w:t>
            </w:r>
          </w:p>
        </w:tc>
        <w:tc>
          <w:tcPr>
            <w:tcW w:w="2017" w:type="dxa"/>
            <w:shd w:val="clear" w:color="auto" w:fill="auto"/>
            <w:noWrap/>
            <w:hideMark/>
          </w:tcPr>
          <w:p w14:paraId="2AEBC296" w14:textId="239DB686" w:rsidR="000C6719" w:rsidRPr="00F9201C" w:rsidRDefault="00DE4D3B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Allemagne</w:t>
            </w:r>
          </w:p>
        </w:tc>
        <w:tc>
          <w:tcPr>
            <w:tcW w:w="2834" w:type="dxa"/>
          </w:tcPr>
          <w:p w14:paraId="3194B9E1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</w:p>
        </w:tc>
      </w:tr>
      <w:tr w:rsidR="000C6719" w:rsidRPr="00F9201C" w14:paraId="36343113" w14:textId="77777777" w:rsidTr="00F9201C">
        <w:trPr>
          <w:cantSplit/>
          <w:trHeight w:val="227"/>
        </w:trPr>
        <w:tc>
          <w:tcPr>
            <w:tcW w:w="1036" w:type="dxa"/>
            <w:shd w:val="clear" w:color="auto" w:fill="auto"/>
            <w:noWrap/>
            <w:hideMark/>
          </w:tcPr>
          <w:p w14:paraId="21536277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400</w:t>
            </w:r>
            <w:r w:rsidR="00D706DB"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,</w:t>
            </w: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14:paraId="16F523E8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CHF</w:t>
            </w:r>
          </w:p>
        </w:tc>
        <w:tc>
          <w:tcPr>
            <w:tcW w:w="1727" w:type="dxa"/>
          </w:tcPr>
          <w:p w14:paraId="556F495B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4</w:t>
            </w:r>
          </w:p>
        </w:tc>
        <w:tc>
          <w:tcPr>
            <w:tcW w:w="5282" w:type="dxa"/>
            <w:shd w:val="clear" w:color="auto" w:fill="auto"/>
            <w:noWrap/>
            <w:hideMark/>
          </w:tcPr>
          <w:p w14:paraId="295E0C3D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WTT HK Limited</w:t>
            </w:r>
          </w:p>
        </w:tc>
        <w:tc>
          <w:tcPr>
            <w:tcW w:w="2017" w:type="dxa"/>
            <w:shd w:val="clear" w:color="auto" w:fill="auto"/>
            <w:noWrap/>
            <w:hideMark/>
          </w:tcPr>
          <w:p w14:paraId="18085462" w14:textId="746FEB06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Hong Kong, Chin</w:t>
            </w:r>
            <w:r w:rsidR="00DE4D3B"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e</w:t>
            </w:r>
          </w:p>
        </w:tc>
        <w:tc>
          <w:tcPr>
            <w:tcW w:w="2834" w:type="dxa"/>
          </w:tcPr>
          <w:p w14:paraId="1299ED60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</w:p>
        </w:tc>
      </w:tr>
      <w:tr w:rsidR="000C6719" w:rsidRPr="00F9201C" w14:paraId="3C3D6A7C" w14:textId="77777777" w:rsidTr="00F9201C">
        <w:trPr>
          <w:cantSplit/>
          <w:trHeight w:val="227"/>
        </w:trPr>
        <w:tc>
          <w:tcPr>
            <w:tcW w:w="1036" w:type="dxa"/>
            <w:shd w:val="clear" w:color="auto" w:fill="auto"/>
            <w:noWrap/>
            <w:hideMark/>
          </w:tcPr>
          <w:p w14:paraId="0B4B7E65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300</w:t>
            </w:r>
            <w:r w:rsidR="00D706DB"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,</w:t>
            </w: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14:paraId="6A3CB005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CHF</w:t>
            </w:r>
          </w:p>
        </w:tc>
        <w:tc>
          <w:tcPr>
            <w:tcW w:w="1727" w:type="dxa"/>
          </w:tcPr>
          <w:p w14:paraId="3539AD06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3</w:t>
            </w:r>
          </w:p>
        </w:tc>
        <w:tc>
          <w:tcPr>
            <w:tcW w:w="5282" w:type="dxa"/>
            <w:shd w:val="clear" w:color="auto" w:fill="auto"/>
            <w:noWrap/>
            <w:hideMark/>
          </w:tcPr>
          <w:p w14:paraId="00AF86AA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Telefonica del Peru</w:t>
            </w:r>
          </w:p>
        </w:tc>
        <w:tc>
          <w:tcPr>
            <w:tcW w:w="2017" w:type="dxa"/>
            <w:shd w:val="clear" w:color="auto" w:fill="auto"/>
            <w:noWrap/>
            <w:hideMark/>
          </w:tcPr>
          <w:p w14:paraId="68CDE62C" w14:textId="049835CD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P</w:t>
            </w:r>
            <w:r w:rsidR="00DE4D3B"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érou</w:t>
            </w:r>
          </w:p>
        </w:tc>
        <w:tc>
          <w:tcPr>
            <w:tcW w:w="2834" w:type="dxa"/>
          </w:tcPr>
          <w:p w14:paraId="3E040B97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</w:p>
        </w:tc>
      </w:tr>
      <w:tr w:rsidR="000C6719" w:rsidRPr="00F9201C" w14:paraId="191AF79F" w14:textId="77777777" w:rsidTr="00F9201C">
        <w:trPr>
          <w:cantSplit/>
          <w:trHeight w:val="227"/>
        </w:trPr>
        <w:tc>
          <w:tcPr>
            <w:tcW w:w="1036" w:type="dxa"/>
            <w:shd w:val="clear" w:color="auto" w:fill="auto"/>
            <w:noWrap/>
            <w:hideMark/>
          </w:tcPr>
          <w:p w14:paraId="1B2AED97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300</w:t>
            </w:r>
            <w:r w:rsidR="00D706DB"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,</w:t>
            </w: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14:paraId="58E98BD3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CHF</w:t>
            </w:r>
          </w:p>
        </w:tc>
        <w:tc>
          <w:tcPr>
            <w:tcW w:w="1727" w:type="dxa"/>
            <w:shd w:val="clear" w:color="auto" w:fill="auto"/>
          </w:tcPr>
          <w:p w14:paraId="12A612EB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3</w:t>
            </w:r>
          </w:p>
        </w:tc>
        <w:tc>
          <w:tcPr>
            <w:tcW w:w="5282" w:type="dxa"/>
            <w:shd w:val="clear" w:color="auto" w:fill="auto"/>
            <w:noWrap/>
            <w:hideMark/>
          </w:tcPr>
          <w:p w14:paraId="08307F1E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PRIMUS Telecommunications Ltd.</w:t>
            </w:r>
          </w:p>
        </w:tc>
        <w:tc>
          <w:tcPr>
            <w:tcW w:w="2017" w:type="dxa"/>
            <w:shd w:val="clear" w:color="auto" w:fill="auto"/>
            <w:noWrap/>
            <w:hideMark/>
          </w:tcPr>
          <w:p w14:paraId="478948C9" w14:textId="5E54AD3F" w:rsidR="000C6719" w:rsidRPr="00F9201C" w:rsidRDefault="00DE4D3B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Royaume-Uni</w:t>
            </w:r>
          </w:p>
        </w:tc>
        <w:tc>
          <w:tcPr>
            <w:tcW w:w="2834" w:type="dxa"/>
            <w:shd w:val="clear" w:color="auto" w:fill="auto"/>
          </w:tcPr>
          <w:p w14:paraId="78BA2B45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</w:p>
        </w:tc>
      </w:tr>
      <w:tr w:rsidR="000C6719" w:rsidRPr="00F9201C" w14:paraId="2CD494D6" w14:textId="77777777" w:rsidTr="00F9201C">
        <w:trPr>
          <w:cantSplit/>
          <w:trHeight w:val="227"/>
        </w:trPr>
        <w:tc>
          <w:tcPr>
            <w:tcW w:w="1036" w:type="dxa"/>
            <w:shd w:val="clear" w:color="auto" w:fill="auto"/>
            <w:noWrap/>
            <w:hideMark/>
          </w:tcPr>
          <w:p w14:paraId="3A9A447C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200</w:t>
            </w:r>
            <w:r w:rsidR="00D706DB"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,</w:t>
            </w: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14:paraId="4B422BF4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CHF</w:t>
            </w:r>
          </w:p>
        </w:tc>
        <w:tc>
          <w:tcPr>
            <w:tcW w:w="1727" w:type="dxa"/>
            <w:shd w:val="clear" w:color="auto" w:fill="auto"/>
          </w:tcPr>
          <w:p w14:paraId="449D007D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2</w:t>
            </w:r>
          </w:p>
        </w:tc>
        <w:tc>
          <w:tcPr>
            <w:tcW w:w="5282" w:type="dxa"/>
            <w:shd w:val="clear" w:color="auto" w:fill="auto"/>
            <w:noWrap/>
            <w:hideMark/>
          </w:tcPr>
          <w:p w14:paraId="562894E0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s-ES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s-ES" w:eastAsia="zh-CN"/>
              </w:rPr>
              <w:t>Telefónica de Argentina S.A</w:t>
            </w:r>
          </w:p>
        </w:tc>
        <w:tc>
          <w:tcPr>
            <w:tcW w:w="2017" w:type="dxa"/>
            <w:shd w:val="clear" w:color="auto" w:fill="auto"/>
            <w:noWrap/>
            <w:hideMark/>
          </w:tcPr>
          <w:p w14:paraId="6DE42A91" w14:textId="7187376E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Argentin</w:t>
            </w:r>
            <w:r w:rsidR="00DE4D3B"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e</w:t>
            </w:r>
          </w:p>
        </w:tc>
        <w:tc>
          <w:tcPr>
            <w:tcW w:w="2834" w:type="dxa"/>
            <w:shd w:val="clear" w:color="auto" w:fill="auto"/>
          </w:tcPr>
          <w:p w14:paraId="6541EAAB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</w:p>
        </w:tc>
      </w:tr>
      <w:tr w:rsidR="000C6719" w:rsidRPr="00F9201C" w14:paraId="59945C93" w14:textId="77777777" w:rsidTr="00F9201C">
        <w:trPr>
          <w:cantSplit/>
          <w:trHeight w:val="227"/>
        </w:trPr>
        <w:tc>
          <w:tcPr>
            <w:tcW w:w="1036" w:type="dxa"/>
            <w:shd w:val="clear" w:color="auto" w:fill="auto"/>
            <w:noWrap/>
            <w:hideMark/>
          </w:tcPr>
          <w:p w14:paraId="725EB31A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200</w:t>
            </w:r>
            <w:r w:rsidR="00D706DB"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,</w:t>
            </w: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14:paraId="3609D2B9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CHF</w:t>
            </w:r>
          </w:p>
        </w:tc>
        <w:tc>
          <w:tcPr>
            <w:tcW w:w="1727" w:type="dxa"/>
            <w:shd w:val="clear" w:color="auto" w:fill="auto"/>
          </w:tcPr>
          <w:p w14:paraId="31E5DACD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2</w:t>
            </w:r>
          </w:p>
        </w:tc>
        <w:tc>
          <w:tcPr>
            <w:tcW w:w="5282" w:type="dxa"/>
            <w:shd w:val="clear" w:color="auto" w:fill="auto"/>
            <w:noWrap/>
            <w:hideMark/>
          </w:tcPr>
          <w:p w14:paraId="5A07AAE9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Elion Ettevõtted AS</w:t>
            </w:r>
          </w:p>
        </w:tc>
        <w:tc>
          <w:tcPr>
            <w:tcW w:w="2017" w:type="dxa"/>
            <w:shd w:val="clear" w:color="auto" w:fill="auto"/>
            <w:noWrap/>
            <w:hideMark/>
          </w:tcPr>
          <w:p w14:paraId="73348E93" w14:textId="6B66663A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Estoni</w:t>
            </w:r>
            <w:r w:rsidR="00DE4D3B"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e</w:t>
            </w:r>
          </w:p>
        </w:tc>
        <w:tc>
          <w:tcPr>
            <w:tcW w:w="2834" w:type="dxa"/>
            <w:shd w:val="clear" w:color="auto" w:fill="auto"/>
          </w:tcPr>
          <w:p w14:paraId="424E86C0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</w:p>
        </w:tc>
      </w:tr>
      <w:tr w:rsidR="000C6719" w:rsidRPr="00F9201C" w14:paraId="15CB3C6B" w14:textId="77777777" w:rsidTr="00F9201C">
        <w:trPr>
          <w:cantSplit/>
          <w:trHeight w:val="227"/>
        </w:trPr>
        <w:tc>
          <w:tcPr>
            <w:tcW w:w="1036" w:type="dxa"/>
            <w:shd w:val="clear" w:color="auto" w:fill="auto"/>
            <w:noWrap/>
            <w:hideMark/>
          </w:tcPr>
          <w:p w14:paraId="2BB051AA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200</w:t>
            </w:r>
            <w:r w:rsidR="00D706DB"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,</w:t>
            </w: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14:paraId="2639AD91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CHF</w:t>
            </w:r>
          </w:p>
        </w:tc>
        <w:tc>
          <w:tcPr>
            <w:tcW w:w="1727" w:type="dxa"/>
            <w:shd w:val="clear" w:color="auto" w:fill="auto"/>
          </w:tcPr>
          <w:p w14:paraId="0DC4601B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2</w:t>
            </w:r>
          </w:p>
        </w:tc>
        <w:tc>
          <w:tcPr>
            <w:tcW w:w="5282" w:type="dxa"/>
            <w:shd w:val="clear" w:color="auto" w:fill="auto"/>
            <w:noWrap/>
            <w:hideMark/>
          </w:tcPr>
          <w:p w14:paraId="41A7A9C6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Télécom Développement</w:t>
            </w:r>
          </w:p>
        </w:tc>
        <w:tc>
          <w:tcPr>
            <w:tcW w:w="2017" w:type="dxa"/>
            <w:shd w:val="clear" w:color="auto" w:fill="auto"/>
            <w:noWrap/>
            <w:hideMark/>
          </w:tcPr>
          <w:p w14:paraId="5828F316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France</w:t>
            </w:r>
          </w:p>
        </w:tc>
        <w:tc>
          <w:tcPr>
            <w:tcW w:w="2834" w:type="dxa"/>
            <w:shd w:val="clear" w:color="auto" w:fill="auto"/>
          </w:tcPr>
          <w:p w14:paraId="36026AE2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</w:p>
        </w:tc>
      </w:tr>
      <w:tr w:rsidR="000C6719" w:rsidRPr="00F9201C" w14:paraId="1C750FF0" w14:textId="77777777" w:rsidTr="00F9201C">
        <w:trPr>
          <w:cantSplit/>
          <w:trHeight w:val="227"/>
        </w:trPr>
        <w:tc>
          <w:tcPr>
            <w:tcW w:w="1036" w:type="dxa"/>
            <w:shd w:val="clear" w:color="auto" w:fill="auto"/>
            <w:noWrap/>
            <w:hideMark/>
          </w:tcPr>
          <w:p w14:paraId="30D97FF5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200</w:t>
            </w:r>
            <w:r w:rsidR="00D706DB"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,</w:t>
            </w: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14:paraId="230E9E7E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CHF</w:t>
            </w:r>
          </w:p>
        </w:tc>
        <w:tc>
          <w:tcPr>
            <w:tcW w:w="1727" w:type="dxa"/>
            <w:shd w:val="clear" w:color="auto" w:fill="auto"/>
          </w:tcPr>
          <w:p w14:paraId="02E2FC01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2</w:t>
            </w:r>
          </w:p>
        </w:tc>
        <w:tc>
          <w:tcPr>
            <w:tcW w:w="5282" w:type="dxa"/>
            <w:shd w:val="clear" w:color="auto" w:fill="auto"/>
            <w:noWrap/>
            <w:hideMark/>
          </w:tcPr>
          <w:p w14:paraId="58EA56A1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s-ES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s-ES" w:eastAsia="zh-CN"/>
              </w:rPr>
              <w:t>Teléfonos de México S.A.B. de C.V.</w:t>
            </w:r>
          </w:p>
        </w:tc>
        <w:tc>
          <w:tcPr>
            <w:tcW w:w="2017" w:type="dxa"/>
            <w:shd w:val="clear" w:color="auto" w:fill="auto"/>
            <w:noWrap/>
            <w:hideMark/>
          </w:tcPr>
          <w:p w14:paraId="310A3509" w14:textId="526CB53B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Mexi</w:t>
            </w:r>
            <w:r w:rsidR="00DE4D3B"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que</w:t>
            </w:r>
          </w:p>
        </w:tc>
        <w:tc>
          <w:tcPr>
            <w:tcW w:w="2834" w:type="dxa"/>
            <w:shd w:val="clear" w:color="auto" w:fill="auto"/>
          </w:tcPr>
          <w:p w14:paraId="6FA15CE1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</w:p>
        </w:tc>
      </w:tr>
      <w:tr w:rsidR="000C6719" w:rsidRPr="00F9201C" w14:paraId="1DCA24B6" w14:textId="77777777" w:rsidTr="00F9201C">
        <w:trPr>
          <w:cantSplit/>
          <w:trHeight w:val="227"/>
        </w:trPr>
        <w:tc>
          <w:tcPr>
            <w:tcW w:w="1036" w:type="dxa"/>
            <w:shd w:val="clear" w:color="auto" w:fill="auto"/>
            <w:noWrap/>
            <w:hideMark/>
          </w:tcPr>
          <w:p w14:paraId="51F128C0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100</w:t>
            </w:r>
            <w:r w:rsidR="00D706DB"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,</w:t>
            </w: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14:paraId="2BB5414A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CHF</w:t>
            </w:r>
          </w:p>
        </w:tc>
        <w:tc>
          <w:tcPr>
            <w:tcW w:w="1727" w:type="dxa"/>
            <w:shd w:val="clear" w:color="auto" w:fill="auto"/>
          </w:tcPr>
          <w:p w14:paraId="6396912B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1</w:t>
            </w:r>
          </w:p>
        </w:tc>
        <w:tc>
          <w:tcPr>
            <w:tcW w:w="5282" w:type="dxa"/>
            <w:shd w:val="clear" w:color="auto" w:fill="auto"/>
            <w:noWrap/>
            <w:hideMark/>
          </w:tcPr>
          <w:p w14:paraId="224BFDEF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Bahrain Telecommunications Co - Batelco</w:t>
            </w:r>
          </w:p>
        </w:tc>
        <w:tc>
          <w:tcPr>
            <w:tcW w:w="2017" w:type="dxa"/>
            <w:shd w:val="clear" w:color="auto" w:fill="auto"/>
            <w:noWrap/>
            <w:hideMark/>
          </w:tcPr>
          <w:p w14:paraId="58596F19" w14:textId="2F718382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Bahr</w:t>
            </w:r>
            <w:r w:rsidR="00DE4D3B"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eïn</w:t>
            </w:r>
          </w:p>
        </w:tc>
        <w:tc>
          <w:tcPr>
            <w:tcW w:w="2834" w:type="dxa"/>
            <w:shd w:val="clear" w:color="auto" w:fill="auto"/>
          </w:tcPr>
          <w:p w14:paraId="7A07F18A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</w:p>
        </w:tc>
      </w:tr>
      <w:tr w:rsidR="000C6719" w:rsidRPr="00F9201C" w14:paraId="136D56D7" w14:textId="77777777" w:rsidTr="00F9201C">
        <w:trPr>
          <w:cantSplit/>
          <w:trHeight w:val="227"/>
        </w:trPr>
        <w:tc>
          <w:tcPr>
            <w:tcW w:w="1036" w:type="dxa"/>
            <w:shd w:val="clear" w:color="auto" w:fill="auto"/>
            <w:noWrap/>
            <w:hideMark/>
          </w:tcPr>
          <w:p w14:paraId="6EEF0B0B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100</w:t>
            </w:r>
            <w:r w:rsidR="00D706DB"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,</w:t>
            </w: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14:paraId="63879649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CHF</w:t>
            </w:r>
          </w:p>
        </w:tc>
        <w:tc>
          <w:tcPr>
            <w:tcW w:w="1727" w:type="dxa"/>
            <w:shd w:val="clear" w:color="auto" w:fill="auto"/>
          </w:tcPr>
          <w:p w14:paraId="639D60EF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1</w:t>
            </w:r>
          </w:p>
        </w:tc>
        <w:tc>
          <w:tcPr>
            <w:tcW w:w="5282" w:type="dxa"/>
            <w:shd w:val="clear" w:color="auto" w:fill="auto"/>
            <w:noWrap/>
            <w:hideMark/>
          </w:tcPr>
          <w:p w14:paraId="279C98AD" w14:textId="664CC3BF" w:rsidR="000C6719" w:rsidRPr="00F9201C" w:rsidRDefault="000C6719" w:rsidP="002748E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s-ES" w:eastAsia="zh-CN"/>
              </w:rPr>
              <w:t xml:space="preserve">Telecom Itália Móbile S.p.A. (TIM) </w:t>
            </w: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s-ES" w:eastAsia="zh-CN"/>
              </w:rPr>
              <w:br/>
              <w:t>(</w:t>
            </w:r>
            <w:r w:rsidR="002748EE"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s-ES" w:eastAsia="zh-CN"/>
              </w:rPr>
              <w:t>e</w:t>
            </w:r>
            <w:r w:rsidR="00DE4D3B"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s-ES" w:eastAsia="zh-CN"/>
              </w:rPr>
              <w:t xml:space="preserve">x. </w:t>
            </w: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INTELIG Telecomunicações Ltda.)</w:t>
            </w:r>
          </w:p>
        </w:tc>
        <w:tc>
          <w:tcPr>
            <w:tcW w:w="2017" w:type="dxa"/>
            <w:shd w:val="clear" w:color="auto" w:fill="auto"/>
            <w:noWrap/>
            <w:hideMark/>
          </w:tcPr>
          <w:p w14:paraId="3D99F53F" w14:textId="0AC216B1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Br</w:t>
            </w:r>
            <w:r w:rsidR="00DE4D3B"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ésil</w:t>
            </w:r>
          </w:p>
        </w:tc>
        <w:tc>
          <w:tcPr>
            <w:tcW w:w="2834" w:type="dxa"/>
            <w:shd w:val="clear" w:color="auto" w:fill="auto"/>
          </w:tcPr>
          <w:p w14:paraId="566247E7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</w:p>
        </w:tc>
      </w:tr>
      <w:tr w:rsidR="000C6719" w:rsidRPr="00F9201C" w14:paraId="30E98CB6" w14:textId="77777777" w:rsidTr="00F9201C">
        <w:trPr>
          <w:cantSplit/>
          <w:trHeight w:val="227"/>
        </w:trPr>
        <w:tc>
          <w:tcPr>
            <w:tcW w:w="1036" w:type="dxa"/>
            <w:shd w:val="clear" w:color="auto" w:fill="auto"/>
            <w:noWrap/>
            <w:hideMark/>
          </w:tcPr>
          <w:p w14:paraId="64A93B7D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100</w:t>
            </w:r>
            <w:r w:rsidR="00D706DB"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,</w:t>
            </w: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14:paraId="4B5C0BE4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CHF</w:t>
            </w:r>
          </w:p>
        </w:tc>
        <w:tc>
          <w:tcPr>
            <w:tcW w:w="1727" w:type="dxa"/>
            <w:shd w:val="clear" w:color="auto" w:fill="auto"/>
          </w:tcPr>
          <w:p w14:paraId="25410FBC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1</w:t>
            </w:r>
          </w:p>
        </w:tc>
        <w:tc>
          <w:tcPr>
            <w:tcW w:w="5282" w:type="dxa"/>
            <w:shd w:val="clear" w:color="auto" w:fill="auto"/>
            <w:noWrap/>
            <w:hideMark/>
          </w:tcPr>
          <w:p w14:paraId="4C0553F9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TelePassport AG</w:t>
            </w:r>
          </w:p>
        </w:tc>
        <w:tc>
          <w:tcPr>
            <w:tcW w:w="2017" w:type="dxa"/>
            <w:shd w:val="clear" w:color="auto" w:fill="auto"/>
            <w:noWrap/>
            <w:hideMark/>
          </w:tcPr>
          <w:p w14:paraId="03734589" w14:textId="52ED359A" w:rsidR="000C6719" w:rsidRPr="00F9201C" w:rsidRDefault="00DE4D3B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Allemagne</w:t>
            </w:r>
          </w:p>
        </w:tc>
        <w:tc>
          <w:tcPr>
            <w:tcW w:w="2834" w:type="dxa"/>
            <w:shd w:val="clear" w:color="auto" w:fill="auto"/>
          </w:tcPr>
          <w:p w14:paraId="783F5695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</w:p>
        </w:tc>
      </w:tr>
      <w:tr w:rsidR="000C6719" w:rsidRPr="00F9201C" w14:paraId="3B29C026" w14:textId="77777777" w:rsidTr="00F9201C">
        <w:trPr>
          <w:cantSplit/>
          <w:trHeight w:val="227"/>
        </w:trPr>
        <w:tc>
          <w:tcPr>
            <w:tcW w:w="1036" w:type="dxa"/>
            <w:shd w:val="clear" w:color="auto" w:fill="auto"/>
            <w:noWrap/>
            <w:hideMark/>
          </w:tcPr>
          <w:p w14:paraId="0AC80241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100</w:t>
            </w:r>
            <w:r w:rsidR="00D706DB"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,</w:t>
            </w: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14:paraId="360B2CD0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CHF</w:t>
            </w:r>
          </w:p>
        </w:tc>
        <w:tc>
          <w:tcPr>
            <w:tcW w:w="1727" w:type="dxa"/>
            <w:shd w:val="clear" w:color="auto" w:fill="auto"/>
          </w:tcPr>
          <w:p w14:paraId="65C3000D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1</w:t>
            </w:r>
          </w:p>
        </w:tc>
        <w:tc>
          <w:tcPr>
            <w:tcW w:w="5282" w:type="dxa"/>
            <w:shd w:val="clear" w:color="auto" w:fill="auto"/>
            <w:noWrap/>
            <w:hideMark/>
          </w:tcPr>
          <w:p w14:paraId="04E5E06C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s-ES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s-ES" w:eastAsia="zh-CN"/>
              </w:rPr>
              <w:t>Empresa Hondureña de Telecommunicaciones (HONDUTEL)</w:t>
            </w:r>
          </w:p>
        </w:tc>
        <w:tc>
          <w:tcPr>
            <w:tcW w:w="2017" w:type="dxa"/>
            <w:shd w:val="clear" w:color="auto" w:fill="auto"/>
            <w:noWrap/>
            <w:hideMark/>
          </w:tcPr>
          <w:p w14:paraId="01DF3FB8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Honduras</w:t>
            </w:r>
          </w:p>
        </w:tc>
        <w:tc>
          <w:tcPr>
            <w:tcW w:w="2834" w:type="dxa"/>
            <w:shd w:val="clear" w:color="auto" w:fill="auto"/>
          </w:tcPr>
          <w:p w14:paraId="6C9C16F6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</w:p>
        </w:tc>
      </w:tr>
      <w:tr w:rsidR="000C6719" w:rsidRPr="00F9201C" w14:paraId="139A73F3" w14:textId="77777777" w:rsidTr="00F9201C">
        <w:trPr>
          <w:cantSplit/>
          <w:trHeight w:val="227"/>
        </w:trPr>
        <w:tc>
          <w:tcPr>
            <w:tcW w:w="1036" w:type="dxa"/>
            <w:shd w:val="clear" w:color="auto" w:fill="auto"/>
            <w:noWrap/>
            <w:hideMark/>
          </w:tcPr>
          <w:p w14:paraId="4BBD480C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100</w:t>
            </w:r>
            <w:r w:rsidR="00D706DB"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,</w:t>
            </w: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14:paraId="3781D0D2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CHF</w:t>
            </w:r>
          </w:p>
        </w:tc>
        <w:tc>
          <w:tcPr>
            <w:tcW w:w="1727" w:type="dxa"/>
            <w:shd w:val="clear" w:color="auto" w:fill="auto"/>
          </w:tcPr>
          <w:p w14:paraId="0A34E7AD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1</w:t>
            </w:r>
          </w:p>
        </w:tc>
        <w:tc>
          <w:tcPr>
            <w:tcW w:w="5282" w:type="dxa"/>
            <w:shd w:val="clear" w:color="auto" w:fill="auto"/>
            <w:noWrap/>
            <w:hideMark/>
          </w:tcPr>
          <w:p w14:paraId="2AA89417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SIA LATTELEKOM</w:t>
            </w:r>
          </w:p>
        </w:tc>
        <w:tc>
          <w:tcPr>
            <w:tcW w:w="2017" w:type="dxa"/>
            <w:shd w:val="clear" w:color="auto" w:fill="auto"/>
            <w:noWrap/>
            <w:hideMark/>
          </w:tcPr>
          <w:p w14:paraId="204611B2" w14:textId="712E42B6" w:rsidR="000C6719" w:rsidRPr="00F9201C" w:rsidRDefault="00DE4D3B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Lettonie</w:t>
            </w:r>
          </w:p>
        </w:tc>
        <w:tc>
          <w:tcPr>
            <w:tcW w:w="2834" w:type="dxa"/>
            <w:shd w:val="clear" w:color="auto" w:fill="auto"/>
          </w:tcPr>
          <w:p w14:paraId="3B219D40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</w:p>
        </w:tc>
      </w:tr>
      <w:tr w:rsidR="000C6719" w:rsidRPr="00F9201C" w14:paraId="575C8701" w14:textId="77777777" w:rsidTr="00F9201C">
        <w:trPr>
          <w:cantSplit/>
          <w:trHeight w:val="227"/>
        </w:trPr>
        <w:tc>
          <w:tcPr>
            <w:tcW w:w="1036" w:type="dxa"/>
            <w:shd w:val="clear" w:color="auto" w:fill="auto"/>
            <w:noWrap/>
          </w:tcPr>
          <w:p w14:paraId="275EE0A2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100</w:t>
            </w:r>
            <w:r w:rsidR="00D706DB"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,</w:t>
            </w: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00</w:t>
            </w:r>
          </w:p>
        </w:tc>
        <w:tc>
          <w:tcPr>
            <w:tcW w:w="712" w:type="dxa"/>
            <w:shd w:val="clear" w:color="auto" w:fill="auto"/>
            <w:noWrap/>
          </w:tcPr>
          <w:p w14:paraId="7DDC78E5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CHF</w:t>
            </w:r>
          </w:p>
        </w:tc>
        <w:tc>
          <w:tcPr>
            <w:tcW w:w="1727" w:type="dxa"/>
            <w:shd w:val="clear" w:color="auto" w:fill="auto"/>
          </w:tcPr>
          <w:p w14:paraId="0E16E56D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1</w:t>
            </w:r>
          </w:p>
        </w:tc>
        <w:tc>
          <w:tcPr>
            <w:tcW w:w="5282" w:type="dxa"/>
            <w:shd w:val="clear" w:color="auto" w:fill="auto"/>
            <w:noWrap/>
          </w:tcPr>
          <w:p w14:paraId="1F6C405F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Vodafone New Zealand</w:t>
            </w:r>
          </w:p>
        </w:tc>
        <w:tc>
          <w:tcPr>
            <w:tcW w:w="2017" w:type="dxa"/>
            <w:shd w:val="clear" w:color="auto" w:fill="auto"/>
            <w:noWrap/>
          </w:tcPr>
          <w:p w14:paraId="16EE31B7" w14:textId="16C2444B" w:rsidR="000C6719" w:rsidRPr="00F9201C" w:rsidRDefault="00DE4D3B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Nouvelle-Zélande</w:t>
            </w:r>
          </w:p>
        </w:tc>
        <w:tc>
          <w:tcPr>
            <w:tcW w:w="2834" w:type="dxa"/>
            <w:shd w:val="clear" w:color="auto" w:fill="auto"/>
          </w:tcPr>
          <w:p w14:paraId="4AF5EB9B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</w:p>
        </w:tc>
      </w:tr>
      <w:tr w:rsidR="000C6719" w:rsidRPr="00F9201C" w14:paraId="6B94AA6C" w14:textId="77777777" w:rsidTr="00F9201C">
        <w:trPr>
          <w:cantSplit/>
          <w:trHeight w:val="227"/>
        </w:trPr>
        <w:tc>
          <w:tcPr>
            <w:tcW w:w="1036" w:type="dxa"/>
            <w:shd w:val="clear" w:color="auto" w:fill="auto"/>
            <w:noWrap/>
            <w:hideMark/>
          </w:tcPr>
          <w:p w14:paraId="13B40835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100</w:t>
            </w:r>
            <w:r w:rsidR="00D706DB"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,</w:t>
            </w: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14:paraId="7CABA0BB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CHF</w:t>
            </w:r>
          </w:p>
        </w:tc>
        <w:tc>
          <w:tcPr>
            <w:tcW w:w="1727" w:type="dxa"/>
            <w:shd w:val="clear" w:color="auto" w:fill="auto"/>
          </w:tcPr>
          <w:p w14:paraId="5F423113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1</w:t>
            </w:r>
          </w:p>
        </w:tc>
        <w:tc>
          <w:tcPr>
            <w:tcW w:w="5282" w:type="dxa"/>
            <w:shd w:val="clear" w:color="auto" w:fill="auto"/>
            <w:noWrap/>
            <w:hideMark/>
          </w:tcPr>
          <w:p w14:paraId="09618B95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Telecable de Asturias SA</w:t>
            </w:r>
          </w:p>
        </w:tc>
        <w:tc>
          <w:tcPr>
            <w:tcW w:w="2017" w:type="dxa"/>
            <w:shd w:val="clear" w:color="auto" w:fill="auto"/>
            <w:noWrap/>
            <w:hideMark/>
          </w:tcPr>
          <w:p w14:paraId="7E349942" w14:textId="35C2B49C" w:rsidR="000C6719" w:rsidRPr="00F9201C" w:rsidRDefault="00DE4D3B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Espagne</w:t>
            </w:r>
          </w:p>
        </w:tc>
        <w:tc>
          <w:tcPr>
            <w:tcW w:w="2834" w:type="dxa"/>
            <w:shd w:val="clear" w:color="auto" w:fill="auto"/>
          </w:tcPr>
          <w:p w14:paraId="42E879C7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</w:p>
        </w:tc>
      </w:tr>
      <w:tr w:rsidR="000C6719" w:rsidRPr="00F9201C" w14:paraId="7A3F2B78" w14:textId="77777777" w:rsidTr="00F9201C">
        <w:trPr>
          <w:cantSplit/>
          <w:trHeight w:val="227"/>
        </w:trPr>
        <w:tc>
          <w:tcPr>
            <w:tcW w:w="1036" w:type="dxa"/>
            <w:shd w:val="clear" w:color="auto" w:fill="auto"/>
            <w:noWrap/>
            <w:hideMark/>
          </w:tcPr>
          <w:p w14:paraId="415AD6FD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100</w:t>
            </w:r>
            <w:r w:rsidR="00D706DB"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,</w:t>
            </w: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14:paraId="54F67529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CHF</w:t>
            </w:r>
          </w:p>
        </w:tc>
        <w:tc>
          <w:tcPr>
            <w:tcW w:w="1727" w:type="dxa"/>
            <w:shd w:val="clear" w:color="auto" w:fill="auto"/>
          </w:tcPr>
          <w:p w14:paraId="0DF98A27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1</w:t>
            </w:r>
          </w:p>
        </w:tc>
        <w:tc>
          <w:tcPr>
            <w:tcW w:w="5282" w:type="dxa"/>
            <w:shd w:val="clear" w:color="auto" w:fill="auto"/>
            <w:noWrap/>
            <w:hideMark/>
          </w:tcPr>
          <w:p w14:paraId="3935AEFE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Unisource NV</w:t>
            </w:r>
          </w:p>
        </w:tc>
        <w:tc>
          <w:tcPr>
            <w:tcW w:w="2017" w:type="dxa"/>
            <w:shd w:val="clear" w:color="auto" w:fill="auto"/>
            <w:noWrap/>
            <w:hideMark/>
          </w:tcPr>
          <w:p w14:paraId="5B872249" w14:textId="09978377" w:rsidR="000C6719" w:rsidRPr="00F9201C" w:rsidRDefault="00DE4D3B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Suède</w:t>
            </w:r>
          </w:p>
        </w:tc>
        <w:tc>
          <w:tcPr>
            <w:tcW w:w="2834" w:type="dxa"/>
            <w:shd w:val="clear" w:color="auto" w:fill="auto"/>
          </w:tcPr>
          <w:p w14:paraId="6A3B2674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</w:p>
        </w:tc>
      </w:tr>
      <w:tr w:rsidR="000C6719" w:rsidRPr="00F9201C" w14:paraId="5E75A787" w14:textId="77777777" w:rsidTr="00F9201C">
        <w:trPr>
          <w:cantSplit/>
          <w:trHeight w:val="227"/>
        </w:trPr>
        <w:tc>
          <w:tcPr>
            <w:tcW w:w="1036" w:type="dxa"/>
            <w:shd w:val="clear" w:color="auto" w:fill="auto"/>
            <w:noWrap/>
            <w:hideMark/>
          </w:tcPr>
          <w:p w14:paraId="64739A0B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100</w:t>
            </w:r>
            <w:r w:rsidR="00D706DB"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,</w:t>
            </w: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00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14:paraId="41E99726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CHF</w:t>
            </w:r>
          </w:p>
        </w:tc>
        <w:tc>
          <w:tcPr>
            <w:tcW w:w="1727" w:type="dxa"/>
            <w:shd w:val="clear" w:color="auto" w:fill="auto"/>
          </w:tcPr>
          <w:p w14:paraId="39587003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1</w:t>
            </w:r>
          </w:p>
        </w:tc>
        <w:tc>
          <w:tcPr>
            <w:tcW w:w="5282" w:type="dxa"/>
            <w:shd w:val="clear" w:color="auto" w:fill="auto"/>
            <w:noWrap/>
            <w:hideMark/>
          </w:tcPr>
          <w:p w14:paraId="10CDE973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TeleForwarding USA Inc.</w:t>
            </w:r>
          </w:p>
        </w:tc>
        <w:tc>
          <w:tcPr>
            <w:tcW w:w="2017" w:type="dxa"/>
            <w:shd w:val="clear" w:color="auto" w:fill="auto"/>
            <w:noWrap/>
            <w:hideMark/>
          </w:tcPr>
          <w:p w14:paraId="4681A9C2" w14:textId="149B27F4" w:rsidR="000C6719" w:rsidRPr="00F9201C" w:rsidRDefault="00DE4D3B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États-Unis</w:t>
            </w:r>
          </w:p>
        </w:tc>
        <w:tc>
          <w:tcPr>
            <w:tcW w:w="2834" w:type="dxa"/>
            <w:shd w:val="clear" w:color="auto" w:fill="auto"/>
          </w:tcPr>
          <w:p w14:paraId="775A4E2A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outlineLvl w:val="2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val="fr-CH"/>
              </w:rPr>
            </w:pPr>
          </w:p>
        </w:tc>
      </w:tr>
      <w:tr w:rsidR="000C6719" w:rsidRPr="00F9201C" w14:paraId="05D0894B" w14:textId="77777777" w:rsidTr="00F9201C">
        <w:trPr>
          <w:cantSplit/>
          <w:trHeight w:val="227"/>
        </w:trPr>
        <w:tc>
          <w:tcPr>
            <w:tcW w:w="1036" w:type="dxa"/>
            <w:shd w:val="clear" w:color="auto" w:fill="auto"/>
          </w:tcPr>
          <w:p w14:paraId="62A8D310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14:paraId="01B5F1AC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-</w:t>
            </w:r>
          </w:p>
        </w:tc>
        <w:tc>
          <w:tcPr>
            <w:tcW w:w="1727" w:type="dxa"/>
            <w:shd w:val="clear" w:color="auto" w:fill="auto"/>
          </w:tcPr>
          <w:p w14:paraId="3C04F354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3</w:t>
            </w:r>
          </w:p>
        </w:tc>
        <w:tc>
          <w:tcPr>
            <w:tcW w:w="5282" w:type="dxa"/>
            <w:shd w:val="clear" w:color="auto" w:fill="auto"/>
            <w:noWrap/>
          </w:tcPr>
          <w:p w14:paraId="24F7BEED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IT-Austria GmbH</w:t>
            </w:r>
          </w:p>
        </w:tc>
        <w:tc>
          <w:tcPr>
            <w:tcW w:w="2017" w:type="dxa"/>
            <w:shd w:val="clear" w:color="auto" w:fill="auto"/>
            <w:noWrap/>
          </w:tcPr>
          <w:p w14:paraId="4F6459AC" w14:textId="1F586634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Au</w:t>
            </w:r>
            <w:r w:rsidR="00DE4D3B"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triche</w:t>
            </w:r>
          </w:p>
        </w:tc>
        <w:tc>
          <w:tcPr>
            <w:tcW w:w="2834" w:type="dxa"/>
            <w:shd w:val="clear" w:color="auto" w:fill="auto"/>
          </w:tcPr>
          <w:p w14:paraId="57D0F193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</w:p>
        </w:tc>
      </w:tr>
      <w:tr w:rsidR="000C6719" w:rsidRPr="00F9201C" w14:paraId="0C2933BC" w14:textId="77777777" w:rsidTr="00F9201C">
        <w:trPr>
          <w:cantSplit/>
          <w:trHeight w:val="227"/>
        </w:trPr>
        <w:tc>
          <w:tcPr>
            <w:tcW w:w="1036" w:type="dxa"/>
            <w:shd w:val="clear" w:color="auto" w:fill="auto"/>
          </w:tcPr>
          <w:p w14:paraId="2C2FC383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14:paraId="3F6C3415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-</w:t>
            </w:r>
          </w:p>
        </w:tc>
        <w:tc>
          <w:tcPr>
            <w:tcW w:w="1727" w:type="dxa"/>
            <w:shd w:val="clear" w:color="auto" w:fill="auto"/>
          </w:tcPr>
          <w:p w14:paraId="3516EC03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1</w:t>
            </w:r>
          </w:p>
        </w:tc>
        <w:tc>
          <w:tcPr>
            <w:tcW w:w="5282" w:type="dxa"/>
            <w:shd w:val="clear" w:color="auto" w:fill="auto"/>
            <w:noWrap/>
          </w:tcPr>
          <w:p w14:paraId="4B68F586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Interoute Belgium NV</w:t>
            </w:r>
          </w:p>
        </w:tc>
        <w:tc>
          <w:tcPr>
            <w:tcW w:w="2017" w:type="dxa"/>
            <w:shd w:val="clear" w:color="auto" w:fill="auto"/>
            <w:noWrap/>
          </w:tcPr>
          <w:p w14:paraId="149FE5A2" w14:textId="1D5592F6" w:rsidR="000C6719" w:rsidRPr="00F9201C" w:rsidRDefault="00DE4D3B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Belgique</w:t>
            </w:r>
          </w:p>
        </w:tc>
        <w:tc>
          <w:tcPr>
            <w:tcW w:w="2834" w:type="dxa"/>
            <w:shd w:val="clear" w:color="auto" w:fill="auto"/>
          </w:tcPr>
          <w:p w14:paraId="5539240F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</w:p>
        </w:tc>
      </w:tr>
      <w:tr w:rsidR="000C6719" w:rsidRPr="00F9201C" w14:paraId="448ED1DD" w14:textId="77777777" w:rsidTr="00F9201C">
        <w:trPr>
          <w:cantSplit/>
          <w:trHeight w:val="227"/>
        </w:trPr>
        <w:tc>
          <w:tcPr>
            <w:tcW w:w="1036" w:type="dxa"/>
            <w:shd w:val="clear" w:color="auto" w:fill="auto"/>
          </w:tcPr>
          <w:p w14:paraId="23B2766F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14:paraId="10765093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-</w:t>
            </w:r>
          </w:p>
        </w:tc>
        <w:tc>
          <w:tcPr>
            <w:tcW w:w="1727" w:type="dxa"/>
            <w:shd w:val="clear" w:color="auto" w:fill="auto"/>
          </w:tcPr>
          <w:p w14:paraId="25FDDF7C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1</w:t>
            </w:r>
          </w:p>
        </w:tc>
        <w:tc>
          <w:tcPr>
            <w:tcW w:w="5282" w:type="dxa"/>
            <w:shd w:val="clear" w:color="auto" w:fill="auto"/>
            <w:noWrap/>
          </w:tcPr>
          <w:p w14:paraId="177367D9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s-ES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s-ES" w:eastAsia="zh-CN"/>
              </w:rPr>
              <w:t>AES Comunicaciónes Bolivia S.A.</w:t>
            </w:r>
          </w:p>
        </w:tc>
        <w:tc>
          <w:tcPr>
            <w:tcW w:w="2017" w:type="dxa"/>
            <w:shd w:val="clear" w:color="auto" w:fill="auto"/>
            <w:noWrap/>
          </w:tcPr>
          <w:p w14:paraId="4163B477" w14:textId="76F3B870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Bolivi</w:t>
            </w:r>
            <w:r w:rsidR="00DE4D3B"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e</w:t>
            </w:r>
          </w:p>
        </w:tc>
        <w:tc>
          <w:tcPr>
            <w:tcW w:w="2834" w:type="dxa"/>
            <w:shd w:val="clear" w:color="auto" w:fill="auto"/>
          </w:tcPr>
          <w:p w14:paraId="290F21C2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</w:p>
        </w:tc>
      </w:tr>
      <w:tr w:rsidR="000C6719" w:rsidRPr="00F9201C" w14:paraId="57142C64" w14:textId="77777777" w:rsidTr="00F9201C">
        <w:trPr>
          <w:cantSplit/>
          <w:trHeight w:val="227"/>
        </w:trPr>
        <w:tc>
          <w:tcPr>
            <w:tcW w:w="1036" w:type="dxa"/>
            <w:shd w:val="clear" w:color="auto" w:fill="auto"/>
          </w:tcPr>
          <w:p w14:paraId="3615E294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14:paraId="00A212B3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-</w:t>
            </w:r>
          </w:p>
        </w:tc>
        <w:tc>
          <w:tcPr>
            <w:tcW w:w="1727" w:type="dxa"/>
            <w:shd w:val="clear" w:color="auto" w:fill="auto"/>
          </w:tcPr>
          <w:p w14:paraId="64B402B7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2</w:t>
            </w:r>
          </w:p>
        </w:tc>
        <w:tc>
          <w:tcPr>
            <w:tcW w:w="5282" w:type="dxa"/>
            <w:shd w:val="clear" w:color="auto" w:fill="auto"/>
            <w:noWrap/>
          </w:tcPr>
          <w:p w14:paraId="68D90E55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BellSouth Chile</w:t>
            </w:r>
          </w:p>
        </w:tc>
        <w:tc>
          <w:tcPr>
            <w:tcW w:w="2017" w:type="dxa"/>
            <w:shd w:val="clear" w:color="auto" w:fill="auto"/>
            <w:noWrap/>
          </w:tcPr>
          <w:p w14:paraId="6A07AEBD" w14:textId="7EF78F0E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Chil</w:t>
            </w:r>
            <w:r w:rsidR="00DE4D3B"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i</w:t>
            </w:r>
          </w:p>
        </w:tc>
        <w:tc>
          <w:tcPr>
            <w:tcW w:w="2834" w:type="dxa"/>
            <w:shd w:val="clear" w:color="auto" w:fill="auto"/>
          </w:tcPr>
          <w:p w14:paraId="43C77D06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</w:p>
        </w:tc>
      </w:tr>
      <w:tr w:rsidR="000C6719" w:rsidRPr="00F9201C" w14:paraId="38817B5B" w14:textId="77777777" w:rsidTr="00F9201C">
        <w:trPr>
          <w:cantSplit/>
          <w:trHeight w:val="227"/>
        </w:trPr>
        <w:tc>
          <w:tcPr>
            <w:tcW w:w="1036" w:type="dxa"/>
            <w:shd w:val="clear" w:color="auto" w:fill="auto"/>
          </w:tcPr>
          <w:p w14:paraId="3BF7D0AB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14:paraId="2D0D0FE2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-</w:t>
            </w:r>
          </w:p>
        </w:tc>
        <w:tc>
          <w:tcPr>
            <w:tcW w:w="1727" w:type="dxa"/>
            <w:shd w:val="clear" w:color="auto" w:fill="auto"/>
          </w:tcPr>
          <w:p w14:paraId="692709D2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1</w:t>
            </w:r>
          </w:p>
        </w:tc>
        <w:tc>
          <w:tcPr>
            <w:tcW w:w="5282" w:type="dxa"/>
            <w:shd w:val="clear" w:color="auto" w:fill="auto"/>
            <w:noWrap/>
          </w:tcPr>
          <w:p w14:paraId="19B0AA63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s-ES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s-ES" w:eastAsia="zh-CN"/>
              </w:rPr>
              <w:t>Compañia de Telecomunicaciones de El Salvador, S.A. de C.V.</w:t>
            </w:r>
          </w:p>
        </w:tc>
        <w:tc>
          <w:tcPr>
            <w:tcW w:w="2017" w:type="dxa"/>
            <w:shd w:val="clear" w:color="auto" w:fill="auto"/>
            <w:noWrap/>
          </w:tcPr>
          <w:p w14:paraId="29855D6D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El Salvador</w:t>
            </w:r>
          </w:p>
        </w:tc>
        <w:tc>
          <w:tcPr>
            <w:tcW w:w="2834" w:type="dxa"/>
            <w:shd w:val="clear" w:color="auto" w:fill="auto"/>
          </w:tcPr>
          <w:p w14:paraId="7C5DE0AE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</w:p>
        </w:tc>
      </w:tr>
      <w:tr w:rsidR="000C6719" w:rsidRPr="00F9201C" w14:paraId="0A4B88E4" w14:textId="77777777" w:rsidTr="00F9201C">
        <w:trPr>
          <w:cantSplit/>
          <w:trHeight w:val="227"/>
        </w:trPr>
        <w:tc>
          <w:tcPr>
            <w:tcW w:w="1036" w:type="dxa"/>
            <w:shd w:val="clear" w:color="auto" w:fill="auto"/>
          </w:tcPr>
          <w:p w14:paraId="5A662D8B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14:paraId="1CEE2562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-</w:t>
            </w:r>
          </w:p>
        </w:tc>
        <w:tc>
          <w:tcPr>
            <w:tcW w:w="1727" w:type="dxa"/>
            <w:shd w:val="clear" w:color="auto" w:fill="auto"/>
          </w:tcPr>
          <w:p w14:paraId="771CEC0D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1</w:t>
            </w:r>
          </w:p>
        </w:tc>
        <w:tc>
          <w:tcPr>
            <w:tcW w:w="5282" w:type="dxa"/>
            <w:shd w:val="clear" w:color="auto" w:fill="auto"/>
            <w:noWrap/>
          </w:tcPr>
          <w:p w14:paraId="2B98AB8E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HanseNet Telekommunikation GmbH</w:t>
            </w:r>
          </w:p>
        </w:tc>
        <w:tc>
          <w:tcPr>
            <w:tcW w:w="2017" w:type="dxa"/>
            <w:shd w:val="clear" w:color="auto" w:fill="auto"/>
            <w:noWrap/>
          </w:tcPr>
          <w:p w14:paraId="1AFA31BE" w14:textId="7A37FB5A" w:rsidR="000C6719" w:rsidRPr="00F9201C" w:rsidRDefault="00DE4D3B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 xml:space="preserve">Allemagne </w:t>
            </w:r>
          </w:p>
        </w:tc>
        <w:tc>
          <w:tcPr>
            <w:tcW w:w="2834" w:type="dxa"/>
            <w:shd w:val="clear" w:color="auto" w:fill="auto"/>
          </w:tcPr>
          <w:p w14:paraId="0B53009F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</w:p>
        </w:tc>
      </w:tr>
      <w:tr w:rsidR="000C6719" w:rsidRPr="00F9201C" w14:paraId="57B6F4CB" w14:textId="77777777" w:rsidTr="00F9201C">
        <w:trPr>
          <w:cantSplit/>
          <w:trHeight w:val="227"/>
        </w:trPr>
        <w:tc>
          <w:tcPr>
            <w:tcW w:w="1036" w:type="dxa"/>
            <w:shd w:val="clear" w:color="auto" w:fill="auto"/>
          </w:tcPr>
          <w:p w14:paraId="0ECF3DFD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14:paraId="3F89DE5D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-</w:t>
            </w:r>
          </w:p>
        </w:tc>
        <w:tc>
          <w:tcPr>
            <w:tcW w:w="1727" w:type="dxa"/>
            <w:shd w:val="clear" w:color="auto" w:fill="auto"/>
          </w:tcPr>
          <w:p w14:paraId="27246C41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2</w:t>
            </w:r>
          </w:p>
        </w:tc>
        <w:tc>
          <w:tcPr>
            <w:tcW w:w="5282" w:type="dxa"/>
            <w:shd w:val="clear" w:color="auto" w:fill="auto"/>
            <w:noWrap/>
          </w:tcPr>
          <w:p w14:paraId="3B59C49E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Netzquadrat GmbH</w:t>
            </w:r>
          </w:p>
        </w:tc>
        <w:tc>
          <w:tcPr>
            <w:tcW w:w="2017" w:type="dxa"/>
            <w:shd w:val="clear" w:color="auto" w:fill="auto"/>
            <w:noWrap/>
          </w:tcPr>
          <w:p w14:paraId="7DD8B46A" w14:textId="50B2A1DB" w:rsidR="000C6719" w:rsidRPr="00F9201C" w:rsidRDefault="00DE4D3B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 xml:space="preserve">Allemagne </w:t>
            </w:r>
          </w:p>
        </w:tc>
        <w:tc>
          <w:tcPr>
            <w:tcW w:w="2834" w:type="dxa"/>
            <w:shd w:val="clear" w:color="auto" w:fill="auto"/>
          </w:tcPr>
          <w:p w14:paraId="7D8E5099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</w:p>
        </w:tc>
      </w:tr>
      <w:tr w:rsidR="000C6719" w:rsidRPr="00F9201C" w14:paraId="657FB746" w14:textId="77777777" w:rsidTr="00F9201C">
        <w:trPr>
          <w:cantSplit/>
          <w:trHeight w:val="227"/>
        </w:trPr>
        <w:tc>
          <w:tcPr>
            <w:tcW w:w="1036" w:type="dxa"/>
            <w:shd w:val="clear" w:color="auto" w:fill="auto"/>
          </w:tcPr>
          <w:p w14:paraId="20D9E94A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14:paraId="62D771AE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-</w:t>
            </w:r>
          </w:p>
        </w:tc>
        <w:tc>
          <w:tcPr>
            <w:tcW w:w="1727" w:type="dxa"/>
            <w:shd w:val="clear" w:color="auto" w:fill="auto"/>
          </w:tcPr>
          <w:p w14:paraId="7E310A15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2</w:t>
            </w:r>
          </w:p>
        </w:tc>
        <w:tc>
          <w:tcPr>
            <w:tcW w:w="5282" w:type="dxa"/>
            <w:shd w:val="clear" w:color="auto" w:fill="auto"/>
            <w:noWrap/>
          </w:tcPr>
          <w:p w14:paraId="3A5CBAB8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Infostrada S.p.A.</w:t>
            </w:r>
          </w:p>
        </w:tc>
        <w:tc>
          <w:tcPr>
            <w:tcW w:w="2017" w:type="dxa"/>
            <w:shd w:val="clear" w:color="auto" w:fill="auto"/>
            <w:noWrap/>
          </w:tcPr>
          <w:p w14:paraId="1273FEB0" w14:textId="6FF839A1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Ital</w:t>
            </w:r>
            <w:r w:rsidR="00DE4D3B"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ie</w:t>
            </w:r>
          </w:p>
        </w:tc>
        <w:tc>
          <w:tcPr>
            <w:tcW w:w="2834" w:type="dxa"/>
            <w:shd w:val="clear" w:color="auto" w:fill="auto"/>
          </w:tcPr>
          <w:p w14:paraId="06FE5140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</w:p>
        </w:tc>
      </w:tr>
      <w:tr w:rsidR="000C6719" w:rsidRPr="00F9201C" w14:paraId="0575AB8C" w14:textId="77777777" w:rsidTr="00F9201C">
        <w:trPr>
          <w:cantSplit/>
          <w:trHeight w:val="227"/>
        </w:trPr>
        <w:tc>
          <w:tcPr>
            <w:tcW w:w="1036" w:type="dxa"/>
            <w:shd w:val="clear" w:color="auto" w:fill="auto"/>
          </w:tcPr>
          <w:p w14:paraId="6FA6ED04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14:paraId="71DFA491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-</w:t>
            </w:r>
          </w:p>
        </w:tc>
        <w:tc>
          <w:tcPr>
            <w:tcW w:w="1727" w:type="dxa"/>
            <w:shd w:val="clear" w:color="auto" w:fill="auto"/>
          </w:tcPr>
          <w:p w14:paraId="2BB94118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4</w:t>
            </w:r>
          </w:p>
        </w:tc>
        <w:tc>
          <w:tcPr>
            <w:tcW w:w="5282" w:type="dxa"/>
            <w:shd w:val="clear" w:color="auto" w:fill="auto"/>
            <w:noWrap/>
          </w:tcPr>
          <w:p w14:paraId="7D02F747" w14:textId="2B8D40CF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GTS Nextra (</w:t>
            </w:r>
            <w:r w:rsidR="00CF5186"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 xml:space="preserve">aujourd'hui </w:t>
            </w: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SWAN)</w:t>
            </w:r>
          </w:p>
        </w:tc>
        <w:tc>
          <w:tcPr>
            <w:tcW w:w="2017" w:type="dxa"/>
            <w:shd w:val="clear" w:color="auto" w:fill="auto"/>
            <w:noWrap/>
          </w:tcPr>
          <w:p w14:paraId="75D55C85" w14:textId="2ADCB5D0" w:rsidR="000C6719" w:rsidRPr="00F9201C" w:rsidRDefault="00DE4D3B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Slovaquie</w:t>
            </w:r>
          </w:p>
        </w:tc>
        <w:tc>
          <w:tcPr>
            <w:tcW w:w="2834" w:type="dxa"/>
            <w:shd w:val="clear" w:color="auto" w:fill="auto"/>
          </w:tcPr>
          <w:p w14:paraId="154B52BB" w14:textId="6CA1B6DF" w:rsidR="000C6719" w:rsidRPr="00F9201C" w:rsidRDefault="00307BD3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  <w:lang w:val="fr-CH" w:eastAsia="zh-CN"/>
              </w:rPr>
              <w:t>Dans l'attente de la confirmation de</w:t>
            </w:r>
            <w:r w:rsidR="000C6719" w:rsidRPr="00F9201C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  <w:lang w:val="fr-CH" w:eastAsia="zh-CN"/>
              </w:rPr>
              <w:t xml:space="preserve"> SWAN </w:t>
            </w:r>
            <w:r w:rsidR="00CF5186" w:rsidRPr="00F9201C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  <w:lang w:val="fr-CH" w:eastAsia="zh-CN"/>
              </w:rPr>
              <w:t>concernant</w:t>
            </w:r>
            <w:r w:rsidRPr="00F9201C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  <w:lang w:val="fr-CH" w:eastAsia="zh-CN"/>
              </w:rPr>
              <w:t xml:space="preserve"> les numéros UIFN.</w:t>
            </w:r>
          </w:p>
          <w:p w14:paraId="05B17F84" w14:textId="15875D9B" w:rsidR="000C6719" w:rsidRPr="00F9201C" w:rsidRDefault="00307BD3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 xml:space="preserve">Les </w:t>
            </w:r>
            <w:r w:rsidR="000C6719"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 xml:space="preserve">4 </w:t>
            </w: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numéros UIFN fonctionnent</w:t>
            </w:r>
            <w:r w:rsidR="000C6719"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.</w:t>
            </w:r>
          </w:p>
        </w:tc>
      </w:tr>
      <w:tr w:rsidR="000C6719" w:rsidRPr="00F9201C" w14:paraId="3D3153F9" w14:textId="77777777" w:rsidTr="00F9201C">
        <w:trPr>
          <w:cantSplit/>
          <w:trHeight w:val="227"/>
        </w:trPr>
        <w:tc>
          <w:tcPr>
            <w:tcW w:w="1036" w:type="dxa"/>
            <w:shd w:val="clear" w:color="auto" w:fill="auto"/>
          </w:tcPr>
          <w:p w14:paraId="0E42BD01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-</w:t>
            </w:r>
          </w:p>
        </w:tc>
        <w:tc>
          <w:tcPr>
            <w:tcW w:w="712" w:type="dxa"/>
            <w:shd w:val="clear" w:color="auto" w:fill="auto"/>
          </w:tcPr>
          <w:p w14:paraId="31598A1C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-</w:t>
            </w:r>
          </w:p>
        </w:tc>
        <w:tc>
          <w:tcPr>
            <w:tcW w:w="1727" w:type="dxa"/>
            <w:shd w:val="clear" w:color="auto" w:fill="auto"/>
          </w:tcPr>
          <w:p w14:paraId="5314173B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9</w:t>
            </w:r>
          </w:p>
        </w:tc>
        <w:tc>
          <w:tcPr>
            <w:tcW w:w="5282" w:type="dxa"/>
            <w:shd w:val="clear" w:color="auto" w:fill="auto"/>
            <w:noWrap/>
            <w:hideMark/>
          </w:tcPr>
          <w:p w14:paraId="44CC2214" w14:textId="0AEE52DB" w:rsidR="000C6719" w:rsidRPr="00F9201C" w:rsidRDefault="000C6719" w:rsidP="003860B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 w:eastAsia="zh-CN"/>
              </w:rPr>
              <w:t>Inclarity PLC (</w:t>
            </w:r>
            <w:r w:rsidR="003860BE"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 w:eastAsia="zh-CN"/>
              </w:rPr>
              <w:t>e</w:t>
            </w:r>
            <w:r w:rsidR="00DE4D3B"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 w:eastAsia="zh-CN"/>
              </w:rPr>
              <w:t>x.</w:t>
            </w: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 w:eastAsia="zh-CN"/>
              </w:rPr>
              <w:t xml:space="preserve"> ABS Telecom plc)</w:t>
            </w:r>
          </w:p>
        </w:tc>
        <w:tc>
          <w:tcPr>
            <w:tcW w:w="2017" w:type="dxa"/>
            <w:shd w:val="clear" w:color="auto" w:fill="auto"/>
            <w:noWrap/>
            <w:hideMark/>
          </w:tcPr>
          <w:p w14:paraId="66442577" w14:textId="076B0248" w:rsidR="000C6719" w:rsidRPr="00F9201C" w:rsidRDefault="00DE4D3B" w:rsidP="00F9201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after="20"/>
              <w:textAlignment w:val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  <w:r w:rsidRPr="00F9201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  <w:t>Royaume-Uni</w:t>
            </w:r>
          </w:p>
        </w:tc>
        <w:tc>
          <w:tcPr>
            <w:tcW w:w="2834" w:type="dxa"/>
            <w:shd w:val="clear" w:color="auto" w:fill="auto"/>
          </w:tcPr>
          <w:p w14:paraId="5F5E3C04" w14:textId="77777777" w:rsidR="000C6719" w:rsidRPr="00F9201C" w:rsidRDefault="000C6719" w:rsidP="00B72E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fr-CH" w:eastAsia="zh-CN"/>
              </w:rPr>
            </w:pPr>
          </w:p>
        </w:tc>
      </w:tr>
    </w:tbl>
    <w:p w14:paraId="3EAD8807" w14:textId="34324DF9" w:rsidR="00F975BD" w:rsidRPr="00C854AD" w:rsidRDefault="000C6719" w:rsidP="00F9201C">
      <w:pPr>
        <w:rPr>
          <w:lang w:val="fr-CH"/>
        </w:rPr>
      </w:pPr>
      <w:r w:rsidRPr="00C854AD">
        <w:rPr>
          <w:sz w:val="20"/>
          <w:lang w:val="fr-CH"/>
        </w:rPr>
        <w:t xml:space="preserve">Note: </w:t>
      </w:r>
      <w:r w:rsidR="00C823FB" w:rsidRPr="00C854AD">
        <w:rPr>
          <w:sz w:val="20"/>
          <w:lang w:val="fr-CH"/>
        </w:rPr>
        <w:t>"</w:t>
      </w:r>
      <w:r w:rsidRPr="00C854AD">
        <w:rPr>
          <w:sz w:val="20"/>
          <w:lang w:val="fr-CH"/>
        </w:rPr>
        <w:t>-</w:t>
      </w:r>
      <w:r w:rsidR="00C823FB" w:rsidRPr="00C854AD">
        <w:rPr>
          <w:sz w:val="20"/>
          <w:lang w:val="fr-CH"/>
        </w:rPr>
        <w:t>"</w:t>
      </w:r>
      <w:r w:rsidRPr="00C854AD">
        <w:rPr>
          <w:sz w:val="20"/>
          <w:lang w:val="fr-CH"/>
        </w:rPr>
        <w:t xml:space="preserve"> </w:t>
      </w:r>
      <w:r w:rsidR="002B51A5" w:rsidRPr="003607BA">
        <w:rPr>
          <w:sz w:val="20"/>
          <w:lang w:val="fr-CH"/>
        </w:rPr>
        <w:t>indique qu'aucune facture n'a été envoy</w:t>
      </w:r>
      <w:r w:rsidR="00CF5186">
        <w:rPr>
          <w:sz w:val="20"/>
          <w:lang w:val="fr-CH"/>
        </w:rPr>
        <w:t>ée et que des renseignements com</w:t>
      </w:r>
      <w:r w:rsidR="002B51A5" w:rsidRPr="003607BA">
        <w:rPr>
          <w:sz w:val="20"/>
          <w:lang w:val="fr-CH"/>
        </w:rPr>
        <w:t xml:space="preserve">plémentaires </w:t>
      </w:r>
      <w:r w:rsidR="00CF5186">
        <w:rPr>
          <w:sz w:val="20"/>
          <w:lang w:val="fr-CH"/>
        </w:rPr>
        <w:t xml:space="preserve">ont été demandés </w:t>
      </w:r>
      <w:r w:rsidR="002B51A5" w:rsidRPr="003607BA">
        <w:rPr>
          <w:sz w:val="20"/>
          <w:lang w:val="fr-CH"/>
        </w:rPr>
        <w:t>au moment d</w:t>
      </w:r>
      <w:r w:rsidR="00CF5186">
        <w:rPr>
          <w:sz w:val="20"/>
          <w:lang w:val="fr-CH"/>
        </w:rPr>
        <w:t>e la facturation</w:t>
      </w:r>
      <w:r w:rsidRPr="00C854AD">
        <w:rPr>
          <w:sz w:val="20"/>
          <w:lang w:val="fr-CH"/>
        </w:rPr>
        <w:t>.</w:t>
      </w:r>
    </w:p>
    <w:sectPr w:rsidR="00F975BD" w:rsidRPr="00C854AD" w:rsidSect="00F9201C">
      <w:pgSz w:w="16840" w:h="11907" w:orient="landscape" w:code="9"/>
      <w:pgMar w:top="1077" w:right="1418" w:bottom="907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A5820E" w14:textId="77777777" w:rsidR="00651840" w:rsidRDefault="00651840">
      <w:r>
        <w:separator/>
      </w:r>
    </w:p>
  </w:endnote>
  <w:endnote w:type="continuationSeparator" w:id="0">
    <w:p w14:paraId="0332295E" w14:textId="77777777" w:rsidR="00651840" w:rsidRDefault="00651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68D77" w14:textId="082E81C1" w:rsidR="00651840" w:rsidRDefault="00651840">
    <w:pPr>
      <w:pStyle w:val="Footer"/>
    </w:pPr>
    <w:fldSimple w:instr=" FILENAME \p \* MERGEFORMAT ">
      <w:r>
        <w:t>P:\FRA\SG\CONSEIL\C19\000\047F.docx</w:t>
      </w:r>
    </w:fldSimple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08.05.19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08.05.19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B14F0" w14:textId="11EDDFA0" w:rsidR="00651840" w:rsidRPr="00F9201C" w:rsidRDefault="00651840" w:rsidP="0010364F">
    <w:pPr>
      <w:pStyle w:val="Footer"/>
      <w:rPr>
        <w:color w:val="D9D9D9" w:themeColor="background1" w:themeShade="D9"/>
        <w:lang w:val="fr-CH"/>
      </w:rPr>
    </w:pPr>
    <w:r w:rsidRPr="00F9201C">
      <w:rPr>
        <w:color w:val="D9D9D9" w:themeColor="background1" w:themeShade="D9"/>
      </w:rPr>
      <w:fldChar w:fldCharType="begin"/>
    </w:r>
    <w:r w:rsidRPr="00F9201C">
      <w:rPr>
        <w:color w:val="D9D9D9" w:themeColor="background1" w:themeShade="D9"/>
        <w:lang w:val="fr-CH"/>
      </w:rPr>
      <w:instrText xml:space="preserve"> FILENAME \p \* MERGEFORMAT </w:instrText>
    </w:r>
    <w:r w:rsidRPr="00F9201C">
      <w:rPr>
        <w:color w:val="D9D9D9" w:themeColor="background1" w:themeShade="D9"/>
      </w:rPr>
      <w:fldChar w:fldCharType="separate"/>
    </w:r>
    <w:r w:rsidRPr="00F9201C">
      <w:rPr>
        <w:color w:val="D9D9D9" w:themeColor="background1" w:themeShade="D9"/>
        <w:lang w:val="fr-CH"/>
      </w:rPr>
      <w:t>P:\FRA\SG\CONSEIL\C19\000\047F.docx</w:t>
    </w:r>
    <w:r w:rsidRPr="00F9201C">
      <w:rPr>
        <w:color w:val="D9D9D9" w:themeColor="background1" w:themeShade="D9"/>
      </w:rPr>
      <w:fldChar w:fldCharType="end"/>
    </w:r>
    <w:r w:rsidRPr="00F9201C">
      <w:rPr>
        <w:color w:val="D9D9D9" w:themeColor="background1" w:themeShade="D9"/>
        <w:lang w:val="fr-CH"/>
      </w:rPr>
      <w:t xml:space="preserve"> (450270)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354A0" w14:textId="79794620" w:rsidR="00651840" w:rsidRPr="00325866" w:rsidRDefault="00651840" w:rsidP="00325866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5A3E10" w14:textId="77777777" w:rsidR="00651840" w:rsidRDefault="00651840">
      <w:r>
        <w:t>____________________</w:t>
      </w:r>
    </w:p>
  </w:footnote>
  <w:footnote w:type="continuationSeparator" w:id="0">
    <w:p w14:paraId="0703DC5B" w14:textId="77777777" w:rsidR="00651840" w:rsidRDefault="00651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5A16A" w14:textId="77777777" w:rsidR="00651840" w:rsidRDefault="00651840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-</w:t>
    </w:r>
  </w:p>
  <w:p w14:paraId="48EE1D2C" w14:textId="77777777" w:rsidR="00651840" w:rsidRDefault="00651840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1C1DE" w14:textId="77777777" w:rsidR="00651840" w:rsidRDefault="00651840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F9201C">
      <w:rPr>
        <w:noProof/>
      </w:rPr>
      <w:t>2</w:t>
    </w:r>
    <w:r>
      <w:rPr>
        <w:noProof/>
      </w:rPr>
      <w:fldChar w:fldCharType="end"/>
    </w:r>
  </w:p>
  <w:p w14:paraId="77E7162C" w14:textId="6D9968D5" w:rsidR="00651840" w:rsidRDefault="00651840" w:rsidP="000C6719">
    <w:pPr>
      <w:pStyle w:val="Header"/>
    </w:pPr>
    <w:r>
      <w:t>C19/47-F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1AB"/>
    <w:rsid w:val="000055A2"/>
    <w:rsid w:val="0002014A"/>
    <w:rsid w:val="00035A2D"/>
    <w:rsid w:val="00065AA9"/>
    <w:rsid w:val="000718E9"/>
    <w:rsid w:val="0007640D"/>
    <w:rsid w:val="00080036"/>
    <w:rsid w:val="00090EEB"/>
    <w:rsid w:val="00097FB9"/>
    <w:rsid w:val="000B594C"/>
    <w:rsid w:val="000B6970"/>
    <w:rsid w:val="000C6719"/>
    <w:rsid w:val="000D0D0A"/>
    <w:rsid w:val="000D5D13"/>
    <w:rsid w:val="000D63A0"/>
    <w:rsid w:val="000E327D"/>
    <w:rsid w:val="000E3B9C"/>
    <w:rsid w:val="00103163"/>
    <w:rsid w:val="0010364F"/>
    <w:rsid w:val="00106B19"/>
    <w:rsid w:val="00112C33"/>
    <w:rsid w:val="0011328E"/>
    <w:rsid w:val="00115D93"/>
    <w:rsid w:val="00120A48"/>
    <w:rsid w:val="001247A8"/>
    <w:rsid w:val="001378C0"/>
    <w:rsid w:val="0013790C"/>
    <w:rsid w:val="00137E28"/>
    <w:rsid w:val="00152D0A"/>
    <w:rsid w:val="0015597E"/>
    <w:rsid w:val="00177B87"/>
    <w:rsid w:val="0018092A"/>
    <w:rsid w:val="0018694A"/>
    <w:rsid w:val="00197C47"/>
    <w:rsid w:val="001A24AF"/>
    <w:rsid w:val="001A3287"/>
    <w:rsid w:val="001A6508"/>
    <w:rsid w:val="001B1C15"/>
    <w:rsid w:val="001C4DDA"/>
    <w:rsid w:val="001D4C31"/>
    <w:rsid w:val="001D5A02"/>
    <w:rsid w:val="001D7CC0"/>
    <w:rsid w:val="001E4D21"/>
    <w:rsid w:val="001F0AE2"/>
    <w:rsid w:val="001F4BB4"/>
    <w:rsid w:val="002079DB"/>
    <w:rsid w:val="00207CD1"/>
    <w:rsid w:val="00232B51"/>
    <w:rsid w:val="00233639"/>
    <w:rsid w:val="002477A2"/>
    <w:rsid w:val="00252625"/>
    <w:rsid w:val="00254ADD"/>
    <w:rsid w:val="00263A51"/>
    <w:rsid w:val="00267E02"/>
    <w:rsid w:val="002703C5"/>
    <w:rsid w:val="002748EE"/>
    <w:rsid w:val="002A5D44"/>
    <w:rsid w:val="002A6518"/>
    <w:rsid w:val="002B51A5"/>
    <w:rsid w:val="002C2712"/>
    <w:rsid w:val="002E0BC4"/>
    <w:rsid w:val="002F1B76"/>
    <w:rsid w:val="00301959"/>
    <w:rsid w:val="00304969"/>
    <w:rsid w:val="0030633D"/>
    <w:rsid w:val="003072E0"/>
    <w:rsid w:val="00307BD3"/>
    <w:rsid w:val="00320FF3"/>
    <w:rsid w:val="00325866"/>
    <w:rsid w:val="0033568E"/>
    <w:rsid w:val="0034164F"/>
    <w:rsid w:val="003447EF"/>
    <w:rsid w:val="00355FF5"/>
    <w:rsid w:val="003607BA"/>
    <w:rsid w:val="00361350"/>
    <w:rsid w:val="003860BE"/>
    <w:rsid w:val="003863F5"/>
    <w:rsid w:val="003904FD"/>
    <w:rsid w:val="003B3683"/>
    <w:rsid w:val="003C3FAE"/>
    <w:rsid w:val="003C524F"/>
    <w:rsid w:val="003C6D65"/>
    <w:rsid w:val="003F6D75"/>
    <w:rsid w:val="004038CB"/>
    <w:rsid w:val="0040546F"/>
    <w:rsid w:val="0042404A"/>
    <w:rsid w:val="00426B14"/>
    <w:rsid w:val="00436409"/>
    <w:rsid w:val="004417DB"/>
    <w:rsid w:val="0044618F"/>
    <w:rsid w:val="004461D6"/>
    <w:rsid w:val="00455662"/>
    <w:rsid w:val="00466509"/>
    <w:rsid w:val="0046769A"/>
    <w:rsid w:val="00475FB3"/>
    <w:rsid w:val="00487C3D"/>
    <w:rsid w:val="004904A9"/>
    <w:rsid w:val="00496E33"/>
    <w:rsid w:val="004B2E69"/>
    <w:rsid w:val="004B496F"/>
    <w:rsid w:val="004C37A9"/>
    <w:rsid w:val="004C68A4"/>
    <w:rsid w:val="004F259E"/>
    <w:rsid w:val="004F45FC"/>
    <w:rsid w:val="00501777"/>
    <w:rsid w:val="00506A78"/>
    <w:rsid w:val="00511F1D"/>
    <w:rsid w:val="00513488"/>
    <w:rsid w:val="00516231"/>
    <w:rsid w:val="00516AB6"/>
    <w:rsid w:val="00517C4A"/>
    <w:rsid w:val="00520F36"/>
    <w:rsid w:val="00523BCA"/>
    <w:rsid w:val="00540615"/>
    <w:rsid w:val="00540A6D"/>
    <w:rsid w:val="00543A84"/>
    <w:rsid w:val="00562453"/>
    <w:rsid w:val="00571EEA"/>
    <w:rsid w:val="00575417"/>
    <w:rsid w:val="005768E1"/>
    <w:rsid w:val="00576AE5"/>
    <w:rsid w:val="0059268E"/>
    <w:rsid w:val="005A3E54"/>
    <w:rsid w:val="005B1938"/>
    <w:rsid w:val="005B4F93"/>
    <w:rsid w:val="005B6E7B"/>
    <w:rsid w:val="005C20F5"/>
    <w:rsid w:val="005C3890"/>
    <w:rsid w:val="005E69A9"/>
    <w:rsid w:val="005F7BFE"/>
    <w:rsid w:val="00600017"/>
    <w:rsid w:val="006005C4"/>
    <w:rsid w:val="006153CF"/>
    <w:rsid w:val="006235CA"/>
    <w:rsid w:val="00641003"/>
    <w:rsid w:val="00651840"/>
    <w:rsid w:val="006643AB"/>
    <w:rsid w:val="00665BBD"/>
    <w:rsid w:val="006B3B91"/>
    <w:rsid w:val="006D186E"/>
    <w:rsid w:val="006D6E42"/>
    <w:rsid w:val="00710D22"/>
    <w:rsid w:val="00714EA6"/>
    <w:rsid w:val="00720F52"/>
    <w:rsid w:val="007210CD"/>
    <w:rsid w:val="00726A7C"/>
    <w:rsid w:val="00732045"/>
    <w:rsid w:val="007369DB"/>
    <w:rsid w:val="0074675F"/>
    <w:rsid w:val="007915A5"/>
    <w:rsid w:val="0079543C"/>
    <w:rsid w:val="007956C2"/>
    <w:rsid w:val="007A187E"/>
    <w:rsid w:val="007C72C2"/>
    <w:rsid w:val="007D392C"/>
    <w:rsid w:val="007D4436"/>
    <w:rsid w:val="007F1D0E"/>
    <w:rsid w:val="007F257A"/>
    <w:rsid w:val="007F3665"/>
    <w:rsid w:val="00800037"/>
    <w:rsid w:val="008143D7"/>
    <w:rsid w:val="00825989"/>
    <w:rsid w:val="00826904"/>
    <w:rsid w:val="008269EE"/>
    <w:rsid w:val="008270D3"/>
    <w:rsid w:val="00832704"/>
    <w:rsid w:val="00841467"/>
    <w:rsid w:val="00843801"/>
    <w:rsid w:val="008469C6"/>
    <w:rsid w:val="00847109"/>
    <w:rsid w:val="00851B72"/>
    <w:rsid w:val="00853AA0"/>
    <w:rsid w:val="00861D73"/>
    <w:rsid w:val="00872E7D"/>
    <w:rsid w:val="00873E50"/>
    <w:rsid w:val="008A4E87"/>
    <w:rsid w:val="008B4ED3"/>
    <w:rsid w:val="008D76E6"/>
    <w:rsid w:val="008D7BD6"/>
    <w:rsid w:val="008E3707"/>
    <w:rsid w:val="008E4064"/>
    <w:rsid w:val="008E7FE8"/>
    <w:rsid w:val="008F2229"/>
    <w:rsid w:val="00907DCD"/>
    <w:rsid w:val="00911DEA"/>
    <w:rsid w:val="0092392D"/>
    <w:rsid w:val="0093234A"/>
    <w:rsid w:val="009418B2"/>
    <w:rsid w:val="0095041C"/>
    <w:rsid w:val="0095449B"/>
    <w:rsid w:val="00955185"/>
    <w:rsid w:val="00966A06"/>
    <w:rsid w:val="0097554D"/>
    <w:rsid w:val="00984E77"/>
    <w:rsid w:val="0099381A"/>
    <w:rsid w:val="009B0B1F"/>
    <w:rsid w:val="009C1AF1"/>
    <w:rsid w:val="009C307F"/>
    <w:rsid w:val="009C64B5"/>
    <w:rsid w:val="009E5564"/>
    <w:rsid w:val="009F5537"/>
    <w:rsid w:val="00A13CE1"/>
    <w:rsid w:val="00A2113E"/>
    <w:rsid w:val="00A23A51"/>
    <w:rsid w:val="00A24607"/>
    <w:rsid w:val="00A25CD3"/>
    <w:rsid w:val="00A271D7"/>
    <w:rsid w:val="00A461A0"/>
    <w:rsid w:val="00A532FF"/>
    <w:rsid w:val="00A658A0"/>
    <w:rsid w:val="00A77750"/>
    <w:rsid w:val="00A77DCF"/>
    <w:rsid w:val="00A82767"/>
    <w:rsid w:val="00A9045D"/>
    <w:rsid w:val="00A908AE"/>
    <w:rsid w:val="00AA332F"/>
    <w:rsid w:val="00AA7BBB"/>
    <w:rsid w:val="00AB64A8"/>
    <w:rsid w:val="00AC0266"/>
    <w:rsid w:val="00AC1590"/>
    <w:rsid w:val="00AD051E"/>
    <w:rsid w:val="00AD1AFA"/>
    <w:rsid w:val="00AD24EC"/>
    <w:rsid w:val="00AD5829"/>
    <w:rsid w:val="00AF67C4"/>
    <w:rsid w:val="00B03F58"/>
    <w:rsid w:val="00B110D0"/>
    <w:rsid w:val="00B309F9"/>
    <w:rsid w:val="00B32B60"/>
    <w:rsid w:val="00B469F0"/>
    <w:rsid w:val="00B5619E"/>
    <w:rsid w:val="00B61619"/>
    <w:rsid w:val="00B70FEE"/>
    <w:rsid w:val="00B7246B"/>
    <w:rsid w:val="00B72E22"/>
    <w:rsid w:val="00B8613D"/>
    <w:rsid w:val="00BA079C"/>
    <w:rsid w:val="00BA46C6"/>
    <w:rsid w:val="00BB4545"/>
    <w:rsid w:val="00BD5873"/>
    <w:rsid w:val="00BD7FC1"/>
    <w:rsid w:val="00BF0C52"/>
    <w:rsid w:val="00C04BE3"/>
    <w:rsid w:val="00C06234"/>
    <w:rsid w:val="00C077CE"/>
    <w:rsid w:val="00C17166"/>
    <w:rsid w:val="00C24EE7"/>
    <w:rsid w:val="00C25D29"/>
    <w:rsid w:val="00C27A7C"/>
    <w:rsid w:val="00C321AB"/>
    <w:rsid w:val="00C61295"/>
    <w:rsid w:val="00C73CCA"/>
    <w:rsid w:val="00C823FB"/>
    <w:rsid w:val="00C828BB"/>
    <w:rsid w:val="00C854AD"/>
    <w:rsid w:val="00CA08ED"/>
    <w:rsid w:val="00CA7B60"/>
    <w:rsid w:val="00CB5C0C"/>
    <w:rsid w:val="00CF183B"/>
    <w:rsid w:val="00CF5186"/>
    <w:rsid w:val="00D10144"/>
    <w:rsid w:val="00D375CD"/>
    <w:rsid w:val="00D41A24"/>
    <w:rsid w:val="00D44E95"/>
    <w:rsid w:val="00D46EB2"/>
    <w:rsid w:val="00D553A2"/>
    <w:rsid w:val="00D61496"/>
    <w:rsid w:val="00D65BB2"/>
    <w:rsid w:val="00D66FD5"/>
    <w:rsid w:val="00D705F7"/>
    <w:rsid w:val="00D706DB"/>
    <w:rsid w:val="00D774D3"/>
    <w:rsid w:val="00D904E8"/>
    <w:rsid w:val="00DA08C3"/>
    <w:rsid w:val="00DB5A3E"/>
    <w:rsid w:val="00DB71DC"/>
    <w:rsid w:val="00DC22AA"/>
    <w:rsid w:val="00DD34B9"/>
    <w:rsid w:val="00DD72EE"/>
    <w:rsid w:val="00DE4D3B"/>
    <w:rsid w:val="00DE4F46"/>
    <w:rsid w:val="00DF6C2F"/>
    <w:rsid w:val="00DF74DD"/>
    <w:rsid w:val="00E051CF"/>
    <w:rsid w:val="00E25AD0"/>
    <w:rsid w:val="00E32E83"/>
    <w:rsid w:val="00E37136"/>
    <w:rsid w:val="00E43AB8"/>
    <w:rsid w:val="00E617E7"/>
    <w:rsid w:val="00E64E17"/>
    <w:rsid w:val="00E86089"/>
    <w:rsid w:val="00E9213C"/>
    <w:rsid w:val="00EA32DC"/>
    <w:rsid w:val="00EB6350"/>
    <w:rsid w:val="00EC4F35"/>
    <w:rsid w:val="00EF4674"/>
    <w:rsid w:val="00F15B57"/>
    <w:rsid w:val="00F162CA"/>
    <w:rsid w:val="00F3690C"/>
    <w:rsid w:val="00F427DB"/>
    <w:rsid w:val="00F439DC"/>
    <w:rsid w:val="00F7382C"/>
    <w:rsid w:val="00F75455"/>
    <w:rsid w:val="00F910DC"/>
    <w:rsid w:val="00F9201C"/>
    <w:rsid w:val="00F975BD"/>
    <w:rsid w:val="00FA5EB1"/>
    <w:rsid w:val="00FA7439"/>
    <w:rsid w:val="00FC4EC0"/>
    <w:rsid w:val="00FC6947"/>
    <w:rsid w:val="00FD54F3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3CB7F054"/>
  <w15:docId w15:val="{AFF9D4A7-A846-4850-BCA7-96C8AF0C1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aliases w:val="CEO_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styleId="ListParagraph">
    <w:name w:val="List Paragraph"/>
    <w:basedOn w:val="Normal"/>
    <w:uiPriority w:val="34"/>
    <w:qFormat/>
    <w:rsid w:val="00254ADD"/>
    <w:pPr>
      <w:ind w:left="720"/>
      <w:contextualSpacing/>
    </w:pPr>
    <w:rPr>
      <w:lang w:val="en-GB"/>
    </w:rPr>
  </w:style>
  <w:style w:type="table" w:styleId="TableGrid">
    <w:name w:val="Table Grid"/>
    <w:basedOn w:val="TableNormal"/>
    <w:rsid w:val="00254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576AE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76AE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76AE5"/>
    <w:rPr>
      <w:rFonts w:ascii="Calibri" w:hAnsi="Calibr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76A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76AE5"/>
    <w:rPr>
      <w:rFonts w:ascii="Calibri" w:hAnsi="Calibri"/>
      <w:b/>
      <w:bCs/>
      <w:lang w:val="fr-FR" w:eastAsia="en-US"/>
    </w:rPr>
  </w:style>
  <w:style w:type="paragraph" w:styleId="Revision">
    <w:name w:val="Revision"/>
    <w:hidden/>
    <w:uiPriority w:val="99"/>
    <w:semiHidden/>
    <w:rsid w:val="00576AE5"/>
    <w:rPr>
      <w:rFonts w:ascii="Calibri" w:hAnsi="Calibri"/>
      <w:sz w:val="24"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576AE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76AE5"/>
    <w:rPr>
      <w:rFonts w:ascii="Segoe UI" w:hAnsi="Segoe UI" w:cs="Segoe UI"/>
      <w:sz w:val="18"/>
      <w:szCs w:val="18"/>
      <w:lang w:val="fr-FR" w:eastAsia="en-US"/>
    </w:rPr>
  </w:style>
  <w:style w:type="paragraph" w:styleId="Date">
    <w:name w:val="Date"/>
    <w:basedOn w:val="Normal"/>
    <w:next w:val="Normal"/>
    <w:link w:val="DateChar"/>
    <w:rsid w:val="0002014A"/>
  </w:style>
  <w:style w:type="character" w:customStyle="1" w:styleId="DateChar">
    <w:name w:val="Date Char"/>
    <w:basedOn w:val="DefaultParagraphFont"/>
    <w:link w:val="Date"/>
    <w:rsid w:val="0002014A"/>
    <w:rPr>
      <w:rFonts w:ascii="Calibri" w:hAnsi="Calibri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7-CL-C-0134/fr" TargetMode="External"/><Relationship Id="rId13" Type="http://schemas.openxmlformats.org/officeDocument/2006/relationships/hyperlink" Target="https://www.itu.int/md/S17-CL-C-0134/fr" TargetMode="External"/><Relationship Id="rId18" Type="http://schemas.openxmlformats.org/officeDocument/2006/relationships/hyperlink" Target="http://www.itu.int/rec/T-REC-E.169.1-200109-I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s://www.itu.int/md/S17-CL-C-0133/fr" TargetMode="External"/><Relationship Id="rId12" Type="http://schemas.openxmlformats.org/officeDocument/2006/relationships/hyperlink" Target="https://www.itu.int/md/S17-CL-C-0133/fr" TargetMode="External"/><Relationship Id="rId17" Type="http://schemas.openxmlformats.org/officeDocument/2006/relationships/hyperlink" Target="https://www.itu.int/md/S19-CLCWGFHR09-C-0015/en" TargetMode="External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yperlink" Target="https://www.itu.int/md/S19-CLCWGFHR09-C-0014/en" TargetMode="External"/><Relationship Id="rId20" Type="http://schemas.openxmlformats.org/officeDocument/2006/relationships/image" Target="media/image3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itu.int/md/S19-CLCWGFHR09-C-0015/en" TargetMode="External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s://www.itu.int/md/S18-CL-C-0100/en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itu.int/md/S19-CLCWGFHR09-C-0014/en" TargetMode="External"/><Relationship Id="rId19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://www.itu.int/md/S18-CL-C-0100/en" TargetMode="External"/><Relationship Id="rId14" Type="http://schemas.openxmlformats.org/officeDocument/2006/relationships/hyperlink" Target="http://www.itu.int/md/S18-CL-C-0100/en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neux\AppData\Roaming\Microsoft\Templates\POOL%20F%20-%20ITU\PF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PF_C19.dotx</Template>
  <TotalTime>1</TotalTime>
  <Pages>8</Pages>
  <Words>2413</Words>
  <Characters>13733</Characters>
  <Application>Microsoft Office Word</Application>
  <DocSecurity>4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16114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d'activité sur la mise en œuvre des Décisions 600 et 601 du Conseil (numéros UIFN et IIN)</dc:title>
  <dc:subject>Conseil 2019</dc:subject>
  <dc:creator>Geneux, Aude</dc:creator>
  <cp:keywords>C2019, C19</cp:keywords>
  <dc:description/>
  <cp:lastModifiedBy>Brouard, Ricarda</cp:lastModifiedBy>
  <cp:revision>2</cp:revision>
  <cp:lastPrinted>2019-05-08T07:16:00Z</cp:lastPrinted>
  <dcterms:created xsi:type="dcterms:W3CDTF">2019-05-08T12:18:00Z</dcterms:created>
  <dcterms:modified xsi:type="dcterms:W3CDTF">2019-05-08T12:18:00Z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