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389FB8B" w14:textId="77777777" w:rsidTr="002E341E">
        <w:trPr>
          <w:cantSplit/>
        </w:trPr>
        <w:tc>
          <w:tcPr>
            <w:tcW w:w="6911" w:type="dxa"/>
          </w:tcPr>
          <w:p w14:paraId="2A6B1E3C"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14:paraId="6A73B23F" w14:textId="77777777" w:rsidR="002A2188" w:rsidRPr="00813E5E" w:rsidRDefault="002A2188" w:rsidP="002E341E">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7955477D" wp14:editId="57A46F3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881B58D" w14:textId="77777777" w:rsidTr="002E341E">
        <w:trPr>
          <w:cantSplit/>
        </w:trPr>
        <w:tc>
          <w:tcPr>
            <w:tcW w:w="6911" w:type="dxa"/>
            <w:tcBorders>
              <w:bottom w:val="single" w:sz="12" w:space="0" w:color="auto"/>
            </w:tcBorders>
          </w:tcPr>
          <w:p w14:paraId="0F83E97A" w14:textId="77777777" w:rsidR="002A2188" w:rsidRPr="00813E5E" w:rsidRDefault="002A2188" w:rsidP="002E341E">
            <w:pPr>
              <w:spacing w:before="0" w:after="48" w:line="240" w:lineRule="atLeast"/>
              <w:rPr>
                <w:b/>
                <w:smallCaps/>
                <w:szCs w:val="24"/>
              </w:rPr>
            </w:pPr>
          </w:p>
        </w:tc>
        <w:tc>
          <w:tcPr>
            <w:tcW w:w="3120" w:type="dxa"/>
            <w:tcBorders>
              <w:bottom w:val="single" w:sz="12" w:space="0" w:color="auto"/>
            </w:tcBorders>
          </w:tcPr>
          <w:p w14:paraId="52A0A90A" w14:textId="77777777" w:rsidR="002A2188" w:rsidRPr="00813E5E" w:rsidRDefault="002A2188" w:rsidP="002E341E">
            <w:pPr>
              <w:spacing w:before="0" w:line="240" w:lineRule="atLeast"/>
              <w:rPr>
                <w:szCs w:val="24"/>
              </w:rPr>
            </w:pPr>
          </w:p>
        </w:tc>
      </w:tr>
      <w:tr w:rsidR="002A2188" w:rsidRPr="00813E5E" w14:paraId="2EC913B5" w14:textId="77777777" w:rsidTr="002E341E">
        <w:trPr>
          <w:cantSplit/>
        </w:trPr>
        <w:tc>
          <w:tcPr>
            <w:tcW w:w="6911" w:type="dxa"/>
            <w:tcBorders>
              <w:top w:val="single" w:sz="12" w:space="0" w:color="auto"/>
            </w:tcBorders>
          </w:tcPr>
          <w:p w14:paraId="231EE905"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73DE35F6" w14:textId="77777777" w:rsidR="002A2188" w:rsidRPr="00813E5E" w:rsidRDefault="002A2188" w:rsidP="004F1D6C">
            <w:pPr>
              <w:spacing w:before="0" w:line="240" w:lineRule="atLeast"/>
              <w:rPr>
                <w:szCs w:val="24"/>
              </w:rPr>
            </w:pPr>
          </w:p>
        </w:tc>
      </w:tr>
      <w:tr w:rsidR="002A2188" w:rsidRPr="00813E5E" w14:paraId="68A64AFB" w14:textId="77777777" w:rsidTr="002E341E">
        <w:trPr>
          <w:cantSplit/>
          <w:trHeight w:val="23"/>
        </w:trPr>
        <w:tc>
          <w:tcPr>
            <w:tcW w:w="6911" w:type="dxa"/>
            <w:vMerge w:val="restart"/>
          </w:tcPr>
          <w:p w14:paraId="7305CB9C" w14:textId="62B8C440" w:rsidR="002A2188" w:rsidRPr="00E85629" w:rsidRDefault="00D04E39" w:rsidP="001E44D9">
            <w:pPr>
              <w:tabs>
                <w:tab w:val="left" w:pos="851"/>
              </w:tabs>
              <w:spacing w:before="0" w:line="240" w:lineRule="atLeast"/>
              <w:rPr>
                <w:b/>
              </w:rPr>
            </w:pPr>
            <w:bookmarkStart w:id="2" w:name="dmeeting" w:colFirst="0" w:colLast="0"/>
            <w:bookmarkStart w:id="3" w:name="dnum" w:colFirst="1" w:colLast="1"/>
            <w:r>
              <w:rPr>
                <w:b/>
              </w:rPr>
              <w:t xml:space="preserve">Agenda item: </w:t>
            </w:r>
            <w:r w:rsidR="0054536D">
              <w:rPr>
                <w:b/>
              </w:rPr>
              <w:t>ADM 5</w:t>
            </w:r>
          </w:p>
        </w:tc>
        <w:tc>
          <w:tcPr>
            <w:tcW w:w="3120" w:type="dxa"/>
          </w:tcPr>
          <w:p w14:paraId="40611D1A" w14:textId="7412D7DA" w:rsidR="002A2188" w:rsidRPr="00E85629" w:rsidRDefault="002A2188" w:rsidP="0054536D">
            <w:pPr>
              <w:tabs>
                <w:tab w:val="left" w:pos="851"/>
              </w:tabs>
              <w:spacing w:before="0" w:line="240" w:lineRule="atLeast"/>
              <w:rPr>
                <w:b/>
              </w:rPr>
            </w:pPr>
            <w:r>
              <w:rPr>
                <w:b/>
              </w:rPr>
              <w:t>Document C1</w:t>
            </w:r>
            <w:r w:rsidR="00FA4575">
              <w:rPr>
                <w:b/>
              </w:rPr>
              <w:t>9</w:t>
            </w:r>
            <w:r>
              <w:rPr>
                <w:b/>
              </w:rPr>
              <w:t>/</w:t>
            </w:r>
            <w:r w:rsidR="0054536D">
              <w:rPr>
                <w:b/>
              </w:rPr>
              <w:t>47</w:t>
            </w:r>
            <w:r>
              <w:rPr>
                <w:b/>
              </w:rPr>
              <w:t>-E</w:t>
            </w:r>
          </w:p>
        </w:tc>
      </w:tr>
      <w:tr w:rsidR="002A2188" w:rsidRPr="00813E5E" w14:paraId="40CBF453" w14:textId="77777777" w:rsidTr="002E341E">
        <w:trPr>
          <w:cantSplit/>
          <w:trHeight w:val="23"/>
        </w:trPr>
        <w:tc>
          <w:tcPr>
            <w:tcW w:w="6911" w:type="dxa"/>
            <w:vMerge/>
          </w:tcPr>
          <w:p w14:paraId="4E976589" w14:textId="77777777" w:rsidR="002A2188" w:rsidRPr="00813E5E" w:rsidRDefault="002A2188" w:rsidP="002E341E">
            <w:pPr>
              <w:tabs>
                <w:tab w:val="left" w:pos="851"/>
              </w:tabs>
              <w:spacing w:line="240" w:lineRule="atLeast"/>
              <w:rPr>
                <w:b/>
              </w:rPr>
            </w:pPr>
            <w:bookmarkStart w:id="4" w:name="ddate" w:colFirst="1" w:colLast="1"/>
            <w:bookmarkEnd w:id="2"/>
            <w:bookmarkEnd w:id="3"/>
          </w:p>
        </w:tc>
        <w:tc>
          <w:tcPr>
            <w:tcW w:w="3120" w:type="dxa"/>
          </w:tcPr>
          <w:p w14:paraId="211F1742" w14:textId="37A09D1C" w:rsidR="002A2188" w:rsidRPr="00E85629" w:rsidRDefault="00CE2687" w:rsidP="0054536D">
            <w:pPr>
              <w:tabs>
                <w:tab w:val="left" w:pos="993"/>
              </w:tabs>
              <w:spacing w:before="0"/>
              <w:rPr>
                <w:b/>
              </w:rPr>
            </w:pPr>
            <w:r>
              <w:rPr>
                <w:b/>
              </w:rPr>
              <w:t>1</w:t>
            </w:r>
            <w:r w:rsidR="0054536D">
              <w:rPr>
                <w:b/>
              </w:rPr>
              <w:t>8</w:t>
            </w:r>
            <w:r w:rsidR="001E44D9">
              <w:rPr>
                <w:b/>
              </w:rPr>
              <w:t xml:space="preserve"> </w:t>
            </w:r>
            <w:r w:rsidR="00404CA7">
              <w:rPr>
                <w:b/>
              </w:rPr>
              <w:t>April</w:t>
            </w:r>
            <w:r w:rsidR="002A2188">
              <w:rPr>
                <w:b/>
              </w:rPr>
              <w:t xml:space="preserve"> 201</w:t>
            </w:r>
            <w:r w:rsidR="00FA4575">
              <w:rPr>
                <w:b/>
              </w:rPr>
              <w:t>9</w:t>
            </w:r>
          </w:p>
        </w:tc>
      </w:tr>
      <w:tr w:rsidR="002A2188" w:rsidRPr="00813E5E" w14:paraId="07A36D17" w14:textId="77777777" w:rsidTr="002E341E">
        <w:trPr>
          <w:cantSplit/>
          <w:trHeight w:val="23"/>
        </w:trPr>
        <w:tc>
          <w:tcPr>
            <w:tcW w:w="6911" w:type="dxa"/>
            <w:vMerge/>
          </w:tcPr>
          <w:p w14:paraId="6B68FA94" w14:textId="77777777" w:rsidR="002A2188" w:rsidRPr="00813E5E" w:rsidRDefault="002A2188" w:rsidP="002E341E">
            <w:pPr>
              <w:tabs>
                <w:tab w:val="left" w:pos="851"/>
              </w:tabs>
              <w:spacing w:line="240" w:lineRule="atLeast"/>
              <w:rPr>
                <w:b/>
              </w:rPr>
            </w:pPr>
            <w:bookmarkStart w:id="5" w:name="dorlang" w:colFirst="1" w:colLast="1"/>
            <w:bookmarkEnd w:id="4"/>
          </w:p>
        </w:tc>
        <w:tc>
          <w:tcPr>
            <w:tcW w:w="3120" w:type="dxa"/>
          </w:tcPr>
          <w:p w14:paraId="3561E538" w14:textId="77777777" w:rsidR="002A2188" w:rsidRPr="00E85629" w:rsidRDefault="002A2188" w:rsidP="002E341E">
            <w:pPr>
              <w:tabs>
                <w:tab w:val="left" w:pos="993"/>
              </w:tabs>
              <w:spacing w:before="0"/>
              <w:rPr>
                <w:b/>
              </w:rPr>
            </w:pPr>
            <w:r>
              <w:rPr>
                <w:b/>
              </w:rPr>
              <w:t>Original: English</w:t>
            </w:r>
          </w:p>
        </w:tc>
      </w:tr>
      <w:tr w:rsidR="002A2188" w:rsidRPr="00813E5E" w14:paraId="4D99F6D6" w14:textId="77777777" w:rsidTr="002E341E">
        <w:trPr>
          <w:cantSplit/>
        </w:trPr>
        <w:tc>
          <w:tcPr>
            <w:tcW w:w="10031" w:type="dxa"/>
            <w:gridSpan w:val="2"/>
          </w:tcPr>
          <w:p w14:paraId="239CB35F" w14:textId="77777777" w:rsidR="002A2188" w:rsidRPr="00813E5E" w:rsidRDefault="00D04E39" w:rsidP="002E341E">
            <w:pPr>
              <w:pStyle w:val="Source"/>
            </w:pPr>
            <w:bookmarkStart w:id="6" w:name="dsource" w:colFirst="0" w:colLast="0"/>
            <w:bookmarkEnd w:id="5"/>
            <w:r w:rsidRPr="00D04E39">
              <w:t>Report by the Secretary-General</w:t>
            </w:r>
          </w:p>
        </w:tc>
      </w:tr>
      <w:tr w:rsidR="002A2188" w:rsidRPr="00813E5E" w14:paraId="4A466EBD" w14:textId="77777777" w:rsidTr="002E341E">
        <w:trPr>
          <w:cantSplit/>
        </w:trPr>
        <w:tc>
          <w:tcPr>
            <w:tcW w:w="10031" w:type="dxa"/>
            <w:gridSpan w:val="2"/>
          </w:tcPr>
          <w:p w14:paraId="269F59D8" w14:textId="699B1C13" w:rsidR="002A2188" w:rsidRPr="00813E5E" w:rsidRDefault="00CE2687" w:rsidP="0054536D">
            <w:pPr>
              <w:pStyle w:val="Title1"/>
            </w:pPr>
            <w:bookmarkStart w:id="7" w:name="dtitle1" w:colFirst="0" w:colLast="0"/>
            <w:bookmarkEnd w:id="6"/>
            <w:r w:rsidRPr="00CE2687">
              <w:t xml:space="preserve">Status report on implementation of </w:t>
            </w:r>
            <w:r w:rsidR="0054536D">
              <w:br/>
            </w:r>
            <w:r w:rsidRPr="00CE2687">
              <w:t>Council Decisions 600 and 601 (UIFN, IIN)</w:t>
            </w:r>
          </w:p>
        </w:tc>
      </w:tr>
      <w:bookmarkEnd w:id="7"/>
    </w:tbl>
    <w:p w14:paraId="0B13162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4CF5A48" w14:textId="77777777" w:rsidTr="002E341E">
        <w:trPr>
          <w:trHeight w:val="3372"/>
        </w:trPr>
        <w:tc>
          <w:tcPr>
            <w:tcW w:w="8080" w:type="dxa"/>
            <w:tcBorders>
              <w:top w:val="single" w:sz="12" w:space="0" w:color="auto"/>
              <w:left w:val="single" w:sz="12" w:space="0" w:color="auto"/>
              <w:bottom w:val="single" w:sz="12" w:space="0" w:color="auto"/>
              <w:right w:val="single" w:sz="12" w:space="0" w:color="auto"/>
            </w:tcBorders>
          </w:tcPr>
          <w:p w14:paraId="76450F82" w14:textId="77777777" w:rsidR="002A2188" w:rsidRPr="00813E5E" w:rsidRDefault="002A2188" w:rsidP="00DD4106">
            <w:pPr>
              <w:pStyle w:val="Headingb"/>
              <w:spacing w:before="120" w:after="120"/>
              <w:jc w:val="both"/>
            </w:pPr>
            <w:r w:rsidRPr="00813E5E">
              <w:t>Summary</w:t>
            </w:r>
          </w:p>
          <w:p w14:paraId="5270E36A" w14:textId="60B9A097" w:rsidR="002A2188" w:rsidRPr="001E44D9" w:rsidRDefault="0071474E" w:rsidP="00DD4106">
            <w:pPr>
              <w:spacing w:after="120"/>
              <w:jc w:val="both"/>
              <w:rPr>
                <w:sz w:val="28"/>
                <w:szCs w:val="22"/>
              </w:rPr>
            </w:pPr>
            <w:r w:rsidRPr="0071474E">
              <w:rPr>
                <w:rFonts w:cs="Calibri"/>
                <w:szCs w:val="24"/>
                <w:lang w:eastAsia="zh-CN"/>
              </w:rPr>
              <w:t>Following the approval of Decision</w:t>
            </w:r>
            <w:r w:rsidR="00935DC9">
              <w:rPr>
                <w:rFonts w:cs="Calibri"/>
                <w:szCs w:val="24"/>
                <w:lang w:eastAsia="zh-CN"/>
              </w:rPr>
              <w:t>s</w:t>
            </w:r>
            <w:r w:rsidRPr="0071474E">
              <w:rPr>
                <w:rFonts w:cs="Calibri"/>
                <w:szCs w:val="24"/>
                <w:lang w:eastAsia="zh-CN"/>
              </w:rPr>
              <w:t xml:space="preserve"> 600 and 601 at the Council 2017 session, ITU has been in the process of implementing these Decisions</w:t>
            </w:r>
            <w:r w:rsidR="00291F13">
              <w:rPr>
                <w:rFonts w:cs="Calibri"/>
                <w:szCs w:val="24"/>
                <w:lang w:eastAsia="zh-CN"/>
              </w:rPr>
              <w:t xml:space="preserve">. </w:t>
            </w:r>
            <w:r w:rsidRPr="0071474E">
              <w:rPr>
                <w:rFonts w:cs="Calibri"/>
                <w:szCs w:val="24"/>
                <w:lang w:eastAsia="zh-CN"/>
              </w:rPr>
              <w:t>This report summarizes the status of the implementation and the consultations with Member States.</w:t>
            </w:r>
          </w:p>
          <w:p w14:paraId="4FD136A5" w14:textId="77777777" w:rsidR="002A2188" w:rsidRPr="00813E5E" w:rsidRDefault="002A2188" w:rsidP="00DD4106">
            <w:pPr>
              <w:pStyle w:val="Headingb"/>
              <w:spacing w:before="120" w:after="120"/>
              <w:jc w:val="both"/>
            </w:pPr>
            <w:r w:rsidRPr="00813E5E">
              <w:t>Action required</w:t>
            </w:r>
          </w:p>
          <w:p w14:paraId="282A2951" w14:textId="407923FE" w:rsidR="000D67F1" w:rsidRPr="001E44D9" w:rsidRDefault="00DD4106" w:rsidP="00DD4106">
            <w:pPr>
              <w:tabs>
                <w:tab w:val="clear" w:pos="567"/>
                <w:tab w:val="clear" w:pos="1134"/>
                <w:tab w:val="clear" w:pos="1701"/>
                <w:tab w:val="clear" w:pos="2268"/>
                <w:tab w:val="clear" w:pos="2835"/>
              </w:tabs>
              <w:overflowPunct/>
              <w:spacing w:after="120"/>
              <w:jc w:val="both"/>
              <w:textAlignment w:val="auto"/>
              <w:rPr>
                <w:rFonts w:cs="Calibri"/>
                <w:szCs w:val="24"/>
                <w:lang w:eastAsia="zh-CN"/>
              </w:rPr>
            </w:pPr>
            <w:r>
              <w:rPr>
                <w:rFonts w:asciiTheme="minorHAnsi" w:hAnsiTheme="minorHAnsi" w:cstheme="minorHAnsi"/>
                <w:szCs w:val="24"/>
              </w:rPr>
              <w:t xml:space="preserve">The </w:t>
            </w:r>
            <w:r w:rsidR="001D0A39" w:rsidRPr="00720A57">
              <w:rPr>
                <w:rFonts w:asciiTheme="minorHAnsi" w:hAnsiTheme="minorHAnsi" w:cstheme="minorHAnsi"/>
                <w:szCs w:val="24"/>
              </w:rPr>
              <w:t xml:space="preserve">Council is invited to </w:t>
            </w:r>
            <w:r w:rsidR="001D0A39" w:rsidRPr="00A0212E">
              <w:rPr>
                <w:rFonts w:asciiTheme="minorHAnsi" w:hAnsiTheme="minorHAnsi" w:cstheme="minorHAnsi"/>
                <w:b/>
                <w:bCs/>
                <w:szCs w:val="24"/>
              </w:rPr>
              <w:t>endorse</w:t>
            </w:r>
            <w:r w:rsidR="001D0A39" w:rsidRPr="00720A57">
              <w:rPr>
                <w:rFonts w:asciiTheme="minorHAnsi" w:hAnsiTheme="minorHAnsi" w:cstheme="minorHAnsi"/>
                <w:szCs w:val="24"/>
              </w:rPr>
              <w:t xml:space="preserve"> the </w:t>
            </w:r>
            <w:r w:rsidR="00087F25">
              <w:rPr>
                <w:rFonts w:asciiTheme="minorHAnsi" w:hAnsiTheme="minorHAnsi" w:cstheme="minorHAnsi"/>
                <w:szCs w:val="24"/>
              </w:rPr>
              <w:t xml:space="preserve">proposal </w:t>
            </w:r>
            <w:r w:rsidR="00FB347A">
              <w:rPr>
                <w:rFonts w:asciiTheme="minorHAnsi" w:hAnsiTheme="minorHAnsi" w:cstheme="minorHAnsi"/>
                <w:szCs w:val="24"/>
              </w:rPr>
              <w:t>on Universal International Freephone Numbers (UIFNs) and Issuer Identifier Numbers (IINs) provided in section 5</w:t>
            </w:r>
            <w:r w:rsidR="00087F25">
              <w:rPr>
                <w:rFonts w:asciiTheme="minorHAnsi" w:hAnsiTheme="minorHAnsi" w:cstheme="minorHAnsi"/>
                <w:szCs w:val="24"/>
              </w:rPr>
              <w:t>.</w:t>
            </w:r>
          </w:p>
          <w:p w14:paraId="747FC5F0" w14:textId="77777777" w:rsidR="002A2188" w:rsidRPr="00813E5E" w:rsidRDefault="002A2188" w:rsidP="00860A1A">
            <w:pPr>
              <w:pStyle w:val="Table"/>
              <w:keepNext w:val="0"/>
              <w:spacing w:before="120"/>
              <w:rPr>
                <w:rFonts w:ascii="Calibri" w:hAnsi="Calibri"/>
                <w:caps w:val="0"/>
                <w:sz w:val="22"/>
              </w:rPr>
            </w:pPr>
            <w:r w:rsidRPr="00813E5E">
              <w:rPr>
                <w:rFonts w:ascii="Calibri" w:hAnsi="Calibri"/>
                <w:caps w:val="0"/>
                <w:sz w:val="22"/>
              </w:rPr>
              <w:t>____________</w:t>
            </w:r>
          </w:p>
          <w:p w14:paraId="64D98D42" w14:textId="77777777" w:rsidR="002A2188" w:rsidRPr="00813E5E" w:rsidRDefault="002A2188" w:rsidP="00860A1A">
            <w:pPr>
              <w:pStyle w:val="Headingb"/>
              <w:spacing w:before="120" w:after="120"/>
            </w:pPr>
            <w:r w:rsidRPr="00813E5E">
              <w:t>References</w:t>
            </w:r>
          </w:p>
          <w:p w14:paraId="090D0D99" w14:textId="5B986427" w:rsidR="002A2188" w:rsidRPr="00813E5E" w:rsidRDefault="00CF454E" w:rsidP="003C2F8E">
            <w:pPr>
              <w:spacing w:after="120"/>
              <w:rPr>
                <w:i/>
                <w:iCs/>
              </w:rPr>
            </w:pPr>
            <w:r w:rsidRPr="001E44D9">
              <w:t>Doc</w:t>
            </w:r>
            <w:r w:rsidR="001E44D9">
              <w:t>ument</w:t>
            </w:r>
            <w:r w:rsidRPr="001E44D9">
              <w:t xml:space="preserve"> </w:t>
            </w:r>
            <w:hyperlink r:id="rId12" w:history="1">
              <w:r w:rsidR="003C2F8E" w:rsidRPr="00720A57">
                <w:rPr>
                  <w:rStyle w:val="Hyperlink"/>
                  <w:rFonts w:asciiTheme="minorHAnsi" w:hAnsiTheme="minorHAnsi" w:cstheme="majorBidi"/>
                </w:rPr>
                <w:t>C17/133</w:t>
              </w:r>
            </w:hyperlink>
            <w:r w:rsidRPr="001E44D9">
              <w:t>;</w:t>
            </w:r>
            <w:r>
              <w:rPr>
                <w:i/>
                <w:iCs/>
              </w:rPr>
              <w:t xml:space="preserve"> </w:t>
            </w:r>
            <w:hyperlink r:id="rId13" w:history="1">
              <w:r w:rsidR="003C2F8E" w:rsidRPr="00720A57">
                <w:rPr>
                  <w:rStyle w:val="Hyperlink"/>
                  <w:rFonts w:asciiTheme="minorHAnsi" w:hAnsiTheme="minorHAnsi" w:cstheme="majorBidi"/>
                </w:rPr>
                <w:t>C17/134</w:t>
              </w:r>
            </w:hyperlink>
            <w:r w:rsidR="003C2F8E" w:rsidRPr="001E44D9">
              <w:t>;</w:t>
            </w:r>
            <w:r w:rsidR="003C2F8E">
              <w:t xml:space="preserve"> </w:t>
            </w:r>
            <w:hyperlink r:id="rId14" w:history="1">
              <w:r w:rsidR="003C2F8E" w:rsidRPr="00442DCC">
                <w:rPr>
                  <w:rStyle w:val="Hyperlink"/>
                  <w:rFonts w:cstheme="majorBidi"/>
                </w:rPr>
                <w:t>C18/100</w:t>
              </w:r>
            </w:hyperlink>
            <w:r w:rsidR="003C2F8E" w:rsidRPr="001E44D9">
              <w:t>;</w:t>
            </w:r>
            <w:r w:rsidR="003C2F8E">
              <w:t xml:space="preserve"> </w:t>
            </w:r>
            <w:hyperlink r:id="rId15" w:history="1">
              <w:r w:rsidR="003C2F8E" w:rsidRPr="00A0212E">
                <w:rPr>
                  <w:rStyle w:val="Hyperlink"/>
                  <w:rFonts w:asciiTheme="minorHAnsi" w:hAnsiTheme="minorHAnsi"/>
                  <w:spacing w:val="4"/>
                  <w:szCs w:val="24"/>
                  <w:lang w:val="en-US"/>
                </w:rPr>
                <w:t xml:space="preserve">CWG-FHR </w:t>
              </w:r>
              <w:r w:rsidR="003C2F8E">
                <w:rPr>
                  <w:rStyle w:val="Hyperlink"/>
                  <w:rFonts w:asciiTheme="minorHAnsi" w:hAnsiTheme="minorHAnsi"/>
                  <w:spacing w:val="4"/>
                  <w:szCs w:val="24"/>
                  <w:lang w:val="en-US"/>
                </w:rPr>
                <w:t>9</w:t>
              </w:r>
              <w:r w:rsidR="003C2F8E" w:rsidRPr="00A0212E">
                <w:rPr>
                  <w:rStyle w:val="Hyperlink"/>
                  <w:rFonts w:asciiTheme="minorHAnsi" w:hAnsiTheme="minorHAnsi"/>
                  <w:spacing w:val="4"/>
                  <w:szCs w:val="24"/>
                  <w:lang w:val="en-US"/>
                </w:rPr>
                <w:t>/1</w:t>
              </w:r>
            </w:hyperlink>
            <w:r w:rsidR="003C2F8E">
              <w:rPr>
                <w:rStyle w:val="Hyperlink"/>
                <w:rFonts w:asciiTheme="minorHAnsi" w:hAnsiTheme="minorHAnsi"/>
                <w:spacing w:val="4"/>
                <w:szCs w:val="24"/>
                <w:lang w:val="en-US"/>
              </w:rPr>
              <w:t>4</w:t>
            </w:r>
            <w:r w:rsidR="003C2F8E" w:rsidRPr="001E44D9">
              <w:t>;</w:t>
            </w:r>
            <w:r w:rsidR="003C2F8E">
              <w:t xml:space="preserve"> </w:t>
            </w:r>
            <w:hyperlink r:id="rId16" w:history="1">
              <w:r w:rsidR="003C2F8E" w:rsidRPr="00302E30">
                <w:rPr>
                  <w:rStyle w:val="Hyperlink"/>
                  <w:rFonts w:cstheme="majorBidi"/>
                  <w:spacing w:val="4"/>
                  <w:lang w:val="en-US"/>
                </w:rPr>
                <w:t>CWG-FHR 9/1</w:t>
              </w:r>
              <w:r w:rsidR="003C2F8E">
                <w:rPr>
                  <w:rStyle w:val="Hyperlink"/>
                  <w:rFonts w:cstheme="majorBidi"/>
                  <w:spacing w:val="4"/>
                  <w:lang w:val="en-US"/>
                </w:rPr>
                <w:t>5</w:t>
              </w:r>
            </w:hyperlink>
            <w:r w:rsidR="00AC4DFE">
              <w:t>.</w:t>
            </w:r>
          </w:p>
        </w:tc>
      </w:tr>
    </w:tbl>
    <w:p w14:paraId="31C762BC" w14:textId="77777777" w:rsidR="0071474E" w:rsidRPr="0042407C" w:rsidRDefault="0071474E" w:rsidP="0071474E">
      <w:pPr>
        <w:pStyle w:val="Heading1"/>
        <w:rPr>
          <w:rFonts w:eastAsia="Calibri"/>
          <w:sz w:val="24"/>
          <w:szCs w:val="24"/>
        </w:rPr>
      </w:pPr>
      <w:bookmarkStart w:id="8" w:name="dstart"/>
      <w:bookmarkStart w:id="9" w:name="dbreak"/>
      <w:bookmarkEnd w:id="8"/>
      <w:bookmarkEnd w:id="9"/>
      <w:r w:rsidRPr="0042407C">
        <w:rPr>
          <w:rFonts w:eastAsia="Calibri"/>
          <w:sz w:val="24"/>
          <w:szCs w:val="24"/>
        </w:rPr>
        <w:t>1</w:t>
      </w:r>
      <w:r w:rsidRPr="0042407C">
        <w:rPr>
          <w:rFonts w:eastAsia="Calibri"/>
          <w:sz w:val="24"/>
          <w:szCs w:val="24"/>
        </w:rPr>
        <w:tab/>
        <w:t>Background</w:t>
      </w:r>
    </w:p>
    <w:p w14:paraId="49239353" w14:textId="6F64E96B" w:rsidR="0071474E" w:rsidRDefault="0054536D" w:rsidP="00DD4106">
      <w:pPr>
        <w:jc w:val="both"/>
        <w:rPr>
          <w:rFonts w:asciiTheme="minorHAnsi" w:hAnsiTheme="minorHAnsi"/>
          <w:szCs w:val="24"/>
        </w:rPr>
      </w:pPr>
      <w:r>
        <w:rPr>
          <w:rFonts w:asciiTheme="minorHAnsi" w:hAnsiTheme="minorHAnsi"/>
          <w:szCs w:val="24"/>
        </w:rPr>
        <w:t>1.1</w:t>
      </w:r>
      <w:r>
        <w:rPr>
          <w:rFonts w:asciiTheme="minorHAnsi" w:hAnsiTheme="minorHAnsi"/>
          <w:szCs w:val="24"/>
        </w:rPr>
        <w:tab/>
      </w:r>
      <w:r w:rsidR="0071474E" w:rsidRPr="00720A57">
        <w:rPr>
          <w:rFonts w:asciiTheme="minorHAnsi" w:hAnsiTheme="minorHAnsi"/>
          <w:szCs w:val="24"/>
        </w:rPr>
        <w:t>Following the approval of Decision</w:t>
      </w:r>
      <w:r w:rsidR="0071474E">
        <w:rPr>
          <w:rFonts w:asciiTheme="minorHAnsi" w:hAnsiTheme="minorHAnsi"/>
          <w:szCs w:val="24"/>
        </w:rPr>
        <w:t>s</w:t>
      </w:r>
      <w:r w:rsidR="0071474E" w:rsidRPr="00720A57">
        <w:rPr>
          <w:rFonts w:asciiTheme="minorHAnsi" w:hAnsiTheme="minorHAnsi"/>
          <w:szCs w:val="24"/>
        </w:rPr>
        <w:t xml:space="preserve"> 600 </w:t>
      </w:r>
      <w:r w:rsidR="0071474E" w:rsidRPr="00720A57">
        <w:rPr>
          <w:rFonts w:asciiTheme="minorHAnsi" w:hAnsiTheme="minorHAnsi" w:cstheme="majorBidi"/>
          <w:color w:val="000000"/>
        </w:rPr>
        <w:t>(</w:t>
      </w:r>
      <w:hyperlink r:id="rId17" w:history="1">
        <w:r w:rsidR="0071474E" w:rsidRPr="00720A57">
          <w:rPr>
            <w:rStyle w:val="Hyperlink"/>
            <w:rFonts w:asciiTheme="minorHAnsi" w:hAnsiTheme="minorHAnsi" w:cstheme="majorBidi"/>
          </w:rPr>
          <w:t>C17/133</w:t>
        </w:r>
      </w:hyperlink>
      <w:r w:rsidR="0071474E" w:rsidRPr="00720A57">
        <w:rPr>
          <w:rFonts w:asciiTheme="minorHAnsi" w:hAnsiTheme="minorHAnsi" w:cstheme="majorBidi"/>
          <w:color w:val="000000"/>
        </w:rPr>
        <w:t xml:space="preserve">) </w:t>
      </w:r>
      <w:r w:rsidR="0071474E" w:rsidRPr="00720A57">
        <w:rPr>
          <w:rFonts w:asciiTheme="minorHAnsi" w:hAnsiTheme="minorHAnsi"/>
          <w:szCs w:val="24"/>
        </w:rPr>
        <w:t xml:space="preserve">and 601 </w:t>
      </w:r>
      <w:r w:rsidR="0071474E" w:rsidRPr="00720A57">
        <w:rPr>
          <w:rFonts w:asciiTheme="minorHAnsi" w:hAnsiTheme="minorHAnsi" w:cstheme="majorBidi"/>
          <w:color w:val="000000"/>
        </w:rPr>
        <w:t>(</w:t>
      </w:r>
      <w:hyperlink r:id="rId18" w:history="1">
        <w:r w:rsidR="0071474E" w:rsidRPr="00720A57">
          <w:rPr>
            <w:rStyle w:val="Hyperlink"/>
            <w:rFonts w:asciiTheme="minorHAnsi" w:hAnsiTheme="minorHAnsi" w:cstheme="majorBidi"/>
          </w:rPr>
          <w:t>C17/134</w:t>
        </w:r>
      </w:hyperlink>
      <w:r w:rsidR="0071474E" w:rsidRPr="00720A57">
        <w:rPr>
          <w:rFonts w:asciiTheme="minorHAnsi" w:hAnsiTheme="minorHAnsi" w:cstheme="majorBidi"/>
          <w:color w:val="000000"/>
        </w:rPr>
        <w:t xml:space="preserve">) </w:t>
      </w:r>
      <w:r w:rsidR="0071474E" w:rsidRPr="00720A57">
        <w:rPr>
          <w:rFonts w:asciiTheme="minorHAnsi" w:hAnsiTheme="minorHAnsi"/>
          <w:szCs w:val="24"/>
        </w:rPr>
        <w:t>at the</w:t>
      </w:r>
      <w:r w:rsidR="00DD4106">
        <w:rPr>
          <w:rFonts w:asciiTheme="minorHAnsi" w:hAnsiTheme="minorHAnsi"/>
          <w:szCs w:val="24"/>
        </w:rPr>
        <w:t xml:space="preserve"> Council 2017 session, the ITU s</w:t>
      </w:r>
      <w:r w:rsidR="0071474E" w:rsidRPr="00720A57">
        <w:rPr>
          <w:rFonts w:asciiTheme="minorHAnsi" w:hAnsiTheme="minorHAnsi"/>
          <w:szCs w:val="24"/>
        </w:rPr>
        <w:t xml:space="preserve">ecretariat has been in the process of implementing these Decisions. </w:t>
      </w:r>
    </w:p>
    <w:p w14:paraId="74D7A680" w14:textId="4FC113E2" w:rsidR="00454659" w:rsidRPr="003D309C" w:rsidRDefault="0054536D" w:rsidP="00DD4106">
      <w:pPr>
        <w:jc w:val="both"/>
        <w:rPr>
          <w:rFonts w:asciiTheme="minorHAnsi" w:hAnsiTheme="minorHAnsi"/>
          <w:szCs w:val="24"/>
        </w:rPr>
      </w:pPr>
      <w:r>
        <w:rPr>
          <w:rFonts w:asciiTheme="minorHAnsi" w:hAnsiTheme="minorHAnsi"/>
          <w:szCs w:val="24"/>
        </w:rPr>
        <w:t>1.2</w:t>
      </w:r>
      <w:r>
        <w:rPr>
          <w:rFonts w:asciiTheme="minorHAnsi" w:hAnsiTheme="minorHAnsi"/>
          <w:szCs w:val="24"/>
        </w:rPr>
        <w:tab/>
      </w:r>
      <w:r w:rsidR="00454659" w:rsidRPr="003D309C">
        <w:rPr>
          <w:rFonts w:asciiTheme="minorHAnsi" w:hAnsiTheme="minorHAnsi"/>
          <w:szCs w:val="24"/>
        </w:rPr>
        <w:t>TSB presented document</w:t>
      </w:r>
      <w:r w:rsidR="00454659" w:rsidRPr="00442DCC">
        <w:rPr>
          <w:rFonts w:asciiTheme="majorBidi" w:hAnsiTheme="majorBidi" w:cstheme="majorBidi"/>
        </w:rPr>
        <w:t xml:space="preserve"> </w:t>
      </w:r>
      <w:hyperlink r:id="rId19" w:history="1">
        <w:r w:rsidR="00454659" w:rsidRPr="00442DCC">
          <w:rPr>
            <w:rStyle w:val="Hyperlink"/>
            <w:rFonts w:cstheme="majorBidi"/>
          </w:rPr>
          <w:t>C18/100</w:t>
        </w:r>
      </w:hyperlink>
      <w:r w:rsidR="00454659">
        <w:rPr>
          <w:rFonts w:asciiTheme="minorHAnsi" w:hAnsiTheme="minorHAnsi"/>
          <w:szCs w:val="24"/>
        </w:rPr>
        <w:t xml:space="preserve"> to Council 2018,</w:t>
      </w:r>
      <w:r w:rsidR="00454659" w:rsidRPr="003D309C">
        <w:rPr>
          <w:rFonts w:asciiTheme="minorHAnsi" w:hAnsiTheme="minorHAnsi"/>
          <w:szCs w:val="24"/>
        </w:rPr>
        <w:t xml:space="preserve"> which provides updates of the status of implementation of Council Decision</w:t>
      </w:r>
      <w:r w:rsidR="00454659">
        <w:rPr>
          <w:rFonts w:asciiTheme="minorHAnsi" w:hAnsiTheme="minorHAnsi"/>
          <w:szCs w:val="24"/>
        </w:rPr>
        <w:t>s</w:t>
      </w:r>
      <w:r w:rsidR="00454659" w:rsidRPr="003D309C">
        <w:rPr>
          <w:rFonts w:asciiTheme="minorHAnsi" w:hAnsiTheme="minorHAnsi"/>
          <w:szCs w:val="24"/>
        </w:rPr>
        <w:t xml:space="preserve"> 600 and 601, including the status of the contacts for UIFN service providers and IIN assignees. It reproduces the first proposal presented to CWG-FHR in January 2018 and</w:t>
      </w:r>
      <w:r w:rsidR="00454659" w:rsidRPr="00442DCC">
        <w:rPr>
          <w:rFonts w:asciiTheme="majorBidi" w:eastAsia="SimSun" w:hAnsiTheme="majorBidi" w:cstheme="majorBidi"/>
          <w:lang w:eastAsia="zh-CN"/>
        </w:rPr>
        <w:t xml:space="preserve"> </w:t>
      </w:r>
      <w:r w:rsidR="00454659" w:rsidRPr="003D309C">
        <w:rPr>
          <w:rFonts w:asciiTheme="minorHAnsi" w:hAnsiTheme="minorHAnsi"/>
          <w:szCs w:val="24"/>
        </w:rPr>
        <w:t xml:space="preserve">modifies the second proposal following the recommendation by CWG-FHR. </w:t>
      </w:r>
      <w:r w:rsidR="00DD4106">
        <w:rPr>
          <w:rFonts w:asciiTheme="minorHAnsi" w:hAnsiTheme="minorHAnsi"/>
          <w:szCs w:val="24"/>
        </w:rPr>
        <w:t>The</w:t>
      </w:r>
      <w:r w:rsidR="00454659" w:rsidRPr="003D309C">
        <w:rPr>
          <w:rFonts w:asciiTheme="minorHAnsi" w:hAnsiTheme="minorHAnsi"/>
          <w:szCs w:val="24"/>
        </w:rPr>
        <w:t xml:space="preserve"> Council </w:t>
      </w:r>
      <w:r w:rsidR="00F27DBB">
        <w:rPr>
          <w:rFonts w:asciiTheme="minorHAnsi" w:hAnsiTheme="minorHAnsi"/>
          <w:szCs w:val="24"/>
        </w:rPr>
        <w:t>was</w:t>
      </w:r>
      <w:r w:rsidR="00F27DBB" w:rsidRPr="003D309C">
        <w:rPr>
          <w:rFonts w:asciiTheme="minorHAnsi" w:hAnsiTheme="minorHAnsi"/>
          <w:szCs w:val="24"/>
        </w:rPr>
        <w:t xml:space="preserve"> </w:t>
      </w:r>
      <w:r w:rsidR="00454659" w:rsidRPr="003D309C">
        <w:rPr>
          <w:rFonts w:asciiTheme="minorHAnsi" w:hAnsiTheme="minorHAnsi"/>
          <w:szCs w:val="24"/>
        </w:rPr>
        <w:t>invited to take note of the first proposal and endorse the revised second proposal.</w:t>
      </w:r>
    </w:p>
    <w:p w14:paraId="101B640E" w14:textId="46BC3F57" w:rsidR="00454659" w:rsidRPr="00442DCC" w:rsidRDefault="0054536D" w:rsidP="00AC4DFE">
      <w:pPr>
        <w:jc w:val="both"/>
        <w:rPr>
          <w:rFonts w:asciiTheme="majorBidi" w:eastAsia="SimSun" w:hAnsiTheme="majorBidi" w:cstheme="majorBidi"/>
          <w:lang w:eastAsia="zh-CN"/>
        </w:rPr>
      </w:pPr>
      <w:r>
        <w:rPr>
          <w:rFonts w:asciiTheme="minorHAnsi" w:hAnsiTheme="minorHAnsi"/>
          <w:szCs w:val="24"/>
        </w:rPr>
        <w:t>1.3</w:t>
      </w:r>
      <w:r>
        <w:rPr>
          <w:rFonts w:asciiTheme="minorHAnsi" w:hAnsiTheme="minorHAnsi"/>
          <w:szCs w:val="24"/>
        </w:rPr>
        <w:tab/>
      </w:r>
      <w:r w:rsidR="00454659" w:rsidRPr="003D309C">
        <w:rPr>
          <w:rFonts w:asciiTheme="minorHAnsi" w:hAnsiTheme="minorHAnsi"/>
          <w:szCs w:val="24"/>
        </w:rPr>
        <w:t>Council 2018 took note of the first proposal in Document</w:t>
      </w:r>
      <w:r w:rsidR="00454659" w:rsidRPr="00442DCC">
        <w:rPr>
          <w:rFonts w:asciiTheme="majorBidi" w:eastAsia="SimSun" w:hAnsiTheme="majorBidi" w:cstheme="majorBidi"/>
          <w:lang w:eastAsia="zh-CN"/>
        </w:rPr>
        <w:t xml:space="preserve"> </w:t>
      </w:r>
      <w:hyperlink r:id="rId20" w:history="1">
        <w:r w:rsidR="00454659" w:rsidRPr="00442DCC">
          <w:rPr>
            <w:rStyle w:val="Hyperlink"/>
            <w:rFonts w:eastAsia="SimSun" w:cstheme="majorBidi"/>
            <w:lang w:eastAsia="zh-CN"/>
          </w:rPr>
          <w:t>C18/100</w:t>
        </w:r>
      </w:hyperlink>
      <w:r w:rsidR="00454659" w:rsidRPr="00442DCC">
        <w:rPr>
          <w:rFonts w:asciiTheme="majorBidi" w:eastAsia="SimSun" w:hAnsiTheme="majorBidi" w:cstheme="majorBidi"/>
          <w:lang w:eastAsia="zh-CN"/>
        </w:rPr>
        <w:t>:</w:t>
      </w:r>
    </w:p>
    <w:p w14:paraId="05DA21C4" w14:textId="77777777" w:rsidR="00454659" w:rsidRPr="0054536D" w:rsidRDefault="00454659" w:rsidP="00AC4DFE">
      <w:pPr>
        <w:ind w:left="590" w:hanging="567"/>
        <w:jc w:val="both"/>
        <w:rPr>
          <w:rFonts w:asciiTheme="minorHAnsi" w:eastAsia="SimSun" w:hAnsiTheme="minorHAnsi" w:cstheme="minorHAnsi"/>
          <w:i/>
          <w:iCs/>
          <w:lang w:eastAsia="zh-CN"/>
        </w:rPr>
      </w:pPr>
      <w:r w:rsidRPr="0054536D">
        <w:rPr>
          <w:rFonts w:asciiTheme="minorHAnsi" w:eastAsia="SimSun" w:hAnsiTheme="minorHAnsi" w:cstheme="minorHAnsi"/>
          <w:i/>
          <w:iCs/>
          <w:lang w:eastAsia="zh-CN"/>
        </w:rPr>
        <w:tab/>
        <w:t>National Administrations/regulators are invited to provide a focal point for providing or investigating up-to-date contacts for UIFN service providers (</w:t>
      </w:r>
      <w:proofErr w:type="spellStart"/>
      <w:r w:rsidRPr="0054536D">
        <w:rPr>
          <w:rFonts w:asciiTheme="minorHAnsi" w:eastAsia="SimSun" w:hAnsiTheme="minorHAnsi" w:cstheme="minorHAnsi"/>
          <w:i/>
          <w:iCs/>
          <w:lang w:eastAsia="zh-CN"/>
        </w:rPr>
        <w:t>RoAs</w:t>
      </w:r>
      <w:proofErr w:type="spellEnd"/>
      <w:r w:rsidRPr="0054536D">
        <w:rPr>
          <w:rFonts w:asciiTheme="minorHAnsi" w:eastAsia="SimSun" w:hAnsiTheme="minorHAnsi" w:cstheme="minorHAnsi"/>
          <w:i/>
          <w:iCs/>
          <w:lang w:eastAsia="zh-CN"/>
        </w:rPr>
        <w:t>) and the assignees of IINs.</w:t>
      </w:r>
    </w:p>
    <w:p w14:paraId="1C4E03EB" w14:textId="3ED6B92F" w:rsidR="00454659" w:rsidRPr="003D309C" w:rsidRDefault="0054536D" w:rsidP="00AC4DFE">
      <w:pPr>
        <w:keepNext/>
        <w:keepLines/>
        <w:jc w:val="both"/>
        <w:rPr>
          <w:rFonts w:asciiTheme="minorHAnsi" w:hAnsiTheme="minorHAnsi"/>
          <w:szCs w:val="24"/>
        </w:rPr>
      </w:pPr>
      <w:r>
        <w:rPr>
          <w:rFonts w:asciiTheme="minorHAnsi" w:hAnsiTheme="minorHAnsi"/>
          <w:szCs w:val="24"/>
        </w:rPr>
        <w:lastRenderedPageBreak/>
        <w:t>1.4</w:t>
      </w:r>
      <w:r>
        <w:rPr>
          <w:rFonts w:asciiTheme="minorHAnsi" w:hAnsiTheme="minorHAnsi"/>
          <w:szCs w:val="24"/>
        </w:rPr>
        <w:tab/>
      </w:r>
      <w:r w:rsidR="00454659" w:rsidRPr="003D309C">
        <w:rPr>
          <w:rFonts w:asciiTheme="minorHAnsi" w:hAnsiTheme="minorHAnsi"/>
          <w:szCs w:val="24"/>
        </w:rPr>
        <w:t>Council 2018 approved the revised second proposal in Document C18/100:</w:t>
      </w:r>
    </w:p>
    <w:p w14:paraId="77F90C2F" w14:textId="77777777" w:rsidR="00454659" w:rsidRPr="0054536D" w:rsidRDefault="00454659" w:rsidP="00AC4DFE">
      <w:pPr>
        <w:keepNext/>
        <w:keepLines/>
        <w:ind w:left="590" w:hanging="567"/>
        <w:jc w:val="both"/>
        <w:rPr>
          <w:rFonts w:asciiTheme="minorHAnsi" w:eastAsia="SimSun" w:hAnsiTheme="minorHAnsi" w:cstheme="minorHAnsi"/>
          <w:lang w:eastAsia="zh-CN"/>
        </w:rPr>
      </w:pPr>
      <w:r w:rsidRPr="0054536D">
        <w:rPr>
          <w:rFonts w:asciiTheme="minorHAnsi" w:eastAsia="SimSun" w:hAnsiTheme="minorHAnsi" w:cstheme="minorHAnsi"/>
          <w:i/>
          <w:iCs/>
          <w:lang w:eastAsia="zh-CN"/>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14:paraId="285561A9" w14:textId="25F5DA3B" w:rsidR="00454659" w:rsidRDefault="0054536D" w:rsidP="00E02665">
      <w:pPr>
        <w:jc w:val="both"/>
        <w:rPr>
          <w:rFonts w:asciiTheme="minorHAnsi" w:hAnsiTheme="minorHAnsi"/>
          <w:szCs w:val="24"/>
        </w:rPr>
      </w:pPr>
      <w:r>
        <w:rPr>
          <w:rFonts w:asciiTheme="minorHAnsi" w:hAnsiTheme="minorHAnsi"/>
          <w:szCs w:val="24"/>
        </w:rPr>
        <w:t>1.5</w:t>
      </w:r>
      <w:r>
        <w:rPr>
          <w:rFonts w:asciiTheme="minorHAnsi" w:hAnsiTheme="minorHAnsi"/>
          <w:szCs w:val="24"/>
        </w:rPr>
        <w:tab/>
      </w:r>
      <w:r w:rsidR="00454659" w:rsidRPr="003D309C">
        <w:rPr>
          <w:rFonts w:asciiTheme="minorHAnsi" w:hAnsiTheme="minorHAnsi"/>
          <w:szCs w:val="24"/>
        </w:rPr>
        <w:t xml:space="preserve">Council 2018 also instructed the </w:t>
      </w:r>
      <w:r w:rsidR="00DD4106">
        <w:rPr>
          <w:rFonts w:asciiTheme="minorHAnsi" w:hAnsiTheme="minorHAnsi"/>
          <w:szCs w:val="24"/>
        </w:rPr>
        <w:t>s</w:t>
      </w:r>
      <w:r w:rsidR="00454659" w:rsidRPr="003D309C">
        <w:rPr>
          <w:rFonts w:asciiTheme="minorHAnsi" w:hAnsiTheme="minorHAnsi"/>
          <w:szCs w:val="24"/>
        </w:rPr>
        <w:t xml:space="preserve">ecretariat, </w:t>
      </w:r>
      <w:r w:rsidR="00E02665">
        <w:rPr>
          <w:rFonts w:asciiTheme="minorHAnsi" w:hAnsiTheme="minorHAnsi"/>
          <w:szCs w:val="24"/>
        </w:rPr>
        <w:t>“</w:t>
      </w:r>
      <w:r w:rsidR="00454659" w:rsidRPr="003D309C">
        <w:rPr>
          <w:rFonts w:asciiTheme="minorHAnsi" w:hAnsiTheme="minorHAnsi"/>
          <w:szCs w:val="24"/>
        </w:rPr>
        <w:t>as an interim step, to undertake consultations with national administrations in order to submit a report on the status of those consultations to CWG-FHR.”</w:t>
      </w:r>
    </w:p>
    <w:p w14:paraId="343C8794" w14:textId="36485535" w:rsidR="00F27DBB" w:rsidRDefault="0054536D" w:rsidP="00DD4106">
      <w:pPr>
        <w:jc w:val="both"/>
        <w:rPr>
          <w:rFonts w:asciiTheme="minorHAnsi" w:hAnsiTheme="minorHAnsi" w:cstheme="majorBidi"/>
        </w:rPr>
      </w:pPr>
      <w:r>
        <w:rPr>
          <w:rFonts w:asciiTheme="minorHAnsi" w:hAnsiTheme="minorHAnsi"/>
          <w:szCs w:val="24"/>
        </w:rPr>
        <w:t>1.6</w:t>
      </w:r>
      <w:r>
        <w:rPr>
          <w:rFonts w:asciiTheme="minorHAnsi" w:hAnsiTheme="minorHAnsi"/>
          <w:szCs w:val="24"/>
        </w:rPr>
        <w:tab/>
      </w:r>
      <w:r w:rsidR="0071474E" w:rsidRPr="00720A57">
        <w:rPr>
          <w:rFonts w:asciiTheme="minorHAnsi" w:hAnsiTheme="minorHAnsi"/>
          <w:szCs w:val="24"/>
        </w:rPr>
        <w:t xml:space="preserve">The ITU </w:t>
      </w:r>
      <w:r w:rsidR="004E2172">
        <w:rPr>
          <w:rFonts w:asciiTheme="minorHAnsi" w:hAnsiTheme="minorHAnsi"/>
          <w:szCs w:val="24"/>
        </w:rPr>
        <w:t>s</w:t>
      </w:r>
      <w:r w:rsidR="0071474E" w:rsidRPr="00720A57">
        <w:rPr>
          <w:rFonts w:asciiTheme="minorHAnsi" w:hAnsiTheme="minorHAnsi"/>
          <w:szCs w:val="24"/>
        </w:rPr>
        <w:t xml:space="preserve">ecretariat </w:t>
      </w:r>
      <w:r w:rsidR="0071474E" w:rsidRPr="00A0212E">
        <w:rPr>
          <w:rFonts w:asciiTheme="minorHAnsi" w:hAnsiTheme="minorHAnsi"/>
          <w:spacing w:val="4"/>
          <w:szCs w:val="24"/>
        </w:rPr>
        <w:t>gave a status report on the implementation (</w:t>
      </w:r>
      <w:hyperlink r:id="rId21" w:history="1">
        <w:r w:rsidR="0071474E" w:rsidRPr="00A0212E">
          <w:rPr>
            <w:rStyle w:val="Hyperlink"/>
            <w:rFonts w:asciiTheme="minorHAnsi" w:hAnsiTheme="minorHAnsi"/>
            <w:spacing w:val="4"/>
            <w:szCs w:val="24"/>
            <w:lang w:val="en-US"/>
          </w:rPr>
          <w:t xml:space="preserve">CWG-FHR </w:t>
        </w:r>
        <w:r w:rsidR="003142AA">
          <w:rPr>
            <w:rStyle w:val="Hyperlink"/>
            <w:rFonts w:asciiTheme="minorHAnsi" w:hAnsiTheme="minorHAnsi"/>
            <w:spacing w:val="4"/>
            <w:szCs w:val="24"/>
            <w:lang w:val="en-US"/>
          </w:rPr>
          <w:t>9</w:t>
        </w:r>
        <w:r w:rsidR="0071474E" w:rsidRPr="00A0212E">
          <w:rPr>
            <w:rStyle w:val="Hyperlink"/>
            <w:rFonts w:asciiTheme="minorHAnsi" w:hAnsiTheme="minorHAnsi"/>
            <w:spacing w:val="4"/>
            <w:szCs w:val="24"/>
            <w:lang w:val="en-US"/>
          </w:rPr>
          <w:t>/1</w:t>
        </w:r>
      </w:hyperlink>
      <w:r w:rsidR="003142AA">
        <w:rPr>
          <w:rStyle w:val="Hyperlink"/>
          <w:rFonts w:asciiTheme="minorHAnsi" w:hAnsiTheme="minorHAnsi"/>
          <w:spacing w:val="4"/>
          <w:szCs w:val="24"/>
          <w:lang w:val="en-US"/>
        </w:rPr>
        <w:t>4</w:t>
      </w:r>
      <w:r w:rsidR="0071474E" w:rsidRPr="00A0212E">
        <w:rPr>
          <w:rFonts w:asciiTheme="minorHAnsi" w:hAnsiTheme="minorHAnsi"/>
          <w:spacing w:val="4"/>
          <w:szCs w:val="24"/>
        </w:rPr>
        <w:t xml:space="preserve">) to the </w:t>
      </w:r>
      <w:r w:rsidR="003142AA">
        <w:rPr>
          <w:rFonts w:asciiTheme="minorHAnsi" w:hAnsiTheme="minorHAnsi"/>
          <w:spacing w:val="4"/>
          <w:szCs w:val="24"/>
        </w:rPr>
        <w:t>nin</w:t>
      </w:r>
      <w:r w:rsidR="0071474E" w:rsidRPr="00A0212E">
        <w:rPr>
          <w:rFonts w:asciiTheme="minorHAnsi" w:hAnsiTheme="minorHAnsi"/>
          <w:spacing w:val="4"/>
          <w:szCs w:val="24"/>
        </w:rPr>
        <w:t xml:space="preserve">th </w:t>
      </w:r>
      <w:r w:rsidR="0071474E" w:rsidRPr="00A0212E">
        <w:rPr>
          <w:rFonts w:asciiTheme="minorHAnsi" w:hAnsiTheme="minorHAnsi" w:cstheme="minorHAnsi"/>
          <w:spacing w:val="4"/>
          <w:szCs w:val="24"/>
        </w:rPr>
        <w:t>CWG-FHR meeting</w:t>
      </w:r>
      <w:r w:rsidR="0071474E" w:rsidRPr="00720A57">
        <w:rPr>
          <w:rFonts w:asciiTheme="minorHAnsi" w:hAnsiTheme="minorHAnsi" w:cstheme="minorHAnsi"/>
          <w:szCs w:val="24"/>
        </w:rPr>
        <w:t xml:space="preserve"> (</w:t>
      </w:r>
      <w:r w:rsidR="0071474E">
        <w:rPr>
          <w:rFonts w:asciiTheme="minorHAnsi" w:hAnsiTheme="minorHAnsi" w:cstheme="minorHAnsi"/>
          <w:szCs w:val="24"/>
        </w:rPr>
        <w:t>2</w:t>
      </w:r>
      <w:r w:rsidR="003142AA">
        <w:rPr>
          <w:rFonts w:asciiTheme="minorHAnsi" w:hAnsiTheme="minorHAnsi" w:cstheme="minorHAnsi"/>
          <w:szCs w:val="24"/>
        </w:rPr>
        <w:t>9</w:t>
      </w:r>
      <w:r w:rsidR="0071474E">
        <w:rPr>
          <w:rFonts w:asciiTheme="minorHAnsi" w:hAnsiTheme="minorHAnsi" w:cstheme="minorHAnsi"/>
          <w:szCs w:val="24"/>
        </w:rPr>
        <w:t>-</w:t>
      </w:r>
      <w:r w:rsidR="003142AA">
        <w:rPr>
          <w:rFonts w:asciiTheme="minorHAnsi" w:hAnsiTheme="minorHAnsi" w:cstheme="minorHAnsi"/>
          <w:szCs w:val="24"/>
        </w:rPr>
        <w:t>30 January 2019</w:t>
      </w:r>
      <w:r w:rsidR="0071474E" w:rsidRPr="00720A57">
        <w:rPr>
          <w:rFonts w:asciiTheme="minorHAnsi" w:hAnsiTheme="minorHAnsi" w:cstheme="minorHAnsi"/>
          <w:szCs w:val="24"/>
        </w:rPr>
        <w:t>)</w:t>
      </w:r>
      <w:r w:rsidR="003142AA">
        <w:rPr>
          <w:rFonts w:asciiTheme="minorHAnsi" w:hAnsiTheme="minorHAnsi" w:cstheme="minorHAnsi"/>
          <w:szCs w:val="24"/>
        </w:rPr>
        <w:t xml:space="preserve">, including the status of consultations with national </w:t>
      </w:r>
      <w:r w:rsidR="003142AA" w:rsidRPr="00AC4DFE">
        <w:rPr>
          <w:rFonts w:asciiTheme="minorHAnsi" w:hAnsiTheme="minorHAnsi" w:cstheme="minorHAnsi"/>
          <w:spacing w:val="2"/>
          <w:szCs w:val="24"/>
        </w:rPr>
        <w:t>Administrations/regulators</w:t>
      </w:r>
      <w:r w:rsidR="00454659" w:rsidRPr="00AC4DFE">
        <w:rPr>
          <w:rFonts w:asciiTheme="minorHAnsi" w:hAnsiTheme="minorHAnsi" w:cstheme="minorHAnsi"/>
          <w:spacing w:val="2"/>
          <w:szCs w:val="24"/>
        </w:rPr>
        <w:t xml:space="preserve"> or authorized agencies</w:t>
      </w:r>
      <w:r w:rsidR="003142AA" w:rsidRPr="00AC4DFE">
        <w:rPr>
          <w:rFonts w:asciiTheme="minorHAnsi" w:hAnsiTheme="minorHAnsi" w:cstheme="minorHAnsi"/>
          <w:spacing w:val="2"/>
          <w:szCs w:val="24"/>
        </w:rPr>
        <w:t xml:space="preserve">, as </w:t>
      </w:r>
      <w:r w:rsidR="00454659" w:rsidRPr="00AC4DFE">
        <w:rPr>
          <w:rFonts w:asciiTheme="minorHAnsi" w:hAnsiTheme="minorHAnsi" w:cstheme="minorHAnsi"/>
          <w:spacing w:val="2"/>
          <w:szCs w:val="24"/>
        </w:rPr>
        <w:t>instructed</w:t>
      </w:r>
      <w:r w:rsidR="003142AA" w:rsidRPr="00AC4DFE">
        <w:rPr>
          <w:rFonts w:asciiTheme="minorHAnsi" w:hAnsiTheme="minorHAnsi" w:cstheme="minorHAnsi"/>
          <w:spacing w:val="2"/>
          <w:szCs w:val="24"/>
        </w:rPr>
        <w:t xml:space="preserve"> by Council 2018.</w:t>
      </w:r>
      <w:r w:rsidR="0071474E" w:rsidRPr="00AC4DFE">
        <w:rPr>
          <w:rFonts w:asciiTheme="minorHAnsi" w:hAnsiTheme="minorHAnsi"/>
          <w:spacing w:val="2"/>
          <w:szCs w:val="24"/>
        </w:rPr>
        <w:t xml:space="preserve"> </w:t>
      </w:r>
      <w:r w:rsidR="00D54B28" w:rsidRPr="00AC4DFE">
        <w:rPr>
          <w:rFonts w:asciiTheme="minorHAnsi" w:hAnsiTheme="minorHAnsi" w:cstheme="majorBidi"/>
          <w:spacing w:val="2"/>
        </w:rPr>
        <w:t>The Report</w:t>
      </w:r>
      <w:r w:rsidR="00D54B28" w:rsidRPr="000D2391">
        <w:rPr>
          <w:rFonts w:asciiTheme="minorHAnsi" w:hAnsiTheme="minorHAnsi" w:cstheme="majorBidi"/>
        </w:rPr>
        <w:t xml:space="preserve"> (</w:t>
      </w:r>
      <w:hyperlink r:id="rId22" w:history="1">
        <w:r w:rsidR="00D54B28" w:rsidRPr="000D2391">
          <w:rPr>
            <w:rStyle w:val="Hyperlink"/>
            <w:rFonts w:asciiTheme="minorHAnsi" w:hAnsiTheme="minorHAnsi" w:cstheme="majorBidi"/>
            <w:spacing w:val="4"/>
            <w:lang w:val="en-US"/>
          </w:rPr>
          <w:t>CWG-FHR 9/15</w:t>
        </w:r>
      </w:hyperlink>
      <w:r w:rsidR="00D54B28" w:rsidRPr="000D2391">
        <w:rPr>
          <w:rFonts w:asciiTheme="minorHAnsi" w:hAnsiTheme="minorHAnsi" w:cstheme="majorBidi"/>
        </w:rPr>
        <w:t>) by the Chair summarized the discussion</w:t>
      </w:r>
      <w:r w:rsidR="00AC4DFE">
        <w:rPr>
          <w:rFonts w:asciiTheme="minorHAnsi" w:hAnsiTheme="minorHAnsi" w:cstheme="majorBidi"/>
        </w:rPr>
        <w:t>.</w:t>
      </w:r>
    </w:p>
    <w:p w14:paraId="307A08D2" w14:textId="0FF99A7E" w:rsidR="00D54B28" w:rsidRPr="00AC4DFE" w:rsidRDefault="0054536D" w:rsidP="00AC4DFE">
      <w:pPr>
        <w:jc w:val="both"/>
        <w:rPr>
          <w:iCs/>
          <w:lang w:val="en-US" w:eastAsia="zh-CN"/>
        </w:rPr>
      </w:pPr>
      <w:r>
        <w:rPr>
          <w:rFonts w:asciiTheme="minorHAnsi" w:hAnsiTheme="minorHAnsi" w:cstheme="majorBidi"/>
        </w:rPr>
        <w:t>1.7</w:t>
      </w:r>
      <w:r>
        <w:rPr>
          <w:rFonts w:asciiTheme="minorHAnsi" w:hAnsiTheme="minorHAnsi" w:cstheme="majorBidi"/>
        </w:rPr>
        <w:tab/>
      </w:r>
      <w:r w:rsidR="004E19B8">
        <w:rPr>
          <w:rFonts w:asciiTheme="minorHAnsi" w:hAnsiTheme="minorHAnsi" w:cstheme="majorBidi"/>
        </w:rPr>
        <w:t>T</w:t>
      </w:r>
      <w:r w:rsidR="00416BB5" w:rsidRPr="00416BB5">
        <w:rPr>
          <w:lang w:val="en-US" w:eastAsia="zh-CN"/>
        </w:rPr>
        <w:t>he secretariat</w:t>
      </w:r>
      <w:r w:rsidR="004E19B8">
        <w:rPr>
          <w:lang w:val="en-US" w:eastAsia="zh-CN"/>
        </w:rPr>
        <w:t xml:space="preserve"> also</w:t>
      </w:r>
      <w:r w:rsidR="00416BB5" w:rsidRPr="00416BB5">
        <w:rPr>
          <w:lang w:val="en-US" w:eastAsia="zh-CN"/>
        </w:rPr>
        <w:t xml:space="preserve"> reminded that at the end of a year, according to IPSAS rules, provision will be made for any unpaid invoices. If the invoices remain unpaid for </w:t>
      </w:r>
      <w:r w:rsidR="00607549">
        <w:rPr>
          <w:lang w:val="en-US" w:eastAsia="zh-CN"/>
        </w:rPr>
        <w:t>an extended</w:t>
      </w:r>
      <w:r w:rsidR="00416BB5" w:rsidRPr="00416BB5">
        <w:rPr>
          <w:lang w:val="en-US" w:eastAsia="zh-CN"/>
        </w:rPr>
        <w:t xml:space="preserve"> period, the secretariat will seek assistance from Member States to recover the debt. Finally, if </w:t>
      </w:r>
      <w:r w:rsidR="00607549">
        <w:rPr>
          <w:lang w:val="en-US" w:eastAsia="zh-CN"/>
        </w:rPr>
        <w:t>this</w:t>
      </w:r>
      <w:r w:rsidR="00416BB5" w:rsidRPr="00416BB5">
        <w:rPr>
          <w:lang w:val="en-US" w:eastAsia="zh-CN"/>
        </w:rPr>
        <w:t xml:space="preserve"> is not successful, it would </w:t>
      </w:r>
      <w:r w:rsidR="00607549">
        <w:rPr>
          <w:lang w:val="en-US" w:eastAsia="zh-CN"/>
        </w:rPr>
        <w:t>fall to</w:t>
      </w:r>
      <w:r w:rsidR="00416BB5" w:rsidRPr="00416BB5">
        <w:rPr>
          <w:lang w:val="en-US" w:eastAsia="zh-CN"/>
        </w:rPr>
        <w:t xml:space="preserve"> the Council to decide whether to write off the debt.</w:t>
      </w:r>
    </w:p>
    <w:p w14:paraId="54B138EE" w14:textId="77777777" w:rsidR="0071474E" w:rsidRPr="00812B8E" w:rsidRDefault="0071474E" w:rsidP="00AC4DFE">
      <w:pPr>
        <w:pStyle w:val="Heading1"/>
        <w:spacing w:before="360"/>
        <w:jc w:val="both"/>
        <w:rPr>
          <w:rFonts w:eastAsia="Calibri"/>
          <w:sz w:val="24"/>
          <w:szCs w:val="24"/>
        </w:rPr>
      </w:pPr>
      <w:r w:rsidRPr="00812B8E">
        <w:rPr>
          <w:rFonts w:eastAsia="Calibri"/>
          <w:sz w:val="24"/>
          <w:szCs w:val="24"/>
        </w:rPr>
        <w:t>2</w:t>
      </w:r>
      <w:r w:rsidRPr="00812B8E">
        <w:rPr>
          <w:rFonts w:eastAsia="Calibri"/>
          <w:sz w:val="24"/>
          <w:szCs w:val="24"/>
        </w:rPr>
        <w:tab/>
      </w:r>
      <w:r>
        <w:rPr>
          <w:rFonts w:eastAsia="Calibri"/>
          <w:sz w:val="24"/>
          <w:szCs w:val="24"/>
        </w:rPr>
        <w:t>Status of implementation of Decisions 600 and 601</w:t>
      </w:r>
    </w:p>
    <w:p w14:paraId="2DE1D7BB" w14:textId="77777777" w:rsidR="0071474E" w:rsidRPr="00563219" w:rsidRDefault="0071474E" w:rsidP="00DD4106">
      <w:pPr>
        <w:jc w:val="both"/>
        <w:rPr>
          <w:rFonts w:eastAsia="Calibri" w:cs="Calibri"/>
        </w:rPr>
      </w:pPr>
      <w:r w:rsidRPr="00563219">
        <w:rPr>
          <w:rFonts w:eastAsia="Calibri" w:cs="Calibri"/>
        </w:rPr>
        <w:t>2.1</w:t>
      </w:r>
      <w:r w:rsidRPr="00563219">
        <w:rPr>
          <w:rFonts w:eastAsia="Calibri" w:cs="Calibri"/>
        </w:rPr>
        <w:tab/>
        <w:t>The upgraded UIFN and IIN assignment and registration systems went live on 16 January 2018.</w:t>
      </w:r>
    </w:p>
    <w:p w14:paraId="4C1DEF88" w14:textId="4CAEFC9B" w:rsidR="0071474E" w:rsidRPr="00F45416" w:rsidRDefault="0071474E" w:rsidP="00DD4106">
      <w:pPr>
        <w:jc w:val="both"/>
        <w:rPr>
          <w:rFonts w:asciiTheme="minorHAnsi" w:hAnsiTheme="minorHAnsi"/>
          <w:color w:val="000000" w:themeColor="text1"/>
          <w:lang w:val="en-US" w:eastAsia="zh-CN"/>
        </w:rPr>
      </w:pPr>
      <w:r w:rsidRPr="00563219">
        <w:rPr>
          <w:rFonts w:eastAsia="Calibri" w:cs="Calibri"/>
        </w:rPr>
        <w:t>2.2</w:t>
      </w:r>
      <w:r w:rsidRPr="00563219">
        <w:rPr>
          <w:rFonts w:eastAsia="Calibri" w:cs="Calibri"/>
        </w:rPr>
        <w:tab/>
      </w:r>
      <w:r w:rsidR="00F27DBB">
        <w:rPr>
          <w:rFonts w:eastAsia="Calibri" w:cs="Calibri"/>
          <w:color w:val="000000" w:themeColor="text1"/>
        </w:rPr>
        <w:t>In</w:t>
      </w:r>
      <w:r w:rsidR="00F27DBB" w:rsidRPr="00F45416">
        <w:rPr>
          <w:rFonts w:eastAsia="Calibri" w:cs="Calibri"/>
          <w:color w:val="000000" w:themeColor="text1"/>
        </w:rPr>
        <w:t xml:space="preserve"> </w:t>
      </w:r>
      <w:r w:rsidR="00685A43" w:rsidRPr="00F45416">
        <w:rPr>
          <w:rFonts w:eastAsia="Calibri" w:cs="Calibri"/>
          <w:color w:val="000000" w:themeColor="text1"/>
        </w:rPr>
        <w:t xml:space="preserve">2018, </w:t>
      </w:r>
      <w:r w:rsidRPr="00F45416">
        <w:rPr>
          <w:rFonts w:eastAsia="Calibri" w:cs="Calibri"/>
          <w:color w:val="000000" w:themeColor="text1"/>
        </w:rPr>
        <w:t xml:space="preserve">505 </w:t>
      </w:r>
      <w:r w:rsidRPr="00F45416">
        <w:rPr>
          <w:rFonts w:asciiTheme="minorHAnsi" w:hAnsiTheme="minorHAnsi"/>
          <w:color w:val="000000" w:themeColor="text1"/>
          <w:lang w:val="en-US" w:eastAsia="zh-CN"/>
        </w:rPr>
        <w:t xml:space="preserve">new UIFNs have been reserved or assigned following the new fee structure approved in Council Decision 600, and 35 new IINs have been registered following the new fee structure approved in Council Decision 601. Both a one-time fee and an annual maintenance fee were paid by non </w:t>
      </w:r>
      <w:r w:rsidRPr="00F45416">
        <w:rPr>
          <w:rFonts w:eastAsia="SimSun" w:cs="Arial"/>
          <w:color w:val="000000" w:themeColor="text1"/>
          <w:szCs w:val="24"/>
          <w:lang w:eastAsia="zh-CN"/>
        </w:rPr>
        <w:t>ITU-T and ITU-R Sector Members</w:t>
      </w:r>
      <w:r w:rsidRPr="00F45416">
        <w:rPr>
          <w:rFonts w:asciiTheme="minorHAnsi" w:hAnsiTheme="minorHAnsi"/>
          <w:color w:val="000000" w:themeColor="text1"/>
          <w:lang w:val="en-US" w:eastAsia="zh-CN"/>
        </w:rPr>
        <w:t>.</w:t>
      </w:r>
      <w:r w:rsidR="00CC73C4" w:rsidRPr="00F45416">
        <w:rPr>
          <w:rFonts w:asciiTheme="minorHAnsi" w:hAnsiTheme="minorHAnsi"/>
          <w:color w:val="000000" w:themeColor="text1"/>
          <w:lang w:val="en-US" w:eastAsia="zh-CN"/>
        </w:rPr>
        <w:t xml:space="preserve"> Among the 505 new UIFNs, 95 </w:t>
      </w:r>
      <w:r w:rsidR="00F27DBB">
        <w:rPr>
          <w:rFonts w:asciiTheme="minorHAnsi" w:hAnsiTheme="minorHAnsi"/>
          <w:color w:val="000000" w:themeColor="text1"/>
          <w:lang w:val="en-US" w:eastAsia="zh-CN"/>
        </w:rPr>
        <w:t xml:space="preserve">(18%) </w:t>
      </w:r>
      <w:r w:rsidR="00CC73C4" w:rsidRPr="00F45416">
        <w:rPr>
          <w:rFonts w:asciiTheme="minorHAnsi" w:hAnsiTheme="minorHAnsi"/>
          <w:color w:val="000000" w:themeColor="text1"/>
          <w:lang w:val="en-US" w:eastAsia="zh-CN"/>
        </w:rPr>
        <w:t xml:space="preserve">were assigned to non </w:t>
      </w:r>
      <w:r w:rsidR="00CC73C4" w:rsidRPr="00F45416">
        <w:rPr>
          <w:rFonts w:eastAsia="SimSun" w:cs="Arial"/>
          <w:color w:val="000000" w:themeColor="text1"/>
          <w:szCs w:val="24"/>
          <w:lang w:eastAsia="zh-CN"/>
        </w:rPr>
        <w:t>ITU-T and ITU-R Sector Members.</w:t>
      </w:r>
      <w:r w:rsidR="00CC73C4" w:rsidRPr="00F45416">
        <w:rPr>
          <w:rFonts w:asciiTheme="minorHAnsi" w:hAnsiTheme="minorHAnsi"/>
          <w:color w:val="000000" w:themeColor="text1"/>
          <w:lang w:val="en-US" w:eastAsia="zh-CN"/>
        </w:rPr>
        <w:t xml:space="preserve"> Among the 35 new IINs, 25 </w:t>
      </w:r>
      <w:r w:rsidR="00F27DBB">
        <w:rPr>
          <w:rFonts w:asciiTheme="minorHAnsi" w:hAnsiTheme="minorHAnsi"/>
          <w:color w:val="000000" w:themeColor="text1"/>
          <w:lang w:val="en-US" w:eastAsia="zh-CN"/>
        </w:rPr>
        <w:t xml:space="preserve">(70%) </w:t>
      </w:r>
      <w:r w:rsidR="00CC73C4" w:rsidRPr="00F45416">
        <w:rPr>
          <w:rFonts w:asciiTheme="minorHAnsi" w:hAnsiTheme="minorHAnsi"/>
          <w:color w:val="000000" w:themeColor="text1"/>
          <w:lang w:val="en-US" w:eastAsia="zh-CN"/>
        </w:rPr>
        <w:t xml:space="preserve">were registered for non </w:t>
      </w:r>
      <w:r w:rsidR="00CC73C4" w:rsidRPr="00F45416">
        <w:rPr>
          <w:rFonts w:eastAsia="SimSun" w:cs="Arial"/>
          <w:color w:val="000000" w:themeColor="text1"/>
          <w:szCs w:val="24"/>
          <w:lang w:eastAsia="zh-CN"/>
        </w:rPr>
        <w:t>ITU-T and ITU-R Sector Members.</w:t>
      </w:r>
      <w:r w:rsidR="003B5746" w:rsidRPr="00F45416">
        <w:rPr>
          <w:rFonts w:eastAsia="SimSun" w:cs="Arial"/>
          <w:color w:val="000000" w:themeColor="text1"/>
          <w:szCs w:val="24"/>
          <w:lang w:eastAsia="zh-CN"/>
        </w:rPr>
        <w:t xml:space="preserve"> </w:t>
      </w:r>
    </w:p>
    <w:p w14:paraId="337B2300" w14:textId="52CDF2CD" w:rsidR="0071474E" w:rsidRPr="00563219" w:rsidRDefault="0071474E" w:rsidP="00DD4106">
      <w:pPr>
        <w:jc w:val="both"/>
        <w:rPr>
          <w:rFonts w:eastAsia="Calibri" w:cs="Calibri"/>
        </w:rPr>
      </w:pPr>
      <w:r w:rsidRPr="00563219">
        <w:rPr>
          <w:rFonts w:eastAsia="Calibri" w:cs="Calibri"/>
        </w:rPr>
        <w:t>2.3</w:t>
      </w:r>
      <w:r w:rsidRPr="00563219">
        <w:rPr>
          <w:rFonts w:eastAsia="Calibri" w:cs="Calibri"/>
        </w:rPr>
        <w:tab/>
        <w:t xml:space="preserve">For the UIFN annual maintenance fee for 2018, invoices representing CHF 752 700 </w:t>
      </w:r>
      <w:r w:rsidR="00607549">
        <w:rPr>
          <w:rFonts w:eastAsia="Calibri" w:cs="Calibri"/>
        </w:rPr>
        <w:t>were</w:t>
      </w:r>
      <w:r w:rsidR="00607549" w:rsidRPr="00563219">
        <w:rPr>
          <w:rFonts w:eastAsia="Calibri" w:cs="Calibri"/>
        </w:rPr>
        <w:t xml:space="preserve"> </w:t>
      </w:r>
      <w:r w:rsidRPr="00563219">
        <w:rPr>
          <w:rFonts w:eastAsia="Calibri" w:cs="Calibri"/>
        </w:rPr>
        <w:t>sent out in January 2018</w:t>
      </w:r>
      <w:r w:rsidR="00B929D9" w:rsidRPr="00563219">
        <w:rPr>
          <w:rFonts w:eastAsia="Calibri" w:cs="Calibri"/>
        </w:rPr>
        <w:t xml:space="preserve">. Applying the principle of pro rata fee for newly joined </w:t>
      </w:r>
      <w:r w:rsidR="004E2172">
        <w:rPr>
          <w:rFonts w:eastAsia="Calibri" w:cs="Calibri"/>
        </w:rPr>
        <w:t>S</w:t>
      </w:r>
      <w:r w:rsidR="00F27DBB">
        <w:rPr>
          <w:rFonts w:eastAsia="Calibri" w:cs="Calibri"/>
        </w:rPr>
        <w:t xml:space="preserve">ector </w:t>
      </w:r>
      <w:r w:rsidR="004E2172">
        <w:rPr>
          <w:rFonts w:eastAsia="Calibri" w:cs="Calibri"/>
        </w:rPr>
        <w:t>M</w:t>
      </w:r>
      <w:r w:rsidR="00B929D9" w:rsidRPr="00563219">
        <w:rPr>
          <w:rFonts w:eastAsia="Calibri" w:cs="Calibri"/>
        </w:rPr>
        <w:t>embers</w:t>
      </w:r>
      <w:r w:rsidR="00563219">
        <w:rPr>
          <w:rFonts w:eastAsia="Calibri" w:cs="Calibri"/>
        </w:rPr>
        <w:t xml:space="preserve"> in 2018</w:t>
      </w:r>
      <w:r w:rsidRPr="00563219">
        <w:rPr>
          <w:rFonts w:eastAsia="Calibri" w:cs="Calibri"/>
        </w:rPr>
        <w:t xml:space="preserve">, </w:t>
      </w:r>
      <w:r w:rsidR="00563219">
        <w:rPr>
          <w:rFonts w:eastAsia="Calibri" w:cs="Calibri"/>
        </w:rPr>
        <w:t xml:space="preserve">the </w:t>
      </w:r>
      <w:r w:rsidR="00B929D9" w:rsidRPr="00563219">
        <w:rPr>
          <w:rFonts w:eastAsia="Calibri" w:cs="Calibri"/>
          <w:color w:val="000000" w:themeColor="text1"/>
        </w:rPr>
        <w:t>total amount to be paid</w:t>
      </w:r>
      <w:r w:rsidR="006A011B" w:rsidRPr="00563219">
        <w:rPr>
          <w:rFonts w:eastAsia="Calibri" w:cs="Calibri"/>
          <w:color w:val="000000" w:themeColor="text1"/>
        </w:rPr>
        <w:t xml:space="preserve"> </w:t>
      </w:r>
      <w:r w:rsidR="00F27DBB">
        <w:rPr>
          <w:rFonts w:eastAsia="Calibri" w:cs="Calibri"/>
          <w:color w:val="000000" w:themeColor="text1"/>
        </w:rPr>
        <w:t>was</w:t>
      </w:r>
      <w:r w:rsidR="00F27DBB" w:rsidRPr="00563219">
        <w:rPr>
          <w:rFonts w:eastAsia="Calibri" w:cs="Calibri"/>
          <w:color w:val="000000" w:themeColor="text1"/>
        </w:rPr>
        <w:t xml:space="preserve"> </w:t>
      </w:r>
      <w:r w:rsidR="006A011B" w:rsidRPr="00563219">
        <w:rPr>
          <w:rFonts w:eastAsia="Calibri" w:cs="Calibri"/>
          <w:color w:val="000000" w:themeColor="text1"/>
        </w:rPr>
        <w:t xml:space="preserve">CHF </w:t>
      </w:r>
      <w:r w:rsidR="00195B00" w:rsidRPr="00563219">
        <w:rPr>
          <w:rFonts w:eastAsia="Calibri" w:cs="Calibri"/>
          <w:color w:val="000000" w:themeColor="text1"/>
        </w:rPr>
        <w:t xml:space="preserve">562 </w:t>
      </w:r>
      <w:r w:rsidR="006A011B" w:rsidRPr="00563219">
        <w:rPr>
          <w:rFonts w:eastAsia="Calibri" w:cs="Calibri"/>
          <w:color w:val="000000" w:themeColor="text1"/>
        </w:rPr>
        <w:t xml:space="preserve">067. </w:t>
      </w:r>
      <w:r w:rsidR="00170165">
        <w:rPr>
          <w:rFonts w:eastAsia="Calibri" w:cs="Calibri"/>
          <w:color w:val="000000" w:themeColor="text1"/>
        </w:rPr>
        <w:t>As of 10</w:t>
      </w:r>
      <w:r w:rsidR="005C7F76" w:rsidRPr="00563219">
        <w:rPr>
          <w:rFonts w:eastAsia="Calibri" w:cs="Calibri"/>
          <w:color w:val="000000" w:themeColor="text1"/>
        </w:rPr>
        <w:t xml:space="preserve"> April</w:t>
      </w:r>
      <w:r w:rsidR="00607549">
        <w:rPr>
          <w:rFonts w:eastAsia="Calibri" w:cs="Calibri"/>
          <w:color w:val="000000" w:themeColor="text1"/>
        </w:rPr>
        <w:t xml:space="preserve"> 2019</w:t>
      </w:r>
      <w:r w:rsidR="005C7F76" w:rsidRPr="00563219">
        <w:rPr>
          <w:rFonts w:eastAsia="Calibri" w:cs="Calibri"/>
          <w:color w:val="000000" w:themeColor="text1"/>
        </w:rPr>
        <w:t xml:space="preserve">, </w:t>
      </w:r>
      <w:r w:rsidR="006A011B" w:rsidRPr="00563219">
        <w:rPr>
          <w:rFonts w:eastAsia="Calibri" w:cs="Calibri"/>
          <w:color w:val="000000" w:themeColor="text1"/>
        </w:rPr>
        <w:t xml:space="preserve">CHF </w:t>
      </w:r>
      <w:r w:rsidR="00195B00" w:rsidRPr="00563219">
        <w:rPr>
          <w:rFonts w:eastAsia="Calibri" w:cs="Calibri"/>
          <w:color w:val="000000" w:themeColor="text1"/>
        </w:rPr>
        <w:t xml:space="preserve">104 </w:t>
      </w:r>
      <w:r w:rsidR="006A011B" w:rsidRPr="00563219">
        <w:rPr>
          <w:rFonts w:eastAsia="Calibri" w:cs="Calibri"/>
          <w:color w:val="000000" w:themeColor="text1"/>
        </w:rPr>
        <w:t>900</w:t>
      </w:r>
      <w:r w:rsidR="00563219" w:rsidRPr="00563219">
        <w:rPr>
          <w:rFonts w:eastAsia="Calibri" w:cs="Calibri"/>
          <w:color w:val="000000" w:themeColor="text1"/>
        </w:rPr>
        <w:t xml:space="preserve"> </w:t>
      </w:r>
      <w:r w:rsidR="00111B2C">
        <w:rPr>
          <w:rFonts w:eastAsia="Calibri" w:cs="Calibri"/>
          <w:color w:val="000000" w:themeColor="text1"/>
        </w:rPr>
        <w:t xml:space="preserve">(18%) </w:t>
      </w:r>
      <w:r w:rsidR="00563219" w:rsidRPr="00563219">
        <w:rPr>
          <w:rFonts w:eastAsia="Calibri" w:cs="Calibri"/>
          <w:color w:val="000000" w:themeColor="text1"/>
        </w:rPr>
        <w:t>has</w:t>
      </w:r>
      <w:r w:rsidR="006A011B" w:rsidRPr="00563219">
        <w:rPr>
          <w:rFonts w:eastAsia="Calibri" w:cs="Calibri"/>
          <w:color w:val="000000" w:themeColor="text1"/>
        </w:rPr>
        <w:t xml:space="preserve"> been paid</w:t>
      </w:r>
      <w:r w:rsidR="00B929D9" w:rsidRPr="00563219">
        <w:rPr>
          <w:rFonts w:eastAsia="Calibri" w:cs="Calibri"/>
          <w:color w:val="000000" w:themeColor="text1"/>
        </w:rPr>
        <w:t>.</w:t>
      </w:r>
      <w:r w:rsidR="006A011B" w:rsidRPr="00563219">
        <w:rPr>
          <w:rFonts w:eastAsia="Calibri" w:cs="Calibri"/>
          <w:color w:val="000000" w:themeColor="text1"/>
        </w:rPr>
        <w:t xml:space="preserve"> </w:t>
      </w:r>
      <w:r w:rsidR="004E2172">
        <w:rPr>
          <w:rFonts w:eastAsia="Calibri" w:cs="Calibri"/>
          <w:color w:val="000000" w:themeColor="text1"/>
        </w:rPr>
        <w:t>It is</w:t>
      </w:r>
      <w:r w:rsidR="00111B2C">
        <w:rPr>
          <w:rFonts w:eastAsia="Calibri" w:cs="Calibri"/>
          <w:color w:val="000000" w:themeColor="text1"/>
        </w:rPr>
        <w:t xml:space="preserve"> important to note, h</w:t>
      </w:r>
      <w:r w:rsidR="00B929D9" w:rsidRPr="00563219">
        <w:rPr>
          <w:rFonts w:eastAsia="Calibri" w:cs="Calibri"/>
          <w:color w:val="000000" w:themeColor="text1"/>
        </w:rPr>
        <w:t xml:space="preserve">owever, </w:t>
      </w:r>
      <w:r w:rsidR="00111B2C">
        <w:rPr>
          <w:rFonts w:eastAsia="Calibri" w:cs="Calibri"/>
          <w:color w:val="000000" w:themeColor="text1"/>
        </w:rPr>
        <w:t xml:space="preserve">that </w:t>
      </w:r>
      <w:r w:rsidR="00595EA2" w:rsidRPr="00F45416">
        <w:rPr>
          <w:rFonts w:eastAsia="Calibri" w:cs="Calibri"/>
          <w:color w:val="000000" w:themeColor="text1"/>
        </w:rPr>
        <w:t xml:space="preserve">60% </w:t>
      </w:r>
      <w:r w:rsidR="00B929D9" w:rsidRPr="00F45416">
        <w:rPr>
          <w:rFonts w:eastAsia="Calibri" w:cs="Calibri"/>
          <w:color w:val="000000" w:themeColor="text1"/>
        </w:rPr>
        <w:t xml:space="preserve">percent of the unpaid </w:t>
      </w:r>
      <w:r w:rsidRPr="00563219">
        <w:rPr>
          <w:rFonts w:eastAsia="Calibri" w:cs="Calibri"/>
        </w:rPr>
        <w:t xml:space="preserve">CHF </w:t>
      </w:r>
      <w:r w:rsidR="006A011B" w:rsidRPr="00563219">
        <w:rPr>
          <w:rFonts w:eastAsia="Calibri" w:cs="Calibri"/>
        </w:rPr>
        <w:t xml:space="preserve">457 167 </w:t>
      </w:r>
      <w:r w:rsidR="00111B2C">
        <w:rPr>
          <w:rFonts w:eastAsia="Calibri" w:cs="Calibri"/>
        </w:rPr>
        <w:t>is</w:t>
      </w:r>
      <w:r w:rsidR="00111B2C" w:rsidRPr="00563219">
        <w:rPr>
          <w:rFonts w:eastAsia="Calibri" w:cs="Calibri"/>
        </w:rPr>
        <w:t xml:space="preserve"> </w:t>
      </w:r>
      <w:r w:rsidR="00111B2C">
        <w:rPr>
          <w:rFonts w:eastAsia="Calibri" w:cs="Calibri"/>
        </w:rPr>
        <w:t xml:space="preserve">due </w:t>
      </w:r>
      <w:r w:rsidR="00607549">
        <w:rPr>
          <w:rFonts w:eastAsia="Calibri" w:cs="Calibri"/>
        </w:rPr>
        <w:t xml:space="preserve">by </w:t>
      </w:r>
      <w:r w:rsidR="00111B2C">
        <w:rPr>
          <w:rFonts w:eastAsia="Calibri" w:cs="Calibri"/>
        </w:rPr>
        <w:t xml:space="preserve">only </w:t>
      </w:r>
      <w:r w:rsidR="00607549">
        <w:rPr>
          <w:rFonts w:eastAsia="Calibri" w:cs="Calibri"/>
        </w:rPr>
        <w:t>five</w:t>
      </w:r>
      <w:r w:rsidR="00607549" w:rsidRPr="00563219">
        <w:rPr>
          <w:rFonts w:eastAsia="Calibri" w:cs="Calibri"/>
        </w:rPr>
        <w:t xml:space="preserve"> </w:t>
      </w:r>
      <w:r w:rsidR="00B929D9" w:rsidRPr="00563219">
        <w:rPr>
          <w:rFonts w:eastAsia="Calibri" w:cs="Calibri"/>
        </w:rPr>
        <w:t>UIFN service providers</w:t>
      </w:r>
      <w:r w:rsidRPr="00563219">
        <w:rPr>
          <w:rFonts w:eastAsia="Calibri" w:cs="Calibri"/>
        </w:rPr>
        <w:t>.</w:t>
      </w:r>
      <w:r w:rsidR="003557B3" w:rsidRPr="00563219">
        <w:rPr>
          <w:rFonts w:eastAsia="Calibri" w:cs="Calibri"/>
        </w:rPr>
        <w:t xml:space="preserve"> </w:t>
      </w:r>
    </w:p>
    <w:p w14:paraId="15FA94BD" w14:textId="230DC55D" w:rsidR="00B34847" w:rsidRPr="00563219" w:rsidRDefault="00563219" w:rsidP="00DD4106">
      <w:pPr>
        <w:jc w:val="both"/>
        <w:rPr>
          <w:rFonts w:eastAsia="Calibri" w:cs="Calibri"/>
        </w:rPr>
      </w:pPr>
      <w:r>
        <w:rPr>
          <w:rFonts w:eastAsia="Calibri" w:cs="Calibri"/>
        </w:rPr>
        <w:t>2.4</w:t>
      </w:r>
      <w:r w:rsidR="00B34847" w:rsidRPr="00563219">
        <w:rPr>
          <w:rFonts w:eastAsia="Calibri" w:cs="Calibri"/>
        </w:rPr>
        <w:tab/>
      </w:r>
      <w:r w:rsidR="00111B2C" w:rsidRPr="00111B2C">
        <w:rPr>
          <w:rFonts w:eastAsia="Calibri" w:cs="Calibri"/>
        </w:rPr>
        <w:t>ITU-T SG2</w:t>
      </w:r>
      <w:r w:rsidR="004E2172">
        <w:rPr>
          <w:rFonts w:eastAsia="Calibri" w:cs="Calibri"/>
        </w:rPr>
        <w:t>,</w:t>
      </w:r>
      <w:r w:rsidR="00111B2C" w:rsidRPr="00111B2C">
        <w:rPr>
          <w:rFonts w:eastAsia="Calibri" w:cs="Calibri"/>
        </w:rPr>
        <w:t xml:space="preserve"> </w:t>
      </w:r>
      <w:r w:rsidR="00111B2C">
        <w:rPr>
          <w:rFonts w:eastAsia="Calibri" w:cs="Calibri"/>
        </w:rPr>
        <w:t>in its meeting of</w:t>
      </w:r>
      <w:r w:rsidR="00111B2C" w:rsidRPr="00111B2C">
        <w:rPr>
          <w:rFonts w:eastAsia="Calibri" w:cs="Calibri"/>
        </w:rPr>
        <w:t xml:space="preserve"> 19 to 28 February 2019</w:t>
      </w:r>
      <w:r w:rsidR="00111B2C">
        <w:rPr>
          <w:rFonts w:eastAsia="Calibri" w:cs="Calibri"/>
        </w:rPr>
        <w:t>, approved r</w:t>
      </w:r>
      <w:r w:rsidR="00B34847" w:rsidRPr="00563219">
        <w:rPr>
          <w:rFonts w:eastAsia="Calibri" w:cs="Calibri"/>
        </w:rPr>
        <w:t xml:space="preserve">evisions to Recommendation ITU-T E.169.1 “Application of Recommendation E.164 numbering plan for universal international </w:t>
      </w:r>
      <w:proofErr w:type="spellStart"/>
      <w:r w:rsidR="00B34847" w:rsidRPr="00563219">
        <w:rPr>
          <w:rFonts w:eastAsia="Calibri" w:cs="Calibri"/>
        </w:rPr>
        <w:t>freephone</w:t>
      </w:r>
      <w:proofErr w:type="spellEnd"/>
      <w:r w:rsidR="00B34847" w:rsidRPr="00563219">
        <w:rPr>
          <w:rFonts w:eastAsia="Calibri" w:cs="Calibri"/>
        </w:rPr>
        <w:t xml:space="preserve"> numbers for international </w:t>
      </w:r>
      <w:proofErr w:type="spellStart"/>
      <w:r w:rsidR="00B34847" w:rsidRPr="00563219">
        <w:rPr>
          <w:rFonts w:eastAsia="Calibri" w:cs="Calibri"/>
        </w:rPr>
        <w:t>freephone</w:t>
      </w:r>
      <w:proofErr w:type="spellEnd"/>
      <w:r w:rsidR="00B34847" w:rsidRPr="00563219">
        <w:rPr>
          <w:rFonts w:eastAsia="Calibri" w:cs="Calibri"/>
        </w:rPr>
        <w:t xml:space="preserve"> service” and ITU-T E.118 “The international telecommunication charge card” to reflect Council Decision 600 and 601. </w:t>
      </w:r>
    </w:p>
    <w:p w14:paraId="4928D30D" w14:textId="33D1D0FC" w:rsidR="0071474E" w:rsidRDefault="00563219" w:rsidP="00DD4106">
      <w:pPr>
        <w:jc w:val="both"/>
        <w:rPr>
          <w:rFonts w:eastAsia="Calibri" w:cs="Calibri"/>
        </w:rPr>
      </w:pPr>
      <w:r>
        <w:rPr>
          <w:rFonts w:eastAsia="Calibri" w:cs="Calibri"/>
        </w:rPr>
        <w:t>2.5</w:t>
      </w:r>
      <w:r w:rsidR="0071474E" w:rsidRPr="00563219">
        <w:rPr>
          <w:rFonts w:eastAsia="Calibri" w:cs="Calibri"/>
        </w:rPr>
        <w:tab/>
        <w:t xml:space="preserve">The list of invoices for IIN annual maintenance fee for 2018 </w:t>
      </w:r>
      <w:r w:rsidR="00497DD1" w:rsidRPr="00563219">
        <w:rPr>
          <w:rFonts w:eastAsia="Calibri" w:cs="Calibri"/>
        </w:rPr>
        <w:t xml:space="preserve">and 2019 </w:t>
      </w:r>
      <w:r w:rsidR="0071474E" w:rsidRPr="00563219">
        <w:rPr>
          <w:rFonts w:eastAsia="Calibri" w:cs="Calibri"/>
        </w:rPr>
        <w:t xml:space="preserve">has not been generated yet </w:t>
      </w:r>
      <w:r w:rsidR="00B34847" w:rsidRPr="00563219">
        <w:rPr>
          <w:rFonts w:eastAsia="Calibri" w:cs="Calibri"/>
        </w:rPr>
        <w:t xml:space="preserve">as </w:t>
      </w:r>
      <w:r w:rsidR="004E2172">
        <w:rPr>
          <w:rFonts w:eastAsia="Calibri" w:cs="Calibri"/>
        </w:rPr>
        <w:t>the secretariat</w:t>
      </w:r>
      <w:r w:rsidR="00B34847" w:rsidRPr="00563219">
        <w:rPr>
          <w:rFonts w:eastAsia="Calibri" w:cs="Calibri"/>
        </w:rPr>
        <w:t xml:space="preserve"> continue</w:t>
      </w:r>
      <w:r w:rsidR="004E2172">
        <w:rPr>
          <w:rFonts w:eastAsia="Calibri" w:cs="Calibri"/>
        </w:rPr>
        <w:t>s</w:t>
      </w:r>
      <w:r w:rsidR="00B34847" w:rsidRPr="00563219">
        <w:rPr>
          <w:rFonts w:eastAsia="Calibri" w:cs="Calibri"/>
        </w:rPr>
        <w:t xml:space="preserve"> to seek</w:t>
      </w:r>
      <w:r w:rsidR="0071474E" w:rsidRPr="00563219">
        <w:rPr>
          <w:rFonts w:eastAsia="Calibri" w:cs="Calibri"/>
        </w:rPr>
        <w:t xml:space="preserve"> confirmation of contacts</w:t>
      </w:r>
      <w:r w:rsidR="00B34847" w:rsidRPr="00563219">
        <w:rPr>
          <w:rFonts w:eastAsia="Calibri" w:cs="Calibri"/>
        </w:rPr>
        <w:t xml:space="preserve"> from </w:t>
      </w:r>
      <w:r w:rsidR="00B34847" w:rsidRPr="00563219">
        <w:rPr>
          <w:rFonts w:asciiTheme="minorHAnsi" w:hAnsiTheme="minorHAnsi"/>
          <w:lang w:val="en-US"/>
        </w:rPr>
        <w:t xml:space="preserve">national Administrations/regulators or authorized agencies </w:t>
      </w:r>
      <w:r w:rsidR="0071474E" w:rsidRPr="00563219">
        <w:rPr>
          <w:rFonts w:eastAsia="Calibri" w:cs="Calibri"/>
        </w:rPr>
        <w:t>for IIN assignees.</w:t>
      </w:r>
      <w:r w:rsidR="00497DD1">
        <w:rPr>
          <w:rFonts w:eastAsia="Calibri" w:cs="Calibri"/>
        </w:rPr>
        <w:t xml:space="preserve"> </w:t>
      </w:r>
    </w:p>
    <w:p w14:paraId="25EF5258" w14:textId="77777777" w:rsidR="0071474E" w:rsidRPr="00812B8E" w:rsidRDefault="0071474E" w:rsidP="00AC4DFE">
      <w:pPr>
        <w:pStyle w:val="Heading1"/>
        <w:spacing w:before="360"/>
        <w:jc w:val="both"/>
        <w:rPr>
          <w:rFonts w:eastAsia="Calibri"/>
          <w:sz w:val="24"/>
          <w:szCs w:val="24"/>
        </w:rPr>
      </w:pPr>
      <w:r w:rsidRPr="00812B8E">
        <w:rPr>
          <w:rFonts w:eastAsia="Calibri"/>
          <w:sz w:val="24"/>
          <w:szCs w:val="24"/>
        </w:rPr>
        <w:t>3</w:t>
      </w:r>
      <w:r w:rsidRPr="00812B8E">
        <w:rPr>
          <w:rFonts w:eastAsia="Calibri"/>
          <w:sz w:val="24"/>
          <w:szCs w:val="24"/>
        </w:rPr>
        <w:tab/>
      </w:r>
      <w:r w:rsidRPr="00DE7A50">
        <w:rPr>
          <w:rFonts w:eastAsia="Calibri"/>
          <w:sz w:val="24"/>
          <w:szCs w:val="24"/>
        </w:rPr>
        <w:t>Status of the contacts for UIFN service providers and IIN assignees</w:t>
      </w:r>
    </w:p>
    <w:p w14:paraId="6936CE69" w14:textId="754F419A" w:rsidR="0071474E" w:rsidRDefault="0071474E" w:rsidP="00DD4106">
      <w:pPr>
        <w:jc w:val="both"/>
        <w:rPr>
          <w:rFonts w:asciiTheme="minorHAnsi" w:hAnsiTheme="minorHAnsi"/>
          <w:lang w:val="en-US"/>
        </w:rPr>
      </w:pPr>
      <w:r>
        <w:rPr>
          <w:rFonts w:eastAsia="Calibri" w:cs="Calibri"/>
        </w:rPr>
        <w:t>3</w:t>
      </w:r>
      <w:r w:rsidRPr="75B8D686">
        <w:rPr>
          <w:rFonts w:eastAsia="Calibri" w:cs="Calibri"/>
        </w:rPr>
        <w:t>.1</w:t>
      </w:r>
      <w:r>
        <w:tab/>
        <w:t xml:space="preserve">In 2017, </w:t>
      </w:r>
      <w:r w:rsidRPr="00720A57">
        <w:rPr>
          <w:rFonts w:asciiTheme="minorHAnsi" w:hAnsiTheme="minorHAnsi"/>
          <w:lang w:val="en-US"/>
        </w:rPr>
        <w:t xml:space="preserve">TSB initiated the process to notify 166 service providers of UIFN (Universal International </w:t>
      </w:r>
      <w:proofErr w:type="spellStart"/>
      <w:r w:rsidRPr="00720A57">
        <w:rPr>
          <w:rFonts w:asciiTheme="minorHAnsi" w:hAnsiTheme="minorHAnsi"/>
          <w:lang w:val="en-US"/>
        </w:rPr>
        <w:t>Freephone</w:t>
      </w:r>
      <w:proofErr w:type="spellEnd"/>
      <w:r w:rsidRPr="00720A57">
        <w:rPr>
          <w:rFonts w:asciiTheme="minorHAnsi" w:hAnsiTheme="minorHAnsi"/>
          <w:lang w:val="en-US"/>
        </w:rPr>
        <w:t xml:space="preserve"> Number) and 787 assignees of IIN (Issuer Identifier Number). </w:t>
      </w:r>
      <w:r w:rsidRPr="007D7068">
        <w:rPr>
          <w:rFonts w:asciiTheme="minorHAnsi" w:hAnsiTheme="minorHAnsi"/>
          <w:lang w:val="en-US"/>
        </w:rPr>
        <w:t>Over 3000 emails were sent out to assignees, to regulators, and to answer queries</w:t>
      </w:r>
      <w:r>
        <w:rPr>
          <w:rFonts w:asciiTheme="minorHAnsi" w:hAnsiTheme="minorHAnsi"/>
          <w:lang w:val="en-US"/>
        </w:rPr>
        <w:t xml:space="preserve"> in 2017</w:t>
      </w:r>
      <w:r w:rsidRPr="007D7068">
        <w:rPr>
          <w:rFonts w:asciiTheme="minorHAnsi" w:hAnsiTheme="minorHAnsi"/>
          <w:lang w:val="en-US"/>
        </w:rPr>
        <w:t>.</w:t>
      </w:r>
    </w:p>
    <w:p w14:paraId="7699872E" w14:textId="51BC431C" w:rsidR="0018601D" w:rsidRDefault="0071474E" w:rsidP="00DD4106">
      <w:pPr>
        <w:jc w:val="both"/>
        <w:rPr>
          <w:rFonts w:asciiTheme="minorHAnsi" w:hAnsiTheme="minorHAnsi"/>
          <w:lang w:val="en-US"/>
        </w:rPr>
      </w:pPr>
      <w:r w:rsidRPr="00E86D13">
        <w:rPr>
          <w:rFonts w:asciiTheme="minorHAnsi" w:hAnsiTheme="minorHAnsi"/>
          <w:lang w:val="en-US"/>
        </w:rPr>
        <w:lastRenderedPageBreak/>
        <w:t>3.2</w:t>
      </w:r>
      <w:r w:rsidRPr="00E86D13">
        <w:rPr>
          <w:rFonts w:asciiTheme="minorHAnsi" w:hAnsiTheme="minorHAnsi"/>
          <w:lang w:val="en-US"/>
        </w:rPr>
        <w:tab/>
      </w:r>
      <w:r w:rsidR="00B34847" w:rsidRPr="00E86D13">
        <w:rPr>
          <w:rFonts w:asciiTheme="minorHAnsi" w:hAnsiTheme="minorHAnsi"/>
          <w:lang w:val="en-US"/>
        </w:rPr>
        <w:t xml:space="preserve">Since </w:t>
      </w:r>
      <w:r w:rsidRPr="00E86D13">
        <w:rPr>
          <w:rFonts w:asciiTheme="minorHAnsi" w:hAnsiTheme="minorHAnsi"/>
          <w:lang w:val="en-US"/>
        </w:rPr>
        <w:t>Council 2018,</w:t>
      </w:r>
      <w:r w:rsidR="0018601D" w:rsidRPr="00E86D13">
        <w:rPr>
          <w:rFonts w:asciiTheme="minorHAnsi" w:hAnsiTheme="minorHAnsi"/>
          <w:lang w:val="en-US"/>
        </w:rPr>
        <w:t xml:space="preserve"> </w:t>
      </w:r>
      <w:r w:rsidR="00B34847" w:rsidRPr="00E86D13">
        <w:rPr>
          <w:rFonts w:asciiTheme="minorHAnsi" w:hAnsiTheme="minorHAnsi"/>
          <w:lang w:val="en-US"/>
        </w:rPr>
        <w:t>and up</w:t>
      </w:r>
      <w:r w:rsidR="00E86D13" w:rsidRPr="00E86D13">
        <w:rPr>
          <w:rFonts w:asciiTheme="minorHAnsi" w:hAnsiTheme="minorHAnsi"/>
          <w:lang w:val="en-US"/>
        </w:rPr>
        <w:t xml:space="preserve"> </w:t>
      </w:r>
      <w:r w:rsidR="00B34847" w:rsidRPr="00E86D13">
        <w:rPr>
          <w:rFonts w:asciiTheme="minorHAnsi" w:hAnsiTheme="minorHAnsi"/>
          <w:lang w:val="en-US"/>
        </w:rPr>
        <w:t>to</w:t>
      </w:r>
      <w:r w:rsidR="00300FA8" w:rsidRPr="00E86D13">
        <w:rPr>
          <w:rFonts w:asciiTheme="minorHAnsi" w:hAnsiTheme="minorHAnsi"/>
          <w:lang w:val="en-US"/>
        </w:rPr>
        <w:t xml:space="preserve"> </w:t>
      </w:r>
      <w:r w:rsidR="008B59AD">
        <w:rPr>
          <w:rFonts w:asciiTheme="minorHAnsi" w:hAnsiTheme="minorHAnsi"/>
          <w:lang w:val="en-US"/>
        </w:rPr>
        <w:t>10</w:t>
      </w:r>
      <w:r w:rsidR="00E86D13">
        <w:rPr>
          <w:rFonts w:asciiTheme="minorHAnsi" w:hAnsiTheme="minorHAnsi"/>
          <w:lang w:val="en-US"/>
        </w:rPr>
        <w:t xml:space="preserve"> April</w:t>
      </w:r>
      <w:r w:rsidR="00B34847" w:rsidRPr="00E86D13">
        <w:rPr>
          <w:rFonts w:asciiTheme="minorHAnsi" w:hAnsiTheme="minorHAnsi"/>
          <w:lang w:val="en-US"/>
        </w:rPr>
        <w:t xml:space="preserve"> 2019</w:t>
      </w:r>
      <w:r w:rsidR="0018601D" w:rsidRPr="00E86D13">
        <w:rPr>
          <w:rFonts w:asciiTheme="minorHAnsi" w:hAnsiTheme="minorHAnsi"/>
          <w:lang w:val="en-US"/>
        </w:rPr>
        <w:t xml:space="preserve">, </w:t>
      </w:r>
      <w:r w:rsidRPr="00E86D13">
        <w:rPr>
          <w:rFonts w:asciiTheme="minorHAnsi" w:hAnsiTheme="minorHAnsi"/>
          <w:lang w:val="en-US"/>
        </w:rPr>
        <w:t xml:space="preserve">TSB contacted </w:t>
      </w:r>
      <w:r w:rsidR="00300FA8" w:rsidRPr="00E86D13">
        <w:rPr>
          <w:rFonts w:asciiTheme="minorHAnsi" w:hAnsiTheme="minorHAnsi"/>
          <w:lang w:val="en-US"/>
        </w:rPr>
        <w:t>134</w:t>
      </w:r>
      <w:r w:rsidRPr="00E86D13">
        <w:rPr>
          <w:rFonts w:asciiTheme="minorHAnsi" w:hAnsiTheme="minorHAnsi"/>
          <w:lang w:val="en-US"/>
        </w:rPr>
        <w:t xml:space="preserve"> national Administrations/regulators or authorized agencies </w:t>
      </w:r>
      <w:r w:rsidR="008378F0" w:rsidRPr="00E86D13">
        <w:rPr>
          <w:rFonts w:asciiTheme="minorHAnsi" w:hAnsiTheme="minorHAnsi"/>
          <w:lang w:val="en-US"/>
        </w:rPr>
        <w:t>regarding</w:t>
      </w:r>
      <w:r w:rsidRPr="00E86D13">
        <w:rPr>
          <w:rFonts w:asciiTheme="minorHAnsi" w:hAnsiTheme="minorHAnsi"/>
          <w:lang w:val="en-US"/>
        </w:rPr>
        <w:t xml:space="preserve"> 573 IINs. </w:t>
      </w:r>
      <w:r w:rsidR="00B34847" w:rsidRPr="00E86D13">
        <w:rPr>
          <w:rFonts w:asciiTheme="minorHAnsi" w:hAnsiTheme="minorHAnsi"/>
          <w:lang w:val="en-US"/>
        </w:rPr>
        <w:t xml:space="preserve">Fifty-one </w:t>
      </w:r>
      <w:r w:rsidR="00111B2C">
        <w:rPr>
          <w:rFonts w:asciiTheme="minorHAnsi" w:hAnsiTheme="minorHAnsi"/>
          <w:lang w:val="en-US"/>
        </w:rPr>
        <w:t xml:space="preserve">(38%) </w:t>
      </w:r>
      <w:r w:rsidR="00B34847" w:rsidRPr="00E86D13">
        <w:rPr>
          <w:rFonts w:asciiTheme="minorHAnsi" w:hAnsiTheme="minorHAnsi"/>
          <w:lang w:val="en-US"/>
        </w:rPr>
        <w:t>national regulators</w:t>
      </w:r>
      <w:r w:rsidRPr="00E86D13">
        <w:rPr>
          <w:rFonts w:asciiTheme="minorHAnsi" w:hAnsiTheme="minorHAnsi"/>
          <w:lang w:val="en-US"/>
        </w:rPr>
        <w:t xml:space="preserve"> have responded and provided </w:t>
      </w:r>
      <w:r w:rsidR="0018601D" w:rsidRPr="00E86D13">
        <w:rPr>
          <w:rFonts w:asciiTheme="minorHAnsi" w:hAnsiTheme="minorHAnsi"/>
          <w:lang w:val="en-US"/>
        </w:rPr>
        <w:t>assistance</w:t>
      </w:r>
      <w:r w:rsidR="00B34847" w:rsidRPr="00E86D13">
        <w:rPr>
          <w:rFonts w:asciiTheme="minorHAnsi" w:hAnsiTheme="minorHAnsi"/>
          <w:lang w:val="en-US"/>
        </w:rPr>
        <w:t xml:space="preserve"> for 186 IINs</w:t>
      </w:r>
      <w:r w:rsidR="00111B2C">
        <w:rPr>
          <w:rFonts w:asciiTheme="minorHAnsi" w:hAnsiTheme="minorHAnsi"/>
          <w:lang w:val="en-US"/>
        </w:rPr>
        <w:t xml:space="preserve"> (32%)</w:t>
      </w:r>
      <w:r w:rsidR="0018601D" w:rsidRPr="00E86D13">
        <w:rPr>
          <w:rFonts w:asciiTheme="minorHAnsi" w:hAnsiTheme="minorHAnsi"/>
          <w:lang w:val="en-US"/>
        </w:rPr>
        <w:t>.</w:t>
      </w:r>
      <w:r w:rsidR="0018601D">
        <w:rPr>
          <w:rFonts w:asciiTheme="minorHAnsi" w:hAnsiTheme="minorHAnsi"/>
          <w:lang w:val="en-US"/>
        </w:rPr>
        <w:t xml:space="preserve"> </w:t>
      </w:r>
    </w:p>
    <w:p w14:paraId="13DF881F" w14:textId="1C3C5404" w:rsidR="0044615C" w:rsidRDefault="0044615C" w:rsidP="00E02665">
      <w:pPr>
        <w:jc w:val="both"/>
        <w:rPr>
          <w:rFonts w:asciiTheme="minorHAnsi" w:hAnsiTheme="minorHAnsi"/>
          <w:szCs w:val="24"/>
        </w:rPr>
      </w:pPr>
      <w:r>
        <w:rPr>
          <w:rFonts w:asciiTheme="minorHAnsi" w:hAnsiTheme="minorHAnsi"/>
          <w:szCs w:val="24"/>
        </w:rPr>
        <w:t>3.3</w:t>
      </w:r>
      <w:r>
        <w:rPr>
          <w:rFonts w:asciiTheme="minorHAnsi" w:hAnsiTheme="minorHAnsi"/>
          <w:szCs w:val="24"/>
        </w:rPr>
        <w:tab/>
      </w:r>
      <w:r w:rsidRPr="00E86D13">
        <w:rPr>
          <w:rFonts w:asciiTheme="minorHAnsi" w:hAnsiTheme="minorHAnsi"/>
          <w:szCs w:val="24"/>
        </w:rPr>
        <w:t xml:space="preserve">As of </w:t>
      </w:r>
      <w:r w:rsidR="008B59AD">
        <w:rPr>
          <w:rFonts w:asciiTheme="minorHAnsi" w:hAnsiTheme="minorHAnsi"/>
          <w:szCs w:val="24"/>
        </w:rPr>
        <w:t>10</w:t>
      </w:r>
      <w:r w:rsidRPr="00E86D13">
        <w:rPr>
          <w:rFonts w:asciiTheme="minorHAnsi" w:hAnsiTheme="minorHAnsi"/>
          <w:szCs w:val="24"/>
        </w:rPr>
        <w:t xml:space="preserve"> </w:t>
      </w:r>
      <w:r w:rsidR="00B04620" w:rsidRPr="00E86D13">
        <w:rPr>
          <w:rFonts w:asciiTheme="minorHAnsi" w:hAnsiTheme="minorHAnsi"/>
          <w:szCs w:val="24"/>
        </w:rPr>
        <w:t>April</w:t>
      </w:r>
      <w:r w:rsidRPr="00E86D13">
        <w:rPr>
          <w:rFonts w:asciiTheme="minorHAnsi" w:hAnsiTheme="minorHAnsi"/>
          <w:szCs w:val="24"/>
        </w:rPr>
        <w:t xml:space="preserve"> 2019, the </w:t>
      </w:r>
      <w:r w:rsidR="008378F0" w:rsidRPr="00E86D13">
        <w:rPr>
          <w:rFonts w:asciiTheme="minorHAnsi" w:hAnsiTheme="minorHAnsi"/>
          <w:szCs w:val="24"/>
        </w:rPr>
        <w:t xml:space="preserve">contact information </w:t>
      </w:r>
      <w:r w:rsidRPr="00E86D13">
        <w:rPr>
          <w:rFonts w:asciiTheme="minorHAnsi" w:hAnsiTheme="minorHAnsi"/>
          <w:szCs w:val="24"/>
        </w:rPr>
        <w:t>status of 79</w:t>
      </w:r>
      <w:r w:rsidR="00E02665">
        <w:rPr>
          <w:rFonts w:asciiTheme="minorHAnsi" w:hAnsiTheme="minorHAnsi"/>
          <w:szCs w:val="24"/>
        </w:rPr>
        <w:t>8</w:t>
      </w:r>
      <w:r w:rsidRPr="00E86D13">
        <w:rPr>
          <w:rFonts w:asciiTheme="minorHAnsi" w:hAnsiTheme="minorHAnsi"/>
          <w:szCs w:val="24"/>
        </w:rPr>
        <w:t xml:space="preserve"> IINs kept in ITU database is shown in the figure below.</w:t>
      </w:r>
    </w:p>
    <w:p w14:paraId="00B9794D" w14:textId="77777777" w:rsidR="008B59AD" w:rsidRDefault="008B59AD" w:rsidP="008B59AD">
      <w:pPr>
        <w:jc w:val="center"/>
        <w:rPr>
          <w:rFonts w:asciiTheme="minorHAnsi" w:hAnsiTheme="minorHAnsi"/>
          <w:szCs w:val="24"/>
        </w:rPr>
      </w:pPr>
    </w:p>
    <w:p w14:paraId="4E9ECECA" w14:textId="658A62FA" w:rsidR="008B59AD" w:rsidRDefault="00E02665" w:rsidP="008B59AD">
      <w:pPr>
        <w:jc w:val="center"/>
        <w:rPr>
          <w:rFonts w:asciiTheme="minorHAnsi" w:hAnsiTheme="minorHAnsi"/>
          <w:szCs w:val="24"/>
        </w:rPr>
      </w:pPr>
      <w:r>
        <w:rPr>
          <w:rFonts w:asciiTheme="minorHAnsi" w:hAnsiTheme="minorHAnsi"/>
          <w:noProof/>
          <w:szCs w:val="24"/>
          <w:lang w:eastAsia="zh-CN"/>
        </w:rPr>
        <w:drawing>
          <wp:inline distT="0" distB="0" distL="0" distR="0" wp14:anchorId="09040B2F" wp14:editId="7B2DAEF0">
            <wp:extent cx="4493260" cy="27559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3260" cy="2755900"/>
                    </a:xfrm>
                    <a:prstGeom prst="rect">
                      <a:avLst/>
                    </a:prstGeom>
                    <a:noFill/>
                  </pic:spPr>
                </pic:pic>
              </a:graphicData>
            </a:graphic>
          </wp:inline>
        </w:drawing>
      </w:r>
    </w:p>
    <w:p w14:paraId="55E96274" w14:textId="70593649" w:rsidR="008B59AD" w:rsidRPr="00AC4DFE" w:rsidRDefault="00E02665" w:rsidP="0044615C">
      <w:pPr>
        <w:rPr>
          <w:rFonts w:asciiTheme="minorHAnsi" w:hAnsiTheme="minorHAnsi"/>
          <w:sz w:val="20"/>
        </w:rPr>
      </w:pPr>
      <w:r w:rsidRPr="00AC4DFE">
        <w:rPr>
          <w:rFonts w:asciiTheme="minorHAnsi" w:hAnsiTheme="minorHAnsi"/>
          <w:sz w:val="20"/>
        </w:rPr>
        <w:t>Note: the number of IIN records for the countries listed in the above figure include geographic areas under their Administrations.</w:t>
      </w:r>
    </w:p>
    <w:p w14:paraId="62D0FEFF" w14:textId="79627EC5" w:rsidR="0071474E" w:rsidRDefault="0071474E" w:rsidP="00AC4DFE">
      <w:pPr>
        <w:spacing w:before="240"/>
        <w:jc w:val="both"/>
        <w:rPr>
          <w:rFonts w:asciiTheme="minorHAnsi" w:hAnsiTheme="minorHAnsi"/>
          <w:szCs w:val="24"/>
        </w:rPr>
      </w:pPr>
      <w:r w:rsidRPr="00E86D13">
        <w:rPr>
          <w:rFonts w:asciiTheme="minorHAnsi" w:hAnsiTheme="minorHAnsi"/>
          <w:szCs w:val="24"/>
        </w:rPr>
        <w:t>3</w:t>
      </w:r>
      <w:r w:rsidRPr="00E46443">
        <w:rPr>
          <w:rFonts w:asciiTheme="minorHAnsi" w:hAnsiTheme="minorHAnsi"/>
          <w:szCs w:val="24"/>
        </w:rPr>
        <w:t>.</w:t>
      </w:r>
      <w:r w:rsidR="0044615C" w:rsidRPr="00E46443">
        <w:rPr>
          <w:rFonts w:asciiTheme="minorHAnsi" w:hAnsiTheme="minorHAnsi"/>
          <w:szCs w:val="24"/>
        </w:rPr>
        <w:t>4</w:t>
      </w:r>
      <w:r w:rsidRPr="00E46443">
        <w:rPr>
          <w:rFonts w:asciiTheme="minorHAnsi" w:hAnsiTheme="minorHAnsi"/>
          <w:szCs w:val="24"/>
        </w:rPr>
        <w:tab/>
      </w:r>
      <w:r w:rsidR="006D726D" w:rsidRPr="00E46443">
        <w:rPr>
          <w:rFonts w:asciiTheme="minorHAnsi" w:hAnsiTheme="minorHAnsi"/>
          <w:szCs w:val="24"/>
        </w:rPr>
        <w:t xml:space="preserve">Consultation </w:t>
      </w:r>
      <w:r w:rsidRPr="00E46443">
        <w:rPr>
          <w:rFonts w:asciiTheme="minorHAnsi" w:hAnsiTheme="minorHAnsi"/>
          <w:szCs w:val="24"/>
        </w:rPr>
        <w:t xml:space="preserve">on </w:t>
      </w:r>
      <w:r w:rsidR="00111B2C">
        <w:rPr>
          <w:rFonts w:asciiTheme="minorHAnsi" w:hAnsiTheme="minorHAnsi"/>
          <w:szCs w:val="24"/>
        </w:rPr>
        <w:t xml:space="preserve">the up-to-date </w:t>
      </w:r>
      <w:r w:rsidRPr="00E46443">
        <w:rPr>
          <w:rFonts w:asciiTheme="minorHAnsi" w:hAnsiTheme="minorHAnsi"/>
          <w:szCs w:val="24"/>
        </w:rPr>
        <w:t>contact</w:t>
      </w:r>
      <w:r w:rsidR="00111B2C">
        <w:rPr>
          <w:rFonts w:asciiTheme="minorHAnsi" w:hAnsiTheme="minorHAnsi"/>
          <w:szCs w:val="24"/>
        </w:rPr>
        <w:t xml:space="preserve"> information</w:t>
      </w:r>
      <w:r w:rsidRPr="00E46443">
        <w:rPr>
          <w:rFonts w:asciiTheme="minorHAnsi" w:hAnsiTheme="minorHAnsi"/>
          <w:szCs w:val="24"/>
        </w:rPr>
        <w:t xml:space="preserve"> </w:t>
      </w:r>
      <w:r w:rsidR="00A82D82" w:rsidRPr="00E46443">
        <w:rPr>
          <w:rFonts w:asciiTheme="minorHAnsi" w:hAnsiTheme="minorHAnsi"/>
          <w:szCs w:val="24"/>
        </w:rPr>
        <w:t xml:space="preserve">of </w:t>
      </w:r>
      <w:r w:rsidR="00E46443" w:rsidRPr="00E46443">
        <w:rPr>
          <w:rFonts w:asciiTheme="minorHAnsi" w:hAnsiTheme="minorHAnsi"/>
          <w:color w:val="000000" w:themeColor="text1"/>
          <w:szCs w:val="24"/>
        </w:rPr>
        <w:t xml:space="preserve">33 </w:t>
      </w:r>
      <w:r w:rsidR="00E46443">
        <w:rPr>
          <w:rFonts w:asciiTheme="minorHAnsi" w:hAnsiTheme="minorHAnsi"/>
          <w:color w:val="000000" w:themeColor="text1"/>
          <w:szCs w:val="24"/>
        </w:rPr>
        <w:t xml:space="preserve">service providers for 204 UIFNs </w:t>
      </w:r>
      <w:r w:rsidR="00111B2C">
        <w:rPr>
          <w:rFonts w:asciiTheme="minorHAnsi" w:hAnsiTheme="minorHAnsi"/>
          <w:color w:val="000000" w:themeColor="text1"/>
          <w:szCs w:val="24"/>
        </w:rPr>
        <w:t xml:space="preserve">is </w:t>
      </w:r>
      <w:r w:rsidR="006D726D" w:rsidRPr="00E46443">
        <w:rPr>
          <w:rFonts w:asciiTheme="minorHAnsi" w:hAnsiTheme="minorHAnsi"/>
          <w:szCs w:val="24"/>
        </w:rPr>
        <w:t xml:space="preserve">still </w:t>
      </w:r>
      <w:r w:rsidRPr="00E46443">
        <w:rPr>
          <w:rFonts w:asciiTheme="minorHAnsi" w:hAnsiTheme="minorHAnsi"/>
          <w:szCs w:val="24"/>
        </w:rPr>
        <w:t xml:space="preserve">ongoing. </w:t>
      </w:r>
      <w:r w:rsidR="006D726D" w:rsidRPr="00E46443">
        <w:rPr>
          <w:rFonts w:asciiTheme="minorHAnsi" w:hAnsiTheme="minorHAnsi"/>
          <w:szCs w:val="24"/>
        </w:rPr>
        <w:t xml:space="preserve">The list </w:t>
      </w:r>
      <w:r w:rsidR="00B85C69" w:rsidRPr="00E46443">
        <w:rPr>
          <w:rFonts w:asciiTheme="minorHAnsi" w:hAnsiTheme="minorHAnsi"/>
          <w:szCs w:val="24"/>
        </w:rPr>
        <w:t xml:space="preserve">of UIFN service providers </w:t>
      </w:r>
      <w:r w:rsidR="006D726D" w:rsidRPr="00E46443">
        <w:rPr>
          <w:rFonts w:asciiTheme="minorHAnsi" w:hAnsiTheme="minorHAnsi"/>
          <w:szCs w:val="24"/>
        </w:rPr>
        <w:t xml:space="preserve">is provided in Annex </w:t>
      </w:r>
      <w:r w:rsidR="00B85C69" w:rsidRPr="00E46443">
        <w:rPr>
          <w:rFonts w:asciiTheme="minorHAnsi" w:hAnsiTheme="minorHAnsi"/>
          <w:szCs w:val="24"/>
        </w:rPr>
        <w:t>C</w:t>
      </w:r>
      <w:r w:rsidR="003706F2" w:rsidRPr="00E46443">
        <w:rPr>
          <w:rFonts w:asciiTheme="minorHAnsi" w:hAnsiTheme="minorHAnsi"/>
          <w:szCs w:val="24"/>
        </w:rPr>
        <w:t>.</w:t>
      </w:r>
    </w:p>
    <w:p w14:paraId="0DE7EE8F" w14:textId="728B7FC6" w:rsidR="00604C4B" w:rsidRPr="003C2F8E" w:rsidRDefault="00604C4B" w:rsidP="00AC4DFE">
      <w:pPr>
        <w:spacing w:before="360"/>
        <w:jc w:val="both"/>
        <w:rPr>
          <w:rFonts w:eastAsia="Calibri"/>
          <w:b/>
          <w:szCs w:val="24"/>
        </w:rPr>
      </w:pPr>
      <w:r w:rsidRPr="003C2F8E">
        <w:rPr>
          <w:rFonts w:eastAsia="Calibri"/>
          <w:b/>
          <w:szCs w:val="24"/>
        </w:rPr>
        <w:t>4</w:t>
      </w:r>
      <w:r w:rsidRPr="003C2F8E">
        <w:rPr>
          <w:rFonts w:eastAsia="Calibri"/>
          <w:b/>
          <w:szCs w:val="24"/>
        </w:rPr>
        <w:tab/>
        <w:t>Observations</w:t>
      </w:r>
    </w:p>
    <w:p w14:paraId="15B78C57" w14:textId="6BE04561" w:rsidR="00604C4B" w:rsidRDefault="00604C4B" w:rsidP="004E2172">
      <w:pPr>
        <w:jc w:val="both"/>
      </w:pPr>
      <w:r>
        <w:rPr>
          <w:rFonts w:eastAsia="Calibri" w:cs="Calibri"/>
        </w:rPr>
        <w:t>4</w:t>
      </w:r>
      <w:r w:rsidRPr="75B8D686">
        <w:rPr>
          <w:rFonts w:eastAsia="Calibri" w:cs="Calibri"/>
        </w:rPr>
        <w:t>.1</w:t>
      </w:r>
      <w:r>
        <w:tab/>
      </w:r>
      <w:r w:rsidR="00B85C69">
        <w:t>Reclamation of UIFNs</w:t>
      </w:r>
    </w:p>
    <w:p w14:paraId="3D8F9569" w14:textId="43CFC120" w:rsidR="003706F2" w:rsidRPr="00607549" w:rsidRDefault="002E341E" w:rsidP="004E2172">
      <w:pPr>
        <w:jc w:val="both"/>
        <w:rPr>
          <w:rFonts w:asciiTheme="minorHAnsi" w:hAnsiTheme="minorHAnsi"/>
          <w:lang w:val="en-US"/>
        </w:rPr>
      </w:pPr>
      <w:r w:rsidRPr="000D2391">
        <w:rPr>
          <w:rFonts w:asciiTheme="minorHAnsi" w:hAnsiTheme="minorHAnsi"/>
          <w:lang w:val="en-CA"/>
        </w:rPr>
        <w:t>Between</w:t>
      </w:r>
      <w:r w:rsidR="00BD1335" w:rsidRPr="000D2391">
        <w:rPr>
          <w:rFonts w:asciiTheme="minorHAnsi" w:hAnsiTheme="minorHAnsi"/>
          <w:lang w:val="en-CA"/>
        </w:rPr>
        <w:t xml:space="preserve"> 23 June 2017 to </w:t>
      </w:r>
      <w:r w:rsidR="00201819">
        <w:rPr>
          <w:rFonts w:asciiTheme="minorHAnsi" w:hAnsiTheme="minorHAnsi"/>
          <w:lang w:val="en-CA"/>
        </w:rPr>
        <w:t>10</w:t>
      </w:r>
      <w:r w:rsidR="00BD1335" w:rsidRPr="000D2391">
        <w:rPr>
          <w:rFonts w:asciiTheme="minorHAnsi" w:hAnsiTheme="minorHAnsi"/>
          <w:lang w:val="en-CA"/>
        </w:rPr>
        <w:t xml:space="preserve"> </w:t>
      </w:r>
      <w:r w:rsidR="00FD03E0" w:rsidRPr="000D2391">
        <w:rPr>
          <w:rFonts w:asciiTheme="minorHAnsi" w:hAnsiTheme="minorHAnsi"/>
          <w:lang w:val="en-CA"/>
        </w:rPr>
        <w:t>April</w:t>
      </w:r>
      <w:r w:rsidR="00BD1335" w:rsidRPr="000D2391">
        <w:rPr>
          <w:rFonts w:asciiTheme="minorHAnsi" w:hAnsiTheme="minorHAnsi"/>
          <w:lang w:val="en-CA"/>
        </w:rPr>
        <w:t xml:space="preserve"> 2019, </w:t>
      </w:r>
      <w:r w:rsidR="00FD03E0" w:rsidRPr="000D2391">
        <w:rPr>
          <w:rFonts w:asciiTheme="minorHAnsi" w:hAnsiTheme="minorHAnsi"/>
          <w:b/>
          <w:bCs/>
          <w:lang w:val="en-CA"/>
        </w:rPr>
        <w:t>10</w:t>
      </w:r>
      <w:r w:rsidR="00201819">
        <w:rPr>
          <w:rFonts w:asciiTheme="minorHAnsi" w:hAnsiTheme="minorHAnsi"/>
          <w:b/>
          <w:bCs/>
          <w:lang w:val="en-CA"/>
        </w:rPr>
        <w:t>21</w:t>
      </w:r>
      <w:r w:rsidR="00BD1335" w:rsidRPr="000D2391">
        <w:rPr>
          <w:rFonts w:asciiTheme="minorHAnsi" w:hAnsiTheme="minorHAnsi"/>
          <w:lang w:val="en-CA"/>
        </w:rPr>
        <w:t xml:space="preserve"> UIFNs were </w:t>
      </w:r>
      <w:r w:rsidRPr="000D2391">
        <w:rPr>
          <w:rFonts w:asciiTheme="minorHAnsi" w:hAnsiTheme="minorHAnsi"/>
          <w:lang w:val="en-CA"/>
        </w:rPr>
        <w:t>returned</w:t>
      </w:r>
      <w:r w:rsidR="00607549">
        <w:rPr>
          <w:rFonts w:asciiTheme="minorHAnsi" w:hAnsiTheme="minorHAnsi"/>
          <w:lang w:val="en-CA"/>
        </w:rPr>
        <w:t>, in contrast to</w:t>
      </w:r>
      <w:r w:rsidR="00BD1335" w:rsidRPr="000D2391">
        <w:rPr>
          <w:rFonts w:asciiTheme="minorHAnsi" w:hAnsiTheme="minorHAnsi"/>
          <w:lang w:val="en-CA"/>
        </w:rPr>
        <w:t xml:space="preserve"> an average year, for example for 2016, </w:t>
      </w:r>
      <w:r w:rsidR="00607549">
        <w:rPr>
          <w:rFonts w:asciiTheme="minorHAnsi" w:hAnsiTheme="minorHAnsi"/>
          <w:lang w:val="en-CA"/>
        </w:rPr>
        <w:t xml:space="preserve">where </w:t>
      </w:r>
      <w:r w:rsidR="00BD1335" w:rsidRPr="000D2391">
        <w:rPr>
          <w:rFonts w:asciiTheme="minorHAnsi" w:hAnsiTheme="minorHAnsi"/>
          <w:lang w:val="en-CA"/>
        </w:rPr>
        <w:t xml:space="preserve">268 </w:t>
      </w:r>
      <w:r w:rsidR="00B85C69" w:rsidRPr="000D2391">
        <w:rPr>
          <w:rFonts w:asciiTheme="minorHAnsi" w:hAnsiTheme="minorHAnsi"/>
          <w:lang w:val="en-CA"/>
        </w:rPr>
        <w:t xml:space="preserve">UIFNs </w:t>
      </w:r>
      <w:r w:rsidR="00607549">
        <w:rPr>
          <w:rFonts w:asciiTheme="minorHAnsi" w:hAnsiTheme="minorHAnsi"/>
          <w:lang w:val="en-CA"/>
        </w:rPr>
        <w:t xml:space="preserve">were </w:t>
      </w:r>
      <w:r w:rsidR="00B85C69" w:rsidRPr="000D2391">
        <w:rPr>
          <w:rFonts w:asciiTheme="minorHAnsi" w:hAnsiTheme="minorHAnsi"/>
          <w:lang w:val="en-CA"/>
        </w:rPr>
        <w:t>returned</w:t>
      </w:r>
      <w:r w:rsidR="00BD1335" w:rsidRPr="000D2391">
        <w:rPr>
          <w:rFonts w:asciiTheme="minorHAnsi" w:hAnsiTheme="minorHAnsi"/>
          <w:lang w:val="en-CA"/>
        </w:rPr>
        <w:t>.</w:t>
      </w:r>
      <w:r w:rsidRPr="000D2391">
        <w:rPr>
          <w:rFonts w:asciiTheme="minorHAnsi" w:hAnsiTheme="minorHAnsi"/>
          <w:lang w:val="en-CA"/>
        </w:rPr>
        <w:t xml:space="preserve"> </w:t>
      </w:r>
      <w:r w:rsidR="00111B2C">
        <w:rPr>
          <w:rFonts w:asciiTheme="minorHAnsi" w:hAnsiTheme="minorHAnsi"/>
          <w:lang w:val="en-CA"/>
        </w:rPr>
        <w:t>Council Decisions 600 and 601</w:t>
      </w:r>
      <w:r w:rsidRPr="000D2391">
        <w:rPr>
          <w:rFonts w:asciiTheme="minorHAnsi" w:hAnsiTheme="minorHAnsi"/>
          <w:lang w:val="en-CA"/>
        </w:rPr>
        <w:t xml:space="preserve"> encouraged operators to update the</w:t>
      </w:r>
      <w:r w:rsidR="00B85C69" w:rsidRPr="000D2391">
        <w:rPr>
          <w:rFonts w:asciiTheme="minorHAnsi" w:hAnsiTheme="minorHAnsi"/>
          <w:lang w:val="en-CA"/>
        </w:rPr>
        <w:t>ir</w:t>
      </w:r>
      <w:r w:rsidRPr="000D2391">
        <w:rPr>
          <w:rFonts w:asciiTheme="minorHAnsi" w:hAnsiTheme="minorHAnsi"/>
          <w:lang w:val="en-CA"/>
        </w:rPr>
        <w:t xml:space="preserve"> l</w:t>
      </w:r>
      <w:r w:rsidR="00B85C69" w:rsidRPr="000D2391">
        <w:rPr>
          <w:rFonts w:asciiTheme="minorHAnsi" w:hAnsiTheme="minorHAnsi"/>
          <w:lang w:val="en-CA"/>
        </w:rPr>
        <w:t>ist of active UIFNs and return</w:t>
      </w:r>
      <w:r w:rsidRPr="000D2391">
        <w:rPr>
          <w:rFonts w:asciiTheme="minorHAnsi" w:hAnsiTheme="minorHAnsi"/>
          <w:lang w:val="en-CA"/>
        </w:rPr>
        <w:t xml:space="preserve"> the unused UIFNs to ITU.</w:t>
      </w:r>
    </w:p>
    <w:p w14:paraId="4863B2A3" w14:textId="52A63D62" w:rsidR="00604C4B" w:rsidRDefault="00604C4B" w:rsidP="004E2172">
      <w:pPr>
        <w:jc w:val="both"/>
        <w:rPr>
          <w:rFonts w:ascii="Times New Roman" w:hAnsi="Times New Roman"/>
          <w:szCs w:val="24"/>
        </w:rPr>
      </w:pPr>
      <w:r>
        <w:rPr>
          <w:rFonts w:asciiTheme="minorHAnsi" w:hAnsiTheme="minorHAnsi"/>
          <w:lang w:val="en-US"/>
        </w:rPr>
        <w:t>4.2</w:t>
      </w:r>
      <w:r>
        <w:rPr>
          <w:rFonts w:asciiTheme="minorHAnsi" w:hAnsiTheme="minorHAnsi"/>
          <w:lang w:val="en-US"/>
        </w:rPr>
        <w:tab/>
        <w:t>IIN updates</w:t>
      </w:r>
    </w:p>
    <w:p w14:paraId="33C8FAB8" w14:textId="75A52D77" w:rsidR="0018601D" w:rsidRDefault="00DE5C7C" w:rsidP="004E2172">
      <w:pPr>
        <w:jc w:val="both"/>
        <w:rPr>
          <w:rFonts w:asciiTheme="minorHAnsi" w:hAnsiTheme="minorHAnsi"/>
          <w:lang w:val="en-US"/>
        </w:rPr>
      </w:pPr>
      <w:r>
        <w:rPr>
          <w:rFonts w:asciiTheme="minorHAnsi" w:hAnsiTheme="minorHAnsi"/>
          <w:lang w:val="en-US"/>
        </w:rPr>
        <w:t xml:space="preserve">Based on notifications and responses received </w:t>
      </w:r>
      <w:r w:rsidR="0018601D">
        <w:rPr>
          <w:rFonts w:asciiTheme="minorHAnsi" w:hAnsiTheme="minorHAnsi"/>
          <w:lang w:val="en-US"/>
        </w:rPr>
        <w:t>from national Administrations/regulators</w:t>
      </w:r>
      <w:r w:rsidR="00B85C69">
        <w:rPr>
          <w:rFonts w:asciiTheme="minorHAnsi" w:hAnsiTheme="minorHAnsi"/>
          <w:lang w:val="en-US"/>
        </w:rPr>
        <w:t xml:space="preserve"> </w:t>
      </w:r>
      <w:r w:rsidR="00B85C69" w:rsidRPr="00E86D13">
        <w:rPr>
          <w:rFonts w:asciiTheme="minorHAnsi" w:hAnsiTheme="minorHAnsi"/>
          <w:lang w:val="en-US"/>
        </w:rPr>
        <w:t>or authorized agencies</w:t>
      </w:r>
      <w:r w:rsidR="0018601D">
        <w:rPr>
          <w:rFonts w:asciiTheme="minorHAnsi" w:hAnsiTheme="minorHAnsi"/>
          <w:lang w:val="en-US"/>
        </w:rPr>
        <w:t>, the number of IIN record updates per year since 2014 is provided in the table below:</w:t>
      </w:r>
    </w:p>
    <w:p w14:paraId="40474713" w14:textId="4CD0E34D" w:rsidR="003B5746" w:rsidRDefault="003B5746" w:rsidP="003B5746">
      <w:pPr>
        <w:spacing w:before="0"/>
        <w:rPr>
          <w:rFonts w:asciiTheme="minorHAnsi" w:hAnsiTheme="minorHAnsi"/>
          <w:lang w:val="en-US"/>
        </w:rPr>
      </w:pPr>
    </w:p>
    <w:tbl>
      <w:tblPr>
        <w:tblStyle w:val="TableGrid"/>
        <w:tblW w:w="0" w:type="auto"/>
        <w:jc w:val="center"/>
        <w:tblLook w:val="04A0" w:firstRow="1" w:lastRow="0" w:firstColumn="1" w:lastColumn="0" w:noHBand="0" w:noVBand="1"/>
      </w:tblPr>
      <w:tblGrid>
        <w:gridCol w:w="1555"/>
        <w:gridCol w:w="674"/>
        <w:gridCol w:w="1068"/>
        <w:gridCol w:w="1243"/>
        <w:gridCol w:w="1266"/>
      </w:tblGrid>
      <w:tr w:rsidR="00B85C69" w:rsidRPr="00B85C69" w14:paraId="6808C689" w14:textId="5A4E6A59" w:rsidTr="00B85C69">
        <w:trPr>
          <w:trHeight w:val="300"/>
          <w:jc w:val="center"/>
        </w:trPr>
        <w:tc>
          <w:tcPr>
            <w:tcW w:w="1555" w:type="dxa"/>
            <w:noWrap/>
            <w:hideMark/>
          </w:tcPr>
          <w:p w14:paraId="097E82C4" w14:textId="2BA206EB" w:rsidR="00B85C69" w:rsidRPr="00B85C69" w:rsidRDefault="00B85C69" w:rsidP="003B5746">
            <w:pPr>
              <w:spacing w:before="0"/>
              <w:rPr>
                <w:rFonts w:asciiTheme="minorHAnsi" w:hAnsiTheme="minorHAnsi"/>
                <w:b/>
                <w:szCs w:val="24"/>
                <w:lang w:val="en-US"/>
              </w:rPr>
            </w:pPr>
            <w:r>
              <w:rPr>
                <w:rFonts w:asciiTheme="minorHAnsi" w:hAnsiTheme="minorHAnsi"/>
                <w:b/>
                <w:szCs w:val="24"/>
              </w:rPr>
              <w:t>Y</w:t>
            </w:r>
            <w:r w:rsidRPr="00B85C69">
              <w:rPr>
                <w:rFonts w:asciiTheme="minorHAnsi" w:hAnsiTheme="minorHAnsi"/>
                <w:b/>
                <w:szCs w:val="24"/>
              </w:rPr>
              <w:t>ear</w:t>
            </w:r>
          </w:p>
        </w:tc>
        <w:tc>
          <w:tcPr>
            <w:tcW w:w="674" w:type="dxa"/>
            <w:noWrap/>
            <w:hideMark/>
          </w:tcPr>
          <w:p w14:paraId="556B4B08" w14:textId="4BAC59F8" w:rsidR="00B85C69" w:rsidRPr="00B85C69" w:rsidRDefault="00B85C69" w:rsidP="003B5746">
            <w:pPr>
              <w:spacing w:before="0"/>
              <w:rPr>
                <w:rFonts w:asciiTheme="minorHAnsi" w:hAnsiTheme="minorHAnsi"/>
                <w:b/>
                <w:szCs w:val="24"/>
              </w:rPr>
            </w:pPr>
            <w:r>
              <w:rPr>
                <w:rFonts w:asciiTheme="minorHAnsi" w:hAnsiTheme="minorHAnsi"/>
                <w:b/>
                <w:szCs w:val="24"/>
              </w:rPr>
              <w:t>N</w:t>
            </w:r>
            <w:r w:rsidRPr="00B85C69">
              <w:rPr>
                <w:rFonts w:asciiTheme="minorHAnsi" w:hAnsiTheme="minorHAnsi"/>
                <w:b/>
                <w:szCs w:val="24"/>
              </w:rPr>
              <w:t>ew</w:t>
            </w:r>
          </w:p>
        </w:tc>
        <w:tc>
          <w:tcPr>
            <w:tcW w:w="1068" w:type="dxa"/>
            <w:noWrap/>
            <w:hideMark/>
          </w:tcPr>
          <w:p w14:paraId="102A43BB" w14:textId="65E666A7" w:rsidR="00B85C69" w:rsidRPr="00B85C69" w:rsidRDefault="00B85C69" w:rsidP="003B5746">
            <w:pPr>
              <w:spacing w:before="0"/>
              <w:rPr>
                <w:rFonts w:asciiTheme="minorHAnsi" w:hAnsiTheme="minorHAnsi"/>
                <w:b/>
                <w:szCs w:val="24"/>
              </w:rPr>
            </w:pPr>
            <w:r>
              <w:rPr>
                <w:rFonts w:asciiTheme="minorHAnsi" w:hAnsiTheme="minorHAnsi"/>
                <w:b/>
                <w:szCs w:val="24"/>
              </w:rPr>
              <w:t>D</w:t>
            </w:r>
            <w:r w:rsidRPr="00B85C69">
              <w:rPr>
                <w:rFonts w:asciiTheme="minorHAnsi" w:hAnsiTheme="minorHAnsi"/>
                <w:b/>
                <w:szCs w:val="24"/>
              </w:rPr>
              <w:t>eletion</w:t>
            </w:r>
          </w:p>
        </w:tc>
        <w:tc>
          <w:tcPr>
            <w:tcW w:w="1243" w:type="dxa"/>
            <w:noWrap/>
            <w:hideMark/>
          </w:tcPr>
          <w:p w14:paraId="40751DE6" w14:textId="3DE8F2E3" w:rsidR="00B85C69" w:rsidRPr="00B85C69" w:rsidRDefault="00B85C69" w:rsidP="003B5746">
            <w:pPr>
              <w:spacing w:before="0"/>
              <w:rPr>
                <w:rFonts w:asciiTheme="minorHAnsi" w:hAnsiTheme="minorHAnsi"/>
                <w:b/>
                <w:szCs w:val="24"/>
              </w:rPr>
            </w:pPr>
            <w:r>
              <w:rPr>
                <w:rFonts w:asciiTheme="minorHAnsi" w:hAnsiTheme="minorHAnsi"/>
                <w:b/>
                <w:szCs w:val="24"/>
              </w:rPr>
              <w:t>Update</w:t>
            </w:r>
          </w:p>
        </w:tc>
        <w:tc>
          <w:tcPr>
            <w:tcW w:w="1243" w:type="dxa"/>
          </w:tcPr>
          <w:p w14:paraId="0D52CA14" w14:textId="4F2EC3E4" w:rsidR="00B85C69" w:rsidRDefault="00B85C69" w:rsidP="003B5746">
            <w:pPr>
              <w:spacing w:before="0"/>
              <w:rPr>
                <w:rFonts w:asciiTheme="minorHAnsi" w:hAnsiTheme="minorHAnsi"/>
                <w:b/>
                <w:szCs w:val="24"/>
              </w:rPr>
            </w:pPr>
            <w:r>
              <w:rPr>
                <w:rFonts w:asciiTheme="minorHAnsi" w:hAnsiTheme="minorHAnsi"/>
                <w:b/>
                <w:szCs w:val="24"/>
              </w:rPr>
              <w:t>Total/year</w:t>
            </w:r>
          </w:p>
        </w:tc>
      </w:tr>
      <w:tr w:rsidR="00B85C69" w:rsidRPr="00B85C69" w14:paraId="51BB0E4D" w14:textId="3C1F0A67" w:rsidTr="00B85C69">
        <w:trPr>
          <w:trHeight w:val="300"/>
          <w:jc w:val="center"/>
        </w:trPr>
        <w:tc>
          <w:tcPr>
            <w:tcW w:w="1555" w:type="dxa"/>
            <w:noWrap/>
            <w:hideMark/>
          </w:tcPr>
          <w:p w14:paraId="33B568A3"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2014</w:t>
            </w:r>
          </w:p>
        </w:tc>
        <w:tc>
          <w:tcPr>
            <w:tcW w:w="674" w:type="dxa"/>
            <w:noWrap/>
            <w:hideMark/>
          </w:tcPr>
          <w:p w14:paraId="517BFA26"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1C3861D8"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3</w:t>
            </w:r>
          </w:p>
        </w:tc>
        <w:tc>
          <w:tcPr>
            <w:tcW w:w="1243" w:type="dxa"/>
            <w:noWrap/>
            <w:hideMark/>
          </w:tcPr>
          <w:p w14:paraId="3A0E4D5F"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12</w:t>
            </w:r>
          </w:p>
        </w:tc>
        <w:tc>
          <w:tcPr>
            <w:tcW w:w="1243" w:type="dxa"/>
          </w:tcPr>
          <w:p w14:paraId="0DDEE08C" w14:textId="3BDC5B17" w:rsidR="00B85C69" w:rsidRPr="00B85C69" w:rsidRDefault="00B85C69" w:rsidP="003B5746">
            <w:pPr>
              <w:spacing w:before="0"/>
              <w:rPr>
                <w:rFonts w:asciiTheme="minorHAnsi" w:hAnsiTheme="minorHAnsi"/>
                <w:szCs w:val="24"/>
              </w:rPr>
            </w:pPr>
            <w:r>
              <w:rPr>
                <w:rFonts w:asciiTheme="minorHAnsi" w:hAnsiTheme="minorHAnsi"/>
                <w:szCs w:val="24"/>
              </w:rPr>
              <w:t>37</w:t>
            </w:r>
          </w:p>
        </w:tc>
      </w:tr>
      <w:tr w:rsidR="00B85C69" w:rsidRPr="00B85C69" w14:paraId="3A639AA3" w14:textId="3A590725" w:rsidTr="00B85C69">
        <w:trPr>
          <w:trHeight w:val="300"/>
          <w:jc w:val="center"/>
        </w:trPr>
        <w:tc>
          <w:tcPr>
            <w:tcW w:w="1555" w:type="dxa"/>
            <w:noWrap/>
            <w:hideMark/>
          </w:tcPr>
          <w:p w14:paraId="1020832E"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2015</w:t>
            </w:r>
          </w:p>
        </w:tc>
        <w:tc>
          <w:tcPr>
            <w:tcW w:w="674" w:type="dxa"/>
            <w:noWrap/>
            <w:hideMark/>
          </w:tcPr>
          <w:p w14:paraId="4A554211"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24</w:t>
            </w:r>
          </w:p>
        </w:tc>
        <w:tc>
          <w:tcPr>
            <w:tcW w:w="1068" w:type="dxa"/>
            <w:noWrap/>
            <w:hideMark/>
          </w:tcPr>
          <w:p w14:paraId="43D47585"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48AD4602"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6</w:t>
            </w:r>
          </w:p>
        </w:tc>
        <w:tc>
          <w:tcPr>
            <w:tcW w:w="1243" w:type="dxa"/>
          </w:tcPr>
          <w:p w14:paraId="0473D755" w14:textId="7AC8CA86" w:rsidR="00B85C69" w:rsidRPr="00B85C69" w:rsidRDefault="00B85C69" w:rsidP="003B5746">
            <w:pPr>
              <w:spacing w:before="0"/>
              <w:rPr>
                <w:rFonts w:asciiTheme="minorHAnsi" w:hAnsiTheme="minorHAnsi"/>
                <w:szCs w:val="24"/>
              </w:rPr>
            </w:pPr>
            <w:r>
              <w:rPr>
                <w:rFonts w:asciiTheme="minorHAnsi" w:hAnsiTheme="minorHAnsi"/>
                <w:szCs w:val="24"/>
              </w:rPr>
              <w:t>30</w:t>
            </w:r>
          </w:p>
        </w:tc>
      </w:tr>
      <w:tr w:rsidR="00B85C69" w:rsidRPr="00B85C69" w14:paraId="409026AA" w14:textId="6B1896E4" w:rsidTr="00B85C69">
        <w:trPr>
          <w:trHeight w:val="300"/>
          <w:jc w:val="center"/>
        </w:trPr>
        <w:tc>
          <w:tcPr>
            <w:tcW w:w="1555" w:type="dxa"/>
            <w:noWrap/>
            <w:hideMark/>
          </w:tcPr>
          <w:p w14:paraId="1A3025E0"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2016</w:t>
            </w:r>
          </w:p>
        </w:tc>
        <w:tc>
          <w:tcPr>
            <w:tcW w:w="674" w:type="dxa"/>
            <w:noWrap/>
            <w:hideMark/>
          </w:tcPr>
          <w:p w14:paraId="4429C0DE"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10D8CADC"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67EB14F7"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14</w:t>
            </w:r>
          </w:p>
        </w:tc>
        <w:tc>
          <w:tcPr>
            <w:tcW w:w="1243" w:type="dxa"/>
          </w:tcPr>
          <w:p w14:paraId="29619FD1" w14:textId="714CC22B" w:rsidR="00B85C69" w:rsidRPr="00B85C69" w:rsidRDefault="00B85C69" w:rsidP="003B5746">
            <w:pPr>
              <w:spacing w:before="0"/>
              <w:rPr>
                <w:rFonts w:asciiTheme="minorHAnsi" w:hAnsiTheme="minorHAnsi"/>
                <w:szCs w:val="24"/>
              </w:rPr>
            </w:pPr>
            <w:r>
              <w:rPr>
                <w:rFonts w:asciiTheme="minorHAnsi" w:hAnsiTheme="minorHAnsi"/>
                <w:szCs w:val="24"/>
              </w:rPr>
              <w:t>37</w:t>
            </w:r>
          </w:p>
        </w:tc>
      </w:tr>
      <w:tr w:rsidR="00B85C69" w:rsidRPr="00B85C69" w14:paraId="081E70B3" w14:textId="213CD97D" w:rsidTr="00B85C69">
        <w:trPr>
          <w:trHeight w:val="300"/>
          <w:jc w:val="center"/>
        </w:trPr>
        <w:tc>
          <w:tcPr>
            <w:tcW w:w="1555" w:type="dxa"/>
            <w:noWrap/>
            <w:hideMark/>
          </w:tcPr>
          <w:p w14:paraId="752826EA"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2017</w:t>
            </w:r>
          </w:p>
        </w:tc>
        <w:tc>
          <w:tcPr>
            <w:tcW w:w="674" w:type="dxa"/>
            <w:noWrap/>
            <w:hideMark/>
          </w:tcPr>
          <w:p w14:paraId="2069D313"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16D34151"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7</w:t>
            </w:r>
          </w:p>
        </w:tc>
        <w:tc>
          <w:tcPr>
            <w:tcW w:w="1243" w:type="dxa"/>
            <w:noWrap/>
            <w:hideMark/>
          </w:tcPr>
          <w:p w14:paraId="417D89DB"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83</w:t>
            </w:r>
          </w:p>
        </w:tc>
        <w:tc>
          <w:tcPr>
            <w:tcW w:w="1243" w:type="dxa"/>
          </w:tcPr>
          <w:p w14:paraId="36704B9B" w14:textId="5063E45F" w:rsidR="00B85C69" w:rsidRPr="00B85C69" w:rsidRDefault="00B85C69" w:rsidP="003B5746">
            <w:pPr>
              <w:spacing w:before="0"/>
              <w:rPr>
                <w:rFonts w:asciiTheme="minorHAnsi" w:hAnsiTheme="minorHAnsi"/>
                <w:szCs w:val="24"/>
              </w:rPr>
            </w:pPr>
            <w:r>
              <w:rPr>
                <w:rFonts w:asciiTheme="minorHAnsi" w:hAnsiTheme="minorHAnsi"/>
                <w:szCs w:val="24"/>
              </w:rPr>
              <w:t>112</w:t>
            </w:r>
          </w:p>
        </w:tc>
      </w:tr>
      <w:tr w:rsidR="00B85C69" w:rsidRPr="00B85C69" w14:paraId="2901F710" w14:textId="0D113FD2" w:rsidTr="00B85C69">
        <w:trPr>
          <w:trHeight w:val="300"/>
          <w:jc w:val="center"/>
        </w:trPr>
        <w:tc>
          <w:tcPr>
            <w:tcW w:w="1555" w:type="dxa"/>
            <w:noWrap/>
            <w:hideMark/>
          </w:tcPr>
          <w:p w14:paraId="12D64A36"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2018</w:t>
            </w:r>
          </w:p>
        </w:tc>
        <w:tc>
          <w:tcPr>
            <w:tcW w:w="674" w:type="dxa"/>
            <w:noWrap/>
            <w:hideMark/>
          </w:tcPr>
          <w:p w14:paraId="41E9C286"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35</w:t>
            </w:r>
          </w:p>
        </w:tc>
        <w:tc>
          <w:tcPr>
            <w:tcW w:w="1068" w:type="dxa"/>
            <w:noWrap/>
            <w:hideMark/>
          </w:tcPr>
          <w:p w14:paraId="3FD85E67"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29</w:t>
            </w:r>
          </w:p>
        </w:tc>
        <w:tc>
          <w:tcPr>
            <w:tcW w:w="1243" w:type="dxa"/>
            <w:noWrap/>
            <w:hideMark/>
          </w:tcPr>
          <w:p w14:paraId="6AAA7972"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154</w:t>
            </w:r>
          </w:p>
        </w:tc>
        <w:tc>
          <w:tcPr>
            <w:tcW w:w="1243" w:type="dxa"/>
          </w:tcPr>
          <w:p w14:paraId="69CA0BD7" w14:textId="2221F52E" w:rsidR="00B85C69" w:rsidRPr="00B85C69" w:rsidRDefault="00B85C69" w:rsidP="003B5746">
            <w:pPr>
              <w:spacing w:before="0"/>
              <w:rPr>
                <w:rFonts w:asciiTheme="minorHAnsi" w:hAnsiTheme="minorHAnsi"/>
                <w:szCs w:val="24"/>
              </w:rPr>
            </w:pPr>
            <w:r>
              <w:rPr>
                <w:rFonts w:asciiTheme="minorHAnsi" w:hAnsiTheme="minorHAnsi"/>
                <w:szCs w:val="24"/>
              </w:rPr>
              <w:t>218</w:t>
            </w:r>
          </w:p>
        </w:tc>
      </w:tr>
      <w:tr w:rsidR="00B85C69" w:rsidRPr="00B85C69" w14:paraId="592D9AB2" w14:textId="07352BEC" w:rsidTr="00B85C69">
        <w:trPr>
          <w:trHeight w:val="300"/>
          <w:jc w:val="center"/>
        </w:trPr>
        <w:tc>
          <w:tcPr>
            <w:tcW w:w="1555" w:type="dxa"/>
            <w:noWrap/>
            <w:hideMark/>
          </w:tcPr>
          <w:p w14:paraId="4B6FE2D3" w14:textId="6CA689DB" w:rsidR="00B85C69" w:rsidRPr="00B85C69" w:rsidRDefault="008B59AD" w:rsidP="003B5746">
            <w:pPr>
              <w:spacing w:before="0"/>
              <w:rPr>
                <w:rFonts w:asciiTheme="minorHAnsi" w:hAnsiTheme="minorHAnsi"/>
                <w:szCs w:val="24"/>
              </w:rPr>
            </w:pPr>
            <w:r>
              <w:rPr>
                <w:rFonts w:asciiTheme="minorHAnsi" w:hAnsiTheme="minorHAnsi"/>
                <w:szCs w:val="24"/>
              </w:rPr>
              <w:t>10</w:t>
            </w:r>
            <w:r w:rsidR="00B85C69" w:rsidRPr="00B85C69">
              <w:rPr>
                <w:rFonts w:asciiTheme="minorHAnsi" w:hAnsiTheme="minorHAnsi"/>
                <w:szCs w:val="24"/>
              </w:rPr>
              <w:t xml:space="preserve"> Apri</w:t>
            </w:r>
            <w:r w:rsidR="00E07475">
              <w:rPr>
                <w:rFonts w:asciiTheme="minorHAnsi" w:hAnsiTheme="minorHAnsi"/>
                <w:szCs w:val="24"/>
              </w:rPr>
              <w:t>l</w:t>
            </w:r>
            <w:r w:rsidR="00B85C69">
              <w:rPr>
                <w:rFonts w:asciiTheme="minorHAnsi" w:hAnsiTheme="minorHAnsi"/>
                <w:szCs w:val="24"/>
              </w:rPr>
              <w:t xml:space="preserve"> 2019</w:t>
            </w:r>
          </w:p>
        </w:tc>
        <w:tc>
          <w:tcPr>
            <w:tcW w:w="674" w:type="dxa"/>
            <w:noWrap/>
            <w:hideMark/>
          </w:tcPr>
          <w:p w14:paraId="1E5D9378"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4</w:t>
            </w:r>
          </w:p>
        </w:tc>
        <w:tc>
          <w:tcPr>
            <w:tcW w:w="1068" w:type="dxa"/>
            <w:noWrap/>
            <w:hideMark/>
          </w:tcPr>
          <w:p w14:paraId="06EF1BC5"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5</w:t>
            </w:r>
          </w:p>
        </w:tc>
        <w:tc>
          <w:tcPr>
            <w:tcW w:w="1243" w:type="dxa"/>
            <w:noWrap/>
            <w:hideMark/>
          </w:tcPr>
          <w:p w14:paraId="1E08F862" w14:textId="77777777" w:rsidR="00B85C69" w:rsidRPr="00B85C69" w:rsidRDefault="00B85C69" w:rsidP="003B5746">
            <w:pPr>
              <w:spacing w:before="0"/>
              <w:rPr>
                <w:rFonts w:asciiTheme="minorHAnsi" w:hAnsiTheme="minorHAnsi"/>
                <w:szCs w:val="24"/>
              </w:rPr>
            </w:pPr>
            <w:r w:rsidRPr="00B85C69">
              <w:rPr>
                <w:rFonts w:asciiTheme="minorHAnsi" w:hAnsiTheme="minorHAnsi"/>
                <w:szCs w:val="24"/>
              </w:rPr>
              <w:t>33</w:t>
            </w:r>
          </w:p>
        </w:tc>
        <w:tc>
          <w:tcPr>
            <w:tcW w:w="1243" w:type="dxa"/>
          </w:tcPr>
          <w:p w14:paraId="1DE2B708" w14:textId="5D2B3253" w:rsidR="00B85C69" w:rsidRPr="00B85C69" w:rsidRDefault="00B85C69" w:rsidP="003B5746">
            <w:pPr>
              <w:spacing w:before="0"/>
              <w:rPr>
                <w:rFonts w:asciiTheme="minorHAnsi" w:hAnsiTheme="minorHAnsi"/>
                <w:szCs w:val="24"/>
              </w:rPr>
            </w:pPr>
            <w:r>
              <w:rPr>
                <w:rFonts w:asciiTheme="minorHAnsi" w:hAnsiTheme="minorHAnsi"/>
                <w:szCs w:val="24"/>
              </w:rPr>
              <w:t>42</w:t>
            </w:r>
          </w:p>
        </w:tc>
      </w:tr>
    </w:tbl>
    <w:p w14:paraId="0EB10DB9" w14:textId="77777777" w:rsidR="008B59AD" w:rsidRDefault="008B59AD" w:rsidP="00DE5C7C">
      <w:pPr>
        <w:rPr>
          <w:rFonts w:asciiTheme="minorHAnsi" w:hAnsiTheme="minorHAnsi"/>
          <w:lang w:val="en-US"/>
        </w:rPr>
      </w:pPr>
    </w:p>
    <w:p w14:paraId="27C97B87" w14:textId="7E055D32" w:rsidR="008B59AD" w:rsidRDefault="008B59AD" w:rsidP="008B59AD">
      <w:pPr>
        <w:jc w:val="center"/>
        <w:rPr>
          <w:rFonts w:asciiTheme="minorHAnsi" w:hAnsiTheme="minorHAnsi"/>
          <w:lang w:val="en-US"/>
        </w:rPr>
      </w:pPr>
      <w:r>
        <w:rPr>
          <w:rFonts w:asciiTheme="minorHAnsi" w:hAnsiTheme="minorHAnsi"/>
          <w:noProof/>
          <w:lang w:eastAsia="zh-CN"/>
        </w:rPr>
        <w:drawing>
          <wp:inline distT="0" distB="0" distL="0" distR="0" wp14:anchorId="586B9BFC" wp14:editId="6FDFF6A0">
            <wp:extent cx="4962525" cy="275590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2525" cy="2755900"/>
                    </a:xfrm>
                    <a:prstGeom prst="rect">
                      <a:avLst/>
                    </a:prstGeom>
                    <a:noFill/>
                  </pic:spPr>
                </pic:pic>
              </a:graphicData>
            </a:graphic>
          </wp:inline>
        </w:drawing>
      </w:r>
    </w:p>
    <w:p w14:paraId="6D80788E" w14:textId="6CCD6AAE" w:rsidR="00604C4B" w:rsidRPr="00DE5C7C" w:rsidRDefault="003B5746" w:rsidP="00AC4DFE">
      <w:pPr>
        <w:spacing w:before="240"/>
        <w:jc w:val="both"/>
        <w:rPr>
          <w:rFonts w:asciiTheme="minorHAnsi" w:hAnsiTheme="minorHAnsi"/>
          <w:szCs w:val="24"/>
          <w:lang w:val="en-US"/>
        </w:rPr>
      </w:pPr>
      <w:r>
        <w:rPr>
          <w:rFonts w:asciiTheme="minorHAnsi" w:hAnsiTheme="minorHAnsi"/>
          <w:szCs w:val="24"/>
          <w:lang w:val="en-US"/>
        </w:rPr>
        <w:t>It shows a</w:t>
      </w:r>
      <w:r w:rsidR="0018601D">
        <w:rPr>
          <w:rFonts w:asciiTheme="minorHAnsi" w:hAnsiTheme="minorHAnsi"/>
          <w:szCs w:val="24"/>
          <w:lang w:val="en-US"/>
        </w:rPr>
        <w:t xml:space="preserve"> sharp increase </w:t>
      </w:r>
      <w:r w:rsidR="00B85C69">
        <w:rPr>
          <w:rFonts w:asciiTheme="minorHAnsi" w:hAnsiTheme="minorHAnsi"/>
          <w:szCs w:val="24"/>
          <w:lang w:val="en-US"/>
        </w:rPr>
        <w:t xml:space="preserve">in the number of IIN record updates per year </w:t>
      </w:r>
      <w:r w:rsidR="0018601D">
        <w:rPr>
          <w:rFonts w:asciiTheme="minorHAnsi" w:hAnsiTheme="minorHAnsi"/>
          <w:szCs w:val="24"/>
          <w:lang w:val="en-US"/>
        </w:rPr>
        <w:t>following the approval of Council Decision 601.</w:t>
      </w:r>
      <w:r w:rsidR="00751439">
        <w:rPr>
          <w:rFonts w:asciiTheme="minorHAnsi" w:hAnsiTheme="minorHAnsi"/>
          <w:szCs w:val="24"/>
          <w:lang w:val="en-US"/>
        </w:rPr>
        <w:t xml:space="preserve"> This process improves the </w:t>
      </w:r>
      <w:r w:rsidR="00607549">
        <w:rPr>
          <w:rFonts w:asciiTheme="minorHAnsi" w:hAnsiTheme="minorHAnsi"/>
          <w:szCs w:val="24"/>
          <w:lang w:val="en-US"/>
        </w:rPr>
        <w:t xml:space="preserve">precision </w:t>
      </w:r>
      <w:r w:rsidR="00751439">
        <w:rPr>
          <w:rFonts w:asciiTheme="minorHAnsi" w:hAnsiTheme="minorHAnsi"/>
          <w:szCs w:val="24"/>
          <w:lang w:val="en-US"/>
        </w:rPr>
        <w:t xml:space="preserve">of the IIN records kept in </w:t>
      </w:r>
      <w:r w:rsidR="00607549">
        <w:rPr>
          <w:rFonts w:asciiTheme="minorHAnsi" w:hAnsiTheme="minorHAnsi"/>
          <w:szCs w:val="24"/>
          <w:lang w:val="en-US"/>
        </w:rPr>
        <w:t xml:space="preserve">the </w:t>
      </w:r>
      <w:r w:rsidR="00751439">
        <w:rPr>
          <w:rFonts w:asciiTheme="minorHAnsi" w:hAnsiTheme="minorHAnsi"/>
          <w:szCs w:val="24"/>
          <w:lang w:val="en-US"/>
        </w:rPr>
        <w:t>ITU database.</w:t>
      </w:r>
    </w:p>
    <w:p w14:paraId="749DDBE4" w14:textId="77777777" w:rsidR="00416BB5" w:rsidRPr="00812B8E" w:rsidRDefault="00604C4B" w:rsidP="00AC4DFE">
      <w:pPr>
        <w:pStyle w:val="Heading1"/>
        <w:spacing w:before="360"/>
        <w:jc w:val="both"/>
        <w:rPr>
          <w:rFonts w:eastAsia="Calibri"/>
          <w:sz w:val="24"/>
          <w:szCs w:val="24"/>
        </w:rPr>
      </w:pPr>
      <w:r>
        <w:rPr>
          <w:rFonts w:eastAsia="Calibri"/>
          <w:sz w:val="24"/>
          <w:szCs w:val="24"/>
        </w:rPr>
        <w:t>5</w:t>
      </w:r>
      <w:r w:rsidR="00416BB5" w:rsidRPr="00812B8E">
        <w:rPr>
          <w:rFonts w:eastAsia="Calibri"/>
          <w:sz w:val="24"/>
          <w:szCs w:val="24"/>
        </w:rPr>
        <w:tab/>
      </w:r>
      <w:r w:rsidR="00416BB5">
        <w:rPr>
          <w:rFonts w:eastAsia="Calibri"/>
          <w:sz w:val="24"/>
          <w:szCs w:val="24"/>
        </w:rPr>
        <w:t>Proposal</w:t>
      </w:r>
    </w:p>
    <w:p w14:paraId="6709A0DA" w14:textId="4E8DAF25" w:rsidR="00A817AA" w:rsidRPr="000D2391" w:rsidRDefault="00A55780" w:rsidP="004E2172">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eastAsia="SimSun" w:hAnsiTheme="minorHAnsi"/>
          <w:iCs/>
          <w:lang w:eastAsia="zh-CN"/>
        </w:rPr>
      </w:pPr>
      <w:r w:rsidRPr="000D2391">
        <w:rPr>
          <w:rFonts w:asciiTheme="minorHAnsi" w:eastAsia="SimSun" w:hAnsiTheme="minorHAnsi"/>
          <w:iCs/>
          <w:lang w:eastAsia="zh-CN"/>
        </w:rPr>
        <w:t>5.1</w:t>
      </w:r>
      <w:r w:rsidR="00607549">
        <w:rPr>
          <w:rFonts w:asciiTheme="minorHAnsi" w:eastAsia="SimSun" w:hAnsiTheme="minorHAnsi"/>
          <w:iCs/>
          <w:lang w:eastAsia="zh-CN"/>
        </w:rPr>
        <w:tab/>
      </w:r>
      <w:r w:rsidR="00A817AA" w:rsidRPr="000D2391">
        <w:rPr>
          <w:rFonts w:asciiTheme="minorHAnsi" w:eastAsia="SimSun" w:hAnsiTheme="minorHAnsi"/>
          <w:iCs/>
          <w:lang w:eastAsia="zh-CN"/>
        </w:rPr>
        <w:t>The list of UIFN service providers in Annex A to this document</w:t>
      </w:r>
      <w:r w:rsidR="00500FF4" w:rsidRPr="000D2391">
        <w:rPr>
          <w:rFonts w:asciiTheme="minorHAnsi" w:eastAsia="SimSun" w:hAnsiTheme="minorHAnsi"/>
          <w:iCs/>
          <w:lang w:eastAsia="zh-CN"/>
        </w:rPr>
        <w:t xml:space="preserve"> will be marked as</w:t>
      </w:r>
      <w:r w:rsidR="00A817AA" w:rsidRPr="000D2391">
        <w:rPr>
          <w:rFonts w:asciiTheme="minorHAnsi" w:eastAsia="SimSun" w:hAnsiTheme="minorHAnsi"/>
          <w:iCs/>
          <w:lang w:eastAsia="zh-CN"/>
        </w:rPr>
        <w:t xml:space="preserve"> “</w:t>
      </w:r>
      <w:r w:rsidR="003B7F16" w:rsidRPr="000D2391">
        <w:rPr>
          <w:rFonts w:asciiTheme="minorHAnsi" w:eastAsia="SimSun" w:hAnsiTheme="minorHAnsi"/>
          <w:iCs/>
          <w:lang w:eastAsia="zh-CN"/>
        </w:rPr>
        <w:t>not reachable</w:t>
      </w:r>
      <w:r w:rsidR="00A817AA" w:rsidRPr="000D2391">
        <w:rPr>
          <w:rFonts w:asciiTheme="minorHAnsi" w:eastAsia="SimSun" w:hAnsiTheme="minorHAnsi"/>
          <w:iCs/>
          <w:lang w:eastAsia="zh-CN"/>
        </w:rPr>
        <w:t>” in</w:t>
      </w:r>
      <w:r w:rsidR="00607549">
        <w:rPr>
          <w:rFonts w:asciiTheme="minorHAnsi" w:eastAsia="SimSun" w:hAnsiTheme="minorHAnsi"/>
          <w:iCs/>
          <w:lang w:eastAsia="zh-CN"/>
        </w:rPr>
        <w:t xml:space="preserve"> the</w:t>
      </w:r>
      <w:r w:rsidR="00A817AA" w:rsidRPr="000D2391">
        <w:rPr>
          <w:rFonts w:asciiTheme="minorHAnsi" w:eastAsia="SimSun" w:hAnsiTheme="minorHAnsi"/>
          <w:iCs/>
          <w:lang w:eastAsia="zh-CN"/>
        </w:rPr>
        <w:t xml:space="preserve"> ITU database</w:t>
      </w:r>
      <w:r w:rsidR="003B7F16" w:rsidRPr="000D2391">
        <w:rPr>
          <w:rFonts w:asciiTheme="minorHAnsi" w:eastAsia="SimSun" w:hAnsiTheme="minorHAnsi"/>
          <w:iCs/>
          <w:lang w:eastAsia="zh-CN"/>
        </w:rPr>
        <w:t xml:space="preserve">. The records for these UIFN service providers are subject </w:t>
      </w:r>
      <w:r w:rsidR="00607549">
        <w:rPr>
          <w:rFonts w:asciiTheme="minorHAnsi" w:eastAsia="SimSun" w:hAnsiTheme="minorHAnsi"/>
          <w:iCs/>
          <w:lang w:eastAsia="zh-CN"/>
        </w:rPr>
        <w:t>to removal</w:t>
      </w:r>
      <w:r w:rsidR="003B7F16" w:rsidRPr="000D2391">
        <w:rPr>
          <w:rFonts w:asciiTheme="minorHAnsi" w:eastAsia="SimSun" w:hAnsiTheme="minorHAnsi"/>
          <w:iCs/>
          <w:lang w:eastAsia="zh-CN"/>
        </w:rPr>
        <w:t xml:space="preserve"> from </w:t>
      </w:r>
      <w:r w:rsidR="00607549">
        <w:rPr>
          <w:rFonts w:asciiTheme="minorHAnsi" w:eastAsia="SimSun" w:hAnsiTheme="minorHAnsi"/>
          <w:iCs/>
          <w:lang w:eastAsia="zh-CN"/>
        </w:rPr>
        <w:t xml:space="preserve">the </w:t>
      </w:r>
      <w:r w:rsidR="003B7F16" w:rsidRPr="000D2391">
        <w:rPr>
          <w:rFonts w:asciiTheme="minorHAnsi" w:eastAsia="SimSun" w:hAnsiTheme="minorHAnsi"/>
          <w:iCs/>
          <w:lang w:eastAsia="zh-CN"/>
        </w:rPr>
        <w:t>ITU database and t</w:t>
      </w:r>
      <w:r w:rsidR="003B7F16" w:rsidRPr="000D2391">
        <w:rPr>
          <w:rFonts w:asciiTheme="minorHAnsi" w:eastAsia="Calibri" w:hAnsiTheme="minorHAnsi"/>
        </w:rPr>
        <w:t xml:space="preserve">he UIFNs </w:t>
      </w:r>
      <w:r w:rsidR="00D1668A">
        <w:rPr>
          <w:rFonts w:asciiTheme="minorHAnsi" w:eastAsia="Calibri" w:hAnsiTheme="minorHAnsi"/>
        </w:rPr>
        <w:t>assigned to</w:t>
      </w:r>
      <w:r w:rsidR="00D1668A" w:rsidRPr="000D2391">
        <w:rPr>
          <w:rFonts w:asciiTheme="minorHAnsi" w:eastAsia="Calibri" w:hAnsiTheme="minorHAnsi"/>
        </w:rPr>
        <w:t xml:space="preserve"> </w:t>
      </w:r>
      <w:r w:rsidR="003B7F16" w:rsidRPr="000D2391">
        <w:rPr>
          <w:rFonts w:asciiTheme="minorHAnsi" w:eastAsia="Calibri" w:hAnsiTheme="minorHAnsi"/>
        </w:rPr>
        <w:t xml:space="preserve">them are subject for </w:t>
      </w:r>
      <w:r w:rsidR="00B34847" w:rsidRPr="000D2391">
        <w:rPr>
          <w:rFonts w:asciiTheme="minorHAnsi" w:eastAsia="Calibri" w:hAnsiTheme="minorHAnsi"/>
        </w:rPr>
        <w:t xml:space="preserve">reclamation </w:t>
      </w:r>
      <w:r w:rsidR="00A817AA" w:rsidRPr="000D2391">
        <w:rPr>
          <w:rFonts w:asciiTheme="minorHAnsi" w:eastAsia="Calibri" w:hAnsiTheme="minorHAnsi"/>
        </w:rPr>
        <w:t xml:space="preserve">based on </w:t>
      </w:r>
      <w:r w:rsidR="00A817AA" w:rsidRPr="000D2391">
        <w:rPr>
          <w:rFonts w:asciiTheme="minorHAnsi" w:eastAsia="SimSun" w:hAnsiTheme="minorHAnsi"/>
          <w:iCs/>
          <w:lang w:eastAsia="zh-CN"/>
        </w:rPr>
        <w:t>confirmations/notifications from national Administrations/regulators as recommended by Council 2018.</w:t>
      </w:r>
      <w:r w:rsidR="008A573A" w:rsidRPr="000D2391">
        <w:rPr>
          <w:rFonts w:asciiTheme="minorHAnsi" w:eastAsia="SimSun" w:hAnsiTheme="minorHAnsi"/>
          <w:iCs/>
          <w:lang w:eastAsia="zh-CN"/>
        </w:rPr>
        <w:t xml:space="preserve"> </w:t>
      </w:r>
      <w:r w:rsidR="00BF479D" w:rsidRPr="000D2391">
        <w:rPr>
          <w:rFonts w:asciiTheme="minorHAnsi" w:eastAsia="SimSun" w:hAnsiTheme="minorHAnsi"/>
          <w:iCs/>
          <w:lang w:eastAsia="zh-CN"/>
        </w:rPr>
        <w:t>Among these UIFN service providers, f</w:t>
      </w:r>
      <w:r w:rsidR="008A573A" w:rsidRPr="000D2391">
        <w:rPr>
          <w:rFonts w:asciiTheme="minorHAnsi" w:eastAsia="SimSun" w:hAnsiTheme="minorHAnsi"/>
          <w:iCs/>
          <w:lang w:eastAsia="zh-CN"/>
        </w:rPr>
        <w:t>or the ones to whom invoices</w:t>
      </w:r>
      <w:r w:rsidR="00BF479D" w:rsidRPr="000D2391">
        <w:rPr>
          <w:rFonts w:asciiTheme="minorHAnsi" w:eastAsia="SimSun" w:hAnsiTheme="minorHAnsi"/>
          <w:iCs/>
          <w:lang w:eastAsia="zh-CN"/>
        </w:rPr>
        <w:t xml:space="preserve"> for the maintenance fee for 2018</w:t>
      </w:r>
      <w:r w:rsidR="008A573A" w:rsidRPr="000D2391">
        <w:rPr>
          <w:rFonts w:asciiTheme="minorHAnsi" w:eastAsia="SimSun" w:hAnsiTheme="minorHAnsi"/>
          <w:iCs/>
          <w:lang w:eastAsia="zh-CN"/>
        </w:rPr>
        <w:t xml:space="preserve"> have been sent, </w:t>
      </w:r>
      <w:r w:rsidR="008A573A" w:rsidRPr="000D2391">
        <w:rPr>
          <w:rFonts w:asciiTheme="minorHAnsi" w:hAnsiTheme="minorHAnsi"/>
          <w:lang w:val="en-US" w:eastAsia="zh-CN"/>
        </w:rPr>
        <w:t xml:space="preserve">it would </w:t>
      </w:r>
      <w:r w:rsidR="000A53C2">
        <w:rPr>
          <w:rFonts w:asciiTheme="minorHAnsi" w:hAnsiTheme="minorHAnsi"/>
          <w:lang w:val="en-US" w:eastAsia="zh-CN"/>
        </w:rPr>
        <w:t xml:space="preserve">fall to </w:t>
      </w:r>
      <w:r w:rsidR="008A573A" w:rsidRPr="000D2391">
        <w:rPr>
          <w:rFonts w:asciiTheme="minorHAnsi" w:hAnsiTheme="minorHAnsi"/>
          <w:lang w:val="en-US" w:eastAsia="zh-CN"/>
        </w:rPr>
        <w:t>the Council to decide whether to write off the debt.</w:t>
      </w:r>
    </w:p>
    <w:p w14:paraId="776CC21A" w14:textId="2C84F06A" w:rsidR="005E4580" w:rsidRPr="000D2391" w:rsidRDefault="00743D58" w:rsidP="004E2172">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lang w:val="en-US" w:eastAsia="zh-CN"/>
        </w:rPr>
      </w:pPr>
      <w:r w:rsidRPr="000D2391">
        <w:rPr>
          <w:rFonts w:asciiTheme="minorHAnsi" w:eastAsia="SimSun" w:hAnsiTheme="minorHAnsi"/>
          <w:iCs/>
          <w:lang w:eastAsia="zh-CN"/>
        </w:rPr>
        <w:t>5.2</w:t>
      </w:r>
      <w:r w:rsidR="00607549">
        <w:rPr>
          <w:rFonts w:asciiTheme="minorHAnsi" w:eastAsia="SimSun" w:hAnsiTheme="minorHAnsi"/>
          <w:iCs/>
          <w:lang w:eastAsia="zh-CN"/>
        </w:rPr>
        <w:tab/>
      </w:r>
      <w:r w:rsidR="00A55780" w:rsidRPr="000D2391">
        <w:rPr>
          <w:rFonts w:asciiTheme="minorHAnsi" w:eastAsia="SimSun" w:hAnsiTheme="minorHAnsi"/>
          <w:iCs/>
          <w:lang w:eastAsia="zh-CN"/>
        </w:rPr>
        <w:t>The list of UIFN service providers in Annex B</w:t>
      </w:r>
      <w:r w:rsidR="001205B2" w:rsidRPr="000D2391">
        <w:rPr>
          <w:rFonts w:asciiTheme="minorHAnsi" w:eastAsia="SimSun" w:hAnsiTheme="minorHAnsi"/>
          <w:iCs/>
          <w:lang w:eastAsia="zh-CN"/>
        </w:rPr>
        <w:t xml:space="preserve"> have been contacted and </w:t>
      </w:r>
      <w:r w:rsidR="00BF479D" w:rsidRPr="000D2391">
        <w:rPr>
          <w:rFonts w:asciiTheme="minorHAnsi" w:eastAsia="SimSun" w:hAnsiTheme="minorHAnsi"/>
          <w:iCs/>
          <w:lang w:eastAsia="zh-CN"/>
        </w:rPr>
        <w:t xml:space="preserve">they have received the invoices for the </w:t>
      </w:r>
      <w:r w:rsidR="000A53C2">
        <w:rPr>
          <w:rFonts w:asciiTheme="minorHAnsi" w:eastAsia="SimSun" w:hAnsiTheme="minorHAnsi"/>
          <w:iCs/>
          <w:lang w:eastAsia="zh-CN"/>
        </w:rPr>
        <w:t xml:space="preserve">2018 </w:t>
      </w:r>
      <w:r w:rsidR="00BF479D" w:rsidRPr="000D2391">
        <w:rPr>
          <w:rFonts w:asciiTheme="minorHAnsi" w:eastAsia="SimSun" w:hAnsiTheme="minorHAnsi"/>
          <w:iCs/>
          <w:lang w:eastAsia="zh-CN"/>
        </w:rPr>
        <w:t>maintenance fee.</w:t>
      </w:r>
      <w:r w:rsidR="000A53C2">
        <w:rPr>
          <w:rFonts w:asciiTheme="minorHAnsi" w:eastAsia="SimSun" w:hAnsiTheme="minorHAnsi"/>
          <w:iCs/>
          <w:lang w:eastAsia="zh-CN"/>
        </w:rPr>
        <w:t xml:space="preserve"> </w:t>
      </w:r>
      <w:r w:rsidR="00BF479D" w:rsidRPr="000D2391">
        <w:rPr>
          <w:rFonts w:asciiTheme="minorHAnsi" w:eastAsia="SimSun" w:hAnsiTheme="minorHAnsi"/>
          <w:iCs/>
          <w:lang w:eastAsia="zh-CN"/>
        </w:rPr>
        <w:t>Payment for the invoices</w:t>
      </w:r>
      <w:r w:rsidR="008A573A" w:rsidRPr="000D2391">
        <w:rPr>
          <w:rFonts w:asciiTheme="minorHAnsi" w:eastAsia="SimSun" w:hAnsiTheme="minorHAnsi"/>
          <w:iCs/>
          <w:lang w:eastAsia="zh-CN"/>
        </w:rPr>
        <w:t xml:space="preserve"> are </w:t>
      </w:r>
      <w:r w:rsidR="00BF479D" w:rsidRPr="000D2391">
        <w:rPr>
          <w:rFonts w:asciiTheme="minorHAnsi" w:eastAsia="SimSun" w:hAnsiTheme="minorHAnsi"/>
          <w:iCs/>
          <w:lang w:eastAsia="zh-CN"/>
        </w:rPr>
        <w:t xml:space="preserve">still </w:t>
      </w:r>
      <w:r w:rsidR="008A573A" w:rsidRPr="000D2391">
        <w:rPr>
          <w:rFonts w:asciiTheme="minorHAnsi" w:eastAsia="SimSun" w:hAnsiTheme="minorHAnsi"/>
          <w:iCs/>
          <w:lang w:eastAsia="zh-CN"/>
        </w:rPr>
        <w:t>under their consideration.</w:t>
      </w:r>
      <w:r w:rsidR="00A55780" w:rsidRPr="000D2391">
        <w:rPr>
          <w:rFonts w:asciiTheme="minorHAnsi" w:eastAsia="SimSun" w:hAnsiTheme="minorHAnsi"/>
          <w:iCs/>
          <w:lang w:eastAsia="zh-CN"/>
        </w:rPr>
        <w:t xml:space="preserve"> </w:t>
      </w:r>
      <w:r w:rsidR="00A55780" w:rsidRPr="000D2391">
        <w:rPr>
          <w:rFonts w:asciiTheme="minorHAnsi" w:hAnsiTheme="minorHAnsi"/>
          <w:lang w:val="en-US" w:eastAsia="zh-CN"/>
        </w:rPr>
        <w:t>If the invoices remain unpaid for a</w:t>
      </w:r>
      <w:r w:rsidR="000A53C2">
        <w:rPr>
          <w:rFonts w:asciiTheme="minorHAnsi" w:hAnsiTheme="minorHAnsi"/>
          <w:lang w:val="en-US" w:eastAsia="zh-CN"/>
        </w:rPr>
        <w:t>n extended</w:t>
      </w:r>
      <w:r w:rsidR="00A55780" w:rsidRPr="000D2391">
        <w:rPr>
          <w:rFonts w:asciiTheme="minorHAnsi" w:hAnsiTheme="minorHAnsi"/>
          <w:lang w:val="en-US" w:eastAsia="zh-CN"/>
        </w:rPr>
        <w:t xml:space="preserve"> period, the secretariat will seek assistance from Member States to recover the debt. </w:t>
      </w:r>
    </w:p>
    <w:p w14:paraId="416943AB" w14:textId="2D038D74" w:rsidR="001205B2" w:rsidRPr="000D2391" w:rsidRDefault="008A573A" w:rsidP="004E2172">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lang w:val="en-US" w:eastAsia="zh-CN"/>
        </w:rPr>
      </w:pPr>
      <w:r w:rsidRPr="000D2391">
        <w:rPr>
          <w:rFonts w:asciiTheme="minorHAnsi" w:hAnsiTheme="minorHAnsi"/>
          <w:lang w:val="en-US" w:eastAsia="zh-CN"/>
        </w:rPr>
        <w:t>5.3</w:t>
      </w:r>
      <w:r w:rsidRPr="000D2391">
        <w:rPr>
          <w:rFonts w:asciiTheme="minorHAnsi" w:hAnsiTheme="minorHAnsi"/>
          <w:lang w:val="en-US" w:eastAsia="zh-CN"/>
        </w:rPr>
        <w:tab/>
      </w:r>
      <w:r w:rsidR="00BF479D" w:rsidRPr="000D2391">
        <w:rPr>
          <w:rFonts w:asciiTheme="minorHAnsi" w:hAnsiTheme="minorHAnsi"/>
          <w:lang w:val="en-US" w:eastAsia="zh-CN"/>
        </w:rPr>
        <w:t xml:space="preserve">The list of </w:t>
      </w:r>
      <w:r w:rsidR="001205B2" w:rsidRPr="000D2391">
        <w:rPr>
          <w:rFonts w:asciiTheme="minorHAnsi" w:hAnsiTheme="minorHAnsi"/>
          <w:lang w:val="en-US" w:eastAsia="zh-CN"/>
        </w:rPr>
        <w:t>UIFN service providers requiring further information</w:t>
      </w:r>
      <w:r w:rsidRPr="000D2391">
        <w:rPr>
          <w:rFonts w:asciiTheme="minorHAnsi" w:hAnsiTheme="minorHAnsi"/>
          <w:lang w:val="en-US" w:eastAsia="zh-CN"/>
        </w:rPr>
        <w:t xml:space="preserve"> is provided in Annex C.</w:t>
      </w:r>
      <w:r w:rsidR="001205B2" w:rsidRPr="000D2391">
        <w:rPr>
          <w:rFonts w:asciiTheme="minorHAnsi" w:hAnsiTheme="minorHAnsi"/>
          <w:lang w:val="en-US" w:eastAsia="zh-CN"/>
        </w:rPr>
        <w:t xml:space="preserve"> </w:t>
      </w:r>
      <w:r w:rsidR="00C13C27" w:rsidRPr="000D2391">
        <w:rPr>
          <w:rFonts w:asciiTheme="minorHAnsi" w:eastAsia="SimSun" w:hAnsiTheme="minorHAnsi"/>
          <w:iCs/>
          <w:lang w:eastAsia="zh-CN"/>
        </w:rPr>
        <w:t>National Administrations/regulators or</w:t>
      </w:r>
      <w:r w:rsidR="00C13C27" w:rsidRPr="00607549">
        <w:rPr>
          <w:rFonts w:asciiTheme="minorHAnsi" w:hAnsiTheme="minorHAnsi"/>
          <w:lang w:val="en-US"/>
        </w:rPr>
        <w:t xml:space="preserve"> authorized agencies</w:t>
      </w:r>
      <w:r w:rsidR="00C13C27" w:rsidRPr="000D2391">
        <w:rPr>
          <w:rFonts w:asciiTheme="minorHAnsi" w:eastAsia="SimSun" w:hAnsiTheme="minorHAnsi"/>
          <w:iCs/>
          <w:lang w:eastAsia="zh-CN"/>
        </w:rPr>
        <w:t xml:space="preserve"> are encouraged to provide assistance in identifying the </w:t>
      </w:r>
      <w:r w:rsidR="00D1668A">
        <w:rPr>
          <w:rFonts w:asciiTheme="minorHAnsi" w:eastAsia="SimSun" w:hAnsiTheme="minorHAnsi"/>
          <w:iCs/>
          <w:lang w:eastAsia="zh-CN"/>
        </w:rPr>
        <w:t xml:space="preserve">up-to-date </w:t>
      </w:r>
      <w:r w:rsidR="00C13C27" w:rsidRPr="000D2391">
        <w:rPr>
          <w:rFonts w:asciiTheme="minorHAnsi" w:eastAsia="SimSun" w:hAnsiTheme="minorHAnsi"/>
          <w:iCs/>
          <w:lang w:eastAsia="zh-CN"/>
        </w:rPr>
        <w:t>contact</w:t>
      </w:r>
      <w:r w:rsidR="00D1668A">
        <w:rPr>
          <w:rFonts w:asciiTheme="minorHAnsi" w:eastAsia="SimSun" w:hAnsiTheme="minorHAnsi"/>
          <w:iCs/>
          <w:lang w:eastAsia="zh-CN"/>
        </w:rPr>
        <w:t xml:space="preserve"> or status of these entities (e.g., if they are no longer in business)</w:t>
      </w:r>
      <w:r w:rsidR="00C13C27" w:rsidRPr="000D2391">
        <w:rPr>
          <w:rFonts w:asciiTheme="minorHAnsi" w:eastAsia="SimSun" w:hAnsiTheme="minorHAnsi"/>
          <w:iCs/>
          <w:lang w:eastAsia="zh-CN"/>
        </w:rPr>
        <w:t>.</w:t>
      </w:r>
    </w:p>
    <w:p w14:paraId="0F160632" w14:textId="0307E169" w:rsidR="00BF479D" w:rsidRPr="000D2391" w:rsidRDefault="00743D58" w:rsidP="004E2172">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eastAsia="SimSun" w:hAnsiTheme="minorHAnsi"/>
          <w:iCs/>
          <w:lang w:eastAsia="zh-CN"/>
        </w:rPr>
      </w:pPr>
      <w:r w:rsidRPr="000D2391">
        <w:rPr>
          <w:rFonts w:asciiTheme="minorHAnsi" w:eastAsia="SimSun" w:hAnsiTheme="minorHAnsi"/>
          <w:iCs/>
          <w:lang w:eastAsia="zh-CN"/>
        </w:rPr>
        <w:t>5</w:t>
      </w:r>
      <w:r w:rsidR="00BF479D" w:rsidRPr="000D2391">
        <w:rPr>
          <w:rFonts w:asciiTheme="minorHAnsi" w:eastAsia="Calibri" w:hAnsiTheme="minorHAnsi"/>
        </w:rPr>
        <w:t>.4</w:t>
      </w:r>
      <w:r w:rsidR="00BF479D" w:rsidRPr="000D2391">
        <w:rPr>
          <w:rFonts w:asciiTheme="minorHAnsi" w:eastAsia="Calibri" w:hAnsiTheme="minorHAnsi"/>
        </w:rPr>
        <w:tab/>
      </w:r>
      <w:r w:rsidR="00A55780" w:rsidRPr="000D2391">
        <w:rPr>
          <w:rFonts w:asciiTheme="minorHAnsi" w:eastAsia="Calibri" w:hAnsiTheme="minorHAnsi"/>
        </w:rPr>
        <w:t xml:space="preserve">The list of IINs </w:t>
      </w:r>
      <w:r w:rsidR="000A7677" w:rsidRPr="000D2391">
        <w:rPr>
          <w:rFonts w:asciiTheme="minorHAnsi" w:eastAsia="Calibri" w:hAnsiTheme="minorHAnsi"/>
        </w:rPr>
        <w:t>for which contact information is pending</w:t>
      </w:r>
      <w:r w:rsidR="00A55780" w:rsidRPr="000D2391">
        <w:rPr>
          <w:rFonts w:asciiTheme="minorHAnsi" w:eastAsia="Calibri" w:hAnsiTheme="minorHAnsi"/>
        </w:rPr>
        <w:t xml:space="preserve"> will be published on ITU website as IINs with the status “assignee not reachable” and will be announced in</w:t>
      </w:r>
      <w:r w:rsidR="000A53C2">
        <w:rPr>
          <w:rFonts w:asciiTheme="minorHAnsi" w:eastAsia="Calibri" w:hAnsiTheme="minorHAnsi"/>
        </w:rPr>
        <w:t xml:space="preserve"> the</w:t>
      </w:r>
      <w:r w:rsidR="00A55780" w:rsidRPr="000D2391">
        <w:rPr>
          <w:rFonts w:asciiTheme="minorHAnsi" w:eastAsia="Calibri" w:hAnsiTheme="minorHAnsi"/>
        </w:rPr>
        <w:t xml:space="preserve"> ITU Operational Bulletin. </w:t>
      </w:r>
      <w:r w:rsidR="009125F5" w:rsidRPr="000D2391">
        <w:rPr>
          <w:rFonts w:asciiTheme="minorHAnsi" w:eastAsia="SimSun" w:hAnsiTheme="minorHAnsi"/>
          <w:iCs/>
          <w:lang w:eastAsia="zh-CN"/>
        </w:rPr>
        <w:t>N</w:t>
      </w:r>
      <w:r w:rsidR="00A55780" w:rsidRPr="000D2391">
        <w:rPr>
          <w:rFonts w:asciiTheme="minorHAnsi" w:eastAsia="SimSun" w:hAnsiTheme="minorHAnsi"/>
          <w:iCs/>
          <w:lang w:eastAsia="zh-CN"/>
        </w:rPr>
        <w:t>ational Administrations/regulators</w:t>
      </w:r>
      <w:r w:rsidR="00BF479D" w:rsidRPr="000D2391">
        <w:rPr>
          <w:rFonts w:asciiTheme="minorHAnsi" w:eastAsia="SimSun" w:hAnsiTheme="minorHAnsi"/>
          <w:iCs/>
          <w:lang w:eastAsia="zh-CN"/>
        </w:rPr>
        <w:t xml:space="preserve"> or</w:t>
      </w:r>
      <w:r w:rsidR="00C13C27" w:rsidRPr="00607549">
        <w:rPr>
          <w:rFonts w:asciiTheme="minorHAnsi" w:hAnsiTheme="minorHAnsi"/>
          <w:lang w:val="en-US"/>
        </w:rPr>
        <w:t xml:space="preserve"> authorized agencies</w:t>
      </w:r>
      <w:r w:rsidR="00BF479D" w:rsidRPr="000D2391">
        <w:rPr>
          <w:rFonts w:asciiTheme="minorHAnsi" w:eastAsia="SimSun" w:hAnsiTheme="minorHAnsi"/>
          <w:iCs/>
          <w:lang w:eastAsia="zh-CN"/>
        </w:rPr>
        <w:t xml:space="preserve"> </w:t>
      </w:r>
      <w:r w:rsidR="009125F5" w:rsidRPr="000D2391">
        <w:rPr>
          <w:rFonts w:asciiTheme="minorHAnsi" w:eastAsia="SimSun" w:hAnsiTheme="minorHAnsi"/>
          <w:iCs/>
          <w:lang w:eastAsia="zh-CN"/>
        </w:rPr>
        <w:t xml:space="preserve">are encouraged to provide assistance in identifying </w:t>
      </w:r>
      <w:r w:rsidR="00D1668A" w:rsidRPr="000D2391">
        <w:rPr>
          <w:rFonts w:asciiTheme="minorHAnsi" w:eastAsia="SimSun" w:hAnsiTheme="minorHAnsi"/>
          <w:iCs/>
          <w:lang w:eastAsia="zh-CN"/>
        </w:rPr>
        <w:t>the</w:t>
      </w:r>
      <w:r w:rsidR="00D1668A">
        <w:rPr>
          <w:rFonts w:asciiTheme="minorHAnsi" w:eastAsia="SimSun" w:hAnsiTheme="minorHAnsi"/>
          <w:iCs/>
          <w:lang w:eastAsia="zh-CN"/>
        </w:rPr>
        <w:t xml:space="preserve">ir </w:t>
      </w:r>
      <w:r w:rsidR="00D1668A" w:rsidRPr="000D2391">
        <w:rPr>
          <w:rFonts w:asciiTheme="minorHAnsi" w:eastAsia="SimSun" w:hAnsiTheme="minorHAnsi"/>
          <w:iCs/>
          <w:lang w:eastAsia="zh-CN"/>
        </w:rPr>
        <w:t>up</w:t>
      </w:r>
      <w:r w:rsidR="00D1668A">
        <w:rPr>
          <w:rFonts w:asciiTheme="minorHAnsi" w:eastAsia="SimSun" w:hAnsiTheme="minorHAnsi"/>
          <w:iCs/>
          <w:lang w:eastAsia="zh-CN"/>
        </w:rPr>
        <w:t xml:space="preserve">-to-date status and/or </w:t>
      </w:r>
      <w:r w:rsidR="009125F5" w:rsidRPr="000D2391">
        <w:rPr>
          <w:rFonts w:asciiTheme="minorHAnsi" w:eastAsia="SimSun" w:hAnsiTheme="minorHAnsi"/>
          <w:iCs/>
          <w:lang w:eastAsia="zh-CN"/>
        </w:rPr>
        <w:t>contact</w:t>
      </w:r>
      <w:r w:rsidR="00D1668A">
        <w:rPr>
          <w:rFonts w:asciiTheme="minorHAnsi" w:eastAsia="SimSun" w:hAnsiTheme="minorHAnsi"/>
          <w:iCs/>
          <w:lang w:eastAsia="zh-CN"/>
        </w:rPr>
        <w:t xml:space="preserve"> information</w:t>
      </w:r>
      <w:r w:rsidR="00A55780" w:rsidRPr="000D2391">
        <w:rPr>
          <w:rFonts w:asciiTheme="minorHAnsi" w:eastAsia="SimSun" w:hAnsiTheme="minorHAnsi"/>
          <w:iCs/>
          <w:lang w:eastAsia="zh-CN"/>
        </w:rPr>
        <w:t xml:space="preserve">. </w:t>
      </w:r>
    </w:p>
    <w:p w14:paraId="3C60E8FF" w14:textId="2EDFF37E" w:rsidR="003C2F8E" w:rsidRPr="000D2391" w:rsidRDefault="00C13C27" w:rsidP="00AC4DFE">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eastAsia="SimSun" w:hAnsiTheme="minorHAnsi"/>
          <w:iCs/>
          <w:lang w:eastAsia="zh-CN"/>
        </w:rPr>
      </w:pPr>
      <w:r w:rsidRPr="000D2391">
        <w:rPr>
          <w:rFonts w:asciiTheme="minorHAnsi" w:eastAsia="SimSun" w:hAnsiTheme="minorHAnsi"/>
          <w:iCs/>
          <w:lang w:eastAsia="zh-CN"/>
        </w:rPr>
        <w:t>5.5</w:t>
      </w:r>
      <w:r w:rsidR="000A53C2">
        <w:rPr>
          <w:rFonts w:asciiTheme="minorHAnsi" w:eastAsia="SimSun" w:hAnsiTheme="minorHAnsi"/>
          <w:iCs/>
          <w:lang w:eastAsia="zh-CN"/>
        </w:rPr>
        <w:tab/>
      </w:r>
      <w:r w:rsidR="003C2F8E" w:rsidRPr="000D2391">
        <w:rPr>
          <w:rFonts w:asciiTheme="minorHAnsi" w:eastAsia="SimSun" w:hAnsiTheme="minorHAnsi"/>
          <w:iCs/>
          <w:lang w:eastAsia="zh-CN"/>
        </w:rPr>
        <w:t>For the UIFNs and IINs which are still under consultation with national Administrations/regulators</w:t>
      </w:r>
      <w:r w:rsidRPr="000D2391">
        <w:rPr>
          <w:rFonts w:asciiTheme="minorHAnsi" w:eastAsia="SimSun" w:hAnsiTheme="minorHAnsi"/>
          <w:iCs/>
          <w:lang w:eastAsia="zh-CN"/>
        </w:rPr>
        <w:t xml:space="preserve"> or authorized agencies</w:t>
      </w:r>
      <w:r w:rsidR="003C2F8E" w:rsidRPr="000D2391">
        <w:rPr>
          <w:rFonts w:asciiTheme="minorHAnsi" w:eastAsia="SimSun" w:hAnsiTheme="minorHAnsi"/>
          <w:iCs/>
          <w:lang w:eastAsia="zh-CN"/>
        </w:rPr>
        <w:t xml:space="preserve">, their status should be confirmed before </w:t>
      </w:r>
      <w:r w:rsidR="001205B2" w:rsidRPr="000D2391">
        <w:rPr>
          <w:rFonts w:asciiTheme="minorHAnsi" w:eastAsia="SimSun" w:hAnsiTheme="minorHAnsi"/>
          <w:iCs/>
          <w:lang w:eastAsia="zh-CN"/>
        </w:rPr>
        <w:t>31</w:t>
      </w:r>
      <w:r w:rsidR="00AC4DFE">
        <w:rPr>
          <w:rFonts w:asciiTheme="minorHAnsi" w:eastAsia="SimSun" w:hAnsiTheme="minorHAnsi"/>
          <w:iCs/>
          <w:lang w:eastAsia="zh-CN"/>
        </w:rPr>
        <w:t> </w:t>
      </w:r>
      <w:r w:rsidR="00FB347A" w:rsidRPr="000D2391">
        <w:rPr>
          <w:rFonts w:asciiTheme="minorHAnsi" w:eastAsia="SimSun" w:hAnsiTheme="minorHAnsi"/>
          <w:iCs/>
          <w:lang w:eastAsia="zh-CN"/>
        </w:rPr>
        <w:t>October 2019</w:t>
      </w:r>
      <w:r w:rsidR="003C2F8E" w:rsidRPr="000D2391">
        <w:rPr>
          <w:rFonts w:asciiTheme="minorHAnsi" w:eastAsia="SimSun" w:hAnsiTheme="minorHAnsi"/>
          <w:iCs/>
          <w:lang w:eastAsia="zh-CN"/>
        </w:rPr>
        <w:t xml:space="preserve">. </w:t>
      </w:r>
      <w:r w:rsidR="00B34847" w:rsidRPr="000D2391">
        <w:rPr>
          <w:rFonts w:asciiTheme="minorHAnsi" w:eastAsia="SimSun" w:hAnsiTheme="minorHAnsi"/>
          <w:iCs/>
          <w:lang w:eastAsia="zh-CN"/>
        </w:rPr>
        <w:t>If no objection is received</w:t>
      </w:r>
      <w:r w:rsidRPr="000D2391">
        <w:rPr>
          <w:rFonts w:asciiTheme="minorHAnsi" w:eastAsia="SimSun" w:hAnsiTheme="minorHAnsi"/>
          <w:iCs/>
          <w:lang w:eastAsia="zh-CN"/>
        </w:rPr>
        <w:t xml:space="preserve"> from national Administrations/regulators or authorized agencies</w:t>
      </w:r>
      <w:r w:rsidR="00B34847" w:rsidRPr="000D2391">
        <w:rPr>
          <w:rFonts w:asciiTheme="minorHAnsi" w:eastAsia="SimSun" w:hAnsiTheme="minorHAnsi"/>
          <w:iCs/>
          <w:lang w:eastAsia="zh-CN"/>
        </w:rPr>
        <w:t xml:space="preserve">, the corresponding UIFNs and IINs will be </w:t>
      </w:r>
      <w:r w:rsidRPr="000D2391">
        <w:rPr>
          <w:rFonts w:asciiTheme="minorHAnsi" w:eastAsia="SimSun" w:hAnsiTheme="minorHAnsi"/>
          <w:iCs/>
          <w:lang w:eastAsia="zh-CN"/>
        </w:rPr>
        <w:t xml:space="preserve">considered as </w:t>
      </w:r>
      <w:r w:rsidR="000A53C2">
        <w:rPr>
          <w:rFonts w:asciiTheme="minorHAnsi" w:eastAsia="SimSun" w:hAnsiTheme="minorHAnsi"/>
          <w:iCs/>
          <w:lang w:eastAsia="zh-CN"/>
        </w:rPr>
        <w:t xml:space="preserve">no longer active </w:t>
      </w:r>
      <w:r w:rsidRPr="000D2391">
        <w:rPr>
          <w:rFonts w:asciiTheme="minorHAnsi" w:eastAsia="SimSun" w:hAnsiTheme="minorHAnsi"/>
          <w:iCs/>
          <w:lang w:eastAsia="zh-CN"/>
        </w:rPr>
        <w:t xml:space="preserve">and </w:t>
      </w:r>
      <w:r w:rsidR="00B34847" w:rsidRPr="000D2391">
        <w:rPr>
          <w:rFonts w:asciiTheme="minorHAnsi" w:eastAsia="SimSun" w:hAnsiTheme="minorHAnsi"/>
          <w:iCs/>
          <w:lang w:eastAsia="zh-CN"/>
        </w:rPr>
        <w:t>removed from ITU databases.</w:t>
      </w:r>
    </w:p>
    <w:p w14:paraId="651C8403" w14:textId="2DCFBABD" w:rsidR="00195B00" w:rsidRDefault="00AC4DFE" w:rsidP="004E2172">
      <w:pPr>
        <w:pStyle w:val="ListParagraph"/>
        <w:tabs>
          <w:tab w:val="clear" w:pos="567"/>
          <w:tab w:val="clear" w:pos="1134"/>
          <w:tab w:val="clear" w:pos="1701"/>
          <w:tab w:val="clear" w:pos="2268"/>
          <w:tab w:val="clear" w:pos="2835"/>
        </w:tabs>
        <w:snapToGrid w:val="0"/>
        <w:spacing w:after="120"/>
        <w:ind w:left="0"/>
        <w:contextualSpacing w:val="0"/>
        <w:jc w:val="both"/>
        <w:rPr>
          <w:rFonts w:ascii="Times New Roman" w:hAnsi="Times New Roman"/>
          <w:szCs w:val="24"/>
        </w:rPr>
      </w:pPr>
      <w:r>
        <w:rPr>
          <w:rFonts w:asciiTheme="minorHAnsi" w:eastAsia="SimSun" w:hAnsiTheme="minorHAnsi"/>
          <w:iCs/>
          <w:lang w:eastAsia="zh-CN"/>
        </w:rPr>
        <w:t>5.6</w:t>
      </w:r>
      <w:r w:rsidR="000A53C2" w:rsidRPr="008E67CF">
        <w:rPr>
          <w:rFonts w:asciiTheme="minorHAnsi" w:eastAsia="SimSun" w:hAnsiTheme="minorHAnsi"/>
          <w:iCs/>
          <w:lang w:eastAsia="zh-CN"/>
        </w:rPr>
        <w:tab/>
      </w:r>
      <w:r w:rsidR="00C71367" w:rsidRPr="008E67CF">
        <w:rPr>
          <w:rFonts w:asciiTheme="minorHAnsi" w:eastAsia="SimSun" w:hAnsiTheme="minorHAnsi"/>
          <w:iCs/>
          <w:lang w:eastAsia="zh-CN"/>
        </w:rPr>
        <w:t xml:space="preserve">UIFN service providers or IIN assignees with the status of </w:t>
      </w:r>
      <w:r w:rsidR="00F45416" w:rsidRPr="008E67CF">
        <w:rPr>
          <w:rFonts w:asciiTheme="minorHAnsi" w:eastAsia="SimSun" w:hAnsiTheme="minorHAnsi"/>
          <w:i/>
          <w:lang w:eastAsia="zh-CN"/>
        </w:rPr>
        <w:t>ADMIN RELATED</w:t>
      </w:r>
      <w:r w:rsidR="00C71367" w:rsidRPr="008E67CF">
        <w:rPr>
          <w:rFonts w:asciiTheme="minorHAnsi" w:eastAsia="SimSun" w:hAnsiTheme="minorHAnsi"/>
          <w:iCs/>
          <w:lang w:eastAsia="zh-CN"/>
        </w:rPr>
        <w:t xml:space="preserve"> </w:t>
      </w:r>
      <w:r w:rsidR="002F3DF9" w:rsidRPr="008E67CF">
        <w:rPr>
          <w:rFonts w:asciiTheme="minorHAnsi" w:eastAsia="SimSun" w:hAnsiTheme="minorHAnsi"/>
          <w:iCs/>
          <w:lang w:eastAsia="zh-CN"/>
        </w:rPr>
        <w:t>are not subject</w:t>
      </w:r>
      <w:r w:rsidR="000A53C2" w:rsidRPr="008E67CF">
        <w:rPr>
          <w:rFonts w:asciiTheme="minorHAnsi" w:eastAsia="SimSun" w:hAnsiTheme="minorHAnsi"/>
          <w:iCs/>
          <w:lang w:eastAsia="zh-CN"/>
        </w:rPr>
        <w:t xml:space="preserve"> to</w:t>
      </w:r>
      <w:r w:rsidR="002F3DF9" w:rsidRPr="008E67CF">
        <w:rPr>
          <w:rFonts w:asciiTheme="minorHAnsi" w:eastAsia="SimSun" w:hAnsiTheme="minorHAnsi"/>
          <w:iCs/>
          <w:lang w:eastAsia="zh-CN"/>
        </w:rPr>
        <w:t xml:space="preserve"> the annual maintenance fee.</w:t>
      </w:r>
    </w:p>
    <w:p w14:paraId="12014128" w14:textId="77777777" w:rsidR="00195B00" w:rsidRDefault="00195B00" w:rsidP="00860A1A">
      <w:pPr>
        <w:pStyle w:val="ListParagraph"/>
        <w:tabs>
          <w:tab w:val="clear" w:pos="567"/>
          <w:tab w:val="clear" w:pos="1134"/>
          <w:tab w:val="clear" w:pos="1701"/>
          <w:tab w:val="clear" w:pos="2268"/>
          <w:tab w:val="clear" w:pos="2835"/>
        </w:tabs>
        <w:snapToGrid w:val="0"/>
        <w:spacing w:after="120"/>
        <w:ind w:left="0"/>
        <w:contextualSpacing w:val="0"/>
        <w:jc w:val="both"/>
        <w:rPr>
          <w:rFonts w:ascii="Times New Roman" w:hAnsi="Times New Roman"/>
          <w:szCs w:val="24"/>
        </w:rPr>
        <w:sectPr w:rsidR="00195B00" w:rsidSect="004D1851">
          <w:headerReference w:type="default" r:id="rId25"/>
          <w:footerReference w:type="first" r:id="rId26"/>
          <w:pgSz w:w="11907" w:h="16834"/>
          <w:pgMar w:top="1418" w:right="1134" w:bottom="1418" w:left="1134" w:header="720" w:footer="720" w:gutter="0"/>
          <w:paperSrc w:first="15" w:other="15"/>
          <w:cols w:space="720"/>
          <w:titlePg/>
        </w:sectPr>
      </w:pPr>
    </w:p>
    <w:p w14:paraId="552D5BBE" w14:textId="77777777" w:rsidR="00A817AA" w:rsidRPr="001241AF" w:rsidRDefault="00A817AA" w:rsidP="00860A1A">
      <w:pPr>
        <w:pStyle w:val="ListParagraph"/>
        <w:tabs>
          <w:tab w:val="clear" w:pos="567"/>
          <w:tab w:val="clear" w:pos="1134"/>
          <w:tab w:val="clear" w:pos="1701"/>
          <w:tab w:val="clear" w:pos="2268"/>
          <w:tab w:val="clear" w:pos="2835"/>
        </w:tabs>
        <w:snapToGrid w:val="0"/>
        <w:spacing w:after="120"/>
        <w:ind w:left="0"/>
        <w:contextualSpacing w:val="0"/>
        <w:jc w:val="both"/>
        <w:rPr>
          <w:rFonts w:ascii="Times New Roman" w:hAnsi="Times New Roman"/>
          <w:b/>
          <w:szCs w:val="24"/>
        </w:rPr>
      </w:pPr>
    </w:p>
    <w:p w14:paraId="48257B6A" w14:textId="21C383C0" w:rsidR="003B7F16" w:rsidRPr="001241AF" w:rsidRDefault="003B7F16" w:rsidP="00B74367">
      <w:pPr>
        <w:pStyle w:val="ListParagraph"/>
        <w:tabs>
          <w:tab w:val="clear" w:pos="567"/>
          <w:tab w:val="clear" w:pos="1134"/>
          <w:tab w:val="clear" w:pos="1701"/>
          <w:tab w:val="clear" w:pos="2268"/>
          <w:tab w:val="clear" w:pos="2835"/>
        </w:tabs>
        <w:snapToGrid w:val="0"/>
        <w:spacing w:after="120"/>
        <w:ind w:left="0"/>
        <w:contextualSpacing w:val="0"/>
        <w:jc w:val="both"/>
        <w:rPr>
          <w:b/>
          <w:szCs w:val="24"/>
        </w:rPr>
      </w:pPr>
      <w:r w:rsidRPr="001241AF">
        <w:rPr>
          <w:b/>
          <w:szCs w:val="24"/>
        </w:rPr>
        <w:t>Annex A</w:t>
      </w:r>
      <w:r w:rsidR="00B74367">
        <w:rPr>
          <w:b/>
          <w:szCs w:val="24"/>
        </w:rPr>
        <w:t xml:space="preserve"> - L</w:t>
      </w:r>
      <w:r w:rsidRPr="001241AF">
        <w:rPr>
          <w:b/>
          <w:szCs w:val="24"/>
        </w:rPr>
        <w:t xml:space="preserve">ist of UIFN service </w:t>
      </w:r>
      <w:proofErr w:type="gramStart"/>
      <w:r w:rsidRPr="001241AF">
        <w:rPr>
          <w:b/>
          <w:szCs w:val="24"/>
        </w:rPr>
        <w:t>providers</w:t>
      </w:r>
      <w:proofErr w:type="gramEnd"/>
      <w:r w:rsidRPr="001241AF">
        <w:rPr>
          <w:b/>
          <w:szCs w:val="24"/>
        </w:rPr>
        <w:t xml:space="preserve"> subject for </w:t>
      </w:r>
      <w:r w:rsidR="001241AF">
        <w:rPr>
          <w:b/>
          <w:szCs w:val="24"/>
        </w:rPr>
        <w:t>removal</w:t>
      </w:r>
    </w:p>
    <w:tbl>
      <w:tblPr>
        <w:tblW w:w="1358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36"/>
        <w:gridCol w:w="1492"/>
        <w:gridCol w:w="5805"/>
        <w:gridCol w:w="2395"/>
        <w:gridCol w:w="1554"/>
      </w:tblGrid>
      <w:tr w:rsidR="0030271B" w:rsidRPr="001241AF" w14:paraId="3477EA27" w14:textId="77777777" w:rsidTr="00DA4FC3">
        <w:trPr>
          <w:cantSplit/>
          <w:trHeight w:val="255"/>
          <w:tblHeader/>
        </w:trPr>
        <w:tc>
          <w:tcPr>
            <w:tcW w:w="1406" w:type="dxa"/>
            <w:shd w:val="clear" w:color="000000" w:fill="DDDDDD"/>
            <w:noWrap/>
            <w:hideMark/>
          </w:tcPr>
          <w:p w14:paraId="23226B4D" w14:textId="24FE2965" w:rsidR="0030271B" w:rsidRPr="001241AF" w:rsidRDefault="0030271B" w:rsidP="0030271B">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1241AF">
              <w:rPr>
                <w:rFonts w:cs="Arial"/>
                <w:b/>
                <w:sz w:val="20"/>
                <w:lang w:val="en-US" w:eastAsia="zh-CN"/>
              </w:rPr>
              <w:t>Amount</w:t>
            </w:r>
          </w:p>
        </w:tc>
        <w:tc>
          <w:tcPr>
            <w:tcW w:w="936" w:type="dxa"/>
            <w:shd w:val="clear" w:color="000000" w:fill="DDDDDD"/>
            <w:noWrap/>
            <w:hideMark/>
          </w:tcPr>
          <w:p w14:paraId="7A7B25D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b/>
                <w:sz w:val="20"/>
                <w:lang w:val="en-US" w:eastAsia="zh-CN"/>
              </w:rPr>
            </w:pPr>
            <w:r w:rsidRPr="001241AF">
              <w:rPr>
                <w:rFonts w:cs="Arial"/>
                <w:b/>
                <w:sz w:val="20"/>
                <w:lang w:val="en-US" w:eastAsia="zh-CN"/>
              </w:rPr>
              <w:t>currency</w:t>
            </w:r>
          </w:p>
        </w:tc>
        <w:tc>
          <w:tcPr>
            <w:tcW w:w="1492" w:type="dxa"/>
            <w:shd w:val="clear" w:color="000000" w:fill="DDDDDD"/>
          </w:tcPr>
          <w:p w14:paraId="6166894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1241AF">
              <w:rPr>
                <w:rFonts w:cs="Arial"/>
                <w:b/>
                <w:sz w:val="20"/>
                <w:lang w:val="en-US" w:eastAsia="zh-CN"/>
              </w:rPr>
              <w:t>UIFN quantity</w:t>
            </w:r>
          </w:p>
          <w:p w14:paraId="35AD7E9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1241AF">
              <w:rPr>
                <w:rFonts w:cs="Arial"/>
                <w:b/>
                <w:sz w:val="20"/>
                <w:lang w:val="en-US" w:eastAsia="zh-CN"/>
              </w:rPr>
              <w:t>1/1/2018</w:t>
            </w:r>
          </w:p>
        </w:tc>
        <w:tc>
          <w:tcPr>
            <w:tcW w:w="5805" w:type="dxa"/>
            <w:shd w:val="clear" w:color="000000" w:fill="DDDDDD"/>
            <w:noWrap/>
            <w:hideMark/>
          </w:tcPr>
          <w:p w14:paraId="5BDDAB1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b/>
                <w:sz w:val="20"/>
                <w:lang w:val="en-US" w:eastAsia="zh-CN"/>
              </w:rPr>
            </w:pPr>
            <w:r w:rsidRPr="001241AF">
              <w:rPr>
                <w:rFonts w:cs="Arial"/>
                <w:b/>
                <w:sz w:val="20"/>
                <w:lang w:val="en-US" w:eastAsia="zh-CN"/>
              </w:rPr>
              <w:t>Company's name</w:t>
            </w:r>
          </w:p>
        </w:tc>
        <w:tc>
          <w:tcPr>
            <w:tcW w:w="2395" w:type="dxa"/>
            <w:shd w:val="clear" w:color="000000" w:fill="DDDDDD"/>
            <w:noWrap/>
            <w:hideMark/>
          </w:tcPr>
          <w:p w14:paraId="61F86099" w14:textId="2B77BEBC" w:rsidR="0030271B" w:rsidRPr="001241AF" w:rsidRDefault="00DA4FC3" w:rsidP="00F27DBB">
            <w:pPr>
              <w:tabs>
                <w:tab w:val="clear" w:pos="567"/>
                <w:tab w:val="clear" w:pos="1134"/>
                <w:tab w:val="clear" w:pos="1701"/>
                <w:tab w:val="clear" w:pos="2268"/>
                <w:tab w:val="clear" w:pos="2835"/>
              </w:tabs>
              <w:overflowPunct/>
              <w:autoSpaceDE/>
              <w:autoSpaceDN/>
              <w:adjustRightInd/>
              <w:spacing w:before="0"/>
              <w:textAlignment w:val="auto"/>
              <w:rPr>
                <w:rFonts w:cs="Arial"/>
                <w:b/>
                <w:sz w:val="20"/>
                <w:lang w:val="en-US" w:eastAsia="zh-CN"/>
              </w:rPr>
            </w:pPr>
            <w:r w:rsidRPr="001241AF">
              <w:rPr>
                <w:rFonts w:cs="Arial"/>
                <w:b/>
                <w:sz w:val="20"/>
                <w:lang w:val="en-US" w:eastAsia="zh-CN"/>
              </w:rPr>
              <w:t>C</w:t>
            </w:r>
            <w:r w:rsidR="0030271B" w:rsidRPr="001241AF">
              <w:rPr>
                <w:rFonts w:cs="Arial"/>
                <w:b/>
                <w:sz w:val="20"/>
                <w:lang w:val="en-US" w:eastAsia="zh-CN"/>
              </w:rPr>
              <w:t>ountry</w:t>
            </w:r>
            <w:r>
              <w:rPr>
                <w:rFonts w:cs="Arial"/>
                <w:b/>
                <w:sz w:val="20"/>
                <w:lang w:val="en-US" w:eastAsia="zh-CN"/>
              </w:rPr>
              <w:t>/Geographic Area</w:t>
            </w:r>
          </w:p>
        </w:tc>
        <w:tc>
          <w:tcPr>
            <w:tcW w:w="1554" w:type="dxa"/>
            <w:shd w:val="clear" w:color="000000" w:fill="DDDDDD"/>
          </w:tcPr>
          <w:p w14:paraId="109EBAF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b/>
                <w:sz w:val="20"/>
                <w:lang w:val="en-US" w:eastAsia="zh-CN"/>
              </w:rPr>
            </w:pPr>
            <w:r w:rsidRPr="001241AF">
              <w:rPr>
                <w:rFonts w:cs="Arial"/>
                <w:b/>
                <w:sz w:val="20"/>
                <w:lang w:val="en-US" w:eastAsia="zh-CN"/>
              </w:rPr>
              <w:t>note</w:t>
            </w:r>
          </w:p>
        </w:tc>
      </w:tr>
      <w:tr w:rsidR="0030271B" w:rsidRPr="001241AF" w14:paraId="64F84FF2" w14:textId="77777777" w:rsidTr="00DA4FC3">
        <w:trPr>
          <w:cantSplit/>
          <w:trHeight w:val="262"/>
        </w:trPr>
        <w:tc>
          <w:tcPr>
            <w:tcW w:w="1406" w:type="dxa"/>
            <w:shd w:val="clear" w:color="auto" w:fill="auto"/>
            <w:noWrap/>
            <w:hideMark/>
          </w:tcPr>
          <w:p w14:paraId="775EB221"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147,400.00</w:t>
            </w:r>
          </w:p>
        </w:tc>
        <w:tc>
          <w:tcPr>
            <w:tcW w:w="936" w:type="dxa"/>
            <w:shd w:val="clear" w:color="auto" w:fill="auto"/>
            <w:noWrap/>
            <w:hideMark/>
          </w:tcPr>
          <w:p w14:paraId="06E4A5A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CHF</w:t>
            </w:r>
          </w:p>
        </w:tc>
        <w:tc>
          <w:tcPr>
            <w:tcW w:w="1492" w:type="dxa"/>
          </w:tcPr>
          <w:p w14:paraId="0CB3054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1474</w:t>
            </w:r>
          </w:p>
        </w:tc>
        <w:tc>
          <w:tcPr>
            <w:tcW w:w="5805" w:type="dxa"/>
            <w:shd w:val="clear" w:color="auto" w:fill="auto"/>
            <w:noWrap/>
            <w:hideMark/>
          </w:tcPr>
          <w:p w14:paraId="4ADD5A7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USA Global Link</w:t>
            </w:r>
          </w:p>
        </w:tc>
        <w:tc>
          <w:tcPr>
            <w:tcW w:w="2395" w:type="dxa"/>
            <w:shd w:val="clear" w:color="auto" w:fill="auto"/>
            <w:noWrap/>
            <w:hideMark/>
          </w:tcPr>
          <w:p w14:paraId="28E3740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United States</w:t>
            </w:r>
          </w:p>
        </w:tc>
        <w:tc>
          <w:tcPr>
            <w:tcW w:w="1554" w:type="dxa"/>
          </w:tcPr>
          <w:p w14:paraId="38E5DA6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r w:rsidR="0030271B" w:rsidRPr="001241AF" w14:paraId="09F73A45" w14:textId="77777777" w:rsidTr="00DA4FC3">
        <w:trPr>
          <w:cantSplit/>
          <w:trHeight w:val="255"/>
        </w:trPr>
        <w:tc>
          <w:tcPr>
            <w:tcW w:w="1406" w:type="dxa"/>
            <w:shd w:val="clear" w:color="auto" w:fill="auto"/>
            <w:noWrap/>
            <w:hideMark/>
          </w:tcPr>
          <w:p w14:paraId="251FEF67"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sz w:val="20"/>
                <w:lang w:val="en-US" w:eastAsia="zh-CN"/>
              </w:rPr>
            </w:pPr>
            <w:r w:rsidRPr="001241AF">
              <w:rPr>
                <w:rFonts w:cs="Arial"/>
                <w:sz w:val="20"/>
                <w:lang w:val="en-US" w:eastAsia="zh-CN"/>
              </w:rPr>
              <w:t>5,000.00</w:t>
            </w:r>
          </w:p>
        </w:tc>
        <w:tc>
          <w:tcPr>
            <w:tcW w:w="936" w:type="dxa"/>
            <w:shd w:val="clear" w:color="auto" w:fill="auto"/>
            <w:noWrap/>
            <w:hideMark/>
          </w:tcPr>
          <w:p w14:paraId="552FF8E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CHF</w:t>
            </w:r>
          </w:p>
        </w:tc>
        <w:tc>
          <w:tcPr>
            <w:tcW w:w="1492" w:type="dxa"/>
          </w:tcPr>
          <w:p w14:paraId="2C6C1EB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sz w:val="20"/>
                <w:lang w:val="en-US" w:eastAsia="zh-CN"/>
              </w:rPr>
            </w:pPr>
            <w:r w:rsidRPr="001241AF">
              <w:rPr>
                <w:rFonts w:cs="Arial"/>
                <w:sz w:val="20"/>
                <w:lang w:val="en-US" w:eastAsia="zh-CN"/>
              </w:rPr>
              <w:t>50</w:t>
            </w:r>
          </w:p>
        </w:tc>
        <w:tc>
          <w:tcPr>
            <w:tcW w:w="5805" w:type="dxa"/>
            <w:shd w:val="clear" w:color="auto" w:fill="auto"/>
            <w:noWrap/>
            <w:hideMark/>
          </w:tcPr>
          <w:p w14:paraId="4AE23A4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RSL Com USA, Inc.</w:t>
            </w:r>
          </w:p>
        </w:tc>
        <w:tc>
          <w:tcPr>
            <w:tcW w:w="2395" w:type="dxa"/>
            <w:shd w:val="clear" w:color="auto" w:fill="auto"/>
            <w:noWrap/>
            <w:hideMark/>
          </w:tcPr>
          <w:p w14:paraId="63E3792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United States</w:t>
            </w:r>
          </w:p>
        </w:tc>
        <w:tc>
          <w:tcPr>
            <w:tcW w:w="1554" w:type="dxa"/>
          </w:tcPr>
          <w:p w14:paraId="28ACD86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Calibri"/>
                <w:b/>
                <w:bCs/>
                <w:sz w:val="20"/>
                <w:lang w:val="en-US"/>
              </w:rPr>
            </w:pPr>
            <w:r w:rsidRPr="001241AF">
              <w:rPr>
                <w:rFonts w:cs="Arial"/>
                <w:sz w:val="20"/>
                <w:lang w:val="en-US" w:eastAsia="zh-CN"/>
              </w:rPr>
              <w:t>No longer active</w:t>
            </w:r>
          </w:p>
        </w:tc>
      </w:tr>
      <w:tr w:rsidR="0030271B" w:rsidRPr="001241AF" w14:paraId="7D4806B9" w14:textId="77777777" w:rsidTr="00DA4FC3">
        <w:trPr>
          <w:cantSplit/>
          <w:trHeight w:val="255"/>
        </w:trPr>
        <w:tc>
          <w:tcPr>
            <w:tcW w:w="1406" w:type="dxa"/>
            <w:shd w:val="clear" w:color="auto" w:fill="auto"/>
            <w:noWrap/>
            <w:hideMark/>
          </w:tcPr>
          <w:p w14:paraId="6C8321C9"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sz w:val="20"/>
                <w:lang w:val="en-US" w:eastAsia="zh-CN"/>
              </w:rPr>
            </w:pPr>
            <w:r w:rsidRPr="001241AF">
              <w:rPr>
                <w:rFonts w:cs="Arial"/>
                <w:sz w:val="20"/>
                <w:lang w:val="en-US" w:eastAsia="zh-CN"/>
              </w:rPr>
              <w:t>3,300.00</w:t>
            </w:r>
          </w:p>
        </w:tc>
        <w:tc>
          <w:tcPr>
            <w:tcW w:w="936" w:type="dxa"/>
            <w:shd w:val="clear" w:color="auto" w:fill="auto"/>
            <w:noWrap/>
            <w:hideMark/>
          </w:tcPr>
          <w:p w14:paraId="7DB4091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CHF</w:t>
            </w:r>
          </w:p>
        </w:tc>
        <w:tc>
          <w:tcPr>
            <w:tcW w:w="1492" w:type="dxa"/>
          </w:tcPr>
          <w:p w14:paraId="7ECE895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sz w:val="20"/>
                <w:lang w:val="en-US" w:eastAsia="zh-CN"/>
              </w:rPr>
            </w:pPr>
            <w:r w:rsidRPr="001241AF">
              <w:rPr>
                <w:rFonts w:cs="Arial"/>
                <w:sz w:val="20"/>
                <w:lang w:val="en-US" w:eastAsia="zh-CN"/>
              </w:rPr>
              <w:t>33</w:t>
            </w:r>
          </w:p>
        </w:tc>
        <w:tc>
          <w:tcPr>
            <w:tcW w:w="5805" w:type="dxa"/>
            <w:shd w:val="clear" w:color="auto" w:fill="auto"/>
            <w:noWrap/>
            <w:hideMark/>
          </w:tcPr>
          <w:p w14:paraId="5478509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 xml:space="preserve">Executive </w:t>
            </w:r>
            <w:proofErr w:type="spellStart"/>
            <w:r w:rsidRPr="001241AF">
              <w:rPr>
                <w:rFonts w:cs="Arial"/>
                <w:sz w:val="20"/>
                <w:lang w:val="en-US" w:eastAsia="zh-CN"/>
              </w:rPr>
              <w:t>Telecard</w:t>
            </w:r>
            <w:proofErr w:type="spellEnd"/>
          </w:p>
        </w:tc>
        <w:tc>
          <w:tcPr>
            <w:tcW w:w="2395" w:type="dxa"/>
            <w:shd w:val="clear" w:color="auto" w:fill="auto"/>
            <w:noWrap/>
            <w:hideMark/>
          </w:tcPr>
          <w:p w14:paraId="26B84CF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United States</w:t>
            </w:r>
          </w:p>
        </w:tc>
        <w:tc>
          <w:tcPr>
            <w:tcW w:w="1554" w:type="dxa"/>
          </w:tcPr>
          <w:p w14:paraId="076D0AE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Calibri"/>
                <w:b/>
                <w:bCs/>
                <w:sz w:val="20"/>
                <w:lang w:val="en-US"/>
              </w:rPr>
            </w:pPr>
            <w:r w:rsidRPr="001241AF">
              <w:rPr>
                <w:rFonts w:cs="Arial"/>
                <w:sz w:val="20"/>
                <w:lang w:val="en-US" w:eastAsia="zh-CN"/>
              </w:rPr>
              <w:t>No longer active</w:t>
            </w:r>
          </w:p>
        </w:tc>
      </w:tr>
      <w:tr w:rsidR="0030271B" w:rsidRPr="001241AF" w14:paraId="5A3F95DA" w14:textId="77777777" w:rsidTr="00DA4FC3">
        <w:trPr>
          <w:cantSplit/>
          <w:trHeight w:val="255"/>
        </w:trPr>
        <w:tc>
          <w:tcPr>
            <w:tcW w:w="1406" w:type="dxa"/>
            <w:shd w:val="clear" w:color="auto" w:fill="auto"/>
            <w:noWrap/>
            <w:hideMark/>
          </w:tcPr>
          <w:p w14:paraId="4F36D9FF"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sz w:val="20"/>
                <w:lang w:val="en-US" w:eastAsia="zh-CN"/>
              </w:rPr>
            </w:pPr>
            <w:r w:rsidRPr="001241AF">
              <w:rPr>
                <w:rFonts w:cs="Arial"/>
                <w:sz w:val="20"/>
                <w:lang w:val="en-US" w:eastAsia="zh-CN"/>
              </w:rPr>
              <w:t>100.00</w:t>
            </w:r>
          </w:p>
        </w:tc>
        <w:tc>
          <w:tcPr>
            <w:tcW w:w="936" w:type="dxa"/>
            <w:shd w:val="clear" w:color="auto" w:fill="auto"/>
            <w:noWrap/>
            <w:hideMark/>
          </w:tcPr>
          <w:p w14:paraId="0655EFF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CHF</w:t>
            </w:r>
          </w:p>
        </w:tc>
        <w:tc>
          <w:tcPr>
            <w:tcW w:w="1492" w:type="dxa"/>
          </w:tcPr>
          <w:p w14:paraId="29E3B8E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sz w:val="20"/>
                <w:lang w:val="en-US" w:eastAsia="zh-CN"/>
              </w:rPr>
            </w:pPr>
            <w:r w:rsidRPr="001241AF">
              <w:rPr>
                <w:rFonts w:cs="Arial"/>
                <w:sz w:val="20"/>
                <w:lang w:val="en-US" w:eastAsia="zh-CN"/>
              </w:rPr>
              <w:t>1</w:t>
            </w:r>
          </w:p>
        </w:tc>
        <w:tc>
          <w:tcPr>
            <w:tcW w:w="5805" w:type="dxa"/>
            <w:shd w:val="clear" w:color="auto" w:fill="auto"/>
            <w:noWrap/>
            <w:hideMark/>
          </w:tcPr>
          <w:p w14:paraId="2038B45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Carrier1 International GmbH</w:t>
            </w:r>
          </w:p>
        </w:tc>
        <w:tc>
          <w:tcPr>
            <w:tcW w:w="2395" w:type="dxa"/>
            <w:shd w:val="clear" w:color="auto" w:fill="auto"/>
            <w:noWrap/>
            <w:hideMark/>
          </w:tcPr>
          <w:p w14:paraId="3A6BE35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Switzerland</w:t>
            </w:r>
          </w:p>
        </w:tc>
        <w:tc>
          <w:tcPr>
            <w:tcW w:w="1554" w:type="dxa"/>
          </w:tcPr>
          <w:p w14:paraId="57FE84F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sz w:val="20"/>
                <w:lang w:val="en-US" w:eastAsia="zh-CN"/>
              </w:rPr>
            </w:pPr>
            <w:r w:rsidRPr="001241AF">
              <w:rPr>
                <w:rFonts w:cs="Arial"/>
                <w:sz w:val="20"/>
                <w:lang w:val="en-US" w:eastAsia="zh-CN"/>
              </w:rPr>
              <w:t>No longer active</w:t>
            </w:r>
          </w:p>
        </w:tc>
      </w:tr>
      <w:tr w:rsidR="0030271B" w:rsidRPr="001241AF" w14:paraId="6E0B10AB" w14:textId="77777777" w:rsidTr="00DA4FC3">
        <w:trPr>
          <w:cantSplit/>
          <w:trHeight w:val="255"/>
        </w:trPr>
        <w:tc>
          <w:tcPr>
            <w:tcW w:w="1406" w:type="dxa"/>
          </w:tcPr>
          <w:p w14:paraId="5464A6C8"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w:t>
            </w:r>
          </w:p>
        </w:tc>
        <w:tc>
          <w:tcPr>
            <w:tcW w:w="936" w:type="dxa"/>
          </w:tcPr>
          <w:p w14:paraId="345F37A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w:t>
            </w:r>
          </w:p>
        </w:tc>
        <w:tc>
          <w:tcPr>
            <w:tcW w:w="1492" w:type="dxa"/>
          </w:tcPr>
          <w:p w14:paraId="43E6B1D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3</w:t>
            </w:r>
          </w:p>
        </w:tc>
        <w:tc>
          <w:tcPr>
            <w:tcW w:w="5805" w:type="dxa"/>
            <w:shd w:val="clear" w:color="auto" w:fill="auto"/>
            <w:noWrap/>
          </w:tcPr>
          <w:p w14:paraId="0441A3C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Cable and Wireless plc, Bermuda</w:t>
            </w:r>
          </w:p>
        </w:tc>
        <w:tc>
          <w:tcPr>
            <w:tcW w:w="2395" w:type="dxa"/>
            <w:shd w:val="clear" w:color="auto" w:fill="auto"/>
            <w:noWrap/>
          </w:tcPr>
          <w:p w14:paraId="6535E4B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Bermuda</w:t>
            </w:r>
          </w:p>
        </w:tc>
        <w:tc>
          <w:tcPr>
            <w:tcW w:w="1554" w:type="dxa"/>
          </w:tcPr>
          <w:p w14:paraId="5F94E46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r w:rsidR="0030271B" w:rsidRPr="001241AF" w14:paraId="5063FC8D" w14:textId="77777777" w:rsidTr="00DA4FC3">
        <w:trPr>
          <w:cantSplit/>
          <w:trHeight w:val="255"/>
        </w:trPr>
        <w:tc>
          <w:tcPr>
            <w:tcW w:w="1406" w:type="dxa"/>
          </w:tcPr>
          <w:p w14:paraId="398B5460"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w:t>
            </w:r>
          </w:p>
        </w:tc>
        <w:tc>
          <w:tcPr>
            <w:tcW w:w="936" w:type="dxa"/>
          </w:tcPr>
          <w:p w14:paraId="3130C23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w:t>
            </w:r>
          </w:p>
        </w:tc>
        <w:tc>
          <w:tcPr>
            <w:tcW w:w="1492" w:type="dxa"/>
          </w:tcPr>
          <w:p w14:paraId="36977B9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399</w:t>
            </w:r>
          </w:p>
        </w:tc>
        <w:tc>
          <w:tcPr>
            <w:tcW w:w="5805" w:type="dxa"/>
            <w:shd w:val="clear" w:color="auto" w:fill="auto"/>
            <w:noWrap/>
          </w:tcPr>
          <w:p w14:paraId="6C6C3D5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 xml:space="preserve">Global </w:t>
            </w:r>
            <w:proofErr w:type="spellStart"/>
            <w:r w:rsidRPr="001241AF">
              <w:rPr>
                <w:rFonts w:cs="Arial"/>
                <w:sz w:val="20"/>
                <w:lang w:val="en-US" w:eastAsia="zh-CN"/>
              </w:rPr>
              <w:t>Telesystems</w:t>
            </w:r>
            <w:proofErr w:type="spellEnd"/>
            <w:r w:rsidRPr="001241AF">
              <w:rPr>
                <w:rFonts w:cs="Arial"/>
                <w:sz w:val="20"/>
                <w:lang w:val="en-US" w:eastAsia="zh-CN"/>
              </w:rPr>
              <w:t xml:space="preserve"> (Europe) Limited (formerly Esprit Telecom)</w:t>
            </w:r>
          </w:p>
        </w:tc>
        <w:tc>
          <w:tcPr>
            <w:tcW w:w="2395" w:type="dxa"/>
            <w:shd w:val="clear" w:color="auto" w:fill="auto"/>
            <w:noWrap/>
          </w:tcPr>
          <w:p w14:paraId="0F7B3B3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United Kingdom</w:t>
            </w:r>
          </w:p>
        </w:tc>
        <w:tc>
          <w:tcPr>
            <w:tcW w:w="1554" w:type="dxa"/>
          </w:tcPr>
          <w:p w14:paraId="059C187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r w:rsidR="0030271B" w:rsidRPr="001241AF" w14:paraId="005B2CAF" w14:textId="77777777" w:rsidTr="00DA4FC3">
        <w:trPr>
          <w:cantSplit/>
          <w:trHeight w:val="255"/>
        </w:trPr>
        <w:tc>
          <w:tcPr>
            <w:tcW w:w="1406" w:type="dxa"/>
          </w:tcPr>
          <w:p w14:paraId="26DC8D35"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w:t>
            </w:r>
          </w:p>
        </w:tc>
        <w:tc>
          <w:tcPr>
            <w:tcW w:w="936" w:type="dxa"/>
          </w:tcPr>
          <w:p w14:paraId="7621F7E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w:t>
            </w:r>
          </w:p>
        </w:tc>
        <w:tc>
          <w:tcPr>
            <w:tcW w:w="1492" w:type="dxa"/>
          </w:tcPr>
          <w:p w14:paraId="102F537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50</w:t>
            </w:r>
          </w:p>
        </w:tc>
        <w:tc>
          <w:tcPr>
            <w:tcW w:w="5805" w:type="dxa"/>
            <w:shd w:val="clear" w:color="auto" w:fill="auto"/>
            <w:noWrap/>
            <w:hideMark/>
          </w:tcPr>
          <w:p w14:paraId="02A20F9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RSL Communications Ltd</w:t>
            </w:r>
          </w:p>
        </w:tc>
        <w:tc>
          <w:tcPr>
            <w:tcW w:w="2395" w:type="dxa"/>
            <w:shd w:val="clear" w:color="auto" w:fill="auto"/>
            <w:noWrap/>
            <w:hideMark/>
          </w:tcPr>
          <w:p w14:paraId="1E3DDEE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United Kingdom</w:t>
            </w:r>
          </w:p>
        </w:tc>
        <w:tc>
          <w:tcPr>
            <w:tcW w:w="1554" w:type="dxa"/>
          </w:tcPr>
          <w:p w14:paraId="469C970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r w:rsidR="0030271B" w:rsidRPr="001241AF" w14:paraId="1E60192E" w14:textId="77777777" w:rsidTr="00DA4FC3">
        <w:trPr>
          <w:cantSplit/>
          <w:trHeight w:val="255"/>
        </w:trPr>
        <w:tc>
          <w:tcPr>
            <w:tcW w:w="1406" w:type="dxa"/>
          </w:tcPr>
          <w:p w14:paraId="44CDE514"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w:t>
            </w:r>
          </w:p>
        </w:tc>
        <w:tc>
          <w:tcPr>
            <w:tcW w:w="936" w:type="dxa"/>
          </w:tcPr>
          <w:p w14:paraId="29DA104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w:t>
            </w:r>
          </w:p>
        </w:tc>
        <w:tc>
          <w:tcPr>
            <w:tcW w:w="1492" w:type="dxa"/>
          </w:tcPr>
          <w:p w14:paraId="2DAE434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2</w:t>
            </w:r>
          </w:p>
        </w:tc>
        <w:tc>
          <w:tcPr>
            <w:tcW w:w="5805" w:type="dxa"/>
            <w:shd w:val="clear" w:color="auto" w:fill="auto"/>
            <w:noWrap/>
          </w:tcPr>
          <w:p w14:paraId="11573D4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proofErr w:type="spellStart"/>
            <w:r w:rsidRPr="001241AF">
              <w:rPr>
                <w:rFonts w:cs="Arial"/>
                <w:sz w:val="20"/>
                <w:lang w:val="en-US" w:eastAsia="zh-CN"/>
              </w:rPr>
              <w:t>Axicom</w:t>
            </w:r>
            <w:proofErr w:type="spellEnd"/>
            <w:r w:rsidRPr="001241AF">
              <w:rPr>
                <w:rFonts w:cs="Arial"/>
                <w:sz w:val="20"/>
                <w:lang w:val="en-US" w:eastAsia="zh-CN"/>
              </w:rPr>
              <w:t xml:space="preserve"> Communications Group Inc.</w:t>
            </w:r>
          </w:p>
        </w:tc>
        <w:tc>
          <w:tcPr>
            <w:tcW w:w="2395" w:type="dxa"/>
            <w:shd w:val="clear" w:color="auto" w:fill="auto"/>
            <w:noWrap/>
          </w:tcPr>
          <w:p w14:paraId="5AD6A1C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United States</w:t>
            </w:r>
          </w:p>
        </w:tc>
        <w:tc>
          <w:tcPr>
            <w:tcW w:w="1554" w:type="dxa"/>
          </w:tcPr>
          <w:p w14:paraId="77088EE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r w:rsidR="0030271B" w:rsidRPr="001241AF" w14:paraId="1584F6E1" w14:textId="77777777" w:rsidTr="00DA4FC3">
        <w:trPr>
          <w:cantSplit/>
          <w:trHeight w:val="255"/>
        </w:trPr>
        <w:tc>
          <w:tcPr>
            <w:tcW w:w="1406" w:type="dxa"/>
          </w:tcPr>
          <w:p w14:paraId="67B2AF95" w14:textId="77777777" w:rsidR="0030271B" w:rsidRPr="001241AF" w:rsidRDefault="0030271B" w:rsidP="001241A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241AF">
              <w:rPr>
                <w:rFonts w:cs="Arial"/>
                <w:sz w:val="20"/>
                <w:lang w:val="en-US" w:eastAsia="zh-CN"/>
              </w:rPr>
              <w:t>-</w:t>
            </w:r>
          </w:p>
        </w:tc>
        <w:tc>
          <w:tcPr>
            <w:tcW w:w="936" w:type="dxa"/>
          </w:tcPr>
          <w:p w14:paraId="4D06D7F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w:t>
            </w:r>
          </w:p>
        </w:tc>
        <w:tc>
          <w:tcPr>
            <w:tcW w:w="1492" w:type="dxa"/>
          </w:tcPr>
          <w:p w14:paraId="1A98341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241AF">
              <w:rPr>
                <w:rFonts w:cs="Arial"/>
                <w:sz w:val="20"/>
                <w:lang w:val="en-US" w:eastAsia="zh-CN"/>
              </w:rPr>
              <w:t>10</w:t>
            </w:r>
          </w:p>
        </w:tc>
        <w:tc>
          <w:tcPr>
            <w:tcW w:w="5805" w:type="dxa"/>
            <w:shd w:val="clear" w:color="auto" w:fill="auto"/>
            <w:noWrap/>
          </w:tcPr>
          <w:p w14:paraId="5C12240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proofErr w:type="spellStart"/>
            <w:r w:rsidRPr="001241AF">
              <w:rPr>
                <w:rFonts w:cs="Arial"/>
                <w:sz w:val="20"/>
                <w:lang w:val="en-US" w:eastAsia="zh-CN"/>
              </w:rPr>
              <w:t>WorldXchange</w:t>
            </w:r>
            <w:proofErr w:type="spellEnd"/>
            <w:r w:rsidRPr="001241AF">
              <w:rPr>
                <w:rFonts w:cs="Arial"/>
                <w:sz w:val="20"/>
                <w:lang w:val="en-US" w:eastAsia="zh-CN"/>
              </w:rPr>
              <w:t xml:space="preserve"> Communications</w:t>
            </w:r>
          </w:p>
        </w:tc>
        <w:tc>
          <w:tcPr>
            <w:tcW w:w="2395" w:type="dxa"/>
            <w:shd w:val="clear" w:color="auto" w:fill="auto"/>
            <w:noWrap/>
          </w:tcPr>
          <w:p w14:paraId="3EFCEEB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United States</w:t>
            </w:r>
          </w:p>
        </w:tc>
        <w:tc>
          <w:tcPr>
            <w:tcW w:w="1554" w:type="dxa"/>
          </w:tcPr>
          <w:p w14:paraId="085DE77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241AF">
              <w:rPr>
                <w:rFonts w:cs="Arial"/>
                <w:sz w:val="20"/>
                <w:lang w:val="en-US" w:eastAsia="zh-CN"/>
              </w:rPr>
              <w:t>No longer active</w:t>
            </w:r>
          </w:p>
        </w:tc>
      </w:tr>
    </w:tbl>
    <w:p w14:paraId="4D1C991C" w14:textId="4FA29DDA" w:rsidR="00211004" w:rsidRPr="00E46443" w:rsidRDefault="001241AF" w:rsidP="00553D84">
      <w:pPr>
        <w:pStyle w:val="ListParagraph"/>
        <w:tabs>
          <w:tab w:val="clear" w:pos="567"/>
          <w:tab w:val="clear" w:pos="1134"/>
          <w:tab w:val="clear" w:pos="1701"/>
          <w:tab w:val="clear" w:pos="2268"/>
          <w:tab w:val="clear" w:pos="2835"/>
        </w:tabs>
        <w:snapToGrid w:val="0"/>
        <w:spacing w:after="120"/>
        <w:ind w:left="0"/>
        <w:contextualSpacing w:val="0"/>
        <w:jc w:val="both"/>
        <w:rPr>
          <w:sz w:val="20"/>
        </w:rPr>
      </w:pPr>
      <w:r w:rsidRPr="00E46443">
        <w:rPr>
          <w:sz w:val="20"/>
        </w:rPr>
        <w:t xml:space="preserve">Note: “-” indicates no invoice was sent </w:t>
      </w:r>
      <w:r w:rsidR="00E46443" w:rsidRPr="00E46443">
        <w:rPr>
          <w:sz w:val="20"/>
        </w:rPr>
        <w:t xml:space="preserve">and further information </w:t>
      </w:r>
      <w:r w:rsidR="00E46443">
        <w:rPr>
          <w:sz w:val="20"/>
        </w:rPr>
        <w:t>was</w:t>
      </w:r>
      <w:r w:rsidR="00E46443" w:rsidRPr="00E46443">
        <w:rPr>
          <w:sz w:val="20"/>
        </w:rPr>
        <w:t xml:space="preserve"> required</w:t>
      </w:r>
      <w:r w:rsidR="00E46443">
        <w:rPr>
          <w:sz w:val="20"/>
        </w:rPr>
        <w:t xml:space="preserve"> at the time of billing.</w:t>
      </w:r>
    </w:p>
    <w:p w14:paraId="5D2AA20F" w14:textId="169077EE" w:rsidR="0018601D" w:rsidRPr="001241AF" w:rsidRDefault="0018601D" w:rsidP="00AC4DFE">
      <w:pPr>
        <w:pStyle w:val="ListParagraph"/>
        <w:tabs>
          <w:tab w:val="clear" w:pos="567"/>
          <w:tab w:val="clear" w:pos="1134"/>
          <w:tab w:val="clear" w:pos="1701"/>
          <w:tab w:val="clear" w:pos="2268"/>
          <w:tab w:val="clear" w:pos="2835"/>
        </w:tabs>
        <w:snapToGrid w:val="0"/>
        <w:spacing w:before="360" w:after="120"/>
        <w:ind w:left="0"/>
        <w:contextualSpacing w:val="0"/>
        <w:jc w:val="both"/>
        <w:rPr>
          <w:b/>
          <w:szCs w:val="24"/>
        </w:rPr>
      </w:pPr>
      <w:r w:rsidRPr="001241AF">
        <w:rPr>
          <w:b/>
          <w:szCs w:val="24"/>
        </w:rPr>
        <w:t>Annex B</w:t>
      </w:r>
      <w:r w:rsidR="00B74367">
        <w:rPr>
          <w:b/>
          <w:szCs w:val="24"/>
        </w:rPr>
        <w:t xml:space="preserve"> - L</w:t>
      </w:r>
      <w:r w:rsidRPr="001241AF">
        <w:rPr>
          <w:b/>
          <w:szCs w:val="24"/>
        </w:rPr>
        <w:t>ist of UIFN service providers pending payment for 2018</w:t>
      </w:r>
    </w:p>
    <w:tbl>
      <w:tblPr>
        <w:tblW w:w="1332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36"/>
        <w:gridCol w:w="1323"/>
        <w:gridCol w:w="132"/>
        <w:gridCol w:w="4141"/>
        <w:gridCol w:w="2437"/>
        <w:gridCol w:w="3233"/>
      </w:tblGrid>
      <w:tr w:rsidR="0030271B" w:rsidRPr="001241AF" w14:paraId="7891DBDB" w14:textId="77777777" w:rsidTr="00DA4FC3">
        <w:trPr>
          <w:cantSplit/>
          <w:trHeight w:val="255"/>
        </w:trPr>
        <w:tc>
          <w:tcPr>
            <w:tcW w:w="1122" w:type="dxa"/>
            <w:shd w:val="clear" w:color="auto" w:fill="D9D9D9" w:themeFill="background1" w:themeFillShade="D9"/>
            <w:noWrap/>
          </w:tcPr>
          <w:p w14:paraId="343B5239"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Amount</w:t>
            </w:r>
          </w:p>
        </w:tc>
        <w:tc>
          <w:tcPr>
            <w:tcW w:w="936" w:type="dxa"/>
            <w:shd w:val="clear" w:color="auto" w:fill="D9D9D9" w:themeFill="background1" w:themeFillShade="D9"/>
            <w:noWrap/>
          </w:tcPr>
          <w:p w14:paraId="62CE2734"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currency</w:t>
            </w:r>
          </w:p>
        </w:tc>
        <w:tc>
          <w:tcPr>
            <w:tcW w:w="1455" w:type="dxa"/>
            <w:gridSpan w:val="2"/>
            <w:shd w:val="clear" w:color="auto" w:fill="D9D9D9" w:themeFill="background1" w:themeFillShade="D9"/>
          </w:tcPr>
          <w:p w14:paraId="19C2CF35"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UIFN quantity</w:t>
            </w:r>
          </w:p>
          <w:p w14:paraId="6193EB82"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1/1/2018</w:t>
            </w:r>
          </w:p>
        </w:tc>
        <w:tc>
          <w:tcPr>
            <w:tcW w:w="4141" w:type="dxa"/>
            <w:shd w:val="clear" w:color="auto" w:fill="D9D9D9" w:themeFill="background1" w:themeFillShade="D9"/>
            <w:noWrap/>
          </w:tcPr>
          <w:p w14:paraId="02BED078"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Company's name</w:t>
            </w:r>
          </w:p>
        </w:tc>
        <w:tc>
          <w:tcPr>
            <w:tcW w:w="2437" w:type="dxa"/>
            <w:shd w:val="clear" w:color="auto" w:fill="D9D9D9" w:themeFill="background1" w:themeFillShade="D9"/>
            <w:noWrap/>
          </w:tcPr>
          <w:p w14:paraId="6D5030D5" w14:textId="3D1704B9"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country</w:t>
            </w:r>
            <w:r w:rsidR="00DA4FC3" w:rsidRPr="00890656">
              <w:rPr>
                <w:rFonts w:cs="Arial"/>
                <w:b/>
                <w:sz w:val="20"/>
                <w:lang w:val="en-US" w:eastAsia="zh-CN"/>
              </w:rPr>
              <w:t>/Geographic Area</w:t>
            </w:r>
          </w:p>
        </w:tc>
        <w:tc>
          <w:tcPr>
            <w:tcW w:w="3233" w:type="dxa"/>
            <w:shd w:val="clear" w:color="auto" w:fill="D9D9D9" w:themeFill="background1" w:themeFillShade="D9"/>
          </w:tcPr>
          <w:p w14:paraId="386E3FC9" w14:textId="77777777" w:rsidR="0030271B" w:rsidRPr="00890656" w:rsidRDefault="0030271B"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sz w:val="20"/>
                <w:lang w:val="en-US" w:eastAsia="zh-CN"/>
              </w:rPr>
            </w:pPr>
            <w:r w:rsidRPr="00890656">
              <w:rPr>
                <w:rFonts w:cs="Arial"/>
                <w:b/>
                <w:sz w:val="20"/>
                <w:lang w:val="en-US" w:eastAsia="zh-CN"/>
              </w:rPr>
              <w:t>note</w:t>
            </w:r>
          </w:p>
        </w:tc>
      </w:tr>
      <w:tr w:rsidR="0030271B" w:rsidRPr="001241AF" w14:paraId="7B8CA056" w14:textId="77777777" w:rsidTr="00DA4FC3">
        <w:trPr>
          <w:cantSplit/>
          <w:trHeight w:val="255"/>
        </w:trPr>
        <w:tc>
          <w:tcPr>
            <w:tcW w:w="1122" w:type="dxa"/>
            <w:shd w:val="clear" w:color="auto" w:fill="auto"/>
            <w:noWrap/>
            <w:hideMark/>
          </w:tcPr>
          <w:p w14:paraId="0EAC589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themeColor="text1"/>
                <w:sz w:val="20"/>
                <w:lang w:val="en-US" w:eastAsia="zh-CN"/>
              </w:rPr>
            </w:pPr>
            <w:r w:rsidRPr="001241AF">
              <w:rPr>
                <w:rFonts w:cs="Arial"/>
                <w:color w:val="000000" w:themeColor="text1"/>
                <w:sz w:val="20"/>
                <w:lang w:val="en-US" w:eastAsia="zh-CN"/>
              </w:rPr>
              <w:t>55,700.00</w:t>
            </w:r>
          </w:p>
        </w:tc>
        <w:tc>
          <w:tcPr>
            <w:tcW w:w="936" w:type="dxa"/>
            <w:shd w:val="clear" w:color="auto" w:fill="auto"/>
            <w:noWrap/>
            <w:hideMark/>
          </w:tcPr>
          <w:p w14:paraId="04CF98C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2B2426A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557</w:t>
            </w:r>
          </w:p>
        </w:tc>
        <w:tc>
          <w:tcPr>
            <w:tcW w:w="4273" w:type="dxa"/>
            <w:gridSpan w:val="2"/>
            <w:shd w:val="clear" w:color="auto" w:fill="auto"/>
            <w:noWrap/>
            <w:hideMark/>
          </w:tcPr>
          <w:p w14:paraId="24EB251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Eircom</w:t>
            </w:r>
          </w:p>
        </w:tc>
        <w:tc>
          <w:tcPr>
            <w:tcW w:w="2437" w:type="dxa"/>
            <w:shd w:val="clear" w:color="auto" w:fill="auto"/>
            <w:noWrap/>
            <w:hideMark/>
          </w:tcPr>
          <w:p w14:paraId="6BFAB01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Ireland</w:t>
            </w:r>
          </w:p>
        </w:tc>
        <w:tc>
          <w:tcPr>
            <w:tcW w:w="3233" w:type="dxa"/>
          </w:tcPr>
          <w:p w14:paraId="0B41EF7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4FBC7209" w14:textId="77777777" w:rsidTr="00DA4FC3">
        <w:trPr>
          <w:cantSplit/>
          <w:trHeight w:val="255"/>
        </w:trPr>
        <w:tc>
          <w:tcPr>
            <w:tcW w:w="1122" w:type="dxa"/>
            <w:shd w:val="clear" w:color="auto" w:fill="auto"/>
            <w:noWrap/>
            <w:hideMark/>
          </w:tcPr>
          <w:p w14:paraId="5CF009F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themeColor="text1"/>
                <w:sz w:val="20"/>
                <w:lang w:val="en-US" w:eastAsia="zh-CN"/>
              </w:rPr>
            </w:pPr>
            <w:r w:rsidRPr="001241AF">
              <w:rPr>
                <w:rFonts w:cs="Arial"/>
                <w:color w:val="000000" w:themeColor="text1"/>
                <w:sz w:val="20"/>
                <w:lang w:val="en-US" w:eastAsia="zh-CN"/>
              </w:rPr>
              <w:t>46,300.00</w:t>
            </w:r>
          </w:p>
        </w:tc>
        <w:tc>
          <w:tcPr>
            <w:tcW w:w="936" w:type="dxa"/>
            <w:shd w:val="clear" w:color="auto" w:fill="auto"/>
            <w:noWrap/>
            <w:hideMark/>
          </w:tcPr>
          <w:p w14:paraId="7FBB12F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46D4279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463</w:t>
            </w:r>
          </w:p>
        </w:tc>
        <w:tc>
          <w:tcPr>
            <w:tcW w:w="4273" w:type="dxa"/>
            <w:gridSpan w:val="2"/>
            <w:shd w:val="clear" w:color="auto" w:fill="auto"/>
            <w:noWrap/>
            <w:hideMark/>
          </w:tcPr>
          <w:p w14:paraId="5400726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Singtel</w:t>
            </w:r>
            <w:proofErr w:type="spellEnd"/>
            <w:r w:rsidRPr="001241AF">
              <w:rPr>
                <w:rFonts w:cs="Arial"/>
                <w:color w:val="000000" w:themeColor="text1"/>
                <w:sz w:val="20"/>
                <w:lang w:val="en-US" w:eastAsia="zh-CN"/>
              </w:rPr>
              <w:t xml:space="preserve"> Telecommunications Limited</w:t>
            </w:r>
          </w:p>
        </w:tc>
        <w:tc>
          <w:tcPr>
            <w:tcW w:w="2437" w:type="dxa"/>
            <w:shd w:val="clear" w:color="auto" w:fill="auto"/>
            <w:noWrap/>
            <w:hideMark/>
          </w:tcPr>
          <w:p w14:paraId="30318E0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Singapore</w:t>
            </w:r>
          </w:p>
        </w:tc>
        <w:tc>
          <w:tcPr>
            <w:tcW w:w="3233" w:type="dxa"/>
          </w:tcPr>
          <w:p w14:paraId="78221CE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7270139F" w14:textId="77777777" w:rsidTr="00DA4FC3">
        <w:trPr>
          <w:cantSplit/>
          <w:trHeight w:val="255"/>
        </w:trPr>
        <w:tc>
          <w:tcPr>
            <w:tcW w:w="1122" w:type="dxa"/>
            <w:shd w:val="clear" w:color="auto" w:fill="auto"/>
            <w:noWrap/>
            <w:hideMark/>
          </w:tcPr>
          <w:p w14:paraId="0B6F971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themeColor="text1"/>
                <w:sz w:val="20"/>
                <w:lang w:val="en-US" w:eastAsia="zh-CN"/>
              </w:rPr>
            </w:pPr>
            <w:r w:rsidRPr="001241AF">
              <w:rPr>
                <w:rFonts w:cs="Arial"/>
                <w:color w:val="000000" w:themeColor="text1"/>
                <w:sz w:val="20"/>
                <w:lang w:val="en-US" w:eastAsia="zh-CN"/>
              </w:rPr>
              <w:t>25,800.00</w:t>
            </w:r>
          </w:p>
        </w:tc>
        <w:tc>
          <w:tcPr>
            <w:tcW w:w="936" w:type="dxa"/>
            <w:shd w:val="clear" w:color="auto" w:fill="auto"/>
            <w:noWrap/>
            <w:hideMark/>
          </w:tcPr>
          <w:p w14:paraId="5305173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05577C9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258</w:t>
            </w:r>
          </w:p>
        </w:tc>
        <w:tc>
          <w:tcPr>
            <w:tcW w:w="4273" w:type="dxa"/>
            <w:gridSpan w:val="2"/>
            <w:shd w:val="clear" w:color="auto" w:fill="auto"/>
            <w:noWrap/>
            <w:hideMark/>
          </w:tcPr>
          <w:p w14:paraId="08541CE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Orange Business Services(</w:t>
            </w:r>
            <w:proofErr w:type="spellStart"/>
            <w:r w:rsidRPr="001241AF">
              <w:rPr>
                <w:rFonts w:cs="Arial"/>
                <w:color w:val="000000" w:themeColor="text1"/>
                <w:sz w:val="20"/>
                <w:lang w:val="en-US" w:eastAsia="zh-CN"/>
              </w:rPr>
              <w:t>ex Equant</w:t>
            </w:r>
            <w:proofErr w:type="spellEnd"/>
            <w:r w:rsidRPr="001241AF">
              <w:rPr>
                <w:rFonts w:cs="Arial"/>
                <w:color w:val="000000" w:themeColor="text1"/>
                <w:sz w:val="20"/>
                <w:lang w:val="en-US" w:eastAsia="zh-CN"/>
              </w:rPr>
              <w:t>)</w:t>
            </w:r>
          </w:p>
        </w:tc>
        <w:tc>
          <w:tcPr>
            <w:tcW w:w="2437" w:type="dxa"/>
            <w:shd w:val="clear" w:color="auto" w:fill="auto"/>
            <w:noWrap/>
            <w:hideMark/>
          </w:tcPr>
          <w:p w14:paraId="1DE6890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France</w:t>
            </w:r>
          </w:p>
        </w:tc>
        <w:tc>
          <w:tcPr>
            <w:tcW w:w="3233" w:type="dxa"/>
          </w:tcPr>
          <w:p w14:paraId="30240F6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4C989928" w14:textId="77777777" w:rsidTr="00DA4FC3">
        <w:trPr>
          <w:cantSplit/>
          <w:trHeight w:val="255"/>
        </w:trPr>
        <w:tc>
          <w:tcPr>
            <w:tcW w:w="1122" w:type="dxa"/>
            <w:shd w:val="clear" w:color="auto" w:fill="auto"/>
            <w:noWrap/>
            <w:hideMark/>
          </w:tcPr>
          <w:p w14:paraId="50ADAAD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themeColor="text1"/>
                <w:sz w:val="20"/>
                <w:lang w:val="en-US" w:eastAsia="zh-CN"/>
              </w:rPr>
            </w:pPr>
            <w:r w:rsidRPr="001241AF">
              <w:rPr>
                <w:rFonts w:cs="Arial"/>
                <w:color w:val="000000" w:themeColor="text1"/>
                <w:sz w:val="20"/>
                <w:lang w:val="en-US" w:eastAsia="zh-CN"/>
              </w:rPr>
              <w:t>14,000.00</w:t>
            </w:r>
          </w:p>
        </w:tc>
        <w:tc>
          <w:tcPr>
            <w:tcW w:w="936" w:type="dxa"/>
            <w:shd w:val="clear" w:color="auto" w:fill="auto"/>
            <w:noWrap/>
            <w:hideMark/>
          </w:tcPr>
          <w:p w14:paraId="3180633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256AC55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140</w:t>
            </w:r>
          </w:p>
        </w:tc>
        <w:tc>
          <w:tcPr>
            <w:tcW w:w="4273" w:type="dxa"/>
            <w:gridSpan w:val="2"/>
            <w:shd w:val="clear" w:color="auto" w:fill="auto"/>
            <w:noWrap/>
            <w:hideMark/>
          </w:tcPr>
          <w:p w14:paraId="0C207ED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Bezeq</w:t>
            </w:r>
            <w:proofErr w:type="spellEnd"/>
            <w:r w:rsidRPr="001241AF">
              <w:rPr>
                <w:rFonts w:cs="Arial"/>
                <w:color w:val="000000" w:themeColor="text1"/>
                <w:sz w:val="20"/>
                <w:lang w:val="en-US" w:eastAsia="zh-CN"/>
              </w:rPr>
              <w:t xml:space="preserve"> International</w:t>
            </w:r>
          </w:p>
        </w:tc>
        <w:tc>
          <w:tcPr>
            <w:tcW w:w="2437" w:type="dxa"/>
            <w:shd w:val="clear" w:color="auto" w:fill="auto"/>
            <w:noWrap/>
            <w:hideMark/>
          </w:tcPr>
          <w:p w14:paraId="55AE730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Israel</w:t>
            </w:r>
          </w:p>
        </w:tc>
        <w:tc>
          <w:tcPr>
            <w:tcW w:w="3233" w:type="dxa"/>
          </w:tcPr>
          <w:p w14:paraId="207F3EC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46169176" w14:textId="77777777" w:rsidTr="00DA4FC3">
        <w:trPr>
          <w:cantSplit/>
          <w:trHeight w:val="255"/>
        </w:trPr>
        <w:tc>
          <w:tcPr>
            <w:tcW w:w="1122" w:type="dxa"/>
            <w:shd w:val="clear" w:color="auto" w:fill="auto"/>
            <w:noWrap/>
            <w:hideMark/>
          </w:tcPr>
          <w:p w14:paraId="1538823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3,700.00</w:t>
            </w:r>
          </w:p>
        </w:tc>
        <w:tc>
          <w:tcPr>
            <w:tcW w:w="936" w:type="dxa"/>
            <w:shd w:val="clear" w:color="auto" w:fill="auto"/>
            <w:noWrap/>
            <w:hideMark/>
          </w:tcPr>
          <w:p w14:paraId="33E7C33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5D398D1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37</w:t>
            </w:r>
          </w:p>
        </w:tc>
        <w:tc>
          <w:tcPr>
            <w:tcW w:w="4273" w:type="dxa"/>
            <w:gridSpan w:val="2"/>
            <w:shd w:val="clear" w:color="auto" w:fill="auto"/>
            <w:noWrap/>
            <w:hideMark/>
          </w:tcPr>
          <w:p w14:paraId="03E5AED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Magyar Telekom</w:t>
            </w:r>
          </w:p>
        </w:tc>
        <w:tc>
          <w:tcPr>
            <w:tcW w:w="2437" w:type="dxa"/>
            <w:shd w:val="clear" w:color="auto" w:fill="auto"/>
            <w:noWrap/>
            <w:hideMark/>
          </w:tcPr>
          <w:p w14:paraId="1D70B2D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Hungary</w:t>
            </w:r>
          </w:p>
        </w:tc>
        <w:tc>
          <w:tcPr>
            <w:tcW w:w="3233" w:type="dxa"/>
          </w:tcPr>
          <w:p w14:paraId="0789A1F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1FB611FE" w14:textId="77777777" w:rsidTr="00DA4FC3">
        <w:trPr>
          <w:cantSplit/>
          <w:trHeight w:val="255"/>
        </w:trPr>
        <w:tc>
          <w:tcPr>
            <w:tcW w:w="1122" w:type="dxa"/>
            <w:shd w:val="clear" w:color="auto" w:fill="auto"/>
            <w:noWrap/>
            <w:hideMark/>
          </w:tcPr>
          <w:p w14:paraId="6AD73FD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1,000.00</w:t>
            </w:r>
          </w:p>
        </w:tc>
        <w:tc>
          <w:tcPr>
            <w:tcW w:w="936" w:type="dxa"/>
            <w:shd w:val="clear" w:color="auto" w:fill="auto"/>
            <w:noWrap/>
            <w:hideMark/>
          </w:tcPr>
          <w:p w14:paraId="5EB840F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shd w:val="clear" w:color="auto" w:fill="auto"/>
          </w:tcPr>
          <w:p w14:paraId="5DA1304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10</w:t>
            </w:r>
          </w:p>
        </w:tc>
        <w:tc>
          <w:tcPr>
            <w:tcW w:w="4273" w:type="dxa"/>
            <w:gridSpan w:val="2"/>
            <w:shd w:val="clear" w:color="auto" w:fill="auto"/>
            <w:noWrap/>
            <w:hideMark/>
          </w:tcPr>
          <w:p w14:paraId="0BC6DB6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Eutelia</w:t>
            </w:r>
            <w:proofErr w:type="spellEnd"/>
            <w:r w:rsidRPr="001241AF">
              <w:rPr>
                <w:rFonts w:cs="Arial"/>
                <w:color w:val="000000" w:themeColor="text1"/>
                <w:sz w:val="20"/>
                <w:lang w:val="en-US" w:eastAsia="zh-CN"/>
              </w:rPr>
              <w:t xml:space="preserve"> S.p.A.</w:t>
            </w:r>
          </w:p>
        </w:tc>
        <w:tc>
          <w:tcPr>
            <w:tcW w:w="2437" w:type="dxa"/>
            <w:shd w:val="clear" w:color="auto" w:fill="auto"/>
            <w:noWrap/>
            <w:hideMark/>
          </w:tcPr>
          <w:p w14:paraId="66DAF72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Italy</w:t>
            </w:r>
          </w:p>
        </w:tc>
        <w:tc>
          <w:tcPr>
            <w:tcW w:w="3233" w:type="dxa"/>
          </w:tcPr>
          <w:p w14:paraId="7949322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 xml:space="preserve">partially purchased by </w:t>
            </w:r>
            <w:proofErr w:type="spellStart"/>
            <w:r w:rsidRPr="001241AF">
              <w:rPr>
                <w:rFonts w:cs="Arial"/>
                <w:color w:val="000000" w:themeColor="text1"/>
                <w:sz w:val="20"/>
                <w:lang w:val="en-US" w:eastAsia="zh-CN"/>
              </w:rPr>
              <w:t>CloudItalia</w:t>
            </w:r>
            <w:proofErr w:type="spellEnd"/>
            <w:r w:rsidRPr="001241AF">
              <w:rPr>
                <w:rFonts w:cs="Arial"/>
                <w:color w:val="000000" w:themeColor="text1"/>
                <w:sz w:val="20"/>
                <w:lang w:val="en-US" w:eastAsia="zh-CN"/>
              </w:rPr>
              <w:t xml:space="preserve"> with no UIFN responsibility, however,</w:t>
            </w:r>
          </w:p>
          <w:p w14:paraId="3C54E3DB" w14:textId="608D04A2" w:rsidR="0030271B" w:rsidRPr="001241AF" w:rsidRDefault="0030271B" w:rsidP="00AC4DFE">
            <w:pPr>
              <w:tabs>
                <w:tab w:val="clear" w:pos="567"/>
                <w:tab w:val="clear" w:pos="1134"/>
                <w:tab w:val="clear" w:pos="1701"/>
                <w:tab w:val="clear" w:pos="2268"/>
                <w:tab w:val="clear" w:pos="2835"/>
              </w:tabs>
              <w:overflowPunct/>
              <w:autoSpaceDE/>
              <w:autoSpaceDN/>
              <w:adjustRightInd/>
              <w:spacing w:before="0" w:after="40"/>
              <w:textAlignment w:val="auto"/>
              <w:outlineLvl w:val="2"/>
              <w:rPr>
                <w:rFonts w:cs="Arial"/>
                <w:color w:val="000000" w:themeColor="text1"/>
                <w:sz w:val="20"/>
                <w:lang w:val="en-US" w:eastAsia="zh-CN"/>
              </w:rPr>
            </w:pPr>
            <w:r w:rsidRPr="001241AF">
              <w:rPr>
                <w:rFonts w:cs="Arial"/>
                <w:color w:val="000000" w:themeColor="text1"/>
                <w:sz w:val="20"/>
                <w:lang w:val="en-US" w:eastAsia="zh-CN"/>
              </w:rPr>
              <w:t>3 UIFNs are reachable</w:t>
            </w:r>
          </w:p>
        </w:tc>
      </w:tr>
      <w:tr w:rsidR="0030271B" w:rsidRPr="001241AF" w14:paraId="7B158B9C" w14:textId="77777777" w:rsidTr="00DA4FC3">
        <w:trPr>
          <w:cantSplit/>
          <w:trHeight w:val="255"/>
        </w:trPr>
        <w:tc>
          <w:tcPr>
            <w:tcW w:w="1122" w:type="dxa"/>
            <w:shd w:val="clear" w:color="auto" w:fill="auto"/>
            <w:noWrap/>
            <w:hideMark/>
          </w:tcPr>
          <w:p w14:paraId="26DCF10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500.00</w:t>
            </w:r>
          </w:p>
        </w:tc>
        <w:tc>
          <w:tcPr>
            <w:tcW w:w="936" w:type="dxa"/>
            <w:shd w:val="clear" w:color="auto" w:fill="auto"/>
            <w:noWrap/>
            <w:hideMark/>
          </w:tcPr>
          <w:p w14:paraId="051846E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shd w:val="clear" w:color="auto" w:fill="auto"/>
          </w:tcPr>
          <w:p w14:paraId="0F64FB3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5</w:t>
            </w:r>
          </w:p>
        </w:tc>
        <w:tc>
          <w:tcPr>
            <w:tcW w:w="4273" w:type="dxa"/>
            <w:gridSpan w:val="2"/>
            <w:shd w:val="clear" w:color="auto" w:fill="auto"/>
            <w:noWrap/>
            <w:hideMark/>
          </w:tcPr>
          <w:p w14:paraId="3005302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Kingston communications/</w:t>
            </w:r>
            <w:proofErr w:type="spellStart"/>
            <w:r w:rsidRPr="001241AF">
              <w:rPr>
                <w:rFonts w:cs="Arial"/>
                <w:color w:val="000000" w:themeColor="text1"/>
                <w:sz w:val="20"/>
                <w:lang w:val="en-US" w:eastAsia="zh-CN"/>
              </w:rPr>
              <w:t>Affiniti</w:t>
            </w:r>
            <w:proofErr w:type="spellEnd"/>
          </w:p>
        </w:tc>
        <w:tc>
          <w:tcPr>
            <w:tcW w:w="2437" w:type="dxa"/>
            <w:shd w:val="clear" w:color="auto" w:fill="auto"/>
            <w:noWrap/>
            <w:hideMark/>
          </w:tcPr>
          <w:p w14:paraId="521578E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United Kingdom</w:t>
            </w:r>
          </w:p>
        </w:tc>
        <w:tc>
          <w:tcPr>
            <w:tcW w:w="3233" w:type="dxa"/>
          </w:tcPr>
          <w:p w14:paraId="1CCCE26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342DA721" w14:textId="77777777" w:rsidTr="00DA4FC3">
        <w:trPr>
          <w:cantSplit/>
          <w:trHeight w:val="255"/>
        </w:trPr>
        <w:tc>
          <w:tcPr>
            <w:tcW w:w="1122" w:type="dxa"/>
            <w:shd w:val="clear" w:color="auto" w:fill="auto"/>
            <w:noWrap/>
            <w:hideMark/>
          </w:tcPr>
          <w:p w14:paraId="0499E0D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400.00</w:t>
            </w:r>
          </w:p>
        </w:tc>
        <w:tc>
          <w:tcPr>
            <w:tcW w:w="936" w:type="dxa"/>
            <w:shd w:val="clear" w:color="auto" w:fill="auto"/>
            <w:noWrap/>
            <w:hideMark/>
          </w:tcPr>
          <w:p w14:paraId="1E53C45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323" w:type="dxa"/>
          </w:tcPr>
          <w:p w14:paraId="0EA1145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4</w:t>
            </w:r>
          </w:p>
        </w:tc>
        <w:tc>
          <w:tcPr>
            <w:tcW w:w="4273" w:type="dxa"/>
            <w:gridSpan w:val="2"/>
            <w:shd w:val="clear" w:color="auto" w:fill="auto"/>
            <w:noWrap/>
            <w:hideMark/>
          </w:tcPr>
          <w:p w14:paraId="5495AD9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Qupra</w:t>
            </w:r>
            <w:proofErr w:type="spellEnd"/>
            <w:r w:rsidRPr="001241AF">
              <w:rPr>
                <w:rFonts w:cs="Arial"/>
                <w:color w:val="000000" w:themeColor="text1"/>
                <w:sz w:val="20"/>
                <w:lang w:val="en-US" w:eastAsia="zh-CN"/>
              </w:rPr>
              <w:t xml:space="preserve"> Wholesale (EX-MTTM Partners B.V)</w:t>
            </w:r>
          </w:p>
        </w:tc>
        <w:tc>
          <w:tcPr>
            <w:tcW w:w="2437" w:type="dxa"/>
            <w:shd w:val="clear" w:color="auto" w:fill="auto"/>
            <w:noWrap/>
            <w:hideMark/>
          </w:tcPr>
          <w:p w14:paraId="0D32246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Netherlands</w:t>
            </w:r>
          </w:p>
        </w:tc>
        <w:tc>
          <w:tcPr>
            <w:tcW w:w="3233" w:type="dxa"/>
          </w:tcPr>
          <w:p w14:paraId="57AA1D2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bl>
    <w:p w14:paraId="4C5C8118" w14:textId="77777777" w:rsidR="001241AF" w:rsidRPr="001241AF" w:rsidRDefault="001241AF">
      <w:pPr>
        <w:tabs>
          <w:tab w:val="clear" w:pos="567"/>
          <w:tab w:val="clear" w:pos="1134"/>
          <w:tab w:val="clear" w:pos="1701"/>
          <w:tab w:val="clear" w:pos="2268"/>
          <w:tab w:val="clear" w:pos="2835"/>
        </w:tabs>
        <w:overflowPunct/>
        <w:autoSpaceDE/>
        <w:autoSpaceDN/>
        <w:adjustRightInd/>
        <w:spacing w:before="0"/>
        <w:textAlignment w:val="auto"/>
        <w:rPr>
          <w:sz w:val="20"/>
        </w:rPr>
      </w:pPr>
      <w:r w:rsidRPr="001241AF">
        <w:rPr>
          <w:sz w:val="20"/>
        </w:rPr>
        <w:br w:type="page"/>
      </w:r>
    </w:p>
    <w:p w14:paraId="1887E64F" w14:textId="77777777" w:rsidR="009D608A" w:rsidRPr="001241AF" w:rsidRDefault="009D608A" w:rsidP="00860A1A">
      <w:pPr>
        <w:pStyle w:val="ListParagraph"/>
        <w:tabs>
          <w:tab w:val="clear" w:pos="567"/>
          <w:tab w:val="clear" w:pos="1134"/>
          <w:tab w:val="clear" w:pos="1701"/>
          <w:tab w:val="clear" w:pos="2268"/>
          <w:tab w:val="clear" w:pos="2835"/>
        </w:tabs>
        <w:snapToGrid w:val="0"/>
        <w:spacing w:after="120"/>
        <w:ind w:left="0"/>
        <w:contextualSpacing w:val="0"/>
        <w:jc w:val="both"/>
        <w:rPr>
          <w:sz w:val="20"/>
          <w:highlight w:val="green"/>
        </w:rPr>
      </w:pPr>
    </w:p>
    <w:p w14:paraId="31FBAD37" w14:textId="572DE741" w:rsidR="00596852" w:rsidRPr="001241AF" w:rsidRDefault="009D608A" w:rsidP="00B74367">
      <w:pPr>
        <w:pStyle w:val="ListParagraph"/>
        <w:tabs>
          <w:tab w:val="clear" w:pos="567"/>
          <w:tab w:val="clear" w:pos="1134"/>
          <w:tab w:val="clear" w:pos="1701"/>
          <w:tab w:val="clear" w:pos="2268"/>
          <w:tab w:val="clear" w:pos="2835"/>
        </w:tabs>
        <w:snapToGrid w:val="0"/>
        <w:spacing w:after="120"/>
        <w:ind w:left="0"/>
        <w:contextualSpacing w:val="0"/>
        <w:jc w:val="both"/>
        <w:rPr>
          <w:b/>
          <w:szCs w:val="24"/>
        </w:rPr>
      </w:pPr>
      <w:r w:rsidRPr="001241AF">
        <w:rPr>
          <w:b/>
          <w:szCs w:val="24"/>
        </w:rPr>
        <w:t xml:space="preserve">Annex C </w:t>
      </w:r>
      <w:r w:rsidR="00B74367">
        <w:rPr>
          <w:b/>
          <w:szCs w:val="24"/>
        </w:rPr>
        <w:t>- L</w:t>
      </w:r>
      <w:r w:rsidRPr="001241AF">
        <w:rPr>
          <w:b/>
          <w:szCs w:val="24"/>
        </w:rPr>
        <w:t xml:space="preserve">ist of UIFN service providers </w:t>
      </w:r>
      <w:r w:rsidR="0030271B" w:rsidRPr="001241AF">
        <w:rPr>
          <w:b/>
          <w:szCs w:val="24"/>
        </w:rPr>
        <w:t xml:space="preserve">requiring further information </w:t>
      </w:r>
    </w:p>
    <w:tbl>
      <w:tblPr>
        <w:tblW w:w="128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36"/>
        <w:gridCol w:w="1423"/>
        <w:gridCol w:w="5449"/>
        <w:gridCol w:w="2339"/>
        <w:gridCol w:w="1752"/>
      </w:tblGrid>
      <w:tr w:rsidR="001241AF" w:rsidRPr="001241AF" w14:paraId="74780B80" w14:textId="77777777" w:rsidTr="00DA4FC3">
        <w:trPr>
          <w:cantSplit/>
          <w:trHeight w:val="255"/>
          <w:tblHeader/>
        </w:trPr>
        <w:tc>
          <w:tcPr>
            <w:tcW w:w="981" w:type="dxa"/>
            <w:shd w:val="clear" w:color="auto" w:fill="D9D9D9" w:themeFill="background1" w:themeFillShade="D9"/>
            <w:noWrap/>
          </w:tcPr>
          <w:p w14:paraId="0A329526"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Amount</w:t>
            </w:r>
          </w:p>
        </w:tc>
        <w:tc>
          <w:tcPr>
            <w:tcW w:w="936" w:type="dxa"/>
            <w:shd w:val="clear" w:color="auto" w:fill="D9D9D9" w:themeFill="background1" w:themeFillShade="D9"/>
            <w:noWrap/>
          </w:tcPr>
          <w:p w14:paraId="519098C9"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currency</w:t>
            </w:r>
          </w:p>
        </w:tc>
        <w:tc>
          <w:tcPr>
            <w:tcW w:w="1423" w:type="dxa"/>
            <w:shd w:val="clear" w:color="auto" w:fill="D9D9D9" w:themeFill="background1" w:themeFillShade="D9"/>
          </w:tcPr>
          <w:p w14:paraId="334249E3"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UIFN quantity</w:t>
            </w:r>
          </w:p>
          <w:p w14:paraId="11194E67"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1/1/2018</w:t>
            </w:r>
          </w:p>
        </w:tc>
        <w:tc>
          <w:tcPr>
            <w:tcW w:w="5449" w:type="dxa"/>
            <w:shd w:val="clear" w:color="auto" w:fill="D9D9D9" w:themeFill="background1" w:themeFillShade="D9"/>
            <w:noWrap/>
          </w:tcPr>
          <w:p w14:paraId="12E17D18"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Company's name</w:t>
            </w:r>
          </w:p>
        </w:tc>
        <w:tc>
          <w:tcPr>
            <w:tcW w:w="2339" w:type="dxa"/>
            <w:shd w:val="clear" w:color="auto" w:fill="D9D9D9" w:themeFill="background1" w:themeFillShade="D9"/>
            <w:noWrap/>
          </w:tcPr>
          <w:p w14:paraId="6F88B39E" w14:textId="26EDE84C"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country</w:t>
            </w:r>
            <w:r w:rsidR="00DA4FC3">
              <w:rPr>
                <w:rFonts w:cs="Arial"/>
                <w:b/>
                <w:sz w:val="20"/>
                <w:lang w:val="en-US" w:eastAsia="zh-CN"/>
              </w:rPr>
              <w:t>/Geographic Area</w:t>
            </w:r>
          </w:p>
        </w:tc>
        <w:tc>
          <w:tcPr>
            <w:tcW w:w="1752" w:type="dxa"/>
            <w:shd w:val="clear" w:color="auto" w:fill="D9D9D9" w:themeFill="background1" w:themeFillShade="D9"/>
          </w:tcPr>
          <w:p w14:paraId="6A5FB38D" w14:textId="77777777" w:rsidR="001241AF" w:rsidRPr="001241AF" w:rsidRDefault="001241AF" w:rsidP="001241AF">
            <w:pPr>
              <w:tabs>
                <w:tab w:val="clear" w:pos="567"/>
                <w:tab w:val="clear" w:pos="1134"/>
                <w:tab w:val="clear" w:pos="1701"/>
                <w:tab w:val="clear" w:pos="2268"/>
                <w:tab w:val="clear" w:pos="2835"/>
              </w:tabs>
              <w:overflowPunct/>
              <w:autoSpaceDE/>
              <w:autoSpaceDN/>
              <w:adjustRightInd/>
              <w:spacing w:before="0"/>
              <w:jc w:val="center"/>
              <w:textAlignment w:val="auto"/>
              <w:rPr>
                <w:rFonts w:cs="Arial"/>
                <w:b/>
                <w:color w:val="000000" w:themeColor="text1"/>
                <w:sz w:val="20"/>
                <w:lang w:val="en-US" w:eastAsia="zh-CN"/>
              </w:rPr>
            </w:pPr>
            <w:r w:rsidRPr="001241AF">
              <w:rPr>
                <w:rFonts w:cs="Arial"/>
                <w:b/>
                <w:color w:val="000000" w:themeColor="text1"/>
                <w:sz w:val="20"/>
                <w:lang w:val="en-US" w:eastAsia="zh-CN"/>
              </w:rPr>
              <w:t>note</w:t>
            </w:r>
          </w:p>
        </w:tc>
      </w:tr>
      <w:tr w:rsidR="0030271B" w:rsidRPr="001241AF" w14:paraId="6FE0C80C" w14:textId="77777777" w:rsidTr="00DA4FC3">
        <w:trPr>
          <w:cantSplit/>
          <w:trHeight w:val="255"/>
        </w:trPr>
        <w:tc>
          <w:tcPr>
            <w:tcW w:w="981" w:type="dxa"/>
            <w:shd w:val="clear" w:color="auto" w:fill="auto"/>
            <w:noWrap/>
            <w:hideMark/>
          </w:tcPr>
          <w:p w14:paraId="773844D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6,800.00</w:t>
            </w:r>
          </w:p>
        </w:tc>
        <w:tc>
          <w:tcPr>
            <w:tcW w:w="936" w:type="dxa"/>
            <w:shd w:val="clear" w:color="auto" w:fill="auto"/>
            <w:noWrap/>
            <w:hideMark/>
          </w:tcPr>
          <w:p w14:paraId="44B713E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3E83462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68</w:t>
            </w:r>
          </w:p>
        </w:tc>
        <w:tc>
          <w:tcPr>
            <w:tcW w:w="5449" w:type="dxa"/>
            <w:shd w:val="clear" w:color="auto" w:fill="auto"/>
            <w:noWrap/>
            <w:hideMark/>
          </w:tcPr>
          <w:p w14:paraId="4D28349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Smile Telecom 012</w:t>
            </w:r>
          </w:p>
        </w:tc>
        <w:tc>
          <w:tcPr>
            <w:tcW w:w="2339" w:type="dxa"/>
            <w:shd w:val="clear" w:color="auto" w:fill="auto"/>
            <w:noWrap/>
            <w:hideMark/>
          </w:tcPr>
          <w:p w14:paraId="1A75810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Israel</w:t>
            </w:r>
          </w:p>
        </w:tc>
        <w:tc>
          <w:tcPr>
            <w:tcW w:w="1752" w:type="dxa"/>
          </w:tcPr>
          <w:p w14:paraId="28E4E2E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56622123" w14:textId="77777777" w:rsidTr="00DA4FC3">
        <w:trPr>
          <w:cantSplit/>
          <w:trHeight w:val="255"/>
        </w:trPr>
        <w:tc>
          <w:tcPr>
            <w:tcW w:w="981" w:type="dxa"/>
            <w:shd w:val="clear" w:color="auto" w:fill="auto"/>
            <w:noWrap/>
            <w:hideMark/>
          </w:tcPr>
          <w:p w14:paraId="1D676D4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5,600.00</w:t>
            </w:r>
          </w:p>
        </w:tc>
        <w:tc>
          <w:tcPr>
            <w:tcW w:w="936" w:type="dxa"/>
            <w:shd w:val="clear" w:color="auto" w:fill="auto"/>
            <w:noWrap/>
            <w:hideMark/>
          </w:tcPr>
          <w:p w14:paraId="23D8B6A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4BE5024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56</w:t>
            </w:r>
          </w:p>
        </w:tc>
        <w:tc>
          <w:tcPr>
            <w:tcW w:w="5449" w:type="dxa"/>
            <w:shd w:val="clear" w:color="auto" w:fill="auto"/>
            <w:noWrap/>
            <w:hideMark/>
          </w:tcPr>
          <w:p w14:paraId="2B95728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 xml:space="preserve">International </w:t>
            </w:r>
            <w:proofErr w:type="spellStart"/>
            <w:r w:rsidRPr="001241AF">
              <w:rPr>
                <w:rFonts w:cs="Arial"/>
                <w:color w:val="000000" w:themeColor="text1"/>
                <w:sz w:val="20"/>
                <w:lang w:val="en-US" w:eastAsia="zh-CN"/>
              </w:rPr>
              <w:t>Telcom</w:t>
            </w:r>
            <w:proofErr w:type="spellEnd"/>
            <w:r w:rsidRPr="001241AF">
              <w:rPr>
                <w:rFonts w:cs="Arial"/>
                <w:color w:val="000000" w:themeColor="text1"/>
                <w:sz w:val="20"/>
                <w:lang w:val="en-US" w:eastAsia="zh-CN"/>
              </w:rPr>
              <w:t xml:space="preserve"> Ltd.</w:t>
            </w:r>
          </w:p>
        </w:tc>
        <w:tc>
          <w:tcPr>
            <w:tcW w:w="2339" w:type="dxa"/>
            <w:shd w:val="clear" w:color="auto" w:fill="auto"/>
            <w:noWrap/>
            <w:hideMark/>
          </w:tcPr>
          <w:p w14:paraId="1F576DE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United States</w:t>
            </w:r>
          </w:p>
        </w:tc>
        <w:tc>
          <w:tcPr>
            <w:tcW w:w="1752" w:type="dxa"/>
          </w:tcPr>
          <w:p w14:paraId="781EF32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08A6A96C" w14:textId="77777777" w:rsidTr="00DA4FC3">
        <w:trPr>
          <w:cantSplit/>
          <w:trHeight w:val="255"/>
        </w:trPr>
        <w:tc>
          <w:tcPr>
            <w:tcW w:w="981" w:type="dxa"/>
            <w:shd w:val="clear" w:color="auto" w:fill="auto"/>
            <w:noWrap/>
            <w:hideMark/>
          </w:tcPr>
          <w:p w14:paraId="0D9E282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900.00</w:t>
            </w:r>
          </w:p>
        </w:tc>
        <w:tc>
          <w:tcPr>
            <w:tcW w:w="936" w:type="dxa"/>
            <w:shd w:val="clear" w:color="auto" w:fill="auto"/>
            <w:noWrap/>
            <w:hideMark/>
          </w:tcPr>
          <w:p w14:paraId="07769A3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6C05E44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9</w:t>
            </w:r>
          </w:p>
        </w:tc>
        <w:tc>
          <w:tcPr>
            <w:tcW w:w="5449" w:type="dxa"/>
            <w:shd w:val="clear" w:color="auto" w:fill="auto"/>
            <w:noWrap/>
            <w:hideMark/>
          </w:tcPr>
          <w:p w14:paraId="391249A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Tele 2 AB</w:t>
            </w:r>
          </w:p>
        </w:tc>
        <w:tc>
          <w:tcPr>
            <w:tcW w:w="2339" w:type="dxa"/>
            <w:shd w:val="clear" w:color="auto" w:fill="auto"/>
            <w:noWrap/>
            <w:hideMark/>
          </w:tcPr>
          <w:p w14:paraId="0DA0AD2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Sweden</w:t>
            </w:r>
          </w:p>
        </w:tc>
        <w:tc>
          <w:tcPr>
            <w:tcW w:w="1752" w:type="dxa"/>
          </w:tcPr>
          <w:p w14:paraId="681F024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713B8303" w14:textId="77777777" w:rsidTr="00DA4FC3">
        <w:trPr>
          <w:cantSplit/>
          <w:trHeight w:val="255"/>
        </w:trPr>
        <w:tc>
          <w:tcPr>
            <w:tcW w:w="981" w:type="dxa"/>
            <w:shd w:val="clear" w:color="auto" w:fill="auto"/>
            <w:noWrap/>
            <w:hideMark/>
          </w:tcPr>
          <w:p w14:paraId="7CBE48F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700.00</w:t>
            </w:r>
          </w:p>
        </w:tc>
        <w:tc>
          <w:tcPr>
            <w:tcW w:w="936" w:type="dxa"/>
            <w:shd w:val="clear" w:color="auto" w:fill="auto"/>
            <w:noWrap/>
            <w:hideMark/>
          </w:tcPr>
          <w:p w14:paraId="2B02C09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23A340F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7</w:t>
            </w:r>
          </w:p>
        </w:tc>
        <w:tc>
          <w:tcPr>
            <w:tcW w:w="5449" w:type="dxa"/>
            <w:shd w:val="clear" w:color="auto" w:fill="auto"/>
            <w:noWrap/>
            <w:hideMark/>
          </w:tcPr>
          <w:p w14:paraId="4901057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Cable &amp; Wireless Panamá S.A.</w:t>
            </w:r>
          </w:p>
        </w:tc>
        <w:tc>
          <w:tcPr>
            <w:tcW w:w="2339" w:type="dxa"/>
            <w:shd w:val="clear" w:color="auto" w:fill="auto"/>
            <w:noWrap/>
            <w:hideMark/>
          </w:tcPr>
          <w:p w14:paraId="473BCB7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Panama</w:t>
            </w:r>
          </w:p>
        </w:tc>
        <w:tc>
          <w:tcPr>
            <w:tcW w:w="1752" w:type="dxa"/>
          </w:tcPr>
          <w:p w14:paraId="5BF8C21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5B9F3A05" w14:textId="77777777" w:rsidTr="00DA4FC3">
        <w:trPr>
          <w:cantSplit/>
          <w:trHeight w:val="255"/>
        </w:trPr>
        <w:tc>
          <w:tcPr>
            <w:tcW w:w="981" w:type="dxa"/>
            <w:shd w:val="clear" w:color="auto" w:fill="auto"/>
            <w:noWrap/>
            <w:hideMark/>
          </w:tcPr>
          <w:p w14:paraId="131DF7F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500.00</w:t>
            </w:r>
          </w:p>
        </w:tc>
        <w:tc>
          <w:tcPr>
            <w:tcW w:w="936" w:type="dxa"/>
            <w:shd w:val="clear" w:color="auto" w:fill="auto"/>
            <w:noWrap/>
            <w:hideMark/>
          </w:tcPr>
          <w:p w14:paraId="7FBD70C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219B694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5</w:t>
            </w:r>
          </w:p>
        </w:tc>
        <w:tc>
          <w:tcPr>
            <w:tcW w:w="5449" w:type="dxa"/>
            <w:shd w:val="clear" w:color="auto" w:fill="auto"/>
            <w:noWrap/>
            <w:hideMark/>
          </w:tcPr>
          <w:p w14:paraId="62231951" w14:textId="77777777" w:rsidR="0030271B" w:rsidRPr="008E67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s-ES_tradnl" w:eastAsia="zh-CN"/>
              </w:rPr>
            </w:pPr>
            <w:r w:rsidRPr="008E67CF">
              <w:rPr>
                <w:rFonts w:cs="Arial"/>
                <w:color w:val="000000" w:themeColor="text1"/>
                <w:sz w:val="20"/>
                <w:lang w:val="es-ES_tradnl" w:eastAsia="zh-CN"/>
              </w:rPr>
              <w:t>Colombia Telecomunicaciones S.A. ESP - Telecom Colombia</w:t>
            </w:r>
          </w:p>
        </w:tc>
        <w:tc>
          <w:tcPr>
            <w:tcW w:w="2339" w:type="dxa"/>
            <w:shd w:val="clear" w:color="auto" w:fill="auto"/>
            <w:noWrap/>
            <w:hideMark/>
          </w:tcPr>
          <w:p w14:paraId="778F25A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Colombia</w:t>
            </w:r>
          </w:p>
        </w:tc>
        <w:tc>
          <w:tcPr>
            <w:tcW w:w="1752" w:type="dxa"/>
          </w:tcPr>
          <w:p w14:paraId="49A50AE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342E2BEF" w14:textId="77777777" w:rsidTr="00DA4FC3">
        <w:trPr>
          <w:cantSplit/>
          <w:trHeight w:val="255"/>
        </w:trPr>
        <w:tc>
          <w:tcPr>
            <w:tcW w:w="981" w:type="dxa"/>
            <w:shd w:val="clear" w:color="auto" w:fill="auto"/>
            <w:noWrap/>
            <w:hideMark/>
          </w:tcPr>
          <w:p w14:paraId="0681BB5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400.00</w:t>
            </w:r>
          </w:p>
        </w:tc>
        <w:tc>
          <w:tcPr>
            <w:tcW w:w="936" w:type="dxa"/>
            <w:shd w:val="clear" w:color="auto" w:fill="auto"/>
            <w:noWrap/>
            <w:hideMark/>
          </w:tcPr>
          <w:p w14:paraId="39FBE2A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0F33CEE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4</w:t>
            </w:r>
          </w:p>
        </w:tc>
        <w:tc>
          <w:tcPr>
            <w:tcW w:w="5449" w:type="dxa"/>
            <w:shd w:val="clear" w:color="auto" w:fill="auto"/>
            <w:noWrap/>
            <w:hideMark/>
          </w:tcPr>
          <w:p w14:paraId="5196504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PLANinterNET</w:t>
            </w:r>
            <w:proofErr w:type="spellEnd"/>
            <w:r w:rsidRPr="001241AF">
              <w:rPr>
                <w:rFonts w:cs="Arial"/>
                <w:color w:val="000000" w:themeColor="text1"/>
                <w:sz w:val="20"/>
                <w:lang w:val="en-US" w:eastAsia="zh-CN"/>
              </w:rPr>
              <w:t xml:space="preserve"> VoIP-GmbH</w:t>
            </w:r>
          </w:p>
        </w:tc>
        <w:tc>
          <w:tcPr>
            <w:tcW w:w="2339" w:type="dxa"/>
            <w:shd w:val="clear" w:color="auto" w:fill="auto"/>
            <w:noWrap/>
            <w:hideMark/>
          </w:tcPr>
          <w:p w14:paraId="0E91DEF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Germany</w:t>
            </w:r>
          </w:p>
        </w:tc>
        <w:tc>
          <w:tcPr>
            <w:tcW w:w="1752" w:type="dxa"/>
          </w:tcPr>
          <w:p w14:paraId="0D23DEF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2EDCD499" w14:textId="77777777" w:rsidTr="00DA4FC3">
        <w:trPr>
          <w:cantSplit/>
          <w:trHeight w:val="255"/>
        </w:trPr>
        <w:tc>
          <w:tcPr>
            <w:tcW w:w="981" w:type="dxa"/>
            <w:shd w:val="clear" w:color="auto" w:fill="auto"/>
            <w:noWrap/>
            <w:hideMark/>
          </w:tcPr>
          <w:p w14:paraId="6A58471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400.00</w:t>
            </w:r>
          </w:p>
        </w:tc>
        <w:tc>
          <w:tcPr>
            <w:tcW w:w="936" w:type="dxa"/>
            <w:shd w:val="clear" w:color="auto" w:fill="auto"/>
            <w:noWrap/>
            <w:hideMark/>
          </w:tcPr>
          <w:p w14:paraId="57AD14D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2604D51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4</w:t>
            </w:r>
          </w:p>
        </w:tc>
        <w:tc>
          <w:tcPr>
            <w:tcW w:w="5449" w:type="dxa"/>
            <w:shd w:val="clear" w:color="auto" w:fill="auto"/>
            <w:noWrap/>
            <w:hideMark/>
          </w:tcPr>
          <w:p w14:paraId="226ED50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WTT HK Limited</w:t>
            </w:r>
          </w:p>
        </w:tc>
        <w:tc>
          <w:tcPr>
            <w:tcW w:w="2339" w:type="dxa"/>
            <w:shd w:val="clear" w:color="auto" w:fill="auto"/>
            <w:noWrap/>
            <w:hideMark/>
          </w:tcPr>
          <w:p w14:paraId="10EF3DF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Hong Kong, China</w:t>
            </w:r>
          </w:p>
        </w:tc>
        <w:tc>
          <w:tcPr>
            <w:tcW w:w="1752" w:type="dxa"/>
          </w:tcPr>
          <w:p w14:paraId="45281C9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4BDDBBA0" w14:textId="77777777" w:rsidTr="00DA4FC3">
        <w:trPr>
          <w:cantSplit/>
          <w:trHeight w:val="255"/>
        </w:trPr>
        <w:tc>
          <w:tcPr>
            <w:tcW w:w="981" w:type="dxa"/>
            <w:shd w:val="clear" w:color="auto" w:fill="auto"/>
            <w:noWrap/>
            <w:hideMark/>
          </w:tcPr>
          <w:p w14:paraId="68D4B6F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300.00</w:t>
            </w:r>
          </w:p>
        </w:tc>
        <w:tc>
          <w:tcPr>
            <w:tcW w:w="936" w:type="dxa"/>
            <w:shd w:val="clear" w:color="auto" w:fill="auto"/>
            <w:noWrap/>
            <w:hideMark/>
          </w:tcPr>
          <w:p w14:paraId="437C033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tcPr>
          <w:p w14:paraId="0794148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3</w:t>
            </w:r>
          </w:p>
        </w:tc>
        <w:tc>
          <w:tcPr>
            <w:tcW w:w="5449" w:type="dxa"/>
            <w:shd w:val="clear" w:color="auto" w:fill="auto"/>
            <w:noWrap/>
            <w:hideMark/>
          </w:tcPr>
          <w:p w14:paraId="56E40D5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Telefonica del Peru</w:t>
            </w:r>
          </w:p>
        </w:tc>
        <w:tc>
          <w:tcPr>
            <w:tcW w:w="2339" w:type="dxa"/>
            <w:shd w:val="clear" w:color="auto" w:fill="auto"/>
            <w:noWrap/>
            <w:hideMark/>
          </w:tcPr>
          <w:p w14:paraId="05E12A2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Peru</w:t>
            </w:r>
          </w:p>
        </w:tc>
        <w:tc>
          <w:tcPr>
            <w:tcW w:w="1752" w:type="dxa"/>
          </w:tcPr>
          <w:p w14:paraId="2A1A3E8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3AABCF57" w14:textId="77777777" w:rsidTr="00DA4FC3">
        <w:trPr>
          <w:cantSplit/>
          <w:trHeight w:val="255"/>
        </w:trPr>
        <w:tc>
          <w:tcPr>
            <w:tcW w:w="981" w:type="dxa"/>
            <w:shd w:val="clear" w:color="auto" w:fill="auto"/>
            <w:noWrap/>
            <w:hideMark/>
          </w:tcPr>
          <w:p w14:paraId="1473C94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300.00</w:t>
            </w:r>
          </w:p>
        </w:tc>
        <w:tc>
          <w:tcPr>
            <w:tcW w:w="936" w:type="dxa"/>
            <w:shd w:val="clear" w:color="auto" w:fill="auto"/>
            <w:noWrap/>
            <w:hideMark/>
          </w:tcPr>
          <w:p w14:paraId="38FCC48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540CBA9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3</w:t>
            </w:r>
          </w:p>
        </w:tc>
        <w:tc>
          <w:tcPr>
            <w:tcW w:w="5449" w:type="dxa"/>
            <w:shd w:val="clear" w:color="auto" w:fill="auto"/>
            <w:noWrap/>
            <w:hideMark/>
          </w:tcPr>
          <w:p w14:paraId="0760537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PRIMUS Telecommunications Ltd.</w:t>
            </w:r>
          </w:p>
        </w:tc>
        <w:tc>
          <w:tcPr>
            <w:tcW w:w="2339" w:type="dxa"/>
            <w:shd w:val="clear" w:color="auto" w:fill="auto"/>
            <w:noWrap/>
            <w:hideMark/>
          </w:tcPr>
          <w:p w14:paraId="156E865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United Kingdom</w:t>
            </w:r>
          </w:p>
        </w:tc>
        <w:tc>
          <w:tcPr>
            <w:tcW w:w="1752" w:type="dxa"/>
            <w:shd w:val="clear" w:color="auto" w:fill="auto"/>
          </w:tcPr>
          <w:p w14:paraId="4C24CBD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33B48900" w14:textId="77777777" w:rsidTr="00DA4FC3">
        <w:trPr>
          <w:cantSplit/>
          <w:trHeight w:val="255"/>
        </w:trPr>
        <w:tc>
          <w:tcPr>
            <w:tcW w:w="981" w:type="dxa"/>
            <w:shd w:val="clear" w:color="auto" w:fill="auto"/>
            <w:noWrap/>
            <w:hideMark/>
          </w:tcPr>
          <w:p w14:paraId="6C3E223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200.00</w:t>
            </w:r>
          </w:p>
        </w:tc>
        <w:tc>
          <w:tcPr>
            <w:tcW w:w="936" w:type="dxa"/>
            <w:shd w:val="clear" w:color="auto" w:fill="auto"/>
            <w:noWrap/>
            <w:hideMark/>
          </w:tcPr>
          <w:p w14:paraId="26B330C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4363474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hideMark/>
          </w:tcPr>
          <w:p w14:paraId="52B2CB88" w14:textId="77777777" w:rsidR="0030271B" w:rsidRPr="008E67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s-ES_tradnl" w:eastAsia="zh-CN"/>
              </w:rPr>
            </w:pPr>
            <w:r w:rsidRPr="008E67CF">
              <w:rPr>
                <w:rFonts w:cs="Arial"/>
                <w:color w:val="000000" w:themeColor="text1"/>
                <w:sz w:val="20"/>
                <w:lang w:val="es-ES_tradnl" w:eastAsia="zh-CN"/>
              </w:rPr>
              <w:t>Telefónica de Argentina S.A</w:t>
            </w:r>
          </w:p>
        </w:tc>
        <w:tc>
          <w:tcPr>
            <w:tcW w:w="2339" w:type="dxa"/>
            <w:shd w:val="clear" w:color="auto" w:fill="auto"/>
            <w:noWrap/>
            <w:hideMark/>
          </w:tcPr>
          <w:p w14:paraId="3036FE9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Argentina</w:t>
            </w:r>
          </w:p>
        </w:tc>
        <w:tc>
          <w:tcPr>
            <w:tcW w:w="1752" w:type="dxa"/>
            <w:shd w:val="clear" w:color="auto" w:fill="auto"/>
          </w:tcPr>
          <w:p w14:paraId="48D1CD0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744D4115" w14:textId="77777777" w:rsidTr="00DA4FC3">
        <w:trPr>
          <w:cantSplit/>
          <w:trHeight w:val="255"/>
        </w:trPr>
        <w:tc>
          <w:tcPr>
            <w:tcW w:w="981" w:type="dxa"/>
            <w:shd w:val="clear" w:color="auto" w:fill="auto"/>
            <w:noWrap/>
            <w:hideMark/>
          </w:tcPr>
          <w:p w14:paraId="2FF8829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200.00</w:t>
            </w:r>
          </w:p>
        </w:tc>
        <w:tc>
          <w:tcPr>
            <w:tcW w:w="936" w:type="dxa"/>
            <w:shd w:val="clear" w:color="auto" w:fill="auto"/>
            <w:noWrap/>
            <w:hideMark/>
          </w:tcPr>
          <w:p w14:paraId="6BB6C08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5D050DE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hideMark/>
          </w:tcPr>
          <w:p w14:paraId="25F3315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 xml:space="preserve">Elion </w:t>
            </w:r>
            <w:proofErr w:type="spellStart"/>
            <w:r w:rsidRPr="001241AF">
              <w:rPr>
                <w:rFonts w:cs="Arial"/>
                <w:color w:val="000000" w:themeColor="text1"/>
                <w:sz w:val="20"/>
                <w:lang w:val="en-US" w:eastAsia="zh-CN"/>
              </w:rPr>
              <w:t>Ettevõtted</w:t>
            </w:r>
            <w:proofErr w:type="spellEnd"/>
            <w:r w:rsidRPr="001241AF">
              <w:rPr>
                <w:rFonts w:cs="Arial"/>
                <w:color w:val="000000" w:themeColor="text1"/>
                <w:sz w:val="20"/>
                <w:lang w:val="en-US" w:eastAsia="zh-CN"/>
              </w:rPr>
              <w:t xml:space="preserve"> AS</w:t>
            </w:r>
          </w:p>
        </w:tc>
        <w:tc>
          <w:tcPr>
            <w:tcW w:w="2339" w:type="dxa"/>
            <w:shd w:val="clear" w:color="auto" w:fill="auto"/>
            <w:noWrap/>
            <w:hideMark/>
          </w:tcPr>
          <w:p w14:paraId="7DB9531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Estonia</w:t>
            </w:r>
          </w:p>
        </w:tc>
        <w:tc>
          <w:tcPr>
            <w:tcW w:w="1752" w:type="dxa"/>
            <w:shd w:val="clear" w:color="auto" w:fill="auto"/>
          </w:tcPr>
          <w:p w14:paraId="49B65E5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6A84E574" w14:textId="77777777" w:rsidTr="00DA4FC3">
        <w:trPr>
          <w:cantSplit/>
          <w:trHeight w:val="255"/>
        </w:trPr>
        <w:tc>
          <w:tcPr>
            <w:tcW w:w="981" w:type="dxa"/>
            <w:shd w:val="clear" w:color="auto" w:fill="auto"/>
            <w:noWrap/>
            <w:hideMark/>
          </w:tcPr>
          <w:p w14:paraId="52C6C5E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200.00</w:t>
            </w:r>
          </w:p>
        </w:tc>
        <w:tc>
          <w:tcPr>
            <w:tcW w:w="936" w:type="dxa"/>
            <w:shd w:val="clear" w:color="auto" w:fill="auto"/>
            <w:noWrap/>
            <w:hideMark/>
          </w:tcPr>
          <w:p w14:paraId="2EA311C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40ECBCA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hideMark/>
          </w:tcPr>
          <w:p w14:paraId="550D4A1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Télécom</w:t>
            </w:r>
            <w:proofErr w:type="spellEnd"/>
            <w:r w:rsidRPr="001241AF">
              <w:rPr>
                <w:rFonts w:cs="Arial"/>
                <w:color w:val="000000" w:themeColor="text1"/>
                <w:sz w:val="20"/>
                <w:lang w:val="en-US" w:eastAsia="zh-CN"/>
              </w:rPr>
              <w:t xml:space="preserve"> </w:t>
            </w:r>
            <w:proofErr w:type="spellStart"/>
            <w:r w:rsidRPr="001241AF">
              <w:rPr>
                <w:rFonts w:cs="Arial"/>
                <w:color w:val="000000" w:themeColor="text1"/>
                <w:sz w:val="20"/>
                <w:lang w:val="en-US" w:eastAsia="zh-CN"/>
              </w:rPr>
              <w:t>Développement</w:t>
            </w:r>
            <w:proofErr w:type="spellEnd"/>
          </w:p>
        </w:tc>
        <w:tc>
          <w:tcPr>
            <w:tcW w:w="2339" w:type="dxa"/>
            <w:shd w:val="clear" w:color="auto" w:fill="auto"/>
            <w:noWrap/>
            <w:hideMark/>
          </w:tcPr>
          <w:p w14:paraId="79DF8FB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France</w:t>
            </w:r>
          </w:p>
        </w:tc>
        <w:tc>
          <w:tcPr>
            <w:tcW w:w="1752" w:type="dxa"/>
            <w:shd w:val="clear" w:color="auto" w:fill="auto"/>
          </w:tcPr>
          <w:p w14:paraId="1099775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19CDEE86" w14:textId="77777777" w:rsidTr="00DA4FC3">
        <w:trPr>
          <w:cantSplit/>
          <w:trHeight w:val="255"/>
        </w:trPr>
        <w:tc>
          <w:tcPr>
            <w:tcW w:w="981" w:type="dxa"/>
            <w:shd w:val="clear" w:color="auto" w:fill="auto"/>
            <w:noWrap/>
            <w:hideMark/>
          </w:tcPr>
          <w:p w14:paraId="0763759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200.00</w:t>
            </w:r>
          </w:p>
        </w:tc>
        <w:tc>
          <w:tcPr>
            <w:tcW w:w="936" w:type="dxa"/>
            <w:shd w:val="clear" w:color="auto" w:fill="auto"/>
            <w:noWrap/>
            <w:hideMark/>
          </w:tcPr>
          <w:p w14:paraId="0DA33BF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4A40FE6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hideMark/>
          </w:tcPr>
          <w:p w14:paraId="3A6B7BD2" w14:textId="77777777" w:rsidR="0030271B" w:rsidRPr="008E67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s-ES_tradnl" w:eastAsia="zh-CN"/>
              </w:rPr>
            </w:pPr>
            <w:r w:rsidRPr="008E67CF">
              <w:rPr>
                <w:rFonts w:cs="Arial"/>
                <w:color w:val="000000" w:themeColor="text1"/>
                <w:sz w:val="20"/>
                <w:lang w:val="es-ES_tradnl" w:eastAsia="zh-CN"/>
              </w:rPr>
              <w:t>Teléfonos de México S.A.B. de C.V.</w:t>
            </w:r>
          </w:p>
        </w:tc>
        <w:tc>
          <w:tcPr>
            <w:tcW w:w="2339" w:type="dxa"/>
            <w:shd w:val="clear" w:color="auto" w:fill="auto"/>
            <w:noWrap/>
            <w:hideMark/>
          </w:tcPr>
          <w:p w14:paraId="487A040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Mexico</w:t>
            </w:r>
          </w:p>
        </w:tc>
        <w:tc>
          <w:tcPr>
            <w:tcW w:w="1752" w:type="dxa"/>
            <w:shd w:val="clear" w:color="auto" w:fill="auto"/>
          </w:tcPr>
          <w:p w14:paraId="0BFA3B9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BB31CF" w14:paraId="152D5839" w14:textId="77777777" w:rsidTr="00DA4FC3">
        <w:trPr>
          <w:cantSplit/>
          <w:trHeight w:val="255"/>
        </w:trPr>
        <w:tc>
          <w:tcPr>
            <w:tcW w:w="981" w:type="dxa"/>
            <w:shd w:val="clear" w:color="auto" w:fill="auto"/>
            <w:noWrap/>
            <w:hideMark/>
          </w:tcPr>
          <w:p w14:paraId="249D1BE9"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BB31CF">
              <w:rPr>
                <w:rFonts w:cs="Arial"/>
                <w:color w:val="000000" w:themeColor="text1"/>
                <w:sz w:val="20"/>
                <w:lang w:val="en-US" w:eastAsia="zh-CN"/>
              </w:rPr>
              <w:t>100.00</w:t>
            </w:r>
          </w:p>
        </w:tc>
        <w:tc>
          <w:tcPr>
            <w:tcW w:w="936" w:type="dxa"/>
            <w:shd w:val="clear" w:color="auto" w:fill="auto"/>
            <w:noWrap/>
            <w:hideMark/>
          </w:tcPr>
          <w:p w14:paraId="3A447FEE"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CHF</w:t>
            </w:r>
          </w:p>
        </w:tc>
        <w:tc>
          <w:tcPr>
            <w:tcW w:w="1423" w:type="dxa"/>
            <w:shd w:val="clear" w:color="auto" w:fill="auto"/>
          </w:tcPr>
          <w:p w14:paraId="70EC8F78"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BB31CF">
              <w:rPr>
                <w:rFonts w:cs="Arial"/>
                <w:color w:val="000000" w:themeColor="text1"/>
                <w:sz w:val="20"/>
                <w:lang w:val="en-US" w:eastAsia="zh-CN"/>
              </w:rPr>
              <w:t>1</w:t>
            </w:r>
          </w:p>
        </w:tc>
        <w:tc>
          <w:tcPr>
            <w:tcW w:w="5449" w:type="dxa"/>
            <w:shd w:val="clear" w:color="auto" w:fill="auto"/>
            <w:noWrap/>
            <w:hideMark/>
          </w:tcPr>
          <w:p w14:paraId="3E48EFC5"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 xml:space="preserve">Bahrain Telecommunications Co - </w:t>
            </w:r>
            <w:proofErr w:type="spellStart"/>
            <w:r w:rsidRPr="00BB31CF">
              <w:rPr>
                <w:rFonts w:cs="Arial"/>
                <w:color w:val="000000" w:themeColor="text1"/>
                <w:sz w:val="20"/>
                <w:lang w:val="en-US" w:eastAsia="zh-CN"/>
              </w:rPr>
              <w:t>Batelco</w:t>
            </w:r>
            <w:proofErr w:type="spellEnd"/>
          </w:p>
        </w:tc>
        <w:tc>
          <w:tcPr>
            <w:tcW w:w="2339" w:type="dxa"/>
            <w:shd w:val="clear" w:color="auto" w:fill="auto"/>
            <w:noWrap/>
            <w:hideMark/>
          </w:tcPr>
          <w:p w14:paraId="0F23381A"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Bahrain</w:t>
            </w:r>
          </w:p>
        </w:tc>
        <w:tc>
          <w:tcPr>
            <w:tcW w:w="1752" w:type="dxa"/>
            <w:shd w:val="clear" w:color="auto" w:fill="auto"/>
          </w:tcPr>
          <w:p w14:paraId="552C07A0"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BB31CF" w14:paraId="3DF46597" w14:textId="77777777" w:rsidTr="00DA4FC3">
        <w:trPr>
          <w:cantSplit/>
          <w:trHeight w:val="255"/>
        </w:trPr>
        <w:tc>
          <w:tcPr>
            <w:tcW w:w="981" w:type="dxa"/>
            <w:shd w:val="clear" w:color="auto" w:fill="auto"/>
            <w:noWrap/>
            <w:hideMark/>
          </w:tcPr>
          <w:p w14:paraId="079E470C"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BB31CF">
              <w:rPr>
                <w:rFonts w:cs="Arial"/>
                <w:color w:val="000000" w:themeColor="text1"/>
                <w:sz w:val="20"/>
                <w:lang w:val="en-US" w:eastAsia="zh-CN"/>
              </w:rPr>
              <w:t>100.00</w:t>
            </w:r>
          </w:p>
        </w:tc>
        <w:tc>
          <w:tcPr>
            <w:tcW w:w="936" w:type="dxa"/>
            <w:shd w:val="clear" w:color="auto" w:fill="auto"/>
            <w:noWrap/>
            <w:hideMark/>
          </w:tcPr>
          <w:p w14:paraId="5E183DA5"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CHF</w:t>
            </w:r>
          </w:p>
        </w:tc>
        <w:tc>
          <w:tcPr>
            <w:tcW w:w="1423" w:type="dxa"/>
            <w:shd w:val="clear" w:color="auto" w:fill="auto"/>
          </w:tcPr>
          <w:p w14:paraId="6301DC2C"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BB31CF">
              <w:rPr>
                <w:rFonts w:cs="Arial"/>
                <w:color w:val="000000" w:themeColor="text1"/>
                <w:sz w:val="20"/>
                <w:lang w:val="en-US" w:eastAsia="zh-CN"/>
              </w:rPr>
              <w:t>1</w:t>
            </w:r>
          </w:p>
        </w:tc>
        <w:tc>
          <w:tcPr>
            <w:tcW w:w="5449" w:type="dxa"/>
            <w:shd w:val="clear" w:color="auto" w:fill="auto"/>
            <w:noWrap/>
            <w:hideMark/>
          </w:tcPr>
          <w:p w14:paraId="59688024"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s-ES_tradnl" w:eastAsia="zh-CN"/>
              </w:rPr>
            </w:pPr>
            <w:r w:rsidRPr="00BB31CF">
              <w:rPr>
                <w:rFonts w:cs="Arial"/>
                <w:color w:val="000000" w:themeColor="text1"/>
                <w:sz w:val="20"/>
                <w:lang w:val="es-ES_tradnl" w:eastAsia="zh-CN"/>
              </w:rPr>
              <w:t xml:space="preserve">Telecom </w:t>
            </w:r>
            <w:proofErr w:type="spellStart"/>
            <w:r w:rsidRPr="00BB31CF">
              <w:rPr>
                <w:rFonts w:cs="Arial"/>
                <w:color w:val="000000" w:themeColor="text1"/>
                <w:sz w:val="20"/>
                <w:lang w:val="es-ES_tradnl" w:eastAsia="zh-CN"/>
              </w:rPr>
              <w:t>Itália</w:t>
            </w:r>
            <w:proofErr w:type="spellEnd"/>
            <w:r w:rsidRPr="00BB31CF">
              <w:rPr>
                <w:rFonts w:cs="Arial"/>
                <w:color w:val="000000" w:themeColor="text1"/>
                <w:sz w:val="20"/>
                <w:lang w:val="es-ES_tradnl" w:eastAsia="zh-CN"/>
              </w:rPr>
              <w:t xml:space="preserve"> </w:t>
            </w:r>
            <w:proofErr w:type="spellStart"/>
            <w:r w:rsidRPr="00BB31CF">
              <w:rPr>
                <w:rFonts w:cs="Arial"/>
                <w:color w:val="000000" w:themeColor="text1"/>
                <w:sz w:val="20"/>
                <w:lang w:val="es-ES_tradnl" w:eastAsia="zh-CN"/>
              </w:rPr>
              <w:t>Móbile</w:t>
            </w:r>
            <w:proofErr w:type="spellEnd"/>
            <w:r w:rsidRPr="00BB31CF">
              <w:rPr>
                <w:rFonts w:cs="Arial"/>
                <w:color w:val="000000" w:themeColor="text1"/>
                <w:sz w:val="20"/>
                <w:lang w:val="es-ES_tradnl" w:eastAsia="zh-CN"/>
              </w:rPr>
              <w:t xml:space="preserve"> </w:t>
            </w:r>
            <w:proofErr w:type="spellStart"/>
            <w:r w:rsidRPr="00BB31CF">
              <w:rPr>
                <w:rFonts w:cs="Arial"/>
                <w:color w:val="000000" w:themeColor="text1"/>
                <w:sz w:val="20"/>
                <w:lang w:val="es-ES_tradnl" w:eastAsia="zh-CN"/>
              </w:rPr>
              <w:t>S.p.A</w:t>
            </w:r>
            <w:proofErr w:type="spellEnd"/>
            <w:r w:rsidRPr="00BB31CF">
              <w:rPr>
                <w:rFonts w:cs="Arial"/>
                <w:color w:val="000000" w:themeColor="text1"/>
                <w:sz w:val="20"/>
                <w:lang w:val="es-ES_tradnl" w:eastAsia="zh-CN"/>
              </w:rPr>
              <w:t xml:space="preserve">. (TIM) </w:t>
            </w:r>
            <w:r w:rsidRPr="00BB31CF">
              <w:rPr>
                <w:rFonts w:cs="Arial"/>
                <w:color w:val="000000" w:themeColor="text1"/>
                <w:sz w:val="20"/>
                <w:lang w:val="es-ES_tradnl" w:eastAsia="zh-CN"/>
              </w:rPr>
              <w:br/>
              <w:t xml:space="preserve">(ex-INTELIG </w:t>
            </w:r>
            <w:proofErr w:type="spellStart"/>
            <w:r w:rsidRPr="00BB31CF">
              <w:rPr>
                <w:rFonts w:cs="Arial"/>
                <w:color w:val="000000" w:themeColor="text1"/>
                <w:sz w:val="20"/>
                <w:lang w:val="es-ES_tradnl" w:eastAsia="zh-CN"/>
              </w:rPr>
              <w:t>Telecomunicações</w:t>
            </w:r>
            <w:proofErr w:type="spellEnd"/>
            <w:r w:rsidRPr="00BB31CF">
              <w:rPr>
                <w:rFonts w:cs="Arial"/>
                <w:color w:val="000000" w:themeColor="text1"/>
                <w:sz w:val="20"/>
                <w:lang w:val="es-ES_tradnl" w:eastAsia="zh-CN"/>
              </w:rPr>
              <w:t xml:space="preserve"> Ltda.)</w:t>
            </w:r>
          </w:p>
        </w:tc>
        <w:tc>
          <w:tcPr>
            <w:tcW w:w="2339" w:type="dxa"/>
            <w:shd w:val="clear" w:color="auto" w:fill="auto"/>
            <w:noWrap/>
            <w:hideMark/>
          </w:tcPr>
          <w:p w14:paraId="1908BE18"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Brazil</w:t>
            </w:r>
          </w:p>
        </w:tc>
        <w:tc>
          <w:tcPr>
            <w:tcW w:w="1752" w:type="dxa"/>
            <w:shd w:val="clear" w:color="auto" w:fill="auto"/>
          </w:tcPr>
          <w:p w14:paraId="7F717076"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BB31CF" w14:paraId="3BCFCC80" w14:textId="77777777" w:rsidTr="00DA4FC3">
        <w:trPr>
          <w:cantSplit/>
          <w:trHeight w:val="255"/>
        </w:trPr>
        <w:tc>
          <w:tcPr>
            <w:tcW w:w="981" w:type="dxa"/>
            <w:shd w:val="clear" w:color="auto" w:fill="auto"/>
            <w:noWrap/>
            <w:hideMark/>
          </w:tcPr>
          <w:p w14:paraId="63EA1C1C"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BB31CF">
              <w:rPr>
                <w:rFonts w:cs="Arial"/>
                <w:color w:val="000000" w:themeColor="text1"/>
                <w:sz w:val="20"/>
                <w:lang w:val="en-US" w:eastAsia="zh-CN"/>
              </w:rPr>
              <w:t>100.00</w:t>
            </w:r>
          </w:p>
        </w:tc>
        <w:tc>
          <w:tcPr>
            <w:tcW w:w="936" w:type="dxa"/>
            <w:shd w:val="clear" w:color="auto" w:fill="auto"/>
            <w:noWrap/>
            <w:hideMark/>
          </w:tcPr>
          <w:p w14:paraId="2745383D"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CHF</w:t>
            </w:r>
          </w:p>
        </w:tc>
        <w:tc>
          <w:tcPr>
            <w:tcW w:w="1423" w:type="dxa"/>
            <w:shd w:val="clear" w:color="auto" w:fill="auto"/>
          </w:tcPr>
          <w:p w14:paraId="258B3C60"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BB31CF">
              <w:rPr>
                <w:rFonts w:cs="Arial"/>
                <w:color w:val="000000" w:themeColor="text1"/>
                <w:sz w:val="20"/>
                <w:lang w:val="en-US" w:eastAsia="zh-CN"/>
              </w:rPr>
              <w:t>1</w:t>
            </w:r>
          </w:p>
        </w:tc>
        <w:tc>
          <w:tcPr>
            <w:tcW w:w="5449" w:type="dxa"/>
            <w:shd w:val="clear" w:color="auto" w:fill="auto"/>
            <w:noWrap/>
            <w:hideMark/>
          </w:tcPr>
          <w:p w14:paraId="6997FBE6"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BB31CF">
              <w:rPr>
                <w:rFonts w:cs="Arial"/>
                <w:color w:val="000000" w:themeColor="text1"/>
                <w:sz w:val="20"/>
                <w:lang w:val="en-US" w:eastAsia="zh-CN"/>
              </w:rPr>
              <w:t>TelePassport</w:t>
            </w:r>
            <w:proofErr w:type="spellEnd"/>
            <w:r w:rsidRPr="00BB31CF">
              <w:rPr>
                <w:rFonts w:cs="Arial"/>
                <w:color w:val="000000" w:themeColor="text1"/>
                <w:sz w:val="20"/>
                <w:lang w:val="en-US" w:eastAsia="zh-CN"/>
              </w:rPr>
              <w:t xml:space="preserve"> AG</w:t>
            </w:r>
          </w:p>
        </w:tc>
        <w:tc>
          <w:tcPr>
            <w:tcW w:w="2339" w:type="dxa"/>
            <w:shd w:val="clear" w:color="auto" w:fill="auto"/>
            <w:noWrap/>
            <w:hideMark/>
          </w:tcPr>
          <w:p w14:paraId="06A79C45"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Germany</w:t>
            </w:r>
          </w:p>
        </w:tc>
        <w:tc>
          <w:tcPr>
            <w:tcW w:w="1752" w:type="dxa"/>
            <w:shd w:val="clear" w:color="auto" w:fill="auto"/>
          </w:tcPr>
          <w:p w14:paraId="6722C441"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BB31CF" w14:paraId="4AA01ED8" w14:textId="77777777" w:rsidTr="00DA4FC3">
        <w:trPr>
          <w:cantSplit/>
          <w:trHeight w:val="255"/>
        </w:trPr>
        <w:tc>
          <w:tcPr>
            <w:tcW w:w="981" w:type="dxa"/>
            <w:shd w:val="clear" w:color="auto" w:fill="auto"/>
            <w:noWrap/>
            <w:hideMark/>
          </w:tcPr>
          <w:p w14:paraId="2DE53101"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BB31CF">
              <w:rPr>
                <w:rFonts w:cs="Arial"/>
                <w:color w:val="000000" w:themeColor="text1"/>
                <w:sz w:val="20"/>
                <w:lang w:val="en-US" w:eastAsia="zh-CN"/>
              </w:rPr>
              <w:t>100.00</w:t>
            </w:r>
          </w:p>
        </w:tc>
        <w:tc>
          <w:tcPr>
            <w:tcW w:w="936" w:type="dxa"/>
            <w:shd w:val="clear" w:color="auto" w:fill="auto"/>
            <w:noWrap/>
            <w:hideMark/>
          </w:tcPr>
          <w:p w14:paraId="4C95B96C"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CHF</w:t>
            </w:r>
          </w:p>
        </w:tc>
        <w:tc>
          <w:tcPr>
            <w:tcW w:w="1423" w:type="dxa"/>
            <w:shd w:val="clear" w:color="auto" w:fill="auto"/>
          </w:tcPr>
          <w:p w14:paraId="26F737B5"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BB31CF">
              <w:rPr>
                <w:rFonts w:cs="Arial"/>
                <w:color w:val="000000" w:themeColor="text1"/>
                <w:sz w:val="20"/>
                <w:lang w:val="en-US" w:eastAsia="zh-CN"/>
              </w:rPr>
              <w:t>1</w:t>
            </w:r>
          </w:p>
        </w:tc>
        <w:tc>
          <w:tcPr>
            <w:tcW w:w="5449" w:type="dxa"/>
            <w:shd w:val="clear" w:color="auto" w:fill="auto"/>
            <w:noWrap/>
            <w:hideMark/>
          </w:tcPr>
          <w:p w14:paraId="7520DB90"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s-ES_tradnl" w:eastAsia="zh-CN"/>
              </w:rPr>
            </w:pPr>
            <w:r w:rsidRPr="00BB31CF">
              <w:rPr>
                <w:rFonts w:cs="Arial"/>
                <w:color w:val="000000" w:themeColor="text1"/>
                <w:sz w:val="20"/>
                <w:lang w:val="es-ES_tradnl" w:eastAsia="zh-CN"/>
              </w:rPr>
              <w:t xml:space="preserve">Empresa Hondureña de </w:t>
            </w:r>
            <w:proofErr w:type="spellStart"/>
            <w:r w:rsidRPr="00BB31CF">
              <w:rPr>
                <w:rFonts w:cs="Arial"/>
                <w:color w:val="000000" w:themeColor="text1"/>
                <w:sz w:val="20"/>
                <w:lang w:val="es-ES_tradnl" w:eastAsia="zh-CN"/>
              </w:rPr>
              <w:t>Telecommunicaciones</w:t>
            </w:r>
            <w:proofErr w:type="spellEnd"/>
            <w:r w:rsidRPr="00BB31CF">
              <w:rPr>
                <w:rFonts w:cs="Arial"/>
                <w:color w:val="000000" w:themeColor="text1"/>
                <w:sz w:val="20"/>
                <w:lang w:val="es-ES_tradnl" w:eastAsia="zh-CN"/>
              </w:rPr>
              <w:t xml:space="preserve"> (HONDUTEL)</w:t>
            </w:r>
          </w:p>
        </w:tc>
        <w:tc>
          <w:tcPr>
            <w:tcW w:w="2339" w:type="dxa"/>
            <w:shd w:val="clear" w:color="auto" w:fill="auto"/>
            <w:noWrap/>
            <w:hideMark/>
          </w:tcPr>
          <w:p w14:paraId="08942817"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Honduras</w:t>
            </w:r>
          </w:p>
        </w:tc>
        <w:tc>
          <w:tcPr>
            <w:tcW w:w="1752" w:type="dxa"/>
            <w:shd w:val="clear" w:color="auto" w:fill="auto"/>
          </w:tcPr>
          <w:p w14:paraId="36D2A8BD"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BB31CF" w14:paraId="6E4D9157" w14:textId="77777777" w:rsidTr="00DA4FC3">
        <w:trPr>
          <w:cantSplit/>
          <w:trHeight w:val="255"/>
        </w:trPr>
        <w:tc>
          <w:tcPr>
            <w:tcW w:w="981" w:type="dxa"/>
            <w:shd w:val="clear" w:color="auto" w:fill="auto"/>
            <w:noWrap/>
            <w:hideMark/>
          </w:tcPr>
          <w:p w14:paraId="7BCC298B"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BB31CF">
              <w:rPr>
                <w:rFonts w:cs="Arial"/>
                <w:color w:val="000000" w:themeColor="text1"/>
                <w:sz w:val="20"/>
                <w:lang w:val="en-US" w:eastAsia="zh-CN"/>
              </w:rPr>
              <w:t>100.00</w:t>
            </w:r>
          </w:p>
        </w:tc>
        <w:tc>
          <w:tcPr>
            <w:tcW w:w="936" w:type="dxa"/>
            <w:shd w:val="clear" w:color="auto" w:fill="auto"/>
            <w:noWrap/>
            <w:hideMark/>
          </w:tcPr>
          <w:p w14:paraId="6262BAF8"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CHF</w:t>
            </w:r>
          </w:p>
        </w:tc>
        <w:tc>
          <w:tcPr>
            <w:tcW w:w="1423" w:type="dxa"/>
            <w:shd w:val="clear" w:color="auto" w:fill="auto"/>
          </w:tcPr>
          <w:p w14:paraId="00ABB781"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BB31CF">
              <w:rPr>
                <w:rFonts w:cs="Arial"/>
                <w:color w:val="000000" w:themeColor="text1"/>
                <w:sz w:val="20"/>
                <w:lang w:val="en-US" w:eastAsia="zh-CN"/>
              </w:rPr>
              <w:t>1</w:t>
            </w:r>
          </w:p>
        </w:tc>
        <w:tc>
          <w:tcPr>
            <w:tcW w:w="5449" w:type="dxa"/>
            <w:shd w:val="clear" w:color="auto" w:fill="auto"/>
            <w:noWrap/>
            <w:hideMark/>
          </w:tcPr>
          <w:p w14:paraId="56AB898F"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SIA LATTELEKOM</w:t>
            </w:r>
          </w:p>
        </w:tc>
        <w:tc>
          <w:tcPr>
            <w:tcW w:w="2339" w:type="dxa"/>
            <w:shd w:val="clear" w:color="auto" w:fill="auto"/>
            <w:noWrap/>
            <w:hideMark/>
          </w:tcPr>
          <w:p w14:paraId="0DC9078C"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BB31CF">
              <w:rPr>
                <w:rFonts w:cs="Arial"/>
                <w:color w:val="000000" w:themeColor="text1"/>
                <w:sz w:val="20"/>
                <w:lang w:val="en-US" w:eastAsia="zh-CN"/>
              </w:rPr>
              <w:t>Latvia</w:t>
            </w:r>
          </w:p>
        </w:tc>
        <w:tc>
          <w:tcPr>
            <w:tcW w:w="1752" w:type="dxa"/>
            <w:shd w:val="clear" w:color="auto" w:fill="auto"/>
          </w:tcPr>
          <w:p w14:paraId="74334792" w14:textId="77777777" w:rsidR="0030271B" w:rsidRPr="00BB31C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5F279DE5" w14:textId="77777777" w:rsidTr="00DA4FC3">
        <w:trPr>
          <w:cantSplit/>
          <w:trHeight w:val="256"/>
        </w:trPr>
        <w:tc>
          <w:tcPr>
            <w:tcW w:w="981" w:type="dxa"/>
            <w:shd w:val="clear" w:color="auto" w:fill="auto"/>
            <w:noWrap/>
          </w:tcPr>
          <w:p w14:paraId="30CDA6A0" w14:textId="77777777"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890656">
              <w:rPr>
                <w:rFonts w:cs="Arial"/>
                <w:color w:val="000000" w:themeColor="text1"/>
                <w:sz w:val="20"/>
                <w:lang w:val="en-US" w:eastAsia="zh-CN"/>
              </w:rPr>
              <w:t>100.00</w:t>
            </w:r>
          </w:p>
        </w:tc>
        <w:tc>
          <w:tcPr>
            <w:tcW w:w="936" w:type="dxa"/>
            <w:shd w:val="clear" w:color="auto" w:fill="auto"/>
            <w:noWrap/>
          </w:tcPr>
          <w:p w14:paraId="5C7E10E1" w14:textId="77777777"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890656">
              <w:rPr>
                <w:rFonts w:cs="Arial"/>
                <w:color w:val="000000" w:themeColor="text1"/>
                <w:sz w:val="20"/>
                <w:lang w:val="en-US" w:eastAsia="zh-CN"/>
              </w:rPr>
              <w:t>CHF</w:t>
            </w:r>
          </w:p>
        </w:tc>
        <w:tc>
          <w:tcPr>
            <w:tcW w:w="1423" w:type="dxa"/>
            <w:shd w:val="clear" w:color="auto" w:fill="auto"/>
          </w:tcPr>
          <w:p w14:paraId="6B5A6FE3" w14:textId="77777777"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890656">
              <w:rPr>
                <w:rFonts w:cs="Arial"/>
                <w:color w:val="000000" w:themeColor="text1"/>
                <w:sz w:val="20"/>
                <w:lang w:val="en-US" w:eastAsia="zh-CN"/>
              </w:rPr>
              <w:t>1</w:t>
            </w:r>
          </w:p>
        </w:tc>
        <w:tc>
          <w:tcPr>
            <w:tcW w:w="5449" w:type="dxa"/>
            <w:shd w:val="clear" w:color="auto" w:fill="auto"/>
            <w:noWrap/>
          </w:tcPr>
          <w:p w14:paraId="078343BD" w14:textId="77777777"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890656">
              <w:rPr>
                <w:rFonts w:cs="Arial"/>
                <w:color w:val="000000" w:themeColor="text1"/>
                <w:sz w:val="20"/>
                <w:lang w:val="en-US" w:eastAsia="zh-CN"/>
              </w:rPr>
              <w:t>Vodafone New Zealand</w:t>
            </w:r>
          </w:p>
        </w:tc>
        <w:tc>
          <w:tcPr>
            <w:tcW w:w="2339" w:type="dxa"/>
            <w:shd w:val="clear" w:color="auto" w:fill="auto"/>
            <w:noWrap/>
          </w:tcPr>
          <w:p w14:paraId="51CA6F45" w14:textId="77777777"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890656">
              <w:rPr>
                <w:rFonts w:cs="Arial"/>
                <w:color w:val="000000" w:themeColor="text1"/>
                <w:sz w:val="20"/>
                <w:lang w:val="en-US" w:eastAsia="zh-CN"/>
              </w:rPr>
              <w:t>New Zealand</w:t>
            </w:r>
          </w:p>
        </w:tc>
        <w:tc>
          <w:tcPr>
            <w:tcW w:w="1752" w:type="dxa"/>
            <w:shd w:val="clear" w:color="auto" w:fill="auto"/>
          </w:tcPr>
          <w:p w14:paraId="5E1B7A17" w14:textId="02EA3978" w:rsidR="0030271B" w:rsidRPr="00890656"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50C2E1D0" w14:textId="77777777" w:rsidTr="00DA4FC3">
        <w:trPr>
          <w:cantSplit/>
          <w:trHeight w:val="255"/>
        </w:trPr>
        <w:tc>
          <w:tcPr>
            <w:tcW w:w="981" w:type="dxa"/>
            <w:shd w:val="clear" w:color="auto" w:fill="auto"/>
            <w:noWrap/>
            <w:hideMark/>
          </w:tcPr>
          <w:p w14:paraId="0DE1365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100.00</w:t>
            </w:r>
          </w:p>
        </w:tc>
        <w:tc>
          <w:tcPr>
            <w:tcW w:w="936" w:type="dxa"/>
            <w:shd w:val="clear" w:color="auto" w:fill="auto"/>
            <w:noWrap/>
            <w:hideMark/>
          </w:tcPr>
          <w:p w14:paraId="13EF049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538F21C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hideMark/>
          </w:tcPr>
          <w:p w14:paraId="350F360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Telecable</w:t>
            </w:r>
            <w:proofErr w:type="spellEnd"/>
            <w:r w:rsidRPr="001241AF">
              <w:rPr>
                <w:rFonts w:cs="Arial"/>
                <w:color w:val="000000" w:themeColor="text1"/>
                <w:sz w:val="20"/>
                <w:lang w:val="en-US" w:eastAsia="zh-CN"/>
              </w:rPr>
              <w:t xml:space="preserve"> de Asturias SA</w:t>
            </w:r>
          </w:p>
        </w:tc>
        <w:tc>
          <w:tcPr>
            <w:tcW w:w="2339" w:type="dxa"/>
            <w:shd w:val="clear" w:color="auto" w:fill="auto"/>
            <w:noWrap/>
            <w:hideMark/>
          </w:tcPr>
          <w:p w14:paraId="239915A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Spain</w:t>
            </w:r>
          </w:p>
        </w:tc>
        <w:tc>
          <w:tcPr>
            <w:tcW w:w="1752" w:type="dxa"/>
            <w:shd w:val="clear" w:color="auto" w:fill="auto"/>
          </w:tcPr>
          <w:p w14:paraId="42E11A8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03B4E65A" w14:textId="77777777" w:rsidTr="00DA4FC3">
        <w:trPr>
          <w:cantSplit/>
          <w:trHeight w:val="255"/>
        </w:trPr>
        <w:tc>
          <w:tcPr>
            <w:tcW w:w="981" w:type="dxa"/>
            <w:shd w:val="clear" w:color="auto" w:fill="auto"/>
            <w:noWrap/>
            <w:hideMark/>
          </w:tcPr>
          <w:p w14:paraId="5F5DDAA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100.00</w:t>
            </w:r>
          </w:p>
        </w:tc>
        <w:tc>
          <w:tcPr>
            <w:tcW w:w="936" w:type="dxa"/>
            <w:shd w:val="clear" w:color="auto" w:fill="auto"/>
            <w:noWrap/>
            <w:hideMark/>
          </w:tcPr>
          <w:p w14:paraId="2E9B113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0DEF3F5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hideMark/>
          </w:tcPr>
          <w:p w14:paraId="2E5D014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Unisource NV</w:t>
            </w:r>
          </w:p>
        </w:tc>
        <w:tc>
          <w:tcPr>
            <w:tcW w:w="2339" w:type="dxa"/>
            <w:shd w:val="clear" w:color="auto" w:fill="auto"/>
            <w:noWrap/>
            <w:hideMark/>
          </w:tcPr>
          <w:p w14:paraId="4108095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Sweden</w:t>
            </w:r>
          </w:p>
        </w:tc>
        <w:tc>
          <w:tcPr>
            <w:tcW w:w="1752" w:type="dxa"/>
            <w:shd w:val="clear" w:color="auto" w:fill="auto"/>
          </w:tcPr>
          <w:p w14:paraId="6C5B400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
        </w:tc>
      </w:tr>
      <w:tr w:rsidR="0030271B" w:rsidRPr="001241AF" w14:paraId="5084E697" w14:textId="77777777" w:rsidTr="00DA4FC3">
        <w:trPr>
          <w:cantSplit/>
          <w:trHeight w:val="255"/>
        </w:trPr>
        <w:tc>
          <w:tcPr>
            <w:tcW w:w="981" w:type="dxa"/>
            <w:shd w:val="clear" w:color="auto" w:fill="auto"/>
            <w:noWrap/>
            <w:hideMark/>
          </w:tcPr>
          <w:p w14:paraId="4DF5C40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right"/>
              <w:textAlignment w:val="auto"/>
              <w:outlineLvl w:val="2"/>
              <w:rPr>
                <w:rFonts w:cs="Arial"/>
                <w:color w:val="000000" w:themeColor="text1"/>
                <w:sz w:val="20"/>
                <w:lang w:val="en-US" w:eastAsia="zh-CN"/>
              </w:rPr>
            </w:pPr>
            <w:r w:rsidRPr="001241AF">
              <w:rPr>
                <w:rFonts w:cs="Arial"/>
                <w:color w:val="000000" w:themeColor="text1"/>
                <w:sz w:val="20"/>
                <w:lang w:val="en-US" w:eastAsia="zh-CN"/>
              </w:rPr>
              <w:t>100.00</w:t>
            </w:r>
          </w:p>
        </w:tc>
        <w:tc>
          <w:tcPr>
            <w:tcW w:w="936" w:type="dxa"/>
            <w:shd w:val="clear" w:color="auto" w:fill="auto"/>
            <w:noWrap/>
            <w:hideMark/>
          </w:tcPr>
          <w:p w14:paraId="686DA59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CHF</w:t>
            </w:r>
          </w:p>
        </w:tc>
        <w:tc>
          <w:tcPr>
            <w:tcW w:w="1423" w:type="dxa"/>
            <w:shd w:val="clear" w:color="auto" w:fill="auto"/>
          </w:tcPr>
          <w:p w14:paraId="51759CE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outlineLvl w:val="2"/>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hideMark/>
          </w:tcPr>
          <w:p w14:paraId="2810C24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proofErr w:type="spellStart"/>
            <w:r w:rsidRPr="001241AF">
              <w:rPr>
                <w:rFonts w:cs="Arial"/>
                <w:color w:val="000000" w:themeColor="text1"/>
                <w:sz w:val="20"/>
                <w:lang w:val="en-US" w:eastAsia="zh-CN"/>
              </w:rPr>
              <w:t>TeleForwarding</w:t>
            </w:r>
            <w:proofErr w:type="spellEnd"/>
            <w:r w:rsidRPr="001241AF">
              <w:rPr>
                <w:rFonts w:cs="Arial"/>
                <w:color w:val="000000" w:themeColor="text1"/>
                <w:sz w:val="20"/>
                <w:lang w:val="en-US" w:eastAsia="zh-CN"/>
              </w:rPr>
              <w:t xml:space="preserve"> USA Inc.</w:t>
            </w:r>
          </w:p>
        </w:tc>
        <w:tc>
          <w:tcPr>
            <w:tcW w:w="2339" w:type="dxa"/>
            <w:shd w:val="clear" w:color="auto" w:fill="auto"/>
            <w:noWrap/>
            <w:hideMark/>
          </w:tcPr>
          <w:p w14:paraId="25F9E36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Arial"/>
                <w:color w:val="000000" w:themeColor="text1"/>
                <w:sz w:val="20"/>
                <w:lang w:val="en-US" w:eastAsia="zh-CN"/>
              </w:rPr>
            </w:pPr>
            <w:r w:rsidRPr="001241AF">
              <w:rPr>
                <w:rFonts w:cs="Arial"/>
                <w:color w:val="000000" w:themeColor="text1"/>
                <w:sz w:val="20"/>
                <w:lang w:val="en-US" w:eastAsia="zh-CN"/>
              </w:rPr>
              <w:t>United States</w:t>
            </w:r>
          </w:p>
        </w:tc>
        <w:tc>
          <w:tcPr>
            <w:tcW w:w="1752" w:type="dxa"/>
            <w:shd w:val="clear" w:color="auto" w:fill="auto"/>
          </w:tcPr>
          <w:p w14:paraId="7E95B67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outlineLvl w:val="2"/>
              <w:rPr>
                <w:rFonts w:cs="Calibri"/>
                <w:b/>
                <w:bCs/>
                <w:color w:val="000000" w:themeColor="text1"/>
                <w:sz w:val="20"/>
                <w:lang w:val="en-US"/>
              </w:rPr>
            </w:pPr>
          </w:p>
        </w:tc>
      </w:tr>
      <w:tr w:rsidR="0030271B" w:rsidRPr="001241AF" w14:paraId="51B5217E" w14:textId="77777777" w:rsidTr="00DA4FC3">
        <w:trPr>
          <w:cantSplit/>
          <w:trHeight w:val="255"/>
        </w:trPr>
        <w:tc>
          <w:tcPr>
            <w:tcW w:w="981" w:type="dxa"/>
            <w:shd w:val="clear" w:color="auto" w:fill="auto"/>
          </w:tcPr>
          <w:p w14:paraId="4F20761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2B5FAA2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101034F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3</w:t>
            </w:r>
          </w:p>
        </w:tc>
        <w:tc>
          <w:tcPr>
            <w:tcW w:w="5449" w:type="dxa"/>
            <w:shd w:val="clear" w:color="auto" w:fill="auto"/>
            <w:noWrap/>
          </w:tcPr>
          <w:p w14:paraId="58CC156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IT-Austria GmbH</w:t>
            </w:r>
          </w:p>
        </w:tc>
        <w:tc>
          <w:tcPr>
            <w:tcW w:w="2339" w:type="dxa"/>
            <w:shd w:val="clear" w:color="auto" w:fill="auto"/>
            <w:noWrap/>
          </w:tcPr>
          <w:p w14:paraId="285D38E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Austria</w:t>
            </w:r>
          </w:p>
        </w:tc>
        <w:tc>
          <w:tcPr>
            <w:tcW w:w="1752" w:type="dxa"/>
            <w:shd w:val="clear" w:color="auto" w:fill="auto"/>
          </w:tcPr>
          <w:p w14:paraId="1B5CC9C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0E1F4D9C" w14:textId="77777777" w:rsidTr="00DA4FC3">
        <w:trPr>
          <w:cantSplit/>
          <w:trHeight w:val="255"/>
        </w:trPr>
        <w:tc>
          <w:tcPr>
            <w:tcW w:w="981" w:type="dxa"/>
            <w:shd w:val="clear" w:color="auto" w:fill="auto"/>
          </w:tcPr>
          <w:p w14:paraId="2CD2CEF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2E59CA2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45ADAC90"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tcPr>
          <w:p w14:paraId="32C1DB1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Interoute</w:t>
            </w:r>
            <w:proofErr w:type="spellEnd"/>
            <w:r w:rsidRPr="001241AF">
              <w:rPr>
                <w:rFonts w:cs="Arial"/>
                <w:color w:val="000000" w:themeColor="text1"/>
                <w:sz w:val="20"/>
                <w:lang w:val="en-US" w:eastAsia="zh-CN"/>
              </w:rPr>
              <w:t xml:space="preserve"> Belgium NV</w:t>
            </w:r>
          </w:p>
        </w:tc>
        <w:tc>
          <w:tcPr>
            <w:tcW w:w="2339" w:type="dxa"/>
            <w:shd w:val="clear" w:color="auto" w:fill="auto"/>
            <w:noWrap/>
          </w:tcPr>
          <w:p w14:paraId="51FEE5D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Belgium</w:t>
            </w:r>
          </w:p>
        </w:tc>
        <w:tc>
          <w:tcPr>
            <w:tcW w:w="1752" w:type="dxa"/>
            <w:shd w:val="clear" w:color="auto" w:fill="auto"/>
          </w:tcPr>
          <w:p w14:paraId="3AC40C7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604677AC" w14:textId="77777777" w:rsidTr="00DA4FC3">
        <w:trPr>
          <w:cantSplit/>
          <w:trHeight w:val="255"/>
        </w:trPr>
        <w:tc>
          <w:tcPr>
            <w:tcW w:w="981" w:type="dxa"/>
            <w:shd w:val="clear" w:color="auto" w:fill="auto"/>
          </w:tcPr>
          <w:p w14:paraId="61F1105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780DD6E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45FAB70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tcPr>
          <w:p w14:paraId="3E4BA610" w14:textId="77777777" w:rsidR="0030271B" w:rsidRPr="008E67C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s-ES_tradnl" w:eastAsia="zh-CN"/>
              </w:rPr>
            </w:pPr>
            <w:r w:rsidRPr="008E67CF">
              <w:rPr>
                <w:rFonts w:cs="Arial"/>
                <w:color w:val="000000" w:themeColor="text1"/>
                <w:sz w:val="20"/>
                <w:lang w:val="es-ES_tradnl" w:eastAsia="zh-CN"/>
              </w:rPr>
              <w:t xml:space="preserve">AES </w:t>
            </w:r>
            <w:proofErr w:type="spellStart"/>
            <w:r w:rsidRPr="008E67CF">
              <w:rPr>
                <w:rFonts w:cs="Arial"/>
                <w:color w:val="000000" w:themeColor="text1"/>
                <w:sz w:val="20"/>
                <w:lang w:val="es-ES_tradnl" w:eastAsia="zh-CN"/>
              </w:rPr>
              <w:t>Comunicaciónes</w:t>
            </w:r>
            <w:proofErr w:type="spellEnd"/>
            <w:r w:rsidRPr="008E67CF">
              <w:rPr>
                <w:rFonts w:cs="Arial"/>
                <w:color w:val="000000" w:themeColor="text1"/>
                <w:sz w:val="20"/>
                <w:lang w:val="es-ES_tradnl" w:eastAsia="zh-CN"/>
              </w:rPr>
              <w:t xml:space="preserve"> Bolivia S.A.</w:t>
            </w:r>
          </w:p>
        </w:tc>
        <w:tc>
          <w:tcPr>
            <w:tcW w:w="2339" w:type="dxa"/>
            <w:shd w:val="clear" w:color="auto" w:fill="auto"/>
            <w:noWrap/>
          </w:tcPr>
          <w:p w14:paraId="772E819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Bolivia</w:t>
            </w:r>
          </w:p>
        </w:tc>
        <w:tc>
          <w:tcPr>
            <w:tcW w:w="1752" w:type="dxa"/>
            <w:shd w:val="clear" w:color="auto" w:fill="auto"/>
          </w:tcPr>
          <w:p w14:paraId="4E2E462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4435BB9A" w14:textId="77777777" w:rsidTr="00DA4FC3">
        <w:trPr>
          <w:cantSplit/>
          <w:trHeight w:val="255"/>
        </w:trPr>
        <w:tc>
          <w:tcPr>
            <w:tcW w:w="981" w:type="dxa"/>
            <w:shd w:val="clear" w:color="auto" w:fill="auto"/>
          </w:tcPr>
          <w:p w14:paraId="0A69E71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1BD31C8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0CF9F8E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tcPr>
          <w:p w14:paraId="6CCD8C0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BellSouth Chile</w:t>
            </w:r>
          </w:p>
        </w:tc>
        <w:tc>
          <w:tcPr>
            <w:tcW w:w="2339" w:type="dxa"/>
            <w:shd w:val="clear" w:color="auto" w:fill="auto"/>
            <w:noWrap/>
          </w:tcPr>
          <w:p w14:paraId="2482D76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Chile</w:t>
            </w:r>
          </w:p>
        </w:tc>
        <w:tc>
          <w:tcPr>
            <w:tcW w:w="1752" w:type="dxa"/>
            <w:shd w:val="clear" w:color="auto" w:fill="auto"/>
          </w:tcPr>
          <w:p w14:paraId="4A8DFD2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5D862455" w14:textId="77777777" w:rsidTr="00DA4FC3">
        <w:trPr>
          <w:cantSplit/>
          <w:trHeight w:val="255"/>
        </w:trPr>
        <w:tc>
          <w:tcPr>
            <w:tcW w:w="981" w:type="dxa"/>
            <w:shd w:val="clear" w:color="auto" w:fill="auto"/>
          </w:tcPr>
          <w:p w14:paraId="5C6AD52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097FA9E3"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01A51AD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tcPr>
          <w:p w14:paraId="36039ED8" w14:textId="77777777" w:rsidR="0030271B" w:rsidRPr="008E67C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s-ES_tradnl" w:eastAsia="zh-CN"/>
              </w:rPr>
            </w:pPr>
            <w:proofErr w:type="spellStart"/>
            <w:r w:rsidRPr="008E67CF">
              <w:rPr>
                <w:rFonts w:cs="Arial"/>
                <w:color w:val="000000" w:themeColor="text1"/>
                <w:sz w:val="20"/>
                <w:lang w:val="es-ES_tradnl" w:eastAsia="zh-CN"/>
              </w:rPr>
              <w:t>Compañia</w:t>
            </w:r>
            <w:proofErr w:type="spellEnd"/>
            <w:r w:rsidRPr="008E67CF">
              <w:rPr>
                <w:rFonts w:cs="Arial"/>
                <w:color w:val="000000" w:themeColor="text1"/>
                <w:sz w:val="20"/>
                <w:lang w:val="es-ES_tradnl" w:eastAsia="zh-CN"/>
              </w:rPr>
              <w:t xml:space="preserve"> de Telecomunicaciones de El Salvador, S.A. de C.V.</w:t>
            </w:r>
          </w:p>
        </w:tc>
        <w:tc>
          <w:tcPr>
            <w:tcW w:w="2339" w:type="dxa"/>
            <w:shd w:val="clear" w:color="auto" w:fill="auto"/>
            <w:noWrap/>
          </w:tcPr>
          <w:p w14:paraId="43F19E2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El Salvador</w:t>
            </w:r>
          </w:p>
        </w:tc>
        <w:tc>
          <w:tcPr>
            <w:tcW w:w="1752" w:type="dxa"/>
            <w:shd w:val="clear" w:color="auto" w:fill="auto"/>
          </w:tcPr>
          <w:p w14:paraId="274D5A1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45CBF61B" w14:textId="77777777" w:rsidTr="00DA4FC3">
        <w:trPr>
          <w:cantSplit/>
          <w:trHeight w:val="255"/>
        </w:trPr>
        <w:tc>
          <w:tcPr>
            <w:tcW w:w="981" w:type="dxa"/>
            <w:shd w:val="clear" w:color="auto" w:fill="auto"/>
          </w:tcPr>
          <w:p w14:paraId="7E2CB401"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1402967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4253B9EF"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1</w:t>
            </w:r>
          </w:p>
        </w:tc>
        <w:tc>
          <w:tcPr>
            <w:tcW w:w="5449" w:type="dxa"/>
            <w:shd w:val="clear" w:color="auto" w:fill="auto"/>
            <w:noWrap/>
          </w:tcPr>
          <w:p w14:paraId="2110EA1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HanseNet</w:t>
            </w:r>
            <w:proofErr w:type="spellEnd"/>
            <w:r w:rsidRPr="001241AF">
              <w:rPr>
                <w:rFonts w:cs="Arial"/>
                <w:color w:val="000000" w:themeColor="text1"/>
                <w:sz w:val="20"/>
                <w:lang w:val="en-US" w:eastAsia="zh-CN"/>
              </w:rPr>
              <w:t xml:space="preserve"> </w:t>
            </w:r>
            <w:proofErr w:type="spellStart"/>
            <w:r w:rsidRPr="001241AF">
              <w:rPr>
                <w:rFonts w:cs="Arial"/>
                <w:color w:val="000000" w:themeColor="text1"/>
                <w:sz w:val="20"/>
                <w:lang w:val="en-US" w:eastAsia="zh-CN"/>
              </w:rPr>
              <w:t>Telekommunikation</w:t>
            </w:r>
            <w:proofErr w:type="spellEnd"/>
            <w:r w:rsidRPr="001241AF">
              <w:rPr>
                <w:rFonts w:cs="Arial"/>
                <w:color w:val="000000" w:themeColor="text1"/>
                <w:sz w:val="20"/>
                <w:lang w:val="en-US" w:eastAsia="zh-CN"/>
              </w:rPr>
              <w:t xml:space="preserve"> GmbH</w:t>
            </w:r>
          </w:p>
        </w:tc>
        <w:tc>
          <w:tcPr>
            <w:tcW w:w="2339" w:type="dxa"/>
            <w:shd w:val="clear" w:color="auto" w:fill="auto"/>
            <w:noWrap/>
          </w:tcPr>
          <w:p w14:paraId="20F0DC7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 xml:space="preserve">Germany </w:t>
            </w:r>
          </w:p>
        </w:tc>
        <w:tc>
          <w:tcPr>
            <w:tcW w:w="1752" w:type="dxa"/>
            <w:shd w:val="clear" w:color="auto" w:fill="auto"/>
          </w:tcPr>
          <w:p w14:paraId="53462A2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0CAEB96C" w14:textId="77777777" w:rsidTr="00DA4FC3">
        <w:trPr>
          <w:cantSplit/>
          <w:trHeight w:val="255"/>
        </w:trPr>
        <w:tc>
          <w:tcPr>
            <w:tcW w:w="981" w:type="dxa"/>
            <w:shd w:val="clear" w:color="auto" w:fill="auto"/>
          </w:tcPr>
          <w:p w14:paraId="3CAD3EC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5D4E316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1BC9555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tcPr>
          <w:p w14:paraId="15DAE0A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Netzquadrat</w:t>
            </w:r>
            <w:proofErr w:type="spellEnd"/>
            <w:r w:rsidRPr="001241AF">
              <w:rPr>
                <w:rFonts w:cs="Arial"/>
                <w:color w:val="000000" w:themeColor="text1"/>
                <w:sz w:val="20"/>
                <w:lang w:val="en-US" w:eastAsia="zh-CN"/>
              </w:rPr>
              <w:t xml:space="preserve"> GmbH</w:t>
            </w:r>
          </w:p>
        </w:tc>
        <w:tc>
          <w:tcPr>
            <w:tcW w:w="2339" w:type="dxa"/>
            <w:shd w:val="clear" w:color="auto" w:fill="auto"/>
            <w:noWrap/>
          </w:tcPr>
          <w:p w14:paraId="08E9A43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 xml:space="preserve">Germany </w:t>
            </w:r>
          </w:p>
        </w:tc>
        <w:tc>
          <w:tcPr>
            <w:tcW w:w="1752" w:type="dxa"/>
            <w:shd w:val="clear" w:color="auto" w:fill="auto"/>
          </w:tcPr>
          <w:p w14:paraId="064E80C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0F2E20ED" w14:textId="77777777" w:rsidTr="00DA4FC3">
        <w:trPr>
          <w:cantSplit/>
          <w:trHeight w:val="255"/>
        </w:trPr>
        <w:tc>
          <w:tcPr>
            <w:tcW w:w="981" w:type="dxa"/>
            <w:shd w:val="clear" w:color="auto" w:fill="auto"/>
          </w:tcPr>
          <w:p w14:paraId="260C0C06"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lastRenderedPageBreak/>
              <w:t>-</w:t>
            </w:r>
          </w:p>
        </w:tc>
        <w:tc>
          <w:tcPr>
            <w:tcW w:w="936" w:type="dxa"/>
            <w:shd w:val="clear" w:color="auto" w:fill="auto"/>
          </w:tcPr>
          <w:p w14:paraId="373606F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2EB601D5"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2</w:t>
            </w:r>
          </w:p>
        </w:tc>
        <w:tc>
          <w:tcPr>
            <w:tcW w:w="5449" w:type="dxa"/>
            <w:shd w:val="clear" w:color="auto" w:fill="auto"/>
            <w:noWrap/>
          </w:tcPr>
          <w:p w14:paraId="1771028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Infostrada</w:t>
            </w:r>
            <w:proofErr w:type="spellEnd"/>
            <w:r w:rsidRPr="001241AF">
              <w:rPr>
                <w:rFonts w:cs="Arial"/>
                <w:color w:val="000000" w:themeColor="text1"/>
                <w:sz w:val="20"/>
                <w:lang w:val="en-US" w:eastAsia="zh-CN"/>
              </w:rPr>
              <w:t xml:space="preserve"> S.p.A.</w:t>
            </w:r>
          </w:p>
        </w:tc>
        <w:tc>
          <w:tcPr>
            <w:tcW w:w="2339" w:type="dxa"/>
            <w:shd w:val="clear" w:color="auto" w:fill="auto"/>
            <w:noWrap/>
          </w:tcPr>
          <w:p w14:paraId="657AA6B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Italy</w:t>
            </w:r>
          </w:p>
        </w:tc>
        <w:tc>
          <w:tcPr>
            <w:tcW w:w="1752" w:type="dxa"/>
            <w:shd w:val="clear" w:color="auto" w:fill="auto"/>
          </w:tcPr>
          <w:p w14:paraId="2D5ACB1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r w:rsidR="0030271B" w:rsidRPr="001241AF" w14:paraId="2E1A4A63" w14:textId="77777777" w:rsidTr="00DA4FC3">
        <w:trPr>
          <w:cantSplit/>
          <w:trHeight w:val="255"/>
        </w:trPr>
        <w:tc>
          <w:tcPr>
            <w:tcW w:w="981" w:type="dxa"/>
            <w:shd w:val="clear" w:color="auto" w:fill="auto"/>
          </w:tcPr>
          <w:p w14:paraId="77B1E95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7F51356C"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697B5E7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4</w:t>
            </w:r>
          </w:p>
        </w:tc>
        <w:tc>
          <w:tcPr>
            <w:tcW w:w="5449" w:type="dxa"/>
            <w:shd w:val="clear" w:color="auto" w:fill="auto"/>
            <w:noWrap/>
          </w:tcPr>
          <w:p w14:paraId="3CE3697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 xml:space="preserve">GTS </w:t>
            </w:r>
            <w:proofErr w:type="spellStart"/>
            <w:r w:rsidRPr="001241AF">
              <w:rPr>
                <w:rFonts w:cs="Arial"/>
                <w:color w:val="000000" w:themeColor="text1"/>
                <w:sz w:val="20"/>
                <w:lang w:val="en-US" w:eastAsia="zh-CN"/>
              </w:rPr>
              <w:t>Nextra</w:t>
            </w:r>
            <w:proofErr w:type="spellEnd"/>
            <w:r w:rsidRPr="001241AF">
              <w:rPr>
                <w:rFonts w:cs="Arial"/>
                <w:color w:val="000000" w:themeColor="text1"/>
                <w:sz w:val="20"/>
                <w:lang w:val="en-US" w:eastAsia="zh-CN"/>
              </w:rPr>
              <w:t xml:space="preserve"> (now SWAN)</w:t>
            </w:r>
          </w:p>
        </w:tc>
        <w:tc>
          <w:tcPr>
            <w:tcW w:w="2339" w:type="dxa"/>
            <w:shd w:val="clear" w:color="auto" w:fill="auto"/>
            <w:noWrap/>
          </w:tcPr>
          <w:p w14:paraId="7B521EEB"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Slovakia</w:t>
            </w:r>
          </w:p>
        </w:tc>
        <w:tc>
          <w:tcPr>
            <w:tcW w:w="1752" w:type="dxa"/>
            <w:shd w:val="clear" w:color="auto" w:fill="auto"/>
          </w:tcPr>
          <w:p w14:paraId="18792704"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Pending confirmation from SWAN on UIFNs</w:t>
            </w:r>
          </w:p>
          <w:p w14:paraId="7ADA91DA"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All 4 UIFNs work.</w:t>
            </w:r>
          </w:p>
        </w:tc>
      </w:tr>
      <w:tr w:rsidR="0030271B" w:rsidRPr="001241AF" w14:paraId="77ED974D" w14:textId="77777777" w:rsidTr="00AC4DFE">
        <w:trPr>
          <w:cantSplit/>
          <w:trHeight w:val="385"/>
        </w:trPr>
        <w:tc>
          <w:tcPr>
            <w:tcW w:w="981" w:type="dxa"/>
            <w:shd w:val="clear" w:color="auto" w:fill="auto"/>
          </w:tcPr>
          <w:p w14:paraId="41A48AE9"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936" w:type="dxa"/>
            <w:shd w:val="clear" w:color="auto" w:fill="auto"/>
          </w:tcPr>
          <w:p w14:paraId="6071E967"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w:t>
            </w:r>
          </w:p>
        </w:tc>
        <w:tc>
          <w:tcPr>
            <w:tcW w:w="1423" w:type="dxa"/>
            <w:shd w:val="clear" w:color="auto" w:fill="auto"/>
          </w:tcPr>
          <w:p w14:paraId="0D140FAE"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themeColor="text1"/>
                <w:sz w:val="20"/>
                <w:lang w:val="en-US" w:eastAsia="zh-CN"/>
              </w:rPr>
            </w:pPr>
            <w:r w:rsidRPr="001241AF">
              <w:rPr>
                <w:rFonts w:cs="Arial"/>
                <w:color w:val="000000" w:themeColor="text1"/>
                <w:sz w:val="20"/>
                <w:lang w:val="en-US" w:eastAsia="zh-CN"/>
              </w:rPr>
              <w:t>9</w:t>
            </w:r>
          </w:p>
        </w:tc>
        <w:tc>
          <w:tcPr>
            <w:tcW w:w="5449" w:type="dxa"/>
            <w:shd w:val="clear" w:color="auto" w:fill="auto"/>
            <w:noWrap/>
            <w:hideMark/>
          </w:tcPr>
          <w:p w14:paraId="55AA31F8"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roofErr w:type="spellStart"/>
            <w:r w:rsidRPr="001241AF">
              <w:rPr>
                <w:rFonts w:cs="Arial"/>
                <w:color w:val="000000" w:themeColor="text1"/>
                <w:sz w:val="20"/>
                <w:lang w:val="en-US" w:eastAsia="zh-CN"/>
              </w:rPr>
              <w:t>Inclarit</w:t>
            </w:r>
            <w:bookmarkStart w:id="10" w:name="_GoBack"/>
            <w:bookmarkEnd w:id="10"/>
            <w:r w:rsidRPr="001241AF">
              <w:rPr>
                <w:rFonts w:cs="Arial"/>
                <w:color w:val="000000" w:themeColor="text1"/>
                <w:sz w:val="20"/>
                <w:lang w:val="en-US" w:eastAsia="zh-CN"/>
              </w:rPr>
              <w:t>y</w:t>
            </w:r>
            <w:proofErr w:type="spellEnd"/>
            <w:r w:rsidRPr="001241AF">
              <w:rPr>
                <w:rFonts w:cs="Arial"/>
                <w:color w:val="000000" w:themeColor="text1"/>
                <w:sz w:val="20"/>
                <w:lang w:val="en-US" w:eastAsia="zh-CN"/>
              </w:rPr>
              <w:t xml:space="preserve"> PLC (ex ABS Telecom plc)</w:t>
            </w:r>
          </w:p>
        </w:tc>
        <w:tc>
          <w:tcPr>
            <w:tcW w:w="2339" w:type="dxa"/>
            <w:shd w:val="clear" w:color="auto" w:fill="auto"/>
            <w:noWrap/>
            <w:hideMark/>
          </w:tcPr>
          <w:p w14:paraId="7D4BD3ED"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r w:rsidRPr="001241AF">
              <w:rPr>
                <w:rFonts w:cs="Arial"/>
                <w:color w:val="000000" w:themeColor="text1"/>
                <w:sz w:val="20"/>
                <w:lang w:val="en-US" w:eastAsia="zh-CN"/>
              </w:rPr>
              <w:t>United Kingdom</w:t>
            </w:r>
          </w:p>
        </w:tc>
        <w:tc>
          <w:tcPr>
            <w:tcW w:w="1752" w:type="dxa"/>
            <w:shd w:val="clear" w:color="auto" w:fill="auto"/>
          </w:tcPr>
          <w:p w14:paraId="610E2D52" w14:textId="77777777" w:rsidR="0030271B" w:rsidRPr="001241AF" w:rsidRDefault="0030271B" w:rsidP="00F27DBB">
            <w:pPr>
              <w:tabs>
                <w:tab w:val="clear" w:pos="567"/>
                <w:tab w:val="clear" w:pos="1134"/>
                <w:tab w:val="clear" w:pos="1701"/>
                <w:tab w:val="clear" w:pos="2268"/>
                <w:tab w:val="clear" w:pos="2835"/>
              </w:tabs>
              <w:overflowPunct/>
              <w:autoSpaceDE/>
              <w:autoSpaceDN/>
              <w:adjustRightInd/>
              <w:spacing w:before="0"/>
              <w:textAlignment w:val="auto"/>
              <w:rPr>
                <w:rFonts w:cs="Arial"/>
                <w:color w:val="000000" w:themeColor="text1"/>
                <w:sz w:val="20"/>
                <w:lang w:val="en-US" w:eastAsia="zh-CN"/>
              </w:rPr>
            </w:pPr>
          </w:p>
        </w:tc>
      </w:tr>
    </w:tbl>
    <w:p w14:paraId="514B18EA" w14:textId="77777777" w:rsidR="00E46443" w:rsidRPr="00E46443" w:rsidRDefault="00E46443" w:rsidP="00E46443">
      <w:pPr>
        <w:pStyle w:val="ListParagraph"/>
        <w:tabs>
          <w:tab w:val="clear" w:pos="567"/>
          <w:tab w:val="clear" w:pos="1134"/>
          <w:tab w:val="clear" w:pos="1701"/>
          <w:tab w:val="clear" w:pos="2268"/>
          <w:tab w:val="clear" w:pos="2835"/>
        </w:tabs>
        <w:snapToGrid w:val="0"/>
        <w:spacing w:after="120"/>
        <w:ind w:left="0"/>
        <w:contextualSpacing w:val="0"/>
        <w:jc w:val="both"/>
        <w:rPr>
          <w:sz w:val="20"/>
        </w:rPr>
      </w:pPr>
      <w:r w:rsidRPr="00E46443">
        <w:rPr>
          <w:sz w:val="20"/>
        </w:rPr>
        <w:t xml:space="preserve">Note: “-” indicates no invoice was sent and further information </w:t>
      </w:r>
      <w:r>
        <w:rPr>
          <w:sz w:val="20"/>
        </w:rPr>
        <w:t>was</w:t>
      </w:r>
      <w:r w:rsidRPr="00E46443">
        <w:rPr>
          <w:sz w:val="20"/>
        </w:rPr>
        <w:t xml:space="preserve"> required</w:t>
      </w:r>
      <w:r>
        <w:rPr>
          <w:sz w:val="20"/>
        </w:rPr>
        <w:t xml:space="preserve"> at the time of billing.</w:t>
      </w:r>
    </w:p>
    <w:p w14:paraId="647F0E52" w14:textId="4053CDF2" w:rsidR="00142438" w:rsidRPr="00AC4DFE" w:rsidRDefault="00860A1A" w:rsidP="00860A1A">
      <w:pPr>
        <w:snapToGrid w:val="0"/>
        <w:spacing w:before="840"/>
        <w:jc w:val="center"/>
        <w:rPr>
          <w:rFonts w:cs="Calibri"/>
          <w:szCs w:val="24"/>
          <w:lang w:val="en-US" w:eastAsia="zh-CN"/>
        </w:rPr>
      </w:pPr>
      <w:r w:rsidRPr="00AC4DFE">
        <w:rPr>
          <w:rFonts w:cs="Calibri"/>
          <w:szCs w:val="24"/>
          <w:lang w:val="en-US" w:eastAsia="zh-CN"/>
        </w:rPr>
        <w:t>_______________</w:t>
      </w:r>
    </w:p>
    <w:sectPr w:rsidR="00142438" w:rsidRPr="00AC4DFE" w:rsidSect="00195B00">
      <w:headerReference w:type="first" r:id="rId27"/>
      <w:footerReference w:type="first" r:id="rId28"/>
      <w:pgSz w:w="16834" w:h="11907" w:orient="landscape"/>
      <w:pgMar w:top="1134" w:right="1418" w:bottom="1134" w:left="1418" w:header="720" w:footer="720" w:gutter="0"/>
      <w:paperSrc w:first="1264" w:other="12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74F5E" w14:textId="77777777" w:rsidR="00492CF1" w:rsidRDefault="00492CF1">
      <w:r>
        <w:separator/>
      </w:r>
    </w:p>
  </w:endnote>
  <w:endnote w:type="continuationSeparator" w:id="0">
    <w:p w14:paraId="5AF81848" w14:textId="77777777" w:rsidR="00492CF1" w:rsidRDefault="0049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60CC" w14:textId="77777777" w:rsidR="00F27DBB" w:rsidRDefault="00F27D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63E0" w14:textId="2ADA51A8" w:rsidR="00B74367" w:rsidRPr="00B74367" w:rsidRDefault="00B74367" w:rsidP="00B7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7345" w14:textId="77777777" w:rsidR="00492CF1" w:rsidRDefault="00492CF1">
      <w:r>
        <w:t>____________________</w:t>
      </w:r>
    </w:p>
  </w:footnote>
  <w:footnote w:type="continuationSeparator" w:id="0">
    <w:p w14:paraId="28D0A911" w14:textId="77777777" w:rsidR="00492CF1" w:rsidRDefault="0049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B717" w14:textId="31570D63" w:rsidR="00F27DBB" w:rsidRDefault="00F27DBB" w:rsidP="00CE433C">
    <w:pPr>
      <w:pStyle w:val="Header"/>
    </w:pPr>
    <w:r>
      <w:fldChar w:fldCharType="begin"/>
    </w:r>
    <w:r>
      <w:instrText>PAGE</w:instrText>
    </w:r>
    <w:r>
      <w:fldChar w:fldCharType="separate"/>
    </w:r>
    <w:r w:rsidR="00935DC9">
      <w:rPr>
        <w:noProof/>
      </w:rPr>
      <w:t>4</w:t>
    </w:r>
    <w:r>
      <w:rPr>
        <w:noProof/>
      </w:rPr>
      <w:fldChar w:fldCharType="end"/>
    </w:r>
  </w:p>
  <w:p w14:paraId="70C3A7F2" w14:textId="67315B9C" w:rsidR="00F27DBB" w:rsidRPr="00623AE3" w:rsidRDefault="00F27DBB" w:rsidP="00AC4DFE">
    <w:pPr>
      <w:pStyle w:val="Header"/>
      <w:spacing w:after="240"/>
      <w:rPr>
        <w:bCs/>
      </w:rPr>
    </w:pPr>
    <w:r>
      <w:rPr>
        <w:bCs/>
      </w:rPr>
      <w:t>C19</w:t>
    </w:r>
    <w:r w:rsidRPr="00623AE3">
      <w:rPr>
        <w:bCs/>
      </w:rPr>
      <w:t>/</w:t>
    </w:r>
    <w:r w:rsidR="0054536D">
      <w:rPr>
        <w:bCs/>
      </w:rPr>
      <w:t>47</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0EE8" w14:textId="2B14A968" w:rsidR="00B74367" w:rsidRDefault="00B74367" w:rsidP="00B74367">
    <w:pPr>
      <w:pStyle w:val="Header"/>
    </w:pPr>
    <w:r>
      <w:fldChar w:fldCharType="begin"/>
    </w:r>
    <w:r>
      <w:instrText>PAGE</w:instrText>
    </w:r>
    <w:r>
      <w:fldChar w:fldCharType="separate"/>
    </w:r>
    <w:r w:rsidR="00935DC9">
      <w:rPr>
        <w:noProof/>
      </w:rPr>
      <w:t>5</w:t>
    </w:r>
    <w:r>
      <w:rPr>
        <w:noProof/>
      </w:rPr>
      <w:fldChar w:fldCharType="end"/>
    </w:r>
  </w:p>
  <w:p w14:paraId="3165E16E" w14:textId="5C33642C" w:rsidR="00B74367" w:rsidRDefault="00B74367" w:rsidP="00AC4DFE">
    <w:pPr>
      <w:pStyle w:val="Header"/>
      <w:spacing w:after="240"/>
    </w:pPr>
    <w:r>
      <w:rPr>
        <w:bCs/>
      </w:rPr>
      <w:t>C19</w:t>
    </w:r>
    <w:r w:rsidRPr="00623AE3">
      <w:rPr>
        <w:bCs/>
      </w:rPr>
      <w:t>/</w:t>
    </w:r>
    <w:r>
      <w:rPr>
        <w:bCs/>
      </w:rPr>
      <w:t>47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53704"/>
    <w:multiLevelType w:val="hybridMultilevel"/>
    <w:tmpl w:val="27CAC6C0"/>
    <w:lvl w:ilvl="0" w:tplc="EC7027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A72AD1"/>
    <w:multiLevelType w:val="hybridMultilevel"/>
    <w:tmpl w:val="A5E0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7"/>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66A2"/>
    <w:rsid w:val="000210D4"/>
    <w:rsid w:val="0004566C"/>
    <w:rsid w:val="00047F81"/>
    <w:rsid w:val="000554A9"/>
    <w:rsid w:val="00063016"/>
    <w:rsid w:val="00066795"/>
    <w:rsid w:val="00076AF6"/>
    <w:rsid w:val="00085CF2"/>
    <w:rsid w:val="00087F25"/>
    <w:rsid w:val="000A53C2"/>
    <w:rsid w:val="000A7677"/>
    <w:rsid w:val="000B1705"/>
    <w:rsid w:val="000B4BEE"/>
    <w:rsid w:val="000D2391"/>
    <w:rsid w:val="000D67F1"/>
    <w:rsid w:val="000D75B2"/>
    <w:rsid w:val="00106910"/>
    <w:rsid w:val="00111B2C"/>
    <w:rsid w:val="001121F5"/>
    <w:rsid w:val="001205B2"/>
    <w:rsid w:val="001241AF"/>
    <w:rsid w:val="00127B16"/>
    <w:rsid w:val="001400DC"/>
    <w:rsid w:val="00140CE1"/>
    <w:rsid w:val="00142438"/>
    <w:rsid w:val="0014373B"/>
    <w:rsid w:val="0014623D"/>
    <w:rsid w:val="00150EB1"/>
    <w:rsid w:val="00170165"/>
    <w:rsid w:val="0017539C"/>
    <w:rsid w:val="00175AC2"/>
    <w:rsid w:val="0017609F"/>
    <w:rsid w:val="001859E0"/>
    <w:rsid w:val="0018601D"/>
    <w:rsid w:val="00195B00"/>
    <w:rsid w:val="001C628E"/>
    <w:rsid w:val="001D0A39"/>
    <w:rsid w:val="001E0F7B"/>
    <w:rsid w:val="001E367A"/>
    <w:rsid w:val="001E44D9"/>
    <w:rsid w:val="001F5415"/>
    <w:rsid w:val="00201819"/>
    <w:rsid w:val="00211004"/>
    <w:rsid w:val="002119FD"/>
    <w:rsid w:val="002130E0"/>
    <w:rsid w:val="002251F6"/>
    <w:rsid w:val="00231C42"/>
    <w:rsid w:val="0026173F"/>
    <w:rsid w:val="00264425"/>
    <w:rsid w:val="00265875"/>
    <w:rsid w:val="002720CA"/>
    <w:rsid w:val="0027303B"/>
    <w:rsid w:val="00280C5B"/>
    <w:rsid w:val="0028109B"/>
    <w:rsid w:val="00290277"/>
    <w:rsid w:val="00291F13"/>
    <w:rsid w:val="002A2188"/>
    <w:rsid w:val="002B1F58"/>
    <w:rsid w:val="002C1C7A"/>
    <w:rsid w:val="002E341E"/>
    <w:rsid w:val="002F3DF9"/>
    <w:rsid w:val="00300FA8"/>
    <w:rsid w:val="0030160F"/>
    <w:rsid w:val="0030271B"/>
    <w:rsid w:val="003142AA"/>
    <w:rsid w:val="00322D0D"/>
    <w:rsid w:val="00332FBE"/>
    <w:rsid w:val="0033505F"/>
    <w:rsid w:val="00343360"/>
    <w:rsid w:val="00352F20"/>
    <w:rsid w:val="0035396E"/>
    <w:rsid w:val="003557B3"/>
    <w:rsid w:val="003706F2"/>
    <w:rsid w:val="003942D4"/>
    <w:rsid w:val="003958A8"/>
    <w:rsid w:val="003A0418"/>
    <w:rsid w:val="003B5746"/>
    <w:rsid w:val="003B7F16"/>
    <w:rsid w:val="003C2533"/>
    <w:rsid w:val="003C2F8E"/>
    <w:rsid w:val="003E45F5"/>
    <w:rsid w:val="003E7277"/>
    <w:rsid w:val="003F6C6F"/>
    <w:rsid w:val="00402A93"/>
    <w:rsid w:val="0040435A"/>
    <w:rsid w:val="00404CA7"/>
    <w:rsid w:val="00411C5E"/>
    <w:rsid w:val="00416A24"/>
    <w:rsid w:val="00416BB5"/>
    <w:rsid w:val="00431D9E"/>
    <w:rsid w:val="00433CE8"/>
    <w:rsid w:val="00434A5C"/>
    <w:rsid w:val="00440692"/>
    <w:rsid w:val="0044615C"/>
    <w:rsid w:val="004544D9"/>
    <w:rsid w:val="00454659"/>
    <w:rsid w:val="00464D71"/>
    <w:rsid w:val="00490314"/>
    <w:rsid w:val="00490E72"/>
    <w:rsid w:val="00491157"/>
    <w:rsid w:val="00491CC2"/>
    <w:rsid w:val="004921C8"/>
    <w:rsid w:val="00492CF1"/>
    <w:rsid w:val="0049424C"/>
    <w:rsid w:val="00497DD1"/>
    <w:rsid w:val="004A4569"/>
    <w:rsid w:val="004D1851"/>
    <w:rsid w:val="004D599D"/>
    <w:rsid w:val="004E19B8"/>
    <w:rsid w:val="004E2172"/>
    <w:rsid w:val="004E2EA5"/>
    <w:rsid w:val="004E3AEB"/>
    <w:rsid w:val="004F1D6C"/>
    <w:rsid w:val="004F6DB4"/>
    <w:rsid w:val="00500FF4"/>
    <w:rsid w:val="0050223C"/>
    <w:rsid w:val="0051034A"/>
    <w:rsid w:val="00515A4C"/>
    <w:rsid w:val="005243FF"/>
    <w:rsid w:val="00543245"/>
    <w:rsid w:val="0054536D"/>
    <w:rsid w:val="00553D84"/>
    <w:rsid w:val="00563219"/>
    <w:rsid w:val="00564FBC"/>
    <w:rsid w:val="00582442"/>
    <w:rsid w:val="00595EA2"/>
    <w:rsid w:val="00596852"/>
    <w:rsid w:val="005C51D5"/>
    <w:rsid w:val="005C5EFD"/>
    <w:rsid w:val="005C622C"/>
    <w:rsid w:val="005C7F76"/>
    <w:rsid w:val="005E4580"/>
    <w:rsid w:val="005E4D22"/>
    <w:rsid w:val="005F3269"/>
    <w:rsid w:val="00604C4B"/>
    <w:rsid w:val="00604C4D"/>
    <w:rsid w:val="00607549"/>
    <w:rsid w:val="00623AE3"/>
    <w:rsid w:val="006266B8"/>
    <w:rsid w:val="00643F17"/>
    <w:rsid w:val="0064737F"/>
    <w:rsid w:val="006535F1"/>
    <w:rsid w:val="0065557D"/>
    <w:rsid w:val="00657FE5"/>
    <w:rsid w:val="00662984"/>
    <w:rsid w:val="006716BB"/>
    <w:rsid w:val="00685A43"/>
    <w:rsid w:val="006A011B"/>
    <w:rsid w:val="006B45C6"/>
    <w:rsid w:val="006B6680"/>
    <w:rsid w:val="006B6DCC"/>
    <w:rsid w:val="006D726D"/>
    <w:rsid w:val="00702DEF"/>
    <w:rsid w:val="00706861"/>
    <w:rsid w:val="0071474E"/>
    <w:rsid w:val="0073368D"/>
    <w:rsid w:val="00743D58"/>
    <w:rsid w:val="0075051B"/>
    <w:rsid w:val="00751439"/>
    <w:rsid w:val="00757201"/>
    <w:rsid w:val="007670EA"/>
    <w:rsid w:val="00793188"/>
    <w:rsid w:val="00794D34"/>
    <w:rsid w:val="007A7D7F"/>
    <w:rsid w:val="007B5BC8"/>
    <w:rsid w:val="0080405A"/>
    <w:rsid w:val="00813E5E"/>
    <w:rsid w:val="00830E55"/>
    <w:rsid w:val="0083581B"/>
    <w:rsid w:val="008378F0"/>
    <w:rsid w:val="00860A1A"/>
    <w:rsid w:val="00864AFF"/>
    <w:rsid w:val="0086714F"/>
    <w:rsid w:val="00885E2C"/>
    <w:rsid w:val="00890656"/>
    <w:rsid w:val="00896C7C"/>
    <w:rsid w:val="008A573A"/>
    <w:rsid w:val="008B17D3"/>
    <w:rsid w:val="008B4A6A"/>
    <w:rsid w:val="008B59AD"/>
    <w:rsid w:val="008C126C"/>
    <w:rsid w:val="008C4B6A"/>
    <w:rsid w:val="008C7E27"/>
    <w:rsid w:val="008E4A1E"/>
    <w:rsid w:val="008E4A56"/>
    <w:rsid w:val="008E67CF"/>
    <w:rsid w:val="00905813"/>
    <w:rsid w:val="009125F5"/>
    <w:rsid w:val="009173EF"/>
    <w:rsid w:val="00923178"/>
    <w:rsid w:val="00927DBD"/>
    <w:rsid w:val="00932906"/>
    <w:rsid w:val="00935DC9"/>
    <w:rsid w:val="0094412F"/>
    <w:rsid w:val="00947424"/>
    <w:rsid w:val="00961B0B"/>
    <w:rsid w:val="00975A31"/>
    <w:rsid w:val="009B38C3"/>
    <w:rsid w:val="009D608A"/>
    <w:rsid w:val="009E17BD"/>
    <w:rsid w:val="009E485A"/>
    <w:rsid w:val="00A04CEC"/>
    <w:rsid w:val="00A05B99"/>
    <w:rsid w:val="00A27F92"/>
    <w:rsid w:val="00A3028A"/>
    <w:rsid w:val="00A32257"/>
    <w:rsid w:val="00A337B4"/>
    <w:rsid w:val="00A36D20"/>
    <w:rsid w:val="00A55622"/>
    <w:rsid w:val="00A55780"/>
    <w:rsid w:val="00A80FE4"/>
    <w:rsid w:val="00A817AA"/>
    <w:rsid w:val="00A82D82"/>
    <w:rsid w:val="00A83502"/>
    <w:rsid w:val="00AC4DFE"/>
    <w:rsid w:val="00AD15B3"/>
    <w:rsid w:val="00AE1412"/>
    <w:rsid w:val="00AF6E49"/>
    <w:rsid w:val="00B000E5"/>
    <w:rsid w:val="00B04620"/>
    <w:rsid w:val="00B04A67"/>
    <w:rsid w:val="00B0583C"/>
    <w:rsid w:val="00B12908"/>
    <w:rsid w:val="00B34847"/>
    <w:rsid w:val="00B40A81"/>
    <w:rsid w:val="00B44910"/>
    <w:rsid w:val="00B72267"/>
    <w:rsid w:val="00B74367"/>
    <w:rsid w:val="00B76EB6"/>
    <w:rsid w:val="00B76FCF"/>
    <w:rsid w:val="00B7737B"/>
    <w:rsid w:val="00B824C8"/>
    <w:rsid w:val="00B85C69"/>
    <w:rsid w:val="00B929D9"/>
    <w:rsid w:val="00BB31CF"/>
    <w:rsid w:val="00BC251A"/>
    <w:rsid w:val="00BD032B"/>
    <w:rsid w:val="00BD054C"/>
    <w:rsid w:val="00BD1335"/>
    <w:rsid w:val="00BE2640"/>
    <w:rsid w:val="00BF479D"/>
    <w:rsid w:val="00C01189"/>
    <w:rsid w:val="00C13C27"/>
    <w:rsid w:val="00C374DE"/>
    <w:rsid w:val="00C44EAF"/>
    <w:rsid w:val="00C47AD4"/>
    <w:rsid w:val="00C52D81"/>
    <w:rsid w:val="00C54922"/>
    <w:rsid w:val="00C55198"/>
    <w:rsid w:val="00C71367"/>
    <w:rsid w:val="00C71C3B"/>
    <w:rsid w:val="00C9135C"/>
    <w:rsid w:val="00CA6393"/>
    <w:rsid w:val="00CA6B97"/>
    <w:rsid w:val="00CB18FF"/>
    <w:rsid w:val="00CB378A"/>
    <w:rsid w:val="00CC73C4"/>
    <w:rsid w:val="00CD0A1D"/>
    <w:rsid w:val="00CD0C08"/>
    <w:rsid w:val="00CE03FB"/>
    <w:rsid w:val="00CE2687"/>
    <w:rsid w:val="00CE433C"/>
    <w:rsid w:val="00CE6AB8"/>
    <w:rsid w:val="00CF33F3"/>
    <w:rsid w:val="00CF454E"/>
    <w:rsid w:val="00D04E39"/>
    <w:rsid w:val="00D06183"/>
    <w:rsid w:val="00D1668A"/>
    <w:rsid w:val="00D22C42"/>
    <w:rsid w:val="00D44929"/>
    <w:rsid w:val="00D52BAD"/>
    <w:rsid w:val="00D54B28"/>
    <w:rsid w:val="00D65041"/>
    <w:rsid w:val="00D91576"/>
    <w:rsid w:val="00DA4FC3"/>
    <w:rsid w:val="00DB384B"/>
    <w:rsid w:val="00DD1395"/>
    <w:rsid w:val="00DD3791"/>
    <w:rsid w:val="00DD4106"/>
    <w:rsid w:val="00DD5488"/>
    <w:rsid w:val="00DE07A2"/>
    <w:rsid w:val="00DE5C7C"/>
    <w:rsid w:val="00E02665"/>
    <w:rsid w:val="00E07475"/>
    <w:rsid w:val="00E10E80"/>
    <w:rsid w:val="00E124F0"/>
    <w:rsid w:val="00E46443"/>
    <w:rsid w:val="00E53037"/>
    <w:rsid w:val="00E60F04"/>
    <w:rsid w:val="00E65E57"/>
    <w:rsid w:val="00E854E4"/>
    <w:rsid w:val="00E86D13"/>
    <w:rsid w:val="00E9660A"/>
    <w:rsid w:val="00EB0D6F"/>
    <w:rsid w:val="00EB2232"/>
    <w:rsid w:val="00EC5337"/>
    <w:rsid w:val="00F07C9D"/>
    <w:rsid w:val="00F2150A"/>
    <w:rsid w:val="00F21CBC"/>
    <w:rsid w:val="00F231D8"/>
    <w:rsid w:val="00F27DBB"/>
    <w:rsid w:val="00F45416"/>
    <w:rsid w:val="00F46C5F"/>
    <w:rsid w:val="00F9421E"/>
    <w:rsid w:val="00F94A63"/>
    <w:rsid w:val="00FA1C28"/>
    <w:rsid w:val="00FA3ACF"/>
    <w:rsid w:val="00FA4575"/>
    <w:rsid w:val="00FA72F8"/>
    <w:rsid w:val="00FB347A"/>
    <w:rsid w:val="00FB7596"/>
    <w:rsid w:val="00FD03E0"/>
    <w:rsid w:val="00FD0F1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97F317"/>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styleId="Revision">
    <w:name w:val="Revision"/>
    <w:hidden/>
    <w:uiPriority w:val="99"/>
    <w:semiHidden/>
    <w:rsid w:val="003557B3"/>
    <w:rPr>
      <w:rFonts w:ascii="Calibri" w:hAnsi="Calibri"/>
      <w:sz w:val="24"/>
      <w:lang w:val="en-GB" w:eastAsia="en-US"/>
    </w:rPr>
  </w:style>
  <w:style w:type="character" w:styleId="CommentReference">
    <w:name w:val="annotation reference"/>
    <w:basedOn w:val="DefaultParagraphFont"/>
    <w:semiHidden/>
    <w:unhideWhenUsed/>
    <w:rsid w:val="008378F0"/>
    <w:rPr>
      <w:sz w:val="16"/>
      <w:szCs w:val="16"/>
    </w:rPr>
  </w:style>
  <w:style w:type="paragraph" w:styleId="CommentText">
    <w:name w:val="annotation text"/>
    <w:basedOn w:val="Normal"/>
    <w:link w:val="CommentTextChar"/>
    <w:semiHidden/>
    <w:unhideWhenUsed/>
    <w:rsid w:val="008378F0"/>
    <w:rPr>
      <w:sz w:val="20"/>
    </w:rPr>
  </w:style>
  <w:style w:type="character" w:customStyle="1" w:styleId="CommentTextChar">
    <w:name w:val="Comment Text Char"/>
    <w:basedOn w:val="DefaultParagraphFont"/>
    <w:link w:val="CommentText"/>
    <w:semiHidden/>
    <w:rsid w:val="008378F0"/>
    <w:rPr>
      <w:rFonts w:ascii="Calibri" w:hAnsi="Calibri"/>
      <w:lang w:val="en-GB" w:eastAsia="en-US"/>
    </w:rPr>
  </w:style>
  <w:style w:type="paragraph" w:styleId="CommentSubject">
    <w:name w:val="annotation subject"/>
    <w:basedOn w:val="CommentText"/>
    <w:next w:val="CommentText"/>
    <w:link w:val="CommentSubjectChar"/>
    <w:semiHidden/>
    <w:unhideWhenUsed/>
    <w:rsid w:val="008378F0"/>
    <w:rPr>
      <w:b/>
      <w:bCs/>
    </w:rPr>
  </w:style>
  <w:style w:type="character" w:customStyle="1" w:styleId="CommentSubjectChar">
    <w:name w:val="Comment Subject Char"/>
    <w:basedOn w:val="CommentTextChar"/>
    <w:link w:val="CommentSubject"/>
    <w:semiHidden/>
    <w:rsid w:val="008378F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571">
      <w:bodyDiv w:val="1"/>
      <w:marLeft w:val="0"/>
      <w:marRight w:val="0"/>
      <w:marTop w:val="0"/>
      <w:marBottom w:val="0"/>
      <w:divBdr>
        <w:top w:val="none" w:sz="0" w:space="0" w:color="auto"/>
        <w:left w:val="none" w:sz="0" w:space="0" w:color="auto"/>
        <w:bottom w:val="none" w:sz="0" w:space="0" w:color="auto"/>
        <w:right w:val="none" w:sz="0" w:space="0" w:color="auto"/>
      </w:divBdr>
    </w:div>
    <w:div w:id="171992188">
      <w:bodyDiv w:val="1"/>
      <w:marLeft w:val="0"/>
      <w:marRight w:val="0"/>
      <w:marTop w:val="0"/>
      <w:marBottom w:val="0"/>
      <w:divBdr>
        <w:top w:val="none" w:sz="0" w:space="0" w:color="auto"/>
        <w:left w:val="none" w:sz="0" w:space="0" w:color="auto"/>
        <w:bottom w:val="none" w:sz="0" w:space="0" w:color="auto"/>
        <w:right w:val="none" w:sz="0" w:space="0" w:color="auto"/>
      </w:divBdr>
      <w:divsChild>
        <w:div w:id="404377449">
          <w:marLeft w:val="0"/>
          <w:marRight w:val="0"/>
          <w:marTop w:val="0"/>
          <w:marBottom w:val="0"/>
          <w:divBdr>
            <w:top w:val="none" w:sz="0" w:space="0" w:color="auto"/>
            <w:left w:val="none" w:sz="0" w:space="0" w:color="auto"/>
            <w:bottom w:val="none" w:sz="0" w:space="0" w:color="auto"/>
            <w:right w:val="none" w:sz="0" w:space="0" w:color="auto"/>
          </w:divBdr>
          <w:divsChild>
            <w:div w:id="1453092429">
              <w:marLeft w:val="0"/>
              <w:marRight w:val="0"/>
              <w:marTop w:val="0"/>
              <w:marBottom w:val="0"/>
              <w:divBdr>
                <w:top w:val="none" w:sz="0" w:space="0" w:color="auto"/>
                <w:left w:val="none" w:sz="0" w:space="0" w:color="auto"/>
                <w:bottom w:val="none" w:sz="0" w:space="0" w:color="auto"/>
                <w:right w:val="none" w:sz="0" w:space="0" w:color="auto"/>
              </w:divBdr>
              <w:divsChild>
                <w:div w:id="839396050">
                  <w:marLeft w:val="-225"/>
                  <w:marRight w:val="-225"/>
                  <w:marTop w:val="0"/>
                  <w:marBottom w:val="0"/>
                  <w:divBdr>
                    <w:top w:val="none" w:sz="0" w:space="0" w:color="auto"/>
                    <w:left w:val="none" w:sz="0" w:space="0" w:color="auto"/>
                    <w:bottom w:val="none" w:sz="0" w:space="0" w:color="auto"/>
                    <w:right w:val="none" w:sz="0" w:space="0" w:color="auto"/>
                  </w:divBdr>
                  <w:divsChild>
                    <w:div w:id="1972858555">
                      <w:marLeft w:val="0"/>
                      <w:marRight w:val="0"/>
                      <w:marTop w:val="0"/>
                      <w:marBottom w:val="0"/>
                      <w:divBdr>
                        <w:top w:val="none" w:sz="0" w:space="0" w:color="auto"/>
                        <w:left w:val="none" w:sz="0" w:space="0" w:color="auto"/>
                        <w:bottom w:val="none" w:sz="0" w:space="0" w:color="auto"/>
                        <w:right w:val="none" w:sz="0" w:space="0" w:color="auto"/>
                      </w:divBdr>
                      <w:divsChild>
                        <w:div w:id="649215801">
                          <w:marLeft w:val="0"/>
                          <w:marRight w:val="0"/>
                          <w:marTop w:val="0"/>
                          <w:marBottom w:val="300"/>
                          <w:divBdr>
                            <w:top w:val="none" w:sz="0" w:space="0" w:color="auto"/>
                            <w:left w:val="none" w:sz="0" w:space="0" w:color="auto"/>
                            <w:bottom w:val="none" w:sz="0" w:space="0" w:color="auto"/>
                            <w:right w:val="none" w:sz="0" w:space="0" w:color="auto"/>
                          </w:divBdr>
                          <w:divsChild>
                            <w:div w:id="285429726">
                              <w:marLeft w:val="0"/>
                              <w:marRight w:val="0"/>
                              <w:marTop w:val="0"/>
                              <w:marBottom w:val="0"/>
                              <w:divBdr>
                                <w:top w:val="none" w:sz="0" w:space="0" w:color="auto"/>
                                <w:left w:val="none" w:sz="0" w:space="0" w:color="auto"/>
                                <w:bottom w:val="none" w:sz="0" w:space="0" w:color="auto"/>
                                <w:right w:val="none" w:sz="0" w:space="0" w:color="auto"/>
                              </w:divBdr>
                              <w:divsChild>
                                <w:div w:id="369645821">
                                  <w:marLeft w:val="-225"/>
                                  <w:marRight w:val="-225"/>
                                  <w:marTop w:val="0"/>
                                  <w:marBottom w:val="0"/>
                                  <w:divBdr>
                                    <w:top w:val="none" w:sz="0" w:space="0" w:color="auto"/>
                                    <w:left w:val="none" w:sz="0" w:space="0" w:color="auto"/>
                                    <w:bottom w:val="none" w:sz="0" w:space="0" w:color="auto"/>
                                    <w:right w:val="none" w:sz="0" w:space="0" w:color="auto"/>
                                  </w:divBdr>
                                  <w:divsChild>
                                    <w:div w:id="1506895359">
                                      <w:marLeft w:val="0"/>
                                      <w:marRight w:val="0"/>
                                      <w:marTop w:val="0"/>
                                      <w:marBottom w:val="0"/>
                                      <w:divBdr>
                                        <w:top w:val="none" w:sz="0" w:space="0" w:color="auto"/>
                                        <w:left w:val="none" w:sz="0" w:space="0" w:color="auto"/>
                                        <w:bottom w:val="none" w:sz="0" w:space="0" w:color="auto"/>
                                        <w:right w:val="none" w:sz="0" w:space="0" w:color="auto"/>
                                      </w:divBdr>
                                      <w:divsChild>
                                        <w:div w:id="1133135335">
                                          <w:marLeft w:val="0"/>
                                          <w:marRight w:val="0"/>
                                          <w:marTop w:val="0"/>
                                          <w:marBottom w:val="0"/>
                                          <w:divBdr>
                                            <w:top w:val="none" w:sz="0" w:space="0" w:color="auto"/>
                                            <w:left w:val="none" w:sz="0" w:space="0" w:color="auto"/>
                                            <w:bottom w:val="none" w:sz="0" w:space="0" w:color="auto"/>
                                            <w:right w:val="none" w:sz="0" w:space="0" w:color="auto"/>
                                          </w:divBdr>
                                          <w:divsChild>
                                            <w:div w:id="777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082440">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134/en" TargetMode="External"/><Relationship Id="rId18" Type="http://schemas.openxmlformats.org/officeDocument/2006/relationships/hyperlink" Target="https://www.itu.int/md/S17-CL-C-0134/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19-CLCWGFHR09-C-0014/en" TargetMode="External"/><Relationship Id="rId7" Type="http://schemas.openxmlformats.org/officeDocument/2006/relationships/settings" Target="settings.xml"/><Relationship Id="rId12" Type="http://schemas.openxmlformats.org/officeDocument/2006/relationships/hyperlink" Target="https://www.itu.int/md/S17-CL-C-0133/en" TargetMode="External"/><Relationship Id="rId17" Type="http://schemas.openxmlformats.org/officeDocument/2006/relationships/hyperlink" Target="https://www.itu.int/md/S17-CL-C-0133/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CLCWGFHR09-C-0015/en" TargetMode="External"/><Relationship Id="rId20" Type="http://schemas.openxmlformats.org/officeDocument/2006/relationships/hyperlink" Target="https://www.itu.int/md/S18-CL-C-010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md/S19-CLCWGFHR09-C-0014/en"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md/S18-CL-C-010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8-CL-C-0100/en" TargetMode="External"/><Relationship Id="rId22" Type="http://schemas.openxmlformats.org/officeDocument/2006/relationships/hyperlink" Target="https://www.itu.int/md/S19-CLCWGFHR09-C-0015/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0D9C-4AA0-4AC4-B62A-7096940A516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f413e73c-0d45-446a-a106-728708596ba9"/>
    <ds:schemaRef ds:uri="http://www.w3.org/XML/1998/namespace"/>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4.xml><?xml version="1.0" encoding="utf-8"?>
<ds:datastoreItem xmlns:ds="http://schemas.openxmlformats.org/officeDocument/2006/customXml" ds:itemID="{A20292A0-F18D-4CFE-803D-5E33FED8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1887</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C19/05 - Preparations for WTPF-21</vt:lpstr>
    </vt:vector>
  </TitlesOfParts>
  <Manager>General Secretariat - Pool</Manager>
  <Company>International Telecommunication Union (ITU)</Company>
  <LinksUpToDate>false</LinksUpToDate>
  <CharactersWithSpaces>12655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implementation of Council Decisions 600 and 601 (UIFN, IIN)</dc:title>
  <dc:subject>Council 2019</dc:subject>
  <dc:creator/>
  <cp:keywords>C2019, C19</cp:keywords>
  <dc:description/>
  <cp:lastModifiedBy>Janin, Patricia</cp:lastModifiedBy>
  <cp:revision>13</cp:revision>
  <cp:lastPrinted>2019-04-11T11:27:00Z</cp:lastPrinted>
  <dcterms:created xsi:type="dcterms:W3CDTF">2019-04-16T10:46:00Z</dcterms:created>
  <dcterms:modified xsi:type="dcterms:W3CDTF">2019-04-18T12:30:00Z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