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F176F" w:rsidRPr="00813E5E">
        <w:trPr>
          <w:cantSplit/>
        </w:trPr>
        <w:tc>
          <w:tcPr>
            <w:tcW w:w="6911" w:type="dxa"/>
          </w:tcPr>
          <w:p w:rsidR="005F176F" w:rsidRPr="00813E5E" w:rsidRDefault="005F176F" w:rsidP="00726100">
            <w:pPr>
              <w:spacing w:before="360" w:after="48" w:line="240" w:lineRule="atLeast"/>
              <w:rPr>
                <w:position w:val="6"/>
              </w:rPr>
            </w:pPr>
            <w:bookmarkStart w:id="0" w:name="dc06"/>
            <w:bookmarkEnd w:id="0"/>
            <w:r w:rsidRPr="00E85629">
              <w:rPr>
                <w:b/>
                <w:bCs/>
                <w:position w:val="6"/>
                <w:sz w:val="30"/>
                <w:szCs w:val="30"/>
                <w:lang w:val="fr-CH"/>
              </w:rPr>
              <w:t>Council 201</w:t>
            </w:r>
            <w:r w:rsidR="00726100">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726100">
              <w:rPr>
                <w:b/>
                <w:bCs/>
                <w:position w:val="6"/>
                <w:szCs w:val="24"/>
                <w:lang w:val="fr-CH"/>
              </w:rPr>
              <w:t>0</w:t>
            </w:r>
            <w:r w:rsidRPr="00E85629">
              <w:rPr>
                <w:b/>
                <w:bCs/>
                <w:position w:val="6"/>
                <w:szCs w:val="24"/>
                <w:lang w:val="fr-CH"/>
              </w:rPr>
              <w:t>-2</w:t>
            </w:r>
            <w:r w:rsidR="00726100">
              <w:rPr>
                <w:b/>
                <w:bCs/>
                <w:position w:val="6"/>
                <w:szCs w:val="24"/>
                <w:lang w:val="fr-CH"/>
              </w:rPr>
              <w:t>0</w:t>
            </w:r>
            <w:r w:rsidRPr="00E85629">
              <w:rPr>
                <w:b/>
                <w:bCs/>
                <w:position w:val="6"/>
                <w:szCs w:val="24"/>
                <w:lang w:val="fr-CH"/>
              </w:rPr>
              <w:t xml:space="preserve"> </w:t>
            </w:r>
            <w:proofErr w:type="spellStart"/>
            <w:r w:rsidR="00726100">
              <w:rPr>
                <w:b/>
                <w:bCs/>
                <w:position w:val="6"/>
                <w:szCs w:val="24"/>
                <w:lang w:val="fr-CH"/>
              </w:rPr>
              <w:t>June</w:t>
            </w:r>
            <w:proofErr w:type="spellEnd"/>
            <w:r w:rsidRPr="00E85629">
              <w:rPr>
                <w:b/>
                <w:bCs/>
                <w:position w:val="6"/>
                <w:szCs w:val="24"/>
                <w:lang w:val="fr-CH"/>
              </w:rPr>
              <w:t xml:space="preserve"> 201</w:t>
            </w:r>
            <w:r w:rsidR="00726100">
              <w:rPr>
                <w:b/>
                <w:bCs/>
                <w:position w:val="6"/>
                <w:szCs w:val="24"/>
                <w:lang w:val="fr-CH"/>
              </w:rPr>
              <w:t>9</w:t>
            </w:r>
          </w:p>
        </w:tc>
        <w:tc>
          <w:tcPr>
            <w:tcW w:w="3120" w:type="dxa"/>
          </w:tcPr>
          <w:p w:rsidR="005F176F" w:rsidRPr="00813E5E" w:rsidRDefault="005F176F" w:rsidP="005F176F">
            <w:pPr>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0EFD3B58" wp14:editId="23DA504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415CC" w:rsidRPr="00813E5E">
        <w:trPr>
          <w:cantSplit/>
        </w:trPr>
        <w:tc>
          <w:tcPr>
            <w:tcW w:w="6911" w:type="dxa"/>
            <w:tcBorders>
              <w:bottom w:val="single" w:sz="12" w:space="0" w:color="auto"/>
            </w:tcBorders>
          </w:tcPr>
          <w:p w:rsidR="006415CC" w:rsidRPr="00813E5E" w:rsidRDefault="006415CC">
            <w:pPr>
              <w:spacing w:before="0" w:after="48" w:line="240" w:lineRule="atLeast"/>
              <w:rPr>
                <w:b/>
                <w:smallCaps/>
                <w:szCs w:val="24"/>
              </w:rPr>
            </w:pPr>
          </w:p>
        </w:tc>
        <w:tc>
          <w:tcPr>
            <w:tcW w:w="3120" w:type="dxa"/>
            <w:tcBorders>
              <w:bottom w:val="single" w:sz="12" w:space="0" w:color="auto"/>
            </w:tcBorders>
          </w:tcPr>
          <w:p w:rsidR="006415CC" w:rsidRPr="00813E5E" w:rsidRDefault="006415CC">
            <w:pPr>
              <w:spacing w:before="0" w:line="240" w:lineRule="atLeast"/>
              <w:rPr>
                <w:szCs w:val="24"/>
              </w:rPr>
            </w:pPr>
          </w:p>
        </w:tc>
      </w:tr>
      <w:tr w:rsidR="006415CC" w:rsidRPr="00813E5E">
        <w:trPr>
          <w:cantSplit/>
        </w:trPr>
        <w:tc>
          <w:tcPr>
            <w:tcW w:w="6911" w:type="dxa"/>
            <w:tcBorders>
              <w:top w:val="single" w:sz="12" w:space="0" w:color="auto"/>
            </w:tcBorders>
          </w:tcPr>
          <w:p w:rsidR="006415CC" w:rsidRPr="00813E5E" w:rsidRDefault="006415CC" w:rsidP="00717364">
            <w:pPr>
              <w:spacing w:before="0" w:line="240" w:lineRule="atLeast"/>
              <w:rPr>
                <w:b/>
                <w:smallCaps/>
                <w:szCs w:val="24"/>
              </w:rPr>
            </w:pPr>
          </w:p>
        </w:tc>
        <w:tc>
          <w:tcPr>
            <w:tcW w:w="3120" w:type="dxa"/>
            <w:tcBorders>
              <w:top w:val="single" w:sz="12" w:space="0" w:color="auto"/>
            </w:tcBorders>
          </w:tcPr>
          <w:p w:rsidR="006415CC" w:rsidRPr="00813E5E" w:rsidRDefault="006415CC" w:rsidP="00717364">
            <w:pPr>
              <w:spacing w:before="0"/>
              <w:rPr>
                <w:szCs w:val="24"/>
              </w:rPr>
            </w:pPr>
          </w:p>
        </w:tc>
      </w:tr>
      <w:tr w:rsidR="005F176F" w:rsidRPr="00813E5E">
        <w:trPr>
          <w:cantSplit/>
          <w:trHeight w:val="23"/>
        </w:trPr>
        <w:tc>
          <w:tcPr>
            <w:tcW w:w="6911" w:type="dxa"/>
            <w:vMerge w:val="restart"/>
          </w:tcPr>
          <w:p w:rsidR="005F176F" w:rsidRPr="006415CC" w:rsidRDefault="005F176F" w:rsidP="00726100">
            <w:pPr>
              <w:tabs>
                <w:tab w:val="left" w:pos="851"/>
              </w:tabs>
              <w:spacing w:before="0" w:line="240" w:lineRule="atLeast"/>
              <w:rPr>
                <w:b/>
              </w:rPr>
            </w:pPr>
            <w:bookmarkStart w:id="2" w:name="dmeeting" w:colFirst="0" w:colLast="0"/>
            <w:bookmarkStart w:id="3" w:name="dnum" w:colFirst="1" w:colLast="1"/>
            <w:r>
              <w:rPr>
                <w:b/>
              </w:rPr>
              <w:t xml:space="preserve">Agenda item: </w:t>
            </w:r>
            <w:r w:rsidR="00E969FC">
              <w:rPr>
                <w:b/>
              </w:rPr>
              <w:t xml:space="preserve"> </w:t>
            </w:r>
            <w:r w:rsidR="00E969FC" w:rsidRPr="004A72D9">
              <w:rPr>
                <w:b/>
              </w:rPr>
              <w:t>ADM</w:t>
            </w:r>
            <w:r w:rsidR="004A72D9" w:rsidRPr="004A72D9">
              <w:rPr>
                <w:b/>
              </w:rPr>
              <w:t xml:space="preserve"> 15</w:t>
            </w:r>
          </w:p>
        </w:tc>
        <w:tc>
          <w:tcPr>
            <w:tcW w:w="3120" w:type="dxa"/>
          </w:tcPr>
          <w:p w:rsidR="005F176F" w:rsidRPr="00E85629" w:rsidRDefault="005F176F" w:rsidP="00726100">
            <w:pPr>
              <w:tabs>
                <w:tab w:val="left" w:pos="851"/>
              </w:tabs>
              <w:spacing w:before="0"/>
              <w:rPr>
                <w:b/>
              </w:rPr>
            </w:pPr>
            <w:r>
              <w:rPr>
                <w:b/>
              </w:rPr>
              <w:t>Document C1</w:t>
            </w:r>
            <w:r w:rsidR="00726100">
              <w:rPr>
                <w:b/>
              </w:rPr>
              <w:t>9</w:t>
            </w:r>
            <w:r>
              <w:rPr>
                <w:b/>
              </w:rPr>
              <w:t>/</w:t>
            </w:r>
            <w:r w:rsidR="00543E9A">
              <w:rPr>
                <w:b/>
              </w:rPr>
              <w:t>46</w:t>
            </w:r>
            <w:r>
              <w:rPr>
                <w:b/>
              </w:rPr>
              <w:t>-E</w:t>
            </w:r>
          </w:p>
        </w:tc>
      </w:tr>
      <w:tr w:rsidR="005F176F" w:rsidRPr="00813E5E">
        <w:trPr>
          <w:cantSplit/>
          <w:trHeight w:val="23"/>
        </w:trPr>
        <w:tc>
          <w:tcPr>
            <w:tcW w:w="6911" w:type="dxa"/>
            <w:vMerge/>
          </w:tcPr>
          <w:p w:rsidR="005F176F" w:rsidRPr="00813E5E" w:rsidRDefault="005F176F" w:rsidP="005F176F">
            <w:pPr>
              <w:tabs>
                <w:tab w:val="left" w:pos="851"/>
              </w:tabs>
              <w:spacing w:line="240" w:lineRule="atLeast"/>
              <w:rPr>
                <w:b/>
              </w:rPr>
            </w:pPr>
            <w:bookmarkStart w:id="4" w:name="ddate" w:colFirst="1" w:colLast="1"/>
            <w:bookmarkEnd w:id="2"/>
            <w:bookmarkEnd w:id="3"/>
          </w:p>
        </w:tc>
        <w:tc>
          <w:tcPr>
            <w:tcW w:w="3120" w:type="dxa"/>
          </w:tcPr>
          <w:p w:rsidR="005F176F" w:rsidRPr="00E85629" w:rsidRDefault="004A72D9" w:rsidP="004A72D9">
            <w:pPr>
              <w:tabs>
                <w:tab w:val="left" w:pos="993"/>
              </w:tabs>
              <w:spacing w:before="0"/>
              <w:rPr>
                <w:b/>
              </w:rPr>
            </w:pPr>
            <w:r>
              <w:rPr>
                <w:b/>
              </w:rPr>
              <w:t>23</w:t>
            </w:r>
            <w:r w:rsidR="00296B1F">
              <w:rPr>
                <w:b/>
              </w:rPr>
              <w:t xml:space="preserve"> April </w:t>
            </w:r>
            <w:r w:rsidR="005F176F">
              <w:rPr>
                <w:b/>
              </w:rPr>
              <w:t>201</w:t>
            </w:r>
            <w:r w:rsidR="00726100">
              <w:rPr>
                <w:b/>
              </w:rPr>
              <w:t>9</w:t>
            </w:r>
          </w:p>
        </w:tc>
      </w:tr>
      <w:tr w:rsidR="005F176F" w:rsidRPr="00813E5E">
        <w:trPr>
          <w:cantSplit/>
          <w:trHeight w:val="23"/>
        </w:trPr>
        <w:tc>
          <w:tcPr>
            <w:tcW w:w="6911" w:type="dxa"/>
            <w:vMerge/>
          </w:tcPr>
          <w:p w:rsidR="005F176F" w:rsidRPr="00813E5E" w:rsidRDefault="005F176F" w:rsidP="005F176F">
            <w:pPr>
              <w:tabs>
                <w:tab w:val="left" w:pos="851"/>
              </w:tabs>
              <w:spacing w:line="240" w:lineRule="atLeast"/>
              <w:rPr>
                <w:b/>
              </w:rPr>
            </w:pPr>
            <w:bookmarkStart w:id="5" w:name="dorlang" w:colFirst="1" w:colLast="1"/>
            <w:bookmarkEnd w:id="4"/>
          </w:p>
        </w:tc>
        <w:tc>
          <w:tcPr>
            <w:tcW w:w="3120" w:type="dxa"/>
          </w:tcPr>
          <w:p w:rsidR="005F176F" w:rsidRPr="00E85629" w:rsidRDefault="005F176F" w:rsidP="002F6D63">
            <w:pPr>
              <w:tabs>
                <w:tab w:val="left" w:pos="993"/>
              </w:tabs>
              <w:spacing w:before="0"/>
              <w:rPr>
                <w:b/>
              </w:rPr>
            </w:pPr>
            <w:r>
              <w:rPr>
                <w:b/>
              </w:rPr>
              <w:t>Original: English</w:t>
            </w:r>
          </w:p>
        </w:tc>
      </w:tr>
      <w:tr w:rsidR="006415CC" w:rsidRPr="00813E5E">
        <w:trPr>
          <w:cantSplit/>
        </w:trPr>
        <w:tc>
          <w:tcPr>
            <w:tcW w:w="10031" w:type="dxa"/>
            <w:gridSpan w:val="2"/>
          </w:tcPr>
          <w:p w:rsidR="006415CC" w:rsidRPr="00813E5E" w:rsidRDefault="006415CC">
            <w:pPr>
              <w:pStyle w:val="Source"/>
            </w:pPr>
            <w:bookmarkStart w:id="6" w:name="dsource" w:colFirst="0" w:colLast="0"/>
            <w:bookmarkEnd w:id="5"/>
            <w:r>
              <w:t>Report by the Secretary-General</w:t>
            </w:r>
          </w:p>
        </w:tc>
      </w:tr>
      <w:tr w:rsidR="006415CC" w:rsidRPr="00813E5E">
        <w:trPr>
          <w:cantSplit/>
        </w:trPr>
        <w:tc>
          <w:tcPr>
            <w:tcW w:w="10031" w:type="dxa"/>
            <w:gridSpan w:val="2"/>
          </w:tcPr>
          <w:p w:rsidR="006415CC" w:rsidRPr="00813E5E" w:rsidRDefault="006415CC" w:rsidP="00AF7F00">
            <w:pPr>
              <w:pStyle w:val="Title1"/>
            </w:pPr>
            <w:bookmarkStart w:id="7" w:name="dtitle1" w:colFirst="0" w:colLast="0"/>
            <w:bookmarkEnd w:id="6"/>
            <w:r>
              <w:t>THE AFTER-SERVICE HEALTH INSURANCE (ASHI) LIABI</w:t>
            </w:r>
            <w:r w:rsidR="00AF7F00">
              <w:t>LIT</w:t>
            </w:r>
            <w:r>
              <w:t>Y</w:t>
            </w:r>
          </w:p>
        </w:tc>
      </w:tr>
      <w:bookmarkEnd w:id="7"/>
    </w:tbl>
    <w:p w:rsidR="006415CC" w:rsidRPr="00813E5E" w:rsidRDefault="006415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15CC"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6415CC" w:rsidRPr="00813E5E" w:rsidRDefault="006415CC">
            <w:pPr>
              <w:pStyle w:val="Headingb"/>
            </w:pPr>
            <w:r w:rsidRPr="00813E5E">
              <w:t>Summary</w:t>
            </w:r>
          </w:p>
          <w:p w:rsidR="006415CC" w:rsidRPr="00813E5E" w:rsidRDefault="006415CC" w:rsidP="00726100">
            <w:pPr>
              <w:jc w:val="both"/>
            </w:pPr>
            <w:r w:rsidRPr="006415CC">
              <w:t>This document presents the situation of the After-Service Health Insurance (ASHI) liability as of 31 December 201</w:t>
            </w:r>
            <w:r w:rsidR="00726100">
              <w:t>8</w:t>
            </w:r>
            <w:r w:rsidRPr="006415CC">
              <w:t>, following a request made by Council-14 to receive annual reports from ITU on ASHI liability and to present cost proposals to partially fund this liability, consistent with Recommendation 6 of the External Auditor’s reports on the accounts for 2012.</w:t>
            </w:r>
          </w:p>
          <w:p w:rsidR="006415CC" w:rsidRPr="00813E5E" w:rsidRDefault="006415CC" w:rsidP="00851D0D">
            <w:pPr>
              <w:pStyle w:val="Headingb"/>
              <w:jc w:val="both"/>
            </w:pPr>
            <w:r w:rsidRPr="00813E5E">
              <w:t>Action required</w:t>
            </w:r>
          </w:p>
          <w:p w:rsidR="006415CC" w:rsidRPr="00813E5E" w:rsidRDefault="006415CC" w:rsidP="00851D0D">
            <w:pPr>
              <w:jc w:val="both"/>
            </w:pPr>
            <w:r w:rsidRPr="006415CC">
              <w:t xml:space="preserve">The Council is invited to </w:t>
            </w:r>
            <w:r w:rsidRPr="006415CC">
              <w:rPr>
                <w:b/>
                <w:bCs/>
              </w:rPr>
              <w:t>take note</w:t>
            </w:r>
            <w:r w:rsidRPr="006415CC">
              <w:t xml:space="preserve"> of this document.</w:t>
            </w:r>
          </w:p>
          <w:p w:rsidR="006415CC" w:rsidRPr="00813E5E" w:rsidRDefault="006415CC">
            <w:pPr>
              <w:pStyle w:val="Table"/>
              <w:keepNext w:val="0"/>
              <w:spacing w:before="0" w:after="0"/>
              <w:rPr>
                <w:rFonts w:ascii="Calibri" w:hAnsi="Calibri"/>
                <w:caps w:val="0"/>
                <w:sz w:val="22"/>
              </w:rPr>
            </w:pPr>
            <w:r w:rsidRPr="00813E5E">
              <w:rPr>
                <w:rFonts w:ascii="Calibri" w:hAnsi="Calibri"/>
                <w:caps w:val="0"/>
                <w:sz w:val="22"/>
              </w:rPr>
              <w:t>____________</w:t>
            </w:r>
          </w:p>
          <w:p w:rsidR="006415CC" w:rsidRPr="00813E5E" w:rsidRDefault="006415CC">
            <w:pPr>
              <w:pStyle w:val="Headingb"/>
            </w:pPr>
            <w:r w:rsidRPr="00813E5E">
              <w:t>References</w:t>
            </w:r>
          </w:p>
          <w:p w:rsidR="006415CC" w:rsidRPr="00813E5E" w:rsidRDefault="00314801" w:rsidP="00BB6F62">
            <w:pPr>
              <w:spacing w:after="120"/>
              <w:rPr>
                <w:i/>
                <w:iCs/>
              </w:rPr>
            </w:pPr>
            <w:hyperlink r:id="rId9" w:history="1">
              <w:r w:rsidR="006415CC" w:rsidRPr="0066626F">
                <w:rPr>
                  <w:rStyle w:val="Hyperlink"/>
                  <w:szCs w:val="24"/>
                </w:rPr>
                <w:t>C1</w:t>
              </w:r>
              <w:r w:rsidR="00726100">
                <w:rPr>
                  <w:rStyle w:val="Hyperlink"/>
                  <w:szCs w:val="24"/>
                </w:rPr>
                <w:t>8</w:t>
              </w:r>
              <w:r w:rsidR="006415CC" w:rsidRPr="0066626F">
                <w:rPr>
                  <w:rStyle w:val="Hyperlink"/>
                  <w:szCs w:val="24"/>
                </w:rPr>
                <w:t>/</w:t>
              </w:r>
              <w:r w:rsidR="006415CC">
                <w:rPr>
                  <w:rStyle w:val="Hyperlink"/>
                  <w:szCs w:val="24"/>
                </w:rPr>
                <w:t>4</w:t>
              </w:r>
              <w:r w:rsidR="006415CC" w:rsidRPr="0066626F">
                <w:rPr>
                  <w:rStyle w:val="Hyperlink"/>
                  <w:szCs w:val="24"/>
                </w:rPr>
                <w:t>6</w:t>
              </w:r>
            </w:hyperlink>
            <w:r w:rsidR="006415CC" w:rsidRPr="0004200C">
              <w:rPr>
                <w:color w:val="000000" w:themeColor="text1"/>
                <w:szCs w:val="24"/>
              </w:rPr>
              <w:t xml:space="preserve"> and </w:t>
            </w:r>
            <w:hyperlink r:id="rId10" w:history="1">
              <w:r w:rsidR="006415CC" w:rsidRPr="0066626F">
                <w:rPr>
                  <w:rStyle w:val="Hyperlink"/>
                  <w:szCs w:val="24"/>
                </w:rPr>
                <w:t>Decision 5</w:t>
              </w:r>
            </w:hyperlink>
            <w:r w:rsidR="006415CC" w:rsidRPr="0004200C">
              <w:rPr>
                <w:color w:val="000000" w:themeColor="text1"/>
                <w:szCs w:val="24"/>
              </w:rPr>
              <w:t xml:space="preserve"> (Rev. </w:t>
            </w:r>
            <w:r w:rsidR="00BB6F62">
              <w:rPr>
                <w:color w:val="000000" w:themeColor="text1"/>
                <w:szCs w:val="24"/>
              </w:rPr>
              <w:t>Dubai,</w:t>
            </w:r>
            <w:r w:rsidR="006415CC" w:rsidRPr="0004200C">
              <w:rPr>
                <w:color w:val="000000" w:themeColor="text1"/>
                <w:szCs w:val="24"/>
              </w:rPr>
              <w:t xml:space="preserve"> 201</w:t>
            </w:r>
            <w:r w:rsidR="00BB6F62">
              <w:rPr>
                <w:color w:val="000000" w:themeColor="text1"/>
                <w:szCs w:val="24"/>
              </w:rPr>
              <w:t>8</w:t>
            </w:r>
            <w:r w:rsidR="006415CC" w:rsidRPr="0004200C">
              <w:rPr>
                <w:color w:val="000000" w:themeColor="text1"/>
                <w:szCs w:val="24"/>
              </w:rPr>
              <w:t>)</w:t>
            </w:r>
          </w:p>
        </w:tc>
      </w:tr>
    </w:tbl>
    <w:p w:rsidR="006415CC" w:rsidRPr="006E7601" w:rsidRDefault="006415CC" w:rsidP="006415CC">
      <w:pPr>
        <w:tabs>
          <w:tab w:val="clear" w:pos="567"/>
          <w:tab w:val="clear" w:pos="1134"/>
          <w:tab w:val="clear" w:pos="1701"/>
          <w:tab w:val="clear" w:pos="2268"/>
          <w:tab w:val="clear" w:pos="2835"/>
        </w:tabs>
        <w:snapToGrid w:val="0"/>
        <w:spacing w:before="600" w:after="120"/>
        <w:jc w:val="both"/>
        <w:rPr>
          <w:b/>
          <w:bCs/>
          <w:szCs w:val="24"/>
        </w:rPr>
      </w:pPr>
      <w:bookmarkStart w:id="8" w:name="dstart"/>
      <w:bookmarkStart w:id="9" w:name="dbreak"/>
      <w:bookmarkEnd w:id="8"/>
      <w:bookmarkEnd w:id="9"/>
      <w:r>
        <w:rPr>
          <w:b/>
          <w:bCs/>
          <w:szCs w:val="24"/>
        </w:rPr>
        <w:t>1</w:t>
      </w:r>
      <w:r>
        <w:rPr>
          <w:b/>
          <w:bCs/>
          <w:szCs w:val="24"/>
        </w:rPr>
        <w:tab/>
      </w:r>
      <w:r w:rsidRPr="006E7601">
        <w:rPr>
          <w:b/>
          <w:bCs/>
          <w:szCs w:val="24"/>
        </w:rPr>
        <w:t>Introduction</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1.1</w:t>
      </w:r>
      <w:r>
        <w:rPr>
          <w:szCs w:val="24"/>
        </w:rPr>
        <w:tab/>
      </w:r>
      <w:r w:rsidRPr="006E7601">
        <w:rPr>
          <w:szCs w:val="24"/>
        </w:rPr>
        <w:t xml:space="preserve">ITU Net Assets have evolved from a positive to a negative balance due to the treatment of the ASHI obligation under IPSAS, triggering the mandatory recognition of the present value of the future obligation related to </w:t>
      </w:r>
      <w:r w:rsidRPr="00C6705D">
        <w:rPr>
          <w:szCs w:val="24"/>
        </w:rPr>
        <w:t xml:space="preserve">After-Service Health Insurance </w:t>
      </w:r>
      <w:r>
        <w:rPr>
          <w:szCs w:val="24"/>
        </w:rPr>
        <w:t>(</w:t>
      </w:r>
      <w:r w:rsidRPr="006E7601">
        <w:rPr>
          <w:szCs w:val="24"/>
        </w:rPr>
        <w:t>ASHI</w:t>
      </w:r>
      <w:r>
        <w:rPr>
          <w:szCs w:val="24"/>
        </w:rPr>
        <w:t>)</w:t>
      </w:r>
      <w:r w:rsidRPr="006E7601">
        <w:rPr>
          <w:szCs w:val="24"/>
        </w:rPr>
        <w:t>.</w:t>
      </w:r>
    </w:p>
    <w:p w:rsidR="006415CC" w:rsidRPr="00AF2E69" w:rsidRDefault="006415CC" w:rsidP="00D330EF">
      <w:pPr>
        <w:tabs>
          <w:tab w:val="clear" w:pos="567"/>
          <w:tab w:val="clear" w:pos="1134"/>
          <w:tab w:val="clear" w:pos="1701"/>
          <w:tab w:val="clear" w:pos="2268"/>
          <w:tab w:val="clear" w:pos="2835"/>
        </w:tabs>
        <w:snapToGrid w:val="0"/>
        <w:spacing w:after="120"/>
        <w:jc w:val="both"/>
        <w:rPr>
          <w:szCs w:val="24"/>
        </w:rPr>
      </w:pPr>
      <w:r>
        <w:rPr>
          <w:szCs w:val="24"/>
        </w:rPr>
        <w:t>1.2</w:t>
      </w:r>
      <w:r>
        <w:rPr>
          <w:szCs w:val="24"/>
        </w:rPr>
        <w:tab/>
      </w:r>
      <w:r w:rsidRPr="006E7601">
        <w:rPr>
          <w:szCs w:val="24"/>
        </w:rPr>
        <w:t>The ASHI program</w:t>
      </w:r>
      <w:r>
        <w:rPr>
          <w:szCs w:val="24"/>
        </w:rPr>
        <w:t>me</w:t>
      </w:r>
      <w:r w:rsidRPr="006E7601">
        <w:rPr>
          <w:szCs w:val="24"/>
        </w:rPr>
        <w:t xml:space="preserve">, </w:t>
      </w:r>
      <w:r w:rsidR="00D330EF">
        <w:rPr>
          <w:szCs w:val="24"/>
        </w:rPr>
        <w:t xml:space="preserve">which was </w:t>
      </w:r>
      <w:r w:rsidR="002F098E" w:rsidRPr="006E7601">
        <w:rPr>
          <w:szCs w:val="24"/>
        </w:rPr>
        <w:t xml:space="preserve">set </w:t>
      </w:r>
      <w:r w:rsidR="002F098E">
        <w:rPr>
          <w:szCs w:val="24"/>
        </w:rPr>
        <w:t xml:space="preserve">up </w:t>
      </w:r>
      <w:r w:rsidR="002F098E" w:rsidRPr="006E7601">
        <w:rPr>
          <w:szCs w:val="24"/>
        </w:rPr>
        <w:t>in 1967</w:t>
      </w:r>
      <w:r w:rsidR="002F098E">
        <w:rPr>
          <w:szCs w:val="24"/>
        </w:rPr>
        <w:t xml:space="preserve">, </w:t>
      </w:r>
      <w:r w:rsidRPr="006E7601">
        <w:rPr>
          <w:szCs w:val="24"/>
        </w:rPr>
        <w:t>provid</w:t>
      </w:r>
      <w:r w:rsidR="002F098E">
        <w:rPr>
          <w:szCs w:val="24"/>
        </w:rPr>
        <w:t>es</w:t>
      </w:r>
      <w:r w:rsidRPr="006E7601">
        <w:rPr>
          <w:szCs w:val="24"/>
        </w:rPr>
        <w:t xml:space="preserve"> a continuation of </w:t>
      </w:r>
      <w:r>
        <w:rPr>
          <w:szCs w:val="24"/>
        </w:rPr>
        <w:t>h</w:t>
      </w:r>
      <w:r w:rsidRPr="006E7601">
        <w:rPr>
          <w:szCs w:val="24"/>
        </w:rPr>
        <w:t xml:space="preserve">ealth </w:t>
      </w:r>
      <w:r>
        <w:rPr>
          <w:szCs w:val="24"/>
        </w:rPr>
        <w:t>i</w:t>
      </w:r>
      <w:r w:rsidRPr="006E7601">
        <w:rPr>
          <w:szCs w:val="24"/>
        </w:rPr>
        <w:t>nsurance after retirement for eligible employees in the form of a self-funded program</w:t>
      </w:r>
      <w:r>
        <w:rPr>
          <w:szCs w:val="24"/>
        </w:rPr>
        <w:t>me</w:t>
      </w:r>
      <w:r w:rsidRPr="006E7601">
        <w:rPr>
          <w:szCs w:val="24"/>
        </w:rPr>
        <w:t xml:space="preserve">. Since then, </w:t>
      </w:r>
      <w:r w:rsidR="002F098E" w:rsidRPr="006E7601">
        <w:rPr>
          <w:szCs w:val="24"/>
        </w:rPr>
        <w:t>the increase of the population of retirees covered and the increase in medical costs</w:t>
      </w:r>
      <w:r w:rsidR="002F098E">
        <w:rPr>
          <w:szCs w:val="24"/>
        </w:rPr>
        <w:t xml:space="preserve"> ha</w:t>
      </w:r>
      <w:r w:rsidR="00D330EF">
        <w:rPr>
          <w:szCs w:val="24"/>
        </w:rPr>
        <w:t>ve</w:t>
      </w:r>
      <w:r w:rsidR="002F098E">
        <w:rPr>
          <w:szCs w:val="24"/>
        </w:rPr>
        <w:t xml:space="preserve"> </w:t>
      </w:r>
      <w:r w:rsidR="00D8512D">
        <w:rPr>
          <w:szCs w:val="24"/>
        </w:rPr>
        <w:t>triggered</w:t>
      </w:r>
      <w:r w:rsidR="002F098E">
        <w:rPr>
          <w:szCs w:val="24"/>
        </w:rPr>
        <w:t xml:space="preserve"> a </w:t>
      </w:r>
      <w:r w:rsidR="002F098E" w:rsidRPr="006E7601">
        <w:rPr>
          <w:szCs w:val="24"/>
        </w:rPr>
        <w:t>considerably increase</w:t>
      </w:r>
      <w:r w:rsidR="002F098E">
        <w:rPr>
          <w:szCs w:val="24"/>
        </w:rPr>
        <w:t xml:space="preserve"> </w:t>
      </w:r>
      <w:r w:rsidR="00D330EF">
        <w:rPr>
          <w:szCs w:val="24"/>
        </w:rPr>
        <w:t>in</w:t>
      </w:r>
      <w:r w:rsidR="002F098E">
        <w:rPr>
          <w:szCs w:val="24"/>
        </w:rPr>
        <w:t xml:space="preserve"> the</w:t>
      </w:r>
      <w:r w:rsidRPr="006E7601">
        <w:rPr>
          <w:szCs w:val="24"/>
        </w:rPr>
        <w:t xml:space="preserve"> related costs shared between the Union and the staff</w:t>
      </w:r>
      <w:r w:rsidR="00BA260F">
        <w:rPr>
          <w:szCs w:val="24"/>
        </w:rPr>
        <w:t>.</w:t>
      </w:r>
    </w:p>
    <w:p w:rsidR="006415CC" w:rsidRPr="006E7601" w:rsidRDefault="006415CC" w:rsidP="00A314D7">
      <w:pPr>
        <w:tabs>
          <w:tab w:val="clear" w:pos="567"/>
          <w:tab w:val="clear" w:pos="1134"/>
          <w:tab w:val="clear" w:pos="1701"/>
          <w:tab w:val="clear" w:pos="2268"/>
          <w:tab w:val="clear" w:pos="2835"/>
        </w:tabs>
        <w:snapToGrid w:val="0"/>
        <w:spacing w:after="120"/>
        <w:jc w:val="both"/>
        <w:rPr>
          <w:szCs w:val="24"/>
        </w:rPr>
      </w:pPr>
      <w:r>
        <w:rPr>
          <w:szCs w:val="24"/>
        </w:rPr>
        <w:t>1.</w:t>
      </w:r>
      <w:r w:rsidR="00AF2E69">
        <w:rPr>
          <w:szCs w:val="24"/>
        </w:rPr>
        <w:t>3</w:t>
      </w:r>
      <w:r>
        <w:rPr>
          <w:szCs w:val="24"/>
        </w:rPr>
        <w:tab/>
      </w:r>
      <w:r w:rsidR="00A564CB">
        <w:rPr>
          <w:szCs w:val="24"/>
        </w:rPr>
        <w:t>T</w:t>
      </w:r>
      <w:r w:rsidR="00F14916">
        <w:rPr>
          <w:szCs w:val="24"/>
        </w:rPr>
        <w:t xml:space="preserve">he ASHI liability </w:t>
      </w:r>
      <w:r w:rsidR="00F14916" w:rsidRPr="00F14916">
        <w:rPr>
          <w:szCs w:val="24"/>
        </w:rPr>
        <w:t>reflect</w:t>
      </w:r>
      <w:r w:rsidR="001F72FB">
        <w:rPr>
          <w:szCs w:val="24"/>
        </w:rPr>
        <w:t>s</w:t>
      </w:r>
      <w:r w:rsidR="00F14916" w:rsidRPr="00F14916">
        <w:rPr>
          <w:szCs w:val="24"/>
        </w:rPr>
        <w:t xml:space="preserve"> at the closing date the present value of what ITU should pay today in case of cessation of activity</w:t>
      </w:r>
      <w:r w:rsidR="00A314D7">
        <w:rPr>
          <w:szCs w:val="24"/>
        </w:rPr>
        <w:t xml:space="preserve">. </w:t>
      </w:r>
      <w:r w:rsidR="00F14916" w:rsidRPr="006E7601">
        <w:rPr>
          <w:szCs w:val="24"/>
        </w:rPr>
        <w:t xml:space="preserve"> </w:t>
      </w:r>
      <w:r w:rsidRPr="006E7601">
        <w:rPr>
          <w:szCs w:val="24"/>
        </w:rPr>
        <w:t xml:space="preserve">Although this situation is highly improbable, the Union is aiming to increase the fund coverage and thus reduce the related obligation. Actions have been taken in order to return to a situation where the </w:t>
      </w:r>
      <w:r>
        <w:rPr>
          <w:szCs w:val="24"/>
        </w:rPr>
        <w:t>h</w:t>
      </w:r>
      <w:r w:rsidRPr="006E7601">
        <w:rPr>
          <w:szCs w:val="24"/>
        </w:rPr>
        <w:t xml:space="preserve">ealth </w:t>
      </w:r>
      <w:r>
        <w:rPr>
          <w:szCs w:val="24"/>
        </w:rPr>
        <w:t>i</w:t>
      </w:r>
      <w:r w:rsidRPr="006E7601">
        <w:rPr>
          <w:szCs w:val="24"/>
        </w:rPr>
        <w:t>nsurance plan presents surpluses in order to ensure the coverage on the pay-as-you-go basis and create resources available to fund the actuarial liability.</w:t>
      </w:r>
    </w:p>
    <w:p w:rsidR="00374AD4" w:rsidRDefault="006415CC" w:rsidP="00574E74">
      <w:pPr>
        <w:tabs>
          <w:tab w:val="clear" w:pos="567"/>
          <w:tab w:val="clear" w:pos="1134"/>
          <w:tab w:val="clear" w:pos="1701"/>
          <w:tab w:val="clear" w:pos="2268"/>
          <w:tab w:val="clear" w:pos="2835"/>
        </w:tabs>
        <w:snapToGrid w:val="0"/>
        <w:spacing w:after="120"/>
        <w:jc w:val="both"/>
        <w:rPr>
          <w:szCs w:val="24"/>
        </w:rPr>
      </w:pPr>
      <w:r>
        <w:rPr>
          <w:szCs w:val="24"/>
        </w:rPr>
        <w:t>1.</w:t>
      </w:r>
      <w:r w:rsidR="00AF2E69">
        <w:rPr>
          <w:szCs w:val="24"/>
        </w:rPr>
        <w:t>4</w:t>
      </w:r>
      <w:r>
        <w:rPr>
          <w:szCs w:val="24"/>
        </w:rPr>
        <w:tab/>
      </w:r>
      <w:r w:rsidRPr="006E7601">
        <w:rPr>
          <w:szCs w:val="24"/>
        </w:rPr>
        <w:t>The ASHI</w:t>
      </w:r>
      <w:r>
        <w:rPr>
          <w:szCs w:val="24"/>
        </w:rPr>
        <w:t>-</w:t>
      </w:r>
      <w:r w:rsidRPr="006E7601">
        <w:rPr>
          <w:szCs w:val="24"/>
        </w:rPr>
        <w:t xml:space="preserve">related obligation as of 31 </w:t>
      </w:r>
      <w:r>
        <w:rPr>
          <w:szCs w:val="24"/>
        </w:rPr>
        <w:t>December 201</w:t>
      </w:r>
      <w:r w:rsidR="00726100">
        <w:rPr>
          <w:szCs w:val="24"/>
        </w:rPr>
        <w:t>8</w:t>
      </w:r>
      <w:r>
        <w:rPr>
          <w:szCs w:val="24"/>
        </w:rPr>
        <w:t xml:space="preserve"> amounts to CHF </w:t>
      </w:r>
      <w:r w:rsidR="00726100">
        <w:rPr>
          <w:szCs w:val="24"/>
        </w:rPr>
        <w:t>552</w:t>
      </w:r>
      <w:r>
        <w:rPr>
          <w:szCs w:val="24"/>
        </w:rPr>
        <w:t>.</w:t>
      </w:r>
      <w:r w:rsidR="00DE0646">
        <w:rPr>
          <w:szCs w:val="24"/>
        </w:rPr>
        <w:t>2</w:t>
      </w:r>
      <w:r w:rsidR="00726100">
        <w:rPr>
          <w:szCs w:val="24"/>
        </w:rPr>
        <w:t>4</w:t>
      </w:r>
      <w:r w:rsidRPr="006E7601">
        <w:rPr>
          <w:szCs w:val="24"/>
        </w:rPr>
        <w:t xml:space="preserve"> million. Thi</w:t>
      </w:r>
      <w:r>
        <w:rPr>
          <w:szCs w:val="24"/>
        </w:rPr>
        <w:t xml:space="preserve">s significant </w:t>
      </w:r>
      <w:r w:rsidR="00726100">
        <w:rPr>
          <w:szCs w:val="24"/>
        </w:rPr>
        <w:t>decrease</w:t>
      </w:r>
      <w:r>
        <w:rPr>
          <w:szCs w:val="24"/>
        </w:rPr>
        <w:t xml:space="preserve"> from CHF </w:t>
      </w:r>
      <w:r w:rsidR="00726100">
        <w:rPr>
          <w:szCs w:val="24"/>
        </w:rPr>
        <w:t>617</w:t>
      </w:r>
      <w:r>
        <w:rPr>
          <w:szCs w:val="24"/>
        </w:rPr>
        <w:t>.</w:t>
      </w:r>
      <w:r w:rsidR="00726100">
        <w:rPr>
          <w:szCs w:val="24"/>
        </w:rPr>
        <w:t xml:space="preserve">25 </w:t>
      </w:r>
      <w:r w:rsidRPr="006E7601">
        <w:rPr>
          <w:szCs w:val="24"/>
        </w:rPr>
        <w:t>million at the end of 201</w:t>
      </w:r>
      <w:r w:rsidR="00726100">
        <w:rPr>
          <w:szCs w:val="24"/>
        </w:rPr>
        <w:t>7</w:t>
      </w:r>
      <w:r w:rsidR="00DE0646">
        <w:rPr>
          <w:szCs w:val="24"/>
        </w:rPr>
        <w:t xml:space="preserve"> </w:t>
      </w:r>
      <w:r w:rsidR="00726100">
        <w:rPr>
          <w:szCs w:val="24"/>
        </w:rPr>
        <w:t xml:space="preserve">to CHF 552.24 million in 2018 </w:t>
      </w:r>
      <w:r w:rsidR="00DE0646">
        <w:rPr>
          <w:szCs w:val="24"/>
        </w:rPr>
        <w:t xml:space="preserve">could </w:t>
      </w:r>
      <w:r w:rsidR="00DE0646">
        <w:rPr>
          <w:szCs w:val="24"/>
        </w:rPr>
        <w:lastRenderedPageBreak/>
        <w:t>be explain</w:t>
      </w:r>
      <w:r w:rsidR="002346D0">
        <w:rPr>
          <w:szCs w:val="24"/>
        </w:rPr>
        <w:t>ed</w:t>
      </w:r>
      <w:r w:rsidR="00DE0646">
        <w:rPr>
          <w:szCs w:val="24"/>
        </w:rPr>
        <w:t xml:space="preserve"> by different factors. One of them is the</w:t>
      </w:r>
      <w:r w:rsidRPr="006E7601">
        <w:rPr>
          <w:szCs w:val="24"/>
        </w:rPr>
        <w:t xml:space="preserve"> </w:t>
      </w:r>
      <w:r w:rsidR="00726100">
        <w:rPr>
          <w:szCs w:val="24"/>
        </w:rPr>
        <w:t>increase fr</w:t>
      </w:r>
      <w:r w:rsidR="00143256">
        <w:rPr>
          <w:szCs w:val="24"/>
        </w:rPr>
        <w:t>om</w:t>
      </w:r>
      <w:r w:rsidR="00DE0646">
        <w:rPr>
          <w:szCs w:val="24"/>
        </w:rPr>
        <w:t xml:space="preserve"> 0.9</w:t>
      </w:r>
      <w:r w:rsidR="00726100">
        <w:rPr>
          <w:szCs w:val="24"/>
        </w:rPr>
        <w:t>0</w:t>
      </w:r>
      <w:r w:rsidR="00574E74">
        <w:rPr>
          <w:szCs w:val="24"/>
        </w:rPr>
        <w:t xml:space="preserve"> per cent</w:t>
      </w:r>
      <w:r w:rsidR="00DE0646">
        <w:rPr>
          <w:szCs w:val="24"/>
        </w:rPr>
        <w:t xml:space="preserve"> to </w:t>
      </w:r>
      <w:r w:rsidR="00726100">
        <w:rPr>
          <w:szCs w:val="24"/>
        </w:rPr>
        <w:t>1</w:t>
      </w:r>
      <w:r w:rsidR="00DE0646">
        <w:rPr>
          <w:szCs w:val="24"/>
        </w:rPr>
        <w:t>.</w:t>
      </w:r>
      <w:r w:rsidR="00726100">
        <w:rPr>
          <w:szCs w:val="24"/>
        </w:rPr>
        <w:t>2</w:t>
      </w:r>
      <w:r w:rsidR="00DE0646">
        <w:rPr>
          <w:szCs w:val="24"/>
        </w:rPr>
        <w:t>0</w:t>
      </w:r>
      <w:r w:rsidR="00574E74">
        <w:rPr>
          <w:szCs w:val="24"/>
        </w:rPr>
        <w:t xml:space="preserve"> per cent</w:t>
      </w:r>
      <w:r w:rsidRPr="006E7601">
        <w:rPr>
          <w:szCs w:val="24"/>
        </w:rPr>
        <w:t xml:space="preserve"> </w:t>
      </w:r>
      <w:r>
        <w:rPr>
          <w:szCs w:val="24"/>
        </w:rPr>
        <w:t>of</w:t>
      </w:r>
      <w:r w:rsidRPr="006E7601">
        <w:rPr>
          <w:szCs w:val="24"/>
        </w:rPr>
        <w:t xml:space="preserve"> the discount rate used to calculate the present value of the future cumulated claims.</w:t>
      </w:r>
    </w:p>
    <w:p w:rsidR="00143256" w:rsidRDefault="00E969FC" w:rsidP="00574E74">
      <w:pPr>
        <w:tabs>
          <w:tab w:val="clear" w:pos="567"/>
          <w:tab w:val="clear" w:pos="1134"/>
          <w:tab w:val="clear" w:pos="1701"/>
          <w:tab w:val="clear" w:pos="2268"/>
          <w:tab w:val="clear" w:pos="2835"/>
        </w:tabs>
        <w:snapToGrid w:val="0"/>
        <w:spacing w:after="120"/>
        <w:jc w:val="both"/>
        <w:rPr>
          <w:szCs w:val="24"/>
        </w:rPr>
      </w:pPr>
      <w:r>
        <w:rPr>
          <w:szCs w:val="24"/>
        </w:rPr>
        <w:t>1.5</w:t>
      </w:r>
      <w:r>
        <w:rPr>
          <w:szCs w:val="24"/>
        </w:rPr>
        <w:tab/>
      </w:r>
      <w:r w:rsidR="00143256">
        <w:rPr>
          <w:szCs w:val="24"/>
        </w:rPr>
        <w:t>Nevertheless</w:t>
      </w:r>
      <w:r>
        <w:rPr>
          <w:szCs w:val="24"/>
        </w:rPr>
        <w:t>,</w:t>
      </w:r>
      <w:r w:rsidR="00143256">
        <w:rPr>
          <w:szCs w:val="24"/>
        </w:rPr>
        <w:t xml:space="preserve"> </w:t>
      </w:r>
      <w:r>
        <w:rPr>
          <w:szCs w:val="24"/>
        </w:rPr>
        <w:t>t</w:t>
      </w:r>
      <w:r w:rsidR="00143256">
        <w:rPr>
          <w:szCs w:val="24"/>
        </w:rPr>
        <w:t xml:space="preserve">he </w:t>
      </w:r>
      <w:r w:rsidR="00726100">
        <w:rPr>
          <w:szCs w:val="24"/>
        </w:rPr>
        <w:t>decrease</w:t>
      </w:r>
      <w:r w:rsidR="00143256">
        <w:rPr>
          <w:szCs w:val="24"/>
        </w:rPr>
        <w:t xml:space="preserve"> </w:t>
      </w:r>
      <w:r>
        <w:rPr>
          <w:szCs w:val="24"/>
        </w:rPr>
        <w:t>in 201</w:t>
      </w:r>
      <w:r w:rsidR="00726100">
        <w:rPr>
          <w:szCs w:val="24"/>
        </w:rPr>
        <w:t>8</w:t>
      </w:r>
      <w:r>
        <w:rPr>
          <w:szCs w:val="24"/>
        </w:rPr>
        <w:t xml:space="preserve"> </w:t>
      </w:r>
      <w:r w:rsidR="00143256">
        <w:rPr>
          <w:szCs w:val="24"/>
        </w:rPr>
        <w:t xml:space="preserve">is </w:t>
      </w:r>
      <w:r w:rsidR="00726100">
        <w:rPr>
          <w:szCs w:val="24"/>
        </w:rPr>
        <w:t xml:space="preserve">also </w:t>
      </w:r>
      <w:r w:rsidR="00143256">
        <w:rPr>
          <w:szCs w:val="24"/>
        </w:rPr>
        <w:t xml:space="preserve">due </w:t>
      </w:r>
      <w:r>
        <w:rPr>
          <w:szCs w:val="24"/>
        </w:rPr>
        <w:t xml:space="preserve">to </w:t>
      </w:r>
      <w:r w:rsidR="00143256">
        <w:rPr>
          <w:szCs w:val="24"/>
        </w:rPr>
        <w:t xml:space="preserve">the change of the </w:t>
      </w:r>
      <w:r w:rsidR="00143256" w:rsidRPr="00726100">
        <w:rPr>
          <w:szCs w:val="24"/>
        </w:rPr>
        <w:t xml:space="preserve">assumptions </w:t>
      </w:r>
      <w:r w:rsidR="00726100" w:rsidRPr="00726100">
        <w:rPr>
          <w:szCs w:val="24"/>
        </w:rPr>
        <w:t>i</w:t>
      </w:r>
      <w:r w:rsidR="00726100" w:rsidRPr="00726100">
        <w:t>ncluding the new medical claims table reflecting the good claims experience in the recent past</w:t>
      </w:r>
      <w:r w:rsidR="00726100">
        <w:t>.</w:t>
      </w:r>
    </w:p>
    <w:p w:rsidR="00C7530D" w:rsidRDefault="00C67E33" w:rsidP="0030265B">
      <w:pPr>
        <w:snapToGrid w:val="0"/>
        <w:spacing w:before="240"/>
        <w:jc w:val="both"/>
        <w:rPr>
          <w:lang w:val="en-US"/>
        </w:rPr>
      </w:pPr>
      <w:r>
        <w:rPr>
          <w:szCs w:val="24"/>
        </w:rPr>
        <w:t>1.</w:t>
      </w:r>
      <w:r w:rsidR="00E969FC">
        <w:rPr>
          <w:szCs w:val="24"/>
        </w:rPr>
        <w:t>6</w:t>
      </w:r>
      <w:r>
        <w:rPr>
          <w:szCs w:val="24"/>
        </w:rPr>
        <w:tab/>
      </w:r>
      <w:r w:rsidR="00726100">
        <w:rPr>
          <w:szCs w:val="24"/>
        </w:rPr>
        <w:t xml:space="preserve">Since 2014, in a view of </w:t>
      </w:r>
      <w:r w:rsidRPr="006E7601">
        <w:rPr>
          <w:szCs w:val="24"/>
        </w:rPr>
        <w:t>optimiz</w:t>
      </w:r>
      <w:r w:rsidR="00726100">
        <w:rPr>
          <w:szCs w:val="24"/>
        </w:rPr>
        <w:t>ing</w:t>
      </w:r>
      <w:r w:rsidRPr="006E7601">
        <w:rPr>
          <w:szCs w:val="24"/>
        </w:rPr>
        <w:t xml:space="preserve"> its cost containment, ITU implemented a staff </w:t>
      </w:r>
      <w:r>
        <w:rPr>
          <w:szCs w:val="24"/>
        </w:rPr>
        <w:t>h</w:t>
      </w:r>
      <w:r w:rsidRPr="006E7601">
        <w:rPr>
          <w:szCs w:val="24"/>
        </w:rPr>
        <w:t xml:space="preserve">ealth </w:t>
      </w:r>
      <w:r>
        <w:rPr>
          <w:szCs w:val="24"/>
        </w:rPr>
        <w:t>i</w:t>
      </w:r>
      <w:r w:rsidRPr="006E7601">
        <w:rPr>
          <w:szCs w:val="24"/>
        </w:rPr>
        <w:t xml:space="preserve">nsurance </w:t>
      </w:r>
      <w:r>
        <w:rPr>
          <w:szCs w:val="24"/>
        </w:rPr>
        <w:t>s</w:t>
      </w:r>
      <w:r w:rsidRPr="006E7601">
        <w:rPr>
          <w:szCs w:val="24"/>
        </w:rPr>
        <w:t>cheme called the ITU Collective Medical Insurance Plan (CMIP). The plan, administered by ITU, is based on a contract signed with the Companies Cigna/</w:t>
      </w:r>
      <w:proofErr w:type="spellStart"/>
      <w:r w:rsidRPr="006E7601">
        <w:rPr>
          <w:szCs w:val="24"/>
        </w:rPr>
        <w:t>Vanbreda</w:t>
      </w:r>
      <w:proofErr w:type="spellEnd"/>
      <w:r w:rsidRPr="006E7601">
        <w:rPr>
          <w:szCs w:val="24"/>
        </w:rPr>
        <w:t xml:space="preserve"> International, Cigna being the insurer and Cigna/</w:t>
      </w:r>
      <w:proofErr w:type="spellStart"/>
      <w:r w:rsidRPr="006E7601">
        <w:rPr>
          <w:szCs w:val="24"/>
        </w:rPr>
        <w:t>Vanbreda</w:t>
      </w:r>
      <w:proofErr w:type="spellEnd"/>
      <w:r w:rsidRPr="006E7601">
        <w:rPr>
          <w:szCs w:val="24"/>
        </w:rPr>
        <w:t xml:space="preserve"> </w:t>
      </w:r>
      <w:r>
        <w:rPr>
          <w:szCs w:val="24"/>
        </w:rPr>
        <w:t>being the claims administrator.</w:t>
      </w:r>
      <w:r w:rsidR="00543E9A">
        <w:rPr>
          <w:szCs w:val="24"/>
        </w:rPr>
        <w:t xml:space="preserve"> </w:t>
      </w:r>
      <w:r w:rsidR="00C7530D" w:rsidRPr="007050AA">
        <w:rPr>
          <w:lang w:val="en-US"/>
        </w:rPr>
        <w:t>The decision o</w:t>
      </w:r>
      <w:r w:rsidR="000D5628">
        <w:rPr>
          <w:lang w:val="en-US"/>
        </w:rPr>
        <w:t>n</w:t>
      </w:r>
      <w:r w:rsidR="00C7530D" w:rsidRPr="007050AA">
        <w:rPr>
          <w:lang w:val="en-US"/>
        </w:rPr>
        <w:t xml:space="preserve"> the arbitration between ITU and ILO </w:t>
      </w:r>
      <w:r w:rsidR="000D5628">
        <w:rPr>
          <w:lang w:val="en-US"/>
        </w:rPr>
        <w:t xml:space="preserve">with regard to </w:t>
      </w:r>
      <w:r w:rsidR="00C7530D" w:rsidRPr="007050AA">
        <w:rPr>
          <w:lang w:val="en-US"/>
        </w:rPr>
        <w:t xml:space="preserve">the </w:t>
      </w:r>
      <w:r w:rsidR="00F12FF6">
        <w:rPr>
          <w:lang w:val="en-US"/>
        </w:rPr>
        <w:t xml:space="preserve">splitting of the guarantee fund, following the ITU/ILO separation, </w:t>
      </w:r>
      <w:r w:rsidR="000D5628">
        <w:rPr>
          <w:lang w:val="en-US"/>
        </w:rPr>
        <w:t xml:space="preserve">was made </w:t>
      </w:r>
      <w:r w:rsidR="00C7530D" w:rsidRPr="007050AA">
        <w:rPr>
          <w:lang w:val="en-US"/>
        </w:rPr>
        <w:t>in July</w:t>
      </w:r>
      <w:r w:rsidR="00C7530D">
        <w:rPr>
          <w:lang w:val="en-US"/>
        </w:rPr>
        <w:t xml:space="preserve"> 2018</w:t>
      </w:r>
      <w:r w:rsidR="00C7530D" w:rsidRPr="007050AA">
        <w:rPr>
          <w:lang w:val="en-US"/>
        </w:rPr>
        <w:t xml:space="preserve">. An amount of </w:t>
      </w:r>
      <w:r w:rsidR="00C7530D" w:rsidRPr="005D437A">
        <w:rPr>
          <w:lang w:val="en-US"/>
        </w:rPr>
        <w:t xml:space="preserve">USD 9.4 </w:t>
      </w:r>
      <w:proofErr w:type="gramStart"/>
      <w:r w:rsidR="00C7530D" w:rsidRPr="005D437A">
        <w:rPr>
          <w:lang w:val="en-US"/>
        </w:rPr>
        <w:t>million</w:t>
      </w:r>
      <w:proofErr w:type="gramEnd"/>
      <w:r w:rsidR="00C7530D" w:rsidRPr="005D437A">
        <w:rPr>
          <w:lang w:val="en-US"/>
        </w:rPr>
        <w:t xml:space="preserve"> has been paid </w:t>
      </w:r>
      <w:r w:rsidR="0030265B">
        <w:rPr>
          <w:lang w:val="en-US"/>
        </w:rPr>
        <w:t>by the ILO to</w:t>
      </w:r>
      <w:r w:rsidR="00C7530D" w:rsidRPr="005D437A">
        <w:rPr>
          <w:lang w:val="en-US"/>
        </w:rPr>
        <w:t xml:space="preserve"> ITU</w:t>
      </w:r>
      <w:r w:rsidR="00C7530D" w:rsidRPr="007050AA">
        <w:rPr>
          <w:lang w:val="en-US"/>
        </w:rPr>
        <w:t>. The amount has been allocated to the guarantee fund of the health insurance scheme (CMIP).</w:t>
      </w:r>
    </w:p>
    <w:p w:rsidR="00543E9A" w:rsidRDefault="00143256" w:rsidP="00E969FC">
      <w:pPr>
        <w:snapToGrid w:val="0"/>
        <w:spacing w:after="120"/>
        <w:jc w:val="both"/>
        <w:rPr>
          <w:szCs w:val="24"/>
        </w:rPr>
      </w:pPr>
      <w:r>
        <w:rPr>
          <w:szCs w:val="24"/>
        </w:rPr>
        <w:t>1.</w:t>
      </w:r>
      <w:r w:rsidR="00E969FC">
        <w:rPr>
          <w:szCs w:val="24"/>
        </w:rPr>
        <w:t>7</w:t>
      </w:r>
      <w:r>
        <w:rPr>
          <w:szCs w:val="24"/>
        </w:rPr>
        <w:tab/>
      </w:r>
      <w:r w:rsidR="006415CC" w:rsidRPr="006E7601">
        <w:rPr>
          <w:szCs w:val="24"/>
        </w:rPr>
        <w:t>ITU is committed to continue funding the ASHI obligation on a long</w:t>
      </w:r>
      <w:r w:rsidR="006415CC">
        <w:rPr>
          <w:szCs w:val="24"/>
        </w:rPr>
        <w:t>-</w:t>
      </w:r>
      <w:r w:rsidR="006415CC" w:rsidRPr="006E7601">
        <w:rPr>
          <w:szCs w:val="24"/>
        </w:rPr>
        <w:t>term basis, while focusing its effort</w:t>
      </w:r>
      <w:r w:rsidR="00E969FC">
        <w:rPr>
          <w:szCs w:val="24"/>
        </w:rPr>
        <w:t>s</w:t>
      </w:r>
      <w:r w:rsidR="006415CC" w:rsidRPr="006E7601">
        <w:rPr>
          <w:szCs w:val="24"/>
        </w:rPr>
        <w:t xml:space="preserve"> on financing the </w:t>
      </w:r>
      <w:r w:rsidR="006415CC">
        <w:rPr>
          <w:szCs w:val="24"/>
        </w:rPr>
        <w:t>h</w:t>
      </w:r>
      <w:r w:rsidR="006415CC" w:rsidRPr="006E7601">
        <w:rPr>
          <w:szCs w:val="24"/>
        </w:rPr>
        <w:t xml:space="preserve">ealth </w:t>
      </w:r>
      <w:r w:rsidR="006415CC">
        <w:rPr>
          <w:szCs w:val="24"/>
        </w:rPr>
        <w:t>i</w:t>
      </w:r>
      <w:r w:rsidR="006415CC" w:rsidRPr="006E7601">
        <w:rPr>
          <w:szCs w:val="24"/>
        </w:rPr>
        <w:t xml:space="preserve">nsurance scheme on a pay-as-you-go basis. It is to be noted that the estimated </w:t>
      </w:r>
      <w:r w:rsidR="006415CC">
        <w:rPr>
          <w:szCs w:val="24"/>
        </w:rPr>
        <w:t>h</w:t>
      </w:r>
      <w:r w:rsidR="006415CC" w:rsidRPr="006E7601">
        <w:rPr>
          <w:szCs w:val="24"/>
        </w:rPr>
        <w:t xml:space="preserve">ealth </w:t>
      </w:r>
      <w:r w:rsidR="006415CC">
        <w:rPr>
          <w:szCs w:val="24"/>
        </w:rPr>
        <w:t>i</w:t>
      </w:r>
      <w:r w:rsidR="006415CC" w:rsidRPr="006E7601">
        <w:rPr>
          <w:szCs w:val="24"/>
        </w:rPr>
        <w:t>nsurance contributions from ITU related to active</w:t>
      </w:r>
      <w:r w:rsidR="006415CC">
        <w:rPr>
          <w:szCs w:val="24"/>
        </w:rPr>
        <w:t xml:space="preserve"> staff</w:t>
      </w:r>
      <w:r w:rsidR="006415CC" w:rsidRPr="006E7601">
        <w:rPr>
          <w:szCs w:val="24"/>
        </w:rPr>
        <w:t xml:space="preserve"> as well as retirees are included in the biennium budget presented to the Council.</w:t>
      </w:r>
    </w:p>
    <w:p w:rsidR="006415CC" w:rsidRPr="001551ED" w:rsidRDefault="006415CC" w:rsidP="00717364">
      <w:pPr>
        <w:tabs>
          <w:tab w:val="clear" w:pos="567"/>
          <w:tab w:val="clear" w:pos="1134"/>
          <w:tab w:val="clear" w:pos="1701"/>
          <w:tab w:val="clear" w:pos="2268"/>
          <w:tab w:val="clear" w:pos="2835"/>
        </w:tabs>
        <w:snapToGrid w:val="0"/>
        <w:spacing w:before="360" w:after="120"/>
        <w:jc w:val="both"/>
        <w:rPr>
          <w:b/>
          <w:bCs/>
          <w:szCs w:val="24"/>
        </w:rPr>
      </w:pPr>
      <w:r>
        <w:rPr>
          <w:b/>
          <w:bCs/>
          <w:szCs w:val="24"/>
        </w:rPr>
        <w:t>2</w:t>
      </w:r>
      <w:r>
        <w:rPr>
          <w:b/>
          <w:bCs/>
          <w:szCs w:val="24"/>
        </w:rPr>
        <w:tab/>
      </w:r>
      <w:r w:rsidRPr="001551ED">
        <w:rPr>
          <w:b/>
          <w:bCs/>
          <w:szCs w:val="24"/>
        </w:rPr>
        <w:t>Evolution of the ASHI liability in 201</w:t>
      </w:r>
      <w:r w:rsidR="00C7530D">
        <w:rPr>
          <w:b/>
          <w:bCs/>
          <w:szCs w:val="24"/>
        </w:rPr>
        <w:t>8</w:t>
      </w:r>
    </w:p>
    <w:p w:rsidR="006415CC" w:rsidRDefault="006415CC" w:rsidP="00BB15BB">
      <w:pPr>
        <w:tabs>
          <w:tab w:val="clear" w:pos="567"/>
          <w:tab w:val="clear" w:pos="1134"/>
          <w:tab w:val="clear" w:pos="1701"/>
          <w:tab w:val="clear" w:pos="2268"/>
          <w:tab w:val="clear" w:pos="2835"/>
        </w:tabs>
        <w:snapToGrid w:val="0"/>
        <w:spacing w:after="360"/>
        <w:jc w:val="both"/>
        <w:rPr>
          <w:szCs w:val="24"/>
        </w:rPr>
      </w:pPr>
      <w:r>
        <w:rPr>
          <w:szCs w:val="24"/>
        </w:rPr>
        <w:t>2.1</w:t>
      </w:r>
      <w:r>
        <w:rPr>
          <w:szCs w:val="24"/>
        </w:rPr>
        <w:tab/>
      </w:r>
      <w:r w:rsidRPr="006E7601">
        <w:rPr>
          <w:szCs w:val="24"/>
        </w:rPr>
        <w:t>The evolution of the ASHI liability since 2010 resulted in increasingly negative net assets as the actuarial losses were recorded in the net assets in full. At the end of 201</w:t>
      </w:r>
      <w:r w:rsidR="00C7530D">
        <w:rPr>
          <w:szCs w:val="24"/>
        </w:rPr>
        <w:t>8</w:t>
      </w:r>
      <w:r w:rsidRPr="006E7601">
        <w:rPr>
          <w:szCs w:val="24"/>
        </w:rPr>
        <w:t xml:space="preserve">, the ASHI liability </w:t>
      </w:r>
      <w:r w:rsidR="00C7530D">
        <w:rPr>
          <w:szCs w:val="24"/>
        </w:rPr>
        <w:t>decreased</w:t>
      </w:r>
      <w:r w:rsidRPr="006E7601">
        <w:rPr>
          <w:szCs w:val="24"/>
        </w:rPr>
        <w:t xml:space="preserve"> due </w:t>
      </w:r>
      <w:r>
        <w:rPr>
          <w:szCs w:val="24"/>
        </w:rPr>
        <w:t xml:space="preserve">to </w:t>
      </w:r>
      <w:r w:rsidRPr="006E7601">
        <w:rPr>
          <w:szCs w:val="24"/>
        </w:rPr>
        <w:t xml:space="preserve">the variation of assumptions and triggered a </w:t>
      </w:r>
      <w:r w:rsidR="00C7530D">
        <w:rPr>
          <w:szCs w:val="24"/>
        </w:rPr>
        <w:t>decrease</w:t>
      </w:r>
      <w:r w:rsidRPr="006E7601">
        <w:rPr>
          <w:szCs w:val="24"/>
        </w:rPr>
        <w:t xml:space="preserve"> of the liability of CHF</w:t>
      </w:r>
      <w:r w:rsidR="00E969FC">
        <w:rPr>
          <w:szCs w:val="24"/>
        </w:rPr>
        <w:t> </w:t>
      </w:r>
      <w:r w:rsidR="00143256">
        <w:rPr>
          <w:szCs w:val="24"/>
        </w:rPr>
        <w:t>6</w:t>
      </w:r>
      <w:r w:rsidR="00C7530D">
        <w:rPr>
          <w:szCs w:val="24"/>
        </w:rPr>
        <w:t>5</w:t>
      </w:r>
      <w:r w:rsidR="00E969FC">
        <w:rPr>
          <w:szCs w:val="24"/>
        </w:rPr>
        <w:t> </w:t>
      </w:r>
      <w:r w:rsidRPr="006E7601">
        <w:rPr>
          <w:szCs w:val="24"/>
        </w:rPr>
        <w:t xml:space="preserve">million and a </w:t>
      </w:r>
      <w:r w:rsidR="00C7530D">
        <w:rPr>
          <w:szCs w:val="24"/>
        </w:rPr>
        <w:t>positive</w:t>
      </w:r>
      <w:r w:rsidRPr="006E7601">
        <w:rPr>
          <w:szCs w:val="24"/>
        </w:rPr>
        <w:t xml:space="preserve"> impact on ITU net assets of CHF </w:t>
      </w:r>
      <w:r w:rsidR="00C7530D">
        <w:rPr>
          <w:szCs w:val="24"/>
        </w:rPr>
        <w:t>87.2</w:t>
      </w:r>
      <w:r w:rsidRPr="006E7601">
        <w:rPr>
          <w:szCs w:val="24"/>
        </w:rPr>
        <w:t xml:space="preserve"> million.</w:t>
      </w:r>
    </w:p>
    <w:tbl>
      <w:tblPr>
        <w:tblW w:w="9541" w:type="dxa"/>
        <w:jc w:val="center"/>
        <w:tblLook w:val="04A0" w:firstRow="1" w:lastRow="0" w:firstColumn="1" w:lastColumn="0" w:noHBand="0" w:noVBand="1"/>
      </w:tblPr>
      <w:tblGrid>
        <w:gridCol w:w="5573"/>
        <w:gridCol w:w="1984"/>
        <w:gridCol w:w="1984"/>
      </w:tblGrid>
      <w:tr w:rsidR="00143256" w:rsidRPr="001C2A98" w:rsidTr="00143256">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rsidR="00143256" w:rsidRPr="000D7C4D" w:rsidRDefault="00143256" w:rsidP="005D437A">
            <w:pPr>
              <w:widowControl w:val="0"/>
              <w:kinsoku w:val="0"/>
              <w:rPr>
                <w:b/>
                <w:color w:val="000000"/>
                <w:sz w:val="22"/>
                <w:szCs w:val="18"/>
                <w:lang w:val="en-US"/>
              </w:rPr>
            </w:pPr>
            <w:r w:rsidRPr="000D7C4D">
              <w:rPr>
                <w:b/>
                <w:color w:val="000000"/>
                <w:sz w:val="22"/>
                <w:szCs w:val="18"/>
                <w:lang w:val="en-US"/>
              </w:rPr>
              <w:t>Amount of obligations under the ASHI plan at 31 December </w:t>
            </w:r>
            <w:r>
              <w:rPr>
                <w:b/>
                <w:color w:val="000000"/>
                <w:sz w:val="22"/>
                <w:szCs w:val="18"/>
                <w:lang w:val="en-US"/>
              </w:rPr>
              <w:t>201</w:t>
            </w:r>
            <w:r w:rsidR="005D437A">
              <w:rPr>
                <w:b/>
                <w:color w:val="000000"/>
                <w:sz w:val="22"/>
                <w:szCs w:val="18"/>
                <w:lang w:val="en-US"/>
              </w:rPr>
              <w:t>8</w:t>
            </w:r>
            <w:r w:rsidRPr="000D7C4D">
              <w:rPr>
                <w:b/>
                <w:color w:val="000000"/>
                <w:sz w:val="22"/>
                <w:szCs w:val="18"/>
                <w:lang w:val="en-US"/>
              </w:rPr>
              <w:t xml:space="preserve"> and 201</w:t>
            </w:r>
            <w:r w:rsidR="005D437A">
              <w:rPr>
                <w:b/>
                <w:color w:val="000000"/>
                <w:sz w:val="22"/>
                <w:szCs w:val="18"/>
                <w:lang w:val="en-US"/>
              </w:rPr>
              <w:t>7</w:t>
            </w:r>
            <w:r w:rsidRPr="000D7C4D">
              <w:rPr>
                <w:b/>
                <w:color w:val="000000"/>
                <w:sz w:val="22"/>
                <w:szCs w:val="18"/>
                <w:lang w:val="en-US"/>
              </w:rPr>
              <w:t xml:space="preserve"> in the statement of</w:t>
            </w:r>
            <w:r w:rsidRPr="000D7C4D">
              <w:rPr>
                <w:b/>
                <w:color w:val="000000"/>
                <w:sz w:val="22"/>
                <w:szCs w:val="18"/>
                <w:lang w:val="en-US"/>
              </w:rPr>
              <w:br/>
              <w:t>financial position</w:t>
            </w:r>
          </w:p>
          <w:p w:rsidR="00143256" w:rsidRPr="000D7C4D" w:rsidRDefault="00143256" w:rsidP="00143256">
            <w:pPr>
              <w:widowControl w:val="0"/>
              <w:kinsoku w:val="0"/>
              <w:spacing w:before="60"/>
              <w:rPr>
                <w:bCs/>
                <w:color w:val="000000"/>
                <w:sz w:val="22"/>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56" w:rsidRPr="000D7C4D" w:rsidRDefault="00143256" w:rsidP="00C7530D">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w:t>
            </w:r>
            <w:r>
              <w:rPr>
                <w:b/>
                <w:bCs/>
                <w:color w:val="000000"/>
                <w:sz w:val="22"/>
                <w:szCs w:val="18"/>
                <w:lang w:val="en-US"/>
              </w:rPr>
              <w:t>201</w:t>
            </w:r>
            <w:r w:rsidR="00C7530D">
              <w:rPr>
                <w:b/>
                <w:bCs/>
                <w:color w:val="000000"/>
                <w:sz w:val="22"/>
                <w:szCs w:val="18"/>
                <w:lang w:val="en-US"/>
              </w:rPr>
              <w:t>8</w:t>
            </w:r>
          </w:p>
        </w:tc>
        <w:tc>
          <w:tcPr>
            <w:tcW w:w="1984" w:type="dxa"/>
            <w:tcBorders>
              <w:top w:val="single" w:sz="4" w:space="0" w:color="auto"/>
              <w:left w:val="single" w:sz="4" w:space="0" w:color="auto"/>
              <w:bottom w:val="single" w:sz="4" w:space="0" w:color="auto"/>
              <w:right w:val="single" w:sz="4" w:space="0" w:color="auto"/>
            </w:tcBorders>
            <w:vAlign w:val="center"/>
          </w:tcPr>
          <w:p w:rsidR="00143256" w:rsidRPr="000D7C4D" w:rsidRDefault="00143256" w:rsidP="00C7530D">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31.12.201</w:t>
            </w:r>
            <w:r w:rsidR="00C7530D">
              <w:rPr>
                <w:b/>
                <w:bCs/>
                <w:color w:val="000000"/>
                <w:sz w:val="22"/>
                <w:szCs w:val="18"/>
                <w:lang w:val="en-US"/>
              </w:rPr>
              <w:t>7</w:t>
            </w:r>
          </w:p>
        </w:tc>
      </w:tr>
      <w:tr w:rsidR="00C7530D" w:rsidRPr="001C2A98" w:rsidTr="00143256">
        <w:trPr>
          <w:trHeight w:val="264"/>
          <w:jc w:val="center"/>
        </w:trPr>
        <w:tc>
          <w:tcPr>
            <w:tcW w:w="5573" w:type="dxa"/>
            <w:tcBorders>
              <w:top w:val="single" w:sz="4" w:space="0" w:color="auto"/>
              <w:left w:val="single" w:sz="4" w:space="0" w:color="auto"/>
              <w:bottom w:val="nil"/>
              <w:right w:val="single" w:sz="4" w:space="0" w:color="auto"/>
            </w:tcBorders>
            <w:shd w:val="clear" w:color="auto" w:fill="auto"/>
            <w:hideMark/>
          </w:tcPr>
          <w:p w:rsidR="00C7530D" w:rsidRPr="00143256" w:rsidRDefault="00C7530D" w:rsidP="005D437A">
            <w:pPr>
              <w:widowControl w:val="0"/>
              <w:kinsoku w:val="0"/>
              <w:spacing w:before="60" w:after="60"/>
              <w:rPr>
                <w:szCs w:val="24"/>
              </w:rPr>
            </w:pPr>
            <w:r w:rsidRPr="00143256">
              <w:rPr>
                <w:szCs w:val="24"/>
              </w:rPr>
              <w:t>Balance at 31 December 201</w:t>
            </w:r>
            <w:r w:rsidR="005D437A">
              <w:rPr>
                <w:szCs w:val="24"/>
              </w:rPr>
              <w:t>7</w:t>
            </w:r>
            <w:r w:rsidRPr="00143256">
              <w:rPr>
                <w:szCs w:val="24"/>
              </w:rPr>
              <w:t>-201</w:t>
            </w:r>
            <w:r w:rsidR="005D437A">
              <w:rPr>
                <w:szCs w:val="24"/>
              </w:rPr>
              <w:t>6</w:t>
            </w:r>
          </w:p>
        </w:tc>
        <w:tc>
          <w:tcPr>
            <w:tcW w:w="1984" w:type="dxa"/>
            <w:tcBorders>
              <w:top w:val="single" w:sz="4" w:space="0" w:color="auto"/>
              <w:left w:val="single" w:sz="4" w:space="0" w:color="auto"/>
              <w:bottom w:val="nil"/>
              <w:right w:val="single" w:sz="4" w:space="0" w:color="auto"/>
            </w:tcBorders>
            <w:shd w:val="clear" w:color="auto" w:fill="auto"/>
          </w:tcPr>
          <w:p w:rsidR="00C7530D" w:rsidRPr="00C7530D" w:rsidRDefault="00C7530D" w:rsidP="00C7530D">
            <w:pPr>
              <w:widowControl w:val="0"/>
              <w:tabs>
                <w:tab w:val="clear" w:pos="1701"/>
              </w:tabs>
              <w:kinsoku w:val="0"/>
              <w:ind w:right="210"/>
              <w:jc w:val="right"/>
              <w:rPr>
                <w:szCs w:val="24"/>
              </w:rPr>
            </w:pPr>
            <w:r w:rsidRPr="00C7530D">
              <w:rPr>
                <w:szCs w:val="24"/>
              </w:rPr>
              <w:t>617,250</w:t>
            </w:r>
          </w:p>
        </w:tc>
        <w:tc>
          <w:tcPr>
            <w:tcW w:w="1984" w:type="dxa"/>
            <w:tcBorders>
              <w:top w:val="single" w:sz="4" w:space="0" w:color="auto"/>
              <w:left w:val="single" w:sz="4" w:space="0" w:color="auto"/>
              <w:bottom w:val="nil"/>
              <w:right w:val="single" w:sz="4" w:space="0" w:color="auto"/>
            </w:tcBorders>
          </w:tcPr>
          <w:p w:rsidR="00C7530D" w:rsidRPr="00143256" w:rsidRDefault="00C7530D" w:rsidP="00C7530D">
            <w:pPr>
              <w:widowControl w:val="0"/>
              <w:tabs>
                <w:tab w:val="clear" w:pos="1701"/>
              </w:tabs>
              <w:kinsoku w:val="0"/>
              <w:ind w:right="210"/>
              <w:jc w:val="right"/>
              <w:rPr>
                <w:szCs w:val="24"/>
              </w:rPr>
            </w:pPr>
            <w:r w:rsidRPr="00143256">
              <w:rPr>
                <w:szCs w:val="24"/>
              </w:rPr>
              <w:t>551</w:t>
            </w:r>
            <w:r>
              <w:rPr>
                <w:szCs w:val="24"/>
              </w:rPr>
              <w:t>,</w:t>
            </w:r>
            <w:r w:rsidRPr="00143256">
              <w:rPr>
                <w:szCs w:val="24"/>
              </w:rPr>
              <w:t>911</w:t>
            </w:r>
          </w:p>
        </w:tc>
      </w:tr>
      <w:tr w:rsidR="00C7530D" w:rsidRPr="001C2A98" w:rsidTr="00143256">
        <w:trPr>
          <w:trHeight w:val="336"/>
          <w:jc w:val="center"/>
        </w:trPr>
        <w:tc>
          <w:tcPr>
            <w:tcW w:w="5573" w:type="dxa"/>
            <w:tcBorders>
              <w:top w:val="nil"/>
              <w:left w:val="single" w:sz="4" w:space="0" w:color="auto"/>
              <w:bottom w:val="nil"/>
              <w:right w:val="single" w:sz="4" w:space="0" w:color="auto"/>
            </w:tcBorders>
            <w:shd w:val="clear" w:color="auto" w:fill="auto"/>
            <w:hideMark/>
          </w:tcPr>
          <w:p w:rsidR="00C7530D" w:rsidRPr="00143256" w:rsidRDefault="00C7530D" w:rsidP="00C7530D">
            <w:pPr>
              <w:widowControl w:val="0"/>
              <w:kinsoku w:val="0"/>
              <w:spacing w:before="60" w:after="60"/>
              <w:rPr>
                <w:szCs w:val="24"/>
              </w:rPr>
            </w:pPr>
            <w:r w:rsidRPr="00143256">
              <w:rPr>
                <w:szCs w:val="24"/>
              </w:rPr>
              <w:t>Total expenses recognized in the statement of financial performance</w:t>
            </w:r>
          </w:p>
        </w:tc>
        <w:tc>
          <w:tcPr>
            <w:tcW w:w="1984" w:type="dxa"/>
            <w:tcBorders>
              <w:top w:val="nil"/>
              <w:left w:val="single" w:sz="4" w:space="0" w:color="auto"/>
              <w:bottom w:val="nil"/>
              <w:right w:val="single" w:sz="4" w:space="0" w:color="auto"/>
            </w:tcBorders>
            <w:shd w:val="clear" w:color="auto" w:fill="auto"/>
          </w:tcPr>
          <w:p w:rsidR="00C7530D" w:rsidRPr="00C7530D" w:rsidRDefault="00C7530D" w:rsidP="00C7530D">
            <w:pPr>
              <w:widowControl w:val="0"/>
              <w:tabs>
                <w:tab w:val="clear" w:pos="1701"/>
              </w:tabs>
              <w:kinsoku w:val="0"/>
              <w:ind w:right="210"/>
              <w:jc w:val="right"/>
              <w:rPr>
                <w:szCs w:val="24"/>
              </w:rPr>
            </w:pPr>
            <w:r w:rsidRPr="00C7530D">
              <w:rPr>
                <w:szCs w:val="24"/>
              </w:rPr>
              <w:t>28,548</w:t>
            </w:r>
          </w:p>
        </w:tc>
        <w:tc>
          <w:tcPr>
            <w:tcW w:w="1984" w:type="dxa"/>
            <w:tcBorders>
              <w:top w:val="nil"/>
              <w:left w:val="single" w:sz="4" w:space="0" w:color="auto"/>
              <w:bottom w:val="nil"/>
              <w:right w:val="single" w:sz="4" w:space="0" w:color="auto"/>
            </w:tcBorders>
          </w:tcPr>
          <w:p w:rsidR="00C7530D" w:rsidRPr="00143256" w:rsidRDefault="00C7530D" w:rsidP="00C7530D">
            <w:pPr>
              <w:widowControl w:val="0"/>
              <w:tabs>
                <w:tab w:val="clear" w:pos="1701"/>
              </w:tabs>
              <w:kinsoku w:val="0"/>
              <w:ind w:right="210"/>
              <w:jc w:val="right"/>
              <w:rPr>
                <w:szCs w:val="24"/>
              </w:rPr>
            </w:pPr>
            <w:r w:rsidRPr="00143256">
              <w:rPr>
                <w:szCs w:val="24"/>
              </w:rPr>
              <w:t>25</w:t>
            </w:r>
            <w:r>
              <w:rPr>
                <w:szCs w:val="24"/>
              </w:rPr>
              <w:t>,</w:t>
            </w:r>
            <w:r w:rsidRPr="00143256">
              <w:rPr>
                <w:szCs w:val="24"/>
              </w:rPr>
              <w:t>375</w:t>
            </w:r>
          </w:p>
        </w:tc>
      </w:tr>
      <w:tr w:rsidR="00C7530D" w:rsidRPr="001C2A98" w:rsidTr="00143256">
        <w:trPr>
          <w:trHeight w:val="264"/>
          <w:jc w:val="center"/>
        </w:trPr>
        <w:tc>
          <w:tcPr>
            <w:tcW w:w="5573" w:type="dxa"/>
            <w:tcBorders>
              <w:top w:val="nil"/>
              <w:left w:val="single" w:sz="4" w:space="0" w:color="auto"/>
              <w:bottom w:val="nil"/>
              <w:right w:val="single" w:sz="4" w:space="0" w:color="auto"/>
            </w:tcBorders>
            <w:shd w:val="clear" w:color="auto" w:fill="auto"/>
            <w:hideMark/>
          </w:tcPr>
          <w:p w:rsidR="00C7530D" w:rsidRPr="00143256" w:rsidRDefault="00C7530D" w:rsidP="00C7530D">
            <w:pPr>
              <w:widowControl w:val="0"/>
              <w:kinsoku w:val="0"/>
              <w:spacing w:before="60" w:after="60"/>
              <w:rPr>
                <w:szCs w:val="24"/>
              </w:rPr>
            </w:pPr>
            <w:r w:rsidRPr="00143256">
              <w:rPr>
                <w:szCs w:val="24"/>
              </w:rPr>
              <w:t>Actuarial losses recognized in net assets</w:t>
            </w:r>
          </w:p>
        </w:tc>
        <w:tc>
          <w:tcPr>
            <w:tcW w:w="1984" w:type="dxa"/>
            <w:tcBorders>
              <w:top w:val="nil"/>
              <w:left w:val="single" w:sz="4" w:space="0" w:color="auto"/>
              <w:bottom w:val="nil"/>
              <w:right w:val="single" w:sz="4" w:space="0" w:color="auto"/>
            </w:tcBorders>
            <w:shd w:val="clear" w:color="auto" w:fill="auto"/>
          </w:tcPr>
          <w:p w:rsidR="00C7530D" w:rsidRPr="00C7530D" w:rsidRDefault="00C7530D" w:rsidP="00C7530D">
            <w:pPr>
              <w:widowControl w:val="0"/>
              <w:tabs>
                <w:tab w:val="clear" w:pos="1701"/>
              </w:tabs>
              <w:kinsoku w:val="0"/>
              <w:ind w:right="210"/>
              <w:jc w:val="right"/>
              <w:rPr>
                <w:szCs w:val="24"/>
              </w:rPr>
            </w:pPr>
            <w:r w:rsidRPr="00C7530D">
              <w:rPr>
                <w:szCs w:val="24"/>
              </w:rPr>
              <w:t>-87,277</w:t>
            </w:r>
          </w:p>
        </w:tc>
        <w:tc>
          <w:tcPr>
            <w:tcW w:w="1984" w:type="dxa"/>
            <w:tcBorders>
              <w:top w:val="nil"/>
              <w:left w:val="single" w:sz="4" w:space="0" w:color="auto"/>
              <w:bottom w:val="nil"/>
              <w:right w:val="single" w:sz="4" w:space="0" w:color="auto"/>
            </w:tcBorders>
          </w:tcPr>
          <w:p w:rsidR="00C7530D" w:rsidRPr="00143256" w:rsidRDefault="00C7530D" w:rsidP="00C7530D">
            <w:pPr>
              <w:widowControl w:val="0"/>
              <w:tabs>
                <w:tab w:val="clear" w:pos="1701"/>
              </w:tabs>
              <w:kinsoku w:val="0"/>
              <w:ind w:right="210"/>
              <w:jc w:val="right"/>
              <w:rPr>
                <w:szCs w:val="24"/>
              </w:rPr>
            </w:pPr>
            <w:r w:rsidRPr="00143256">
              <w:rPr>
                <w:szCs w:val="24"/>
              </w:rPr>
              <w:t>47</w:t>
            </w:r>
            <w:r>
              <w:rPr>
                <w:szCs w:val="24"/>
              </w:rPr>
              <w:t>,</w:t>
            </w:r>
            <w:r w:rsidRPr="00143256">
              <w:rPr>
                <w:szCs w:val="24"/>
              </w:rPr>
              <w:t>125</w:t>
            </w:r>
          </w:p>
        </w:tc>
      </w:tr>
      <w:tr w:rsidR="00C7530D" w:rsidRPr="001C2A98" w:rsidTr="00143256">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rsidR="00C7530D" w:rsidRPr="00143256" w:rsidRDefault="00C7530D" w:rsidP="00C7530D">
            <w:pPr>
              <w:widowControl w:val="0"/>
              <w:kinsoku w:val="0"/>
              <w:spacing w:before="60" w:after="60"/>
              <w:rPr>
                <w:szCs w:val="24"/>
              </w:rPr>
            </w:pPr>
            <w:r w:rsidRPr="00143256">
              <w:rPr>
                <w:szCs w:val="24"/>
              </w:rPr>
              <w:t>Contributions during the period</w:t>
            </w:r>
          </w:p>
        </w:tc>
        <w:tc>
          <w:tcPr>
            <w:tcW w:w="1984" w:type="dxa"/>
            <w:tcBorders>
              <w:top w:val="nil"/>
              <w:left w:val="single" w:sz="4" w:space="0" w:color="auto"/>
              <w:bottom w:val="nil"/>
              <w:right w:val="single" w:sz="4" w:space="0" w:color="auto"/>
            </w:tcBorders>
            <w:shd w:val="clear" w:color="auto" w:fill="auto"/>
          </w:tcPr>
          <w:p w:rsidR="00C7530D" w:rsidRPr="00C7530D" w:rsidRDefault="00C7530D" w:rsidP="00C7530D">
            <w:pPr>
              <w:widowControl w:val="0"/>
              <w:tabs>
                <w:tab w:val="clear" w:pos="1701"/>
              </w:tabs>
              <w:kinsoku w:val="0"/>
              <w:ind w:right="210"/>
              <w:jc w:val="right"/>
              <w:rPr>
                <w:szCs w:val="24"/>
              </w:rPr>
            </w:pPr>
            <w:r w:rsidRPr="00C7530D">
              <w:rPr>
                <w:szCs w:val="24"/>
              </w:rPr>
              <w:t>-6,281</w:t>
            </w:r>
          </w:p>
        </w:tc>
        <w:tc>
          <w:tcPr>
            <w:tcW w:w="1984" w:type="dxa"/>
            <w:tcBorders>
              <w:top w:val="nil"/>
              <w:left w:val="single" w:sz="4" w:space="0" w:color="auto"/>
              <w:bottom w:val="nil"/>
              <w:right w:val="single" w:sz="4" w:space="0" w:color="auto"/>
            </w:tcBorders>
          </w:tcPr>
          <w:p w:rsidR="00C7530D" w:rsidRPr="00143256" w:rsidRDefault="00C7530D" w:rsidP="00C7530D">
            <w:pPr>
              <w:widowControl w:val="0"/>
              <w:tabs>
                <w:tab w:val="clear" w:pos="1701"/>
              </w:tabs>
              <w:kinsoku w:val="0"/>
              <w:ind w:right="210"/>
              <w:jc w:val="right"/>
              <w:rPr>
                <w:szCs w:val="24"/>
              </w:rPr>
            </w:pPr>
            <w:r w:rsidRPr="00143256">
              <w:rPr>
                <w:szCs w:val="24"/>
              </w:rPr>
              <w:t>-7</w:t>
            </w:r>
            <w:r>
              <w:rPr>
                <w:szCs w:val="24"/>
              </w:rPr>
              <w:t>,</w:t>
            </w:r>
            <w:r w:rsidRPr="00143256">
              <w:rPr>
                <w:szCs w:val="24"/>
              </w:rPr>
              <w:t>161</w:t>
            </w:r>
          </w:p>
        </w:tc>
      </w:tr>
      <w:tr w:rsidR="00C7530D" w:rsidRPr="001C2A98" w:rsidTr="00143256">
        <w:trPr>
          <w:trHeight w:val="264"/>
          <w:jc w:val="center"/>
        </w:trPr>
        <w:tc>
          <w:tcPr>
            <w:tcW w:w="5573" w:type="dxa"/>
            <w:tcBorders>
              <w:top w:val="nil"/>
              <w:left w:val="single" w:sz="4" w:space="0" w:color="auto"/>
              <w:right w:val="single" w:sz="4" w:space="0" w:color="auto"/>
            </w:tcBorders>
            <w:shd w:val="clear" w:color="auto" w:fill="auto"/>
            <w:hideMark/>
          </w:tcPr>
          <w:p w:rsidR="00C7530D" w:rsidRPr="00143256" w:rsidRDefault="00C7530D" w:rsidP="00C7530D">
            <w:pPr>
              <w:widowControl w:val="0"/>
              <w:kinsoku w:val="0"/>
              <w:spacing w:before="60" w:after="120"/>
              <w:rPr>
                <w:szCs w:val="24"/>
              </w:rPr>
            </w:pPr>
            <w:r w:rsidRPr="00143256">
              <w:rPr>
                <w:szCs w:val="24"/>
              </w:rPr>
              <w:t>Unrealized exchange-rate loss / (gain)</w:t>
            </w:r>
          </w:p>
        </w:tc>
        <w:tc>
          <w:tcPr>
            <w:tcW w:w="1984" w:type="dxa"/>
            <w:tcBorders>
              <w:top w:val="nil"/>
              <w:left w:val="single" w:sz="4" w:space="0" w:color="auto"/>
              <w:right w:val="single" w:sz="4" w:space="0" w:color="auto"/>
            </w:tcBorders>
            <w:shd w:val="clear" w:color="auto" w:fill="auto"/>
          </w:tcPr>
          <w:p w:rsidR="00C7530D" w:rsidRPr="00C7530D" w:rsidRDefault="00C7530D" w:rsidP="00C7530D">
            <w:pPr>
              <w:widowControl w:val="0"/>
              <w:tabs>
                <w:tab w:val="clear" w:pos="1701"/>
              </w:tabs>
              <w:kinsoku w:val="0"/>
              <w:ind w:right="210"/>
              <w:jc w:val="right"/>
              <w:rPr>
                <w:szCs w:val="24"/>
              </w:rPr>
            </w:pPr>
            <w:r w:rsidRPr="00C7530D">
              <w:rPr>
                <w:szCs w:val="24"/>
              </w:rPr>
              <w:t>0</w:t>
            </w:r>
          </w:p>
        </w:tc>
        <w:tc>
          <w:tcPr>
            <w:tcW w:w="1984" w:type="dxa"/>
            <w:tcBorders>
              <w:top w:val="nil"/>
              <w:left w:val="single" w:sz="4" w:space="0" w:color="auto"/>
              <w:right w:val="single" w:sz="4" w:space="0" w:color="auto"/>
            </w:tcBorders>
          </w:tcPr>
          <w:p w:rsidR="00C7530D" w:rsidRPr="00143256" w:rsidRDefault="00C7530D" w:rsidP="00C7530D">
            <w:pPr>
              <w:widowControl w:val="0"/>
              <w:tabs>
                <w:tab w:val="clear" w:pos="1701"/>
              </w:tabs>
              <w:kinsoku w:val="0"/>
              <w:ind w:right="210"/>
              <w:jc w:val="right"/>
              <w:rPr>
                <w:szCs w:val="24"/>
              </w:rPr>
            </w:pPr>
            <w:r w:rsidRPr="00143256">
              <w:rPr>
                <w:szCs w:val="24"/>
              </w:rPr>
              <w:t>0</w:t>
            </w:r>
          </w:p>
        </w:tc>
      </w:tr>
      <w:tr w:rsidR="00C7530D" w:rsidRPr="001C2A98" w:rsidTr="00143256">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rsidR="00C7530D" w:rsidRPr="00143256" w:rsidRDefault="00C7530D" w:rsidP="005D437A">
            <w:pPr>
              <w:widowControl w:val="0"/>
              <w:kinsoku w:val="0"/>
              <w:rPr>
                <w:szCs w:val="24"/>
              </w:rPr>
            </w:pPr>
            <w:r w:rsidRPr="00143256">
              <w:rPr>
                <w:szCs w:val="24"/>
              </w:rPr>
              <w:t>Amount of obligations under the ASHI plan at 31 December 201</w:t>
            </w:r>
            <w:r w:rsidR="005D437A">
              <w:rPr>
                <w:szCs w:val="24"/>
              </w:rPr>
              <w:t>8</w:t>
            </w:r>
            <w:r w:rsidRPr="00143256">
              <w:rPr>
                <w:szCs w:val="24"/>
              </w:rPr>
              <w:t>-201</w:t>
            </w:r>
            <w:r w:rsidR="005D437A">
              <w:rPr>
                <w:szCs w:val="24"/>
              </w:rPr>
              <w:t>7</w:t>
            </w:r>
          </w:p>
        </w:tc>
        <w:tc>
          <w:tcPr>
            <w:tcW w:w="1984" w:type="dxa"/>
            <w:tcBorders>
              <w:top w:val="nil"/>
              <w:left w:val="single" w:sz="4" w:space="0" w:color="auto"/>
              <w:bottom w:val="single" w:sz="4" w:space="0" w:color="auto"/>
              <w:right w:val="single" w:sz="4" w:space="0" w:color="auto"/>
            </w:tcBorders>
            <w:shd w:val="clear" w:color="auto" w:fill="auto"/>
          </w:tcPr>
          <w:p w:rsidR="00C7530D" w:rsidRPr="00C7530D" w:rsidRDefault="00C7530D" w:rsidP="00C7530D">
            <w:pPr>
              <w:widowControl w:val="0"/>
              <w:tabs>
                <w:tab w:val="clear" w:pos="1701"/>
              </w:tabs>
              <w:kinsoku w:val="0"/>
              <w:ind w:right="210"/>
              <w:jc w:val="right"/>
              <w:rPr>
                <w:szCs w:val="24"/>
              </w:rPr>
            </w:pPr>
            <w:r w:rsidRPr="00C7530D">
              <w:rPr>
                <w:szCs w:val="24"/>
              </w:rPr>
              <w:t>552,240</w:t>
            </w:r>
          </w:p>
        </w:tc>
        <w:tc>
          <w:tcPr>
            <w:tcW w:w="1984" w:type="dxa"/>
            <w:tcBorders>
              <w:top w:val="nil"/>
              <w:left w:val="single" w:sz="4" w:space="0" w:color="auto"/>
              <w:bottom w:val="single" w:sz="4" w:space="0" w:color="auto"/>
              <w:right w:val="single" w:sz="4" w:space="0" w:color="auto"/>
            </w:tcBorders>
          </w:tcPr>
          <w:p w:rsidR="00C7530D" w:rsidRPr="00143256" w:rsidRDefault="00C7530D" w:rsidP="00C7530D">
            <w:pPr>
              <w:widowControl w:val="0"/>
              <w:tabs>
                <w:tab w:val="clear" w:pos="1701"/>
              </w:tabs>
              <w:kinsoku w:val="0"/>
              <w:ind w:right="210"/>
              <w:jc w:val="right"/>
              <w:rPr>
                <w:szCs w:val="24"/>
              </w:rPr>
            </w:pPr>
            <w:r w:rsidRPr="00143256">
              <w:rPr>
                <w:szCs w:val="24"/>
              </w:rPr>
              <w:t>617</w:t>
            </w:r>
            <w:r>
              <w:rPr>
                <w:szCs w:val="24"/>
              </w:rPr>
              <w:t>,</w:t>
            </w:r>
            <w:r w:rsidRPr="00143256">
              <w:rPr>
                <w:szCs w:val="24"/>
              </w:rPr>
              <w:t>250</w:t>
            </w:r>
          </w:p>
        </w:tc>
      </w:tr>
    </w:tbl>
    <w:p w:rsidR="003B1C6F" w:rsidRDefault="003B1C6F">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rsidR="00AE6F5F" w:rsidRDefault="006415CC" w:rsidP="003B1C6F">
      <w:pPr>
        <w:tabs>
          <w:tab w:val="clear" w:pos="567"/>
          <w:tab w:val="clear" w:pos="1134"/>
          <w:tab w:val="clear" w:pos="1701"/>
          <w:tab w:val="clear" w:pos="2268"/>
          <w:tab w:val="clear" w:pos="2835"/>
        </w:tabs>
        <w:snapToGrid w:val="0"/>
        <w:spacing w:before="240" w:after="120"/>
        <w:jc w:val="both"/>
        <w:rPr>
          <w:szCs w:val="24"/>
        </w:rPr>
      </w:pPr>
      <w:r>
        <w:rPr>
          <w:szCs w:val="24"/>
        </w:rPr>
        <w:lastRenderedPageBreak/>
        <w:t>2.2</w:t>
      </w:r>
      <w:r>
        <w:rPr>
          <w:szCs w:val="24"/>
        </w:rPr>
        <w:tab/>
        <w:t>The calculation of the ASHI liability is based on assumptions and adjustments based on experience of the year. The analysis of the amount recognized in the net assets is illustrated below.</w:t>
      </w:r>
    </w:p>
    <w:p w:rsidR="00AE6F5F" w:rsidRPr="00AE6F5F" w:rsidRDefault="005A093A" w:rsidP="003B1C6F">
      <w:pPr>
        <w:tabs>
          <w:tab w:val="clear" w:pos="567"/>
          <w:tab w:val="clear" w:pos="1134"/>
          <w:tab w:val="clear" w:pos="1701"/>
          <w:tab w:val="clear" w:pos="2268"/>
          <w:tab w:val="clear" w:pos="2835"/>
        </w:tabs>
        <w:snapToGrid w:val="0"/>
        <w:spacing w:after="120"/>
        <w:jc w:val="both"/>
        <w:rPr>
          <w:szCs w:val="24"/>
        </w:rPr>
      </w:pPr>
      <w:r>
        <w:rPr>
          <w:szCs w:val="24"/>
        </w:rPr>
        <w:t>2.3</w:t>
      </w:r>
      <w:r w:rsidR="00D27AE7">
        <w:rPr>
          <w:szCs w:val="24"/>
        </w:rPr>
        <w:tab/>
      </w:r>
      <w:r w:rsidR="00AE6F5F">
        <w:rPr>
          <w:szCs w:val="24"/>
        </w:rPr>
        <w:t>It has to be noted that further to a decision of the UN IPSAS task force all the assumptions related to the ASHI valuation have been harmonized among the UN agencies</w:t>
      </w:r>
      <w:r>
        <w:rPr>
          <w:szCs w:val="24"/>
        </w:rPr>
        <w:t xml:space="preserve">. </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1"/>
        <w:gridCol w:w="1855"/>
        <w:gridCol w:w="1855"/>
      </w:tblGrid>
      <w:tr w:rsidR="006415CC" w:rsidRPr="001C2A98" w:rsidTr="00DE0646">
        <w:trPr>
          <w:trHeight w:val="567"/>
          <w:jc w:val="center"/>
        </w:trPr>
        <w:tc>
          <w:tcPr>
            <w:tcW w:w="5811" w:type="dxa"/>
            <w:tcBorders>
              <w:top w:val="single" w:sz="4" w:space="0" w:color="auto"/>
              <w:bottom w:val="single" w:sz="4" w:space="0" w:color="auto"/>
              <w:right w:val="single" w:sz="4" w:space="0" w:color="auto"/>
            </w:tcBorders>
            <w:shd w:val="clear" w:color="auto" w:fill="auto"/>
            <w:vAlign w:val="center"/>
            <w:hideMark/>
          </w:tcPr>
          <w:p w:rsidR="006415CC" w:rsidRPr="00367BFC" w:rsidRDefault="006415CC" w:rsidP="00DE0646">
            <w:pPr>
              <w:widowControl w:val="0"/>
              <w:kinsoku w:val="0"/>
              <w:snapToGrid w:val="0"/>
              <w:spacing w:before="60" w:after="60"/>
              <w:rPr>
                <w:bCs/>
                <w:color w:val="000000"/>
                <w:szCs w:val="18"/>
              </w:rPr>
            </w:pPr>
            <w:r w:rsidRPr="00367BFC">
              <w:rPr>
                <w:bCs/>
                <w:color w:val="000000"/>
                <w:szCs w:val="18"/>
              </w:rPr>
              <w:t>Analysis of actuarial losses recognized in net assets</w:t>
            </w:r>
          </w:p>
        </w:tc>
        <w:tc>
          <w:tcPr>
            <w:tcW w:w="3710" w:type="dxa"/>
            <w:gridSpan w:val="2"/>
            <w:tcBorders>
              <w:top w:val="single" w:sz="4" w:space="0" w:color="auto"/>
              <w:left w:val="single" w:sz="4" w:space="0" w:color="auto"/>
              <w:bottom w:val="single" w:sz="4" w:space="0" w:color="auto"/>
            </w:tcBorders>
            <w:shd w:val="clear" w:color="auto" w:fill="auto"/>
            <w:vAlign w:val="center"/>
            <w:hideMark/>
          </w:tcPr>
          <w:p w:rsidR="006415CC" w:rsidRPr="00367BFC" w:rsidRDefault="006415CC" w:rsidP="00DE0646">
            <w:pPr>
              <w:widowControl w:val="0"/>
              <w:kinsoku w:val="0"/>
              <w:snapToGrid w:val="0"/>
              <w:spacing w:before="60" w:after="60"/>
              <w:jc w:val="center"/>
              <w:rPr>
                <w:b/>
                <w:bCs/>
                <w:i/>
                <w:iCs/>
                <w:color w:val="000000"/>
                <w:szCs w:val="18"/>
              </w:rPr>
            </w:pPr>
            <w:r w:rsidRPr="00367BFC">
              <w:rPr>
                <w:b/>
                <w:bCs/>
                <w:i/>
                <w:iCs/>
                <w:color w:val="000000"/>
                <w:szCs w:val="18"/>
              </w:rPr>
              <w:t>In thousands of CHF</w:t>
            </w:r>
          </w:p>
        </w:tc>
      </w:tr>
      <w:tr w:rsidR="00C7530D" w:rsidRPr="001C2A98" w:rsidTr="00DE0646">
        <w:trPr>
          <w:trHeight w:val="264"/>
          <w:jc w:val="center"/>
        </w:trPr>
        <w:tc>
          <w:tcPr>
            <w:tcW w:w="5811" w:type="dxa"/>
            <w:tcBorders>
              <w:top w:val="single" w:sz="4" w:space="0" w:color="auto"/>
              <w:right w:val="single" w:sz="4" w:space="0" w:color="auto"/>
            </w:tcBorders>
            <w:shd w:val="clear" w:color="auto" w:fill="auto"/>
            <w:hideMark/>
          </w:tcPr>
          <w:p w:rsidR="00C7530D" w:rsidRPr="00573C72" w:rsidRDefault="00C7530D" w:rsidP="00C7530D">
            <w:pPr>
              <w:widowControl w:val="0"/>
              <w:kinsoku w:val="0"/>
              <w:snapToGrid w:val="0"/>
              <w:spacing w:after="120"/>
              <w:rPr>
                <w:b/>
                <w:color w:val="000000"/>
                <w:szCs w:val="18"/>
              </w:rPr>
            </w:pPr>
          </w:p>
        </w:tc>
        <w:tc>
          <w:tcPr>
            <w:tcW w:w="1855" w:type="dxa"/>
            <w:tcBorders>
              <w:top w:val="single" w:sz="4" w:space="0" w:color="auto"/>
              <w:left w:val="single" w:sz="4" w:space="0" w:color="auto"/>
              <w:bottom w:val="nil"/>
            </w:tcBorders>
            <w:shd w:val="clear" w:color="auto" w:fill="auto"/>
            <w:vAlign w:val="bottom"/>
          </w:tcPr>
          <w:p w:rsidR="00C7530D" w:rsidRPr="00573C72" w:rsidRDefault="00C7530D" w:rsidP="00C7530D">
            <w:pPr>
              <w:widowControl w:val="0"/>
              <w:kinsoku w:val="0"/>
              <w:snapToGrid w:val="0"/>
              <w:spacing w:after="120"/>
              <w:jc w:val="center"/>
              <w:rPr>
                <w:b/>
                <w:color w:val="000000"/>
                <w:szCs w:val="18"/>
              </w:rPr>
            </w:pPr>
            <w:r>
              <w:rPr>
                <w:b/>
                <w:color w:val="000000"/>
                <w:szCs w:val="18"/>
              </w:rPr>
              <w:t>31.12.</w:t>
            </w:r>
            <w:r w:rsidRPr="00573C72">
              <w:rPr>
                <w:b/>
                <w:color w:val="000000"/>
                <w:szCs w:val="18"/>
              </w:rPr>
              <w:t>201</w:t>
            </w:r>
            <w:r>
              <w:rPr>
                <w:b/>
                <w:color w:val="000000"/>
                <w:szCs w:val="18"/>
              </w:rPr>
              <w:t>8</w:t>
            </w:r>
          </w:p>
        </w:tc>
        <w:tc>
          <w:tcPr>
            <w:tcW w:w="1855" w:type="dxa"/>
            <w:tcBorders>
              <w:top w:val="single" w:sz="4" w:space="0" w:color="auto"/>
              <w:left w:val="single" w:sz="4" w:space="0" w:color="auto"/>
              <w:bottom w:val="nil"/>
            </w:tcBorders>
            <w:vAlign w:val="bottom"/>
          </w:tcPr>
          <w:p w:rsidR="00C7530D" w:rsidRPr="00573C72" w:rsidRDefault="00C7530D" w:rsidP="00C7530D">
            <w:pPr>
              <w:widowControl w:val="0"/>
              <w:kinsoku w:val="0"/>
              <w:snapToGrid w:val="0"/>
              <w:spacing w:after="120"/>
              <w:jc w:val="center"/>
              <w:rPr>
                <w:b/>
                <w:color w:val="000000"/>
                <w:szCs w:val="18"/>
              </w:rPr>
            </w:pPr>
            <w:r>
              <w:rPr>
                <w:b/>
                <w:color w:val="000000"/>
                <w:szCs w:val="18"/>
              </w:rPr>
              <w:t>31.12.</w:t>
            </w:r>
            <w:r w:rsidRPr="00573C72">
              <w:rPr>
                <w:b/>
                <w:color w:val="000000"/>
                <w:szCs w:val="18"/>
              </w:rPr>
              <w:t>201</w:t>
            </w:r>
            <w:r>
              <w:rPr>
                <w:b/>
                <w:color w:val="000000"/>
                <w:szCs w:val="18"/>
              </w:rPr>
              <w:t>7</w:t>
            </w:r>
          </w:p>
        </w:tc>
      </w:tr>
      <w:tr w:rsidR="00C7530D" w:rsidRPr="001C2A98" w:rsidTr="00DE0646">
        <w:trPr>
          <w:trHeight w:val="264"/>
          <w:jc w:val="center"/>
        </w:trPr>
        <w:tc>
          <w:tcPr>
            <w:tcW w:w="5811" w:type="dxa"/>
            <w:tcBorders>
              <w:right w:val="single" w:sz="4" w:space="0" w:color="auto"/>
            </w:tcBorders>
            <w:shd w:val="clear" w:color="auto" w:fill="auto"/>
            <w:hideMark/>
          </w:tcPr>
          <w:p w:rsidR="00C7530D" w:rsidRPr="00573C72" w:rsidRDefault="00C7530D" w:rsidP="00C7530D">
            <w:pPr>
              <w:widowControl w:val="0"/>
              <w:kinsoku w:val="0"/>
              <w:snapToGrid w:val="0"/>
              <w:spacing w:after="120"/>
              <w:rPr>
                <w:b/>
                <w:color w:val="000000"/>
                <w:szCs w:val="18"/>
              </w:rPr>
            </w:pPr>
            <w:r w:rsidRPr="00573C72">
              <w:rPr>
                <w:color w:val="000000"/>
                <w:szCs w:val="18"/>
              </w:rPr>
              <w:t>Obligation due to changes in assumptions</w:t>
            </w:r>
          </w:p>
        </w:tc>
        <w:tc>
          <w:tcPr>
            <w:tcW w:w="1855" w:type="dxa"/>
            <w:tcBorders>
              <w:top w:val="nil"/>
              <w:left w:val="single" w:sz="4" w:space="0" w:color="auto"/>
              <w:bottom w:val="nil"/>
            </w:tcBorders>
            <w:shd w:val="clear" w:color="auto" w:fill="auto"/>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 xml:space="preserve">-98,029 </w:t>
            </w:r>
          </w:p>
        </w:tc>
        <w:tc>
          <w:tcPr>
            <w:tcW w:w="1855" w:type="dxa"/>
            <w:tcBorders>
              <w:top w:val="nil"/>
              <w:left w:val="single" w:sz="4" w:space="0" w:color="auto"/>
              <w:bottom w:val="nil"/>
            </w:tcBorders>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75,452</w:t>
            </w:r>
          </w:p>
        </w:tc>
      </w:tr>
      <w:tr w:rsidR="00C7530D" w:rsidRPr="001C2A98" w:rsidTr="00DE0646">
        <w:trPr>
          <w:trHeight w:val="264"/>
          <w:jc w:val="center"/>
        </w:trPr>
        <w:tc>
          <w:tcPr>
            <w:tcW w:w="5811" w:type="dxa"/>
            <w:tcBorders>
              <w:right w:val="single" w:sz="4" w:space="0" w:color="auto"/>
            </w:tcBorders>
            <w:shd w:val="clear" w:color="auto" w:fill="auto"/>
          </w:tcPr>
          <w:p w:rsidR="00C7530D" w:rsidRPr="00573C72" w:rsidRDefault="00C7530D" w:rsidP="00C7530D">
            <w:pPr>
              <w:widowControl w:val="0"/>
              <w:kinsoku w:val="0"/>
              <w:snapToGrid w:val="0"/>
              <w:spacing w:after="120"/>
              <w:rPr>
                <w:color w:val="000000"/>
                <w:szCs w:val="18"/>
              </w:rPr>
            </w:pPr>
            <w:r>
              <w:rPr>
                <w:color w:val="000000"/>
                <w:szCs w:val="18"/>
              </w:rPr>
              <w:t>Obligation due to experience</w:t>
            </w:r>
            <w:r w:rsidRPr="00573C72">
              <w:rPr>
                <w:color w:val="000000"/>
                <w:szCs w:val="18"/>
              </w:rPr>
              <w:t xml:space="preserve"> during the period</w:t>
            </w:r>
          </w:p>
        </w:tc>
        <w:tc>
          <w:tcPr>
            <w:tcW w:w="1855" w:type="dxa"/>
            <w:tcBorders>
              <w:top w:val="nil"/>
              <w:left w:val="single" w:sz="4" w:space="0" w:color="auto"/>
              <w:bottom w:val="nil"/>
            </w:tcBorders>
            <w:shd w:val="clear" w:color="auto" w:fill="auto"/>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 xml:space="preserve">10,752 </w:t>
            </w:r>
          </w:p>
        </w:tc>
        <w:tc>
          <w:tcPr>
            <w:tcW w:w="1855" w:type="dxa"/>
            <w:tcBorders>
              <w:top w:val="nil"/>
              <w:left w:val="single" w:sz="4" w:space="0" w:color="auto"/>
              <w:bottom w:val="nil"/>
            </w:tcBorders>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-28,327</w:t>
            </w:r>
          </w:p>
        </w:tc>
      </w:tr>
      <w:tr w:rsidR="00C7530D" w:rsidRPr="001C2A98" w:rsidTr="00DE0646">
        <w:trPr>
          <w:trHeight w:val="264"/>
          <w:jc w:val="center"/>
        </w:trPr>
        <w:tc>
          <w:tcPr>
            <w:tcW w:w="5811" w:type="dxa"/>
            <w:tcBorders>
              <w:right w:val="single" w:sz="4" w:space="0" w:color="auto"/>
            </w:tcBorders>
            <w:shd w:val="clear" w:color="auto" w:fill="auto"/>
          </w:tcPr>
          <w:p w:rsidR="00C7530D" w:rsidRPr="00573C72" w:rsidRDefault="00C7530D" w:rsidP="00C7530D">
            <w:pPr>
              <w:widowControl w:val="0"/>
              <w:kinsoku w:val="0"/>
              <w:snapToGrid w:val="0"/>
              <w:spacing w:after="120"/>
              <w:rPr>
                <w:color w:val="000000"/>
                <w:szCs w:val="18"/>
              </w:rPr>
            </w:pPr>
            <w:r w:rsidRPr="00573C72">
              <w:rPr>
                <w:color w:val="000000"/>
                <w:szCs w:val="18"/>
              </w:rPr>
              <w:t>Variation over the period</w:t>
            </w:r>
          </w:p>
        </w:tc>
        <w:tc>
          <w:tcPr>
            <w:tcW w:w="1855" w:type="dxa"/>
            <w:tcBorders>
              <w:top w:val="nil"/>
              <w:left w:val="single" w:sz="4" w:space="0" w:color="auto"/>
              <w:bottom w:val="nil"/>
            </w:tcBorders>
            <w:shd w:val="clear" w:color="auto" w:fill="auto"/>
          </w:tcPr>
          <w:p w:rsidR="00C7530D" w:rsidRPr="00C7530D" w:rsidRDefault="00C7530D" w:rsidP="00717364">
            <w:pPr>
              <w:widowControl w:val="0"/>
              <w:kinsoku w:val="0"/>
              <w:snapToGrid w:val="0"/>
              <w:spacing w:after="120"/>
              <w:ind w:right="158"/>
              <w:jc w:val="right"/>
              <w:rPr>
                <w:bCs/>
                <w:color w:val="000000"/>
                <w:szCs w:val="18"/>
              </w:rPr>
            </w:pPr>
            <w:r w:rsidRPr="00C7530D">
              <w:rPr>
                <w:bCs/>
                <w:color w:val="000000"/>
                <w:szCs w:val="18"/>
              </w:rPr>
              <w:t>-87,277</w:t>
            </w:r>
          </w:p>
          <w:p w:rsidR="00C7530D" w:rsidRPr="00C7530D" w:rsidRDefault="00C7530D" w:rsidP="00C7530D">
            <w:pPr>
              <w:widowControl w:val="0"/>
              <w:kinsoku w:val="0"/>
              <w:snapToGrid w:val="0"/>
              <w:spacing w:after="120"/>
              <w:ind w:right="638"/>
              <w:jc w:val="right"/>
              <w:rPr>
                <w:bCs/>
                <w:color w:val="000000"/>
                <w:szCs w:val="18"/>
              </w:rPr>
            </w:pPr>
          </w:p>
        </w:tc>
        <w:tc>
          <w:tcPr>
            <w:tcW w:w="1855" w:type="dxa"/>
            <w:tcBorders>
              <w:top w:val="nil"/>
              <w:left w:val="single" w:sz="4" w:space="0" w:color="auto"/>
              <w:bottom w:val="nil"/>
            </w:tcBorders>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47,125</w:t>
            </w:r>
          </w:p>
        </w:tc>
      </w:tr>
      <w:tr w:rsidR="00C7530D" w:rsidRPr="001C2A98" w:rsidTr="00DE0646">
        <w:trPr>
          <w:trHeight w:val="336"/>
          <w:jc w:val="center"/>
        </w:trPr>
        <w:tc>
          <w:tcPr>
            <w:tcW w:w="5811" w:type="dxa"/>
            <w:tcBorders>
              <w:right w:val="single" w:sz="4" w:space="0" w:color="auto"/>
            </w:tcBorders>
            <w:shd w:val="clear" w:color="auto" w:fill="auto"/>
            <w:hideMark/>
          </w:tcPr>
          <w:p w:rsidR="00C7530D" w:rsidRPr="00573C72" w:rsidRDefault="00C7530D" w:rsidP="00C7530D">
            <w:pPr>
              <w:widowControl w:val="0"/>
              <w:kinsoku w:val="0"/>
              <w:snapToGrid w:val="0"/>
              <w:spacing w:after="120"/>
              <w:rPr>
                <w:bCs/>
                <w:color w:val="000000"/>
                <w:szCs w:val="18"/>
              </w:rPr>
            </w:pPr>
            <w:r w:rsidRPr="00573C72">
              <w:rPr>
                <w:bCs/>
                <w:color w:val="000000"/>
                <w:szCs w:val="18"/>
              </w:rPr>
              <w:t xml:space="preserve">Cumulative amount recognized in net assets at </w:t>
            </w:r>
            <w:r>
              <w:rPr>
                <w:bCs/>
                <w:color w:val="000000"/>
                <w:szCs w:val="18"/>
              </w:rPr>
              <w:t>31 </w:t>
            </w:r>
            <w:r w:rsidRPr="00573C72">
              <w:rPr>
                <w:bCs/>
                <w:color w:val="000000"/>
                <w:szCs w:val="18"/>
              </w:rPr>
              <w:t>December</w:t>
            </w:r>
          </w:p>
        </w:tc>
        <w:tc>
          <w:tcPr>
            <w:tcW w:w="1855" w:type="dxa"/>
            <w:tcBorders>
              <w:top w:val="nil"/>
              <w:left w:val="single" w:sz="4" w:space="0" w:color="auto"/>
              <w:bottom w:val="single" w:sz="4" w:space="0" w:color="auto"/>
            </w:tcBorders>
            <w:shd w:val="clear" w:color="auto" w:fill="auto"/>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282,427</w:t>
            </w:r>
          </w:p>
        </w:tc>
        <w:tc>
          <w:tcPr>
            <w:tcW w:w="1855" w:type="dxa"/>
            <w:tcBorders>
              <w:top w:val="nil"/>
              <w:left w:val="single" w:sz="4" w:space="0" w:color="auto"/>
              <w:bottom w:val="single" w:sz="4" w:space="0" w:color="auto"/>
            </w:tcBorders>
          </w:tcPr>
          <w:p w:rsidR="00C7530D" w:rsidRPr="00C7530D" w:rsidRDefault="00C7530D" w:rsidP="00C7530D">
            <w:pPr>
              <w:widowControl w:val="0"/>
              <w:kinsoku w:val="0"/>
              <w:snapToGrid w:val="0"/>
              <w:spacing w:after="120"/>
              <w:ind w:right="158"/>
              <w:jc w:val="right"/>
              <w:rPr>
                <w:bCs/>
                <w:color w:val="000000"/>
                <w:szCs w:val="18"/>
              </w:rPr>
            </w:pPr>
            <w:r w:rsidRPr="00C7530D">
              <w:rPr>
                <w:bCs/>
                <w:color w:val="000000"/>
                <w:szCs w:val="18"/>
              </w:rPr>
              <w:t>369,704</w:t>
            </w:r>
          </w:p>
        </w:tc>
      </w:tr>
    </w:tbl>
    <w:p w:rsidR="000D6FBB" w:rsidRDefault="006415CC" w:rsidP="00717364">
      <w:pPr>
        <w:tabs>
          <w:tab w:val="clear" w:pos="567"/>
          <w:tab w:val="clear" w:pos="1134"/>
          <w:tab w:val="clear" w:pos="1701"/>
          <w:tab w:val="clear" w:pos="2268"/>
          <w:tab w:val="clear" w:pos="2835"/>
        </w:tabs>
        <w:snapToGrid w:val="0"/>
        <w:spacing w:before="360" w:after="120"/>
        <w:jc w:val="both"/>
        <w:rPr>
          <w:sz w:val="22"/>
          <w:lang w:val="en-US" w:eastAsia="zh-CN"/>
        </w:rPr>
      </w:pPr>
      <w:r>
        <w:rPr>
          <w:szCs w:val="24"/>
        </w:rPr>
        <w:t>2.</w:t>
      </w:r>
      <w:r w:rsidR="005A093A">
        <w:rPr>
          <w:szCs w:val="24"/>
        </w:rPr>
        <w:t>4</w:t>
      </w:r>
      <w:r>
        <w:rPr>
          <w:szCs w:val="24"/>
        </w:rPr>
        <w:tab/>
      </w:r>
      <w:r w:rsidR="000D6FBB" w:rsidRPr="000D6FBB">
        <w:t>Among the actuarial assumptions used in the actuarial valuation, the discount rate (based on AA corporate obligations return), the increase of medical costs and the increase of salary have the most significant impact</w:t>
      </w:r>
      <w:r w:rsidR="000D6FBB">
        <w:t>s</w:t>
      </w:r>
      <w:r w:rsidR="000D6FBB" w:rsidRPr="000D6FBB">
        <w:t>. A decrease of discount rate or increase in medical costs results in an increase of the ASHI liability, whereas an increase of salary results in an increase of the members’ and ITU’s contributions and support to the funding of the ASHI liability.</w:t>
      </w:r>
    </w:p>
    <w:p w:rsidR="006415CC" w:rsidRDefault="006415CC" w:rsidP="006415CC">
      <w:pPr>
        <w:tabs>
          <w:tab w:val="clear" w:pos="567"/>
          <w:tab w:val="clear" w:pos="1134"/>
          <w:tab w:val="clear" w:pos="1701"/>
          <w:tab w:val="clear" w:pos="2268"/>
          <w:tab w:val="clear" w:pos="2835"/>
        </w:tabs>
        <w:snapToGrid w:val="0"/>
        <w:spacing w:after="360"/>
        <w:jc w:val="both"/>
        <w:rPr>
          <w:szCs w:val="24"/>
        </w:rPr>
      </w:pPr>
      <w:r>
        <w:rPr>
          <w:szCs w:val="24"/>
        </w:rPr>
        <w:t>2.5</w:t>
      </w:r>
      <w:r>
        <w:rPr>
          <w:szCs w:val="24"/>
        </w:rPr>
        <w:tab/>
        <w:t>The evolution of these assumptions is illustrated in the table below.</w:t>
      </w:r>
    </w:p>
    <w:p w:rsidR="006415CC" w:rsidRDefault="006415CC" w:rsidP="003056B3">
      <w:pPr>
        <w:tabs>
          <w:tab w:val="clear" w:pos="567"/>
          <w:tab w:val="clear" w:pos="1134"/>
          <w:tab w:val="clear" w:pos="1701"/>
          <w:tab w:val="clear" w:pos="2268"/>
          <w:tab w:val="clear" w:pos="2835"/>
        </w:tabs>
        <w:snapToGrid w:val="0"/>
        <w:spacing w:after="120"/>
        <w:rPr>
          <w:b/>
          <w:bCs/>
        </w:rPr>
      </w:pPr>
      <w:r w:rsidRPr="00E34CDF">
        <w:rPr>
          <w:b/>
          <w:bCs/>
        </w:rPr>
        <w:t xml:space="preserve">Actuarial estimates retained for the actuarial valuation with significant impact on the IPSAS </w:t>
      </w:r>
      <w:r w:rsidR="003056B3">
        <w:rPr>
          <w:b/>
          <w:bCs/>
        </w:rPr>
        <w:t>39</w:t>
      </w:r>
      <w:r w:rsidRPr="00E34CDF">
        <w:rPr>
          <w:b/>
          <w:bCs/>
        </w:rPr>
        <w:t xml:space="preserve"> Obligation and ITU Net asset</w:t>
      </w:r>
    </w:p>
    <w:tbl>
      <w:tblPr>
        <w:tblpPr w:leftFromText="180" w:rightFromText="180" w:vertAnchor="text" w:horzAnchor="margin" w:tblpY="-50"/>
        <w:tblW w:w="10197" w:type="dxa"/>
        <w:tblLayout w:type="fixed"/>
        <w:tblLook w:val="04A0" w:firstRow="1" w:lastRow="0" w:firstColumn="1" w:lastColumn="0" w:noHBand="0" w:noVBand="1"/>
      </w:tblPr>
      <w:tblGrid>
        <w:gridCol w:w="2410"/>
        <w:gridCol w:w="850"/>
        <w:gridCol w:w="1134"/>
        <w:gridCol w:w="1134"/>
        <w:gridCol w:w="1134"/>
        <w:gridCol w:w="987"/>
        <w:gridCol w:w="846"/>
        <w:gridCol w:w="851"/>
        <w:gridCol w:w="851"/>
      </w:tblGrid>
      <w:tr w:rsidR="00624688" w:rsidRPr="00314801" w:rsidTr="00624688">
        <w:trPr>
          <w:trHeight w:val="435"/>
        </w:trPr>
        <w:tc>
          <w:tcPr>
            <w:tcW w:w="2410" w:type="dxa"/>
            <w:tcBorders>
              <w:top w:val="single" w:sz="8" w:space="0" w:color="auto"/>
              <w:left w:val="single" w:sz="8" w:space="0" w:color="auto"/>
              <w:bottom w:val="nil"/>
              <w:right w:val="single" w:sz="4" w:space="0" w:color="auto"/>
            </w:tcBorders>
            <w:shd w:val="clear" w:color="auto" w:fill="auto"/>
            <w:vAlign w:val="center"/>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85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2014</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2015</w:t>
            </w:r>
          </w:p>
        </w:tc>
        <w:tc>
          <w:tcPr>
            <w:tcW w:w="846" w:type="dxa"/>
            <w:tcBorders>
              <w:top w:val="single" w:sz="8" w:space="0" w:color="auto"/>
              <w:left w:val="nil"/>
              <w:bottom w:val="single" w:sz="8" w:space="0" w:color="auto"/>
              <w:right w:val="single" w:sz="8" w:space="0" w:color="auto"/>
            </w:tcBorders>
            <w:shd w:val="clear" w:color="auto" w:fill="auto"/>
            <w:vAlign w:val="center"/>
            <w:hideMark/>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2016</w:t>
            </w:r>
          </w:p>
        </w:tc>
        <w:tc>
          <w:tcPr>
            <w:tcW w:w="851" w:type="dxa"/>
            <w:tcBorders>
              <w:top w:val="single" w:sz="8" w:space="0" w:color="auto"/>
              <w:left w:val="nil"/>
              <w:bottom w:val="single" w:sz="8" w:space="0" w:color="auto"/>
              <w:right w:val="single" w:sz="8" w:space="0" w:color="auto"/>
            </w:tcBorders>
            <w:vAlign w:val="center"/>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2017</w:t>
            </w:r>
          </w:p>
        </w:tc>
        <w:tc>
          <w:tcPr>
            <w:tcW w:w="851" w:type="dxa"/>
            <w:tcBorders>
              <w:top w:val="single" w:sz="8" w:space="0" w:color="auto"/>
              <w:left w:val="nil"/>
              <w:bottom w:val="single" w:sz="8" w:space="0" w:color="auto"/>
              <w:right w:val="single" w:sz="8" w:space="0" w:color="auto"/>
            </w:tcBorders>
            <w:vAlign w:val="center"/>
          </w:tcPr>
          <w:p w:rsidR="00624688" w:rsidRPr="00314801" w:rsidRDefault="00624688" w:rsidP="00437361">
            <w:pPr>
              <w:jc w:val="center"/>
              <w:rPr>
                <w:rFonts w:asciiTheme="minorHAnsi" w:hAnsiTheme="minorHAnsi" w:cstheme="minorHAnsi"/>
                <w:color w:val="000000"/>
                <w:sz w:val="20"/>
              </w:rPr>
            </w:pPr>
            <w:r w:rsidRPr="00314801">
              <w:rPr>
                <w:rFonts w:asciiTheme="minorHAnsi" w:hAnsiTheme="minorHAnsi" w:cstheme="minorHAnsi"/>
                <w:color w:val="000000"/>
                <w:sz w:val="20"/>
              </w:rPr>
              <w:t>2018</w:t>
            </w:r>
          </w:p>
        </w:tc>
      </w:tr>
      <w:tr w:rsidR="00624688" w:rsidRPr="00314801" w:rsidTr="00624688">
        <w:trPr>
          <w:trHeight w:val="255"/>
        </w:trPr>
        <w:tc>
          <w:tcPr>
            <w:tcW w:w="2410" w:type="dxa"/>
            <w:tcBorders>
              <w:top w:val="nil"/>
              <w:left w:val="single" w:sz="8" w:space="0" w:color="auto"/>
              <w:bottom w:val="nil"/>
              <w:right w:val="single" w:sz="4" w:space="0" w:color="auto"/>
            </w:tcBorders>
            <w:shd w:val="clear" w:color="auto" w:fill="auto"/>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850" w:type="dxa"/>
            <w:tcBorders>
              <w:top w:val="nil"/>
              <w:left w:val="single" w:sz="4" w:space="0" w:color="auto"/>
              <w:bottom w:val="nil"/>
              <w:right w:val="single" w:sz="8" w:space="0" w:color="auto"/>
            </w:tcBorders>
            <w:shd w:val="clear" w:color="auto" w:fill="auto"/>
            <w:noWrap/>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1134" w:type="dxa"/>
            <w:tcBorders>
              <w:top w:val="nil"/>
              <w:left w:val="nil"/>
              <w:bottom w:val="nil"/>
              <w:right w:val="single" w:sz="8" w:space="0" w:color="auto"/>
            </w:tcBorders>
            <w:shd w:val="clear" w:color="auto" w:fill="auto"/>
            <w:noWrap/>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1134" w:type="dxa"/>
            <w:tcBorders>
              <w:top w:val="nil"/>
              <w:left w:val="nil"/>
              <w:bottom w:val="nil"/>
              <w:right w:val="single" w:sz="8" w:space="0" w:color="auto"/>
            </w:tcBorders>
            <w:shd w:val="clear" w:color="auto" w:fill="auto"/>
            <w:noWrap/>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1134" w:type="dxa"/>
            <w:tcBorders>
              <w:top w:val="nil"/>
              <w:left w:val="nil"/>
              <w:bottom w:val="nil"/>
              <w:right w:val="single" w:sz="8" w:space="0" w:color="auto"/>
            </w:tcBorders>
            <w:shd w:val="clear" w:color="auto" w:fill="auto"/>
            <w:noWrap/>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987" w:type="dxa"/>
            <w:tcBorders>
              <w:top w:val="nil"/>
              <w:left w:val="nil"/>
              <w:bottom w:val="nil"/>
              <w:right w:val="single" w:sz="8" w:space="0" w:color="auto"/>
            </w:tcBorders>
            <w:shd w:val="clear" w:color="auto" w:fill="auto"/>
            <w:noWrap/>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846" w:type="dxa"/>
            <w:tcBorders>
              <w:top w:val="nil"/>
              <w:left w:val="nil"/>
              <w:bottom w:val="nil"/>
              <w:right w:val="single" w:sz="8" w:space="0" w:color="auto"/>
            </w:tcBorders>
            <w:shd w:val="clear" w:color="auto" w:fill="auto"/>
            <w:noWrap/>
            <w:vAlign w:val="bottom"/>
            <w:hideMark/>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851" w:type="dxa"/>
            <w:tcBorders>
              <w:top w:val="nil"/>
              <w:left w:val="nil"/>
              <w:bottom w:val="nil"/>
              <w:right w:val="single" w:sz="8" w:space="0" w:color="auto"/>
            </w:tcBorders>
            <w:vAlign w:val="bottom"/>
          </w:tcPr>
          <w:p w:rsidR="00624688" w:rsidRPr="00314801" w:rsidRDefault="00624688" w:rsidP="00437361">
            <w:pP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851" w:type="dxa"/>
            <w:tcBorders>
              <w:top w:val="nil"/>
              <w:left w:val="nil"/>
              <w:bottom w:val="nil"/>
              <w:right w:val="single" w:sz="8" w:space="0" w:color="auto"/>
            </w:tcBorders>
          </w:tcPr>
          <w:p w:rsidR="00624688" w:rsidRPr="00314801" w:rsidRDefault="00624688" w:rsidP="00437361">
            <w:pPr>
              <w:rPr>
                <w:rFonts w:asciiTheme="minorHAnsi" w:hAnsiTheme="minorHAnsi" w:cstheme="minorHAnsi"/>
                <w:color w:val="000000"/>
                <w:sz w:val="20"/>
              </w:rPr>
            </w:pPr>
          </w:p>
        </w:tc>
      </w:tr>
      <w:tr w:rsidR="00624688" w:rsidRPr="00314801" w:rsidTr="00624688">
        <w:trPr>
          <w:trHeight w:val="480"/>
        </w:trPr>
        <w:tc>
          <w:tcPr>
            <w:tcW w:w="2410" w:type="dxa"/>
            <w:tcBorders>
              <w:top w:val="nil"/>
              <w:left w:val="single" w:sz="8" w:space="0" w:color="auto"/>
              <w:bottom w:val="nil"/>
              <w:right w:val="single" w:sz="4" w:space="0" w:color="auto"/>
            </w:tcBorders>
            <w:shd w:val="clear" w:color="auto" w:fill="auto"/>
            <w:vAlign w:val="center"/>
            <w:hideMark/>
          </w:tcPr>
          <w:p w:rsidR="00624688" w:rsidRPr="00314801" w:rsidRDefault="00624688" w:rsidP="00624688">
            <w:pPr>
              <w:rPr>
                <w:rFonts w:asciiTheme="minorHAnsi" w:hAnsiTheme="minorHAnsi" w:cstheme="minorHAnsi"/>
                <w:color w:val="000000"/>
                <w:sz w:val="20"/>
              </w:rPr>
            </w:pPr>
            <w:r w:rsidRPr="00314801">
              <w:rPr>
                <w:rFonts w:asciiTheme="minorHAnsi" w:hAnsiTheme="minorHAnsi" w:cstheme="minorHAnsi"/>
                <w:color w:val="000000"/>
                <w:sz w:val="20"/>
              </w:rPr>
              <w:t>Discount rate</w:t>
            </w:r>
          </w:p>
        </w:tc>
        <w:tc>
          <w:tcPr>
            <w:tcW w:w="850" w:type="dxa"/>
            <w:tcBorders>
              <w:top w:val="nil"/>
              <w:left w:val="single" w:sz="4" w:space="0" w:color="auto"/>
              <w:bottom w:val="nil"/>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2.50%</w:t>
            </w:r>
          </w:p>
        </w:tc>
        <w:tc>
          <w:tcPr>
            <w:tcW w:w="1134" w:type="dxa"/>
            <w:tcBorders>
              <w:top w:val="nil"/>
              <w:left w:val="nil"/>
              <w:bottom w:val="nil"/>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2.24%</w:t>
            </w:r>
          </w:p>
        </w:tc>
        <w:tc>
          <w:tcPr>
            <w:tcW w:w="1134" w:type="dxa"/>
            <w:tcBorders>
              <w:top w:val="nil"/>
              <w:left w:val="nil"/>
              <w:bottom w:val="nil"/>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2.76%</w:t>
            </w:r>
          </w:p>
        </w:tc>
        <w:tc>
          <w:tcPr>
            <w:tcW w:w="1134" w:type="dxa"/>
            <w:tcBorders>
              <w:top w:val="nil"/>
              <w:left w:val="nil"/>
              <w:bottom w:val="nil"/>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1.51%</w:t>
            </w:r>
          </w:p>
        </w:tc>
        <w:tc>
          <w:tcPr>
            <w:tcW w:w="987" w:type="dxa"/>
            <w:tcBorders>
              <w:top w:val="nil"/>
              <w:left w:val="nil"/>
              <w:bottom w:val="nil"/>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1.32%</w:t>
            </w:r>
          </w:p>
        </w:tc>
        <w:tc>
          <w:tcPr>
            <w:tcW w:w="846" w:type="dxa"/>
            <w:tcBorders>
              <w:top w:val="nil"/>
              <w:left w:val="nil"/>
              <w:bottom w:val="nil"/>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0.92%</w:t>
            </w:r>
          </w:p>
        </w:tc>
        <w:tc>
          <w:tcPr>
            <w:tcW w:w="851" w:type="dxa"/>
            <w:tcBorders>
              <w:top w:val="nil"/>
              <w:left w:val="nil"/>
              <w:bottom w:val="nil"/>
              <w:right w:val="single" w:sz="8" w:space="0" w:color="auto"/>
            </w:tcBorders>
            <w:vAlign w:val="bottom"/>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0.90%</w:t>
            </w:r>
          </w:p>
        </w:tc>
        <w:tc>
          <w:tcPr>
            <w:tcW w:w="851" w:type="dxa"/>
            <w:tcBorders>
              <w:top w:val="nil"/>
              <w:left w:val="nil"/>
              <w:bottom w:val="nil"/>
              <w:right w:val="single" w:sz="8" w:space="0" w:color="auto"/>
            </w:tcBorders>
            <w:vAlign w:val="bottom"/>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1.20%</w:t>
            </w:r>
          </w:p>
        </w:tc>
      </w:tr>
      <w:tr w:rsidR="00624688" w:rsidRPr="00314801" w:rsidTr="00624688">
        <w:trPr>
          <w:trHeight w:val="420"/>
        </w:trPr>
        <w:tc>
          <w:tcPr>
            <w:tcW w:w="2410" w:type="dxa"/>
            <w:tcBorders>
              <w:top w:val="nil"/>
              <w:left w:val="single" w:sz="8" w:space="0" w:color="auto"/>
              <w:bottom w:val="nil"/>
              <w:right w:val="single" w:sz="4" w:space="0" w:color="auto"/>
            </w:tcBorders>
            <w:shd w:val="clear" w:color="auto" w:fill="auto"/>
            <w:vAlign w:val="center"/>
            <w:hideMark/>
          </w:tcPr>
          <w:p w:rsidR="00624688" w:rsidRPr="00314801" w:rsidRDefault="00624688" w:rsidP="00624688">
            <w:pPr>
              <w:rPr>
                <w:rFonts w:asciiTheme="minorHAnsi" w:hAnsiTheme="minorHAnsi" w:cstheme="minorHAnsi"/>
                <w:color w:val="000000"/>
                <w:sz w:val="20"/>
              </w:rPr>
            </w:pPr>
            <w:r w:rsidRPr="00314801">
              <w:rPr>
                <w:rFonts w:asciiTheme="minorHAnsi" w:hAnsiTheme="minorHAnsi" w:cstheme="minorHAnsi"/>
                <w:color w:val="000000"/>
                <w:sz w:val="20"/>
              </w:rPr>
              <w:t>Increase in medical cost</w:t>
            </w:r>
          </w:p>
        </w:tc>
        <w:tc>
          <w:tcPr>
            <w:tcW w:w="850" w:type="dxa"/>
            <w:tcBorders>
              <w:top w:val="nil"/>
              <w:left w:val="single" w:sz="4" w:space="0" w:color="auto"/>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6.00%</w:t>
            </w:r>
          </w:p>
        </w:tc>
        <w:tc>
          <w:tcPr>
            <w:tcW w:w="1134"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5.70%</w:t>
            </w:r>
          </w:p>
        </w:tc>
        <w:tc>
          <w:tcPr>
            <w:tcW w:w="1134"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5.40%</w:t>
            </w:r>
          </w:p>
        </w:tc>
        <w:tc>
          <w:tcPr>
            <w:tcW w:w="1134"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5.10%</w:t>
            </w:r>
          </w:p>
        </w:tc>
        <w:tc>
          <w:tcPr>
            <w:tcW w:w="987"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4.80%</w:t>
            </w:r>
          </w:p>
        </w:tc>
        <w:tc>
          <w:tcPr>
            <w:tcW w:w="846"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4.50%</w:t>
            </w:r>
          </w:p>
        </w:tc>
        <w:tc>
          <w:tcPr>
            <w:tcW w:w="851" w:type="dxa"/>
            <w:tcBorders>
              <w:top w:val="nil"/>
              <w:left w:val="nil"/>
              <w:bottom w:val="nil"/>
              <w:right w:val="single" w:sz="8" w:space="0" w:color="auto"/>
            </w:tcBorders>
            <w:vAlign w:val="bottom"/>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4.10%</w:t>
            </w:r>
          </w:p>
        </w:tc>
        <w:tc>
          <w:tcPr>
            <w:tcW w:w="851" w:type="dxa"/>
            <w:tcBorders>
              <w:top w:val="nil"/>
              <w:left w:val="nil"/>
              <w:bottom w:val="nil"/>
              <w:right w:val="single" w:sz="8" w:space="0" w:color="auto"/>
            </w:tcBorders>
            <w:vAlign w:val="bottom"/>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3.90%</w:t>
            </w:r>
          </w:p>
        </w:tc>
      </w:tr>
      <w:tr w:rsidR="00624688" w:rsidRPr="00314801" w:rsidTr="00624688">
        <w:trPr>
          <w:trHeight w:val="420"/>
        </w:trPr>
        <w:tc>
          <w:tcPr>
            <w:tcW w:w="2410" w:type="dxa"/>
            <w:vMerge w:val="restart"/>
            <w:tcBorders>
              <w:top w:val="nil"/>
              <w:left w:val="single" w:sz="8" w:space="0" w:color="auto"/>
              <w:bottom w:val="single" w:sz="8" w:space="0" w:color="000000"/>
              <w:right w:val="single" w:sz="4" w:space="0" w:color="auto"/>
            </w:tcBorders>
            <w:shd w:val="clear" w:color="auto" w:fill="auto"/>
            <w:vAlign w:val="center"/>
            <w:hideMark/>
          </w:tcPr>
          <w:p w:rsidR="00624688" w:rsidRPr="00314801" w:rsidRDefault="00624688" w:rsidP="00624688">
            <w:pPr>
              <w:rPr>
                <w:rFonts w:asciiTheme="minorHAnsi" w:hAnsiTheme="minorHAnsi" w:cstheme="minorHAnsi"/>
                <w:color w:val="000000"/>
                <w:sz w:val="20"/>
              </w:rPr>
            </w:pPr>
            <w:r w:rsidRPr="00314801">
              <w:rPr>
                <w:rFonts w:asciiTheme="minorHAnsi" w:hAnsiTheme="minorHAnsi" w:cstheme="minorHAnsi"/>
                <w:color w:val="000000"/>
                <w:sz w:val="20"/>
              </w:rPr>
              <w:t>Salary increase</w:t>
            </w:r>
          </w:p>
        </w:tc>
        <w:tc>
          <w:tcPr>
            <w:tcW w:w="850" w:type="dxa"/>
            <w:tcBorders>
              <w:top w:val="nil"/>
              <w:left w:val="single" w:sz="4" w:space="0" w:color="auto"/>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3.80%</w:t>
            </w:r>
          </w:p>
        </w:tc>
        <w:tc>
          <w:tcPr>
            <w:tcW w:w="1134"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3.58% P</w:t>
            </w:r>
          </w:p>
        </w:tc>
        <w:tc>
          <w:tcPr>
            <w:tcW w:w="1134"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3.58% P</w:t>
            </w:r>
          </w:p>
        </w:tc>
        <w:tc>
          <w:tcPr>
            <w:tcW w:w="1134"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3.86% P</w:t>
            </w:r>
          </w:p>
        </w:tc>
        <w:tc>
          <w:tcPr>
            <w:tcW w:w="987"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3.50%</w:t>
            </w:r>
          </w:p>
        </w:tc>
        <w:tc>
          <w:tcPr>
            <w:tcW w:w="846" w:type="dxa"/>
            <w:tcBorders>
              <w:top w:val="nil"/>
              <w:left w:val="nil"/>
              <w:bottom w:val="nil"/>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3.50%</w:t>
            </w:r>
          </w:p>
        </w:tc>
        <w:tc>
          <w:tcPr>
            <w:tcW w:w="851" w:type="dxa"/>
            <w:tcBorders>
              <w:top w:val="nil"/>
              <w:left w:val="nil"/>
              <w:bottom w:val="nil"/>
              <w:right w:val="single" w:sz="8" w:space="0" w:color="auto"/>
            </w:tcBorders>
            <w:vAlign w:val="bottom"/>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3.50%</w:t>
            </w:r>
          </w:p>
        </w:tc>
        <w:tc>
          <w:tcPr>
            <w:tcW w:w="851" w:type="dxa"/>
            <w:tcBorders>
              <w:top w:val="nil"/>
              <w:left w:val="nil"/>
              <w:bottom w:val="nil"/>
              <w:right w:val="single" w:sz="8" w:space="0" w:color="auto"/>
            </w:tcBorders>
            <w:vAlign w:val="bottom"/>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3.50%</w:t>
            </w:r>
          </w:p>
        </w:tc>
      </w:tr>
      <w:tr w:rsidR="00624688" w:rsidRPr="00314801" w:rsidTr="00624688">
        <w:trPr>
          <w:trHeight w:val="345"/>
        </w:trPr>
        <w:tc>
          <w:tcPr>
            <w:tcW w:w="2410" w:type="dxa"/>
            <w:vMerge/>
            <w:tcBorders>
              <w:top w:val="nil"/>
              <w:left w:val="single" w:sz="8" w:space="0" w:color="auto"/>
              <w:bottom w:val="single" w:sz="8" w:space="0" w:color="000000"/>
              <w:right w:val="single" w:sz="4" w:space="0" w:color="auto"/>
            </w:tcBorders>
            <w:vAlign w:val="center"/>
            <w:hideMark/>
          </w:tcPr>
          <w:p w:rsidR="00624688" w:rsidRPr="00314801" w:rsidRDefault="00624688" w:rsidP="00624688">
            <w:pPr>
              <w:rPr>
                <w:rFonts w:asciiTheme="minorHAnsi" w:hAnsiTheme="minorHAnsi" w:cstheme="minorHAnsi"/>
                <w:color w:val="000000"/>
                <w:sz w:val="20"/>
              </w:rPr>
            </w:pPr>
          </w:p>
        </w:tc>
        <w:tc>
          <w:tcPr>
            <w:tcW w:w="850" w:type="dxa"/>
            <w:tcBorders>
              <w:top w:val="nil"/>
              <w:left w:val="single" w:sz="4" w:space="0" w:color="auto"/>
              <w:bottom w:val="single" w:sz="8" w:space="0" w:color="auto"/>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1134" w:type="dxa"/>
            <w:tcBorders>
              <w:top w:val="nil"/>
              <w:left w:val="nil"/>
              <w:bottom w:val="single" w:sz="8" w:space="0" w:color="auto"/>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3.32% G</w:t>
            </w:r>
          </w:p>
        </w:tc>
        <w:tc>
          <w:tcPr>
            <w:tcW w:w="987" w:type="dxa"/>
            <w:tcBorders>
              <w:top w:val="nil"/>
              <w:left w:val="nil"/>
              <w:bottom w:val="single" w:sz="8" w:space="0" w:color="auto"/>
              <w:right w:val="single" w:sz="8" w:space="0" w:color="auto"/>
            </w:tcBorders>
            <w:shd w:val="clear" w:color="auto" w:fill="auto"/>
            <w:vAlign w:val="bottom"/>
            <w:hideMark/>
          </w:tcPr>
          <w:p w:rsidR="00624688" w:rsidRPr="00314801" w:rsidRDefault="00624688" w:rsidP="00624688">
            <w:pPr>
              <w:jc w:val="center"/>
              <w:rPr>
                <w:rFonts w:asciiTheme="minorHAnsi" w:hAnsiTheme="minorHAnsi" w:cstheme="minorHAnsi"/>
                <w:i/>
                <w:iCs/>
                <w:color w:val="000000"/>
                <w:sz w:val="20"/>
              </w:rPr>
            </w:pPr>
            <w:r w:rsidRPr="00314801">
              <w:rPr>
                <w:rFonts w:asciiTheme="minorHAnsi" w:hAnsiTheme="minorHAnsi" w:cstheme="minorHAnsi"/>
                <w:i/>
                <w:iCs/>
                <w:color w:val="000000"/>
                <w:sz w:val="20"/>
              </w:rPr>
              <w:t> </w:t>
            </w:r>
          </w:p>
        </w:tc>
        <w:tc>
          <w:tcPr>
            <w:tcW w:w="846" w:type="dxa"/>
            <w:tcBorders>
              <w:top w:val="nil"/>
              <w:left w:val="nil"/>
              <w:bottom w:val="single" w:sz="8" w:space="0" w:color="auto"/>
              <w:right w:val="single" w:sz="8" w:space="0" w:color="auto"/>
            </w:tcBorders>
            <w:shd w:val="clear" w:color="auto" w:fill="auto"/>
            <w:noWrap/>
            <w:vAlign w:val="bottom"/>
            <w:hideMark/>
          </w:tcPr>
          <w:p w:rsidR="00624688" w:rsidRPr="00314801" w:rsidRDefault="00624688" w:rsidP="00624688">
            <w:pPr>
              <w:jc w:val="center"/>
              <w:rPr>
                <w:rFonts w:asciiTheme="minorHAnsi" w:hAnsiTheme="minorHAnsi" w:cstheme="minorHAnsi"/>
                <w:color w:val="000000"/>
                <w:sz w:val="20"/>
              </w:rPr>
            </w:pPr>
            <w:r w:rsidRPr="00314801">
              <w:rPr>
                <w:rFonts w:asciiTheme="minorHAnsi" w:hAnsiTheme="minorHAnsi" w:cstheme="minorHAnsi"/>
                <w:color w:val="000000"/>
                <w:sz w:val="20"/>
              </w:rPr>
              <w:t> </w:t>
            </w:r>
          </w:p>
        </w:tc>
        <w:tc>
          <w:tcPr>
            <w:tcW w:w="851" w:type="dxa"/>
            <w:tcBorders>
              <w:top w:val="nil"/>
              <w:left w:val="nil"/>
              <w:bottom w:val="single" w:sz="8" w:space="0" w:color="auto"/>
              <w:right w:val="single" w:sz="8" w:space="0" w:color="auto"/>
            </w:tcBorders>
          </w:tcPr>
          <w:p w:rsidR="00624688" w:rsidRPr="00314801" w:rsidRDefault="00624688" w:rsidP="00624688">
            <w:pPr>
              <w:jc w:val="center"/>
              <w:rPr>
                <w:rFonts w:asciiTheme="minorHAnsi" w:hAnsiTheme="minorHAnsi" w:cstheme="minorHAnsi"/>
                <w:color w:val="000000"/>
                <w:sz w:val="20"/>
              </w:rPr>
            </w:pPr>
          </w:p>
        </w:tc>
        <w:tc>
          <w:tcPr>
            <w:tcW w:w="851" w:type="dxa"/>
            <w:tcBorders>
              <w:top w:val="nil"/>
              <w:left w:val="nil"/>
              <w:bottom w:val="single" w:sz="8" w:space="0" w:color="auto"/>
              <w:right w:val="single" w:sz="8" w:space="0" w:color="auto"/>
            </w:tcBorders>
          </w:tcPr>
          <w:p w:rsidR="00624688" w:rsidRPr="00314801" w:rsidRDefault="00624688" w:rsidP="00624688">
            <w:pPr>
              <w:jc w:val="center"/>
              <w:rPr>
                <w:rFonts w:asciiTheme="minorHAnsi" w:hAnsiTheme="minorHAnsi" w:cstheme="minorHAnsi"/>
                <w:color w:val="000000"/>
                <w:sz w:val="20"/>
              </w:rPr>
            </w:pPr>
          </w:p>
        </w:tc>
      </w:tr>
    </w:tbl>
    <w:p w:rsidR="006415CC" w:rsidRDefault="006415CC" w:rsidP="00624688">
      <w:pPr>
        <w:keepNext/>
        <w:keepLines/>
        <w:tabs>
          <w:tab w:val="clear" w:pos="567"/>
          <w:tab w:val="clear" w:pos="1134"/>
          <w:tab w:val="clear" w:pos="1701"/>
          <w:tab w:val="clear" w:pos="2268"/>
          <w:tab w:val="clear" w:pos="2835"/>
        </w:tabs>
        <w:snapToGrid w:val="0"/>
        <w:spacing w:before="240" w:after="120"/>
        <w:jc w:val="both"/>
        <w:rPr>
          <w:szCs w:val="24"/>
        </w:rPr>
      </w:pPr>
      <w:r>
        <w:rPr>
          <w:szCs w:val="24"/>
        </w:rPr>
        <w:t>2.6</w:t>
      </w:r>
      <w:r>
        <w:rPr>
          <w:szCs w:val="24"/>
        </w:rPr>
        <w:tab/>
        <w:t>The evolution of the ASHI liability since 201</w:t>
      </w:r>
      <w:r w:rsidR="00624688">
        <w:rPr>
          <w:szCs w:val="24"/>
        </w:rPr>
        <w:t>2</w:t>
      </w:r>
      <w:r>
        <w:rPr>
          <w:szCs w:val="24"/>
        </w:rPr>
        <w:t xml:space="preserve"> as well as its impact on net assets is illustrated in the table below.</w:t>
      </w:r>
    </w:p>
    <w:p w:rsidR="000D6FBB" w:rsidRDefault="000D6FBB">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rsidR="006415CC" w:rsidRPr="00864184" w:rsidRDefault="006415CC" w:rsidP="00BA41D1">
      <w:pPr>
        <w:keepNext/>
        <w:keepLines/>
        <w:tabs>
          <w:tab w:val="clear" w:pos="567"/>
          <w:tab w:val="clear" w:pos="1134"/>
          <w:tab w:val="clear" w:pos="1701"/>
          <w:tab w:val="clear" w:pos="2268"/>
          <w:tab w:val="clear" w:pos="2835"/>
        </w:tabs>
        <w:snapToGrid w:val="0"/>
        <w:spacing w:before="240" w:after="240"/>
        <w:jc w:val="both"/>
        <w:rPr>
          <w:highlight w:val="yellow"/>
        </w:rPr>
      </w:pPr>
      <w:r w:rsidRPr="006C4F0F">
        <w:rPr>
          <w:b/>
          <w:bCs/>
          <w:szCs w:val="24"/>
        </w:rPr>
        <w:lastRenderedPageBreak/>
        <w:t>Development of ITU net assets due to the recognition of an ASHI Obligation according to IPSAS </w:t>
      </w:r>
      <w:r w:rsidR="00BA41D1">
        <w:rPr>
          <w:b/>
          <w:bCs/>
          <w:szCs w:val="24"/>
        </w:rPr>
        <w:t>39</w:t>
      </w:r>
      <w:r w:rsidRPr="00690118">
        <w:rPr>
          <w:sz w:val="22"/>
          <w:szCs w:val="22"/>
          <w:highlight w:val="yellow"/>
        </w:rPr>
        <w:fldChar w:fldCharType="begin"/>
      </w:r>
      <w:r w:rsidRPr="00690118">
        <w:rPr>
          <w:highlight w:val="yellow"/>
        </w:rPr>
        <w:instrText xml:space="preserve"> LINK </w:instrText>
      </w:r>
      <w:r w:rsidR="00EC1F05">
        <w:rPr>
          <w:highlight w:val="yellow"/>
        </w:rPr>
        <w:instrText xml:space="preserve">Excel.Sheet.8 "C:\\COMPTA GENERALE\\BOUCLEMENT\\2016\\ASHI\\ASHI 2016.xls" "2014 calcul CHF ASHI!R94C1:R100C10" </w:instrText>
      </w:r>
      <w:r w:rsidRPr="00690118">
        <w:rPr>
          <w:highlight w:val="yellow"/>
        </w:rPr>
        <w:instrText xml:space="preserve">\a \f 4 \h </w:instrText>
      </w:r>
      <w:r>
        <w:rPr>
          <w:highlight w:val="yellow"/>
        </w:rPr>
        <w:instrText xml:space="preserve"> \* MERGEFORMAT </w:instrText>
      </w:r>
      <w:r w:rsidRPr="00690118">
        <w:rPr>
          <w:sz w:val="22"/>
          <w:szCs w:val="22"/>
          <w:highlight w:val="yellow"/>
        </w:rPr>
        <w:fldChar w:fldCharType="separate"/>
      </w:r>
    </w:p>
    <w:tbl>
      <w:tblPr>
        <w:tblpPr w:leftFromText="180" w:rightFromText="180" w:vertAnchor="text" w:tblpY="1"/>
        <w:tblOverlap w:val="never"/>
        <w:tblW w:w="9507" w:type="dxa"/>
        <w:tblLook w:val="04A0" w:firstRow="1" w:lastRow="0" w:firstColumn="1" w:lastColumn="0" w:noHBand="0" w:noVBand="1"/>
      </w:tblPr>
      <w:tblGrid>
        <w:gridCol w:w="2552"/>
        <w:gridCol w:w="993"/>
        <w:gridCol w:w="992"/>
        <w:gridCol w:w="992"/>
        <w:gridCol w:w="992"/>
        <w:gridCol w:w="984"/>
        <w:gridCol w:w="1001"/>
        <w:gridCol w:w="1001"/>
      </w:tblGrid>
      <w:tr w:rsidR="00624688" w:rsidRPr="00864184" w:rsidTr="00624688">
        <w:trPr>
          <w:trHeight w:val="270"/>
        </w:trPr>
        <w:tc>
          <w:tcPr>
            <w:tcW w:w="2552" w:type="dxa"/>
            <w:tcBorders>
              <w:top w:val="single" w:sz="8" w:space="0" w:color="auto"/>
              <w:left w:val="single" w:sz="8" w:space="0" w:color="auto"/>
              <w:bottom w:val="single" w:sz="8" w:space="0" w:color="auto"/>
              <w:right w:val="nil"/>
            </w:tcBorders>
            <w:shd w:val="clear" w:color="auto" w:fill="auto"/>
            <w:noWrap/>
            <w:vAlign w:val="bottom"/>
            <w:hideMark/>
          </w:tcPr>
          <w:p w:rsidR="00624688" w:rsidRPr="00864184" w:rsidRDefault="00624688" w:rsidP="002D70E5">
            <w:pPr>
              <w:keepNext/>
              <w:keepLines/>
              <w:rPr>
                <w:rFonts w:cs="Arial"/>
                <w:color w:val="000000"/>
                <w:sz w:val="20"/>
              </w:rPr>
            </w:pPr>
            <w:r w:rsidRPr="00864184">
              <w:rPr>
                <w:rFonts w:cs="Arial"/>
                <w:color w:val="000000"/>
                <w:sz w:val="20"/>
              </w:rPr>
              <w:t>In thousand CHF</w:t>
            </w:r>
          </w:p>
        </w:tc>
        <w:tc>
          <w:tcPr>
            <w:tcW w:w="993" w:type="dxa"/>
            <w:tcBorders>
              <w:top w:val="single" w:sz="8" w:space="0" w:color="auto"/>
              <w:left w:val="nil"/>
              <w:bottom w:val="single" w:sz="8" w:space="0" w:color="auto"/>
              <w:right w:val="nil"/>
            </w:tcBorders>
            <w:shd w:val="clear" w:color="auto" w:fill="auto"/>
            <w:noWrap/>
            <w:vAlign w:val="bottom"/>
            <w:hideMark/>
          </w:tcPr>
          <w:p w:rsidR="00624688" w:rsidRPr="00864184" w:rsidRDefault="00624688" w:rsidP="002D70E5">
            <w:pPr>
              <w:keepNext/>
              <w:keepLines/>
              <w:jc w:val="center"/>
              <w:rPr>
                <w:rFonts w:cs="Arial"/>
                <w:b/>
                <w:bCs/>
                <w:color w:val="000000"/>
                <w:sz w:val="20"/>
              </w:rPr>
            </w:pPr>
            <w:r>
              <w:rPr>
                <w:rFonts w:cs="Arial"/>
                <w:b/>
                <w:bCs/>
                <w:color w:val="000000"/>
                <w:sz w:val="20"/>
              </w:rPr>
              <w:t>D</w:t>
            </w:r>
            <w:r w:rsidRPr="00864184">
              <w:rPr>
                <w:rFonts w:cs="Arial"/>
                <w:b/>
                <w:bCs/>
                <w:color w:val="000000"/>
                <w:sz w:val="20"/>
              </w:rPr>
              <w:t>ec. 12</w:t>
            </w:r>
          </w:p>
        </w:tc>
        <w:tc>
          <w:tcPr>
            <w:tcW w:w="992" w:type="dxa"/>
            <w:tcBorders>
              <w:top w:val="single" w:sz="8" w:space="0" w:color="auto"/>
              <w:left w:val="nil"/>
              <w:bottom w:val="single" w:sz="8" w:space="0" w:color="auto"/>
              <w:right w:val="nil"/>
            </w:tcBorders>
            <w:shd w:val="clear" w:color="auto" w:fill="auto"/>
            <w:noWrap/>
            <w:vAlign w:val="bottom"/>
            <w:hideMark/>
          </w:tcPr>
          <w:p w:rsidR="00624688" w:rsidRPr="00864184" w:rsidRDefault="00624688"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13</w:t>
            </w:r>
          </w:p>
        </w:tc>
        <w:tc>
          <w:tcPr>
            <w:tcW w:w="992" w:type="dxa"/>
            <w:tcBorders>
              <w:top w:val="single" w:sz="8" w:space="0" w:color="auto"/>
              <w:left w:val="nil"/>
              <w:bottom w:val="single" w:sz="8" w:space="0" w:color="auto"/>
              <w:right w:val="nil"/>
            </w:tcBorders>
            <w:shd w:val="clear" w:color="auto" w:fill="auto"/>
            <w:noWrap/>
            <w:vAlign w:val="bottom"/>
            <w:hideMark/>
          </w:tcPr>
          <w:p w:rsidR="00624688" w:rsidRPr="00864184" w:rsidRDefault="00624688"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14</w:t>
            </w:r>
          </w:p>
        </w:tc>
        <w:tc>
          <w:tcPr>
            <w:tcW w:w="992" w:type="dxa"/>
            <w:tcBorders>
              <w:top w:val="single" w:sz="8" w:space="0" w:color="auto"/>
              <w:left w:val="nil"/>
              <w:bottom w:val="single" w:sz="8" w:space="0" w:color="auto"/>
              <w:right w:val="nil"/>
            </w:tcBorders>
            <w:shd w:val="clear" w:color="auto" w:fill="auto"/>
            <w:noWrap/>
            <w:vAlign w:val="bottom"/>
            <w:hideMark/>
          </w:tcPr>
          <w:p w:rsidR="00624688" w:rsidRPr="00864184" w:rsidRDefault="00624688"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15</w:t>
            </w:r>
          </w:p>
        </w:tc>
        <w:tc>
          <w:tcPr>
            <w:tcW w:w="984" w:type="dxa"/>
            <w:tcBorders>
              <w:top w:val="single" w:sz="8" w:space="0" w:color="auto"/>
              <w:left w:val="nil"/>
              <w:bottom w:val="single" w:sz="8" w:space="0" w:color="auto"/>
            </w:tcBorders>
            <w:shd w:val="clear" w:color="auto" w:fill="auto"/>
            <w:noWrap/>
            <w:vAlign w:val="bottom"/>
            <w:hideMark/>
          </w:tcPr>
          <w:p w:rsidR="00624688" w:rsidRPr="003056B3" w:rsidRDefault="00624688" w:rsidP="002D70E5">
            <w:pPr>
              <w:keepNext/>
              <w:keepLines/>
              <w:jc w:val="center"/>
              <w:rPr>
                <w:rFonts w:cs="Arial"/>
                <w:b/>
                <w:bCs/>
                <w:color w:val="000000"/>
                <w:sz w:val="18"/>
                <w:szCs w:val="18"/>
              </w:rPr>
            </w:pPr>
            <w:r w:rsidRPr="003056B3">
              <w:rPr>
                <w:rFonts w:cs="Arial"/>
                <w:b/>
                <w:bCs/>
                <w:color w:val="000000"/>
                <w:sz w:val="18"/>
                <w:szCs w:val="18"/>
              </w:rPr>
              <w:t xml:space="preserve"> Dec. 16</w:t>
            </w:r>
          </w:p>
        </w:tc>
        <w:tc>
          <w:tcPr>
            <w:tcW w:w="1001" w:type="dxa"/>
            <w:tcBorders>
              <w:top w:val="single" w:sz="4" w:space="0" w:color="auto"/>
              <w:bottom w:val="single" w:sz="4" w:space="0" w:color="auto"/>
              <w:right w:val="single" w:sz="4" w:space="0" w:color="auto"/>
            </w:tcBorders>
          </w:tcPr>
          <w:p w:rsidR="00624688" w:rsidRPr="003056B3" w:rsidRDefault="00624688" w:rsidP="002D70E5">
            <w:pPr>
              <w:keepNext/>
              <w:keepLines/>
              <w:jc w:val="center"/>
              <w:rPr>
                <w:rFonts w:cs="Arial"/>
                <w:b/>
                <w:bCs/>
                <w:color w:val="000000"/>
                <w:sz w:val="18"/>
                <w:szCs w:val="18"/>
              </w:rPr>
            </w:pPr>
            <w:r w:rsidRPr="003056B3">
              <w:rPr>
                <w:rFonts w:cs="Arial"/>
                <w:b/>
                <w:bCs/>
                <w:color w:val="000000"/>
                <w:sz w:val="18"/>
                <w:szCs w:val="18"/>
              </w:rPr>
              <w:t>Dec. 1</w:t>
            </w:r>
            <w:r>
              <w:rPr>
                <w:rFonts w:cs="Arial"/>
                <w:b/>
                <w:bCs/>
                <w:color w:val="000000"/>
                <w:sz w:val="18"/>
                <w:szCs w:val="18"/>
              </w:rPr>
              <w:t>7</w:t>
            </w:r>
          </w:p>
        </w:tc>
        <w:tc>
          <w:tcPr>
            <w:tcW w:w="1001" w:type="dxa"/>
            <w:tcBorders>
              <w:top w:val="single" w:sz="4" w:space="0" w:color="auto"/>
              <w:bottom w:val="single" w:sz="4" w:space="0" w:color="auto"/>
              <w:right w:val="single" w:sz="4" w:space="0" w:color="auto"/>
            </w:tcBorders>
          </w:tcPr>
          <w:p w:rsidR="00624688" w:rsidRPr="003056B3" w:rsidRDefault="00624688" w:rsidP="00624688">
            <w:pPr>
              <w:keepNext/>
              <w:keepLines/>
              <w:jc w:val="center"/>
              <w:rPr>
                <w:rFonts w:cs="Arial"/>
                <w:b/>
                <w:bCs/>
                <w:color w:val="000000"/>
                <w:sz w:val="18"/>
                <w:szCs w:val="18"/>
              </w:rPr>
            </w:pPr>
            <w:r w:rsidRPr="003056B3">
              <w:rPr>
                <w:rFonts w:cs="Arial"/>
                <w:b/>
                <w:bCs/>
                <w:color w:val="000000"/>
                <w:sz w:val="18"/>
                <w:szCs w:val="18"/>
              </w:rPr>
              <w:t>Dec. 1</w:t>
            </w:r>
            <w:r>
              <w:rPr>
                <w:rFonts w:cs="Arial"/>
                <w:b/>
                <w:bCs/>
                <w:color w:val="000000"/>
                <w:sz w:val="18"/>
                <w:szCs w:val="18"/>
              </w:rPr>
              <w:t>8</w:t>
            </w:r>
          </w:p>
        </w:tc>
      </w:tr>
      <w:tr w:rsidR="00624688" w:rsidRPr="00864184" w:rsidTr="00624688">
        <w:trPr>
          <w:trHeight w:val="510"/>
        </w:trPr>
        <w:tc>
          <w:tcPr>
            <w:tcW w:w="2552" w:type="dxa"/>
            <w:tcBorders>
              <w:top w:val="nil"/>
              <w:left w:val="single" w:sz="8" w:space="0" w:color="auto"/>
              <w:bottom w:val="nil"/>
              <w:right w:val="single" w:sz="8" w:space="0" w:color="auto"/>
            </w:tcBorders>
            <w:shd w:val="clear" w:color="auto" w:fill="auto"/>
            <w:vAlign w:val="center"/>
            <w:hideMark/>
          </w:tcPr>
          <w:p w:rsidR="00624688" w:rsidRPr="00864184" w:rsidRDefault="00624688" w:rsidP="002D70E5">
            <w:pPr>
              <w:keepNext/>
              <w:keepLines/>
              <w:rPr>
                <w:rFonts w:cs="Arial"/>
                <w:color w:val="000000"/>
                <w:sz w:val="20"/>
              </w:rPr>
            </w:pPr>
            <w:r w:rsidRPr="00864184">
              <w:rPr>
                <w:rFonts w:cs="Arial"/>
                <w:color w:val="000000"/>
                <w:sz w:val="20"/>
              </w:rPr>
              <w:t>Present value of unfunded obligation</w:t>
            </w:r>
          </w:p>
        </w:tc>
        <w:tc>
          <w:tcPr>
            <w:tcW w:w="993" w:type="dxa"/>
            <w:tcBorders>
              <w:top w:val="nil"/>
              <w:left w:val="nil"/>
              <w:bottom w:val="nil"/>
              <w:right w:val="nil"/>
            </w:tcBorders>
            <w:shd w:val="clear" w:color="auto" w:fill="auto"/>
            <w:noWrap/>
            <w:vAlign w:val="center"/>
            <w:hideMark/>
          </w:tcPr>
          <w:p w:rsidR="00624688" w:rsidRPr="00864184" w:rsidRDefault="00624688" w:rsidP="002D70E5">
            <w:pPr>
              <w:keepNext/>
              <w:keepLines/>
              <w:spacing w:line="600" w:lineRule="auto"/>
              <w:rPr>
                <w:rFonts w:cs="Arial"/>
                <w:color w:val="000000"/>
                <w:sz w:val="18"/>
                <w:szCs w:val="18"/>
              </w:rPr>
            </w:pPr>
            <w:r w:rsidRPr="00864184">
              <w:rPr>
                <w:rFonts w:cs="Arial"/>
                <w:color w:val="000000"/>
                <w:sz w:val="18"/>
                <w:szCs w:val="18"/>
              </w:rPr>
              <w:t xml:space="preserve">  -335,206 </w:t>
            </w:r>
          </w:p>
        </w:tc>
        <w:tc>
          <w:tcPr>
            <w:tcW w:w="992" w:type="dxa"/>
            <w:tcBorders>
              <w:top w:val="nil"/>
              <w:left w:val="nil"/>
              <w:bottom w:val="nil"/>
              <w:right w:val="nil"/>
            </w:tcBorders>
            <w:shd w:val="clear" w:color="auto" w:fill="auto"/>
            <w:noWrap/>
            <w:vAlign w:val="center"/>
            <w:hideMark/>
          </w:tcPr>
          <w:p w:rsidR="00624688" w:rsidRPr="00864184" w:rsidRDefault="00624688" w:rsidP="002D70E5">
            <w:pPr>
              <w:keepNext/>
              <w:keepLines/>
              <w:spacing w:line="600" w:lineRule="auto"/>
              <w:rPr>
                <w:rFonts w:cs="Arial"/>
                <w:color w:val="000000"/>
                <w:sz w:val="18"/>
                <w:szCs w:val="18"/>
              </w:rPr>
            </w:pPr>
            <w:r w:rsidRPr="00864184">
              <w:rPr>
                <w:rFonts w:cs="Arial"/>
                <w:color w:val="000000"/>
                <w:sz w:val="18"/>
                <w:szCs w:val="18"/>
              </w:rPr>
              <w:t xml:space="preserve"> -314,127 </w:t>
            </w:r>
          </w:p>
        </w:tc>
        <w:tc>
          <w:tcPr>
            <w:tcW w:w="992" w:type="dxa"/>
            <w:tcBorders>
              <w:top w:val="nil"/>
              <w:left w:val="nil"/>
              <w:bottom w:val="nil"/>
              <w:right w:val="nil"/>
            </w:tcBorders>
            <w:shd w:val="clear" w:color="auto" w:fill="auto"/>
            <w:noWrap/>
            <w:vAlign w:val="center"/>
            <w:hideMark/>
          </w:tcPr>
          <w:p w:rsidR="00624688" w:rsidRPr="00864184" w:rsidRDefault="00624688" w:rsidP="002D70E5">
            <w:pPr>
              <w:keepNext/>
              <w:keepLines/>
              <w:spacing w:line="600" w:lineRule="auto"/>
              <w:rPr>
                <w:rFonts w:cs="Arial"/>
                <w:color w:val="000000"/>
                <w:sz w:val="18"/>
                <w:szCs w:val="18"/>
              </w:rPr>
            </w:pPr>
            <w:r w:rsidRPr="00864184">
              <w:rPr>
                <w:rFonts w:cs="Arial"/>
                <w:color w:val="000000"/>
                <w:sz w:val="18"/>
                <w:szCs w:val="18"/>
              </w:rPr>
              <w:t xml:space="preserve"> -512,661 </w:t>
            </w:r>
          </w:p>
        </w:tc>
        <w:tc>
          <w:tcPr>
            <w:tcW w:w="992" w:type="dxa"/>
            <w:tcBorders>
              <w:top w:val="nil"/>
              <w:left w:val="nil"/>
              <w:bottom w:val="nil"/>
              <w:right w:val="nil"/>
            </w:tcBorders>
            <w:shd w:val="clear" w:color="auto" w:fill="auto"/>
            <w:noWrap/>
            <w:vAlign w:val="center"/>
            <w:hideMark/>
          </w:tcPr>
          <w:p w:rsidR="00624688" w:rsidRPr="00864184" w:rsidRDefault="00624688" w:rsidP="002D70E5">
            <w:pPr>
              <w:keepNext/>
              <w:keepLines/>
              <w:spacing w:line="600" w:lineRule="auto"/>
              <w:rPr>
                <w:rFonts w:cs="Arial"/>
                <w:color w:val="000000"/>
                <w:sz w:val="18"/>
                <w:szCs w:val="18"/>
              </w:rPr>
            </w:pPr>
            <w:r w:rsidRPr="00864184">
              <w:rPr>
                <w:rFonts w:cs="Arial"/>
                <w:color w:val="000000"/>
                <w:sz w:val="18"/>
                <w:szCs w:val="18"/>
              </w:rPr>
              <w:t xml:space="preserve">  -472,801 </w:t>
            </w:r>
          </w:p>
        </w:tc>
        <w:tc>
          <w:tcPr>
            <w:tcW w:w="984" w:type="dxa"/>
            <w:tcBorders>
              <w:top w:val="nil"/>
              <w:left w:val="nil"/>
              <w:bottom w:val="nil"/>
            </w:tcBorders>
            <w:shd w:val="clear" w:color="auto" w:fill="auto"/>
            <w:noWrap/>
            <w:vAlign w:val="center"/>
            <w:hideMark/>
          </w:tcPr>
          <w:p w:rsidR="00624688" w:rsidRPr="003056B3" w:rsidRDefault="00624688" w:rsidP="002D70E5">
            <w:pPr>
              <w:keepNext/>
              <w:keepLines/>
              <w:spacing w:line="600" w:lineRule="auto"/>
              <w:rPr>
                <w:rFonts w:cs="Arial"/>
                <w:color w:val="000000"/>
                <w:sz w:val="18"/>
                <w:szCs w:val="18"/>
              </w:rPr>
            </w:pPr>
            <w:r w:rsidRPr="003056B3">
              <w:rPr>
                <w:rFonts w:cs="Arial"/>
                <w:color w:val="000000"/>
                <w:sz w:val="18"/>
                <w:szCs w:val="18"/>
              </w:rPr>
              <w:t xml:space="preserve">  -551,911 </w:t>
            </w:r>
          </w:p>
        </w:tc>
        <w:tc>
          <w:tcPr>
            <w:tcW w:w="1001" w:type="dxa"/>
            <w:tcBorders>
              <w:top w:val="single" w:sz="4" w:space="0" w:color="auto"/>
              <w:bottom w:val="nil"/>
              <w:right w:val="single" w:sz="4" w:space="0" w:color="auto"/>
            </w:tcBorders>
            <w:vAlign w:val="center"/>
          </w:tcPr>
          <w:p w:rsidR="00624688" w:rsidRPr="003056B3" w:rsidRDefault="00624688" w:rsidP="002D70E5">
            <w:pPr>
              <w:keepNext/>
              <w:keepLines/>
              <w:spacing w:line="600" w:lineRule="auto"/>
              <w:jc w:val="center"/>
              <w:rPr>
                <w:rFonts w:cs="Arial"/>
                <w:color w:val="000000"/>
                <w:sz w:val="18"/>
                <w:szCs w:val="18"/>
              </w:rPr>
            </w:pPr>
            <w:r>
              <w:rPr>
                <w:rFonts w:cs="Arial"/>
                <w:color w:val="000000"/>
                <w:sz w:val="18"/>
                <w:szCs w:val="18"/>
              </w:rPr>
              <w:t>-617,250</w:t>
            </w:r>
          </w:p>
        </w:tc>
        <w:tc>
          <w:tcPr>
            <w:tcW w:w="1001" w:type="dxa"/>
            <w:tcBorders>
              <w:top w:val="single" w:sz="4" w:space="0" w:color="auto"/>
              <w:bottom w:val="nil"/>
              <w:right w:val="single" w:sz="4" w:space="0" w:color="auto"/>
            </w:tcBorders>
            <w:vAlign w:val="center"/>
          </w:tcPr>
          <w:p w:rsidR="00624688" w:rsidRDefault="00624688" w:rsidP="002D70E5">
            <w:pPr>
              <w:keepNext/>
              <w:keepLines/>
              <w:spacing w:line="600" w:lineRule="auto"/>
              <w:jc w:val="center"/>
              <w:rPr>
                <w:rFonts w:cs="Arial"/>
                <w:color w:val="000000"/>
                <w:sz w:val="18"/>
                <w:szCs w:val="18"/>
              </w:rPr>
            </w:pPr>
            <w:r>
              <w:rPr>
                <w:rFonts w:cs="Arial"/>
                <w:color w:val="000000"/>
                <w:sz w:val="18"/>
                <w:szCs w:val="18"/>
              </w:rPr>
              <w:t>-552,240</w:t>
            </w:r>
          </w:p>
        </w:tc>
      </w:tr>
      <w:tr w:rsidR="00624688" w:rsidRPr="00864184" w:rsidTr="00624688">
        <w:trPr>
          <w:trHeight w:val="255"/>
        </w:trPr>
        <w:tc>
          <w:tcPr>
            <w:tcW w:w="2552" w:type="dxa"/>
            <w:tcBorders>
              <w:top w:val="nil"/>
              <w:left w:val="single" w:sz="8" w:space="0" w:color="auto"/>
              <w:bottom w:val="nil"/>
              <w:right w:val="single" w:sz="8" w:space="0" w:color="auto"/>
            </w:tcBorders>
            <w:shd w:val="clear" w:color="auto" w:fill="auto"/>
            <w:noWrap/>
            <w:vAlign w:val="bottom"/>
            <w:hideMark/>
          </w:tcPr>
          <w:p w:rsidR="00624688" w:rsidRPr="00864184" w:rsidRDefault="00624688" w:rsidP="002D70E5">
            <w:pPr>
              <w:keepNext/>
              <w:keepLines/>
              <w:rPr>
                <w:rFonts w:cs="Arial"/>
                <w:color w:val="000000"/>
                <w:sz w:val="20"/>
              </w:rPr>
            </w:pPr>
            <w:r w:rsidRPr="00864184">
              <w:rPr>
                <w:rFonts w:cs="Arial"/>
                <w:color w:val="000000"/>
                <w:sz w:val="20"/>
              </w:rPr>
              <w:t>Impact on net assets</w:t>
            </w:r>
          </w:p>
        </w:tc>
        <w:tc>
          <w:tcPr>
            <w:tcW w:w="993" w:type="dxa"/>
            <w:tcBorders>
              <w:top w:val="nil"/>
              <w:left w:val="nil"/>
              <w:bottom w:val="nil"/>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-45,851 </w:t>
            </w:r>
          </w:p>
        </w:tc>
        <w:tc>
          <w:tcPr>
            <w:tcW w:w="992" w:type="dxa"/>
            <w:tcBorders>
              <w:top w:val="nil"/>
              <w:left w:val="nil"/>
              <w:bottom w:val="nil"/>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26,498 </w:t>
            </w:r>
          </w:p>
        </w:tc>
        <w:tc>
          <w:tcPr>
            <w:tcW w:w="992" w:type="dxa"/>
            <w:tcBorders>
              <w:top w:val="nil"/>
              <w:left w:val="nil"/>
              <w:bottom w:val="nil"/>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-187,445 </w:t>
            </w:r>
          </w:p>
        </w:tc>
        <w:tc>
          <w:tcPr>
            <w:tcW w:w="992" w:type="dxa"/>
            <w:tcBorders>
              <w:top w:val="nil"/>
              <w:left w:val="nil"/>
              <w:bottom w:val="nil"/>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55,572 </w:t>
            </w:r>
          </w:p>
        </w:tc>
        <w:tc>
          <w:tcPr>
            <w:tcW w:w="984" w:type="dxa"/>
            <w:tcBorders>
              <w:top w:val="nil"/>
              <w:left w:val="nil"/>
              <w:bottom w:val="nil"/>
            </w:tcBorders>
            <w:shd w:val="clear" w:color="auto" w:fill="auto"/>
            <w:noWrap/>
            <w:vAlign w:val="center"/>
            <w:hideMark/>
          </w:tcPr>
          <w:p w:rsidR="00624688" w:rsidRPr="003056B3" w:rsidRDefault="00624688" w:rsidP="002D70E5">
            <w:pPr>
              <w:keepNext/>
              <w:keepLines/>
              <w:rPr>
                <w:rFonts w:cs="Arial"/>
                <w:color w:val="000000"/>
                <w:sz w:val="18"/>
                <w:szCs w:val="18"/>
              </w:rPr>
            </w:pPr>
            <w:r w:rsidRPr="003056B3">
              <w:rPr>
                <w:rFonts w:cs="Arial"/>
                <w:color w:val="000000"/>
                <w:sz w:val="18"/>
                <w:szCs w:val="18"/>
              </w:rPr>
              <w:t xml:space="preserve">     -65,443 </w:t>
            </w:r>
          </w:p>
        </w:tc>
        <w:tc>
          <w:tcPr>
            <w:tcW w:w="1001" w:type="dxa"/>
            <w:tcBorders>
              <w:top w:val="nil"/>
              <w:bottom w:val="nil"/>
              <w:right w:val="single" w:sz="4" w:space="0" w:color="auto"/>
            </w:tcBorders>
            <w:vAlign w:val="center"/>
          </w:tcPr>
          <w:p w:rsidR="00624688" w:rsidRPr="003056B3" w:rsidRDefault="00624688" w:rsidP="002D70E5">
            <w:pPr>
              <w:keepNext/>
              <w:keepLines/>
              <w:jc w:val="center"/>
              <w:rPr>
                <w:rFonts w:cs="Arial"/>
                <w:color w:val="000000"/>
                <w:sz w:val="18"/>
                <w:szCs w:val="18"/>
              </w:rPr>
            </w:pPr>
            <w:r>
              <w:rPr>
                <w:rFonts w:cs="Arial"/>
                <w:color w:val="000000"/>
                <w:sz w:val="18"/>
                <w:szCs w:val="18"/>
              </w:rPr>
              <w:t>-47,125</w:t>
            </w:r>
          </w:p>
        </w:tc>
        <w:tc>
          <w:tcPr>
            <w:tcW w:w="1001" w:type="dxa"/>
            <w:tcBorders>
              <w:top w:val="nil"/>
              <w:bottom w:val="nil"/>
              <w:right w:val="single" w:sz="4" w:space="0" w:color="auto"/>
            </w:tcBorders>
            <w:vAlign w:val="center"/>
          </w:tcPr>
          <w:p w:rsidR="00624688" w:rsidRDefault="00F32DF1" w:rsidP="00F32DF1">
            <w:pPr>
              <w:keepNext/>
              <w:keepLines/>
              <w:jc w:val="center"/>
              <w:rPr>
                <w:rFonts w:cs="Arial"/>
                <w:color w:val="000000"/>
                <w:sz w:val="18"/>
                <w:szCs w:val="18"/>
              </w:rPr>
            </w:pPr>
            <w:r>
              <w:rPr>
                <w:rFonts w:cs="Arial"/>
                <w:color w:val="000000"/>
                <w:sz w:val="18"/>
                <w:szCs w:val="18"/>
              </w:rPr>
              <w:t>87,277</w:t>
            </w:r>
          </w:p>
        </w:tc>
      </w:tr>
      <w:tr w:rsidR="00624688" w:rsidRPr="00864184" w:rsidTr="00624688">
        <w:trPr>
          <w:trHeight w:val="525"/>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24688" w:rsidRPr="00864184" w:rsidRDefault="00624688" w:rsidP="002D70E5">
            <w:pPr>
              <w:keepNext/>
              <w:keepLines/>
              <w:rPr>
                <w:rFonts w:cs="Arial"/>
                <w:color w:val="000000"/>
                <w:sz w:val="20"/>
              </w:rPr>
            </w:pPr>
            <w:r w:rsidRPr="00864184">
              <w:rPr>
                <w:rFonts w:cs="Arial"/>
                <w:color w:val="000000"/>
                <w:sz w:val="20"/>
              </w:rPr>
              <w:t>Cumulated ASHI Obligation in the Net assets</w:t>
            </w:r>
          </w:p>
        </w:tc>
        <w:tc>
          <w:tcPr>
            <w:tcW w:w="993" w:type="dxa"/>
            <w:tcBorders>
              <w:top w:val="single" w:sz="8" w:space="0" w:color="auto"/>
              <w:left w:val="nil"/>
              <w:bottom w:val="single" w:sz="8" w:space="0" w:color="auto"/>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-151,761 </w:t>
            </w:r>
          </w:p>
        </w:tc>
        <w:tc>
          <w:tcPr>
            <w:tcW w:w="992" w:type="dxa"/>
            <w:tcBorders>
              <w:top w:val="single" w:sz="8" w:space="0" w:color="auto"/>
              <w:left w:val="nil"/>
              <w:bottom w:val="single" w:sz="8" w:space="0" w:color="auto"/>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-125,263 </w:t>
            </w:r>
          </w:p>
        </w:tc>
        <w:tc>
          <w:tcPr>
            <w:tcW w:w="992" w:type="dxa"/>
            <w:tcBorders>
              <w:top w:val="single" w:sz="8" w:space="0" w:color="auto"/>
              <w:left w:val="nil"/>
              <w:bottom w:val="single" w:sz="8" w:space="0" w:color="auto"/>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-312,708 </w:t>
            </w:r>
          </w:p>
        </w:tc>
        <w:tc>
          <w:tcPr>
            <w:tcW w:w="992" w:type="dxa"/>
            <w:tcBorders>
              <w:top w:val="single" w:sz="8" w:space="0" w:color="auto"/>
              <w:left w:val="nil"/>
              <w:bottom w:val="single" w:sz="8" w:space="0" w:color="auto"/>
              <w:right w:val="nil"/>
            </w:tcBorders>
            <w:shd w:val="clear" w:color="auto" w:fill="auto"/>
            <w:noWrap/>
            <w:vAlign w:val="center"/>
            <w:hideMark/>
          </w:tcPr>
          <w:p w:rsidR="00624688" w:rsidRPr="00864184" w:rsidRDefault="00624688" w:rsidP="002D70E5">
            <w:pPr>
              <w:keepNext/>
              <w:keepLines/>
              <w:rPr>
                <w:rFonts w:cs="Arial"/>
                <w:color w:val="000000"/>
                <w:sz w:val="18"/>
                <w:szCs w:val="18"/>
              </w:rPr>
            </w:pPr>
            <w:r w:rsidRPr="00864184">
              <w:rPr>
                <w:rFonts w:cs="Arial"/>
                <w:color w:val="000000"/>
                <w:sz w:val="18"/>
                <w:szCs w:val="18"/>
              </w:rPr>
              <w:t xml:space="preserve">  -257,136 </w:t>
            </w:r>
          </w:p>
        </w:tc>
        <w:tc>
          <w:tcPr>
            <w:tcW w:w="984" w:type="dxa"/>
            <w:tcBorders>
              <w:top w:val="single" w:sz="8" w:space="0" w:color="auto"/>
              <w:left w:val="nil"/>
              <w:bottom w:val="single" w:sz="8" w:space="0" w:color="auto"/>
            </w:tcBorders>
            <w:shd w:val="clear" w:color="auto" w:fill="auto"/>
            <w:noWrap/>
            <w:vAlign w:val="center"/>
            <w:hideMark/>
          </w:tcPr>
          <w:p w:rsidR="00624688" w:rsidRPr="003056B3" w:rsidRDefault="00624688" w:rsidP="002D70E5">
            <w:pPr>
              <w:keepNext/>
              <w:keepLines/>
              <w:rPr>
                <w:rFonts w:cs="Arial"/>
                <w:color w:val="000000"/>
                <w:sz w:val="18"/>
                <w:szCs w:val="18"/>
              </w:rPr>
            </w:pPr>
            <w:r w:rsidRPr="003056B3">
              <w:rPr>
                <w:rFonts w:cs="Arial"/>
                <w:color w:val="000000"/>
                <w:sz w:val="18"/>
                <w:szCs w:val="18"/>
              </w:rPr>
              <w:t xml:space="preserve">  -322,579 </w:t>
            </w:r>
          </w:p>
        </w:tc>
        <w:tc>
          <w:tcPr>
            <w:tcW w:w="1001" w:type="dxa"/>
            <w:tcBorders>
              <w:top w:val="single" w:sz="4" w:space="0" w:color="auto"/>
              <w:bottom w:val="single" w:sz="4" w:space="0" w:color="auto"/>
              <w:right w:val="single" w:sz="4" w:space="0" w:color="auto"/>
            </w:tcBorders>
            <w:vAlign w:val="center"/>
          </w:tcPr>
          <w:p w:rsidR="00624688" w:rsidRPr="003056B3" w:rsidRDefault="00624688" w:rsidP="002D70E5">
            <w:pPr>
              <w:keepNext/>
              <w:keepLines/>
              <w:rPr>
                <w:rFonts w:cs="Arial"/>
                <w:color w:val="000000"/>
                <w:sz w:val="18"/>
                <w:szCs w:val="18"/>
              </w:rPr>
            </w:pPr>
            <w:r>
              <w:rPr>
                <w:rFonts w:cs="Arial"/>
                <w:color w:val="000000"/>
                <w:sz w:val="18"/>
                <w:szCs w:val="18"/>
              </w:rPr>
              <w:t>-369,704</w:t>
            </w:r>
          </w:p>
        </w:tc>
        <w:tc>
          <w:tcPr>
            <w:tcW w:w="1001" w:type="dxa"/>
            <w:tcBorders>
              <w:top w:val="single" w:sz="4" w:space="0" w:color="auto"/>
              <w:bottom w:val="single" w:sz="4" w:space="0" w:color="auto"/>
              <w:right w:val="single" w:sz="4" w:space="0" w:color="auto"/>
            </w:tcBorders>
            <w:vAlign w:val="center"/>
          </w:tcPr>
          <w:p w:rsidR="00624688" w:rsidRDefault="00F32DF1" w:rsidP="002D70E5">
            <w:pPr>
              <w:keepNext/>
              <w:keepLines/>
              <w:rPr>
                <w:rFonts w:cs="Arial"/>
                <w:color w:val="000000"/>
                <w:sz w:val="18"/>
                <w:szCs w:val="18"/>
              </w:rPr>
            </w:pPr>
            <w:r>
              <w:rPr>
                <w:rFonts w:cs="Arial"/>
                <w:color w:val="000000"/>
                <w:sz w:val="18"/>
                <w:szCs w:val="18"/>
              </w:rPr>
              <w:t>-282,427</w:t>
            </w:r>
          </w:p>
        </w:tc>
      </w:tr>
    </w:tbl>
    <w:p w:rsidR="006415CC" w:rsidRPr="001551ED" w:rsidRDefault="006415CC" w:rsidP="00717364">
      <w:pPr>
        <w:keepNext/>
        <w:keepLines/>
        <w:tabs>
          <w:tab w:val="clear" w:pos="567"/>
          <w:tab w:val="clear" w:pos="1134"/>
          <w:tab w:val="clear" w:pos="1701"/>
          <w:tab w:val="clear" w:pos="2268"/>
          <w:tab w:val="clear" w:pos="2835"/>
        </w:tabs>
        <w:snapToGrid w:val="0"/>
        <w:spacing w:before="480" w:after="120"/>
        <w:jc w:val="both"/>
        <w:rPr>
          <w:b/>
          <w:bCs/>
          <w:szCs w:val="24"/>
        </w:rPr>
      </w:pPr>
      <w:r w:rsidRPr="00690118">
        <w:rPr>
          <w:b/>
          <w:bCs/>
          <w:szCs w:val="24"/>
          <w:highlight w:val="yellow"/>
        </w:rPr>
        <w:fldChar w:fldCharType="end"/>
      </w:r>
      <w:r>
        <w:rPr>
          <w:b/>
          <w:bCs/>
          <w:szCs w:val="24"/>
        </w:rPr>
        <w:t>3</w:t>
      </w:r>
      <w:r>
        <w:rPr>
          <w:b/>
          <w:bCs/>
          <w:szCs w:val="24"/>
        </w:rPr>
        <w:tab/>
      </w:r>
      <w:r w:rsidRPr="001551ED">
        <w:rPr>
          <w:b/>
          <w:bCs/>
          <w:szCs w:val="24"/>
        </w:rPr>
        <w:t>Actions taken</w:t>
      </w:r>
    </w:p>
    <w:p w:rsidR="006415CC" w:rsidRDefault="006415CC" w:rsidP="006415CC">
      <w:pPr>
        <w:tabs>
          <w:tab w:val="clear" w:pos="567"/>
          <w:tab w:val="clear" w:pos="1134"/>
          <w:tab w:val="clear" w:pos="1701"/>
          <w:tab w:val="clear" w:pos="2268"/>
          <w:tab w:val="clear" w:pos="2835"/>
        </w:tabs>
        <w:snapToGrid w:val="0"/>
        <w:spacing w:after="120"/>
        <w:jc w:val="both"/>
        <w:rPr>
          <w:rFonts w:cs="Calibri"/>
          <w:b/>
          <w:szCs w:val="24"/>
        </w:rPr>
      </w:pPr>
      <w:r>
        <w:rPr>
          <w:szCs w:val="24"/>
        </w:rPr>
        <w:t>3.1</w:t>
      </w:r>
      <w:r>
        <w:rPr>
          <w:szCs w:val="24"/>
        </w:rPr>
        <w:tab/>
        <w:t>Since 2010, the funding of the ASHI actuarial liability has been a concern and resulted in measures taken in order to ensure the financing of health insurance on a pay-as-you-go basis as well as the long-term funding of the ASHI liability.</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rFonts w:cs="Calibri"/>
          <w:b/>
          <w:i/>
          <w:iCs/>
          <w:szCs w:val="24"/>
        </w:rPr>
      </w:pPr>
      <w:r w:rsidRPr="00303FAA">
        <w:rPr>
          <w:rFonts w:cs="Calibri"/>
          <w:b/>
          <w:i/>
          <w:iCs/>
          <w:szCs w:val="24"/>
        </w:rPr>
        <w:t>Increase in contributions</w:t>
      </w:r>
    </w:p>
    <w:p w:rsidR="00D130A5" w:rsidRDefault="006415CC" w:rsidP="008D313C">
      <w:pPr>
        <w:tabs>
          <w:tab w:val="clear" w:pos="567"/>
          <w:tab w:val="clear" w:pos="1134"/>
          <w:tab w:val="clear" w:pos="1701"/>
          <w:tab w:val="clear" w:pos="2268"/>
          <w:tab w:val="clear" w:pos="2835"/>
        </w:tabs>
        <w:snapToGrid w:val="0"/>
        <w:spacing w:after="120"/>
        <w:jc w:val="both"/>
        <w:rPr>
          <w:szCs w:val="24"/>
        </w:rPr>
      </w:pPr>
      <w:r>
        <w:rPr>
          <w:szCs w:val="24"/>
        </w:rPr>
        <w:t>3.2</w:t>
      </w:r>
      <w:r>
        <w:rPr>
          <w:szCs w:val="24"/>
        </w:rPr>
        <w:tab/>
      </w:r>
      <w:r w:rsidR="002163A1">
        <w:rPr>
          <w:szCs w:val="24"/>
        </w:rPr>
        <w:t>Since 2014</w:t>
      </w:r>
      <w:r w:rsidR="00C25D50">
        <w:rPr>
          <w:szCs w:val="24"/>
        </w:rPr>
        <w:t>,</w:t>
      </w:r>
      <w:r>
        <w:rPr>
          <w:szCs w:val="24"/>
        </w:rPr>
        <w:t xml:space="preserve"> th</w:t>
      </w:r>
      <w:r w:rsidR="002163A1">
        <w:rPr>
          <w:szCs w:val="24"/>
        </w:rPr>
        <w:t>e</w:t>
      </w:r>
      <w:r>
        <w:rPr>
          <w:szCs w:val="24"/>
        </w:rPr>
        <w:t xml:space="preserve"> percentage</w:t>
      </w:r>
      <w:r w:rsidR="002163A1">
        <w:rPr>
          <w:szCs w:val="24"/>
        </w:rPr>
        <w:t xml:space="preserve"> of the ITU contribution</w:t>
      </w:r>
      <w:r>
        <w:rPr>
          <w:szCs w:val="24"/>
        </w:rPr>
        <w:t xml:space="preserve"> was </w:t>
      </w:r>
      <w:r w:rsidRPr="00D130A5">
        <w:rPr>
          <w:szCs w:val="24"/>
        </w:rPr>
        <w:t>increased to 3.91</w:t>
      </w:r>
      <w:r>
        <w:rPr>
          <w:szCs w:val="24"/>
        </w:rPr>
        <w:t xml:space="preserve"> per cent in order to balance the contributions and the payment of health insurance-related claims. However, this increase is not sufficient to fund the liability. On the long term, this percentage should be reviewed and increased in order to primarily prevent </w:t>
      </w:r>
      <w:r w:rsidR="008D313C">
        <w:rPr>
          <w:szCs w:val="24"/>
        </w:rPr>
        <w:t xml:space="preserve">further </w:t>
      </w:r>
      <w:r>
        <w:rPr>
          <w:szCs w:val="24"/>
        </w:rPr>
        <w:t>deficit of the plan and enable the building of reserves to ensure the financing on a pay-as-you-go basis</w:t>
      </w:r>
      <w:r w:rsidRPr="001B78D0">
        <w:rPr>
          <w:szCs w:val="24"/>
        </w:rPr>
        <w:t>.</w:t>
      </w:r>
    </w:p>
    <w:p w:rsidR="006415CC" w:rsidRDefault="006415CC" w:rsidP="00A314D7">
      <w:pPr>
        <w:tabs>
          <w:tab w:val="clear" w:pos="567"/>
          <w:tab w:val="clear" w:pos="1134"/>
          <w:tab w:val="clear" w:pos="1701"/>
          <w:tab w:val="clear" w:pos="2268"/>
          <w:tab w:val="clear" w:pos="2835"/>
        </w:tabs>
        <w:snapToGrid w:val="0"/>
        <w:spacing w:after="120"/>
        <w:jc w:val="both"/>
        <w:rPr>
          <w:szCs w:val="24"/>
        </w:rPr>
      </w:pPr>
      <w:r>
        <w:rPr>
          <w:szCs w:val="24"/>
        </w:rPr>
        <w:t>3.3</w:t>
      </w:r>
      <w:r w:rsidRPr="00DE0659">
        <w:rPr>
          <w:szCs w:val="24"/>
        </w:rPr>
        <w:tab/>
        <w:t xml:space="preserve">This increase </w:t>
      </w:r>
      <w:r w:rsidR="00A314D7">
        <w:rPr>
          <w:szCs w:val="24"/>
        </w:rPr>
        <w:t xml:space="preserve">would be </w:t>
      </w:r>
      <w:r w:rsidRPr="00DE0659">
        <w:rPr>
          <w:szCs w:val="24"/>
        </w:rPr>
        <w:t xml:space="preserve">financed by the </w:t>
      </w:r>
      <w:r>
        <w:rPr>
          <w:szCs w:val="24"/>
        </w:rPr>
        <w:t>insured</w:t>
      </w:r>
      <w:r w:rsidRPr="00DE0659">
        <w:rPr>
          <w:szCs w:val="24"/>
        </w:rPr>
        <w:t xml:space="preserve"> active and retired staff as well as by ITU.</w:t>
      </w:r>
    </w:p>
    <w:p w:rsidR="006415CC" w:rsidRDefault="006415CC" w:rsidP="0030265B">
      <w:pPr>
        <w:tabs>
          <w:tab w:val="clear" w:pos="567"/>
          <w:tab w:val="clear" w:pos="1134"/>
          <w:tab w:val="clear" w:pos="1701"/>
          <w:tab w:val="clear" w:pos="2268"/>
          <w:tab w:val="clear" w:pos="2835"/>
        </w:tabs>
        <w:snapToGrid w:val="0"/>
        <w:spacing w:after="120"/>
        <w:jc w:val="both"/>
        <w:rPr>
          <w:szCs w:val="24"/>
        </w:rPr>
      </w:pPr>
      <w:r>
        <w:rPr>
          <w:szCs w:val="24"/>
        </w:rPr>
        <w:t>3.4</w:t>
      </w:r>
      <w:r>
        <w:rPr>
          <w:szCs w:val="24"/>
        </w:rPr>
        <w:tab/>
        <w:t>Under the CMIP, these contributions are collected by ITU and fix annual premiums paid to Cigna/</w:t>
      </w:r>
      <w:proofErr w:type="spellStart"/>
      <w:r>
        <w:rPr>
          <w:szCs w:val="24"/>
        </w:rPr>
        <w:t>Vanbreda</w:t>
      </w:r>
      <w:proofErr w:type="spellEnd"/>
      <w:r>
        <w:rPr>
          <w:szCs w:val="24"/>
        </w:rPr>
        <w:t>.</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rFonts w:cs="Calibri"/>
          <w:b/>
          <w:i/>
          <w:iCs/>
          <w:szCs w:val="24"/>
        </w:rPr>
      </w:pPr>
      <w:r w:rsidRPr="00303FAA">
        <w:rPr>
          <w:rFonts w:cs="Calibri"/>
          <w:b/>
          <w:i/>
          <w:iCs/>
          <w:szCs w:val="24"/>
        </w:rPr>
        <w:t>Creation of a CMIP guaranty fund</w:t>
      </w:r>
    </w:p>
    <w:p w:rsidR="006415CC" w:rsidRPr="00C65748" w:rsidRDefault="006415CC" w:rsidP="0030265B">
      <w:pPr>
        <w:tabs>
          <w:tab w:val="clear" w:pos="567"/>
          <w:tab w:val="clear" w:pos="1134"/>
          <w:tab w:val="clear" w:pos="1701"/>
          <w:tab w:val="clear" w:pos="2268"/>
          <w:tab w:val="clear" w:pos="2835"/>
        </w:tabs>
        <w:snapToGrid w:val="0"/>
        <w:spacing w:after="120"/>
        <w:jc w:val="both"/>
        <w:rPr>
          <w:szCs w:val="24"/>
        </w:rPr>
      </w:pPr>
      <w:r>
        <w:rPr>
          <w:szCs w:val="24"/>
        </w:rPr>
        <w:t>3.5</w:t>
      </w:r>
      <w:r>
        <w:rPr>
          <w:szCs w:val="24"/>
        </w:rPr>
        <w:tab/>
      </w:r>
      <w:r w:rsidR="00D130A5" w:rsidRPr="00897315">
        <w:rPr>
          <w:szCs w:val="24"/>
        </w:rPr>
        <w:t>In 2018, due to the increase of the premium, the contribution</w:t>
      </w:r>
      <w:r w:rsidR="0030265B">
        <w:rPr>
          <w:szCs w:val="24"/>
        </w:rPr>
        <w:t>s</w:t>
      </w:r>
      <w:r w:rsidR="00D130A5" w:rsidRPr="00897315">
        <w:rPr>
          <w:szCs w:val="24"/>
        </w:rPr>
        <w:t xml:space="preserve"> received did not cover the premiums to be paid to C</w:t>
      </w:r>
      <w:r w:rsidR="0030265B">
        <w:rPr>
          <w:szCs w:val="24"/>
        </w:rPr>
        <w:t>igna</w:t>
      </w:r>
      <w:r w:rsidR="00D130A5" w:rsidRPr="00897315">
        <w:rPr>
          <w:szCs w:val="24"/>
        </w:rPr>
        <w:t xml:space="preserve">. </w:t>
      </w:r>
      <w:r w:rsidRPr="00897315">
        <w:rPr>
          <w:szCs w:val="24"/>
        </w:rPr>
        <w:t>The 201</w:t>
      </w:r>
      <w:r w:rsidR="00F32DF1" w:rsidRPr="00897315">
        <w:rPr>
          <w:szCs w:val="24"/>
        </w:rPr>
        <w:t>8</w:t>
      </w:r>
      <w:r w:rsidRPr="00897315">
        <w:rPr>
          <w:szCs w:val="24"/>
        </w:rPr>
        <w:t xml:space="preserve"> </w:t>
      </w:r>
      <w:r w:rsidR="00F32DF1" w:rsidRPr="00897315">
        <w:rPr>
          <w:szCs w:val="24"/>
        </w:rPr>
        <w:t>deficit</w:t>
      </w:r>
      <w:r w:rsidRPr="00897315">
        <w:rPr>
          <w:szCs w:val="24"/>
        </w:rPr>
        <w:t xml:space="preserve"> of the CMIP </w:t>
      </w:r>
      <w:r w:rsidR="00D130A5" w:rsidRPr="00897315">
        <w:rPr>
          <w:szCs w:val="24"/>
        </w:rPr>
        <w:t>amount</w:t>
      </w:r>
      <w:r w:rsidR="0030265B">
        <w:rPr>
          <w:szCs w:val="24"/>
        </w:rPr>
        <w:t>ing</w:t>
      </w:r>
      <w:r w:rsidR="00D130A5" w:rsidRPr="00897315">
        <w:rPr>
          <w:szCs w:val="24"/>
        </w:rPr>
        <w:t xml:space="preserve"> </w:t>
      </w:r>
      <w:r w:rsidR="0030265B">
        <w:rPr>
          <w:szCs w:val="24"/>
        </w:rPr>
        <w:t xml:space="preserve">to </w:t>
      </w:r>
      <w:r w:rsidR="00D130A5" w:rsidRPr="00897315">
        <w:rPr>
          <w:szCs w:val="24"/>
        </w:rPr>
        <w:t xml:space="preserve">KCHF 919.4 </w:t>
      </w:r>
      <w:r w:rsidRPr="00897315">
        <w:rPr>
          <w:szCs w:val="24"/>
        </w:rPr>
        <w:t>ha</w:t>
      </w:r>
      <w:r w:rsidR="00D130A5" w:rsidRPr="00897315">
        <w:rPr>
          <w:szCs w:val="24"/>
        </w:rPr>
        <w:t>s</w:t>
      </w:r>
      <w:r w:rsidRPr="00897315">
        <w:rPr>
          <w:szCs w:val="24"/>
        </w:rPr>
        <w:t xml:space="preserve"> been </w:t>
      </w:r>
      <w:r w:rsidR="00F32DF1" w:rsidRPr="00897315">
        <w:rPr>
          <w:szCs w:val="24"/>
        </w:rPr>
        <w:t xml:space="preserve">withdrawn from </w:t>
      </w:r>
      <w:r w:rsidRPr="00897315">
        <w:rPr>
          <w:szCs w:val="24"/>
        </w:rPr>
        <w:t>the CMIP guaranty</w:t>
      </w:r>
      <w:r w:rsidRPr="00C65748">
        <w:rPr>
          <w:szCs w:val="24"/>
        </w:rPr>
        <w:t xml:space="preserve"> fund</w:t>
      </w:r>
      <w:r>
        <w:rPr>
          <w:szCs w:val="24"/>
        </w:rPr>
        <w:t>. This fund</w:t>
      </w:r>
      <w:r w:rsidRPr="00C65748">
        <w:rPr>
          <w:szCs w:val="24"/>
        </w:rPr>
        <w:t xml:space="preserve"> will be dedicated to the</w:t>
      </w:r>
      <w:r>
        <w:rPr>
          <w:szCs w:val="24"/>
        </w:rPr>
        <w:t xml:space="preserve"> funding of the scheme on a pay-as-you-</w:t>
      </w:r>
      <w:r w:rsidRPr="00C65748">
        <w:rPr>
          <w:szCs w:val="24"/>
        </w:rPr>
        <w:t>go basis.</w:t>
      </w:r>
    </w:p>
    <w:p w:rsidR="006415CC" w:rsidRPr="00C65748" w:rsidRDefault="006415CC" w:rsidP="0030265B">
      <w:pPr>
        <w:tabs>
          <w:tab w:val="clear" w:pos="567"/>
          <w:tab w:val="clear" w:pos="1134"/>
          <w:tab w:val="clear" w:pos="1701"/>
          <w:tab w:val="clear" w:pos="2268"/>
          <w:tab w:val="clear" w:pos="2835"/>
        </w:tabs>
        <w:snapToGrid w:val="0"/>
        <w:spacing w:after="120"/>
        <w:jc w:val="both"/>
        <w:rPr>
          <w:szCs w:val="24"/>
        </w:rPr>
      </w:pPr>
      <w:r>
        <w:rPr>
          <w:szCs w:val="24"/>
        </w:rPr>
        <w:t>3.6</w:t>
      </w:r>
      <w:r>
        <w:rPr>
          <w:szCs w:val="24"/>
        </w:rPr>
        <w:tab/>
        <w:t>The balance of the CMIP guarantee fund amounts to CHF </w:t>
      </w:r>
      <w:r w:rsidR="00F32DF1">
        <w:rPr>
          <w:szCs w:val="24"/>
        </w:rPr>
        <w:t>22.3</w:t>
      </w:r>
      <w:r>
        <w:rPr>
          <w:szCs w:val="24"/>
        </w:rPr>
        <w:t xml:space="preserve"> million a</w:t>
      </w:r>
      <w:r w:rsidR="0030265B">
        <w:rPr>
          <w:szCs w:val="24"/>
        </w:rPr>
        <w:t>s at</w:t>
      </w:r>
      <w:r>
        <w:rPr>
          <w:szCs w:val="24"/>
        </w:rPr>
        <w:t xml:space="preserve"> </w:t>
      </w:r>
      <w:r w:rsidR="0030265B">
        <w:rPr>
          <w:szCs w:val="24"/>
        </w:rPr>
        <w:t xml:space="preserve">the </w:t>
      </w:r>
      <w:r>
        <w:rPr>
          <w:szCs w:val="24"/>
        </w:rPr>
        <w:t>end of 201</w:t>
      </w:r>
      <w:r w:rsidR="00F32DF1">
        <w:rPr>
          <w:szCs w:val="24"/>
        </w:rPr>
        <w:t>8</w:t>
      </w:r>
      <w:r>
        <w:rPr>
          <w:szCs w:val="24"/>
        </w:rPr>
        <w:t>.</w:t>
      </w:r>
    </w:p>
    <w:p w:rsidR="006415CC" w:rsidRPr="00303FAA" w:rsidRDefault="006415CC" w:rsidP="006415CC">
      <w:pPr>
        <w:tabs>
          <w:tab w:val="clear" w:pos="567"/>
          <w:tab w:val="clear" w:pos="1134"/>
          <w:tab w:val="clear" w:pos="1701"/>
          <w:tab w:val="clear" w:pos="2268"/>
          <w:tab w:val="clear" w:pos="2835"/>
        </w:tabs>
        <w:snapToGrid w:val="0"/>
        <w:spacing w:after="120"/>
        <w:jc w:val="both"/>
        <w:rPr>
          <w:rFonts w:cs="Calibri"/>
          <w:b/>
          <w:i/>
          <w:iCs/>
          <w:szCs w:val="24"/>
        </w:rPr>
      </w:pPr>
      <w:r w:rsidRPr="00303FAA">
        <w:rPr>
          <w:rFonts w:cs="Calibri"/>
          <w:b/>
          <w:i/>
          <w:iCs/>
          <w:szCs w:val="24"/>
        </w:rPr>
        <w:t>Creation of funds for the long-term financing of the ASHI actuarial liability</w:t>
      </w:r>
    </w:p>
    <w:p w:rsidR="006415CC" w:rsidRDefault="006415CC" w:rsidP="0030265B">
      <w:pPr>
        <w:tabs>
          <w:tab w:val="clear" w:pos="567"/>
          <w:tab w:val="clear" w:pos="1134"/>
          <w:tab w:val="clear" w:pos="1701"/>
          <w:tab w:val="clear" w:pos="2268"/>
          <w:tab w:val="clear" w:pos="2835"/>
        </w:tabs>
        <w:snapToGrid w:val="0"/>
        <w:spacing w:after="120"/>
        <w:jc w:val="both"/>
        <w:rPr>
          <w:szCs w:val="24"/>
        </w:rPr>
      </w:pPr>
      <w:r>
        <w:rPr>
          <w:szCs w:val="24"/>
        </w:rPr>
        <w:t>3.7</w:t>
      </w:r>
      <w:r>
        <w:rPr>
          <w:szCs w:val="24"/>
        </w:rPr>
        <w:tab/>
        <w:t>Council 2</w:t>
      </w:r>
      <w:r w:rsidR="00E00590">
        <w:rPr>
          <w:szCs w:val="24"/>
        </w:rPr>
        <w:t>013 decided the creation of a</w:t>
      </w:r>
      <w:r w:rsidR="0030265B">
        <w:rPr>
          <w:szCs w:val="24"/>
        </w:rPr>
        <w:t>n</w:t>
      </w:r>
      <w:r w:rsidR="00E00590">
        <w:rPr>
          <w:szCs w:val="24"/>
        </w:rPr>
        <w:t xml:space="preserve"> </w:t>
      </w:r>
      <w:r>
        <w:rPr>
          <w:szCs w:val="24"/>
        </w:rPr>
        <w:t xml:space="preserve">ASHI fund in order to start funding the ASHI obligation. </w:t>
      </w:r>
      <w:r w:rsidR="003420F7">
        <w:rPr>
          <w:szCs w:val="24"/>
        </w:rPr>
        <w:t>Since this date</w:t>
      </w:r>
      <w:r w:rsidR="00EE30DE">
        <w:rPr>
          <w:szCs w:val="24"/>
        </w:rPr>
        <w:t>,</w:t>
      </w:r>
      <w:r w:rsidR="003420F7">
        <w:rPr>
          <w:szCs w:val="24"/>
        </w:rPr>
        <w:t xml:space="preserve"> a total amount of </w:t>
      </w:r>
      <w:r w:rsidR="003420F7" w:rsidRPr="00F32DF1">
        <w:rPr>
          <w:szCs w:val="24"/>
        </w:rPr>
        <w:t>CHF</w:t>
      </w:r>
      <w:r w:rsidR="00EE30DE" w:rsidRPr="00F32DF1">
        <w:rPr>
          <w:szCs w:val="24"/>
        </w:rPr>
        <w:t> </w:t>
      </w:r>
      <w:r w:rsidR="00F32DF1" w:rsidRPr="00F32DF1">
        <w:rPr>
          <w:szCs w:val="24"/>
        </w:rPr>
        <w:t>7</w:t>
      </w:r>
      <w:r w:rsidR="003420F7" w:rsidRPr="00F32DF1">
        <w:rPr>
          <w:szCs w:val="24"/>
        </w:rPr>
        <w:t>.5</w:t>
      </w:r>
      <w:r w:rsidR="00EE30DE" w:rsidRPr="00F32DF1">
        <w:rPr>
          <w:szCs w:val="24"/>
        </w:rPr>
        <w:t> </w:t>
      </w:r>
      <w:r w:rsidR="003420F7" w:rsidRPr="00F32DF1">
        <w:rPr>
          <w:szCs w:val="24"/>
        </w:rPr>
        <w:t>million</w:t>
      </w:r>
      <w:r w:rsidR="003420F7">
        <w:rPr>
          <w:szCs w:val="24"/>
        </w:rPr>
        <w:t xml:space="preserve"> w</w:t>
      </w:r>
      <w:r w:rsidR="00EE30DE">
        <w:rPr>
          <w:szCs w:val="24"/>
        </w:rPr>
        <w:t>as</w:t>
      </w:r>
      <w:r w:rsidR="003420F7">
        <w:rPr>
          <w:szCs w:val="24"/>
        </w:rPr>
        <w:t xml:space="preserve"> </w:t>
      </w:r>
      <w:r>
        <w:rPr>
          <w:szCs w:val="24"/>
        </w:rPr>
        <w:t xml:space="preserve">also paid into the ASHI </w:t>
      </w:r>
      <w:r w:rsidR="0030265B">
        <w:rPr>
          <w:szCs w:val="24"/>
        </w:rPr>
        <w:t>f</w:t>
      </w:r>
      <w:r>
        <w:rPr>
          <w:szCs w:val="24"/>
        </w:rPr>
        <w:t xml:space="preserve">und. </w:t>
      </w:r>
      <w:r w:rsidR="0030265B">
        <w:rPr>
          <w:szCs w:val="24"/>
        </w:rPr>
        <w:t xml:space="preserve"> </w:t>
      </w:r>
      <w:r>
        <w:rPr>
          <w:szCs w:val="24"/>
        </w:rPr>
        <w:t>At 31</w:t>
      </w:r>
      <w:r w:rsidR="0030265B">
        <w:rPr>
          <w:szCs w:val="24"/>
        </w:rPr>
        <w:t> </w:t>
      </w:r>
      <w:r>
        <w:rPr>
          <w:szCs w:val="24"/>
        </w:rPr>
        <w:t>December 201</w:t>
      </w:r>
      <w:r w:rsidR="00F32DF1">
        <w:rPr>
          <w:szCs w:val="24"/>
        </w:rPr>
        <w:t>8</w:t>
      </w:r>
      <w:r>
        <w:rPr>
          <w:szCs w:val="24"/>
        </w:rPr>
        <w:t xml:space="preserve">, </w:t>
      </w:r>
      <w:r w:rsidR="003420F7">
        <w:rPr>
          <w:szCs w:val="24"/>
        </w:rPr>
        <w:t>after a result allocation of CHF</w:t>
      </w:r>
      <w:r w:rsidR="00EE30DE">
        <w:rPr>
          <w:szCs w:val="24"/>
        </w:rPr>
        <w:t> </w:t>
      </w:r>
      <w:r w:rsidR="003420F7">
        <w:rPr>
          <w:szCs w:val="24"/>
        </w:rPr>
        <w:t>1</w:t>
      </w:r>
      <w:r w:rsidR="00EE30DE">
        <w:rPr>
          <w:szCs w:val="24"/>
        </w:rPr>
        <w:t> </w:t>
      </w:r>
      <w:r w:rsidR="003420F7">
        <w:rPr>
          <w:szCs w:val="24"/>
        </w:rPr>
        <w:t>million</w:t>
      </w:r>
      <w:r w:rsidR="00EE30DE">
        <w:rPr>
          <w:szCs w:val="24"/>
        </w:rPr>
        <w:t>,</w:t>
      </w:r>
      <w:r w:rsidR="003420F7">
        <w:rPr>
          <w:szCs w:val="24"/>
        </w:rPr>
        <w:t xml:space="preserve"> </w:t>
      </w:r>
      <w:r>
        <w:rPr>
          <w:szCs w:val="24"/>
        </w:rPr>
        <w:t xml:space="preserve">the ASHI </w:t>
      </w:r>
      <w:r w:rsidR="0030265B">
        <w:rPr>
          <w:szCs w:val="24"/>
        </w:rPr>
        <w:t>f</w:t>
      </w:r>
      <w:r>
        <w:rPr>
          <w:szCs w:val="24"/>
        </w:rPr>
        <w:t>und amounted to CHF </w:t>
      </w:r>
      <w:r w:rsidR="00F32DF1">
        <w:rPr>
          <w:szCs w:val="24"/>
        </w:rPr>
        <w:t>11</w:t>
      </w:r>
      <w:r>
        <w:rPr>
          <w:szCs w:val="24"/>
        </w:rPr>
        <w:t>.5</w:t>
      </w:r>
      <w:r w:rsidR="0030265B">
        <w:rPr>
          <w:szCs w:val="24"/>
        </w:rPr>
        <w:t> </w:t>
      </w:r>
      <w:r>
        <w:rPr>
          <w:szCs w:val="24"/>
        </w:rPr>
        <w:t>million.</w:t>
      </w:r>
    </w:p>
    <w:p w:rsidR="006415CC" w:rsidRDefault="006415CC" w:rsidP="001D327C">
      <w:pPr>
        <w:tabs>
          <w:tab w:val="clear" w:pos="567"/>
          <w:tab w:val="clear" w:pos="1134"/>
          <w:tab w:val="clear" w:pos="1701"/>
          <w:tab w:val="clear" w:pos="2268"/>
          <w:tab w:val="clear" w:pos="2835"/>
        </w:tabs>
        <w:snapToGrid w:val="0"/>
        <w:spacing w:after="120"/>
        <w:jc w:val="both"/>
        <w:rPr>
          <w:szCs w:val="24"/>
        </w:rPr>
      </w:pPr>
      <w:r>
        <w:rPr>
          <w:szCs w:val="24"/>
        </w:rPr>
        <w:t>3.</w:t>
      </w:r>
      <w:r w:rsidR="001D327C">
        <w:rPr>
          <w:szCs w:val="24"/>
        </w:rPr>
        <w:t>8</w:t>
      </w:r>
      <w:r>
        <w:rPr>
          <w:szCs w:val="24"/>
        </w:rPr>
        <w:tab/>
        <w:t xml:space="preserve">The magnitude of the ASHI obligation and the current budgetary constraints do not currently allow a faster financing of the ASHI obligation. </w:t>
      </w:r>
      <w:r w:rsidRPr="0036118C">
        <w:rPr>
          <w:szCs w:val="24"/>
        </w:rPr>
        <w:t xml:space="preserve">The evolution of the ASHI liability will </w:t>
      </w:r>
      <w:r>
        <w:rPr>
          <w:szCs w:val="24"/>
        </w:rPr>
        <w:t>continue to be carefully monitored.</w:t>
      </w:r>
    </w:p>
    <w:p w:rsidR="00EE30DE" w:rsidRDefault="00EE30DE">
      <w:pPr>
        <w:tabs>
          <w:tab w:val="clear" w:pos="567"/>
          <w:tab w:val="clear" w:pos="1134"/>
          <w:tab w:val="clear" w:pos="1701"/>
          <w:tab w:val="clear" w:pos="2268"/>
          <w:tab w:val="clear" w:pos="2835"/>
        </w:tabs>
        <w:overflowPunct/>
        <w:autoSpaceDE/>
        <w:autoSpaceDN/>
        <w:adjustRightInd/>
        <w:spacing w:before="0"/>
        <w:textAlignment w:val="auto"/>
        <w:rPr>
          <w:rFonts w:cs="Calibri"/>
          <w:b/>
          <w:i/>
          <w:iCs/>
          <w:szCs w:val="24"/>
        </w:rPr>
      </w:pPr>
      <w:r>
        <w:rPr>
          <w:rFonts w:cs="Calibri"/>
          <w:b/>
          <w:i/>
          <w:iCs/>
          <w:szCs w:val="24"/>
        </w:rPr>
        <w:br w:type="page"/>
      </w:r>
    </w:p>
    <w:p w:rsidR="002E7AF5" w:rsidRPr="002163A1" w:rsidRDefault="002E7AF5" w:rsidP="006415CC">
      <w:pPr>
        <w:tabs>
          <w:tab w:val="clear" w:pos="567"/>
          <w:tab w:val="clear" w:pos="1134"/>
          <w:tab w:val="clear" w:pos="1701"/>
          <w:tab w:val="clear" w:pos="2268"/>
          <w:tab w:val="clear" w:pos="2835"/>
        </w:tabs>
        <w:snapToGrid w:val="0"/>
        <w:spacing w:after="120"/>
        <w:jc w:val="both"/>
        <w:rPr>
          <w:rFonts w:cs="Calibri"/>
          <w:b/>
          <w:i/>
          <w:iCs/>
          <w:szCs w:val="24"/>
        </w:rPr>
      </w:pPr>
      <w:r w:rsidRPr="002163A1">
        <w:rPr>
          <w:rFonts w:cs="Calibri"/>
          <w:b/>
          <w:i/>
          <w:iCs/>
          <w:szCs w:val="24"/>
        </w:rPr>
        <w:lastRenderedPageBreak/>
        <w:t>Follow up on cost containment</w:t>
      </w:r>
    </w:p>
    <w:p w:rsidR="00320EDB" w:rsidRDefault="002E7AF5" w:rsidP="009B2B54">
      <w:pPr>
        <w:tabs>
          <w:tab w:val="clear" w:pos="567"/>
          <w:tab w:val="clear" w:pos="1134"/>
          <w:tab w:val="clear" w:pos="1701"/>
          <w:tab w:val="clear" w:pos="2268"/>
          <w:tab w:val="clear" w:pos="2835"/>
        </w:tabs>
        <w:snapToGrid w:val="0"/>
        <w:spacing w:after="120"/>
        <w:jc w:val="both"/>
        <w:rPr>
          <w:szCs w:val="24"/>
          <w:lang w:val="en-US"/>
        </w:rPr>
      </w:pPr>
      <w:r w:rsidRPr="00320EDB">
        <w:rPr>
          <w:szCs w:val="24"/>
          <w:lang w:val="en-US"/>
        </w:rPr>
        <w:t>3.</w:t>
      </w:r>
      <w:r w:rsidR="001D327C">
        <w:rPr>
          <w:szCs w:val="24"/>
          <w:lang w:val="en-US"/>
        </w:rPr>
        <w:t>9</w:t>
      </w:r>
      <w:r w:rsidRPr="00320EDB">
        <w:rPr>
          <w:szCs w:val="24"/>
          <w:lang w:val="en-US"/>
        </w:rPr>
        <w:tab/>
      </w:r>
      <w:r w:rsidR="00320EDB">
        <w:rPr>
          <w:szCs w:val="24"/>
          <w:lang w:val="en-US"/>
        </w:rPr>
        <w:t xml:space="preserve">To monitor the </w:t>
      </w:r>
      <w:r w:rsidR="009B2B54">
        <w:rPr>
          <w:szCs w:val="24"/>
          <w:lang w:val="en-US"/>
        </w:rPr>
        <w:t>h</w:t>
      </w:r>
      <w:r w:rsidR="00320EDB">
        <w:rPr>
          <w:szCs w:val="24"/>
          <w:lang w:val="en-US"/>
        </w:rPr>
        <w:t>ealth insurance scheme</w:t>
      </w:r>
      <w:r w:rsidR="00EE30DE">
        <w:rPr>
          <w:szCs w:val="24"/>
          <w:lang w:val="en-US"/>
        </w:rPr>
        <w:t>,</w:t>
      </w:r>
      <w:r w:rsidR="00320EDB">
        <w:rPr>
          <w:szCs w:val="24"/>
          <w:lang w:val="en-US"/>
        </w:rPr>
        <w:t xml:space="preserve"> a management committee has been created. </w:t>
      </w:r>
      <w:r w:rsidR="00C25D50">
        <w:rPr>
          <w:szCs w:val="24"/>
          <w:lang w:val="en-US"/>
        </w:rPr>
        <w:t>Representatives of a</w:t>
      </w:r>
      <w:r w:rsidR="00320EDB">
        <w:rPr>
          <w:szCs w:val="24"/>
          <w:lang w:val="en-US"/>
        </w:rPr>
        <w:t>ctive staff, retiree</w:t>
      </w:r>
      <w:r w:rsidR="00C25D50">
        <w:rPr>
          <w:szCs w:val="24"/>
          <w:lang w:val="en-US"/>
        </w:rPr>
        <w:t>s</w:t>
      </w:r>
      <w:r w:rsidR="00320EDB">
        <w:rPr>
          <w:szCs w:val="24"/>
          <w:lang w:val="en-US"/>
        </w:rPr>
        <w:t xml:space="preserve">, </w:t>
      </w:r>
      <w:r w:rsidR="00EE30DE">
        <w:rPr>
          <w:szCs w:val="24"/>
          <w:lang w:val="en-US"/>
        </w:rPr>
        <w:t>S</w:t>
      </w:r>
      <w:r w:rsidR="00C25D50">
        <w:rPr>
          <w:szCs w:val="24"/>
          <w:lang w:val="en-US"/>
        </w:rPr>
        <w:t xml:space="preserve">taff </w:t>
      </w:r>
      <w:r w:rsidR="00EE30DE">
        <w:rPr>
          <w:szCs w:val="24"/>
          <w:lang w:val="en-US"/>
        </w:rPr>
        <w:t>C</w:t>
      </w:r>
      <w:r w:rsidR="00C25D50">
        <w:rPr>
          <w:szCs w:val="24"/>
          <w:lang w:val="en-US"/>
        </w:rPr>
        <w:t>ouncil</w:t>
      </w:r>
      <w:r w:rsidR="00314801">
        <w:rPr>
          <w:szCs w:val="24"/>
          <w:lang w:val="en-US"/>
        </w:rPr>
        <w:t>,</w:t>
      </w:r>
      <w:r w:rsidR="00C25D50">
        <w:rPr>
          <w:szCs w:val="24"/>
          <w:lang w:val="en-US"/>
        </w:rPr>
        <w:t xml:space="preserve"> and </w:t>
      </w:r>
      <w:r w:rsidR="00EE30DE">
        <w:rPr>
          <w:szCs w:val="24"/>
          <w:lang w:val="en-US"/>
        </w:rPr>
        <w:t xml:space="preserve">the </w:t>
      </w:r>
      <w:r w:rsidR="00C25D50">
        <w:rPr>
          <w:szCs w:val="24"/>
          <w:lang w:val="en-US"/>
        </w:rPr>
        <w:t xml:space="preserve">General </w:t>
      </w:r>
      <w:r w:rsidR="00EE30DE">
        <w:rPr>
          <w:szCs w:val="24"/>
          <w:lang w:val="en-US"/>
        </w:rPr>
        <w:t>S</w:t>
      </w:r>
      <w:r w:rsidR="00C25D50">
        <w:rPr>
          <w:szCs w:val="24"/>
          <w:lang w:val="en-US"/>
        </w:rPr>
        <w:t xml:space="preserve">ecretariat are part of the committee. The role of the committee is mainly to manage the scheme by </w:t>
      </w:r>
      <w:proofErr w:type="spellStart"/>
      <w:r w:rsidR="00C25D50">
        <w:rPr>
          <w:szCs w:val="24"/>
          <w:lang w:val="en-US"/>
        </w:rPr>
        <w:t>a</w:t>
      </w:r>
      <w:r w:rsidR="00C25D50" w:rsidRPr="00320EDB">
        <w:rPr>
          <w:szCs w:val="24"/>
          <w:lang w:val="en-US"/>
        </w:rPr>
        <w:t>naly</w:t>
      </w:r>
      <w:r w:rsidR="00314801">
        <w:rPr>
          <w:szCs w:val="24"/>
          <w:lang w:val="en-US"/>
        </w:rPr>
        <w:t>s</w:t>
      </w:r>
      <w:r w:rsidR="00C25D50">
        <w:rPr>
          <w:szCs w:val="24"/>
          <w:lang w:val="en-US"/>
        </w:rPr>
        <w:t>ing</w:t>
      </w:r>
      <w:proofErr w:type="spellEnd"/>
      <w:r w:rsidR="00C25D50" w:rsidRPr="00320EDB">
        <w:rPr>
          <w:szCs w:val="24"/>
          <w:lang w:val="en-US"/>
        </w:rPr>
        <w:t xml:space="preserve"> and, if necessary, mak</w:t>
      </w:r>
      <w:r w:rsidR="00C25D50">
        <w:rPr>
          <w:szCs w:val="24"/>
          <w:lang w:val="en-US"/>
        </w:rPr>
        <w:t>ing</w:t>
      </w:r>
      <w:r w:rsidR="00C25D50" w:rsidRPr="00320EDB">
        <w:rPr>
          <w:szCs w:val="24"/>
          <w:lang w:val="en-US"/>
        </w:rPr>
        <w:t xml:space="preserve"> recommendations to the Secretary-General of ITU in connection with renegotiating the premiums, deductibles</w:t>
      </w:r>
      <w:r w:rsidR="00314801">
        <w:rPr>
          <w:szCs w:val="24"/>
          <w:lang w:val="en-US"/>
        </w:rPr>
        <w:t>,</w:t>
      </w:r>
      <w:r w:rsidR="00C25D50" w:rsidRPr="00320EDB">
        <w:rPr>
          <w:szCs w:val="24"/>
          <w:lang w:val="en-US"/>
        </w:rPr>
        <w:t xml:space="preserve"> and benefits relating to the </w:t>
      </w:r>
      <w:r w:rsidR="00EE30DE">
        <w:rPr>
          <w:szCs w:val="24"/>
          <w:lang w:val="en-US"/>
        </w:rPr>
        <w:t>s</w:t>
      </w:r>
      <w:r w:rsidR="00C25D50" w:rsidRPr="00320EDB">
        <w:rPr>
          <w:szCs w:val="24"/>
          <w:lang w:val="en-US"/>
        </w:rPr>
        <w:t xml:space="preserve">cheme, in light of the financial situation of the </w:t>
      </w:r>
      <w:r w:rsidR="00EE30DE">
        <w:rPr>
          <w:szCs w:val="24"/>
          <w:lang w:val="en-US"/>
        </w:rPr>
        <w:t>s</w:t>
      </w:r>
      <w:r w:rsidR="00C25D50" w:rsidRPr="00320EDB">
        <w:rPr>
          <w:szCs w:val="24"/>
          <w:lang w:val="en-US"/>
        </w:rPr>
        <w:t>cheme and the needs of the insured persons.</w:t>
      </w:r>
    </w:p>
    <w:p w:rsidR="00C2461C" w:rsidRPr="00897315" w:rsidRDefault="00C25D50" w:rsidP="00A94DAB">
      <w:pPr>
        <w:tabs>
          <w:tab w:val="clear" w:pos="567"/>
          <w:tab w:val="clear" w:pos="1134"/>
          <w:tab w:val="clear" w:pos="1701"/>
          <w:tab w:val="clear" w:pos="2268"/>
          <w:tab w:val="clear" w:pos="2835"/>
        </w:tabs>
        <w:snapToGrid w:val="0"/>
        <w:spacing w:after="120"/>
        <w:jc w:val="both"/>
        <w:rPr>
          <w:szCs w:val="24"/>
          <w:lang w:val="en-US"/>
        </w:rPr>
      </w:pPr>
      <w:r>
        <w:rPr>
          <w:szCs w:val="24"/>
          <w:lang w:val="en-US"/>
        </w:rPr>
        <w:t>3.1</w:t>
      </w:r>
      <w:r w:rsidR="001D327C">
        <w:rPr>
          <w:szCs w:val="24"/>
          <w:lang w:val="en-US"/>
        </w:rPr>
        <w:t>0</w:t>
      </w:r>
      <w:r>
        <w:rPr>
          <w:szCs w:val="24"/>
          <w:lang w:val="en-US"/>
        </w:rPr>
        <w:tab/>
      </w:r>
      <w:r w:rsidRPr="00897315">
        <w:rPr>
          <w:szCs w:val="24"/>
          <w:lang w:val="en-US"/>
        </w:rPr>
        <w:t xml:space="preserve">Further to </w:t>
      </w:r>
      <w:r w:rsidR="00F12819" w:rsidRPr="00897315">
        <w:rPr>
          <w:szCs w:val="24"/>
          <w:lang w:val="en-US"/>
        </w:rPr>
        <w:t>R</w:t>
      </w:r>
      <w:r w:rsidRPr="00897315">
        <w:rPr>
          <w:szCs w:val="24"/>
          <w:lang w:val="en-US"/>
        </w:rPr>
        <w:t>ecommendation</w:t>
      </w:r>
      <w:r w:rsidR="00F12819" w:rsidRPr="00897315">
        <w:rPr>
          <w:szCs w:val="24"/>
          <w:lang w:val="en-US"/>
        </w:rPr>
        <w:t xml:space="preserve"> 3/2014 made </w:t>
      </w:r>
      <w:r w:rsidR="00EE30DE" w:rsidRPr="00897315">
        <w:rPr>
          <w:szCs w:val="24"/>
          <w:lang w:val="en-US"/>
        </w:rPr>
        <w:t xml:space="preserve">by </w:t>
      </w:r>
      <w:r w:rsidR="00F12819" w:rsidRPr="00897315">
        <w:rPr>
          <w:szCs w:val="24"/>
          <w:lang w:val="en-US"/>
        </w:rPr>
        <w:t xml:space="preserve">the </w:t>
      </w:r>
      <w:r w:rsidR="00EE30DE" w:rsidRPr="00897315">
        <w:rPr>
          <w:szCs w:val="24"/>
          <w:lang w:val="en-US"/>
        </w:rPr>
        <w:t>E</w:t>
      </w:r>
      <w:r w:rsidR="00F12819" w:rsidRPr="00897315">
        <w:rPr>
          <w:szCs w:val="24"/>
          <w:lang w:val="en-US"/>
        </w:rPr>
        <w:t xml:space="preserve">xternal </w:t>
      </w:r>
      <w:r w:rsidR="00EE30DE" w:rsidRPr="00897315">
        <w:rPr>
          <w:szCs w:val="24"/>
          <w:lang w:val="en-US"/>
        </w:rPr>
        <w:t>A</w:t>
      </w:r>
      <w:r w:rsidR="00F12819" w:rsidRPr="00897315">
        <w:rPr>
          <w:szCs w:val="24"/>
          <w:lang w:val="en-US"/>
        </w:rPr>
        <w:t>uditor</w:t>
      </w:r>
      <w:r w:rsidR="00EE30DE" w:rsidRPr="00897315">
        <w:rPr>
          <w:szCs w:val="24"/>
          <w:lang w:val="en-US"/>
        </w:rPr>
        <w:t>,</w:t>
      </w:r>
      <w:r w:rsidR="00F12819" w:rsidRPr="00897315">
        <w:rPr>
          <w:szCs w:val="24"/>
          <w:lang w:val="en-US"/>
        </w:rPr>
        <w:t xml:space="preserve"> a full actuarial study on the health insurance scheme is ongoing. </w:t>
      </w:r>
      <w:r w:rsidR="00C2461C" w:rsidRPr="00897315">
        <w:rPr>
          <w:szCs w:val="24"/>
          <w:lang w:val="en-US"/>
        </w:rPr>
        <w:t xml:space="preserve">Based on the first results of the actuarial </w:t>
      </w:r>
      <w:proofErr w:type="gramStart"/>
      <w:r w:rsidR="00C2461C" w:rsidRPr="00897315">
        <w:rPr>
          <w:szCs w:val="24"/>
          <w:lang w:val="en-US"/>
        </w:rPr>
        <w:t>study which</w:t>
      </w:r>
      <w:proofErr w:type="gramEnd"/>
      <w:r w:rsidR="00C2461C" w:rsidRPr="00897315">
        <w:rPr>
          <w:szCs w:val="24"/>
          <w:lang w:val="en-US"/>
        </w:rPr>
        <w:t xml:space="preserve"> was not satisfactory, the CMIP committee is investigating alternatives to improve the long</w:t>
      </w:r>
      <w:r w:rsidR="00314801">
        <w:rPr>
          <w:szCs w:val="24"/>
          <w:lang w:val="en-US"/>
        </w:rPr>
        <w:t>-</w:t>
      </w:r>
      <w:r w:rsidR="00C2461C" w:rsidRPr="00897315">
        <w:rPr>
          <w:szCs w:val="24"/>
          <w:lang w:val="en-US"/>
        </w:rPr>
        <w:t>term sustainability of the plan.</w:t>
      </w:r>
    </w:p>
    <w:p w:rsidR="006415CC" w:rsidRPr="00A94DAB" w:rsidRDefault="006415CC" w:rsidP="00717364">
      <w:pPr>
        <w:tabs>
          <w:tab w:val="clear" w:pos="567"/>
          <w:tab w:val="clear" w:pos="1134"/>
          <w:tab w:val="clear" w:pos="1701"/>
          <w:tab w:val="clear" w:pos="2268"/>
          <w:tab w:val="clear" w:pos="2835"/>
        </w:tabs>
        <w:snapToGrid w:val="0"/>
        <w:spacing w:before="360" w:after="120"/>
        <w:jc w:val="both"/>
        <w:rPr>
          <w:rFonts w:cs="Calibri"/>
          <w:b/>
          <w:bCs/>
          <w:szCs w:val="24"/>
        </w:rPr>
      </w:pPr>
      <w:r w:rsidRPr="00A94DAB">
        <w:rPr>
          <w:rFonts w:cs="Calibri"/>
          <w:b/>
          <w:bCs/>
          <w:szCs w:val="24"/>
        </w:rPr>
        <w:t>4</w:t>
      </w:r>
      <w:r w:rsidRPr="00A94DAB">
        <w:rPr>
          <w:rFonts w:cs="Calibri"/>
          <w:b/>
          <w:bCs/>
          <w:szCs w:val="24"/>
        </w:rPr>
        <w:tab/>
        <w:t>Conclusion</w:t>
      </w:r>
      <w:r w:rsidR="009129F4" w:rsidRPr="00A94DAB">
        <w:rPr>
          <w:rFonts w:cs="Calibri"/>
          <w:b/>
          <w:bCs/>
          <w:szCs w:val="24"/>
        </w:rPr>
        <w:t xml:space="preserve"> </w:t>
      </w:r>
    </w:p>
    <w:p w:rsidR="009129F4" w:rsidRPr="00A94DAB" w:rsidRDefault="006415CC" w:rsidP="00314801">
      <w:pPr>
        <w:pStyle w:val="xmsonormal"/>
        <w:jc w:val="both"/>
        <w:rPr>
          <w:rFonts w:ascii="Calibri" w:hAnsi="Calibri" w:cs="Calibri"/>
        </w:rPr>
      </w:pPr>
      <w:r w:rsidRPr="00A94DAB">
        <w:rPr>
          <w:rFonts w:ascii="Calibri" w:hAnsi="Calibri" w:cs="Calibri"/>
        </w:rPr>
        <w:t>4.1</w:t>
      </w:r>
      <w:r w:rsidRPr="00A94DAB">
        <w:rPr>
          <w:rFonts w:ascii="Calibri" w:hAnsi="Calibri" w:cs="Calibri"/>
        </w:rPr>
        <w:tab/>
      </w:r>
      <w:r w:rsidRPr="00A94DAB">
        <w:rPr>
          <w:rFonts w:ascii="Calibri" w:eastAsia="Times New Roman" w:hAnsi="Calibri" w:cs="Calibri"/>
          <w:lang w:val="en-GB" w:eastAsia="en-US"/>
        </w:rPr>
        <w:t xml:space="preserve">The issue of financing the ASHI obligation is common to many UN System organizations. </w:t>
      </w:r>
      <w:r w:rsidR="009129F4" w:rsidRPr="00A94DAB">
        <w:rPr>
          <w:rFonts w:ascii="Calibri" w:eastAsia="Times New Roman" w:hAnsi="Calibri" w:cs="Calibri"/>
          <w:lang w:val="en-GB" w:eastAsia="en-US"/>
        </w:rPr>
        <w:t>ITU was part of the UN ASHI working group. This topic is now finalized and transmitted to the UN Secretary</w:t>
      </w:r>
      <w:r w:rsidR="00A94DAB" w:rsidRPr="00A94DAB">
        <w:rPr>
          <w:rFonts w:ascii="Calibri" w:eastAsia="Times New Roman" w:hAnsi="Calibri" w:cs="Calibri"/>
          <w:lang w:val="en-GB" w:eastAsia="en-US"/>
        </w:rPr>
        <w:t>-</w:t>
      </w:r>
      <w:r w:rsidR="009129F4" w:rsidRPr="00A94DAB">
        <w:rPr>
          <w:rFonts w:ascii="Calibri" w:eastAsia="Times New Roman" w:hAnsi="Calibri" w:cs="Calibri"/>
          <w:lang w:val="en-GB" w:eastAsia="en-US"/>
        </w:rPr>
        <w:t>General. All comments received from HLCM members during the review of the draft report have been reflected in the final report to the extent possible. The Report is currently under review by the ACABQ before being transmitted to the General Assembly</w:t>
      </w:r>
      <w:r w:rsidR="009129F4" w:rsidRPr="00A94DAB">
        <w:rPr>
          <w:rFonts w:ascii="Calibri" w:hAnsi="Calibri" w:cs="Calibri"/>
        </w:rPr>
        <w:t>.</w:t>
      </w:r>
    </w:p>
    <w:p w:rsidR="006415CC" w:rsidRPr="00A94DAB" w:rsidRDefault="00A94DAB" w:rsidP="00715F9E">
      <w:pPr>
        <w:tabs>
          <w:tab w:val="clear" w:pos="567"/>
          <w:tab w:val="clear" w:pos="1134"/>
          <w:tab w:val="clear" w:pos="1701"/>
          <w:tab w:val="clear" w:pos="2268"/>
          <w:tab w:val="clear" w:pos="2835"/>
        </w:tabs>
        <w:snapToGrid w:val="0"/>
        <w:spacing w:after="120"/>
        <w:jc w:val="both"/>
        <w:rPr>
          <w:rFonts w:cs="Calibri"/>
          <w:szCs w:val="24"/>
        </w:rPr>
      </w:pPr>
      <w:r>
        <w:rPr>
          <w:rFonts w:cs="Calibri"/>
          <w:szCs w:val="24"/>
        </w:rPr>
        <w:t>4.2</w:t>
      </w:r>
      <w:r>
        <w:rPr>
          <w:rFonts w:cs="Calibri"/>
          <w:szCs w:val="24"/>
        </w:rPr>
        <w:tab/>
      </w:r>
      <w:r w:rsidR="006415CC" w:rsidRPr="00A94DAB">
        <w:rPr>
          <w:rFonts w:cs="Calibri"/>
          <w:szCs w:val="24"/>
        </w:rPr>
        <w:t>Meanwhile, ITU will continue to focus on cost containment with the</w:t>
      </w:r>
      <w:r w:rsidR="000D76A4" w:rsidRPr="00A94DAB">
        <w:rPr>
          <w:rFonts w:cs="Calibri"/>
          <w:szCs w:val="24"/>
        </w:rPr>
        <w:t xml:space="preserve"> </w:t>
      </w:r>
      <w:r w:rsidR="006415CC" w:rsidRPr="00A94DAB">
        <w:rPr>
          <w:rFonts w:cs="Calibri"/>
          <w:szCs w:val="24"/>
        </w:rPr>
        <w:t xml:space="preserve">service provider and has proposed an increase in the percentage of contributions for the CMIP members and for ITU in the </w:t>
      </w:r>
      <w:r w:rsidR="00E167FB" w:rsidRPr="00A94DAB">
        <w:rPr>
          <w:rFonts w:cs="Calibri"/>
          <w:szCs w:val="24"/>
        </w:rPr>
        <w:t>20</w:t>
      </w:r>
      <w:r w:rsidR="009129F4" w:rsidRPr="00A94DAB">
        <w:rPr>
          <w:rFonts w:cs="Calibri"/>
          <w:szCs w:val="24"/>
        </w:rPr>
        <w:t>20</w:t>
      </w:r>
      <w:r w:rsidR="00E167FB" w:rsidRPr="00A94DAB">
        <w:rPr>
          <w:rFonts w:cs="Calibri"/>
          <w:szCs w:val="24"/>
        </w:rPr>
        <w:t>-20</w:t>
      </w:r>
      <w:r w:rsidR="009129F4" w:rsidRPr="00A94DAB">
        <w:rPr>
          <w:rFonts w:cs="Calibri"/>
          <w:szCs w:val="24"/>
        </w:rPr>
        <w:t>21</w:t>
      </w:r>
      <w:r w:rsidR="00E167FB" w:rsidRPr="00A94DAB">
        <w:rPr>
          <w:rFonts w:cs="Calibri"/>
          <w:szCs w:val="24"/>
        </w:rPr>
        <w:t xml:space="preserve"> </w:t>
      </w:r>
      <w:r w:rsidR="00715F9E" w:rsidRPr="00A94DAB">
        <w:rPr>
          <w:rFonts w:cs="Calibri"/>
          <w:szCs w:val="24"/>
        </w:rPr>
        <w:t xml:space="preserve">budget </w:t>
      </w:r>
      <w:r w:rsidR="00C2461C" w:rsidRPr="00A94DAB">
        <w:rPr>
          <w:rFonts w:cs="Calibri"/>
          <w:szCs w:val="24"/>
        </w:rPr>
        <w:t>from 3.91% to 4.</w:t>
      </w:r>
      <w:r w:rsidR="00D22151" w:rsidRPr="00A94DAB">
        <w:rPr>
          <w:rFonts w:cs="Calibri"/>
          <w:szCs w:val="24"/>
        </w:rPr>
        <w:t>7</w:t>
      </w:r>
      <w:r w:rsidR="00C2461C" w:rsidRPr="00A94DAB">
        <w:rPr>
          <w:rFonts w:cs="Calibri"/>
          <w:szCs w:val="24"/>
        </w:rPr>
        <w:t xml:space="preserve"> % </w:t>
      </w:r>
      <w:r w:rsidR="006415CC" w:rsidRPr="00A94DAB">
        <w:rPr>
          <w:rFonts w:cs="Calibri"/>
          <w:szCs w:val="24"/>
        </w:rPr>
        <w:t>in order to ensure the financing of health insurance on a pay-as-you-go basis. Furthermore, ITU will continue to fund the ASHI reserve as far as possible according to the budgetary sur</w:t>
      </w:r>
      <w:bookmarkStart w:id="10" w:name="_GoBack"/>
      <w:bookmarkEnd w:id="10"/>
      <w:r w:rsidR="006415CC" w:rsidRPr="00A94DAB">
        <w:rPr>
          <w:rFonts w:cs="Calibri"/>
          <w:szCs w:val="24"/>
        </w:rPr>
        <w:t>pluses.</w:t>
      </w:r>
    </w:p>
    <w:p w:rsidR="00A94DAB" w:rsidRPr="00A94DAB" w:rsidRDefault="006415CC" w:rsidP="00717364">
      <w:pPr>
        <w:snapToGrid w:val="0"/>
        <w:spacing w:before="840"/>
        <w:jc w:val="center"/>
        <w:rPr>
          <w:rFonts w:cs="Calibri"/>
          <w:szCs w:val="24"/>
        </w:rPr>
      </w:pPr>
      <w:r w:rsidRPr="00A94DAB">
        <w:rPr>
          <w:rFonts w:cs="Calibri"/>
          <w:szCs w:val="24"/>
        </w:rPr>
        <w:t>_________________</w:t>
      </w:r>
    </w:p>
    <w:sectPr w:rsidR="00A94DAB" w:rsidRPr="00A94DAB"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5B" w:rsidRDefault="00B21F5B">
      <w:r>
        <w:separator/>
      </w:r>
    </w:p>
  </w:endnote>
  <w:endnote w:type="continuationSeparator" w:id="0">
    <w:p w:rsidR="00B21F5B" w:rsidRDefault="00B2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88" w:rsidRDefault="0062468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5B" w:rsidRDefault="00B21F5B">
      <w:r>
        <w:t>____________________</w:t>
      </w:r>
    </w:p>
  </w:footnote>
  <w:footnote w:type="continuationSeparator" w:id="0">
    <w:p w:rsidR="00B21F5B" w:rsidRDefault="00B2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88" w:rsidRDefault="00624688" w:rsidP="00CE433C">
    <w:pPr>
      <w:pStyle w:val="Header"/>
    </w:pPr>
    <w:r>
      <w:fldChar w:fldCharType="begin"/>
    </w:r>
    <w:r>
      <w:instrText>PAGE</w:instrText>
    </w:r>
    <w:r>
      <w:fldChar w:fldCharType="separate"/>
    </w:r>
    <w:r w:rsidR="00314801">
      <w:rPr>
        <w:noProof/>
      </w:rPr>
      <w:t>5</w:t>
    </w:r>
    <w:r>
      <w:rPr>
        <w:noProof/>
      </w:rPr>
      <w:fldChar w:fldCharType="end"/>
    </w:r>
  </w:p>
  <w:p w:rsidR="00624688" w:rsidRDefault="00624688" w:rsidP="001C3942">
    <w:pPr>
      <w:pStyle w:val="Header"/>
    </w:pPr>
    <w:r>
      <w:t>C1</w:t>
    </w:r>
    <w:r w:rsidR="001C3942">
      <w:t>9</w:t>
    </w:r>
    <w:r>
      <w:t>/46-E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CC"/>
    <w:rsid w:val="000210D4"/>
    <w:rsid w:val="00063016"/>
    <w:rsid w:val="00066795"/>
    <w:rsid w:val="00076AF6"/>
    <w:rsid w:val="00085CF2"/>
    <w:rsid w:val="000B1705"/>
    <w:rsid w:val="000D5628"/>
    <w:rsid w:val="000D6FBB"/>
    <w:rsid w:val="000D75B2"/>
    <w:rsid w:val="000D76A4"/>
    <w:rsid w:val="000F4AC9"/>
    <w:rsid w:val="001066A6"/>
    <w:rsid w:val="001121F5"/>
    <w:rsid w:val="001400DC"/>
    <w:rsid w:val="00140CE1"/>
    <w:rsid w:val="00140EDB"/>
    <w:rsid w:val="00143256"/>
    <w:rsid w:val="00147912"/>
    <w:rsid w:val="00157205"/>
    <w:rsid w:val="0017539C"/>
    <w:rsid w:val="00175AC2"/>
    <w:rsid w:val="0017609F"/>
    <w:rsid w:val="00180E91"/>
    <w:rsid w:val="001904A0"/>
    <w:rsid w:val="001B78D0"/>
    <w:rsid w:val="001C3942"/>
    <w:rsid w:val="001C628E"/>
    <w:rsid w:val="001D327C"/>
    <w:rsid w:val="001E0F7B"/>
    <w:rsid w:val="001F72FB"/>
    <w:rsid w:val="002119FD"/>
    <w:rsid w:val="002130E0"/>
    <w:rsid w:val="002163A1"/>
    <w:rsid w:val="002346D0"/>
    <w:rsid w:val="0026381E"/>
    <w:rsid w:val="00264425"/>
    <w:rsid w:val="00265875"/>
    <w:rsid w:val="0027303B"/>
    <w:rsid w:val="0027611E"/>
    <w:rsid w:val="0028109B"/>
    <w:rsid w:val="00296B1F"/>
    <w:rsid w:val="002A0E97"/>
    <w:rsid w:val="002B1F58"/>
    <w:rsid w:val="002B37FE"/>
    <w:rsid w:val="002C1C7A"/>
    <w:rsid w:val="002D70E5"/>
    <w:rsid w:val="002E7AF5"/>
    <w:rsid w:val="002F098E"/>
    <w:rsid w:val="002F6D63"/>
    <w:rsid w:val="0030088E"/>
    <w:rsid w:val="0030160F"/>
    <w:rsid w:val="0030265B"/>
    <w:rsid w:val="003056B3"/>
    <w:rsid w:val="00314801"/>
    <w:rsid w:val="00320EDB"/>
    <w:rsid w:val="00322D0D"/>
    <w:rsid w:val="003420F7"/>
    <w:rsid w:val="00374AD4"/>
    <w:rsid w:val="00391F17"/>
    <w:rsid w:val="003942D4"/>
    <w:rsid w:val="003958A8"/>
    <w:rsid w:val="003B1C6F"/>
    <w:rsid w:val="003C0EEB"/>
    <w:rsid w:val="003C2533"/>
    <w:rsid w:val="003E55F6"/>
    <w:rsid w:val="0040435A"/>
    <w:rsid w:val="0040439F"/>
    <w:rsid w:val="00416A24"/>
    <w:rsid w:val="00431D9E"/>
    <w:rsid w:val="00433CE8"/>
    <w:rsid w:val="00434A5C"/>
    <w:rsid w:val="00437361"/>
    <w:rsid w:val="004544D9"/>
    <w:rsid w:val="00465878"/>
    <w:rsid w:val="00490E72"/>
    <w:rsid w:val="00491157"/>
    <w:rsid w:val="004921C8"/>
    <w:rsid w:val="004A72D9"/>
    <w:rsid w:val="004C5010"/>
    <w:rsid w:val="004D1851"/>
    <w:rsid w:val="004D599D"/>
    <w:rsid w:val="004E2EA5"/>
    <w:rsid w:val="004E3AEB"/>
    <w:rsid w:val="0050223C"/>
    <w:rsid w:val="005243FF"/>
    <w:rsid w:val="00543E9A"/>
    <w:rsid w:val="00564FBC"/>
    <w:rsid w:val="00572D51"/>
    <w:rsid w:val="00574E74"/>
    <w:rsid w:val="00582442"/>
    <w:rsid w:val="005A093A"/>
    <w:rsid w:val="005B4D5F"/>
    <w:rsid w:val="005D0CF6"/>
    <w:rsid w:val="005D437A"/>
    <w:rsid w:val="005F176F"/>
    <w:rsid w:val="00624688"/>
    <w:rsid w:val="0063181A"/>
    <w:rsid w:val="006415CC"/>
    <w:rsid w:val="0064737F"/>
    <w:rsid w:val="006535F1"/>
    <w:rsid w:val="0065557D"/>
    <w:rsid w:val="00662984"/>
    <w:rsid w:val="0067154A"/>
    <w:rsid w:val="006716BB"/>
    <w:rsid w:val="006A15CD"/>
    <w:rsid w:val="006B47E3"/>
    <w:rsid w:val="006B6680"/>
    <w:rsid w:val="006B6DCC"/>
    <w:rsid w:val="006E7A7C"/>
    <w:rsid w:val="00702DEF"/>
    <w:rsid w:val="00706861"/>
    <w:rsid w:val="00710A6C"/>
    <w:rsid w:val="00715F9E"/>
    <w:rsid w:val="00717364"/>
    <w:rsid w:val="00726100"/>
    <w:rsid w:val="0075051B"/>
    <w:rsid w:val="00754D1B"/>
    <w:rsid w:val="0078266E"/>
    <w:rsid w:val="00794D34"/>
    <w:rsid w:val="007B3059"/>
    <w:rsid w:val="00813878"/>
    <w:rsid w:val="00813E5E"/>
    <w:rsid w:val="0083581B"/>
    <w:rsid w:val="0084314E"/>
    <w:rsid w:val="00851D0D"/>
    <w:rsid w:val="00864AFF"/>
    <w:rsid w:val="0087423C"/>
    <w:rsid w:val="00897315"/>
    <w:rsid w:val="008B37DA"/>
    <w:rsid w:val="008B4A6A"/>
    <w:rsid w:val="008C7E27"/>
    <w:rsid w:val="008D313C"/>
    <w:rsid w:val="008D3B48"/>
    <w:rsid w:val="009129F4"/>
    <w:rsid w:val="009173EF"/>
    <w:rsid w:val="00932906"/>
    <w:rsid w:val="00961B0B"/>
    <w:rsid w:val="009661CD"/>
    <w:rsid w:val="009A1899"/>
    <w:rsid w:val="009B2B54"/>
    <w:rsid w:val="009B38C3"/>
    <w:rsid w:val="009E17BD"/>
    <w:rsid w:val="00A04CEC"/>
    <w:rsid w:val="00A27F92"/>
    <w:rsid w:val="00A314D7"/>
    <w:rsid w:val="00A32257"/>
    <w:rsid w:val="00A36D20"/>
    <w:rsid w:val="00A55622"/>
    <w:rsid w:val="00A564CB"/>
    <w:rsid w:val="00A5667F"/>
    <w:rsid w:val="00A83502"/>
    <w:rsid w:val="00A94DAB"/>
    <w:rsid w:val="00AA5F58"/>
    <w:rsid w:val="00AD15B3"/>
    <w:rsid w:val="00AE6F5F"/>
    <w:rsid w:val="00AF2E69"/>
    <w:rsid w:val="00AF6E49"/>
    <w:rsid w:val="00AF7F00"/>
    <w:rsid w:val="00B04A67"/>
    <w:rsid w:val="00B0583C"/>
    <w:rsid w:val="00B21F5B"/>
    <w:rsid w:val="00B40A81"/>
    <w:rsid w:val="00B44910"/>
    <w:rsid w:val="00B72267"/>
    <w:rsid w:val="00B76EB6"/>
    <w:rsid w:val="00B7737B"/>
    <w:rsid w:val="00B824C8"/>
    <w:rsid w:val="00B903BB"/>
    <w:rsid w:val="00BA260F"/>
    <w:rsid w:val="00BA41D1"/>
    <w:rsid w:val="00BB15BB"/>
    <w:rsid w:val="00BB6F62"/>
    <w:rsid w:val="00BC251A"/>
    <w:rsid w:val="00BD032B"/>
    <w:rsid w:val="00BD3FE6"/>
    <w:rsid w:val="00BE164A"/>
    <w:rsid w:val="00BE2640"/>
    <w:rsid w:val="00BF4206"/>
    <w:rsid w:val="00C01189"/>
    <w:rsid w:val="00C0503F"/>
    <w:rsid w:val="00C2461C"/>
    <w:rsid w:val="00C25D50"/>
    <w:rsid w:val="00C374DE"/>
    <w:rsid w:val="00C47AD4"/>
    <w:rsid w:val="00C52D81"/>
    <w:rsid w:val="00C55198"/>
    <w:rsid w:val="00C67E33"/>
    <w:rsid w:val="00C7530D"/>
    <w:rsid w:val="00CA6393"/>
    <w:rsid w:val="00CB18FF"/>
    <w:rsid w:val="00CD0C08"/>
    <w:rsid w:val="00CE03FB"/>
    <w:rsid w:val="00CE433C"/>
    <w:rsid w:val="00CF33F3"/>
    <w:rsid w:val="00D06183"/>
    <w:rsid w:val="00D130A5"/>
    <w:rsid w:val="00D22151"/>
    <w:rsid w:val="00D22C42"/>
    <w:rsid w:val="00D27AE7"/>
    <w:rsid w:val="00D330EF"/>
    <w:rsid w:val="00D57C9B"/>
    <w:rsid w:val="00D65041"/>
    <w:rsid w:val="00D8512D"/>
    <w:rsid w:val="00DB384B"/>
    <w:rsid w:val="00DC2815"/>
    <w:rsid w:val="00DD5367"/>
    <w:rsid w:val="00DE0646"/>
    <w:rsid w:val="00DE7E69"/>
    <w:rsid w:val="00E00590"/>
    <w:rsid w:val="00E04CC5"/>
    <w:rsid w:val="00E10E80"/>
    <w:rsid w:val="00E12180"/>
    <w:rsid w:val="00E124F0"/>
    <w:rsid w:val="00E167FB"/>
    <w:rsid w:val="00E415C7"/>
    <w:rsid w:val="00E60F04"/>
    <w:rsid w:val="00E826DA"/>
    <w:rsid w:val="00E854E4"/>
    <w:rsid w:val="00E87E66"/>
    <w:rsid w:val="00E969FC"/>
    <w:rsid w:val="00EB0D6F"/>
    <w:rsid w:val="00EB2232"/>
    <w:rsid w:val="00EC1F05"/>
    <w:rsid w:val="00EC5337"/>
    <w:rsid w:val="00EE30DE"/>
    <w:rsid w:val="00EE417A"/>
    <w:rsid w:val="00F12819"/>
    <w:rsid w:val="00F12FF6"/>
    <w:rsid w:val="00F14916"/>
    <w:rsid w:val="00F2150A"/>
    <w:rsid w:val="00F231D8"/>
    <w:rsid w:val="00F244EA"/>
    <w:rsid w:val="00F32DF1"/>
    <w:rsid w:val="00F46C5F"/>
    <w:rsid w:val="00F87F8D"/>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982D97"/>
  <w15:docId w15:val="{3E33BCD6-F699-4D79-9DD4-AAE46609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415C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5F17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76F"/>
    <w:rPr>
      <w:rFonts w:ascii="Segoe UI" w:hAnsi="Segoe UI" w:cs="Segoe UI"/>
      <w:sz w:val="18"/>
      <w:szCs w:val="18"/>
      <w:lang w:val="en-GB" w:eastAsia="en-US"/>
    </w:rPr>
  </w:style>
  <w:style w:type="paragraph" w:customStyle="1" w:styleId="Default">
    <w:name w:val="Default"/>
    <w:rsid w:val="00DE7E69"/>
    <w:pPr>
      <w:autoSpaceDE w:val="0"/>
      <w:autoSpaceDN w:val="0"/>
      <w:adjustRightInd w:val="0"/>
    </w:pPr>
    <w:rPr>
      <w:rFonts w:ascii="Calibri" w:hAnsi="Calibri" w:cs="Calibri"/>
      <w:color w:val="000000"/>
      <w:sz w:val="24"/>
      <w:szCs w:val="24"/>
    </w:rPr>
  </w:style>
  <w:style w:type="paragraph" w:customStyle="1" w:styleId="xmsonormal">
    <w:name w:val="x_msonormal"/>
    <w:basedOn w:val="Normal"/>
    <w:uiPriority w:val="99"/>
    <w:rsid w:val="009129F4"/>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22581">
      <w:bodyDiv w:val="1"/>
      <w:marLeft w:val="0"/>
      <w:marRight w:val="0"/>
      <w:marTop w:val="0"/>
      <w:marBottom w:val="0"/>
      <w:divBdr>
        <w:top w:val="none" w:sz="0" w:space="0" w:color="auto"/>
        <w:left w:val="none" w:sz="0" w:space="0" w:color="auto"/>
        <w:bottom w:val="none" w:sz="0" w:space="0" w:color="auto"/>
        <w:right w:val="none" w:sz="0" w:space="0" w:color="auto"/>
      </w:divBdr>
    </w:div>
    <w:div w:id="8722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council/Documents/fin-hr/ref-dec005.docx" TargetMode="External"/><Relationship Id="rId4" Type="http://schemas.openxmlformats.org/officeDocument/2006/relationships/settings" Target="settings.xml"/><Relationship Id="rId9" Type="http://schemas.openxmlformats.org/officeDocument/2006/relationships/hyperlink" Target="http://www.itu.int/md/S18-CL-C-0046/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5055-A059-4329-A9DE-EF2E1C7A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1692</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10721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2019</dc:subject>
  <dc:creator>Brouard, Ricarda</dc:creator>
  <cp:keywords>C2019, C19</cp:keywords>
  <dc:description/>
  <cp:lastModifiedBy>Aschenbrener, Elizabeth</cp:lastModifiedBy>
  <cp:revision>3</cp:revision>
  <cp:lastPrinted>2019-04-18T09:13:00Z</cp:lastPrinted>
  <dcterms:created xsi:type="dcterms:W3CDTF">2019-04-23T11:56:00Z</dcterms:created>
  <dcterms:modified xsi:type="dcterms:W3CDTF">2019-04-23T12:50:00Z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