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5C7" w:rsidP="005205C7">
            <w:pPr>
              <w:spacing w:before="0"/>
              <w:rPr>
                <w:rFonts w:cs="Times"/>
                <w:b/>
                <w:bCs/>
                <w:szCs w:val="24"/>
                <w:lang w:val="fr-CH"/>
              </w:rPr>
            </w:pPr>
            <w:bookmarkStart w:id="3" w:name="dnum" w:colFirst="1" w:colLast="1"/>
            <w:bookmarkStart w:id="4" w:name="dmeeting" w:colFirst="0" w:colLast="0"/>
            <w:r w:rsidRPr="005205C7">
              <w:rPr>
                <w:rFonts w:cs="Times"/>
                <w:b/>
                <w:bCs/>
                <w:szCs w:val="24"/>
              </w:rPr>
              <w:t>Point de l'ordre du jour: ADM 1</w:t>
            </w:r>
            <w:r w:rsidR="0076425C">
              <w:rPr>
                <w:rFonts w:cs="Times"/>
                <w:b/>
                <w:bCs/>
                <w:szCs w:val="24"/>
              </w:rPr>
              <w:t>6</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5205C7">
              <w:rPr>
                <w:b/>
                <w:bCs/>
              </w:rPr>
              <w:t>44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5205C7" w:rsidP="00106B19">
            <w:pPr>
              <w:spacing w:before="0"/>
              <w:rPr>
                <w:b/>
                <w:bCs/>
              </w:rPr>
            </w:pPr>
            <w:r>
              <w:rPr>
                <w:b/>
                <w:bCs/>
              </w:rPr>
              <w:t>15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205C7" w:rsidP="005205C7">
            <w:pPr>
              <w:pStyle w:val="Source"/>
            </w:pPr>
            <w:bookmarkStart w:id="7" w:name="dsource" w:colFirst="0" w:colLast="0"/>
            <w:bookmarkEnd w:id="6"/>
            <w:r w:rsidRPr="005205C7">
              <w:t>Rapport du Secrétaire général</w:t>
            </w:r>
          </w:p>
        </w:tc>
      </w:tr>
      <w:tr w:rsidR="00520F36" w:rsidRPr="0092392D">
        <w:trPr>
          <w:cantSplit/>
        </w:trPr>
        <w:tc>
          <w:tcPr>
            <w:tcW w:w="10173" w:type="dxa"/>
            <w:gridSpan w:val="2"/>
          </w:tcPr>
          <w:p w:rsidR="00520F36" w:rsidRPr="0092392D" w:rsidRDefault="005205C7" w:rsidP="005205C7">
            <w:pPr>
              <w:pStyle w:val="Title1"/>
            </w:pPr>
            <w:bookmarkStart w:id="8" w:name="dtitle1" w:colFirst="0" w:colLast="0"/>
            <w:bookmarkEnd w:id="7"/>
            <w:r w:rsidRPr="005205C7">
              <w:t>RAPPORT DE L'AUDITEUR INTERNE SUR LES ACTIVITéS D'AUDIT INTERNE</w:t>
            </w:r>
          </w:p>
        </w:tc>
      </w:tr>
      <w:bookmarkEnd w:id="8"/>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5B142D" w:rsidP="005B142D">
            <w:pPr>
              <w:rPr>
                <w:lang w:val="fr-CH"/>
              </w:rPr>
            </w:pPr>
            <w:r w:rsidRPr="005B142D">
              <w:t>Le présent rapport couvre les activités d'audit interne menées durant la période allant de mars 2018 à avril 2019.</w:t>
            </w:r>
          </w:p>
          <w:p w:rsidR="00520F36" w:rsidRPr="0092392D" w:rsidRDefault="00520F36">
            <w:pPr>
              <w:pStyle w:val="Headingb"/>
              <w:rPr>
                <w:lang w:val="fr-CH"/>
              </w:rPr>
            </w:pPr>
            <w:r w:rsidRPr="0092392D">
              <w:rPr>
                <w:lang w:val="fr-CH"/>
              </w:rPr>
              <w:t>Suite à donner</w:t>
            </w:r>
          </w:p>
          <w:p w:rsidR="00520F36" w:rsidRPr="0092392D" w:rsidRDefault="005B142D" w:rsidP="005B142D">
            <w:pPr>
              <w:rPr>
                <w:lang w:val="fr-CH"/>
              </w:rPr>
            </w:pPr>
            <w:r w:rsidRPr="005B142D">
              <w:t xml:space="preserve">Le présent rapport est transmis au Conseil </w:t>
            </w:r>
            <w:r w:rsidRPr="005B142D">
              <w:rPr>
                <w:b/>
              </w:rPr>
              <w:t>pour examen</w:t>
            </w:r>
            <w:r w:rsidRPr="005B142D">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8A5C3B" w:rsidP="005B142D">
            <w:pPr>
              <w:spacing w:after="120"/>
              <w:rPr>
                <w:i/>
                <w:iCs/>
                <w:lang w:val="fr-CH"/>
              </w:rPr>
            </w:pPr>
            <w:hyperlink r:id="rId9" w:history="1">
              <w:r w:rsidR="005B142D" w:rsidRPr="00754FE1">
                <w:rPr>
                  <w:rStyle w:val="Hyperlink"/>
                  <w:i/>
                  <w:iCs/>
                </w:rPr>
                <w:t>Règlement financier et Règles financières de l'UIT (2018), Article 29</w:t>
              </w:r>
            </w:hyperlink>
          </w:p>
        </w:tc>
      </w:tr>
    </w:tbl>
    <w:p w:rsidR="0076425C" w:rsidRPr="0076425C" w:rsidRDefault="0076425C" w:rsidP="001B5418">
      <w:pPr>
        <w:pStyle w:val="Heading1"/>
      </w:pPr>
      <w:r w:rsidRPr="0076425C">
        <w:t>Introduction</w:t>
      </w:r>
    </w:p>
    <w:p w:rsidR="0076425C" w:rsidRPr="0076425C" w:rsidRDefault="0076425C" w:rsidP="001B5418">
      <w:r w:rsidRPr="0076425C">
        <w:t>1</w:t>
      </w:r>
      <w:r w:rsidRPr="0076425C">
        <w:tab/>
        <w:t>Le présent rapport est transmis au Conseil au titre de l'Article 29 du Règlement financier (2010). Conformément à la Charte d'audit interne de l'UIT</w:t>
      </w:r>
      <w:r>
        <w:rPr>
          <w:rStyle w:val="FootnoteReference"/>
        </w:rPr>
        <w:footnoteReference w:id="1"/>
      </w:r>
      <w:r w:rsidRPr="0076425C">
        <w:t>, le présent rapport est soumis au Secrétaire général et présenté au Conseil pour examen. Il couvre les activités menées durant la période allant de mars 2018 à avril 2019.</w:t>
      </w:r>
    </w:p>
    <w:p w:rsidR="0076425C" w:rsidRPr="0076425C" w:rsidRDefault="0076425C" w:rsidP="00C81710">
      <w:r w:rsidRPr="0076425C">
        <w:t>2</w:t>
      </w:r>
      <w:r w:rsidRPr="0076425C">
        <w:tab/>
        <w:t xml:space="preserve">S'agissant de la période couverte par le rapport, l'Unité de </w:t>
      </w:r>
      <w:r w:rsidR="000F7010">
        <w:t>l'audit interne se composait de </w:t>
      </w:r>
      <w:r w:rsidRPr="0076425C">
        <w:t>deux fonctionnaires de la catégorie professionnelle – un P5 (chef de l'Unité)</w:t>
      </w:r>
      <w:r w:rsidR="00C81710">
        <w:t xml:space="preserve"> et </w:t>
      </w:r>
      <w:r>
        <w:t>un</w:t>
      </w:r>
      <w:r w:rsidRPr="0076425C">
        <w:t xml:space="preserve"> P3</w:t>
      </w:r>
      <w:r w:rsidR="00597A3C">
        <w:t xml:space="preserve"> (auditeur </w:t>
      </w:r>
      <w:r w:rsidRPr="0076425C">
        <w:t>interne</w:t>
      </w:r>
      <w:r w:rsidR="00C81710">
        <w:t>) ainsi qu'</w:t>
      </w:r>
      <w:r w:rsidRPr="0076425C">
        <w:t>un P2 (auditeur interne junior)</w:t>
      </w:r>
      <w:r w:rsidR="00C81710">
        <w:t>,</w:t>
      </w:r>
      <w:r w:rsidRPr="0076425C">
        <w:t xml:space="preserve"> jusqu'à ce que le titul</w:t>
      </w:r>
      <w:r w:rsidR="000F7010">
        <w:t>aire quitte l'UIT le 31 juillet </w:t>
      </w:r>
      <w:r w:rsidRPr="0076425C">
        <w:t xml:space="preserve">2018 et qu'un suppléant </w:t>
      </w:r>
      <w:r w:rsidRPr="0076425C">
        <w:lastRenderedPageBreak/>
        <w:t xml:space="preserve">temporaire prenne ses fonctions le 1er </w:t>
      </w:r>
      <w:r>
        <w:t>février 2019.</w:t>
      </w:r>
      <w:r w:rsidRPr="0076425C">
        <w:t xml:space="preserve"> </w:t>
      </w:r>
      <w:r w:rsidR="000F7010">
        <w:t>Le poste </w:t>
      </w:r>
      <w:r w:rsidR="00C81710">
        <w:t xml:space="preserve">P2 a été mis au concours (engagement de durée déterminée). </w:t>
      </w:r>
      <w:r w:rsidRPr="0076425C">
        <w:t>Un fonctionnaire de la catégorie des services généraux (assistant d'audit) a travaillé à temps plein à l'Unité. L</w:t>
      </w:r>
      <w:r w:rsidR="00182B27">
        <w:t>'</w:t>
      </w:r>
      <w:r w:rsidRPr="0076425C">
        <w:t>Unité compte donc trois postes de la catégorie professionnelle et un poste de la catégorie des services généraux.</w:t>
      </w:r>
    </w:p>
    <w:p w:rsidR="00100BB2" w:rsidRDefault="00100BB2" w:rsidP="0076425C">
      <w:r>
        <w:br w:type="page"/>
      </w:r>
    </w:p>
    <w:p w:rsidR="0076425C" w:rsidRPr="0076425C" w:rsidRDefault="0076425C" w:rsidP="0076425C">
      <w:r w:rsidRPr="0076425C">
        <w:lastRenderedPageBreak/>
        <w:t>3</w:t>
      </w:r>
      <w:r w:rsidRPr="0076425C">
        <w:tab/>
        <w:t>L'Unité de l'audit interne confirme qu'elle se conforme dans ses activités d'audit aux Normes internationales pour la pratique professionnelle de l'audit interne et au Code de déontologie établis par l'Institut des auditeurs internes</w:t>
      </w:r>
      <w:r w:rsidRPr="0076425C">
        <w:rPr>
          <w:rStyle w:val="FootnoteReference"/>
        </w:rPr>
        <w:footnoteReference w:id="2"/>
      </w:r>
      <w:r w:rsidRPr="0076425C">
        <w:t xml:space="preserve"> (IIA), ainsi qu'aux dispositions de la Charte d'audit interne de l'UIT</w:t>
      </w:r>
      <w:r w:rsidRPr="0076425C">
        <w:rPr>
          <w:rStyle w:val="FootnoteReference"/>
        </w:rPr>
        <w:footnoteReference w:id="3"/>
      </w:r>
      <w:r w:rsidRPr="0076425C">
        <w:rPr>
          <w:lang w:val="fr-CH"/>
        </w:rPr>
        <w:t xml:space="preserve">. </w:t>
      </w:r>
      <w:r w:rsidRPr="0076425C">
        <w:t>En outre, elle confirme qu'au cours de la période couverte par le présent rapport, ses membres n'ont supervisé aucune des activités ayant fait l'objet d'un audit, ni n'en ont été responsables, et qu'ils n'ont pas exercé à l'UIT de fonctions comptables ou opérationnelles.</w:t>
      </w:r>
    </w:p>
    <w:p w:rsidR="0076425C" w:rsidRPr="0076425C" w:rsidRDefault="0076425C" w:rsidP="00DD2A0E">
      <w:pPr>
        <w:pStyle w:val="Heading1"/>
      </w:pPr>
      <w:r w:rsidRPr="0076425C">
        <w:t>Orientation et champ des activités d'audit interne</w:t>
      </w:r>
    </w:p>
    <w:p w:rsidR="0076425C" w:rsidRPr="0076425C" w:rsidRDefault="0076425C" w:rsidP="00100BB2">
      <w:r w:rsidRPr="0076425C">
        <w:t>4</w:t>
      </w:r>
      <w:r w:rsidRPr="0076425C">
        <w:tab/>
        <w:t>Conformément à la Charte d</w:t>
      </w:r>
      <w:r w:rsidRPr="0076425C">
        <w:rPr>
          <w:b/>
        </w:rPr>
        <w:t>'</w:t>
      </w:r>
      <w:r w:rsidRPr="0076425C">
        <w:t>audit interne, le plan proposé pour l</w:t>
      </w:r>
      <w:r w:rsidRPr="0076425C">
        <w:rPr>
          <w:b/>
        </w:rPr>
        <w:t>'</w:t>
      </w:r>
      <w:r w:rsidRPr="0076425C">
        <w:t>Unité de l</w:t>
      </w:r>
      <w:r w:rsidRPr="0076425C">
        <w:rPr>
          <w:b/>
        </w:rPr>
        <w:t>'</w:t>
      </w:r>
      <w:r w:rsidRPr="0076425C">
        <w:t xml:space="preserve">audit interne pour 2018 a été examiné par le Comité consultatif indépendant pour les questions de gestion (CCIG) </w:t>
      </w:r>
      <w:r w:rsidR="00597A3C">
        <w:t>à sa 18ème</w:t>
      </w:r>
      <w:r>
        <w:t xml:space="preserve"> réunion</w:t>
      </w:r>
      <w:r w:rsidRPr="0076425C">
        <w:t xml:space="preserve"> et approuvé par le Secrétaire général le 24 janvier 2018</w:t>
      </w:r>
      <w:r>
        <w:t>.</w:t>
      </w:r>
      <w:r w:rsidRPr="0076425C">
        <w:rPr>
          <w:i/>
        </w:rPr>
        <w:t xml:space="preserve"> </w:t>
      </w:r>
      <w:r w:rsidRPr="0076425C">
        <w:t>Pour 2019, le plan proposé pour l</w:t>
      </w:r>
      <w:r w:rsidRPr="0076425C">
        <w:rPr>
          <w:b/>
        </w:rPr>
        <w:t>'</w:t>
      </w:r>
      <w:r w:rsidRPr="0076425C">
        <w:t>Unité de l</w:t>
      </w:r>
      <w:r w:rsidRPr="0076425C">
        <w:rPr>
          <w:b/>
        </w:rPr>
        <w:t>'</w:t>
      </w:r>
      <w:r w:rsidRPr="0076425C">
        <w:t>audit interne a été établi au début de l'année, après consultation des nouveaux fonctionnaires élus. Ce plan a été examiné par le CCIG à sa 21</w:t>
      </w:r>
      <w:r w:rsidR="00100BB2">
        <w:t>ème</w:t>
      </w:r>
      <w:r w:rsidRPr="0076425C">
        <w:t xml:space="preserve"> réunion et approuvé par le Secrétaire général le 26 mars 2019. En plus des missions d</w:t>
      </w:r>
      <w:r w:rsidRPr="0076425C">
        <w:rPr>
          <w:b/>
        </w:rPr>
        <w:t>'</w:t>
      </w:r>
      <w:r w:rsidRPr="0076425C">
        <w:t>assurance, la Charte d</w:t>
      </w:r>
      <w:r w:rsidRPr="0076425C">
        <w:rPr>
          <w:b/>
        </w:rPr>
        <w:t>'</w:t>
      </w:r>
      <w:r w:rsidRPr="0076425C">
        <w:t xml:space="preserve">audit interne stipule que </w:t>
      </w:r>
      <w:r w:rsidRPr="0076425C">
        <w:rPr>
          <w:i/>
        </w:rPr>
        <w:t xml:space="preserve">les auditeurs internes procèdent à des enquêtes en cas d'allégation ou de présomption de fraude ou de mauvaise administration </w:t>
      </w:r>
      <w:r w:rsidRPr="0076425C">
        <w:t xml:space="preserve">et que </w:t>
      </w:r>
      <w:r w:rsidRPr="0076425C">
        <w:rPr>
          <w:i/>
        </w:rPr>
        <w:t>l'Unité de l</w:t>
      </w:r>
      <w:r w:rsidRPr="0076425C">
        <w:rPr>
          <w:b/>
          <w:i/>
        </w:rPr>
        <w:t>'</w:t>
      </w:r>
      <w:r w:rsidRPr="0076425C">
        <w:rPr>
          <w:i/>
        </w:rPr>
        <w:t>audit interne peut fournir des services de conseil au sein de l'UIT.</w:t>
      </w:r>
    </w:p>
    <w:p w:rsidR="0076425C" w:rsidRPr="0076425C" w:rsidRDefault="0076425C" w:rsidP="0076425C">
      <w:r w:rsidRPr="0076425C">
        <w:t>5</w:t>
      </w:r>
      <w:r w:rsidRPr="0076425C">
        <w:tab/>
        <w:t xml:space="preserve">L'Unité de l'audit interne remet systématiquement des exemplaires des rapports d'audit interne au Vérificateur extérieur des comptes de l'UIT ainsi qu'au CCIG. Conformément à la disposition 29.5 du Règlement financier de l'UIT, des rapports finals d'audit interne peuvent être mis à la disposition des </w:t>
      </w:r>
      <w:r w:rsidR="00590CD6" w:rsidRPr="0076425C">
        <w:t>États</w:t>
      </w:r>
      <w:r w:rsidRPr="0076425C">
        <w:t xml:space="preserve"> Membres ou de leurs représentants désignés. Un mécanisme simplifié d'accès aux rapports d'audit interne est en place depuis octobre 2015. Au cours de la période c</w:t>
      </w:r>
      <w:r>
        <w:t>ouverte par le présent rapport,</w:t>
      </w:r>
      <w:r w:rsidRPr="0076425C">
        <w:t xml:space="preserve"> </w:t>
      </w:r>
      <w:r>
        <w:t>aucune</w:t>
      </w:r>
      <w:r w:rsidRPr="0076425C">
        <w:t xml:space="preserve"> demande d'accès à des rapports d'audit interne n'a</w:t>
      </w:r>
      <w:r>
        <w:t xml:space="preserve"> été</w:t>
      </w:r>
      <w:r w:rsidRPr="0076425C">
        <w:t xml:space="preserve"> reçue via le nouveau mécanisme en ligne.</w:t>
      </w:r>
    </w:p>
    <w:p w:rsidR="0076425C" w:rsidRPr="0076425C" w:rsidRDefault="0076425C" w:rsidP="00DD2A0E">
      <w:pPr>
        <w:pStyle w:val="Heading1"/>
      </w:pPr>
      <w:r w:rsidRPr="0076425C">
        <w:rPr>
          <w:lang w:val="fr-CH"/>
        </w:rPr>
        <w:t>Objectifs et conclusions des missions d'assurance</w:t>
      </w:r>
    </w:p>
    <w:p w:rsidR="0076425C" w:rsidRPr="0076425C" w:rsidRDefault="0076425C" w:rsidP="001B5418">
      <w:r w:rsidRPr="0076425C">
        <w:t>6</w:t>
      </w:r>
      <w:r w:rsidRPr="0076425C">
        <w:tab/>
        <w:t>Les missions d'assurance avaient pour objectif d'évaluer: i) les aspects liés à la</w:t>
      </w:r>
      <w:r>
        <w:t xml:space="preserve"> gouvernance </w:t>
      </w:r>
      <w:r w:rsidRPr="0076425C">
        <w:t xml:space="preserve">des opérations de l'Union auditées; ii) les pratiques en matière de gestion des risques; et </w:t>
      </w:r>
      <w:r w:rsidR="001B5418">
        <w:t>iii) </w:t>
      </w:r>
      <w:r w:rsidRPr="0076425C">
        <w:t>l'efficacité des contrôles (internes). Un niveau de priorité est attribué aux recommandations résultant des travaux d'audit, en fonction des incidences et de la probabilité d'une déficience (élevée, moyenne, faible).</w:t>
      </w:r>
    </w:p>
    <w:p w:rsidR="0076425C" w:rsidRPr="0076425C" w:rsidRDefault="0076425C" w:rsidP="001B5418">
      <w:pPr>
        <w:rPr>
          <w:lang w:val="fr-CH"/>
        </w:rPr>
      </w:pPr>
      <w:r w:rsidRPr="0076425C">
        <w:lastRenderedPageBreak/>
        <w:t xml:space="preserve">Sur la base des différentes missions d'assurance menées à bien, l'Unité de l'audit a conclu que, globalement, il était nécessaire d'améliorer la gouvernance et la gestion des risques des processus examinés et de rendre les contrôles plus efficaces dans les différents domaines vérifiés. </w:t>
      </w:r>
      <w:r w:rsidRPr="0076425C">
        <w:rPr>
          <w:lang w:val="fr-CH"/>
        </w:rPr>
        <w:t xml:space="preserve">Des améliorations pourraient être apportées dans ces domaines </w:t>
      </w:r>
      <w:r w:rsidR="00717271">
        <w:rPr>
          <w:lang w:val="fr-CH"/>
        </w:rPr>
        <w:t xml:space="preserve">afin de permettre </w:t>
      </w:r>
      <w:r w:rsidRPr="0076425C">
        <w:rPr>
          <w:lang w:val="fr-CH"/>
        </w:rPr>
        <w:t xml:space="preserve">à l'Unité de l'audit interne de fournir au Secrétaire général une assurance raisonnable que la gouvernance et la gestion des risques sont adaptées et que les contrôles sont efficaces. Les recommandations adressées à la direction sont actuellement mises en </w:t>
      </w:r>
      <w:r w:rsidR="00590CD6" w:rsidRPr="0076425C">
        <w:rPr>
          <w:lang w:val="fr-CH"/>
        </w:rPr>
        <w:t>œuvre</w:t>
      </w:r>
      <w:r w:rsidRPr="0076425C">
        <w:rPr>
          <w:lang w:val="fr-CH"/>
        </w:rPr>
        <w:t>, avec l'appui du Secrétaire général, ce qui renforcera encore la capacité de l'UIT à remplir son mandat.</w:t>
      </w:r>
    </w:p>
    <w:p w:rsidR="0076425C" w:rsidRPr="0076425C" w:rsidRDefault="0076425C" w:rsidP="0076425C">
      <w:pPr>
        <w:rPr>
          <w:lang w:val="fr-CH"/>
        </w:rPr>
      </w:pPr>
      <w:r w:rsidRPr="0076425C">
        <w:rPr>
          <w:lang w:val="fr-CH"/>
        </w:rPr>
        <w:t>7</w:t>
      </w:r>
      <w:r w:rsidRPr="0076425C">
        <w:rPr>
          <w:lang w:val="fr-CH"/>
        </w:rPr>
        <w:tab/>
        <w:t xml:space="preserve">L'Unité de l'audit interne assure le suivi de la mise en </w:t>
      </w:r>
      <w:r w:rsidR="00590CD6" w:rsidRPr="0076425C">
        <w:rPr>
          <w:lang w:val="fr-CH"/>
        </w:rPr>
        <w:t>œuvre</w:t>
      </w:r>
      <w:r w:rsidRPr="0076425C">
        <w:rPr>
          <w:lang w:val="fr-CH"/>
        </w:rPr>
        <w:t xml:space="preserve"> des mesu</w:t>
      </w:r>
      <w:r>
        <w:rPr>
          <w:lang w:val="fr-CH"/>
        </w:rPr>
        <w:t>res recommandées, si nécessaire.</w:t>
      </w:r>
    </w:p>
    <w:p w:rsidR="0076425C" w:rsidRPr="00597A3C" w:rsidRDefault="0076425C" w:rsidP="001B5418">
      <w:pPr>
        <w:pStyle w:val="Headingi"/>
      </w:pPr>
      <w:r w:rsidRPr="0076425C">
        <w:rPr>
          <w:lang w:val="fr-CH"/>
        </w:rPr>
        <w:t>Les missions d'assurance suivantes ont été menées:</w:t>
      </w:r>
    </w:p>
    <w:p w:rsidR="0076425C" w:rsidRPr="00597A3C" w:rsidRDefault="0076425C" w:rsidP="001B5418">
      <w:pPr>
        <w:pStyle w:val="Headingb"/>
      </w:pPr>
      <w:r w:rsidRPr="0076425C">
        <w:t>A</w:t>
      </w:r>
      <w:r w:rsidRPr="0076425C">
        <w:tab/>
        <w:t>Audit sur les services de traduction</w:t>
      </w:r>
    </w:p>
    <w:p w:rsidR="0076425C" w:rsidRPr="00597A3C" w:rsidRDefault="0076425C" w:rsidP="00717271">
      <w:r w:rsidRPr="0076425C">
        <w:rPr>
          <w:lang w:val="fr-CH"/>
        </w:rPr>
        <w:t>8</w:t>
      </w:r>
      <w:r w:rsidR="00717271">
        <w:rPr>
          <w:lang w:val="fr-CH"/>
        </w:rPr>
        <w:tab/>
      </w:r>
      <w:r w:rsidRPr="0076425C">
        <w:rPr>
          <w:lang w:val="fr-CH"/>
        </w:rPr>
        <w:t>L'Unité de l'audit interne</w:t>
      </w:r>
      <w:r w:rsidR="00BD0C36">
        <w:rPr>
          <w:lang w:val="fr-CH"/>
        </w:rPr>
        <w:t xml:space="preserve"> </w:t>
      </w:r>
      <w:r w:rsidRPr="0076425C">
        <w:rPr>
          <w:lang w:val="fr-CH"/>
        </w:rPr>
        <w:t>a procédé à un audit des activités de traduction à l'UIT pendant la période allant de janvier 2014 à décembre 2017.</w:t>
      </w:r>
      <w:r w:rsidR="00BD0C36">
        <w:rPr>
          <w:lang w:val="fr-CH"/>
        </w:rPr>
        <w:t xml:space="preserve"> </w:t>
      </w:r>
      <w:r w:rsidRPr="0076425C">
        <w:rPr>
          <w:lang w:val="fr-CH"/>
        </w:rPr>
        <w:t xml:space="preserve">Cet audit a consisté à </w:t>
      </w:r>
      <w:r w:rsidR="00717271">
        <w:rPr>
          <w:lang w:val="fr-CH"/>
        </w:rPr>
        <w:t xml:space="preserve">passer en revue </w:t>
      </w:r>
      <w:r w:rsidRPr="0076425C">
        <w:rPr>
          <w:lang w:val="fr-CH"/>
        </w:rPr>
        <w:t>les politiques et processus</w:t>
      </w:r>
      <w:r w:rsidR="00BD0C36">
        <w:rPr>
          <w:lang w:val="fr-CH"/>
        </w:rPr>
        <w:t xml:space="preserve"> </w:t>
      </w:r>
      <w:r w:rsidRPr="0076425C">
        <w:rPr>
          <w:lang w:val="fr-CH"/>
        </w:rPr>
        <w:t xml:space="preserve">applicables et à déterminer la façon dont les activités de traduction sont menées à bien à l'UIT. L'audit a porté sur les traductions de </w:t>
      </w:r>
      <w:r w:rsidRPr="0076425C">
        <w:t>documents pour les conférences/réunions et manifestations</w:t>
      </w:r>
      <w:r w:rsidRPr="0076425C">
        <w:rPr>
          <w:lang w:val="fr-CH"/>
        </w:rPr>
        <w:t>, de publications et de pages web.</w:t>
      </w:r>
    </w:p>
    <w:p w:rsidR="0076425C" w:rsidRPr="0076425C" w:rsidRDefault="0076425C" w:rsidP="0076425C">
      <w:r w:rsidRPr="0076425C">
        <w:t>9</w:t>
      </w:r>
      <w:r w:rsidRPr="0076425C">
        <w:tab/>
        <w:t xml:space="preserve">L'Unité de l'audit interne a conclu que les questions suivantes devaient faire l'objet d'une attention prioritaire: </w:t>
      </w:r>
    </w:p>
    <w:p w:rsidR="00597A3C" w:rsidRDefault="00597A3C" w:rsidP="00597A3C">
      <w:pPr>
        <w:pStyle w:val="enumlev1"/>
        <w:rPr>
          <w:lang w:val="fr-CH"/>
        </w:rPr>
      </w:pPr>
      <w:r>
        <w:t>•</w:t>
      </w:r>
      <w:r>
        <w:tab/>
      </w:r>
      <w:r w:rsidR="0076425C" w:rsidRPr="0076425C">
        <w:t xml:space="preserve">Les politiques applicables aux activités de traduction sont aujourd'hui </w:t>
      </w:r>
      <w:r w:rsidR="00717271">
        <w:t xml:space="preserve">largement </w:t>
      </w:r>
      <w:r w:rsidR="0076425C" w:rsidRPr="0076425C">
        <w:t>dépassées et en partie incompatible</w:t>
      </w:r>
      <w:r w:rsidR="00717271">
        <w:t>s</w:t>
      </w:r>
      <w:r w:rsidR="0076425C" w:rsidRPr="0076425C">
        <w:t xml:space="preserve"> avec les pratiques et autres politiques actuel</w:t>
      </w:r>
      <w:r w:rsidR="00717271">
        <w:t>le</w:t>
      </w:r>
      <w:r w:rsidR="0076425C" w:rsidRPr="0076425C">
        <w:t xml:space="preserve">s. </w:t>
      </w:r>
      <w:r w:rsidR="0076425C" w:rsidRPr="0076425C">
        <w:rPr>
          <w:lang w:val="fr-CH"/>
        </w:rPr>
        <w:t>Il a été recommandé de revoir et de mettre à jour les politiques. Les responsables concernés ont indiqué qu'ils actualiseraient les politiques</w:t>
      </w:r>
      <w:r>
        <w:rPr>
          <w:lang w:val="fr-CH"/>
        </w:rPr>
        <w:t xml:space="preserve"> dans le courant de</w:t>
      </w:r>
      <w:r w:rsidR="0076425C" w:rsidRPr="0076425C">
        <w:rPr>
          <w:lang w:val="fr-CH"/>
        </w:rPr>
        <w:t xml:space="preserve"> 2018. </w:t>
      </w:r>
    </w:p>
    <w:p w:rsidR="00597A3C" w:rsidRDefault="0076425C" w:rsidP="00597A3C">
      <w:pPr>
        <w:pStyle w:val="enumlev1"/>
      </w:pPr>
      <w:r w:rsidRPr="0076425C">
        <w:rPr>
          <w:lang w:val="fr-CH"/>
        </w:rPr>
        <w:t>•</w:t>
      </w:r>
      <w:r w:rsidRPr="0076425C">
        <w:rPr>
          <w:lang w:val="fr-CH"/>
        </w:rPr>
        <w:tab/>
        <w:t>En outre, il a été conclu que certains aspects liés aux processus de traduction et à la capacité interne appelaient des améliorations. Il est recommandé d'envisager d'adapter la structure des sections linguistiques aux réalités à moyen terme. De surcroît, il conviendrait d'envisager des crédits budgétaires pour les</w:t>
      </w:r>
      <w:r w:rsidRPr="0076425C">
        <w:t xml:space="preserve"> fonctionnaires surnuméraires. Les responsables concernés ont fait savoir qu'ils s'emploieraient à améliorer la structure des sections linguistiques. </w:t>
      </w:r>
    </w:p>
    <w:p w:rsidR="0076425C" w:rsidRPr="0076425C" w:rsidRDefault="0076425C" w:rsidP="00717271">
      <w:pPr>
        <w:pStyle w:val="enumlev1"/>
        <w:rPr>
          <w:lang w:val="fr-CH"/>
        </w:rPr>
      </w:pPr>
      <w:r w:rsidRPr="0076425C">
        <w:rPr>
          <w:lang w:val="fr-CH"/>
        </w:rPr>
        <w:t>•</w:t>
      </w:r>
      <w:r w:rsidRPr="0076425C">
        <w:rPr>
          <w:lang w:val="fr-CH"/>
        </w:rPr>
        <w:tab/>
        <w:t xml:space="preserve">De plus, il n'existe pas de moyen clair </w:t>
      </w:r>
      <w:r w:rsidR="00717271">
        <w:rPr>
          <w:lang w:val="fr-CH"/>
        </w:rPr>
        <w:t xml:space="preserve">concernant </w:t>
      </w:r>
      <w:r w:rsidRPr="0076425C">
        <w:rPr>
          <w:lang w:val="fr-CH"/>
        </w:rPr>
        <w:t xml:space="preserve">le choix des prestataires, par exemple pour les </w:t>
      </w:r>
      <w:r w:rsidR="00717271">
        <w:rPr>
          <w:lang w:val="fr-CH"/>
        </w:rPr>
        <w:t xml:space="preserve">nouvelles </w:t>
      </w:r>
      <w:r w:rsidRPr="0076425C">
        <w:rPr>
          <w:lang w:val="fr-CH"/>
        </w:rPr>
        <w:t xml:space="preserve">technologies, et bon nombre des autres mécanismes de traduction adoptés ne sont pas efficaces. Il est recommandé </w:t>
      </w:r>
      <w:r w:rsidR="00597A3C">
        <w:rPr>
          <w:lang w:val="fr-CH"/>
        </w:rPr>
        <w:t>d'envisage</w:t>
      </w:r>
      <w:r w:rsidRPr="0076425C">
        <w:rPr>
          <w:lang w:val="fr-CH"/>
        </w:rPr>
        <w:t xml:space="preserve"> </w:t>
      </w:r>
      <w:r w:rsidRPr="0076425C">
        <w:t xml:space="preserve">un appel de déclaration d'intérêt/appel d'offres pour d'autres mécanismes de traduction, </w:t>
      </w:r>
      <w:r w:rsidRPr="0076425C">
        <w:rPr>
          <w:lang w:val="fr-CH"/>
        </w:rPr>
        <w:t>au lieu de recourir d</w:t>
      </w:r>
      <w:r w:rsidR="00597A3C">
        <w:rPr>
          <w:lang w:val="fr-CH"/>
        </w:rPr>
        <w:t xml:space="preserve">irectement à des prestataires. </w:t>
      </w:r>
      <w:r w:rsidRPr="0076425C">
        <w:rPr>
          <w:lang w:val="fr-CH"/>
        </w:rPr>
        <w:t>Les responsables du Département des conférences et des publications (C&amp;P) ont indiqué qu'ils s'employaient actuellement à élaborer un appel d'offres et que le processus devrait être achevé au premier trimestre de 2019</w:t>
      </w:r>
      <w:r w:rsidR="00597A3C">
        <w:rPr>
          <w:lang w:val="fr-CH"/>
        </w:rPr>
        <w:t>.</w:t>
      </w:r>
    </w:p>
    <w:p w:rsidR="0076425C" w:rsidRPr="00597A3C" w:rsidRDefault="0076425C" w:rsidP="00717271">
      <w:pPr>
        <w:rPr>
          <w:lang w:val="fr-CH"/>
        </w:rPr>
      </w:pPr>
      <w:r w:rsidRPr="0076425C">
        <w:rPr>
          <w:lang w:val="fr-CH"/>
        </w:rPr>
        <w:t xml:space="preserve">À l'occasion d'un suivi effectué par l'Unité de l'audit interne au début de 2019, il </w:t>
      </w:r>
      <w:r w:rsidR="00717271">
        <w:rPr>
          <w:lang w:val="fr-CH"/>
        </w:rPr>
        <w:t xml:space="preserve">a été constaté </w:t>
      </w:r>
      <w:r w:rsidRPr="0076425C">
        <w:rPr>
          <w:lang w:val="fr-CH"/>
        </w:rPr>
        <w:t>que les délais prévus pour l'achèvement de la mise en œuvre avaient été reportés à la fin de 2019.</w:t>
      </w:r>
    </w:p>
    <w:p w:rsidR="0076425C" w:rsidRPr="0076425C" w:rsidRDefault="0076425C" w:rsidP="00717271">
      <w:r w:rsidRPr="0076425C" w:rsidDel="00486794">
        <w:t>1</w:t>
      </w:r>
      <w:r w:rsidR="00717271">
        <w:t>0</w:t>
      </w:r>
      <w:r w:rsidRPr="0076425C">
        <w:tab/>
        <w:t>Globalement, l'Unité de l'audit interne est d'avis que la gestion des risques est</w:t>
      </w:r>
      <w:r w:rsidR="00BD0C36">
        <w:t xml:space="preserve"> </w:t>
      </w:r>
      <w:r w:rsidRPr="0076425C">
        <w:t>adéquate pour ce qui est des activités de traduction et que les ressources sont utilisées d'une manière suffisamment efficace et économique.</w:t>
      </w:r>
      <w:r w:rsidR="00597A3C">
        <w:t xml:space="preserve"> L</w:t>
      </w:r>
      <w:r w:rsidRPr="0076425C">
        <w:t>es</w:t>
      </w:r>
      <w:r w:rsidR="00717271">
        <w:t xml:space="preserve"> processus de gouvernance et les</w:t>
      </w:r>
      <w:r w:rsidRPr="0076425C">
        <w:t xml:space="preserve"> contrôles internes sont en partie adéquats, mais</w:t>
      </w:r>
      <w:r w:rsidR="00717271">
        <w:t xml:space="preserve"> </w:t>
      </w:r>
      <w:r w:rsidRPr="0076425C">
        <w:t>des modifications s'imposent dans le domaine des</w:t>
      </w:r>
      <w:r w:rsidR="00717271">
        <w:t xml:space="preserve"> politiques et</w:t>
      </w:r>
      <w:r w:rsidRPr="0076425C">
        <w:t xml:space="preserve"> des procédures et pour certains aspects liés à la capacité interne. Si ces améliorations étaient apportées, le Secrétaire général pourrait avoir une assurance raisonnable que – pour les</w:t>
      </w:r>
      <w:r w:rsidR="00BD0C36">
        <w:t xml:space="preserve"> </w:t>
      </w:r>
      <w:r w:rsidRPr="0076425C">
        <w:t>activités de traduction</w:t>
      </w:r>
      <w:r w:rsidR="00597A3C">
        <w:t xml:space="preserve"> </w:t>
      </w:r>
      <w:r w:rsidRPr="0076425C">
        <w:t>– la gouvernance et la gestion des risques sont suffisantes et que les contrôles sont efficaces.</w:t>
      </w:r>
    </w:p>
    <w:p w:rsidR="0076425C" w:rsidRPr="0076425C" w:rsidRDefault="00717271" w:rsidP="001B5418">
      <w:pPr>
        <w:pStyle w:val="Headingb"/>
      </w:pPr>
      <w:r>
        <w:t>B</w:t>
      </w:r>
      <w:r w:rsidR="0076425C" w:rsidRPr="0076425C">
        <w:tab/>
        <w:t>Audit des dispositions relatives aux heures supplémentaires</w:t>
      </w:r>
    </w:p>
    <w:p w:rsidR="0076425C" w:rsidRPr="0076425C" w:rsidRDefault="0076425C" w:rsidP="001B5418">
      <w:r w:rsidRPr="0076425C">
        <w:t>11</w:t>
      </w:r>
      <w:r w:rsidRPr="0076425C">
        <w:tab/>
        <w:t xml:space="preserve">L'Unité de l'audit interne a réalisé un audit </w:t>
      </w:r>
      <w:r w:rsidRPr="001B5418">
        <w:t xml:space="preserve">des dispositions relatives aux heures supplémentaires </w:t>
      </w:r>
      <w:r w:rsidRPr="0076425C">
        <w:t xml:space="preserve">appliquées à l'UIT pendant la période allant de janvier 2015 à </w:t>
      </w:r>
      <w:r w:rsidR="00597A3C">
        <w:t>avril 2018.</w:t>
      </w:r>
      <w:r w:rsidRPr="0076425C">
        <w:t xml:space="preserve"> Cet audit a </w:t>
      </w:r>
      <w:r w:rsidR="00717271">
        <w:t xml:space="preserve">consisté à examiner </w:t>
      </w:r>
      <w:r w:rsidRPr="0076425C">
        <w:t>les informations relatives aux politiques</w:t>
      </w:r>
      <w:r w:rsidR="00717271">
        <w:t>,</w:t>
      </w:r>
      <w:r w:rsidR="00597A3C">
        <w:t xml:space="preserve"> </w:t>
      </w:r>
      <w:r w:rsidRPr="0076425C">
        <w:t xml:space="preserve">au processus d'autorisation, aux procédures et à la conformité </w:t>
      </w:r>
      <w:r w:rsidR="00717271">
        <w:t xml:space="preserve">en matière </w:t>
      </w:r>
      <w:r w:rsidR="00717271" w:rsidRPr="0076425C">
        <w:t xml:space="preserve">d'heures supplémentaires </w:t>
      </w:r>
      <w:r w:rsidR="00717271">
        <w:t>ainsi qu'</w:t>
      </w:r>
      <w:r w:rsidRPr="0076425C">
        <w:t>à l'économie et à l'efficacité de l'utilisation des ressources prévues pour les heures supplémentaires.</w:t>
      </w:r>
    </w:p>
    <w:p w:rsidR="0076425C" w:rsidRPr="0076425C" w:rsidRDefault="0076425C" w:rsidP="001B5418">
      <w:pPr>
        <w:keepNext/>
      </w:pPr>
      <w:r w:rsidRPr="0076425C">
        <w:t>12</w:t>
      </w:r>
      <w:r w:rsidRPr="0076425C">
        <w:tab/>
        <w:t xml:space="preserve">L'Unité de l'audit interne a </w:t>
      </w:r>
      <w:r w:rsidR="00717271">
        <w:t xml:space="preserve">conclu que les </w:t>
      </w:r>
      <w:r w:rsidRPr="0076425C">
        <w:t xml:space="preserve">questions </w:t>
      </w:r>
      <w:r w:rsidR="00717271">
        <w:t>suivantes devaient faire l'objet d'une attention prioritaire</w:t>
      </w:r>
      <w:r w:rsidRPr="0076425C">
        <w:t xml:space="preserve">: </w:t>
      </w:r>
    </w:p>
    <w:p w:rsidR="0076425C" w:rsidRPr="0076425C" w:rsidRDefault="0076425C" w:rsidP="001B5418">
      <w:pPr>
        <w:pStyle w:val="enumlev1"/>
        <w:rPr>
          <w:lang w:val="fr-CH"/>
        </w:rPr>
      </w:pPr>
      <w:r w:rsidRPr="0076425C">
        <w:t>•</w:t>
      </w:r>
      <w:r w:rsidRPr="0076425C">
        <w:tab/>
        <w:t xml:space="preserve">Les procédures, les orientations et la formation nécessaires pour gérer les périodes de forte charge de travail sont </w:t>
      </w:r>
      <w:r w:rsidRPr="00597A3C">
        <w:rPr>
          <w:lang w:val="fr-CH"/>
        </w:rPr>
        <w:t>inexistantes</w:t>
      </w:r>
      <w:r w:rsidRPr="0076425C">
        <w:t xml:space="preserve">, ce qui rend inefficace et peu économique l'emploi des ressources pour les activités liées aux heures supplémentaires. Il a été recommandé d'effectuer un examen trimestriel des tendances en matière d'heures supplémentaires à l'intention des gestionnaires, qui pourrait également donner une idée de la situation des heures supplémentaires dans les différentes unités et les </w:t>
      </w:r>
      <w:r w:rsidR="00676C24">
        <w:t>différents départements.</w:t>
      </w:r>
    </w:p>
    <w:p w:rsidR="0076425C" w:rsidRPr="00676C24" w:rsidRDefault="0076425C" w:rsidP="00717271">
      <w:pPr>
        <w:pStyle w:val="enumlev1"/>
        <w:rPr>
          <w:lang w:val="fr-CH"/>
        </w:rPr>
      </w:pPr>
      <w:r w:rsidRPr="0076425C">
        <w:rPr>
          <w:lang w:val="fr-CH"/>
        </w:rPr>
        <w:t>•</w:t>
      </w:r>
      <w:r w:rsidRPr="0076425C">
        <w:rPr>
          <w:lang w:val="fr-CH"/>
        </w:rPr>
        <w:tab/>
        <w:t xml:space="preserve">En outre, il a été conclu que la politique selon laquelle un fonctionnaire ne peut effectuer plus de 40 heures supplémentaires au cours d'un mois, ni plus de 12 </w:t>
      </w:r>
      <w:r w:rsidRPr="0076425C">
        <w:t>heures sur une période de 24 heure</w:t>
      </w:r>
      <w:r w:rsidR="00100BB2">
        <w:t>s</w:t>
      </w:r>
      <w:r w:rsidRPr="0076425C">
        <w:t>,</w:t>
      </w:r>
      <w:r w:rsidRPr="0076425C">
        <w:rPr>
          <w:lang w:val="fr-CH"/>
        </w:rPr>
        <w:t xml:space="preserve"> n'était pas toujours respectée. La notion de circonstance exceptionnelle qui permet de déroger à cette politique n'est pas clairement définie</w:t>
      </w:r>
      <w:r w:rsidR="00717271">
        <w:rPr>
          <w:lang w:val="fr-CH"/>
        </w:rPr>
        <w:t xml:space="preserve"> et a pour conséquence</w:t>
      </w:r>
      <w:r w:rsidRPr="0076425C">
        <w:rPr>
          <w:lang w:val="fr-CH"/>
        </w:rPr>
        <w:t xml:space="preserve"> que les politiques et procédures ne sont pas respectées. Il a été recommandé que, dans l'intérêt de la santé et de la sécurité du personnel, les limites indiquées ci-dessus soient respectées.</w:t>
      </w:r>
    </w:p>
    <w:p w:rsidR="0076425C" w:rsidRPr="0076425C" w:rsidRDefault="0076425C" w:rsidP="0076425C">
      <w:r w:rsidRPr="0076425C">
        <w:t>Ces recommandations ont été acceptées par les responsables du département HRMD.</w:t>
      </w:r>
    </w:p>
    <w:p w:rsidR="0076425C" w:rsidRPr="0076425C" w:rsidRDefault="0076425C" w:rsidP="0076425C">
      <w:r w:rsidRPr="0076425C">
        <w:t>13</w:t>
      </w:r>
      <w:r w:rsidR="00676C24">
        <w:tab/>
      </w:r>
      <w:r w:rsidRPr="0076425C">
        <w:t xml:space="preserve">Dans l'ensemble, l'Unité de l'audit interne estime que </w:t>
      </w:r>
      <w:r w:rsidR="00676C24">
        <w:t>les processus</w:t>
      </w:r>
      <w:r w:rsidRPr="0076425C">
        <w:t xml:space="preserve"> de gouvernance relatifs aux heures supplémentaires sont dépassés et que les contrôles ne sont pas </w:t>
      </w:r>
      <w:r w:rsidR="00717271">
        <w:t xml:space="preserve">suffisamment </w:t>
      </w:r>
      <w:r w:rsidRPr="0076425C">
        <w:t>adaptés. Sur le plan de la gestion des risques,</w:t>
      </w:r>
      <w:r w:rsidR="00676C24">
        <w:t xml:space="preserve"> </w:t>
      </w:r>
      <w:r w:rsidRPr="0076425C">
        <w:t>l'Unité de l'audit interne est d'avis que les ressources ne sont pas utilisées de m</w:t>
      </w:r>
      <w:r w:rsidR="00676C24">
        <w:t>anière efficace et économique.</w:t>
      </w:r>
      <w:r w:rsidRPr="0076425C">
        <w:t xml:space="preserve"> Des améliorations sont donc nécessaires dans ces domaines, afin de fournir au </w:t>
      </w:r>
      <w:r w:rsidR="00676C24">
        <w:t>Secrétaire général</w:t>
      </w:r>
      <w:r w:rsidRPr="0076425C">
        <w:t xml:space="preserve"> une assurance raisonnable que – pour les dispositions relatives aux heures supplémentaires</w:t>
      </w:r>
      <w:r w:rsidR="00676C24">
        <w:t xml:space="preserve"> </w:t>
      </w:r>
      <w:r w:rsidRPr="0076425C">
        <w:t xml:space="preserve">– la gouvernance et la gestion des risques sont suffisantes et que les contrôles sont efficaces. </w:t>
      </w:r>
    </w:p>
    <w:p w:rsidR="0076425C" w:rsidRPr="0076425C" w:rsidRDefault="00717271" w:rsidP="001B5418">
      <w:pPr>
        <w:pStyle w:val="Headingb"/>
        <w:rPr>
          <w:lang w:val="fr-CH"/>
        </w:rPr>
      </w:pPr>
      <w:r>
        <w:t>C</w:t>
      </w:r>
      <w:r>
        <w:tab/>
      </w:r>
      <w:r w:rsidR="0076425C" w:rsidRPr="0076425C">
        <w:t xml:space="preserve">Vérification des titres des fonctionnaires </w:t>
      </w:r>
    </w:p>
    <w:p w:rsidR="00717271" w:rsidRDefault="00717271" w:rsidP="00717271">
      <w:pPr>
        <w:rPr>
          <w:lang w:val="fr-CH"/>
        </w:rPr>
      </w:pPr>
      <w:r>
        <w:t>14</w:t>
      </w:r>
      <w:r>
        <w:tab/>
      </w:r>
      <w:r w:rsidR="0076425C" w:rsidRPr="00717271">
        <w:t xml:space="preserve">L'Unité de l'audit interne a procédé à une vérification des titres des fonctionnaires de l'UIT </w:t>
      </w:r>
      <w:r>
        <w:t>pendant</w:t>
      </w:r>
      <w:r w:rsidR="0076425C" w:rsidRPr="0076425C">
        <w:rPr>
          <w:lang w:val="fr-CH"/>
        </w:rPr>
        <w:t xml:space="preserve"> la période allant de janvier 2015 à septembre 2018. Cette vérification a consisté à examiner les informations et</w:t>
      </w:r>
      <w:r w:rsidR="00BD0C36">
        <w:rPr>
          <w:lang w:val="fr-CH"/>
        </w:rPr>
        <w:t xml:space="preserve"> </w:t>
      </w:r>
      <w:r w:rsidR="0076425C" w:rsidRPr="0076425C">
        <w:rPr>
          <w:lang w:val="fr-CH"/>
        </w:rPr>
        <w:t xml:space="preserve">la documentation relatives aux titres universitaires aux fins du recrutement/de la promotion de fonctionnaires. </w:t>
      </w:r>
    </w:p>
    <w:p w:rsidR="00717271" w:rsidRDefault="00717271" w:rsidP="00717271">
      <w:pPr>
        <w:rPr>
          <w:lang w:val="fr-CH"/>
        </w:rPr>
      </w:pPr>
      <w:r>
        <w:rPr>
          <w:lang w:val="fr-CH"/>
        </w:rPr>
        <w:t>15</w:t>
      </w:r>
      <w:r>
        <w:rPr>
          <w:lang w:val="fr-CH"/>
        </w:rPr>
        <w:tab/>
      </w:r>
      <w:r w:rsidR="0076425C" w:rsidRPr="0076425C">
        <w:rPr>
          <w:lang w:val="fr-CH"/>
        </w:rPr>
        <w:t xml:space="preserve">L'Unité de l'audit interne a </w:t>
      </w:r>
      <w:r>
        <w:rPr>
          <w:lang w:val="fr-CH"/>
        </w:rPr>
        <w:t xml:space="preserve">conclu qu'une question appelait une attention </w:t>
      </w:r>
      <w:r w:rsidR="00676C24">
        <w:rPr>
          <w:lang w:val="fr-CH"/>
        </w:rPr>
        <w:t>prioritaire</w:t>
      </w:r>
      <w:r w:rsidR="0076425C" w:rsidRPr="0076425C">
        <w:rPr>
          <w:lang w:val="fr-CH"/>
        </w:rPr>
        <w:t>: les contrôles internes relatifs à la reconnaissance et à la vérification des titres des fonctionnaires et des candidats sont partiellement adéquats. Il a été recommandé d'envisager de m</w:t>
      </w:r>
      <w:r w:rsidR="00676C24">
        <w:rPr>
          <w:lang w:val="fr-CH"/>
        </w:rPr>
        <w:t>ettre en œuvre des mesures pour</w:t>
      </w:r>
      <w:r w:rsidR="0076425C" w:rsidRPr="0076425C">
        <w:rPr>
          <w:lang w:val="fr-CH"/>
        </w:rPr>
        <w:t>: (i) garantir l'égalité et l'équité pendan</w:t>
      </w:r>
      <w:r w:rsidR="00676C24">
        <w:rPr>
          <w:lang w:val="fr-CH"/>
        </w:rPr>
        <w:t>t le processus de présélection</w:t>
      </w:r>
      <w:r w:rsidR="0076425C" w:rsidRPr="0076425C">
        <w:rPr>
          <w:lang w:val="fr-CH"/>
        </w:rPr>
        <w:t>; (ii) étayer le processus d'évaluation (</w:t>
      </w:r>
      <w:r w:rsidR="00676C24">
        <w:rPr>
          <w:lang w:val="fr-CH"/>
        </w:rPr>
        <w:t>reconnaissance et vérification)</w:t>
      </w:r>
      <w:r w:rsidR="0076425C" w:rsidRPr="0076425C">
        <w:rPr>
          <w:lang w:val="fr-CH"/>
        </w:rPr>
        <w:t xml:space="preserve"> des titres universitaires po</w:t>
      </w:r>
      <w:r w:rsidR="00676C24">
        <w:rPr>
          <w:lang w:val="fr-CH"/>
        </w:rPr>
        <w:t>ur tous les cas de recrutement</w:t>
      </w:r>
      <w:r w:rsidR="0076425C" w:rsidRPr="0076425C">
        <w:rPr>
          <w:lang w:val="fr-CH"/>
        </w:rPr>
        <w:t xml:space="preserve">; et (iii) vérifier l'authenticité des titres. Les recommandations relatives à toutes </w:t>
      </w:r>
      <w:r>
        <w:rPr>
          <w:lang w:val="fr-CH"/>
        </w:rPr>
        <w:t xml:space="preserve">ces questions (priorité </w:t>
      </w:r>
      <w:r w:rsidR="00676C24">
        <w:rPr>
          <w:lang w:val="fr-CH"/>
        </w:rPr>
        <w:t>élevée</w:t>
      </w:r>
      <w:r w:rsidR="0076425C" w:rsidRPr="0076425C">
        <w:rPr>
          <w:lang w:val="fr-CH"/>
        </w:rPr>
        <w:t xml:space="preserve"> et moyen</w:t>
      </w:r>
      <w:r>
        <w:rPr>
          <w:lang w:val="fr-CH"/>
        </w:rPr>
        <w:t>ne</w:t>
      </w:r>
      <w:r w:rsidR="0076425C" w:rsidRPr="0076425C">
        <w:rPr>
          <w:lang w:val="fr-CH"/>
        </w:rPr>
        <w:t>) ont été acceptées par les responsables du Département HRMD.</w:t>
      </w:r>
    </w:p>
    <w:p w:rsidR="0076425C" w:rsidRPr="0076425C" w:rsidRDefault="00717271" w:rsidP="00717271">
      <w:pPr>
        <w:rPr>
          <w:lang w:val="fr-CH"/>
        </w:rPr>
      </w:pPr>
      <w:r>
        <w:rPr>
          <w:lang w:val="fr-CH"/>
        </w:rPr>
        <w:t>16</w:t>
      </w:r>
      <w:r>
        <w:rPr>
          <w:lang w:val="fr-CH"/>
        </w:rPr>
        <w:tab/>
      </w:r>
      <w:r w:rsidR="0076425C" w:rsidRPr="0076425C">
        <w:rPr>
          <w:lang w:val="fr-CH"/>
        </w:rPr>
        <w:t xml:space="preserve">Dans l'ensemble, l'Unité de l'audit interne estime que les processus de gouvernance, pour ce qui est des titres de fonctionnaires, </w:t>
      </w:r>
      <w:r w:rsidR="00676C24">
        <w:rPr>
          <w:lang w:val="fr-CH"/>
        </w:rPr>
        <w:t>sont partiellement adaptés</w:t>
      </w:r>
      <w:r w:rsidR="0076425C" w:rsidRPr="0076425C">
        <w:rPr>
          <w:lang w:val="fr-CH"/>
        </w:rPr>
        <w:t xml:space="preserve">. Bien que le processus de gouvernance soit raisonnablement adéquat, la gestion des risques et l'efficacité des contrôles ne sont que partiellement adaptées. Des améliorations sont donc nécessaires dans ces </w:t>
      </w:r>
      <w:r>
        <w:rPr>
          <w:lang w:val="fr-CH"/>
        </w:rPr>
        <w:t xml:space="preserve">deux </w:t>
      </w:r>
      <w:r w:rsidR="0076425C" w:rsidRPr="0076425C">
        <w:rPr>
          <w:lang w:val="fr-CH"/>
        </w:rPr>
        <w:t>domaines, afin de fournir au Secrétaire général une assurance raisonnable que</w:t>
      </w:r>
      <w:r>
        <w:rPr>
          <w:lang w:val="fr-CH"/>
        </w:rPr>
        <w:t xml:space="preserve"> </w:t>
      </w:r>
      <w:r w:rsidRPr="00717271">
        <w:rPr>
          <w:lang w:val="fr-CH"/>
        </w:rPr>
        <w:t>–</w:t>
      </w:r>
      <w:r w:rsidR="0076425C" w:rsidRPr="0076425C">
        <w:rPr>
          <w:lang w:val="fr-CH"/>
        </w:rPr>
        <w:t xml:space="preserve"> en ce qui concern</w:t>
      </w:r>
      <w:r w:rsidR="00676C24">
        <w:rPr>
          <w:lang w:val="fr-CH"/>
        </w:rPr>
        <w:t>e les titres des fonctionnaires</w:t>
      </w:r>
      <w:r>
        <w:rPr>
          <w:lang w:val="fr-CH"/>
        </w:rPr>
        <w:t xml:space="preserve"> </w:t>
      </w:r>
      <w:r w:rsidRPr="00717271">
        <w:rPr>
          <w:lang w:val="fr-CH"/>
        </w:rPr>
        <w:t>–</w:t>
      </w:r>
      <w:r w:rsidR="0076425C" w:rsidRPr="0076425C">
        <w:rPr>
          <w:lang w:val="fr-CH"/>
        </w:rPr>
        <w:t xml:space="preserve"> la gouvernance et la gestion des risques sont suffisantes et qu</w:t>
      </w:r>
      <w:r w:rsidR="00676C24">
        <w:rPr>
          <w:lang w:val="fr-CH"/>
        </w:rPr>
        <w:t>e les contrôles sont efficaces.</w:t>
      </w:r>
    </w:p>
    <w:p w:rsidR="0076425C" w:rsidRPr="0076425C" w:rsidRDefault="0076425C" w:rsidP="00DD2A0E">
      <w:pPr>
        <w:pStyle w:val="Heading1"/>
      </w:pPr>
      <w:r w:rsidRPr="0076425C">
        <w:t>Enquêtes de l'Unité de l'audit interne</w:t>
      </w:r>
    </w:p>
    <w:p w:rsidR="0076425C" w:rsidRPr="0076425C" w:rsidRDefault="00717271" w:rsidP="00717271">
      <w:pPr>
        <w:rPr>
          <w:lang w:val="fr-CH"/>
        </w:rPr>
      </w:pPr>
      <w:r>
        <w:rPr>
          <w:lang w:val="fr-CH"/>
        </w:rPr>
        <w:t>17</w:t>
      </w:r>
      <w:r>
        <w:rPr>
          <w:lang w:val="fr-CH"/>
        </w:rPr>
        <w:tab/>
      </w:r>
      <w:r w:rsidR="0076425C" w:rsidRPr="0076425C">
        <w:rPr>
          <w:lang w:val="fr-CH"/>
        </w:rPr>
        <w:t>L'Unité de l'audit interne, en sa qualité d'instance habilitée à mener des enquêtes, a procédé à une enquête et</w:t>
      </w:r>
      <w:r w:rsidR="00676C24">
        <w:rPr>
          <w:lang w:val="fr-CH"/>
        </w:rPr>
        <w:t xml:space="preserve"> à deux examens préliminaires. </w:t>
      </w:r>
      <w:r w:rsidR="0076425C" w:rsidRPr="0076425C">
        <w:rPr>
          <w:lang w:val="fr-CH"/>
        </w:rPr>
        <w:t>L'enquête avait tr</w:t>
      </w:r>
      <w:r w:rsidR="00100BB2">
        <w:rPr>
          <w:lang w:val="fr-CH"/>
        </w:rPr>
        <w:t>ait à une présomption de fraude </w:t>
      </w:r>
      <w:r w:rsidR="0076425C" w:rsidRPr="0076425C">
        <w:rPr>
          <w:lang w:val="fr-CH"/>
        </w:rPr>
        <w:t xml:space="preserve">d'un fonctionnaire du bureau régional </w:t>
      </w:r>
      <w:r w:rsidR="00676C24">
        <w:rPr>
          <w:lang w:val="fr-CH"/>
        </w:rPr>
        <w:t>de l'UIT pour la région Asie-Pacifique</w:t>
      </w:r>
      <w:r w:rsidR="0076425C" w:rsidRPr="0076425C">
        <w:rPr>
          <w:lang w:val="fr-CH"/>
        </w:rPr>
        <w:t>.</w:t>
      </w:r>
      <w:r w:rsidR="00676C24">
        <w:rPr>
          <w:lang w:val="fr-CH"/>
        </w:rPr>
        <w:t xml:space="preserve"> </w:t>
      </w:r>
      <w:r w:rsidR="0076425C" w:rsidRPr="0076425C">
        <w:rPr>
          <w:lang w:val="fr-CH"/>
        </w:rPr>
        <w:t>Le Document</w:t>
      </w:r>
      <w:r w:rsidR="00100BB2">
        <w:rPr>
          <w:lang w:val="fr-CH"/>
        </w:rPr>
        <w:t> </w:t>
      </w:r>
      <w:hyperlink r:id="rId10" w:history="1">
        <w:r w:rsidR="0076425C" w:rsidRPr="0076425C">
          <w:rPr>
            <w:rStyle w:val="Hyperlink"/>
            <w:lang w:val="fr-CH"/>
          </w:rPr>
          <w:t>C19/INF/14</w:t>
        </w:r>
      </w:hyperlink>
      <w:r w:rsidR="0076425C" w:rsidRPr="0076425C">
        <w:rPr>
          <w:lang w:val="fr-CH"/>
        </w:rPr>
        <w:t xml:space="preserve"> conti</w:t>
      </w:r>
      <w:r>
        <w:rPr>
          <w:lang w:val="fr-CH"/>
        </w:rPr>
        <w:t xml:space="preserve">ent une description générale </w:t>
      </w:r>
      <w:r w:rsidR="0076425C" w:rsidRPr="0076425C">
        <w:rPr>
          <w:lang w:val="fr-CH"/>
        </w:rPr>
        <w:t>des faits et des mesures correctives prises à ce jour.</w:t>
      </w:r>
    </w:p>
    <w:p w:rsidR="0076425C" w:rsidRPr="0076425C" w:rsidRDefault="0076425C" w:rsidP="0076425C">
      <w:pPr>
        <w:rPr>
          <w:lang w:val="fr-CH"/>
        </w:rPr>
      </w:pPr>
      <w:r w:rsidRPr="0076425C">
        <w:rPr>
          <w:lang w:val="fr-CH"/>
        </w:rPr>
        <w:t>Les deux examens préliminaires ont été effectués par l'Unité de l'audit interne, en l'absence du Responsable de l'éthique, et les deux cas n'étaient pas liés. L'un portait sur des allégations formulées à l'encontre d'u</w:t>
      </w:r>
      <w:r w:rsidR="00676C24">
        <w:rPr>
          <w:lang w:val="fr-CH"/>
        </w:rPr>
        <w:t>n fonctionnaire de la catégorie</w:t>
      </w:r>
      <w:r w:rsidRPr="0076425C">
        <w:rPr>
          <w:lang w:val="fr-CH"/>
        </w:rPr>
        <w:t xml:space="preserve"> des services généraux, qui se serait livré </w:t>
      </w:r>
      <w:r w:rsidR="00676C24">
        <w:rPr>
          <w:lang w:val="fr-CH"/>
        </w:rPr>
        <w:t>à des actes de</w:t>
      </w:r>
      <w:r w:rsidRPr="0076425C">
        <w:rPr>
          <w:lang w:val="fr-CH"/>
        </w:rPr>
        <w:t xml:space="preserve"> harcèlement sur le lieu de travail</w:t>
      </w:r>
      <w:r w:rsidR="00676C24">
        <w:rPr>
          <w:lang w:val="fr-CH"/>
        </w:rPr>
        <w:t>, d'humiliation</w:t>
      </w:r>
      <w:r w:rsidRPr="0076425C">
        <w:rPr>
          <w:lang w:val="fr-CH"/>
        </w:rPr>
        <w:t>, de menace et d'intimidation, tandis que l'autre concernait un fonctionnaire de la catégorie professionnelle,</w:t>
      </w:r>
      <w:r w:rsidR="00676C24">
        <w:rPr>
          <w:lang w:val="fr-CH"/>
        </w:rPr>
        <w:t xml:space="preserve"> qui se serait livré</w:t>
      </w:r>
      <w:r w:rsidRPr="0076425C">
        <w:rPr>
          <w:lang w:val="fr-CH"/>
        </w:rPr>
        <w:t xml:space="preserve"> à des actes de harcèlement sur le lieu de travail et d'intimidation ainsi qu'à</w:t>
      </w:r>
      <w:r w:rsidR="00676C24">
        <w:rPr>
          <w:lang w:val="fr-CH"/>
        </w:rPr>
        <w:t xml:space="preserve"> des brimades.</w:t>
      </w:r>
    </w:p>
    <w:p w:rsidR="0076425C" w:rsidRPr="00676C24" w:rsidRDefault="0076425C" w:rsidP="00676C24">
      <w:pPr>
        <w:rPr>
          <w:lang w:val="fr-CH"/>
        </w:rPr>
      </w:pPr>
      <w:r w:rsidRPr="0076425C">
        <w:rPr>
          <w:lang w:val="fr-CH"/>
        </w:rPr>
        <w:t>Conformément aux procédures en vigueur à l'UIT, dès que l'enquête a été achevée et que les deux examens préliminaires ont été effectués, l'Unité de l'audit interne a soumis son rapport conf</w:t>
      </w:r>
      <w:r w:rsidR="00676C24">
        <w:rPr>
          <w:lang w:val="fr-CH"/>
        </w:rPr>
        <w:t>identiel au Secrétaire général.</w:t>
      </w:r>
    </w:p>
    <w:p w:rsidR="0076425C" w:rsidRPr="0076425C" w:rsidRDefault="0076425C" w:rsidP="00DD2A0E">
      <w:pPr>
        <w:pStyle w:val="Heading1"/>
      </w:pPr>
      <w:r w:rsidRPr="0076425C">
        <w:t>Services de conseil de l'Unité de l'audit interne</w:t>
      </w:r>
    </w:p>
    <w:p w:rsidR="0076425C" w:rsidRPr="0076425C" w:rsidRDefault="0076425C" w:rsidP="001B5418">
      <w:pPr>
        <w:pStyle w:val="Headingb"/>
      </w:pPr>
      <w:r w:rsidRPr="0076425C">
        <w:t xml:space="preserve">Procédure de sélection du </w:t>
      </w:r>
      <w:r w:rsidR="00717271" w:rsidRPr="0076425C">
        <w:t>V</w:t>
      </w:r>
      <w:r w:rsidRPr="0076425C">
        <w:t>érificateur</w:t>
      </w:r>
      <w:r w:rsidR="001B5418">
        <w:t xml:space="preserve"> extérieur des comptes de l'UIT</w:t>
      </w:r>
    </w:p>
    <w:p w:rsidR="0076425C" w:rsidRPr="0076425C" w:rsidRDefault="00676C24" w:rsidP="00717271">
      <w:r>
        <w:t>18</w:t>
      </w:r>
      <w:r>
        <w:tab/>
        <w:t>Sur recommandation du CCIG,</w:t>
      </w:r>
      <w:r w:rsidR="0076425C" w:rsidRPr="0076425C">
        <w:t xml:space="preserve"> le Secrétaire général a demandé à l'Unité de l'audit interne de diriger le processus de sélection d'un nouveau Vérificateur extérie</w:t>
      </w:r>
      <w:r w:rsidR="00100BB2">
        <w:t>ur des comptes. À sa session de </w:t>
      </w:r>
      <w:r w:rsidR="0076425C" w:rsidRPr="0076425C">
        <w:t xml:space="preserve">2018, le Conseil a désigné les personnes recommandées par les six organisations régionales </w:t>
      </w:r>
      <w:r w:rsidR="00100BB2">
        <w:t xml:space="preserve">de </w:t>
      </w:r>
      <w:r w:rsidR="0076425C" w:rsidRPr="0076425C">
        <w:t xml:space="preserve">télécommunication </w:t>
      </w:r>
      <w:r w:rsidR="00717271">
        <w:t xml:space="preserve">pour devenir membres du </w:t>
      </w:r>
      <w:r w:rsidR="0076425C" w:rsidRPr="0076425C">
        <w:t>Comité d'évaluation</w:t>
      </w:r>
      <w:r w:rsidR="00717271">
        <w:t xml:space="preserve"> et soumettre au Conseil à sa session de 2019 un rapport sur les résultats de ses travaux</w:t>
      </w:r>
      <w:r w:rsidR="0076425C" w:rsidRPr="0076425C">
        <w:t>.</w:t>
      </w:r>
    </w:p>
    <w:p w:rsidR="0076425C" w:rsidRPr="0076425C" w:rsidRDefault="00676C24" w:rsidP="00717271">
      <w:r>
        <w:t>19</w:t>
      </w:r>
      <w:r>
        <w:tab/>
      </w:r>
      <w:r w:rsidR="0076425C" w:rsidRPr="0076425C">
        <w:t xml:space="preserve">Avec l'appui du secrétariat de l'UIT, le Comité d'évaluation a </w:t>
      </w:r>
      <w:r w:rsidR="00717271">
        <w:t xml:space="preserve">mené à bien </w:t>
      </w:r>
      <w:r w:rsidR="0076425C" w:rsidRPr="0076425C">
        <w:t xml:space="preserve">ses travaux concernant la procédure d'appel d'offres en vue d'identifier l'institution supérieure de contrôle des finances publiques d'un </w:t>
      </w:r>
      <w:r w:rsidR="00BD0C36" w:rsidRPr="0076425C">
        <w:t>État</w:t>
      </w:r>
      <w:r w:rsidR="0076425C" w:rsidRPr="0076425C">
        <w:t xml:space="preserve"> Membre de l'UIT qui répond le mieux aux critères établis dans la Demande de propositions en vue de la vérification des comptes de l'Union.</w:t>
      </w:r>
    </w:p>
    <w:p w:rsidR="0076425C" w:rsidRPr="00676C24" w:rsidRDefault="0076425C" w:rsidP="00676C24">
      <w:pPr>
        <w:rPr>
          <w:bCs/>
        </w:rPr>
      </w:pPr>
      <w:r w:rsidRPr="0076425C">
        <w:t>2</w:t>
      </w:r>
      <w:r w:rsidR="00676C24">
        <w:t>0</w:t>
      </w:r>
      <w:r w:rsidR="00676C24">
        <w:tab/>
      </w:r>
      <w:r w:rsidRPr="0076425C">
        <w:t>L'Unité de l'audit interne</w:t>
      </w:r>
      <w:r w:rsidR="00676C24">
        <w:t xml:space="preserve"> a continué</w:t>
      </w:r>
      <w:r w:rsidRPr="0076425C">
        <w:t xml:space="preserve"> d'aider les membres du Comité d'évaluation, tout au long de la procédure, à mener ses travaux, et a fourni des orientations sur les questions de procédure et les questions techniques liées à l'audit, le cas échéant. Un rapport sur les travaux du Comité d'évaluation est soumis séparément au Conseil pour examen.</w:t>
      </w:r>
    </w:p>
    <w:p w:rsidR="00100BB2" w:rsidRDefault="00100BB2" w:rsidP="00100BB2">
      <w:pPr>
        <w:pStyle w:val="Headingb"/>
      </w:pPr>
      <w:r>
        <w:br w:type="page"/>
      </w:r>
    </w:p>
    <w:p w:rsidR="0076425C" w:rsidRPr="0076425C" w:rsidRDefault="0076425C" w:rsidP="00DD2A0E">
      <w:pPr>
        <w:pStyle w:val="Heading1"/>
      </w:pPr>
      <w:r w:rsidRPr="0076425C">
        <w:t>Suite donnée aux recommandations formulées par l'Unité de l'audit interne</w:t>
      </w:r>
    </w:p>
    <w:p w:rsidR="001B5418" w:rsidRDefault="00100BB2" w:rsidP="00100BB2">
      <w:pPr>
        <w:spacing w:after="240"/>
      </w:pPr>
      <w:r>
        <w:t>21</w:t>
      </w:r>
      <w:r w:rsidR="0076425C" w:rsidRPr="0076425C">
        <w:tab/>
        <w:t>Durant la période couverte par le rapport</w:t>
      </w:r>
      <w:r w:rsidR="00717271">
        <w:t>,</w:t>
      </w:r>
      <w:r w:rsidR="0076425C" w:rsidRPr="0076425C">
        <w:t xml:space="preserve"> et conformément à la Norme 2500 de l'IIA</w:t>
      </w:r>
      <w:r w:rsidR="0076425C" w:rsidRPr="0076425C">
        <w:rPr>
          <w:rStyle w:val="FootnoteReference"/>
          <w:rFonts w:eastAsiaTheme="minorEastAsia"/>
        </w:rPr>
        <w:footnoteReference w:id="4"/>
      </w:r>
      <w:r w:rsidR="0076425C" w:rsidRPr="0076425C">
        <w:t xml:space="preserve">, l'Unité de l'audit interne a continué de donner suite aux recommandations formulées dans les rapports d'audit précédents. Il a été noté que des progrès avaient été accomplis au cours des 12 derniers mois et les statistiques relatives à la mise en </w:t>
      </w:r>
      <w:r w:rsidR="00590CD6" w:rsidRPr="0076425C">
        <w:t>œuvre</w:t>
      </w:r>
      <w:r>
        <w:t xml:space="preserve"> se présentent comme suit (au </w:t>
      </w:r>
      <w:r w:rsidR="0076425C" w:rsidRPr="0076425C">
        <w:t>15 mai 2019):</w:t>
      </w:r>
    </w:p>
    <w:tbl>
      <w:tblPr>
        <w:tblW w:w="9619" w:type="dxa"/>
        <w:tblLook w:val="04A0" w:firstRow="1" w:lastRow="0" w:firstColumn="1" w:lastColumn="0" w:noHBand="0" w:noVBand="1"/>
      </w:tblPr>
      <w:tblGrid>
        <w:gridCol w:w="2371"/>
        <w:gridCol w:w="713"/>
        <w:gridCol w:w="628"/>
        <w:gridCol w:w="711"/>
        <w:gridCol w:w="712"/>
        <w:gridCol w:w="712"/>
        <w:gridCol w:w="712"/>
        <w:gridCol w:w="880"/>
        <w:gridCol w:w="622"/>
        <w:gridCol w:w="846"/>
        <w:gridCol w:w="712"/>
      </w:tblGrid>
      <w:tr w:rsidR="00E77CA3" w:rsidRPr="00E77CA3" w:rsidTr="00E77CA3">
        <w:trPr>
          <w:trHeight w:val="315"/>
        </w:trPr>
        <w:tc>
          <w:tcPr>
            <w:tcW w:w="2372" w:type="dxa"/>
            <w:tcBorders>
              <w:top w:val="single" w:sz="8" w:space="0" w:color="auto"/>
              <w:left w:val="single" w:sz="8" w:space="0" w:color="auto"/>
              <w:bottom w:val="nil"/>
              <w:right w:val="nil"/>
            </w:tcBorders>
            <w:shd w:val="clear" w:color="000000" w:fill="000000"/>
            <w:noWrap/>
            <w:vAlign w:val="bottom"/>
            <w:hideMark/>
          </w:tcPr>
          <w:p w:rsidR="00100BB2" w:rsidRPr="00E77CA3" w:rsidRDefault="00100BB2" w:rsidP="00E77CA3">
            <w:pPr>
              <w:pStyle w:val="Tablehead"/>
              <w:jc w:val="left"/>
              <w:rPr>
                <w:sz w:val="20"/>
              </w:rPr>
            </w:pPr>
            <w:r w:rsidRPr="00E77CA3">
              <w:rPr>
                <w:sz w:val="20"/>
              </w:rPr>
              <w:t>Année</w:t>
            </w:r>
          </w:p>
        </w:tc>
        <w:tc>
          <w:tcPr>
            <w:tcW w:w="713"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2011</w:t>
            </w:r>
          </w:p>
        </w:tc>
        <w:tc>
          <w:tcPr>
            <w:tcW w:w="628"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2012</w:t>
            </w:r>
          </w:p>
        </w:tc>
        <w:tc>
          <w:tcPr>
            <w:tcW w:w="711"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2013</w:t>
            </w:r>
          </w:p>
        </w:tc>
        <w:tc>
          <w:tcPr>
            <w:tcW w:w="712"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2014</w:t>
            </w:r>
          </w:p>
        </w:tc>
        <w:tc>
          <w:tcPr>
            <w:tcW w:w="712"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2015</w:t>
            </w:r>
          </w:p>
        </w:tc>
        <w:tc>
          <w:tcPr>
            <w:tcW w:w="712"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2016</w:t>
            </w:r>
          </w:p>
        </w:tc>
        <w:tc>
          <w:tcPr>
            <w:tcW w:w="880" w:type="dxa"/>
            <w:tcBorders>
              <w:top w:val="single" w:sz="8" w:space="0" w:color="auto"/>
              <w:left w:val="nil"/>
              <w:bottom w:val="nil"/>
              <w:right w:val="nil"/>
            </w:tcBorders>
            <w:shd w:val="clear" w:color="000000" w:fill="000000"/>
            <w:noWrap/>
            <w:vAlign w:val="bottom"/>
            <w:hideMark/>
          </w:tcPr>
          <w:p w:rsidR="00100BB2" w:rsidRPr="00E77CA3" w:rsidRDefault="00100BB2" w:rsidP="00E77CA3">
            <w:pPr>
              <w:pStyle w:val="Tablehead"/>
              <w:rPr>
                <w:sz w:val="20"/>
              </w:rPr>
            </w:pPr>
            <w:r w:rsidRPr="00E77CA3">
              <w:rPr>
                <w:sz w:val="20"/>
              </w:rPr>
              <w:t>2017</w:t>
            </w:r>
          </w:p>
        </w:tc>
        <w:tc>
          <w:tcPr>
            <w:tcW w:w="622" w:type="dxa"/>
            <w:tcBorders>
              <w:top w:val="single" w:sz="8" w:space="0" w:color="auto"/>
              <w:left w:val="nil"/>
              <w:bottom w:val="single" w:sz="8" w:space="0" w:color="auto"/>
              <w:right w:val="nil"/>
            </w:tcBorders>
            <w:shd w:val="clear" w:color="000000" w:fill="000000"/>
          </w:tcPr>
          <w:p w:rsidR="00100BB2" w:rsidRPr="00E77CA3" w:rsidRDefault="00100BB2" w:rsidP="00E77CA3">
            <w:pPr>
              <w:pStyle w:val="Tablehead"/>
              <w:rPr>
                <w:sz w:val="20"/>
              </w:rPr>
            </w:pPr>
            <w:r w:rsidRPr="00E77CA3">
              <w:rPr>
                <w:sz w:val="20"/>
              </w:rPr>
              <w:t>2018</w:t>
            </w:r>
          </w:p>
        </w:tc>
        <w:tc>
          <w:tcPr>
            <w:tcW w:w="845" w:type="dxa"/>
            <w:tcBorders>
              <w:top w:val="single" w:sz="8" w:space="0" w:color="auto"/>
              <w:left w:val="nil"/>
              <w:bottom w:val="single" w:sz="8" w:space="0" w:color="auto"/>
              <w:right w:val="nil"/>
            </w:tcBorders>
            <w:shd w:val="clear" w:color="000000" w:fill="000000"/>
          </w:tcPr>
          <w:p w:rsidR="00100BB2" w:rsidRPr="00E77CA3" w:rsidRDefault="00100BB2" w:rsidP="00E77CA3">
            <w:pPr>
              <w:pStyle w:val="Tablehead"/>
              <w:rPr>
                <w:sz w:val="20"/>
              </w:rPr>
            </w:pPr>
            <w:r w:rsidRPr="00E77CA3">
              <w:rPr>
                <w:sz w:val="20"/>
              </w:rPr>
              <w:t>2019(*)</w:t>
            </w:r>
          </w:p>
        </w:tc>
        <w:tc>
          <w:tcPr>
            <w:tcW w:w="712" w:type="dxa"/>
            <w:tcBorders>
              <w:top w:val="single" w:sz="8" w:space="0" w:color="auto"/>
              <w:left w:val="nil"/>
              <w:bottom w:val="nil"/>
              <w:right w:val="single" w:sz="8" w:space="0" w:color="auto"/>
            </w:tcBorders>
            <w:shd w:val="clear" w:color="000000" w:fill="000000"/>
            <w:noWrap/>
            <w:vAlign w:val="bottom"/>
            <w:hideMark/>
          </w:tcPr>
          <w:p w:rsidR="00100BB2" w:rsidRPr="00E77CA3" w:rsidRDefault="00100BB2" w:rsidP="00E77CA3">
            <w:pPr>
              <w:pStyle w:val="Tablehead"/>
              <w:rPr>
                <w:sz w:val="20"/>
              </w:rPr>
            </w:pPr>
            <w:r w:rsidRPr="00E77CA3">
              <w:rPr>
                <w:sz w:val="20"/>
              </w:rPr>
              <w:t xml:space="preserve">Total </w:t>
            </w:r>
          </w:p>
        </w:tc>
      </w:tr>
      <w:tr w:rsidR="00E77CA3" w:rsidRPr="00100BB2" w:rsidTr="00E77CA3">
        <w:trPr>
          <w:trHeight w:val="300"/>
        </w:trPr>
        <w:tc>
          <w:tcPr>
            <w:tcW w:w="23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00BB2" w:rsidRPr="00FB48BF" w:rsidRDefault="00100BB2" w:rsidP="00E77CA3">
            <w:pPr>
              <w:spacing w:before="40" w:after="40"/>
              <w:rPr>
                <w:sz w:val="20"/>
              </w:rPr>
            </w:pPr>
            <w:r w:rsidRPr="00FB48BF">
              <w:rPr>
                <w:sz w:val="20"/>
              </w:rPr>
              <w:t>Nombre de rapports d'audit</w:t>
            </w:r>
          </w:p>
        </w:tc>
        <w:tc>
          <w:tcPr>
            <w:tcW w:w="713" w:type="dxa"/>
            <w:tcBorders>
              <w:top w:val="single" w:sz="8" w:space="0" w:color="auto"/>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2</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0</w:t>
            </w:r>
          </w:p>
        </w:tc>
        <w:tc>
          <w:tcPr>
            <w:tcW w:w="711" w:type="dxa"/>
            <w:tcBorders>
              <w:top w:val="single" w:sz="8" w:space="0" w:color="auto"/>
              <w:left w:val="nil"/>
              <w:bottom w:val="single" w:sz="4"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4</w:t>
            </w:r>
          </w:p>
        </w:tc>
        <w:tc>
          <w:tcPr>
            <w:tcW w:w="712" w:type="dxa"/>
            <w:tcBorders>
              <w:top w:val="single" w:sz="8" w:space="0" w:color="auto"/>
              <w:left w:val="nil"/>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4</w:t>
            </w:r>
          </w:p>
        </w:tc>
        <w:tc>
          <w:tcPr>
            <w:tcW w:w="712" w:type="dxa"/>
            <w:tcBorders>
              <w:top w:val="single" w:sz="8" w:space="0" w:color="auto"/>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7</w:t>
            </w:r>
          </w:p>
        </w:tc>
        <w:tc>
          <w:tcPr>
            <w:tcW w:w="712" w:type="dxa"/>
            <w:tcBorders>
              <w:top w:val="single" w:sz="8" w:space="0" w:color="auto"/>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4</w:t>
            </w:r>
          </w:p>
        </w:tc>
        <w:tc>
          <w:tcPr>
            <w:tcW w:w="880" w:type="dxa"/>
            <w:tcBorders>
              <w:top w:val="single" w:sz="8" w:space="0" w:color="auto"/>
              <w:left w:val="single" w:sz="4" w:space="0" w:color="auto"/>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5</w:t>
            </w:r>
          </w:p>
        </w:tc>
        <w:tc>
          <w:tcPr>
            <w:tcW w:w="622" w:type="dxa"/>
            <w:tcBorders>
              <w:top w:val="single" w:sz="8"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4</w:t>
            </w:r>
          </w:p>
        </w:tc>
        <w:tc>
          <w:tcPr>
            <w:tcW w:w="845" w:type="dxa"/>
            <w:tcBorders>
              <w:top w:val="single" w:sz="8"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2</w:t>
            </w:r>
          </w:p>
        </w:tc>
        <w:tc>
          <w:tcPr>
            <w:tcW w:w="712" w:type="dxa"/>
            <w:tcBorders>
              <w:top w:val="single" w:sz="8" w:space="0" w:color="auto"/>
              <w:left w:val="single" w:sz="4" w:space="0" w:color="auto"/>
              <w:bottom w:val="single" w:sz="4" w:space="0" w:color="auto"/>
              <w:right w:val="single" w:sz="8" w:space="0" w:color="auto"/>
            </w:tcBorders>
            <w:shd w:val="clear" w:color="000000" w:fill="AEAAAA"/>
            <w:noWrap/>
            <w:vAlign w:val="center"/>
            <w:hideMark/>
          </w:tcPr>
          <w:p w:rsidR="00100BB2" w:rsidRPr="00FB48BF" w:rsidRDefault="001109F8" w:rsidP="00E77CA3">
            <w:pPr>
              <w:spacing w:before="40" w:after="40"/>
              <w:jc w:val="center"/>
              <w:rPr>
                <w:b/>
                <w:bCs/>
                <w:sz w:val="20"/>
              </w:rPr>
            </w:pPr>
            <w:r>
              <w:rPr>
                <w:b/>
                <w:bCs/>
                <w:sz w:val="20"/>
              </w:rPr>
              <w:t>32</w:t>
            </w:r>
          </w:p>
        </w:tc>
      </w:tr>
      <w:tr w:rsidR="00E77CA3" w:rsidRPr="00100BB2" w:rsidTr="00E77CA3">
        <w:trPr>
          <w:trHeight w:val="300"/>
        </w:trPr>
        <w:tc>
          <w:tcPr>
            <w:tcW w:w="2372" w:type="dxa"/>
            <w:tcBorders>
              <w:top w:val="nil"/>
              <w:left w:val="single" w:sz="8" w:space="0" w:color="auto"/>
              <w:bottom w:val="single" w:sz="4" w:space="0" w:color="auto"/>
              <w:right w:val="single" w:sz="4" w:space="0" w:color="auto"/>
            </w:tcBorders>
            <w:shd w:val="clear" w:color="auto" w:fill="auto"/>
            <w:noWrap/>
            <w:vAlign w:val="bottom"/>
            <w:hideMark/>
          </w:tcPr>
          <w:p w:rsidR="00100BB2" w:rsidRPr="00FB48BF" w:rsidRDefault="00100BB2" w:rsidP="00E77CA3">
            <w:pPr>
              <w:spacing w:before="40" w:after="40"/>
              <w:rPr>
                <w:sz w:val="20"/>
              </w:rPr>
            </w:pPr>
            <w:r w:rsidRPr="00FB48BF">
              <w:rPr>
                <w:sz w:val="20"/>
              </w:rPr>
              <w:t>Recommandations – Total</w:t>
            </w:r>
          </w:p>
        </w:tc>
        <w:tc>
          <w:tcPr>
            <w:tcW w:w="713" w:type="dxa"/>
            <w:tcBorders>
              <w:top w:val="nil"/>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17</w:t>
            </w:r>
          </w:p>
        </w:tc>
        <w:tc>
          <w:tcPr>
            <w:tcW w:w="628" w:type="dxa"/>
            <w:tcBorders>
              <w:top w:val="nil"/>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113</w:t>
            </w:r>
          </w:p>
        </w:tc>
        <w:tc>
          <w:tcPr>
            <w:tcW w:w="712" w:type="dxa"/>
            <w:tcBorders>
              <w:top w:val="nil"/>
              <w:left w:val="nil"/>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55</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34</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22</w:t>
            </w:r>
          </w:p>
        </w:tc>
        <w:tc>
          <w:tcPr>
            <w:tcW w:w="880" w:type="dxa"/>
            <w:tcBorders>
              <w:top w:val="nil"/>
              <w:left w:val="single" w:sz="4" w:space="0" w:color="auto"/>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30</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26</w:t>
            </w:r>
          </w:p>
        </w:tc>
        <w:tc>
          <w:tcPr>
            <w:tcW w:w="845"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15</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100BB2" w:rsidRPr="00FB48BF" w:rsidRDefault="001109F8" w:rsidP="00E77CA3">
            <w:pPr>
              <w:spacing w:before="40" w:after="40"/>
              <w:jc w:val="center"/>
              <w:rPr>
                <w:b/>
                <w:bCs/>
                <w:sz w:val="20"/>
              </w:rPr>
            </w:pPr>
            <w:r>
              <w:rPr>
                <w:b/>
                <w:bCs/>
                <w:sz w:val="20"/>
              </w:rPr>
              <w:t>312</w:t>
            </w:r>
          </w:p>
        </w:tc>
      </w:tr>
      <w:tr w:rsidR="00E77CA3" w:rsidRPr="00100BB2" w:rsidTr="00E77CA3">
        <w:trPr>
          <w:trHeight w:val="300"/>
        </w:trPr>
        <w:tc>
          <w:tcPr>
            <w:tcW w:w="2372" w:type="dxa"/>
            <w:tcBorders>
              <w:top w:val="nil"/>
              <w:left w:val="single" w:sz="8" w:space="0" w:color="auto"/>
              <w:bottom w:val="single" w:sz="4" w:space="0" w:color="auto"/>
              <w:right w:val="single" w:sz="4" w:space="0" w:color="auto"/>
            </w:tcBorders>
            <w:shd w:val="clear" w:color="auto" w:fill="auto"/>
            <w:noWrap/>
            <w:vAlign w:val="bottom"/>
            <w:hideMark/>
          </w:tcPr>
          <w:p w:rsidR="00100BB2" w:rsidRPr="00FB48BF" w:rsidRDefault="00100BB2" w:rsidP="00687E87">
            <w:pPr>
              <w:tabs>
                <w:tab w:val="clear" w:pos="567"/>
                <w:tab w:val="left" w:pos="308"/>
              </w:tabs>
              <w:spacing w:before="40" w:after="40"/>
              <w:rPr>
                <w:sz w:val="20"/>
              </w:rPr>
            </w:pPr>
            <w:r w:rsidRPr="00FB48BF">
              <w:rPr>
                <w:sz w:val="20"/>
              </w:rPr>
              <w:tab/>
              <w:t>En cours</w:t>
            </w:r>
          </w:p>
        </w:tc>
        <w:tc>
          <w:tcPr>
            <w:tcW w:w="713" w:type="dxa"/>
            <w:tcBorders>
              <w:top w:val="nil"/>
              <w:left w:val="nil"/>
              <w:bottom w:val="single" w:sz="4"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628" w:type="dxa"/>
            <w:tcBorders>
              <w:top w:val="nil"/>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100BB2" w:rsidRPr="00FB48BF" w:rsidRDefault="00FB48BF" w:rsidP="00E77CA3">
            <w:pPr>
              <w:spacing w:before="40" w:after="40"/>
              <w:jc w:val="center"/>
              <w:rPr>
                <w:sz w:val="20"/>
              </w:rPr>
            </w:pPr>
            <w:r>
              <w:rPr>
                <w:sz w:val="20"/>
              </w:rPr>
              <w:t>5</w:t>
            </w:r>
          </w:p>
        </w:tc>
        <w:tc>
          <w:tcPr>
            <w:tcW w:w="712" w:type="dxa"/>
            <w:tcBorders>
              <w:top w:val="nil"/>
              <w:left w:val="nil"/>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2</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4</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8</w:t>
            </w:r>
          </w:p>
        </w:tc>
        <w:tc>
          <w:tcPr>
            <w:tcW w:w="880" w:type="dxa"/>
            <w:tcBorders>
              <w:top w:val="nil"/>
              <w:left w:val="single" w:sz="4" w:space="0" w:color="auto"/>
              <w:bottom w:val="single" w:sz="4"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18</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19</w:t>
            </w:r>
          </w:p>
        </w:tc>
        <w:tc>
          <w:tcPr>
            <w:tcW w:w="845"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15</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100BB2" w:rsidRPr="00FB48BF" w:rsidRDefault="001109F8" w:rsidP="00E77CA3">
            <w:pPr>
              <w:spacing w:before="40" w:after="40"/>
              <w:jc w:val="center"/>
              <w:rPr>
                <w:b/>
                <w:bCs/>
                <w:sz w:val="20"/>
              </w:rPr>
            </w:pPr>
            <w:r>
              <w:rPr>
                <w:b/>
                <w:bCs/>
                <w:sz w:val="20"/>
              </w:rPr>
              <w:t>71</w:t>
            </w:r>
          </w:p>
        </w:tc>
      </w:tr>
      <w:tr w:rsidR="00E77CA3" w:rsidRPr="00100BB2" w:rsidTr="00E77CA3">
        <w:trPr>
          <w:trHeight w:val="300"/>
        </w:trPr>
        <w:tc>
          <w:tcPr>
            <w:tcW w:w="2372" w:type="dxa"/>
            <w:tcBorders>
              <w:top w:val="nil"/>
              <w:left w:val="single" w:sz="8" w:space="0" w:color="auto"/>
              <w:bottom w:val="single" w:sz="4" w:space="0" w:color="auto"/>
              <w:right w:val="single" w:sz="4" w:space="0" w:color="auto"/>
            </w:tcBorders>
            <w:shd w:val="clear" w:color="auto" w:fill="auto"/>
            <w:noWrap/>
            <w:vAlign w:val="bottom"/>
            <w:hideMark/>
          </w:tcPr>
          <w:p w:rsidR="00100BB2" w:rsidRPr="00FB48BF" w:rsidRDefault="00100BB2" w:rsidP="00687E87">
            <w:pPr>
              <w:tabs>
                <w:tab w:val="clear" w:pos="567"/>
                <w:tab w:val="left" w:pos="308"/>
              </w:tabs>
              <w:spacing w:before="40" w:after="40"/>
              <w:rPr>
                <w:sz w:val="20"/>
              </w:rPr>
            </w:pPr>
            <w:r w:rsidRPr="00FB48BF">
              <w:rPr>
                <w:sz w:val="20"/>
              </w:rPr>
              <w:tab/>
              <w:t>Retardées</w:t>
            </w:r>
          </w:p>
        </w:tc>
        <w:tc>
          <w:tcPr>
            <w:tcW w:w="713" w:type="dxa"/>
            <w:tcBorders>
              <w:top w:val="nil"/>
              <w:left w:val="nil"/>
              <w:bottom w:val="single" w:sz="4"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3</w:t>
            </w:r>
          </w:p>
        </w:tc>
        <w:tc>
          <w:tcPr>
            <w:tcW w:w="628" w:type="dxa"/>
            <w:tcBorders>
              <w:top w:val="nil"/>
              <w:left w:val="nil"/>
              <w:bottom w:val="single" w:sz="4"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4"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nil"/>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880" w:type="dxa"/>
            <w:tcBorders>
              <w:top w:val="nil"/>
              <w:left w:val="single" w:sz="4" w:space="0" w:color="auto"/>
              <w:bottom w:val="single" w:sz="4"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622"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1</w:t>
            </w:r>
          </w:p>
        </w:tc>
        <w:tc>
          <w:tcPr>
            <w:tcW w:w="845" w:type="dxa"/>
            <w:tcBorders>
              <w:top w:val="single" w:sz="4" w:space="0" w:color="auto"/>
              <w:left w:val="single" w:sz="4" w:space="0" w:color="auto"/>
              <w:bottom w:val="single" w:sz="4"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0</w:t>
            </w:r>
          </w:p>
        </w:tc>
        <w:tc>
          <w:tcPr>
            <w:tcW w:w="712" w:type="dxa"/>
            <w:tcBorders>
              <w:top w:val="nil"/>
              <w:left w:val="single" w:sz="4" w:space="0" w:color="auto"/>
              <w:bottom w:val="single" w:sz="4" w:space="0" w:color="auto"/>
              <w:right w:val="single" w:sz="8" w:space="0" w:color="auto"/>
            </w:tcBorders>
            <w:shd w:val="clear" w:color="000000" w:fill="AEAAAA"/>
            <w:noWrap/>
            <w:vAlign w:val="center"/>
            <w:hideMark/>
          </w:tcPr>
          <w:p w:rsidR="00100BB2" w:rsidRPr="00FB48BF" w:rsidRDefault="001109F8" w:rsidP="00E77CA3">
            <w:pPr>
              <w:spacing w:before="40" w:after="40"/>
              <w:jc w:val="center"/>
              <w:rPr>
                <w:b/>
                <w:bCs/>
                <w:sz w:val="20"/>
              </w:rPr>
            </w:pPr>
            <w:r>
              <w:rPr>
                <w:b/>
                <w:bCs/>
                <w:sz w:val="20"/>
              </w:rPr>
              <w:t>4</w:t>
            </w:r>
          </w:p>
        </w:tc>
      </w:tr>
      <w:tr w:rsidR="00E77CA3" w:rsidRPr="00100BB2" w:rsidTr="00E77CA3">
        <w:trPr>
          <w:trHeight w:val="315"/>
        </w:trPr>
        <w:tc>
          <w:tcPr>
            <w:tcW w:w="2372" w:type="dxa"/>
            <w:tcBorders>
              <w:top w:val="nil"/>
              <w:left w:val="single" w:sz="8" w:space="0" w:color="auto"/>
              <w:bottom w:val="single" w:sz="8" w:space="0" w:color="auto"/>
              <w:right w:val="single" w:sz="4" w:space="0" w:color="auto"/>
            </w:tcBorders>
            <w:shd w:val="clear" w:color="auto" w:fill="auto"/>
            <w:noWrap/>
            <w:vAlign w:val="bottom"/>
            <w:hideMark/>
          </w:tcPr>
          <w:p w:rsidR="00100BB2" w:rsidRPr="00FB48BF" w:rsidRDefault="00100BB2" w:rsidP="00687E87">
            <w:pPr>
              <w:tabs>
                <w:tab w:val="clear" w:pos="567"/>
                <w:tab w:val="left" w:pos="308"/>
              </w:tabs>
              <w:spacing w:before="40" w:after="40"/>
              <w:rPr>
                <w:sz w:val="20"/>
              </w:rPr>
            </w:pPr>
            <w:r w:rsidRPr="00FB48BF">
              <w:rPr>
                <w:sz w:val="20"/>
              </w:rPr>
              <w:tab/>
              <w:t>Closes</w:t>
            </w:r>
          </w:p>
        </w:tc>
        <w:tc>
          <w:tcPr>
            <w:tcW w:w="713" w:type="dxa"/>
            <w:tcBorders>
              <w:top w:val="nil"/>
              <w:left w:val="nil"/>
              <w:bottom w:val="single" w:sz="8"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14</w:t>
            </w:r>
          </w:p>
        </w:tc>
        <w:tc>
          <w:tcPr>
            <w:tcW w:w="628"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10</w:t>
            </w:r>
            <w:r w:rsidR="00FB48BF">
              <w:rPr>
                <w:sz w:val="20"/>
              </w:rPr>
              <w:t>8</w:t>
            </w:r>
          </w:p>
        </w:tc>
        <w:tc>
          <w:tcPr>
            <w:tcW w:w="712" w:type="dxa"/>
            <w:tcBorders>
              <w:top w:val="nil"/>
              <w:left w:val="nil"/>
              <w:bottom w:val="single" w:sz="8" w:space="0" w:color="auto"/>
              <w:right w:val="nil"/>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5</w:t>
            </w:r>
            <w:r w:rsidR="00FB48BF">
              <w:rPr>
                <w:sz w:val="20"/>
              </w:rPr>
              <w:t>3</w:t>
            </w:r>
          </w:p>
        </w:tc>
        <w:tc>
          <w:tcPr>
            <w:tcW w:w="712" w:type="dxa"/>
            <w:tcBorders>
              <w:top w:val="nil"/>
              <w:left w:val="single" w:sz="4" w:space="0" w:color="auto"/>
              <w:bottom w:val="single" w:sz="8"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30</w:t>
            </w:r>
          </w:p>
        </w:tc>
        <w:tc>
          <w:tcPr>
            <w:tcW w:w="712" w:type="dxa"/>
            <w:tcBorders>
              <w:top w:val="nil"/>
              <w:left w:val="single" w:sz="4" w:space="0" w:color="auto"/>
              <w:bottom w:val="single" w:sz="8"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14</w:t>
            </w:r>
          </w:p>
        </w:tc>
        <w:tc>
          <w:tcPr>
            <w:tcW w:w="880" w:type="dxa"/>
            <w:tcBorders>
              <w:top w:val="nil"/>
              <w:left w:val="single" w:sz="4" w:space="0" w:color="auto"/>
              <w:bottom w:val="single" w:sz="8" w:space="0" w:color="auto"/>
              <w:right w:val="nil"/>
            </w:tcBorders>
            <w:shd w:val="clear" w:color="000000" w:fill="FFFFFF"/>
            <w:noWrap/>
            <w:vAlign w:val="center"/>
            <w:hideMark/>
          </w:tcPr>
          <w:p w:rsidR="00100BB2" w:rsidRPr="00FB48BF" w:rsidRDefault="00FB48BF" w:rsidP="00E77CA3">
            <w:pPr>
              <w:spacing w:before="40" w:after="40"/>
              <w:jc w:val="center"/>
              <w:rPr>
                <w:sz w:val="20"/>
              </w:rPr>
            </w:pPr>
            <w:r>
              <w:rPr>
                <w:sz w:val="20"/>
              </w:rPr>
              <w:t>12</w:t>
            </w:r>
          </w:p>
        </w:tc>
        <w:tc>
          <w:tcPr>
            <w:tcW w:w="622" w:type="dxa"/>
            <w:tcBorders>
              <w:top w:val="single" w:sz="4" w:space="0" w:color="auto"/>
              <w:left w:val="single" w:sz="4" w:space="0" w:color="auto"/>
              <w:bottom w:val="single" w:sz="8"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6</w:t>
            </w:r>
          </w:p>
        </w:tc>
        <w:tc>
          <w:tcPr>
            <w:tcW w:w="845" w:type="dxa"/>
            <w:tcBorders>
              <w:top w:val="single" w:sz="4" w:space="0" w:color="auto"/>
              <w:left w:val="single" w:sz="4" w:space="0" w:color="auto"/>
              <w:bottom w:val="single" w:sz="8" w:space="0" w:color="auto"/>
              <w:right w:val="single" w:sz="4" w:space="0" w:color="auto"/>
            </w:tcBorders>
            <w:shd w:val="clear" w:color="000000" w:fill="auto"/>
            <w:vAlign w:val="center"/>
          </w:tcPr>
          <w:p w:rsidR="00100BB2" w:rsidRPr="00E46005" w:rsidRDefault="001109F8" w:rsidP="00E77CA3">
            <w:pPr>
              <w:spacing w:before="40" w:after="40"/>
              <w:jc w:val="center"/>
              <w:rPr>
                <w:sz w:val="20"/>
              </w:rPr>
            </w:pPr>
            <w:r w:rsidRPr="00E46005">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100BB2" w:rsidRPr="00FB48BF" w:rsidRDefault="00100BB2" w:rsidP="00E77CA3">
            <w:pPr>
              <w:spacing w:before="40" w:after="40"/>
              <w:jc w:val="center"/>
              <w:rPr>
                <w:b/>
                <w:bCs/>
                <w:sz w:val="20"/>
              </w:rPr>
            </w:pPr>
            <w:r w:rsidRPr="00FB48BF">
              <w:rPr>
                <w:b/>
                <w:bCs/>
                <w:sz w:val="20"/>
              </w:rPr>
              <w:t>2</w:t>
            </w:r>
            <w:r w:rsidR="001109F8">
              <w:rPr>
                <w:b/>
                <w:bCs/>
                <w:sz w:val="20"/>
              </w:rPr>
              <w:t>37</w:t>
            </w:r>
          </w:p>
        </w:tc>
      </w:tr>
      <w:tr w:rsidR="00E77CA3" w:rsidRPr="00100BB2" w:rsidTr="00E77CA3">
        <w:trPr>
          <w:trHeight w:val="105"/>
        </w:trPr>
        <w:tc>
          <w:tcPr>
            <w:tcW w:w="2372" w:type="dxa"/>
            <w:tcBorders>
              <w:top w:val="nil"/>
              <w:left w:val="single" w:sz="8" w:space="0" w:color="auto"/>
              <w:bottom w:val="nil"/>
              <w:right w:val="nil"/>
            </w:tcBorders>
            <w:shd w:val="clear" w:color="auto" w:fill="auto"/>
            <w:noWrap/>
            <w:vAlign w:val="bottom"/>
            <w:hideMark/>
          </w:tcPr>
          <w:p w:rsidR="00100BB2" w:rsidRPr="00FB48BF" w:rsidRDefault="00100BB2" w:rsidP="00E77CA3">
            <w:pPr>
              <w:spacing w:before="40" w:after="40"/>
              <w:rPr>
                <w:sz w:val="20"/>
              </w:rPr>
            </w:pPr>
            <w:r w:rsidRPr="00FB48BF">
              <w:rPr>
                <w:sz w:val="20"/>
              </w:rPr>
              <w:t> </w:t>
            </w:r>
          </w:p>
        </w:tc>
        <w:tc>
          <w:tcPr>
            <w:tcW w:w="713"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628" w:type="dxa"/>
            <w:tcBorders>
              <w:top w:val="nil"/>
              <w:left w:val="nil"/>
              <w:bottom w:val="nil"/>
              <w:right w:val="nil"/>
            </w:tcBorders>
            <w:shd w:val="clear" w:color="auto" w:fill="auto"/>
            <w:noWrap/>
            <w:vAlign w:val="center"/>
            <w:hideMark/>
          </w:tcPr>
          <w:p w:rsidR="00100BB2" w:rsidRPr="00FB48BF" w:rsidRDefault="00100BB2" w:rsidP="00E77CA3">
            <w:pPr>
              <w:spacing w:before="40" w:after="40"/>
              <w:jc w:val="center"/>
              <w:rPr>
                <w:sz w:val="20"/>
              </w:rPr>
            </w:pPr>
          </w:p>
        </w:tc>
        <w:tc>
          <w:tcPr>
            <w:tcW w:w="711"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712"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880" w:type="dxa"/>
            <w:tcBorders>
              <w:top w:val="nil"/>
              <w:left w:val="nil"/>
              <w:bottom w:val="nil"/>
              <w:right w:val="nil"/>
            </w:tcBorders>
            <w:shd w:val="clear" w:color="000000" w:fill="FFFFFF"/>
            <w:noWrap/>
            <w:vAlign w:val="center"/>
            <w:hideMark/>
          </w:tcPr>
          <w:p w:rsidR="00100BB2" w:rsidRPr="00FB48BF" w:rsidRDefault="00100BB2" w:rsidP="00E77CA3">
            <w:pPr>
              <w:spacing w:before="40" w:after="40"/>
              <w:jc w:val="center"/>
              <w:rPr>
                <w:sz w:val="20"/>
              </w:rPr>
            </w:pPr>
          </w:p>
        </w:tc>
        <w:tc>
          <w:tcPr>
            <w:tcW w:w="622" w:type="dxa"/>
            <w:tcBorders>
              <w:top w:val="nil"/>
              <w:left w:val="nil"/>
              <w:bottom w:val="nil"/>
              <w:right w:val="nil"/>
            </w:tcBorders>
            <w:shd w:val="clear" w:color="000000" w:fill="FFFFFF"/>
            <w:vAlign w:val="center"/>
          </w:tcPr>
          <w:p w:rsidR="00100BB2" w:rsidRPr="00E46005" w:rsidRDefault="00100BB2" w:rsidP="00E77CA3">
            <w:pPr>
              <w:spacing w:before="40" w:after="40"/>
              <w:jc w:val="center"/>
              <w:rPr>
                <w:sz w:val="20"/>
              </w:rPr>
            </w:pPr>
          </w:p>
        </w:tc>
        <w:tc>
          <w:tcPr>
            <w:tcW w:w="845" w:type="dxa"/>
            <w:tcBorders>
              <w:top w:val="nil"/>
              <w:left w:val="nil"/>
              <w:bottom w:val="nil"/>
              <w:right w:val="nil"/>
            </w:tcBorders>
            <w:shd w:val="clear" w:color="000000" w:fill="FFFFFF"/>
            <w:vAlign w:val="center"/>
          </w:tcPr>
          <w:p w:rsidR="00100BB2" w:rsidRPr="00E46005" w:rsidRDefault="00100BB2" w:rsidP="00E77CA3">
            <w:pPr>
              <w:spacing w:before="40" w:after="40"/>
              <w:jc w:val="center"/>
              <w:rPr>
                <w:sz w:val="20"/>
              </w:rPr>
            </w:pPr>
          </w:p>
        </w:tc>
        <w:tc>
          <w:tcPr>
            <w:tcW w:w="712" w:type="dxa"/>
            <w:tcBorders>
              <w:top w:val="nil"/>
              <w:left w:val="nil"/>
              <w:bottom w:val="nil"/>
              <w:right w:val="single" w:sz="8" w:space="0" w:color="auto"/>
            </w:tcBorders>
            <w:shd w:val="clear" w:color="000000" w:fill="FFFFFF"/>
            <w:noWrap/>
            <w:vAlign w:val="center"/>
            <w:hideMark/>
          </w:tcPr>
          <w:p w:rsidR="00100BB2" w:rsidRPr="00FB48BF" w:rsidRDefault="00100BB2" w:rsidP="00E77CA3">
            <w:pPr>
              <w:spacing w:before="40" w:after="40"/>
              <w:jc w:val="center"/>
              <w:rPr>
                <w:b/>
                <w:bCs/>
                <w:sz w:val="20"/>
              </w:rPr>
            </w:pPr>
          </w:p>
        </w:tc>
      </w:tr>
      <w:tr w:rsidR="00E77CA3" w:rsidRPr="00100BB2" w:rsidTr="00E77CA3">
        <w:trPr>
          <w:trHeight w:val="315"/>
        </w:trPr>
        <w:tc>
          <w:tcPr>
            <w:tcW w:w="23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00BB2" w:rsidRPr="00FB48BF" w:rsidRDefault="00100BB2" w:rsidP="00E77CA3">
            <w:pPr>
              <w:spacing w:before="40" w:after="40"/>
              <w:rPr>
                <w:sz w:val="20"/>
              </w:rPr>
            </w:pPr>
            <w:r w:rsidRPr="00FB48BF">
              <w:rPr>
                <w:sz w:val="20"/>
              </w:rPr>
              <w:t>% de recommandations en cours</w:t>
            </w:r>
          </w:p>
        </w:tc>
        <w:tc>
          <w:tcPr>
            <w:tcW w:w="713"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0%</w:t>
            </w:r>
          </w:p>
        </w:tc>
        <w:tc>
          <w:tcPr>
            <w:tcW w:w="628"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4</w:t>
            </w:r>
            <w:r w:rsidR="00100BB2"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4</w:t>
            </w:r>
            <w:r w:rsidR="00100BB2"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12</w:t>
            </w:r>
            <w:r w:rsidR="00100BB2" w:rsidRPr="00FB48BF">
              <w:rPr>
                <w:sz w:val="20"/>
              </w:rPr>
              <w:t>%</w:t>
            </w:r>
          </w:p>
        </w:tc>
        <w:tc>
          <w:tcPr>
            <w:tcW w:w="712" w:type="dxa"/>
            <w:tcBorders>
              <w:top w:val="single" w:sz="8" w:space="0" w:color="auto"/>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36</w:t>
            </w:r>
            <w:r w:rsidR="00100BB2" w:rsidRPr="00FB48BF">
              <w:rPr>
                <w:sz w:val="20"/>
              </w:rPr>
              <w:t>%</w:t>
            </w:r>
          </w:p>
        </w:tc>
        <w:tc>
          <w:tcPr>
            <w:tcW w:w="880" w:type="dxa"/>
            <w:tcBorders>
              <w:top w:val="single" w:sz="8" w:space="0" w:color="auto"/>
              <w:left w:val="nil"/>
              <w:bottom w:val="single" w:sz="8" w:space="0" w:color="auto"/>
              <w:right w:val="nil"/>
            </w:tcBorders>
            <w:shd w:val="clear" w:color="auto" w:fill="auto"/>
            <w:noWrap/>
            <w:vAlign w:val="center"/>
            <w:hideMark/>
          </w:tcPr>
          <w:p w:rsidR="00100BB2" w:rsidRPr="00FB48BF" w:rsidRDefault="00FB48BF" w:rsidP="00E77CA3">
            <w:pPr>
              <w:spacing w:before="40" w:after="40"/>
              <w:jc w:val="center"/>
              <w:rPr>
                <w:sz w:val="20"/>
              </w:rPr>
            </w:pPr>
            <w:r>
              <w:rPr>
                <w:sz w:val="20"/>
              </w:rPr>
              <w:t>6</w:t>
            </w:r>
            <w:r w:rsidR="00100BB2" w:rsidRPr="00FB48BF">
              <w:rPr>
                <w:sz w:val="20"/>
              </w:rPr>
              <w:t>0%</w:t>
            </w:r>
          </w:p>
        </w:tc>
        <w:tc>
          <w:tcPr>
            <w:tcW w:w="622" w:type="dxa"/>
            <w:tcBorders>
              <w:top w:val="single" w:sz="8" w:space="0" w:color="auto"/>
              <w:left w:val="single" w:sz="4" w:space="0" w:color="auto"/>
              <w:bottom w:val="single" w:sz="8" w:space="0" w:color="auto"/>
              <w:right w:val="single" w:sz="4" w:space="0" w:color="auto"/>
            </w:tcBorders>
            <w:vAlign w:val="center"/>
          </w:tcPr>
          <w:p w:rsidR="00100BB2" w:rsidRPr="00E46005" w:rsidRDefault="001109F8" w:rsidP="00E77CA3">
            <w:pPr>
              <w:spacing w:before="40" w:after="40"/>
              <w:jc w:val="center"/>
              <w:rPr>
                <w:sz w:val="20"/>
              </w:rPr>
            </w:pPr>
            <w:r w:rsidRPr="00E46005">
              <w:rPr>
                <w:sz w:val="20"/>
              </w:rPr>
              <w:t>73%</w:t>
            </w:r>
          </w:p>
        </w:tc>
        <w:tc>
          <w:tcPr>
            <w:tcW w:w="845" w:type="dxa"/>
            <w:tcBorders>
              <w:top w:val="single" w:sz="8" w:space="0" w:color="auto"/>
              <w:left w:val="single" w:sz="4" w:space="0" w:color="auto"/>
              <w:bottom w:val="single" w:sz="8" w:space="0" w:color="auto"/>
              <w:right w:val="single" w:sz="4" w:space="0" w:color="auto"/>
            </w:tcBorders>
            <w:vAlign w:val="center"/>
          </w:tcPr>
          <w:p w:rsidR="00100BB2" w:rsidRPr="00E46005" w:rsidRDefault="001109F8" w:rsidP="00E77CA3">
            <w:pPr>
              <w:spacing w:before="40" w:after="40"/>
              <w:jc w:val="center"/>
              <w:rPr>
                <w:sz w:val="20"/>
              </w:rPr>
            </w:pPr>
            <w:r w:rsidRPr="00E46005">
              <w:rPr>
                <w:sz w:val="20"/>
              </w:rPr>
              <w:t>100%</w:t>
            </w:r>
          </w:p>
        </w:tc>
        <w:tc>
          <w:tcPr>
            <w:tcW w:w="712" w:type="dxa"/>
            <w:tcBorders>
              <w:top w:val="single" w:sz="8" w:space="0" w:color="auto"/>
              <w:left w:val="single" w:sz="4" w:space="0" w:color="auto"/>
              <w:bottom w:val="single" w:sz="8" w:space="0" w:color="auto"/>
              <w:right w:val="single" w:sz="8" w:space="0" w:color="auto"/>
            </w:tcBorders>
            <w:shd w:val="clear" w:color="000000" w:fill="AEAAAA"/>
            <w:noWrap/>
            <w:vAlign w:val="center"/>
            <w:hideMark/>
          </w:tcPr>
          <w:p w:rsidR="00100BB2" w:rsidRPr="00FB48BF" w:rsidRDefault="00100BB2" w:rsidP="00E77CA3">
            <w:pPr>
              <w:spacing w:before="40" w:after="40"/>
              <w:jc w:val="center"/>
              <w:rPr>
                <w:b/>
                <w:bCs/>
                <w:sz w:val="20"/>
              </w:rPr>
            </w:pPr>
            <w:r w:rsidRPr="00FB48BF">
              <w:rPr>
                <w:b/>
                <w:bCs/>
                <w:sz w:val="20"/>
              </w:rPr>
              <w:t>23%</w:t>
            </w:r>
          </w:p>
        </w:tc>
      </w:tr>
      <w:tr w:rsidR="00E77CA3" w:rsidRPr="00100BB2" w:rsidTr="00E77CA3">
        <w:trPr>
          <w:trHeight w:val="315"/>
        </w:trPr>
        <w:tc>
          <w:tcPr>
            <w:tcW w:w="2372" w:type="dxa"/>
            <w:tcBorders>
              <w:top w:val="nil"/>
              <w:left w:val="single" w:sz="8" w:space="0" w:color="auto"/>
              <w:bottom w:val="single" w:sz="8" w:space="0" w:color="auto"/>
              <w:right w:val="single" w:sz="4" w:space="0" w:color="auto"/>
            </w:tcBorders>
            <w:shd w:val="clear" w:color="auto" w:fill="auto"/>
            <w:noWrap/>
            <w:vAlign w:val="bottom"/>
            <w:hideMark/>
          </w:tcPr>
          <w:p w:rsidR="00100BB2" w:rsidRPr="00FB48BF" w:rsidRDefault="00100BB2" w:rsidP="00E77CA3">
            <w:pPr>
              <w:spacing w:before="40" w:after="40"/>
              <w:rPr>
                <w:sz w:val="20"/>
              </w:rPr>
            </w:pPr>
            <w:r w:rsidRPr="00FB48BF">
              <w:rPr>
                <w:sz w:val="20"/>
              </w:rPr>
              <w:t>% de recommandations retardées</w:t>
            </w:r>
          </w:p>
        </w:tc>
        <w:tc>
          <w:tcPr>
            <w:tcW w:w="713"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18%</w:t>
            </w:r>
          </w:p>
        </w:tc>
        <w:tc>
          <w:tcPr>
            <w:tcW w:w="628"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000000" w:fill="FFFFFF"/>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0%</w:t>
            </w:r>
          </w:p>
        </w:tc>
        <w:tc>
          <w:tcPr>
            <w:tcW w:w="712"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0%</w:t>
            </w:r>
          </w:p>
        </w:tc>
        <w:tc>
          <w:tcPr>
            <w:tcW w:w="880" w:type="dxa"/>
            <w:tcBorders>
              <w:top w:val="nil"/>
              <w:left w:val="nil"/>
              <w:bottom w:val="single" w:sz="8" w:space="0" w:color="auto"/>
              <w:right w:val="nil"/>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0%</w:t>
            </w:r>
          </w:p>
        </w:tc>
        <w:tc>
          <w:tcPr>
            <w:tcW w:w="622" w:type="dxa"/>
            <w:tcBorders>
              <w:top w:val="nil"/>
              <w:left w:val="single" w:sz="4" w:space="0" w:color="auto"/>
              <w:bottom w:val="single" w:sz="8" w:space="0" w:color="auto"/>
              <w:right w:val="single" w:sz="4" w:space="0" w:color="auto"/>
            </w:tcBorders>
            <w:vAlign w:val="center"/>
          </w:tcPr>
          <w:p w:rsidR="00100BB2" w:rsidRPr="00FB48BF" w:rsidRDefault="001109F8" w:rsidP="00E77CA3">
            <w:pPr>
              <w:spacing w:before="40" w:after="40"/>
              <w:jc w:val="center"/>
              <w:rPr>
                <w:sz w:val="20"/>
              </w:rPr>
            </w:pPr>
            <w:r>
              <w:rPr>
                <w:sz w:val="20"/>
              </w:rPr>
              <w:t>4%</w:t>
            </w:r>
          </w:p>
        </w:tc>
        <w:tc>
          <w:tcPr>
            <w:tcW w:w="845" w:type="dxa"/>
            <w:tcBorders>
              <w:top w:val="nil"/>
              <w:left w:val="single" w:sz="4" w:space="0" w:color="auto"/>
              <w:bottom w:val="single" w:sz="8" w:space="0" w:color="auto"/>
              <w:right w:val="single" w:sz="4" w:space="0" w:color="auto"/>
            </w:tcBorders>
            <w:vAlign w:val="center"/>
          </w:tcPr>
          <w:p w:rsidR="00100BB2" w:rsidRPr="00FB48BF" w:rsidRDefault="001109F8" w:rsidP="00E77CA3">
            <w:pPr>
              <w:spacing w:before="40" w:after="40"/>
              <w:jc w:val="center"/>
              <w:rPr>
                <w:sz w:val="20"/>
              </w:rPr>
            </w:pPr>
            <w:r>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100BB2" w:rsidRPr="00FB48BF" w:rsidRDefault="00100BB2" w:rsidP="00E77CA3">
            <w:pPr>
              <w:spacing w:before="40" w:after="40"/>
              <w:jc w:val="center"/>
              <w:rPr>
                <w:b/>
                <w:bCs/>
                <w:sz w:val="20"/>
              </w:rPr>
            </w:pPr>
            <w:r w:rsidRPr="00FB48BF">
              <w:rPr>
                <w:b/>
                <w:bCs/>
                <w:sz w:val="20"/>
              </w:rPr>
              <w:t>1%</w:t>
            </w:r>
          </w:p>
        </w:tc>
      </w:tr>
      <w:tr w:rsidR="00E77CA3" w:rsidRPr="00100BB2" w:rsidTr="00E77CA3">
        <w:trPr>
          <w:trHeight w:val="315"/>
        </w:trPr>
        <w:tc>
          <w:tcPr>
            <w:tcW w:w="2372" w:type="dxa"/>
            <w:tcBorders>
              <w:top w:val="nil"/>
              <w:left w:val="single" w:sz="8" w:space="0" w:color="auto"/>
              <w:bottom w:val="single" w:sz="8" w:space="0" w:color="auto"/>
              <w:right w:val="single" w:sz="4" w:space="0" w:color="auto"/>
            </w:tcBorders>
            <w:shd w:val="clear" w:color="auto" w:fill="auto"/>
            <w:noWrap/>
            <w:vAlign w:val="bottom"/>
            <w:hideMark/>
          </w:tcPr>
          <w:p w:rsidR="00100BB2" w:rsidRPr="00FB48BF" w:rsidRDefault="00100BB2" w:rsidP="00E77CA3">
            <w:pPr>
              <w:spacing w:before="40" w:after="40"/>
              <w:rPr>
                <w:sz w:val="20"/>
              </w:rPr>
            </w:pPr>
            <w:r w:rsidRPr="00FB48BF">
              <w:rPr>
                <w:sz w:val="20"/>
              </w:rPr>
              <w:t>% de recommandations closes</w:t>
            </w:r>
          </w:p>
        </w:tc>
        <w:tc>
          <w:tcPr>
            <w:tcW w:w="713"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82%</w:t>
            </w:r>
          </w:p>
        </w:tc>
        <w:tc>
          <w:tcPr>
            <w:tcW w:w="628"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w:t>
            </w:r>
          </w:p>
        </w:tc>
        <w:tc>
          <w:tcPr>
            <w:tcW w:w="711"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9</w:t>
            </w:r>
            <w:r w:rsidR="00FB48BF">
              <w:rPr>
                <w:sz w:val="20"/>
              </w:rPr>
              <w:t>6</w:t>
            </w:r>
            <w:r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100BB2" w:rsidRPr="00FB48BF" w:rsidRDefault="00100BB2" w:rsidP="00E77CA3">
            <w:pPr>
              <w:spacing w:before="40" w:after="40"/>
              <w:jc w:val="center"/>
              <w:rPr>
                <w:sz w:val="20"/>
              </w:rPr>
            </w:pPr>
            <w:r w:rsidRPr="00FB48BF">
              <w:rPr>
                <w:sz w:val="20"/>
              </w:rPr>
              <w:t>9</w:t>
            </w:r>
            <w:r w:rsidR="00FB48BF">
              <w:rPr>
                <w:sz w:val="20"/>
              </w:rPr>
              <w:t>6</w:t>
            </w:r>
            <w:r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88</w:t>
            </w:r>
            <w:r w:rsidR="00100BB2" w:rsidRPr="00FB48BF">
              <w:rPr>
                <w:sz w:val="20"/>
              </w:rPr>
              <w:t>%</w:t>
            </w:r>
          </w:p>
        </w:tc>
        <w:tc>
          <w:tcPr>
            <w:tcW w:w="712" w:type="dxa"/>
            <w:tcBorders>
              <w:top w:val="nil"/>
              <w:left w:val="nil"/>
              <w:bottom w:val="single" w:sz="8" w:space="0" w:color="auto"/>
              <w:right w:val="single" w:sz="4" w:space="0" w:color="auto"/>
            </w:tcBorders>
            <w:shd w:val="clear" w:color="auto" w:fill="auto"/>
            <w:noWrap/>
            <w:vAlign w:val="center"/>
            <w:hideMark/>
          </w:tcPr>
          <w:p w:rsidR="00100BB2" w:rsidRPr="00FB48BF" w:rsidRDefault="00FB48BF" w:rsidP="00E77CA3">
            <w:pPr>
              <w:spacing w:before="40" w:after="40"/>
              <w:jc w:val="center"/>
              <w:rPr>
                <w:sz w:val="20"/>
              </w:rPr>
            </w:pPr>
            <w:r>
              <w:rPr>
                <w:sz w:val="20"/>
              </w:rPr>
              <w:t>64</w:t>
            </w:r>
            <w:r w:rsidR="00100BB2" w:rsidRPr="00FB48BF">
              <w:rPr>
                <w:sz w:val="20"/>
              </w:rPr>
              <w:t>%</w:t>
            </w:r>
          </w:p>
        </w:tc>
        <w:tc>
          <w:tcPr>
            <w:tcW w:w="880" w:type="dxa"/>
            <w:tcBorders>
              <w:top w:val="nil"/>
              <w:left w:val="nil"/>
              <w:bottom w:val="single" w:sz="8" w:space="0" w:color="auto"/>
              <w:right w:val="nil"/>
            </w:tcBorders>
            <w:shd w:val="clear" w:color="auto" w:fill="auto"/>
            <w:noWrap/>
            <w:vAlign w:val="center"/>
            <w:hideMark/>
          </w:tcPr>
          <w:p w:rsidR="00100BB2" w:rsidRPr="00FB48BF" w:rsidRDefault="00FB48BF" w:rsidP="00E77CA3">
            <w:pPr>
              <w:spacing w:before="40" w:after="40"/>
              <w:jc w:val="center"/>
              <w:rPr>
                <w:sz w:val="20"/>
              </w:rPr>
            </w:pPr>
            <w:r>
              <w:rPr>
                <w:sz w:val="20"/>
              </w:rPr>
              <w:t>4</w:t>
            </w:r>
            <w:r w:rsidR="00100BB2" w:rsidRPr="00FB48BF">
              <w:rPr>
                <w:sz w:val="20"/>
              </w:rPr>
              <w:t>0%</w:t>
            </w:r>
          </w:p>
        </w:tc>
        <w:tc>
          <w:tcPr>
            <w:tcW w:w="622" w:type="dxa"/>
            <w:tcBorders>
              <w:top w:val="nil"/>
              <w:left w:val="single" w:sz="4" w:space="0" w:color="auto"/>
              <w:bottom w:val="single" w:sz="8" w:space="0" w:color="auto"/>
              <w:right w:val="single" w:sz="4" w:space="0" w:color="auto"/>
            </w:tcBorders>
            <w:vAlign w:val="center"/>
          </w:tcPr>
          <w:p w:rsidR="00100BB2" w:rsidRPr="00FB48BF" w:rsidRDefault="001109F8" w:rsidP="00E77CA3">
            <w:pPr>
              <w:spacing w:before="40" w:after="40"/>
              <w:jc w:val="center"/>
              <w:rPr>
                <w:sz w:val="20"/>
              </w:rPr>
            </w:pPr>
            <w:r>
              <w:rPr>
                <w:sz w:val="20"/>
              </w:rPr>
              <w:t>23%</w:t>
            </w:r>
          </w:p>
        </w:tc>
        <w:tc>
          <w:tcPr>
            <w:tcW w:w="845" w:type="dxa"/>
            <w:tcBorders>
              <w:top w:val="nil"/>
              <w:left w:val="single" w:sz="4" w:space="0" w:color="auto"/>
              <w:bottom w:val="single" w:sz="8" w:space="0" w:color="auto"/>
              <w:right w:val="single" w:sz="4" w:space="0" w:color="auto"/>
            </w:tcBorders>
            <w:vAlign w:val="center"/>
          </w:tcPr>
          <w:p w:rsidR="00100BB2" w:rsidRPr="00FB48BF" w:rsidRDefault="001109F8" w:rsidP="00E77CA3">
            <w:pPr>
              <w:spacing w:before="40" w:after="40"/>
              <w:jc w:val="center"/>
              <w:rPr>
                <w:sz w:val="20"/>
              </w:rPr>
            </w:pPr>
            <w:r>
              <w:rPr>
                <w:sz w:val="20"/>
              </w:rPr>
              <w:t>0%</w:t>
            </w:r>
          </w:p>
        </w:tc>
        <w:tc>
          <w:tcPr>
            <w:tcW w:w="712" w:type="dxa"/>
            <w:tcBorders>
              <w:top w:val="nil"/>
              <w:left w:val="single" w:sz="4" w:space="0" w:color="auto"/>
              <w:bottom w:val="single" w:sz="8" w:space="0" w:color="auto"/>
              <w:right w:val="single" w:sz="8" w:space="0" w:color="auto"/>
            </w:tcBorders>
            <w:shd w:val="clear" w:color="000000" w:fill="AEAAAA"/>
            <w:noWrap/>
            <w:vAlign w:val="center"/>
            <w:hideMark/>
          </w:tcPr>
          <w:p w:rsidR="00100BB2" w:rsidRPr="00FB48BF" w:rsidRDefault="00100BB2" w:rsidP="00E77CA3">
            <w:pPr>
              <w:spacing w:before="40" w:after="40"/>
              <w:jc w:val="center"/>
              <w:rPr>
                <w:b/>
                <w:bCs/>
                <w:sz w:val="20"/>
              </w:rPr>
            </w:pPr>
            <w:r w:rsidRPr="00FB48BF">
              <w:rPr>
                <w:b/>
                <w:bCs/>
                <w:sz w:val="20"/>
              </w:rPr>
              <w:t>76%</w:t>
            </w:r>
          </w:p>
        </w:tc>
      </w:tr>
    </w:tbl>
    <w:p w:rsidR="0076425C" w:rsidRPr="001109F8" w:rsidRDefault="0076425C" w:rsidP="001109F8">
      <w:pPr>
        <w:spacing w:before="0"/>
        <w:rPr>
          <w:sz w:val="20"/>
        </w:rPr>
      </w:pPr>
      <w:r w:rsidRPr="001109F8">
        <w:rPr>
          <w:sz w:val="20"/>
        </w:rPr>
        <w:t>(*)</w:t>
      </w:r>
      <w:r w:rsidRPr="001109F8">
        <w:rPr>
          <w:sz w:val="20"/>
        </w:rPr>
        <w:tab/>
      </w:r>
      <w:r w:rsidR="00676C24" w:rsidRPr="001109F8">
        <w:rPr>
          <w:sz w:val="20"/>
        </w:rPr>
        <w:t>Actualisé</w:t>
      </w:r>
    </w:p>
    <w:p w:rsidR="0076425C" w:rsidRDefault="0076425C" w:rsidP="00C8668A">
      <w:pPr>
        <w:spacing w:after="240"/>
      </w:pPr>
      <w:r w:rsidRPr="0076425C">
        <w:t>22</w:t>
      </w:r>
      <w:r w:rsidR="00717271">
        <w:tab/>
      </w:r>
      <w:r w:rsidR="008C43E3">
        <w:t xml:space="preserve">Suite </w:t>
      </w:r>
      <w:r w:rsidRPr="0076425C">
        <w:t xml:space="preserve">à une demande formulée en 2018 par un Conseiller, l'Unité de l'audit interne </w:t>
      </w:r>
      <w:r w:rsidR="00676C24">
        <w:t xml:space="preserve">a également fourni, dans le </w:t>
      </w:r>
      <w:r w:rsidRPr="0076425C">
        <w:t>rapport de cette année, une description générale de l'importance des recommandations toujours en cours de mise en œuvre.</w:t>
      </w:r>
    </w:p>
    <w:p w:rsidR="00590CD6" w:rsidRDefault="00815B4F" w:rsidP="00590CD6">
      <w:pPr>
        <w:jc w:val="center"/>
      </w:pPr>
      <w:r w:rsidRPr="004F502A">
        <w:rPr>
          <w:noProof/>
          <w:lang w:val="en-GB" w:eastAsia="zh-CN"/>
        </w:rPr>
        <mc:AlternateContent>
          <mc:Choice Requires="wps">
            <w:drawing>
              <wp:anchor distT="0" distB="0" distL="114300" distR="114300" simplePos="0" relativeHeight="251662336" behindDoc="0" locked="0" layoutInCell="1" allowOverlap="1" wp14:anchorId="0BE7667D" wp14:editId="47538E45">
                <wp:simplePos x="0" y="0"/>
                <wp:positionH relativeFrom="column">
                  <wp:posOffset>3800475</wp:posOffset>
                </wp:positionH>
                <wp:positionV relativeFrom="paragraph">
                  <wp:posOffset>1738630</wp:posOffset>
                </wp:positionV>
                <wp:extent cx="429895" cy="1404620"/>
                <wp:effectExtent l="0" t="0" r="825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404620"/>
                        </a:xfrm>
                        <a:prstGeom prst="rect">
                          <a:avLst/>
                        </a:prstGeom>
                        <a:solidFill>
                          <a:srgbClr val="FFFFFF"/>
                        </a:solidFill>
                        <a:ln w="9525">
                          <a:noFill/>
                          <a:miter lim="800000"/>
                          <a:headEnd/>
                          <a:tailEnd/>
                        </a:ln>
                      </wps:spPr>
                      <wps:txbx>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Faible</w:t>
                            </w:r>
                          </w:p>
                        </w:txbxContent>
                      </wps:txbx>
                      <wps:bodyPr rot="0" vert="horz" wrap="square" lIns="0" tIns="0" rIns="0" bIns="0" anchor="t" anchorCtr="0">
                        <a:spAutoFit/>
                      </wps:bodyPr>
                    </wps:wsp>
                  </a:graphicData>
                </a:graphic>
                <wp14:sizeRelH relativeFrom="margin">
                  <wp14:pctWidth>0</wp14:pctWidth>
                </wp14:sizeRelH>
              </wp:anchor>
            </w:drawing>
          </mc:Choice>
          <mc:Fallback>
            <w:pict>
              <v:shapetype w14:anchorId="0BE7667D" id="_x0000_t202" coordsize="21600,21600" o:spt="202" path="m,l,21600r21600,l21600,xe">
                <v:stroke joinstyle="miter"/>
                <v:path gradientshapeok="t" o:connecttype="rect"/>
              </v:shapetype>
              <v:shape id="Text Box 2" o:spid="_x0000_s1026" type="#_x0000_t202" style="position:absolute;left:0;text-align:left;margin-left:299.25pt;margin-top:136.9pt;width:33.85pt;height:11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" stroked="f">
                <v:textbox style="mso-fit-shape-to-text:t" inset="0,0,0,0">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Faible</w:t>
                      </w:r>
                    </w:p>
                  </w:txbxContent>
                </v:textbox>
              </v:shape>
            </w:pict>
          </mc:Fallback>
        </mc:AlternateContent>
      </w:r>
      <w:r w:rsidR="004F502A" w:rsidRPr="004F502A">
        <w:rPr>
          <w:noProof/>
          <w:lang w:val="en-GB" w:eastAsia="zh-CN"/>
        </w:rPr>
        <mc:AlternateContent>
          <mc:Choice Requires="wps">
            <w:drawing>
              <wp:anchor distT="0" distB="0" distL="114300" distR="114300" simplePos="0" relativeHeight="251664384" behindDoc="0" locked="0" layoutInCell="1" allowOverlap="1" wp14:anchorId="0BE7667D" wp14:editId="47538E45">
                <wp:simplePos x="0" y="0"/>
                <wp:positionH relativeFrom="column">
                  <wp:posOffset>3217071</wp:posOffset>
                </wp:positionH>
                <wp:positionV relativeFrom="paragraph">
                  <wp:posOffset>1735455</wp:posOffset>
                </wp:positionV>
                <wp:extent cx="464024" cy="140462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24" cy="1404620"/>
                        </a:xfrm>
                        <a:prstGeom prst="rect">
                          <a:avLst/>
                        </a:prstGeom>
                        <a:solidFill>
                          <a:srgbClr val="FFFFFF"/>
                        </a:solidFill>
                        <a:ln w="9525">
                          <a:noFill/>
                          <a:miter lim="800000"/>
                          <a:headEnd/>
                          <a:tailEnd/>
                        </a:ln>
                      </wps:spPr>
                      <wps:txbx>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Moyenne</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0BE7667D" id="_x0000_s1027" type="#_x0000_t202" style="position:absolute;left:0;text-align:left;margin-left:253.3pt;margin-top:136.65pt;width:36.55pt;height:11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" stroked="f">
                <v:textbox style="mso-fit-shape-to-text:t" inset="0,0,0,0">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Moyenne</w:t>
                      </w:r>
                    </w:p>
                  </w:txbxContent>
                </v:textbox>
              </v:shape>
            </w:pict>
          </mc:Fallback>
        </mc:AlternateContent>
      </w:r>
      <w:r w:rsidR="004F502A" w:rsidRPr="004F502A">
        <w:rPr>
          <w:noProof/>
          <w:lang w:val="en-GB" w:eastAsia="zh-CN"/>
        </w:rPr>
        <mc:AlternateContent>
          <mc:Choice Requires="wps">
            <w:drawing>
              <wp:anchor distT="0" distB="0" distL="114300" distR="114300" simplePos="0" relativeHeight="251660288" behindDoc="0" locked="0" layoutInCell="1" allowOverlap="1" wp14:anchorId="0BE7667D" wp14:editId="47538E45">
                <wp:simplePos x="0" y="0"/>
                <wp:positionH relativeFrom="column">
                  <wp:posOffset>2780191</wp:posOffset>
                </wp:positionH>
                <wp:positionV relativeFrom="paragraph">
                  <wp:posOffset>1743075</wp:posOffset>
                </wp:positionV>
                <wp:extent cx="320675" cy="1404620"/>
                <wp:effectExtent l="0" t="0"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solidFill>
                          <a:srgbClr val="FFFFFF"/>
                        </a:solidFill>
                        <a:ln w="9525">
                          <a:noFill/>
                          <a:miter lim="800000"/>
                          <a:headEnd/>
                          <a:tailEnd/>
                        </a:ln>
                      </wps:spPr>
                      <wps:txbx>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Élevée</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0BE7667D" id="_x0000_s1028" type="#_x0000_t202" style="position:absolute;left:0;text-align:left;margin-left:218.9pt;margin-top:137.25pt;width:25.25pt;height:11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" stroked="f">
                <v:textbox style="mso-fit-shape-to-text:t" inset="0,0,0,0">
                  <w:txbxContent>
                    <w:p w:rsidR="004F502A" w:rsidRPr="004F502A" w:rsidRDefault="004F502A" w:rsidP="004F502A">
                      <w:pPr>
                        <w:spacing w:before="0"/>
                        <w:rPr>
                          <w:sz w:val="16"/>
                          <w:szCs w:val="16"/>
                          <w:lang w:val="fr-CH"/>
                        </w:rPr>
                      </w:pPr>
                      <w:r>
                        <w:rPr>
                          <w:sz w:val="16"/>
                          <w:szCs w:val="16"/>
                          <w:lang w:val="fr-CH"/>
                          <w14:textOutline w14:w="9525" w14:cap="rnd" w14:cmpd="sng" w14:algn="ctr">
                            <w14:noFill/>
                            <w14:prstDash w14:val="solid"/>
                            <w14:bevel/>
                          </w14:textOutline>
                        </w:rPr>
                        <w:t>Élevée</w:t>
                      </w:r>
                    </w:p>
                  </w:txbxContent>
                </v:textbox>
              </v:shape>
            </w:pict>
          </mc:Fallback>
        </mc:AlternateContent>
      </w:r>
      <w:r w:rsidR="004F502A" w:rsidRPr="00590CD6">
        <w:rPr>
          <w:noProof/>
          <w:lang w:val="en-GB" w:eastAsia="zh-CN"/>
        </w:rPr>
        <mc:AlternateContent>
          <mc:Choice Requires="wps">
            <w:drawing>
              <wp:anchor distT="0" distB="0" distL="114300" distR="114300" simplePos="0" relativeHeight="251658240" behindDoc="0" locked="0" layoutInCell="1" allowOverlap="1">
                <wp:simplePos x="0" y="0"/>
                <wp:positionH relativeFrom="column">
                  <wp:posOffset>2261235</wp:posOffset>
                </wp:positionH>
                <wp:positionV relativeFrom="paragraph">
                  <wp:posOffset>1733389</wp:posOffset>
                </wp:positionV>
                <wp:extent cx="429895"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404620"/>
                        </a:xfrm>
                        <a:prstGeom prst="rect">
                          <a:avLst/>
                        </a:prstGeom>
                        <a:solidFill>
                          <a:srgbClr val="FFFFFF"/>
                        </a:solidFill>
                        <a:ln w="9525">
                          <a:noFill/>
                          <a:miter lim="800000"/>
                          <a:headEnd/>
                          <a:tailEnd/>
                        </a:ln>
                      </wps:spPr>
                      <wps:txbx>
                        <w:txbxContent>
                          <w:p w:rsidR="00590CD6" w:rsidRPr="00C8668A" w:rsidRDefault="00590CD6" w:rsidP="004F502A">
                            <w:pPr>
                              <w:spacing w:before="0"/>
                              <w:rPr>
                                <w:sz w:val="16"/>
                                <w:szCs w:val="16"/>
                                <w:lang w:val="en-GB"/>
                              </w:rPr>
                            </w:pPr>
                            <w:r w:rsidRPr="00C8668A">
                              <w:rPr>
                                <w:sz w:val="16"/>
                                <w:szCs w:val="16"/>
                                <w14:textOutline w14:w="9525" w14:cap="rnd" w14:cmpd="sng" w14:algn="ctr">
                                  <w14:noFill/>
                                  <w14:prstDash w14:val="solid"/>
                                  <w14:bevel/>
                                </w14:textOutline>
                              </w:rPr>
                              <w:t>Critique</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id="_x0000_s1029" type="#_x0000_t202" style="position:absolute;left:0;text-align:left;margin-left:178.05pt;margin-top:136.5pt;width:33.85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" stroked="f">
                <v:textbox style="mso-fit-shape-to-text:t" inset="0,0,0,0">
                  <w:txbxContent>
                    <w:p w:rsidR="00590CD6" w:rsidRPr="00C8668A" w:rsidRDefault="00590CD6" w:rsidP="004F502A">
                      <w:pPr>
                        <w:spacing w:before="0"/>
                        <w:rPr>
                          <w:sz w:val="16"/>
                          <w:szCs w:val="16"/>
                          <w:lang w:val="en-GB"/>
                        </w:rPr>
                      </w:pPr>
                      <w:r w:rsidRPr="00C8668A">
                        <w:rPr>
                          <w:sz w:val="16"/>
                          <w:szCs w:val="16"/>
                          <w14:textOutline w14:w="9525" w14:cap="rnd" w14:cmpd="sng" w14:algn="ctr">
                            <w14:noFill/>
                            <w14:prstDash w14:val="solid"/>
                            <w14:bevel/>
                          </w14:textOutline>
                        </w:rPr>
                        <w:t>Critique</w:t>
                      </w:r>
                    </w:p>
                  </w:txbxContent>
                </v:textbox>
              </v:shape>
            </w:pict>
          </mc:Fallback>
        </mc:AlternateContent>
      </w:r>
      <w:r w:rsidR="00590CD6">
        <w:rPr>
          <w:noProof/>
          <w:lang w:val="en-GB" w:eastAsia="zh-CN"/>
        </w:rPr>
        <w:drawing>
          <wp:inline distT="0" distB="0" distL="0" distR="0" wp14:anchorId="53DD384B" wp14:editId="68C57F58">
            <wp:extent cx="5095875" cy="1990725"/>
            <wp:effectExtent l="0" t="0" r="9525" b="952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425C" w:rsidRPr="0076425C" w:rsidRDefault="000B196A" w:rsidP="000B196A">
      <w:pPr>
        <w:rPr>
          <w:b/>
          <w:lang w:val="fr-CH"/>
        </w:rPr>
      </w:pPr>
      <w:r>
        <w:rPr>
          <w:lang w:val="fr-CH"/>
        </w:rPr>
        <w:t>23</w:t>
      </w:r>
      <w:r>
        <w:rPr>
          <w:lang w:val="fr-CH"/>
        </w:rPr>
        <w:tab/>
      </w:r>
      <w:r w:rsidR="0076425C" w:rsidRPr="0076425C">
        <w:rPr>
          <w:lang w:val="fr-CH"/>
        </w:rPr>
        <w:t xml:space="preserve">Les recommandations essentielles datant de 2019 </w:t>
      </w:r>
      <w:r>
        <w:rPr>
          <w:lang w:val="fr-CH"/>
        </w:rPr>
        <w:t xml:space="preserve">sont issues </w:t>
      </w:r>
      <w:r w:rsidR="0076425C" w:rsidRPr="0076425C">
        <w:rPr>
          <w:lang w:val="fr-CH"/>
        </w:rPr>
        <w:t>de la lettre de recommandation que l'Unité</w:t>
      </w:r>
      <w:r w:rsidR="00676C24">
        <w:rPr>
          <w:lang w:val="fr-CH"/>
        </w:rPr>
        <w:t xml:space="preserve"> de l'audit interne a établie, </w:t>
      </w:r>
      <w:r w:rsidR="0076425C" w:rsidRPr="0076425C">
        <w:rPr>
          <w:lang w:val="fr-CH"/>
        </w:rPr>
        <w:t xml:space="preserve">suite à l'enquête concernant le cas de fraude (voir le paragraphe ci-dessus concernant </w:t>
      </w:r>
      <w:r w:rsidR="0076425C" w:rsidRPr="001B5418">
        <w:rPr>
          <w:i/>
          <w:iCs/>
          <w:lang w:val="fr-CH"/>
        </w:rPr>
        <w:t>les enquêtes</w:t>
      </w:r>
      <w:r w:rsidR="0076425C" w:rsidRPr="0076425C">
        <w:rPr>
          <w:lang w:val="fr-CH"/>
        </w:rPr>
        <w:t>). Elles concernent essentiellement la nécessité de renforcer le</w:t>
      </w:r>
      <w:r>
        <w:rPr>
          <w:lang w:val="fr-CH"/>
        </w:rPr>
        <w:t>s contrôles en matière d'achats ainsi que</w:t>
      </w:r>
      <w:r w:rsidR="0076425C" w:rsidRPr="0076425C">
        <w:rPr>
          <w:lang w:val="fr-CH"/>
        </w:rPr>
        <w:t xml:space="preserve"> les procédures de contrôle et de surveillance relatives aux bureaux régionaux/bureaux de zone pour ce qui est du recr</w:t>
      </w:r>
      <w:r w:rsidR="00676C24">
        <w:rPr>
          <w:lang w:val="fr-CH"/>
        </w:rPr>
        <w:t>ute</w:t>
      </w:r>
      <w:r>
        <w:rPr>
          <w:lang w:val="fr-CH"/>
        </w:rPr>
        <w:t xml:space="preserve">ment d'experts extérieurs </w:t>
      </w:r>
      <w:r w:rsidR="0076425C" w:rsidRPr="0076425C">
        <w:rPr>
          <w:lang w:val="fr-CH"/>
        </w:rPr>
        <w:t>(</w:t>
      </w:r>
      <w:r>
        <w:t xml:space="preserve">au titre </w:t>
      </w:r>
      <w:r w:rsidR="0076425C" w:rsidRPr="0076425C">
        <w:t>de contrats d'engagements spéciaux</w:t>
      </w:r>
      <w:r w:rsidR="0076425C" w:rsidRPr="0076425C">
        <w:rPr>
          <w:lang w:val="fr-CH"/>
        </w:rPr>
        <w:t>). Pour 2018, la recommandation essentielle avait trait à la nécessité d'élaborer un Manuel sur la passation de marchés (qui viendrait renforcer les contrôles dans ce domaine). S'agissant des recommandations formulées antérieurement, la direction a tenu régulièrement informée l'Unité de l'audit interne (et le CCIG) des pr</w:t>
      </w:r>
      <w:r w:rsidR="00676C24">
        <w:rPr>
          <w:lang w:val="fr-CH"/>
        </w:rPr>
        <w:t>ogrès accomplis en la matière</w:t>
      </w:r>
      <w:r w:rsidR="0028277D">
        <w:rPr>
          <w:lang w:val="fr-CH"/>
        </w:rPr>
        <w:t>.</w:t>
      </w:r>
    </w:p>
    <w:p w:rsidR="0076425C" w:rsidRPr="0076425C" w:rsidRDefault="0076425C" w:rsidP="00DD2A0E">
      <w:pPr>
        <w:pStyle w:val="Heading1"/>
      </w:pPr>
      <w:r w:rsidRPr="0076425C">
        <w:t>Questions relatives à la méthodologie d'audit</w:t>
      </w:r>
    </w:p>
    <w:p w:rsidR="00520F36" w:rsidRDefault="0076425C" w:rsidP="0076425C">
      <w:r w:rsidRPr="0076425C">
        <w:t>24</w:t>
      </w:r>
      <w:r w:rsidRPr="0076425C">
        <w:tab/>
        <w:t xml:space="preserve">Dès 2013, l'Unité de l'audit interne a commencé à utiliser des </w:t>
      </w:r>
      <w:r w:rsidRPr="0076425C">
        <w:rPr>
          <w:i/>
          <w:iCs/>
        </w:rPr>
        <w:t>questionnaires d'évaluation de l'efficacité des audits</w:t>
      </w:r>
      <w:r w:rsidRPr="0076425C">
        <w:t xml:space="preserve"> qui ont été envoyés au</w:t>
      </w:r>
      <w:r w:rsidR="000B196A">
        <w:t>x</w:t>
      </w:r>
      <w:r w:rsidRPr="0076425C">
        <w:t xml:space="preserve"> superviseur</w:t>
      </w:r>
      <w:r w:rsidR="000B196A">
        <w:t>s</w:t>
      </w:r>
      <w:r w:rsidRPr="0076425C">
        <w:t xml:space="preserve"> des processus et des entités faisant l'objet d'un audit, afin d'évaluer l'efficacité des travaux d'audit et de repérer les possibilités d'amélioration. Cette pratique s'est poursuivie pendant la période considérée dans le présent document. Sur la base des six </w:t>
      </w:r>
      <w:r w:rsidRPr="001B5418">
        <w:rPr>
          <w:i/>
          <w:iCs/>
        </w:rPr>
        <w:t>questionnaires</w:t>
      </w:r>
      <w:r w:rsidRPr="0076425C">
        <w:t xml:space="preserve"> retournés à l'Unité de l'audit interne en 2018/2019, les évaluations ont été très positives (note moyenne de 4,2 sur une échelle de 1 à 5).</w:t>
      </w:r>
    </w:p>
    <w:p w:rsidR="00676C24" w:rsidRDefault="00676C24" w:rsidP="00411C49">
      <w:pPr>
        <w:pStyle w:val="Reasons"/>
      </w:pPr>
    </w:p>
    <w:p w:rsidR="00676C24" w:rsidRPr="00CA08ED" w:rsidRDefault="00676C24" w:rsidP="00676C24">
      <w:pPr>
        <w:jc w:val="center"/>
      </w:pPr>
      <w:r>
        <w:t>______________</w:t>
      </w:r>
    </w:p>
    <w:sectPr w:rsidR="00676C24" w:rsidRPr="00CA08ED"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C7" w:rsidRDefault="005205C7">
      <w:r>
        <w:separator/>
      </w:r>
    </w:p>
  </w:endnote>
  <w:endnote w:type="continuationSeparator" w:id="0">
    <w:p w:rsidR="005205C7" w:rsidRDefault="0052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D2A0E">
    <w:pPr>
      <w:pStyle w:val="Footer"/>
    </w:pPr>
    <w:fldSimple w:instr=" FILENAME \p \* MERGEFORMAT ">
      <w:r>
        <w:t>P:\FRA\SG\CONSEIL\C19\000\044F.docx</w:t>
      </w:r>
    </w:fldSimple>
    <w:r w:rsidR="00732045">
      <w:tab/>
    </w:r>
    <w:r w:rsidR="002F1B76">
      <w:fldChar w:fldCharType="begin"/>
    </w:r>
    <w:r w:rsidR="00732045">
      <w:instrText xml:space="preserve"> savedate \@ dd.MM.yy </w:instrText>
    </w:r>
    <w:r w:rsidR="002F1B76">
      <w:fldChar w:fldCharType="separate"/>
    </w:r>
    <w:r w:rsidR="008A5C3B">
      <w:t>03.06.19</w:t>
    </w:r>
    <w:r w:rsidR="002F1B76">
      <w:fldChar w:fldCharType="end"/>
    </w:r>
    <w:r w:rsidR="00732045">
      <w:tab/>
    </w:r>
    <w:r w:rsidR="002F1B76">
      <w:fldChar w:fldCharType="begin"/>
    </w:r>
    <w:r w:rsidR="00732045">
      <w:instrText xml:space="preserve"> printdate \@ dd.MM.yy </w:instrText>
    </w:r>
    <w:r w:rsidR="002F1B76">
      <w:fldChar w:fldCharType="separate"/>
    </w:r>
    <w:r>
      <w:t>30.05.19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C0B34" w:rsidRDefault="008A5C3B" w:rsidP="001C0B34">
    <w:pPr>
      <w:pStyle w:val="Footer"/>
    </w:pPr>
    <w:r>
      <w:fldChar w:fldCharType="begin"/>
    </w:r>
    <w:r>
      <w:instrText xml:space="preserve"> FILENAME \p  \* MERGEFORMAT </w:instrText>
    </w:r>
    <w:r>
      <w:fldChar w:fldCharType="separate"/>
    </w:r>
    <w:r w:rsidR="00DD2A0E">
      <w:t>P:\FRA\SG\CONSEIL\C19\000\044F.docx</w:t>
    </w:r>
    <w:r>
      <w:fldChar w:fldCharType="end"/>
    </w:r>
    <w:r w:rsidR="001C0B34">
      <w:t xml:space="preserve"> (450266)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C7" w:rsidRDefault="005205C7">
      <w:r>
        <w:t>____________________</w:t>
      </w:r>
    </w:p>
  </w:footnote>
  <w:footnote w:type="continuationSeparator" w:id="0">
    <w:p w:rsidR="005205C7" w:rsidRDefault="005205C7">
      <w:r>
        <w:continuationSeparator/>
      </w:r>
    </w:p>
  </w:footnote>
  <w:footnote w:id="1">
    <w:p w:rsidR="0076425C" w:rsidRPr="0076425C" w:rsidRDefault="0076425C">
      <w:pPr>
        <w:pStyle w:val="FootnoteText"/>
      </w:pPr>
      <w:r>
        <w:rPr>
          <w:rStyle w:val="FootnoteReference"/>
        </w:rPr>
        <w:footnoteRef/>
      </w:r>
      <w:r>
        <w:tab/>
      </w:r>
      <w:r w:rsidRPr="00B16C79">
        <w:rPr>
          <w:szCs w:val="24"/>
          <w:lang w:val="fr-CH"/>
        </w:rPr>
        <w:t>Ordre de service 13/09, promulgué par le Secrétaire général le 27 juin 2013</w:t>
      </w:r>
      <w:r>
        <w:rPr>
          <w:szCs w:val="24"/>
          <w:lang w:val="fr-CH"/>
        </w:rPr>
        <w:t>.</w:t>
      </w:r>
    </w:p>
  </w:footnote>
  <w:footnote w:id="2">
    <w:p w:rsidR="0076425C" w:rsidRPr="00F4407E" w:rsidRDefault="0076425C" w:rsidP="0076425C">
      <w:pPr>
        <w:pStyle w:val="FootnoteText"/>
        <w:spacing w:before="40"/>
        <w:ind w:left="255" w:hanging="255"/>
        <w:rPr>
          <w:lang w:val="fr-CH"/>
        </w:rPr>
      </w:pPr>
      <w:r>
        <w:rPr>
          <w:rStyle w:val="FootnoteReference"/>
        </w:rPr>
        <w:footnoteRef/>
      </w:r>
      <w:r w:rsidRPr="009D6F3E">
        <w:rPr>
          <w:lang w:val="fr-CH"/>
        </w:rPr>
        <w:t xml:space="preserve"> </w:t>
      </w:r>
      <w:r>
        <w:rPr>
          <w:lang w:val="fr-CH"/>
        </w:rPr>
        <w:tab/>
      </w:r>
      <w:r w:rsidRPr="00B16C79">
        <w:rPr>
          <w:szCs w:val="24"/>
          <w:lang w:val="fr-CH"/>
        </w:rPr>
        <w:t xml:space="preserve">Institut des auditeurs internes, </w:t>
      </w:r>
      <w:hyperlink r:id="rId1" w:history="1">
        <w:r w:rsidRPr="00713014">
          <w:rPr>
            <w:rStyle w:val="Hyperlink"/>
          </w:rPr>
          <w:t>www.theiia.org</w:t>
        </w:r>
      </w:hyperlink>
      <w:r>
        <w:rPr>
          <w:szCs w:val="24"/>
        </w:rPr>
        <w:t>.</w:t>
      </w:r>
    </w:p>
  </w:footnote>
  <w:footnote w:id="3">
    <w:p w:rsidR="0076425C" w:rsidRPr="009D6F3E" w:rsidRDefault="0076425C" w:rsidP="0076425C">
      <w:pPr>
        <w:pStyle w:val="FootnoteText"/>
        <w:spacing w:before="40"/>
        <w:ind w:left="255" w:hanging="255"/>
        <w:rPr>
          <w:lang w:val="fr-CH"/>
        </w:rPr>
      </w:pPr>
      <w:r>
        <w:rPr>
          <w:rStyle w:val="FootnoteReference"/>
        </w:rPr>
        <w:footnoteRef/>
      </w:r>
      <w:r w:rsidRPr="009D6F3E">
        <w:rPr>
          <w:lang w:val="fr-CH"/>
        </w:rPr>
        <w:t xml:space="preserve"> </w:t>
      </w:r>
      <w:r w:rsidRPr="009D6F3E">
        <w:rPr>
          <w:lang w:val="fr-CH"/>
        </w:rPr>
        <w:tab/>
      </w:r>
      <w:r w:rsidRPr="00411349">
        <w:rPr>
          <w:lang w:val="fr-CH"/>
        </w:rPr>
        <w:t>Ordre de service 13/09, promulgué par le Secrétaire général le 27 juin 2013</w:t>
      </w:r>
      <w:r>
        <w:rPr>
          <w:lang w:val="fr-CH"/>
        </w:rPr>
        <w:t>.</w:t>
      </w:r>
    </w:p>
  </w:footnote>
  <w:footnote w:id="4">
    <w:p w:rsidR="0076425C" w:rsidRPr="00713014" w:rsidRDefault="0076425C" w:rsidP="0076425C">
      <w:pPr>
        <w:pStyle w:val="FootnoteText"/>
        <w:spacing w:before="40"/>
        <w:rPr>
          <w:szCs w:val="24"/>
          <w:lang w:val="fr-CH"/>
        </w:rPr>
      </w:pPr>
      <w:r w:rsidRPr="002869AC">
        <w:rPr>
          <w:rStyle w:val="FootnoteReference"/>
          <w:sz w:val="18"/>
          <w:szCs w:val="18"/>
        </w:rPr>
        <w:footnoteRef/>
      </w:r>
      <w:r>
        <w:rPr>
          <w:lang w:val="fr-CH"/>
        </w:rPr>
        <w:tab/>
      </w:r>
      <w:r w:rsidRPr="00713014">
        <w:rPr>
          <w:szCs w:val="24"/>
          <w:lang w:val="fr-CH"/>
        </w:rPr>
        <w:t xml:space="preserve">Institut des auditeurs internes </w:t>
      </w:r>
      <w:hyperlink r:id="rId2" w:history="1">
        <w:r w:rsidRPr="00713014">
          <w:rPr>
            <w:rStyle w:val="Hyperlink"/>
            <w:szCs w:val="24"/>
            <w:lang w:val="fr-CH"/>
          </w:rPr>
          <w:t>www.theiia.org</w:t>
        </w:r>
      </w:hyperlink>
      <w:r w:rsidRPr="00713014">
        <w:rPr>
          <w:rStyle w:val="Hyperlink"/>
          <w:color w:val="auto"/>
          <w:szCs w:val="24"/>
          <w:u w:val="none"/>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8A5C3B">
      <w:rPr>
        <w:noProof/>
      </w:rPr>
      <w:t>7</w:t>
    </w:r>
    <w:r>
      <w:rPr>
        <w:noProof/>
      </w:rPr>
      <w:fldChar w:fldCharType="end"/>
    </w:r>
  </w:p>
  <w:p w:rsidR="00732045" w:rsidRDefault="00732045" w:rsidP="00106B19">
    <w:pPr>
      <w:pStyle w:val="Header"/>
    </w:pPr>
    <w:r>
      <w:t>C1</w:t>
    </w:r>
    <w:r w:rsidR="00106B19">
      <w:t>9</w:t>
    </w:r>
    <w:r w:rsidR="001C0B34">
      <w:t>/44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C314B"/>
    <w:multiLevelType w:val="hybridMultilevel"/>
    <w:tmpl w:val="A27E4584"/>
    <w:lvl w:ilvl="0" w:tplc="6A92C332">
      <w:start w:val="1"/>
      <w:numFmt w:val="decimal"/>
      <w:lvlText w:val="%1."/>
      <w:lvlJc w:val="left"/>
      <w:pPr>
        <w:ind w:left="644" w:hanging="360"/>
      </w:pPr>
      <w:rPr>
        <w:rFonts w:asciiTheme="minorHAnsi" w:hAnsiTheme="minorHAnsi" w:hint="default"/>
        <w:b w:val="0"/>
        <w:bCs w:val="0"/>
        <w:i w:val="0"/>
        <w:iCs w:val="0"/>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C7"/>
    <w:rsid w:val="000B196A"/>
    <w:rsid w:val="000D0D0A"/>
    <w:rsid w:val="000F7010"/>
    <w:rsid w:val="00100BB2"/>
    <w:rsid w:val="00103163"/>
    <w:rsid w:val="00106B19"/>
    <w:rsid w:val="001109F8"/>
    <w:rsid w:val="00115D93"/>
    <w:rsid w:val="001247A8"/>
    <w:rsid w:val="001378C0"/>
    <w:rsid w:val="00182B27"/>
    <w:rsid w:val="0018694A"/>
    <w:rsid w:val="001A3287"/>
    <w:rsid w:val="001A6508"/>
    <w:rsid w:val="001B5418"/>
    <w:rsid w:val="001C0B34"/>
    <w:rsid w:val="001D4C31"/>
    <w:rsid w:val="001E4D21"/>
    <w:rsid w:val="00207CD1"/>
    <w:rsid w:val="002477A2"/>
    <w:rsid w:val="00263A51"/>
    <w:rsid w:val="00267E02"/>
    <w:rsid w:val="0028277D"/>
    <w:rsid w:val="002A5D44"/>
    <w:rsid w:val="002C1F8C"/>
    <w:rsid w:val="002E0BC4"/>
    <w:rsid w:val="002F1B76"/>
    <w:rsid w:val="0033568E"/>
    <w:rsid w:val="00355FF5"/>
    <w:rsid w:val="00361350"/>
    <w:rsid w:val="003B102E"/>
    <w:rsid w:val="003C3FAE"/>
    <w:rsid w:val="004038CB"/>
    <w:rsid w:val="0040546F"/>
    <w:rsid w:val="0042404A"/>
    <w:rsid w:val="0044618F"/>
    <w:rsid w:val="0046769A"/>
    <w:rsid w:val="00475FB3"/>
    <w:rsid w:val="004C37A9"/>
    <w:rsid w:val="004F259E"/>
    <w:rsid w:val="004F502A"/>
    <w:rsid w:val="00511F1D"/>
    <w:rsid w:val="005205C7"/>
    <w:rsid w:val="00520F36"/>
    <w:rsid w:val="00540615"/>
    <w:rsid w:val="00540A6D"/>
    <w:rsid w:val="00571EEA"/>
    <w:rsid w:val="00575417"/>
    <w:rsid w:val="005768E1"/>
    <w:rsid w:val="00590CD6"/>
    <w:rsid w:val="00597A3C"/>
    <w:rsid w:val="005B142D"/>
    <w:rsid w:val="005B1938"/>
    <w:rsid w:val="005C3890"/>
    <w:rsid w:val="005F7BFE"/>
    <w:rsid w:val="00600017"/>
    <w:rsid w:val="006235CA"/>
    <w:rsid w:val="006643AB"/>
    <w:rsid w:val="00676C24"/>
    <w:rsid w:val="00687E87"/>
    <w:rsid w:val="00717271"/>
    <w:rsid w:val="007210CD"/>
    <w:rsid w:val="00732045"/>
    <w:rsid w:val="007369DB"/>
    <w:rsid w:val="00754FE1"/>
    <w:rsid w:val="0076425C"/>
    <w:rsid w:val="007956C2"/>
    <w:rsid w:val="007A187E"/>
    <w:rsid w:val="007C72C2"/>
    <w:rsid w:val="007D4436"/>
    <w:rsid w:val="007F257A"/>
    <w:rsid w:val="007F3665"/>
    <w:rsid w:val="00800037"/>
    <w:rsid w:val="00815B4F"/>
    <w:rsid w:val="00861D73"/>
    <w:rsid w:val="008A4E87"/>
    <w:rsid w:val="008A5C3B"/>
    <w:rsid w:val="008C43E3"/>
    <w:rsid w:val="008D76E6"/>
    <w:rsid w:val="0092392D"/>
    <w:rsid w:val="0093234A"/>
    <w:rsid w:val="009714B9"/>
    <w:rsid w:val="009C307F"/>
    <w:rsid w:val="00A2113E"/>
    <w:rsid w:val="00A23A51"/>
    <w:rsid w:val="00A24607"/>
    <w:rsid w:val="00A25CD3"/>
    <w:rsid w:val="00A7075C"/>
    <w:rsid w:val="00A82767"/>
    <w:rsid w:val="00AA332F"/>
    <w:rsid w:val="00AA7BBB"/>
    <w:rsid w:val="00AB64A8"/>
    <w:rsid w:val="00AC0266"/>
    <w:rsid w:val="00AD24EC"/>
    <w:rsid w:val="00AF44A9"/>
    <w:rsid w:val="00B309F9"/>
    <w:rsid w:val="00B32B60"/>
    <w:rsid w:val="00B61619"/>
    <w:rsid w:val="00BB4545"/>
    <w:rsid w:val="00BD0C36"/>
    <w:rsid w:val="00BD5873"/>
    <w:rsid w:val="00C04BE3"/>
    <w:rsid w:val="00C25D29"/>
    <w:rsid w:val="00C27A7C"/>
    <w:rsid w:val="00C81710"/>
    <w:rsid w:val="00C8668A"/>
    <w:rsid w:val="00CA08ED"/>
    <w:rsid w:val="00CF183B"/>
    <w:rsid w:val="00D375CD"/>
    <w:rsid w:val="00D553A2"/>
    <w:rsid w:val="00D774D3"/>
    <w:rsid w:val="00D904E8"/>
    <w:rsid w:val="00DA08C3"/>
    <w:rsid w:val="00DB5A3E"/>
    <w:rsid w:val="00DC22AA"/>
    <w:rsid w:val="00DD2A0E"/>
    <w:rsid w:val="00DF74DD"/>
    <w:rsid w:val="00E25AD0"/>
    <w:rsid w:val="00E46005"/>
    <w:rsid w:val="00E77CA3"/>
    <w:rsid w:val="00EB6350"/>
    <w:rsid w:val="00F15B57"/>
    <w:rsid w:val="00F427DB"/>
    <w:rsid w:val="00FA5EB1"/>
    <w:rsid w:val="00FA7439"/>
    <w:rsid w:val="00FB48B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95C0F43-E377-470D-9912-A59F91BA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76425C"/>
    <w:pPr>
      <w:ind w:left="720"/>
      <w:contextualSpacing/>
    </w:pPr>
  </w:style>
  <w:style w:type="paragraph" w:styleId="Caption">
    <w:name w:val="caption"/>
    <w:basedOn w:val="Normal"/>
    <w:next w:val="Normal"/>
    <w:unhideWhenUsed/>
    <w:qFormat/>
    <w:rsid w:val="00590CD6"/>
    <w:pPr>
      <w:spacing w:before="0" w:after="200"/>
    </w:pPr>
    <w:rPr>
      <w:i/>
      <w:iCs/>
      <w:color w:val="1F497D" w:themeColor="text2"/>
      <w:sz w:val="18"/>
      <w:szCs w:val="18"/>
    </w:rPr>
  </w:style>
  <w:style w:type="paragraph" w:styleId="NormalWeb">
    <w:name w:val="Normal (Web)"/>
    <w:basedOn w:val="Normal"/>
    <w:uiPriority w:val="99"/>
    <w:semiHidden/>
    <w:unhideWhenUsed/>
    <w:rsid w:val="004F502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fr&amp;parent=" TargetMode="Externa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400" b="0" i="0" u="none" strike="noStrike" baseline="0">
                <a:effectLst/>
              </a:rPr>
              <a:t>Importance des recommandations en cours/retardées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Statistics!$R$38</c:f>
              <c:strCache>
                <c:ptCount val="1"/>
                <c:pt idx="0">
                  <c:v>Critical</c:v>
                </c:pt>
              </c:strCache>
            </c:strRef>
          </c:tx>
          <c:spPr>
            <a:solidFill>
              <a:srgbClr val="FF00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Statistics!$R$39:$R$47</c:f>
              <c:numCache>
                <c:formatCode>General</c:formatCode>
                <c:ptCount val="9"/>
                <c:pt idx="4">
                  <c:v>0</c:v>
                </c:pt>
                <c:pt idx="7">
                  <c:v>1</c:v>
                </c:pt>
                <c:pt idx="8">
                  <c:v>6</c:v>
                </c:pt>
              </c:numCache>
            </c:numRef>
          </c:val>
          <c:extLst xmlns:c16r2="http://schemas.microsoft.com/office/drawing/2015/06/chart">
            <c:ext xmlns:c16="http://schemas.microsoft.com/office/drawing/2014/chart" uri="{C3380CC4-5D6E-409C-BE32-E72D297353CC}">
              <c16:uniqueId val="{00000000-374F-44A8-AE88-71EB94767125}"/>
            </c:ext>
          </c:extLst>
        </c:ser>
        <c:ser>
          <c:idx val="1"/>
          <c:order val="1"/>
          <c:tx>
            <c:strRef>
              <c:f>Statistics!$S$38</c:f>
              <c:strCache>
                <c:ptCount val="1"/>
                <c:pt idx="0">
                  <c:v>High </c:v>
                </c:pt>
              </c:strCache>
            </c:strRef>
          </c:tx>
          <c:spPr>
            <a:solidFill>
              <a:srgbClr val="FFC0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Statistics!$S$39:$S$47</c:f>
              <c:numCache>
                <c:formatCode>General</c:formatCode>
                <c:ptCount val="9"/>
                <c:pt idx="0">
                  <c:v>0</c:v>
                </c:pt>
                <c:pt idx="2">
                  <c:v>2</c:v>
                </c:pt>
                <c:pt idx="3">
                  <c:v>2</c:v>
                </c:pt>
                <c:pt idx="4">
                  <c:v>2</c:v>
                </c:pt>
                <c:pt idx="5">
                  <c:v>6</c:v>
                </c:pt>
                <c:pt idx="6">
                  <c:v>8</c:v>
                </c:pt>
                <c:pt idx="7">
                  <c:v>8</c:v>
                </c:pt>
                <c:pt idx="8">
                  <c:v>7</c:v>
                </c:pt>
              </c:numCache>
            </c:numRef>
          </c:val>
          <c:extLst xmlns:c16r2="http://schemas.microsoft.com/office/drawing/2015/06/chart">
            <c:ext xmlns:c16="http://schemas.microsoft.com/office/drawing/2014/chart" uri="{C3380CC4-5D6E-409C-BE32-E72D297353CC}">
              <c16:uniqueId val="{00000001-374F-44A8-AE88-71EB94767125}"/>
            </c:ext>
          </c:extLst>
        </c:ser>
        <c:ser>
          <c:idx val="2"/>
          <c:order val="2"/>
          <c:tx>
            <c:strRef>
              <c:f>Statistics!$T$38</c:f>
              <c:strCache>
                <c:ptCount val="1"/>
                <c:pt idx="0">
                  <c:v>Medium</c:v>
                </c:pt>
              </c:strCache>
            </c:strRef>
          </c:tx>
          <c:spPr>
            <a:solidFill>
              <a:srgbClr val="FFFF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Statistics!$T$39:$T$47</c:f>
              <c:numCache>
                <c:formatCode>General</c:formatCode>
                <c:ptCount val="9"/>
                <c:pt idx="0">
                  <c:v>2</c:v>
                </c:pt>
                <c:pt idx="2">
                  <c:v>3</c:v>
                </c:pt>
                <c:pt idx="3">
                  <c:v>0</c:v>
                </c:pt>
                <c:pt idx="4">
                  <c:v>2</c:v>
                </c:pt>
                <c:pt idx="5">
                  <c:v>2</c:v>
                </c:pt>
                <c:pt idx="6">
                  <c:v>10</c:v>
                </c:pt>
                <c:pt idx="7">
                  <c:v>9</c:v>
                </c:pt>
                <c:pt idx="8">
                  <c:v>2</c:v>
                </c:pt>
              </c:numCache>
            </c:numRef>
          </c:val>
          <c:extLst xmlns:c16r2="http://schemas.microsoft.com/office/drawing/2015/06/chart">
            <c:ext xmlns:c16="http://schemas.microsoft.com/office/drawing/2014/chart" uri="{C3380CC4-5D6E-409C-BE32-E72D297353CC}">
              <c16:uniqueId val="{00000002-374F-44A8-AE88-71EB94767125}"/>
            </c:ext>
          </c:extLst>
        </c:ser>
        <c:ser>
          <c:idx val="3"/>
          <c:order val="3"/>
          <c:tx>
            <c:strRef>
              <c:f>Statistics!$U$38</c:f>
              <c:strCache>
                <c:ptCount val="1"/>
                <c:pt idx="0">
                  <c:v>Low</c:v>
                </c:pt>
              </c:strCache>
            </c:strRef>
          </c:tx>
          <c:spPr>
            <a:solidFill>
              <a:srgbClr val="00B05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Statistics!$U$39:$U$47</c:f>
              <c:numCache>
                <c:formatCode>General</c:formatCode>
                <c:ptCount val="9"/>
                <c:pt idx="0">
                  <c:v>1</c:v>
                </c:pt>
                <c:pt idx="2">
                  <c:v>0</c:v>
                </c:pt>
                <c:pt idx="5">
                  <c:v>0</c:v>
                </c:pt>
                <c:pt idx="7">
                  <c:v>2</c:v>
                </c:pt>
              </c:numCache>
            </c:numRef>
          </c:val>
          <c:extLst xmlns:c16r2="http://schemas.microsoft.com/office/drawing/2015/06/chart">
            <c:ext xmlns:c16="http://schemas.microsoft.com/office/drawing/2014/chart" uri="{C3380CC4-5D6E-409C-BE32-E72D297353CC}">
              <c16:uniqueId val="{00000003-374F-44A8-AE88-71EB94767125}"/>
            </c:ext>
          </c:extLst>
        </c:ser>
        <c:dLbls>
          <c:showLegendKey val="0"/>
          <c:showVal val="0"/>
          <c:showCatName val="0"/>
          <c:showSerName val="0"/>
          <c:showPercent val="0"/>
          <c:showBubbleSize val="0"/>
        </c:dLbls>
        <c:gapWidth val="219"/>
        <c:overlap val="-27"/>
        <c:axId val="440647696"/>
        <c:axId val="440649656"/>
      </c:barChart>
      <c:catAx>
        <c:axId val="44064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649656"/>
        <c:crosses val="autoZero"/>
        <c:auto val="1"/>
        <c:lblAlgn val="ctr"/>
        <c:lblOffset val="100"/>
        <c:noMultiLvlLbl val="0"/>
      </c:catAx>
      <c:valAx>
        <c:axId val="440649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647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2F19-59C5-4ECF-8FEE-A53E0DB4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7</Pages>
  <Words>2646</Words>
  <Characters>14682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17294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C2019, C19</cp:keywords>
  <dc:description/>
  <cp:lastModifiedBy>Janin, Patricia</cp:lastModifiedBy>
  <cp:revision>2</cp:revision>
  <cp:lastPrinted>2019-05-30T08:49:00Z</cp:lastPrinted>
  <dcterms:created xsi:type="dcterms:W3CDTF">2019-06-03T07:42:00Z</dcterms:created>
  <dcterms:modified xsi:type="dcterms:W3CDTF">2019-06-03T07:42:00Z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