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763B8" w:rsidRPr="00813E5E" w14:paraId="624D8F40" w14:textId="77777777">
        <w:trPr>
          <w:cantSplit/>
        </w:trPr>
        <w:tc>
          <w:tcPr>
            <w:tcW w:w="6911" w:type="dxa"/>
          </w:tcPr>
          <w:p w14:paraId="7FDB3EB3" w14:textId="75DB4DE1" w:rsidR="00B763B8" w:rsidRPr="00813E5E" w:rsidRDefault="00B763B8" w:rsidP="00133A9E">
            <w:pPr>
              <w:spacing w:before="360" w:after="48" w:line="240" w:lineRule="atLeast"/>
              <w:rPr>
                <w:position w:val="6"/>
              </w:rPr>
            </w:pPr>
            <w:bookmarkStart w:id="0" w:name="dc06"/>
            <w:bookmarkEnd w:id="0"/>
            <w:r w:rsidRPr="00B763B8">
              <w:rPr>
                <w:b/>
                <w:bCs/>
                <w:position w:val="6"/>
                <w:sz w:val="30"/>
                <w:szCs w:val="30"/>
                <w:lang w:val="fr-CH"/>
              </w:rPr>
              <w:t>Council 201</w:t>
            </w:r>
            <w:r w:rsidR="009B30AA">
              <w:rPr>
                <w:b/>
                <w:bCs/>
                <w:position w:val="6"/>
                <w:sz w:val="30"/>
                <w:szCs w:val="30"/>
                <w:lang w:val="fr-CH"/>
              </w:rPr>
              <w:t>9</w:t>
            </w:r>
            <w:r w:rsidRPr="00B763B8">
              <w:rPr>
                <w:rFonts w:cs="Times"/>
                <w:b/>
                <w:position w:val="6"/>
                <w:sz w:val="26"/>
                <w:szCs w:val="26"/>
                <w:lang w:val="en-US"/>
              </w:rPr>
              <w:br/>
            </w:r>
            <w:r w:rsidRPr="00B763B8">
              <w:rPr>
                <w:b/>
                <w:bCs/>
                <w:position w:val="6"/>
                <w:szCs w:val="24"/>
                <w:lang w:val="fr-CH"/>
              </w:rPr>
              <w:t xml:space="preserve">Geneva, </w:t>
            </w:r>
            <w:r w:rsidR="00F4665F">
              <w:rPr>
                <w:b/>
                <w:bCs/>
                <w:position w:val="6"/>
                <w:szCs w:val="24"/>
                <w:lang w:val="fr-CH"/>
              </w:rPr>
              <w:t xml:space="preserve">10-20 </w:t>
            </w:r>
            <w:proofErr w:type="spellStart"/>
            <w:r w:rsidR="00F4665F">
              <w:rPr>
                <w:b/>
                <w:bCs/>
                <w:position w:val="6"/>
                <w:szCs w:val="24"/>
                <w:lang w:val="fr-CH"/>
              </w:rPr>
              <w:t>June</w:t>
            </w:r>
            <w:proofErr w:type="spellEnd"/>
            <w:r w:rsidR="00F4665F">
              <w:rPr>
                <w:b/>
                <w:bCs/>
                <w:position w:val="6"/>
                <w:szCs w:val="24"/>
                <w:lang w:val="fr-CH"/>
              </w:rPr>
              <w:t xml:space="preserve"> 2019</w:t>
            </w:r>
          </w:p>
        </w:tc>
        <w:tc>
          <w:tcPr>
            <w:tcW w:w="3120" w:type="dxa"/>
          </w:tcPr>
          <w:p w14:paraId="19014F58" w14:textId="77777777" w:rsidR="00B763B8" w:rsidRPr="00813E5E" w:rsidRDefault="00B763B8" w:rsidP="00B763B8">
            <w:pPr>
              <w:spacing w:before="0" w:line="240" w:lineRule="atLeast"/>
              <w:jc w:val="right"/>
            </w:pPr>
            <w:bookmarkStart w:id="1" w:name="ditulogo"/>
            <w:bookmarkEnd w:id="1"/>
            <w:r w:rsidRPr="00F21593">
              <w:rPr>
                <w:rFonts w:ascii="Verdana" w:hAnsi="Verdana"/>
                <w:noProof/>
                <w:color w:val="FFFFFF"/>
                <w:sz w:val="26"/>
                <w:szCs w:val="26"/>
                <w:lang w:eastAsia="zh-CN"/>
              </w:rPr>
              <w:drawing>
                <wp:inline distT="0" distB="0" distL="0" distR="0" wp14:anchorId="32EB1FFD" wp14:editId="0136EE67">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B763B8" w:rsidRPr="00813E5E" w14:paraId="7A92285C" w14:textId="77777777">
        <w:trPr>
          <w:cantSplit/>
        </w:trPr>
        <w:tc>
          <w:tcPr>
            <w:tcW w:w="6911" w:type="dxa"/>
            <w:tcBorders>
              <w:bottom w:val="single" w:sz="12" w:space="0" w:color="auto"/>
            </w:tcBorders>
          </w:tcPr>
          <w:p w14:paraId="547D7180" w14:textId="77777777" w:rsidR="00B763B8" w:rsidRPr="00813E5E" w:rsidRDefault="00B763B8">
            <w:pPr>
              <w:spacing w:before="0" w:after="48" w:line="240" w:lineRule="atLeast"/>
              <w:rPr>
                <w:b/>
                <w:smallCaps/>
                <w:szCs w:val="24"/>
              </w:rPr>
            </w:pPr>
          </w:p>
        </w:tc>
        <w:tc>
          <w:tcPr>
            <w:tcW w:w="3120" w:type="dxa"/>
            <w:tcBorders>
              <w:bottom w:val="single" w:sz="12" w:space="0" w:color="auto"/>
            </w:tcBorders>
          </w:tcPr>
          <w:p w14:paraId="6B7820E0" w14:textId="77777777" w:rsidR="00B763B8" w:rsidRPr="00813E5E" w:rsidRDefault="00B763B8">
            <w:pPr>
              <w:spacing w:before="0" w:line="240" w:lineRule="atLeast"/>
              <w:rPr>
                <w:szCs w:val="24"/>
              </w:rPr>
            </w:pPr>
          </w:p>
        </w:tc>
      </w:tr>
      <w:tr w:rsidR="00B763B8" w:rsidRPr="00813E5E" w14:paraId="29182A6C" w14:textId="77777777">
        <w:trPr>
          <w:cantSplit/>
        </w:trPr>
        <w:tc>
          <w:tcPr>
            <w:tcW w:w="6911" w:type="dxa"/>
            <w:tcBorders>
              <w:top w:val="single" w:sz="12" w:space="0" w:color="auto"/>
            </w:tcBorders>
          </w:tcPr>
          <w:p w14:paraId="54233C58" w14:textId="77777777" w:rsidR="00B763B8" w:rsidRPr="00813E5E" w:rsidRDefault="00B763B8" w:rsidP="00B763B8">
            <w:pPr>
              <w:spacing w:before="0" w:line="240" w:lineRule="atLeast"/>
              <w:rPr>
                <w:b/>
                <w:smallCaps/>
                <w:szCs w:val="24"/>
              </w:rPr>
            </w:pPr>
          </w:p>
        </w:tc>
        <w:tc>
          <w:tcPr>
            <w:tcW w:w="3120" w:type="dxa"/>
            <w:tcBorders>
              <w:top w:val="single" w:sz="12" w:space="0" w:color="auto"/>
            </w:tcBorders>
          </w:tcPr>
          <w:p w14:paraId="66CEDD99" w14:textId="77777777" w:rsidR="00B763B8" w:rsidRPr="00813E5E" w:rsidRDefault="00B763B8" w:rsidP="00B763B8">
            <w:pPr>
              <w:spacing w:before="0" w:line="240" w:lineRule="atLeast"/>
              <w:rPr>
                <w:szCs w:val="24"/>
              </w:rPr>
            </w:pPr>
          </w:p>
        </w:tc>
      </w:tr>
      <w:tr w:rsidR="00B763B8" w:rsidRPr="00813E5E" w14:paraId="01EEA413" w14:textId="77777777">
        <w:trPr>
          <w:cantSplit/>
          <w:trHeight w:val="23"/>
        </w:trPr>
        <w:tc>
          <w:tcPr>
            <w:tcW w:w="6911" w:type="dxa"/>
            <w:vMerge w:val="restart"/>
          </w:tcPr>
          <w:p w14:paraId="1F204408" w14:textId="6F2A432F" w:rsidR="00B763B8" w:rsidRPr="00B763B8" w:rsidRDefault="00B763B8" w:rsidP="00B763B8">
            <w:pPr>
              <w:tabs>
                <w:tab w:val="left" w:pos="851"/>
              </w:tabs>
              <w:spacing w:before="0" w:line="240" w:lineRule="atLeast"/>
              <w:rPr>
                <w:b/>
              </w:rPr>
            </w:pPr>
            <w:bookmarkStart w:id="2" w:name="dmeeting" w:colFirst="0" w:colLast="0"/>
            <w:bookmarkStart w:id="3" w:name="dnum" w:colFirst="1" w:colLast="1"/>
            <w:r>
              <w:rPr>
                <w:b/>
              </w:rPr>
              <w:t xml:space="preserve">Agenda item: ADM </w:t>
            </w:r>
            <w:r w:rsidR="00881945">
              <w:rPr>
                <w:b/>
              </w:rPr>
              <w:t>16</w:t>
            </w:r>
          </w:p>
        </w:tc>
        <w:tc>
          <w:tcPr>
            <w:tcW w:w="3120" w:type="dxa"/>
          </w:tcPr>
          <w:p w14:paraId="33DEB5BB" w14:textId="125299BA" w:rsidR="00B763B8" w:rsidRPr="00B763B8" w:rsidRDefault="00133A9E" w:rsidP="00406E0F">
            <w:pPr>
              <w:tabs>
                <w:tab w:val="left" w:pos="851"/>
              </w:tabs>
              <w:spacing w:before="0" w:line="240" w:lineRule="atLeast"/>
              <w:rPr>
                <w:b/>
              </w:rPr>
            </w:pPr>
            <w:r>
              <w:rPr>
                <w:b/>
              </w:rPr>
              <w:t>Document C1</w:t>
            </w:r>
            <w:r w:rsidR="009B30AA">
              <w:rPr>
                <w:b/>
              </w:rPr>
              <w:t>9</w:t>
            </w:r>
            <w:r w:rsidR="00B763B8">
              <w:rPr>
                <w:b/>
              </w:rPr>
              <w:t>/</w:t>
            </w:r>
            <w:r w:rsidR="00406E0F">
              <w:rPr>
                <w:b/>
              </w:rPr>
              <w:t>44</w:t>
            </w:r>
            <w:r w:rsidR="00B763B8">
              <w:rPr>
                <w:b/>
              </w:rPr>
              <w:t>-E</w:t>
            </w:r>
          </w:p>
        </w:tc>
      </w:tr>
      <w:tr w:rsidR="00B763B8" w:rsidRPr="00813E5E" w14:paraId="29C0EF65" w14:textId="77777777">
        <w:trPr>
          <w:cantSplit/>
          <w:trHeight w:val="23"/>
        </w:trPr>
        <w:tc>
          <w:tcPr>
            <w:tcW w:w="6911" w:type="dxa"/>
            <w:vMerge/>
          </w:tcPr>
          <w:p w14:paraId="3B1917E9" w14:textId="77777777" w:rsidR="00B763B8" w:rsidRPr="00813E5E" w:rsidRDefault="00B763B8">
            <w:pPr>
              <w:tabs>
                <w:tab w:val="left" w:pos="851"/>
              </w:tabs>
              <w:spacing w:line="240" w:lineRule="atLeast"/>
              <w:rPr>
                <w:b/>
              </w:rPr>
            </w:pPr>
            <w:bookmarkStart w:id="4" w:name="ddate" w:colFirst="1" w:colLast="1"/>
            <w:bookmarkEnd w:id="2"/>
            <w:bookmarkEnd w:id="3"/>
          </w:p>
        </w:tc>
        <w:tc>
          <w:tcPr>
            <w:tcW w:w="3120" w:type="dxa"/>
          </w:tcPr>
          <w:p w14:paraId="4CB72987" w14:textId="2F96DD97" w:rsidR="00B763B8" w:rsidRPr="00B763B8" w:rsidRDefault="00406E0F" w:rsidP="00A111B6">
            <w:pPr>
              <w:tabs>
                <w:tab w:val="left" w:pos="993"/>
              </w:tabs>
              <w:spacing w:before="0"/>
              <w:rPr>
                <w:b/>
              </w:rPr>
            </w:pPr>
            <w:r>
              <w:rPr>
                <w:b/>
              </w:rPr>
              <w:t>15</w:t>
            </w:r>
            <w:r w:rsidR="00A111B6">
              <w:rPr>
                <w:b/>
              </w:rPr>
              <w:t xml:space="preserve"> May</w:t>
            </w:r>
            <w:r w:rsidR="009B30AA">
              <w:rPr>
                <w:b/>
              </w:rPr>
              <w:t xml:space="preserve"> 2019</w:t>
            </w:r>
          </w:p>
        </w:tc>
      </w:tr>
      <w:tr w:rsidR="00B763B8" w:rsidRPr="00813E5E" w14:paraId="29B4D0A1" w14:textId="77777777">
        <w:trPr>
          <w:cantSplit/>
          <w:trHeight w:val="23"/>
        </w:trPr>
        <w:tc>
          <w:tcPr>
            <w:tcW w:w="6911" w:type="dxa"/>
            <w:vMerge/>
          </w:tcPr>
          <w:p w14:paraId="69ACB6E0" w14:textId="77777777" w:rsidR="00B763B8" w:rsidRPr="00813E5E" w:rsidRDefault="00B763B8">
            <w:pPr>
              <w:tabs>
                <w:tab w:val="left" w:pos="851"/>
              </w:tabs>
              <w:spacing w:line="240" w:lineRule="atLeast"/>
              <w:rPr>
                <w:b/>
              </w:rPr>
            </w:pPr>
            <w:bookmarkStart w:id="5" w:name="dorlang" w:colFirst="1" w:colLast="1"/>
            <w:bookmarkEnd w:id="4"/>
          </w:p>
        </w:tc>
        <w:tc>
          <w:tcPr>
            <w:tcW w:w="3120" w:type="dxa"/>
          </w:tcPr>
          <w:p w14:paraId="21F0B0A1" w14:textId="77777777" w:rsidR="00B763B8" w:rsidRPr="00B763B8" w:rsidRDefault="00B763B8" w:rsidP="00B763B8">
            <w:pPr>
              <w:tabs>
                <w:tab w:val="left" w:pos="993"/>
              </w:tabs>
              <w:spacing w:before="0"/>
              <w:rPr>
                <w:b/>
              </w:rPr>
            </w:pPr>
            <w:r>
              <w:rPr>
                <w:b/>
              </w:rPr>
              <w:t>Original: English</w:t>
            </w:r>
          </w:p>
        </w:tc>
      </w:tr>
      <w:tr w:rsidR="00B763B8" w:rsidRPr="00813E5E" w14:paraId="5E34AC54" w14:textId="77777777">
        <w:trPr>
          <w:cantSplit/>
        </w:trPr>
        <w:tc>
          <w:tcPr>
            <w:tcW w:w="10031" w:type="dxa"/>
            <w:gridSpan w:val="2"/>
          </w:tcPr>
          <w:p w14:paraId="18B4768D" w14:textId="77777777" w:rsidR="00B763B8" w:rsidRPr="00813E5E" w:rsidRDefault="00B763B8" w:rsidP="00881945">
            <w:pPr>
              <w:pStyle w:val="Source"/>
              <w:framePr w:hSpace="0" w:wrap="auto" w:hAnchor="text" w:yAlign="inline"/>
            </w:pPr>
            <w:bookmarkStart w:id="6" w:name="dsource" w:colFirst="0" w:colLast="0"/>
            <w:bookmarkEnd w:id="5"/>
            <w:r>
              <w:t>Report by the Secretary-General</w:t>
            </w:r>
          </w:p>
        </w:tc>
      </w:tr>
      <w:tr w:rsidR="00B763B8" w:rsidRPr="00813E5E" w14:paraId="6A4ED9B5" w14:textId="77777777">
        <w:trPr>
          <w:cantSplit/>
        </w:trPr>
        <w:tc>
          <w:tcPr>
            <w:tcW w:w="10031" w:type="dxa"/>
            <w:gridSpan w:val="2"/>
          </w:tcPr>
          <w:p w14:paraId="25C3F9B2" w14:textId="77777777" w:rsidR="00B763B8" w:rsidRPr="00813E5E" w:rsidRDefault="00B763B8" w:rsidP="00881945">
            <w:pPr>
              <w:pStyle w:val="Title1"/>
              <w:framePr w:hSpace="0" w:wrap="auto" w:hAnchor="text" w:yAlign="inline"/>
            </w:pPr>
            <w:bookmarkStart w:id="7" w:name="dtitle1" w:colFirst="0" w:colLast="0"/>
            <w:bookmarkEnd w:id="6"/>
            <w:r w:rsidRPr="00B763B8">
              <w:t>REPORT OF THE INTERNAL AUDITOR ON INTERNAL AUDIT ACTIVITIES</w:t>
            </w:r>
          </w:p>
        </w:tc>
      </w:tr>
      <w:bookmarkEnd w:id="7"/>
    </w:tbl>
    <w:p w14:paraId="6E02EFDC" w14:textId="7B38422A" w:rsidR="00B763B8" w:rsidRPr="00813E5E" w:rsidRDefault="00B763B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B763B8" w:rsidRPr="00813E5E" w14:paraId="612146D8"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01B8B579" w14:textId="77777777" w:rsidR="00B763B8" w:rsidRPr="00813E5E" w:rsidRDefault="00B763B8">
            <w:pPr>
              <w:pStyle w:val="Headingb"/>
            </w:pPr>
            <w:r w:rsidRPr="00813E5E">
              <w:t>Summary</w:t>
            </w:r>
          </w:p>
          <w:p w14:paraId="2616A1D3" w14:textId="221BAF42" w:rsidR="00B763B8" w:rsidRPr="00813E5E" w:rsidRDefault="00B763B8" w:rsidP="002F46AA">
            <w:pPr>
              <w:jc w:val="both"/>
            </w:pPr>
            <w:r w:rsidRPr="00B763B8">
              <w:t>This report covers the internal audit a</w:t>
            </w:r>
            <w:r w:rsidR="00133A9E">
              <w:t>cti</w:t>
            </w:r>
            <w:r w:rsidR="009B30AA">
              <w:t>vities for the period from March 2018</w:t>
            </w:r>
            <w:r w:rsidR="00EB7B3B">
              <w:t xml:space="preserve"> to</w:t>
            </w:r>
            <w:r w:rsidR="001C22E9">
              <w:t xml:space="preserve"> </w:t>
            </w:r>
            <w:r w:rsidR="009B30AA">
              <w:t>April</w:t>
            </w:r>
            <w:r w:rsidR="001C22E9">
              <w:t xml:space="preserve"> </w:t>
            </w:r>
            <w:r w:rsidR="00133A9E">
              <w:t>201</w:t>
            </w:r>
            <w:r w:rsidR="009B30AA">
              <w:t>9</w:t>
            </w:r>
            <w:r w:rsidRPr="00B763B8">
              <w:t>.</w:t>
            </w:r>
          </w:p>
          <w:p w14:paraId="4D4ADE57" w14:textId="77777777" w:rsidR="00B763B8" w:rsidRPr="00813E5E" w:rsidRDefault="00B763B8" w:rsidP="003144E5">
            <w:pPr>
              <w:pStyle w:val="Headingb"/>
              <w:jc w:val="both"/>
            </w:pPr>
            <w:r w:rsidRPr="00813E5E">
              <w:t>Action required</w:t>
            </w:r>
          </w:p>
          <w:p w14:paraId="4C409369" w14:textId="77777777" w:rsidR="00B763B8" w:rsidRPr="00813E5E" w:rsidRDefault="00B763B8" w:rsidP="003144E5">
            <w:pPr>
              <w:jc w:val="both"/>
            </w:pPr>
            <w:r w:rsidRPr="00B763B8">
              <w:t xml:space="preserve">This report is transmitted to the Council </w:t>
            </w:r>
            <w:r w:rsidRPr="00B763B8">
              <w:rPr>
                <w:b/>
                <w:bCs/>
              </w:rPr>
              <w:t>for consideration</w:t>
            </w:r>
            <w:r w:rsidRPr="00B763B8">
              <w:t>.</w:t>
            </w:r>
          </w:p>
          <w:p w14:paraId="6463FAE2" w14:textId="77777777" w:rsidR="00B763B8" w:rsidRPr="00813E5E" w:rsidRDefault="00B763B8">
            <w:pPr>
              <w:pStyle w:val="Table"/>
              <w:keepNext w:val="0"/>
              <w:spacing w:before="0" w:after="0"/>
              <w:rPr>
                <w:rFonts w:ascii="Calibri" w:hAnsi="Calibri"/>
                <w:caps w:val="0"/>
                <w:sz w:val="22"/>
              </w:rPr>
            </w:pPr>
            <w:r w:rsidRPr="00813E5E">
              <w:rPr>
                <w:rFonts w:ascii="Calibri" w:hAnsi="Calibri"/>
                <w:caps w:val="0"/>
                <w:sz w:val="22"/>
              </w:rPr>
              <w:t>____________</w:t>
            </w:r>
          </w:p>
          <w:p w14:paraId="6A9CA4D6" w14:textId="77777777" w:rsidR="00B763B8" w:rsidRPr="00813E5E" w:rsidRDefault="00B763B8">
            <w:pPr>
              <w:pStyle w:val="Headingb"/>
            </w:pPr>
            <w:r w:rsidRPr="00813E5E">
              <w:t>References</w:t>
            </w:r>
          </w:p>
          <w:p w14:paraId="166CA5CC" w14:textId="088C797D" w:rsidR="00B763B8" w:rsidRPr="00813E5E" w:rsidRDefault="00F4665F" w:rsidP="00E51F25">
            <w:pPr>
              <w:rPr>
                <w:i/>
                <w:iCs/>
              </w:rPr>
            </w:pPr>
            <w:hyperlink r:id="rId9" w:history="1">
              <w:r w:rsidR="00B763B8" w:rsidRPr="00E51F25">
                <w:rPr>
                  <w:rStyle w:val="Hyperlink"/>
                  <w:i/>
                  <w:iCs/>
                </w:rPr>
                <w:t>ITU Financial Regulations and Rules (201</w:t>
              </w:r>
              <w:r w:rsidR="00E51F25" w:rsidRPr="00E51F25">
                <w:rPr>
                  <w:rStyle w:val="Hyperlink"/>
                  <w:i/>
                  <w:iCs/>
                </w:rPr>
                <w:t>8</w:t>
              </w:r>
              <w:r w:rsidR="00B763B8" w:rsidRPr="00E51F25">
                <w:rPr>
                  <w:rStyle w:val="Hyperlink"/>
                  <w:i/>
                  <w:iCs/>
                </w:rPr>
                <w:t>), Article 29</w:t>
              </w:r>
            </w:hyperlink>
          </w:p>
        </w:tc>
      </w:tr>
    </w:tbl>
    <w:p w14:paraId="54A7AE19" w14:textId="77777777" w:rsidR="00B763B8" w:rsidRPr="00A111B6" w:rsidRDefault="00B763B8" w:rsidP="00881945">
      <w:pPr>
        <w:pStyle w:val="Heading1"/>
        <w:keepNext w:val="0"/>
        <w:keepLines w:val="0"/>
        <w:tabs>
          <w:tab w:val="clear" w:pos="567"/>
          <w:tab w:val="clear" w:pos="1134"/>
          <w:tab w:val="clear" w:pos="1701"/>
          <w:tab w:val="clear" w:pos="2268"/>
          <w:tab w:val="clear" w:pos="2835"/>
        </w:tabs>
        <w:snapToGrid w:val="0"/>
        <w:spacing w:before="360" w:after="120"/>
        <w:ind w:left="0" w:firstLine="0"/>
        <w:rPr>
          <w:rFonts w:asciiTheme="minorHAnsi" w:hAnsiTheme="minorHAnsi" w:cstheme="minorHAnsi"/>
          <w:szCs w:val="28"/>
        </w:rPr>
      </w:pPr>
      <w:bookmarkStart w:id="8" w:name="dstart"/>
      <w:bookmarkStart w:id="9" w:name="dbreak"/>
      <w:bookmarkEnd w:id="8"/>
      <w:bookmarkEnd w:id="9"/>
      <w:r w:rsidRPr="00A111B6">
        <w:rPr>
          <w:rFonts w:asciiTheme="minorHAnsi" w:hAnsiTheme="minorHAnsi" w:cstheme="minorHAnsi"/>
          <w:szCs w:val="28"/>
        </w:rPr>
        <w:t>Introduction</w:t>
      </w:r>
    </w:p>
    <w:p w14:paraId="3FCEE8EC" w14:textId="30975DCD" w:rsidR="00B763B8" w:rsidRPr="00A111B6" w:rsidRDefault="00B763B8" w:rsidP="00DC7F82">
      <w:pPr>
        <w:pStyle w:val="Normalaftertitle"/>
        <w:numPr>
          <w:ilvl w:val="0"/>
          <w:numId w:val="2"/>
        </w:numPr>
        <w:tabs>
          <w:tab w:val="clear" w:pos="567"/>
          <w:tab w:val="clear" w:pos="1134"/>
          <w:tab w:val="clear" w:pos="1701"/>
          <w:tab w:val="clear" w:pos="2268"/>
          <w:tab w:val="clear" w:pos="2835"/>
        </w:tabs>
        <w:overflowPunct/>
        <w:autoSpaceDE/>
        <w:autoSpaceDN/>
        <w:snapToGrid w:val="0"/>
        <w:spacing w:before="120" w:after="120"/>
        <w:ind w:left="0" w:firstLine="0"/>
        <w:jc w:val="both"/>
        <w:textAlignment w:val="auto"/>
        <w:rPr>
          <w:rFonts w:asciiTheme="minorHAnsi" w:hAnsiTheme="minorHAnsi" w:cstheme="minorHAnsi"/>
          <w:szCs w:val="24"/>
        </w:rPr>
      </w:pPr>
      <w:r w:rsidRPr="00A111B6">
        <w:rPr>
          <w:rFonts w:asciiTheme="minorHAnsi" w:hAnsiTheme="minorHAnsi" w:cstheme="minorHAnsi"/>
          <w:szCs w:val="24"/>
        </w:rPr>
        <w:t>This report is transmitted to the Council and responds to Article 29 of the Financial Regulations (2010). In accordance with the ITU Internal Audit charter,</w:t>
      </w:r>
      <w:r w:rsidRPr="00A111B6">
        <w:rPr>
          <w:rStyle w:val="FootnoteReference"/>
          <w:rFonts w:asciiTheme="minorHAnsi" w:hAnsiTheme="minorHAnsi" w:cstheme="minorHAnsi"/>
          <w:sz w:val="18"/>
          <w:szCs w:val="18"/>
        </w:rPr>
        <w:footnoteReference w:id="1"/>
      </w:r>
      <w:r w:rsidRPr="00A111B6">
        <w:rPr>
          <w:rFonts w:asciiTheme="minorHAnsi" w:hAnsiTheme="minorHAnsi" w:cstheme="minorHAnsi"/>
          <w:szCs w:val="24"/>
        </w:rPr>
        <w:t xml:space="preserve"> this report is submitted to the Secretary-General and presented to the Council for consideration. The current report covers activities from the period between </w:t>
      </w:r>
      <w:r w:rsidR="00133A9E" w:rsidRPr="00A111B6">
        <w:rPr>
          <w:rFonts w:asciiTheme="minorHAnsi" w:hAnsiTheme="minorHAnsi" w:cstheme="minorHAnsi"/>
          <w:color w:val="000000" w:themeColor="text1"/>
          <w:szCs w:val="24"/>
        </w:rPr>
        <w:t xml:space="preserve">March </w:t>
      </w:r>
      <w:r w:rsidRPr="00A111B6">
        <w:rPr>
          <w:rFonts w:asciiTheme="minorHAnsi" w:hAnsiTheme="minorHAnsi" w:cstheme="minorHAnsi"/>
          <w:color w:val="000000" w:themeColor="text1"/>
          <w:szCs w:val="24"/>
        </w:rPr>
        <w:t>201</w:t>
      </w:r>
      <w:r w:rsidR="009B30AA" w:rsidRPr="00A111B6">
        <w:rPr>
          <w:rFonts w:asciiTheme="minorHAnsi" w:hAnsiTheme="minorHAnsi" w:cstheme="minorHAnsi"/>
          <w:color w:val="000000" w:themeColor="text1"/>
          <w:szCs w:val="24"/>
        </w:rPr>
        <w:t>8</w:t>
      </w:r>
      <w:r w:rsidR="00133A9E" w:rsidRPr="00A111B6">
        <w:rPr>
          <w:rFonts w:asciiTheme="minorHAnsi" w:hAnsiTheme="minorHAnsi" w:cstheme="minorHAnsi"/>
          <w:color w:val="000000" w:themeColor="text1"/>
          <w:szCs w:val="24"/>
        </w:rPr>
        <w:t xml:space="preserve"> and </w:t>
      </w:r>
      <w:r w:rsidR="009B30AA" w:rsidRPr="00A111B6">
        <w:rPr>
          <w:rFonts w:asciiTheme="minorHAnsi" w:hAnsiTheme="minorHAnsi" w:cstheme="minorHAnsi"/>
          <w:color w:val="000000" w:themeColor="text1"/>
          <w:szCs w:val="24"/>
        </w:rPr>
        <w:t>April 2019</w:t>
      </w:r>
      <w:r w:rsidRPr="00A111B6">
        <w:rPr>
          <w:rFonts w:asciiTheme="minorHAnsi" w:hAnsiTheme="minorHAnsi" w:cstheme="minorHAnsi"/>
          <w:color w:val="000000" w:themeColor="text1"/>
          <w:szCs w:val="24"/>
        </w:rPr>
        <w:t>.</w:t>
      </w:r>
    </w:p>
    <w:p w14:paraId="157EC83C" w14:textId="7A27174B" w:rsidR="00B763B8" w:rsidRPr="00A111B6" w:rsidRDefault="00B763B8" w:rsidP="001C22E9">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A111B6">
        <w:rPr>
          <w:rFonts w:asciiTheme="minorHAnsi" w:hAnsiTheme="minorHAnsi" w:cstheme="minorHAnsi"/>
          <w:sz w:val="24"/>
          <w:szCs w:val="24"/>
          <w:lang w:val="en-US"/>
        </w:rPr>
        <w:t xml:space="preserve">For the period reported on, the Internal Audit Unit comprised </w:t>
      </w:r>
      <w:r w:rsidR="003144E5" w:rsidRPr="00A111B6">
        <w:rPr>
          <w:rFonts w:asciiTheme="minorHAnsi" w:hAnsiTheme="minorHAnsi" w:cstheme="minorHAnsi"/>
          <w:sz w:val="24"/>
          <w:szCs w:val="24"/>
          <w:lang w:val="en-US"/>
        </w:rPr>
        <w:t>two P</w:t>
      </w:r>
      <w:r w:rsidRPr="00A111B6">
        <w:rPr>
          <w:rFonts w:asciiTheme="minorHAnsi" w:hAnsiTheme="minorHAnsi" w:cstheme="minorHAnsi"/>
          <w:sz w:val="24"/>
          <w:szCs w:val="24"/>
          <w:lang w:val="en-US"/>
        </w:rPr>
        <w:t>rofessional staff – a P.5 (Head of the Unit) and a P.</w:t>
      </w:r>
      <w:r w:rsidR="009B30AA" w:rsidRPr="00A111B6">
        <w:rPr>
          <w:rFonts w:asciiTheme="minorHAnsi" w:hAnsiTheme="minorHAnsi" w:cstheme="minorHAnsi"/>
          <w:sz w:val="24"/>
          <w:szCs w:val="24"/>
          <w:lang w:val="en-US"/>
        </w:rPr>
        <w:t>3</w:t>
      </w:r>
      <w:r w:rsidRPr="00A111B6">
        <w:rPr>
          <w:rFonts w:asciiTheme="minorHAnsi" w:hAnsiTheme="minorHAnsi" w:cstheme="minorHAnsi"/>
          <w:sz w:val="24"/>
          <w:szCs w:val="24"/>
          <w:lang w:val="en-US"/>
        </w:rPr>
        <w:t xml:space="preserve"> (Internal Auditor)</w:t>
      </w:r>
      <w:r w:rsidR="00133A9E" w:rsidRPr="00A111B6">
        <w:rPr>
          <w:rFonts w:asciiTheme="minorHAnsi" w:hAnsiTheme="minorHAnsi" w:cstheme="minorHAnsi"/>
          <w:sz w:val="24"/>
          <w:szCs w:val="24"/>
          <w:lang w:val="en-US"/>
        </w:rPr>
        <w:t xml:space="preserve"> </w:t>
      </w:r>
      <w:r w:rsidR="009B30AA" w:rsidRPr="00A111B6">
        <w:rPr>
          <w:rFonts w:asciiTheme="minorHAnsi" w:hAnsiTheme="minorHAnsi" w:cstheme="minorHAnsi"/>
          <w:sz w:val="24"/>
          <w:szCs w:val="24"/>
          <w:lang w:val="en-US"/>
        </w:rPr>
        <w:t>as well as a P2 (Junior Internal Auditor)</w:t>
      </w:r>
      <w:r w:rsidR="00182D45" w:rsidRPr="00A111B6">
        <w:rPr>
          <w:rFonts w:asciiTheme="minorHAnsi" w:hAnsiTheme="minorHAnsi" w:cstheme="minorHAnsi"/>
          <w:sz w:val="24"/>
          <w:szCs w:val="24"/>
          <w:lang w:val="en-US"/>
        </w:rPr>
        <w:t>,</w:t>
      </w:r>
      <w:r w:rsidR="009B30AA" w:rsidRPr="00A111B6">
        <w:rPr>
          <w:rFonts w:asciiTheme="minorHAnsi" w:hAnsiTheme="minorHAnsi" w:cstheme="minorHAnsi"/>
          <w:sz w:val="24"/>
          <w:szCs w:val="24"/>
          <w:lang w:val="en-US"/>
        </w:rPr>
        <w:t xml:space="preserve"> </w:t>
      </w:r>
      <w:r w:rsidR="00133A9E" w:rsidRPr="00A111B6">
        <w:rPr>
          <w:rFonts w:asciiTheme="minorHAnsi" w:hAnsiTheme="minorHAnsi" w:cstheme="minorHAnsi"/>
          <w:sz w:val="24"/>
          <w:szCs w:val="24"/>
          <w:lang w:val="en-US"/>
        </w:rPr>
        <w:t xml:space="preserve">until the incumbent </w:t>
      </w:r>
      <w:r w:rsidR="009B30AA" w:rsidRPr="00A111B6">
        <w:rPr>
          <w:rFonts w:asciiTheme="minorHAnsi" w:hAnsiTheme="minorHAnsi" w:cstheme="minorHAnsi"/>
          <w:sz w:val="24"/>
          <w:szCs w:val="24"/>
          <w:lang w:val="en-US"/>
        </w:rPr>
        <w:t>left ITU on 31 July 2018 and a temporary replacement came on board as of 1 February 2019. The P2 post</w:t>
      </w:r>
      <w:r w:rsidR="00C44090">
        <w:rPr>
          <w:rFonts w:asciiTheme="minorHAnsi" w:hAnsiTheme="minorHAnsi" w:cstheme="minorHAnsi"/>
          <w:sz w:val="24"/>
          <w:szCs w:val="24"/>
          <w:lang w:val="en-US"/>
        </w:rPr>
        <w:t xml:space="preserve"> has been advertised on a fixed-</w:t>
      </w:r>
      <w:r w:rsidR="009B30AA" w:rsidRPr="00A111B6">
        <w:rPr>
          <w:rFonts w:asciiTheme="minorHAnsi" w:hAnsiTheme="minorHAnsi" w:cstheme="minorHAnsi"/>
          <w:sz w:val="24"/>
          <w:szCs w:val="24"/>
          <w:lang w:val="en-US"/>
        </w:rPr>
        <w:t xml:space="preserve">term basis. </w:t>
      </w:r>
      <w:r w:rsidR="00133A9E" w:rsidRPr="00A111B6">
        <w:rPr>
          <w:rFonts w:asciiTheme="minorHAnsi" w:hAnsiTheme="minorHAnsi" w:cstheme="minorHAnsi"/>
          <w:sz w:val="24"/>
          <w:szCs w:val="24"/>
          <w:lang w:val="en-US"/>
        </w:rPr>
        <w:t>A</w:t>
      </w:r>
      <w:r w:rsidRPr="00A111B6">
        <w:rPr>
          <w:rFonts w:asciiTheme="minorHAnsi" w:hAnsiTheme="minorHAnsi" w:cstheme="minorHAnsi"/>
          <w:sz w:val="24"/>
          <w:szCs w:val="24"/>
          <w:lang w:val="en-US"/>
        </w:rPr>
        <w:t xml:space="preserve"> General Services staff (Audit Assistant) was working in the Unit on a full-time basis. </w:t>
      </w:r>
      <w:r w:rsidR="00EB41B6" w:rsidRPr="00A111B6">
        <w:rPr>
          <w:rFonts w:asciiTheme="minorHAnsi" w:hAnsiTheme="minorHAnsi" w:cstheme="minorHAnsi"/>
          <w:color w:val="000000"/>
          <w:sz w:val="24"/>
          <w:szCs w:val="24"/>
          <w:lang w:val="en-US"/>
        </w:rPr>
        <w:t xml:space="preserve">Thus, </w:t>
      </w:r>
      <w:r w:rsidR="001C22E9" w:rsidRPr="00A111B6">
        <w:rPr>
          <w:rFonts w:asciiTheme="minorHAnsi" w:hAnsiTheme="minorHAnsi" w:cstheme="minorHAnsi"/>
          <w:color w:val="000000"/>
          <w:sz w:val="24"/>
          <w:szCs w:val="24"/>
          <w:lang w:val="en-US"/>
        </w:rPr>
        <w:t>currently the</w:t>
      </w:r>
      <w:r w:rsidR="003144E5" w:rsidRPr="00A111B6">
        <w:rPr>
          <w:rFonts w:asciiTheme="minorHAnsi" w:hAnsiTheme="minorHAnsi" w:cstheme="minorHAnsi"/>
          <w:color w:val="000000"/>
          <w:sz w:val="24"/>
          <w:szCs w:val="24"/>
          <w:lang w:val="en-US"/>
        </w:rPr>
        <w:t xml:space="preserve"> Unit consists of three </w:t>
      </w:r>
      <w:r w:rsidR="00133A9E" w:rsidRPr="00A111B6">
        <w:rPr>
          <w:rFonts w:asciiTheme="minorHAnsi" w:hAnsiTheme="minorHAnsi" w:cstheme="minorHAnsi"/>
          <w:color w:val="000000"/>
          <w:sz w:val="24"/>
          <w:szCs w:val="24"/>
          <w:lang w:val="en-US"/>
        </w:rPr>
        <w:t>professional pos</w:t>
      </w:r>
      <w:r w:rsidRPr="00A111B6">
        <w:rPr>
          <w:rFonts w:asciiTheme="minorHAnsi" w:hAnsiTheme="minorHAnsi" w:cstheme="minorHAnsi"/>
          <w:color w:val="000000"/>
          <w:sz w:val="24"/>
          <w:szCs w:val="24"/>
          <w:lang w:val="en-US"/>
        </w:rPr>
        <w:t>ts and one General Services post</w:t>
      </w:r>
      <w:r w:rsidRPr="00A111B6">
        <w:rPr>
          <w:rFonts w:asciiTheme="minorHAnsi" w:hAnsiTheme="minorHAnsi" w:cstheme="minorHAnsi"/>
          <w:sz w:val="24"/>
          <w:szCs w:val="24"/>
          <w:lang w:val="en-US"/>
        </w:rPr>
        <w:t>.</w:t>
      </w:r>
    </w:p>
    <w:p w14:paraId="3BD45C92" w14:textId="6808B5C2" w:rsidR="00B763B8" w:rsidRPr="00A111B6" w:rsidRDefault="00B763B8" w:rsidP="0031207A">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A111B6">
        <w:rPr>
          <w:rFonts w:asciiTheme="minorHAnsi" w:hAnsiTheme="minorHAnsi" w:cstheme="minorHAnsi"/>
          <w:sz w:val="24"/>
          <w:szCs w:val="24"/>
          <w:lang w:val="en-US"/>
        </w:rPr>
        <w:t>Internal Audit (IA) confirms that it conducts its audits in accordance with the International Standards for the Professional Practice of Internal Auditing and the Code of Ethics established by the Institute of Internal Auditors</w:t>
      </w:r>
      <w:r w:rsidR="0031207A" w:rsidRPr="00A111B6">
        <w:rPr>
          <w:rFonts w:asciiTheme="minorHAnsi" w:hAnsiTheme="minorHAnsi" w:cstheme="minorHAnsi"/>
          <w:sz w:val="24"/>
          <w:szCs w:val="24"/>
          <w:lang w:val="en-US"/>
        </w:rPr>
        <w:t xml:space="preserve"> (IIA),</w:t>
      </w:r>
      <w:r w:rsidRPr="00A111B6">
        <w:rPr>
          <w:rStyle w:val="FootnoteReference"/>
          <w:rFonts w:asciiTheme="minorHAnsi" w:hAnsiTheme="minorHAnsi" w:cstheme="minorHAnsi"/>
          <w:sz w:val="18"/>
          <w:szCs w:val="18"/>
        </w:rPr>
        <w:footnoteReference w:id="2"/>
      </w:r>
      <w:r w:rsidRPr="00A111B6">
        <w:rPr>
          <w:rFonts w:asciiTheme="minorHAnsi" w:hAnsiTheme="minorHAnsi" w:cstheme="minorHAnsi"/>
          <w:sz w:val="24"/>
          <w:szCs w:val="24"/>
          <w:lang w:val="en-US"/>
        </w:rPr>
        <w:t xml:space="preserve"> as well as with the provisions of the ITU Internal Audit Charter.</w:t>
      </w:r>
      <w:r w:rsidRPr="00A111B6">
        <w:rPr>
          <w:rStyle w:val="FootnoteReference"/>
          <w:rFonts w:asciiTheme="minorHAnsi" w:hAnsiTheme="minorHAnsi" w:cstheme="minorHAnsi"/>
          <w:sz w:val="18"/>
          <w:szCs w:val="18"/>
        </w:rPr>
        <w:footnoteReference w:id="3"/>
      </w:r>
      <w:r w:rsidRPr="00A111B6">
        <w:rPr>
          <w:rFonts w:asciiTheme="minorHAnsi" w:hAnsiTheme="minorHAnsi" w:cstheme="minorHAnsi"/>
          <w:sz w:val="24"/>
          <w:szCs w:val="24"/>
          <w:lang w:val="en-US"/>
        </w:rPr>
        <w:t xml:space="preserve"> In addition, IA confirms that, for the period reported on, its staff had no managerial </w:t>
      </w:r>
      <w:r w:rsidRPr="00A111B6">
        <w:rPr>
          <w:rFonts w:asciiTheme="minorHAnsi" w:hAnsiTheme="minorHAnsi" w:cstheme="minorHAnsi"/>
          <w:sz w:val="24"/>
          <w:szCs w:val="24"/>
          <w:lang w:val="en-US"/>
        </w:rPr>
        <w:lastRenderedPageBreak/>
        <w:t>authority over, nor responsibility for any of the activities audited and did not perform accounting or operational functions within ITU.</w:t>
      </w:r>
    </w:p>
    <w:p w14:paraId="5CF01E69" w14:textId="77777777" w:rsidR="00B763B8" w:rsidRPr="00A111B6" w:rsidRDefault="00B763B8" w:rsidP="00295D68">
      <w:pPr>
        <w:pStyle w:val="Heading1"/>
        <w:keepNext w:val="0"/>
        <w:keepLines w:val="0"/>
        <w:tabs>
          <w:tab w:val="clear" w:pos="567"/>
          <w:tab w:val="clear" w:pos="1134"/>
          <w:tab w:val="clear" w:pos="1701"/>
          <w:tab w:val="clear" w:pos="2268"/>
          <w:tab w:val="clear" w:pos="2835"/>
        </w:tabs>
        <w:snapToGrid w:val="0"/>
        <w:spacing w:before="240" w:after="120"/>
        <w:ind w:left="0" w:firstLine="0"/>
        <w:rPr>
          <w:rFonts w:asciiTheme="minorHAnsi" w:hAnsiTheme="minorHAnsi" w:cstheme="minorHAnsi"/>
          <w:szCs w:val="28"/>
          <w:lang w:val="en-CA"/>
        </w:rPr>
      </w:pPr>
      <w:r w:rsidRPr="00A111B6">
        <w:rPr>
          <w:rFonts w:asciiTheme="minorHAnsi" w:hAnsiTheme="minorHAnsi" w:cstheme="minorHAnsi"/>
          <w:szCs w:val="28"/>
          <w:lang w:val="en-CA"/>
        </w:rPr>
        <w:t>Orientation and scope of the internal audit activities</w:t>
      </w:r>
    </w:p>
    <w:p w14:paraId="6D3DD0DB" w14:textId="0333DFF1" w:rsidR="00753A8D" w:rsidRPr="00A111B6" w:rsidRDefault="00B763B8" w:rsidP="0068792C">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A111B6">
        <w:rPr>
          <w:rFonts w:asciiTheme="minorHAnsi" w:hAnsiTheme="minorHAnsi" w:cstheme="minorHAnsi"/>
          <w:sz w:val="24"/>
          <w:szCs w:val="24"/>
          <w:lang w:val="en-CA"/>
        </w:rPr>
        <w:t>In line with the IA Charter, t</w:t>
      </w:r>
      <w:r w:rsidRPr="00A111B6">
        <w:rPr>
          <w:rFonts w:asciiTheme="minorHAnsi" w:hAnsiTheme="minorHAnsi" w:cstheme="minorHAnsi"/>
          <w:sz w:val="24"/>
          <w:szCs w:val="24"/>
          <w:lang w:val="en-US"/>
        </w:rPr>
        <w:t>he proposed IA plan for 201</w:t>
      </w:r>
      <w:r w:rsidR="00CF0127" w:rsidRPr="00A111B6">
        <w:rPr>
          <w:rFonts w:asciiTheme="minorHAnsi" w:hAnsiTheme="minorHAnsi" w:cstheme="minorHAnsi"/>
          <w:sz w:val="24"/>
          <w:szCs w:val="24"/>
          <w:lang w:val="en-US"/>
        </w:rPr>
        <w:t>8</w:t>
      </w:r>
      <w:r w:rsidRPr="00A111B6">
        <w:rPr>
          <w:rFonts w:asciiTheme="minorHAnsi" w:hAnsiTheme="minorHAnsi" w:cstheme="minorHAnsi"/>
          <w:sz w:val="24"/>
          <w:szCs w:val="24"/>
          <w:lang w:val="en-US"/>
        </w:rPr>
        <w:t xml:space="preserve"> was reviewed by the Independent Manageme</w:t>
      </w:r>
      <w:r w:rsidR="00CF0127" w:rsidRPr="00A111B6">
        <w:rPr>
          <w:rFonts w:asciiTheme="minorHAnsi" w:hAnsiTheme="minorHAnsi" w:cstheme="minorHAnsi"/>
          <w:sz w:val="24"/>
          <w:szCs w:val="24"/>
          <w:lang w:val="en-US"/>
        </w:rPr>
        <w:t>nt Advisory Committee (IMAC) at its 18</w:t>
      </w:r>
      <w:r w:rsidR="00CF0127" w:rsidRPr="00881945">
        <w:rPr>
          <w:rFonts w:asciiTheme="minorHAnsi" w:hAnsiTheme="minorHAnsi" w:cstheme="minorHAnsi"/>
          <w:sz w:val="24"/>
          <w:szCs w:val="24"/>
          <w:lang w:val="en-US"/>
        </w:rPr>
        <w:t>th</w:t>
      </w:r>
      <w:r w:rsidR="00CF0127" w:rsidRPr="00A111B6">
        <w:rPr>
          <w:rFonts w:asciiTheme="minorHAnsi" w:hAnsiTheme="minorHAnsi" w:cstheme="minorHAnsi"/>
          <w:sz w:val="24"/>
          <w:szCs w:val="24"/>
          <w:lang w:val="en-US"/>
        </w:rPr>
        <w:t xml:space="preserve"> meeting and</w:t>
      </w:r>
      <w:r w:rsidRPr="00A111B6">
        <w:rPr>
          <w:rFonts w:asciiTheme="minorHAnsi" w:hAnsiTheme="minorHAnsi" w:cstheme="minorHAnsi"/>
          <w:sz w:val="24"/>
          <w:szCs w:val="24"/>
          <w:lang w:val="en-US"/>
        </w:rPr>
        <w:t xml:space="preserve"> </w:t>
      </w:r>
      <w:r w:rsidR="00CF0127" w:rsidRPr="00A111B6">
        <w:rPr>
          <w:rFonts w:asciiTheme="minorHAnsi" w:hAnsiTheme="minorHAnsi" w:cstheme="minorHAnsi"/>
          <w:sz w:val="24"/>
          <w:szCs w:val="24"/>
          <w:lang w:val="en-US"/>
        </w:rPr>
        <w:t xml:space="preserve">on 24 January 2018 </w:t>
      </w:r>
      <w:r w:rsidRPr="00A111B6">
        <w:rPr>
          <w:rFonts w:asciiTheme="minorHAnsi" w:hAnsiTheme="minorHAnsi" w:cstheme="minorHAnsi"/>
          <w:sz w:val="24"/>
          <w:szCs w:val="24"/>
          <w:lang w:val="en-US"/>
        </w:rPr>
        <w:t xml:space="preserve">approved by the Secretary-General. </w:t>
      </w:r>
      <w:r w:rsidR="002E30BD" w:rsidRPr="00A111B6">
        <w:rPr>
          <w:rFonts w:asciiTheme="minorHAnsi" w:hAnsiTheme="minorHAnsi" w:cstheme="minorHAnsi"/>
          <w:sz w:val="24"/>
          <w:szCs w:val="24"/>
          <w:lang w:val="en-US"/>
        </w:rPr>
        <w:t>For 2019</w:t>
      </w:r>
      <w:r w:rsidR="00B969CF" w:rsidRPr="00A111B6">
        <w:rPr>
          <w:rFonts w:asciiTheme="minorHAnsi" w:hAnsiTheme="minorHAnsi" w:cstheme="minorHAnsi"/>
          <w:sz w:val="24"/>
          <w:szCs w:val="24"/>
          <w:lang w:val="en-US"/>
        </w:rPr>
        <w:t>, t</w:t>
      </w:r>
      <w:r w:rsidR="002E30BD" w:rsidRPr="00A111B6">
        <w:rPr>
          <w:rFonts w:asciiTheme="minorHAnsi" w:hAnsiTheme="minorHAnsi" w:cstheme="minorHAnsi"/>
          <w:sz w:val="24"/>
          <w:szCs w:val="24"/>
          <w:lang w:val="en-US"/>
        </w:rPr>
        <w:t>he proposed IA plan was drawn up in the beginning of the year, after consultation with the newly elected officials. It was reviewed by the IMAC at its 21</w:t>
      </w:r>
      <w:r w:rsidR="002E30BD" w:rsidRPr="00881945">
        <w:rPr>
          <w:rFonts w:asciiTheme="minorHAnsi" w:hAnsiTheme="minorHAnsi" w:cstheme="minorHAnsi"/>
          <w:sz w:val="24"/>
          <w:szCs w:val="24"/>
          <w:lang w:val="en-US"/>
        </w:rPr>
        <w:t>st</w:t>
      </w:r>
      <w:r w:rsidR="002E30BD" w:rsidRPr="00A111B6">
        <w:rPr>
          <w:rFonts w:asciiTheme="minorHAnsi" w:hAnsiTheme="minorHAnsi" w:cstheme="minorHAnsi"/>
          <w:sz w:val="24"/>
          <w:szCs w:val="24"/>
          <w:lang w:val="en-US"/>
        </w:rPr>
        <w:t xml:space="preserve"> meeting</w:t>
      </w:r>
      <w:r w:rsidR="00F86272" w:rsidRPr="00A111B6">
        <w:rPr>
          <w:rFonts w:asciiTheme="minorHAnsi" w:hAnsiTheme="minorHAnsi" w:cstheme="minorHAnsi"/>
          <w:sz w:val="24"/>
          <w:szCs w:val="24"/>
          <w:lang w:val="en-US"/>
        </w:rPr>
        <w:t xml:space="preserve"> and on 26 March 2019 approved by the Secretary-General</w:t>
      </w:r>
      <w:r w:rsidR="002E30BD" w:rsidRPr="00A111B6">
        <w:rPr>
          <w:rFonts w:asciiTheme="minorHAnsi" w:hAnsiTheme="minorHAnsi" w:cstheme="minorHAnsi"/>
          <w:sz w:val="24"/>
          <w:szCs w:val="24"/>
          <w:lang w:val="en-US"/>
        </w:rPr>
        <w:t xml:space="preserve">. </w:t>
      </w:r>
      <w:r w:rsidR="00753A8D" w:rsidRPr="00A111B6">
        <w:rPr>
          <w:rFonts w:asciiTheme="minorHAnsi" w:hAnsiTheme="minorHAnsi" w:cstheme="minorHAnsi"/>
          <w:sz w:val="24"/>
          <w:szCs w:val="24"/>
          <w:lang w:val="en-US"/>
        </w:rPr>
        <w:t xml:space="preserve">In addition to assurance engagements, the Internal Audit Charter </w:t>
      </w:r>
      <w:r w:rsidR="00691F85" w:rsidRPr="00A111B6">
        <w:rPr>
          <w:rFonts w:asciiTheme="minorHAnsi" w:hAnsiTheme="minorHAnsi" w:cstheme="minorHAnsi"/>
          <w:sz w:val="24"/>
          <w:szCs w:val="24"/>
          <w:lang w:val="en-US"/>
        </w:rPr>
        <w:t xml:space="preserve">stipulates </w:t>
      </w:r>
      <w:r w:rsidR="0068792C" w:rsidRPr="00A111B6">
        <w:rPr>
          <w:rFonts w:asciiTheme="minorHAnsi" w:hAnsiTheme="minorHAnsi" w:cstheme="minorHAnsi"/>
          <w:sz w:val="24"/>
          <w:szCs w:val="24"/>
          <w:lang w:val="en-US"/>
        </w:rPr>
        <w:t xml:space="preserve">also </w:t>
      </w:r>
      <w:r w:rsidR="00753A8D" w:rsidRPr="00A111B6">
        <w:rPr>
          <w:rFonts w:asciiTheme="minorHAnsi" w:hAnsiTheme="minorHAnsi" w:cstheme="minorHAnsi"/>
          <w:sz w:val="24"/>
          <w:szCs w:val="24"/>
          <w:lang w:val="en-US"/>
        </w:rPr>
        <w:t xml:space="preserve">that </w:t>
      </w:r>
      <w:r w:rsidR="00753A8D" w:rsidRPr="00A111B6">
        <w:rPr>
          <w:rFonts w:asciiTheme="minorHAnsi" w:hAnsiTheme="minorHAnsi" w:cstheme="minorHAnsi"/>
          <w:i/>
          <w:iCs/>
          <w:sz w:val="24"/>
          <w:szCs w:val="24"/>
          <w:lang w:val="en-US"/>
        </w:rPr>
        <w:t xml:space="preserve">IA </w:t>
      </w:r>
      <w:r w:rsidR="0068792C" w:rsidRPr="00A111B6">
        <w:rPr>
          <w:rFonts w:asciiTheme="minorHAnsi" w:hAnsiTheme="minorHAnsi" w:cstheme="minorHAnsi"/>
          <w:i/>
          <w:iCs/>
          <w:sz w:val="24"/>
          <w:szCs w:val="24"/>
          <w:lang w:val="en-US"/>
        </w:rPr>
        <w:t>shall investigate allegations, or presumptions, of fraud or mismanagement</w:t>
      </w:r>
      <w:r w:rsidR="0068792C" w:rsidRPr="00A111B6">
        <w:rPr>
          <w:rFonts w:asciiTheme="minorHAnsi" w:hAnsiTheme="minorHAnsi" w:cstheme="minorHAnsi"/>
          <w:sz w:val="24"/>
          <w:szCs w:val="24"/>
          <w:lang w:val="en-US"/>
        </w:rPr>
        <w:t xml:space="preserve"> </w:t>
      </w:r>
      <w:r w:rsidR="00753A8D" w:rsidRPr="00A111B6">
        <w:rPr>
          <w:rFonts w:asciiTheme="minorHAnsi" w:hAnsiTheme="minorHAnsi" w:cstheme="minorHAnsi"/>
          <w:sz w:val="24"/>
          <w:szCs w:val="24"/>
          <w:lang w:val="en-US"/>
        </w:rPr>
        <w:t xml:space="preserve">as well as </w:t>
      </w:r>
      <w:r w:rsidR="0068792C" w:rsidRPr="00A111B6">
        <w:rPr>
          <w:rFonts w:asciiTheme="minorHAnsi" w:hAnsiTheme="minorHAnsi" w:cstheme="minorHAnsi"/>
          <w:sz w:val="24"/>
          <w:szCs w:val="24"/>
          <w:lang w:val="en-US"/>
        </w:rPr>
        <w:t xml:space="preserve">that </w:t>
      </w:r>
      <w:r w:rsidR="0068792C" w:rsidRPr="00A111B6">
        <w:rPr>
          <w:rFonts w:asciiTheme="minorHAnsi" w:hAnsiTheme="minorHAnsi" w:cstheme="minorHAnsi"/>
          <w:i/>
          <w:iCs/>
          <w:sz w:val="24"/>
          <w:szCs w:val="24"/>
          <w:lang w:val="en-US"/>
        </w:rPr>
        <w:t>Internal Audit may provide consulting services within ITU</w:t>
      </w:r>
      <w:r w:rsidR="0068792C" w:rsidRPr="00A111B6">
        <w:rPr>
          <w:rFonts w:asciiTheme="minorHAnsi" w:hAnsiTheme="minorHAnsi" w:cstheme="minorHAnsi"/>
          <w:sz w:val="24"/>
          <w:szCs w:val="24"/>
          <w:lang w:val="en-US"/>
        </w:rPr>
        <w:t>.</w:t>
      </w:r>
    </w:p>
    <w:p w14:paraId="54E172E3" w14:textId="2FF97B05" w:rsidR="00B763B8" w:rsidRPr="00A111B6" w:rsidRDefault="00B763B8" w:rsidP="005C06E7">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A111B6">
        <w:rPr>
          <w:rFonts w:asciiTheme="minorHAnsi" w:hAnsiTheme="minorHAnsi" w:cstheme="minorHAnsi"/>
          <w:sz w:val="24"/>
          <w:szCs w:val="24"/>
          <w:lang w:val="en-US"/>
        </w:rPr>
        <w:t xml:space="preserve">IA systematically shares copies of internal audit reports with the ITU External Auditor and with the IMAC. In accordance with ITU Financial Regulation 29.5, final internal audit reports can be made available to Member States or their designated representatives. A facilitated mechanism for accessing internal audit reports </w:t>
      </w:r>
      <w:r w:rsidR="001C695A">
        <w:rPr>
          <w:rFonts w:asciiTheme="minorHAnsi" w:hAnsiTheme="minorHAnsi" w:cstheme="minorHAnsi"/>
          <w:sz w:val="24"/>
          <w:szCs w:val="24"/>
          <w:lang w:val="en-US"/>
        </w:rPr>
        <w:t>has been put in</w:t>
      </w:r>
      <w:r w:rsidRPr="00A111B6">
        <w:rPr>
          <w:rFonts w:asciiTheme="minorHAnsi" w:hAnsiTheme="minorHAnsi" w:cstheme="minorHAnsi"/>
          <w:sz w:val="24"/>
          <w:szCs w:val="24"/>
          <w:lang w:val="en-US"/>
        </w:rPr>
        <w:t xml:space="preserve"> place since October 2015. Du</w:t>
      </w:r>
      <w:r w:rsidR="00C573E5" w:rsidRPr="00A111B6">
        <w:rPr>
          <w:rFonts w:asciiTheme="minorHAnsi" w:hAnsiTheme="minorHAnsi" w:cstheme="minorHAnsi"/>
          <w:sz w:val="24"/>
          <w:szCs w:val="24"/>
          <w:lang w:val="en-US"/>
        </w:rPr>
        <w:t>ring the period reported on, no</w:t>
      </w:r>
      <w:r w:rsidRPr="00A111B6">
        <w:rPr>
          <w:rFonts w:asciiTheme="minorHAnsi" w:hAnsiTheme="minorHAnsi" w:cstheme="minorHAnsi"/>
          <w:sz w:val="24"/>
          <w:szCs w:val="24"/>
          <w:lang w:val="en-US"/>
        </w:rPr>
        <w:t xml:space="preserve"> requests for accessing internal audit reports were received via the online mechanism. </w:t>
      </w:r>
    </w:p>
    <w:p w14:paraId="68015F15" w14:textId="77777777" w:rsidR="00B763B8" w:rsidRPr="00A111B6" w:rsidRDefault="00B763B8" w:rsidP="00295D68">
      <w:pPr>
        <w:pStyle w:val="Heading1"/>
        <w:keepNext w:val="0"/>
        <w:keepLines w:val="0"/>
        <w:tabs>
          <w:tab w:val="clear" w:pos="567"/>
          <w:tab w:val="clear" w:pos="1134"/>
          <w:tab w:val="clear" w:pos="1701"/>
          <w:tab w:val="clear" w:pos="2268"/>
          <w:tab w:val="clear" w:pos="2835"/>
        </w:tabs>
        <w:snapToGrid w:val="0"/>
        <w:spacing w:before="240" w:after="120"/>
        <w:ind w:left="0" w:firstLine="0"/>
        <w:jc w:val="both"/>
        <w:rPr>
          <w:rFonts w:asciiTheme="minorHAnsi" w:hAnsiTheme="minorHAnsi" w:cstheme="minorHAnsi"/>
          <w:szCs w:val="28"/>
          <w:lang w:val="en-CA"/>
        </w:rPr>
      </w:pPr>
      <w:r w:rsidRPr="00A111B6">
        <w:rPr>
          <w:rFonts w:asciiTheme="minorHAnsi" w:hAnsiTheme="minorHAnsi" w:cstheme="minorHAnsi"/>
          <w:szCs w:val="28"/>
          <w:lang w:val="en-CA"/>
        </w:rPr>
        <w:t>Objectives and conclusions of the assurance engagements</w:t>
      </w:r>
    </w:p>
    <w:p w14:paraId="17A999B3" w14:textId="07755153" w:rsidR="00B763B8" w:rsidRPr="00A111B6" w:rsidRDefault="00B763B8" w:rsidP="00B763B8">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A111B6">
        <w:rPr>
          <w:rFonts w:asciiTheme="minorHAnsi" w:hAnsiTheme="minorHAnsi" w:cstheme="minorHAnsi"/>
          <w:sz w:val="24"/>
          <w:szCs w:val="24"/>
          <w:lang w:val="en-US"/>
        </w:rPr>
        <w:t>The objectives of the assurance engagements were to assess</w:t>
      </w:r>
      <w:r w:rsidR="003144E5" w:rsidRPr="00A111B6">
        <w:rPr>
          <w:rFonts w:asciiTheme="minorHAnsi" w:hAnsiTheme="minorHAnsi" w:cstheme="minorHAnsi"/>
          <w:sz w:val="24"/>
          <w:szCs w:val="24"/>
          <w:lang w:val="en-US"/>
        </w:rPr>
        <w:t>:</w:t>
      </w:r>
      <w:r w:rsidRPr="00A111B6">
        <w:rPr>
          <w:rFonts w:asciiTheme="minorHAnsi" w:hAnsiTheme="minorHAnsi" w:cstheme="minorHAnsi"/>
          <w:sz w:val="24"/>
          <w:szCs w:val="24"/>
          <w:lang w:val="en-US"/>
        </w:rPr>
        <w:t xml:space="preserve"> (</w:t>
      </w:r>
      <w:proofErr w:type="spellStart"/>
      <w:r w:rsidRPr="00A111B6">
        <w:rPr>
          <w:rFonts w:asciiTheme="minorHAnsi" w:hAnsiTheme="minorHAnsi" w:cstheme="minorHAnsi"/>
          <w:sz w:val="24"/>
          <w:szCs w:val="24"/>
          <w:lang w:val="en-US"/>
        </w:rPr>
        <w:t>i</w:t>
      </w:r>
      <w:proofErr w:type="spellEnd"/>
      <w:r w:rsidRPr="00A111B6">
        <w:rPr>
          <w:rFonts w:asciiTheme="minorHAnsi" w:hAnsiTheme="minorHAnsi" w:cstheme="minorHAnsi"/>
          <w:sz w:val="24"/>
          <w:szCs w:val="24"/>
          <w:lang w:val="en-US"/>
        </w:rPr>
        <w:t>) the governance aspects of</w:t>
      </w:r>
      <w:r w:rsidR="003144E5" w:rsidRPr="00A111B6">
        <w:rPr>
          <w:rFonts w:asciiTheme="minorHAnsi" w:hAnsiTheme="minorHAnsi" w:cstheme="minorHAnsi"/>
          <w:sz w:val="24"/>
          <w:szCs w:val="24"/>
          <w:lang w:val="en-US"/>
        </w:rPr>
        <w:t xml:space="preserve"> the Union’s operations audited;</w:t>
      </w:r>
      <w:r w:rsidRPr="00A111B6">
        <w:rPr>
          <w:rFonts w:asciiTheme="minorHAnsi" w:hAnsiTheme="minorHAnsi" w:cstheme="minorHAnsi"/>
          <w:sz w:val="24"/>
          <w:szCs w:val="24"/>
          <w:lang w:val="en-US"/>
        </w:rPr>
        <w:t xml:space="preserve"> (ii) the risk management practices</w:t>
      </w:r>
      <w:r w:rsidR="003144E5" w:rsidRPr="00A111B6">
        <w:rPr>
          <w:rFonts w:asciiTheme="minorHAnsi" w:hAnsiTheme="minorHAnsi" w:cstheme="minorHAnsi"/>
          <w:sz w:val="24"/>
          <w:szCs w:val="24"/>
          <w:lang w:val="en-US"/>
        </w:rPr>
        <w:t>;</w:t>
      </w:r>
      <w:r w:rsidRPr="00A111B6">
        <w:rPr>
          <w:rFonts w:asciiTheme="minorHAnsi" w:hAnsiTheme="minorHAnsi" w:cstheme="minorHAnsi"/>
          <w:sz w:val="24"/>
          <w:szCs w:val="24"/>
          <w:lang w:val="en-US"/>
        </w:rPr>
        <w:t xml:space="preserve"> and (iii) the effectiveness of (internal) controls. The priority of the recommendations resulting from the audit work is classified according to the impact and likelihood of the deficienc</w:t>
      </w:r>
      <w:r w:rsidR="00E3488E" w:rsidRPr="00A111B6">
        <w:rPr>
          <w:rFonts w:asciiTheme="minorHAnsi" w:hAnsiTheme="minorHAnsi" w:cstheme="minorHAnsi"/>
          <w:sz w:val="24"/>
          <w:szCs w:val="24"/>
          <w:lang w:val="en-US"/>
        </w:rPr>
        <w:t>y (</w:t>
      </w:r>
      <w:r w:rsidRPr="00A111B6">
        <w:rPr>
          <w:rFonts w:asciiTheme="minorHAnsi" w:hAnsiTheme="minorHAnsi" w:cstheme="minorHAnsi"/>
          <w:sz w:val="24"/>
          <w:szCs w:val="24"/>
          <w:lang w:val="en-US"/>
        </w:rPr>
        <w:t>high, medium, low).</w:t>
      </w:r>
    </w:p>
    <w:p w14:paraId="607A1F2C" w14:textId="3F2D586E" w:rsidR="00B763B8" w:rsidRPr="00A111B6" w:rsidRDefault="00B763B8" w:rsidP="00414FD9">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A111B6">
        <w:rPr>
          <w:rFonts w:asciiTheme="minorHAnsi" w:hAnsiTheme="minorHAnsi" w:cstheme="minorHAnsi"/>
          <w:szCs w:val="24"/>
        </w:rPr>
        <w:t>Based on the various assurance engagements performed, IA concluded that, overall, the</w:t>
      </w:r>
      <w:r w:rsidR="00414FD9" w:rsidRPr="00A111B6">
        <w:rPr>
          <w:rFonts w:asciiTheme="minorHAnsi" w:hAnsiTheme="minorHAnsi" w:cstheme="minorHAnsi"/>
          <w:szCs w:val="24"/>
        </w:rPr>
        <w:t xml:space="preserve">re is a need to improve governance and risk management of the processes </w:t>
      </w:r>
      <w:r w:rsidR="00D64BCA" w:rsidRPr="00A111B6">
        <w:rPr>
          <w:rFonts w:asciiTheme="minorHAnsi" w:hAnsiTheme="minorHAnsi" w:cstheme="minorHAnsi"/>
          <w:szCs w:val="24"/>
        </w:rPr>
        <w:t>reviewed</w:t>
      </w:r>
      <w:r w:rsidR="00414FD9" w:rsidRPr="00A111B6">
        <w:rPr>
          <w:rFonts w:asciiTheme="minorHAnsi" w:hAnsiTheme="minorHAnsi" w:cstheme="minorHAnsi"/>
          <w:szCs w:val="24"/>
        </w:rPr>
        <w:t xml:space="preserve"> and to render the controls more effective in the various areas audited. I</w:t>
      </w:r>
      <w:r w:rsidRPr="00A111B6">
        <w:rPr>
          <w:rFonts w:asciiTheme="minorHAnsi" w:hAnsiTheme="minorHAnsi" w:cstheme="minorHAnsi"/>
          <w:szCs w:val="24"/>
        </w:rPr>
        <w:t>mprovement in these areas would allow IA to provide to the Secretary-General reasonable assurance that there is adequate governance and risk management, and that controls are effe</w:t>
      </w:r>
      <w:r w:rsidR="00E76CE6" w:rsidRPr="00A111B6">
        <w:rPr>
          <w:rFonts w:asciiTheme="minorHAnsi" w:hAnsiTheme="minorHAnsi" w:cstheme="minorHAnsi"/>
          <w:szCs w:val="24"/>
        </w:rPr>
        <w:t>ctive. Recommendations made to m</w:t>
      </w:r>
      <w:r w:rsidRPr="00A111B6">
        <w:rPr>
          <w:rFonts w:asciiTheme="minorHAnsi" w:hAnsiTheme="minorHAnsi" w:cstheme="minorHAnsi"/>
          <w:szCs w:val="24"/>
        </w:rPr>
        <w:t>anagement are being actioned, with the support of the Secretary-General, and this will further strengthen ITU to fulfil its mandate.</w:t>
      </w:r>
    </w:p>
    <w:p w14:paraId="480ACF33" w14:textId="39C311AC" w:rsidR="00B763B8" w:rsidRPr="00A111B6" w:rsidRDefault="00B763B8" w:rsidP="00B763B8">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A111B6">
        <w:rPr>
          <w:rFonts w:asciiTheme="minorHAnsi" w:hAnsiTheme="minorHAnsi" w:cstheme="minorHAnsi"/>
          <w:sz w:val="24"/>
          <w:szCs w:val="24"/>
          <w:lang w:val="en-US"/>
        </w:rPr>
        <w:t>The implementation of recommended actions is followed up by IA, as and when required.</w:t>
      </w:r>
    </w:p>
    <w:p w14:paraId="61BBA6CD" w14:textId="77777777" w:rsidR="00B763B8" w:rsidRPr="00A111B6" w:rsidRDefault="00B763B8" w:rsidP="00B763B8">
      <w:pPr>
        <w:tabs>
          <w:tab w:val="clear" w:pos="567"/>
          <w:tab w:val="clear" w:pos="1134"/>
          <w:tab w:val="clear" w:pos="1701"/>
          <w:tab w:val="clear" w:pos="2268"/>
          <w:tab w:val="clear" w:pos="2835"/>
        </w:tabs>
        <w:snapToGrid w:val="0"/>
        <w:spacing w:after="120"/>
        <w:jc w:val="both"/>
        <w:rPr>
          <w:rFonts w:asciiTheme="minorHAnsi" w:hAnsiTheme="minorHAnsi" w:cstheme="minorHAnsi"/>
          <w:i/>
          <w:iCs/>
          <w:szCs w:val="24"/>
        </w:rPr>
      </w:pPr>
      <w:r w:rsidRPr="00A111B6">
        <w:rPr>
          <w:rFonts w:asciiTheme="minorHAnsi" w:hAnsiTheme="minorHAnsi" w:cstheme="minorHAnsi"/>
          <w:i/>
          <w:iCs/>
          <w:szCs w:val="24"/>
        </w:rPr>
        <w:t>The following assurance engagements have been conducted:</w:t>
      </w:r>
    </w:p>
    <w:p w14:paraId="6D973FD9" w14:textId="09594726" w:rsidR="00B763B8" w:rsidRPr="00A111B6" w:rsidRDefault="00E178D7" w:rsidP="0070420C">
      <w:pPr>
        <w:pStyle w:val="FootnoteText"/>
        <w:keepLines w:val="0"/>
        <w:numPr>
          <w:ilvl w:val="0"/>
          <w:numId w:val="3"/>
        </w:numPr>
        <w:tabs>
          <w:tab w:val="clear" w:pos="256"/>
          <w:tab w:val="clear" w:pos="567"/>
          <w:tab w:val="clear" w:pos="1134"/>
          <w:tab w:val="clear" w:pos="1701"/>
          <w:tab w:val="clear" w:pos="2268"/>
          <w:tab w:val="clear" w:pos="2835"/>
        </w:tabs>
        <w:overflowPunct/>
        <w:autoSpaceDE/>
        <w:autoSpaceDN/>
        <w:snapToGrid w:val="0"/>
        <w:spacing w:after="120"/>
        <w:ind w:left="709" w:firstLine="0"/>
        <w:jc w:val="both"/>
        <w:textAlignment w:val="auto"/>
        <w:rPr>
          <w:rFonts w:asciiTheme="minorHAnsi" w:hAnsiTheme="minorHAnsi" w:cstheme="minorHAnsi"/>
          <w:szCs w:val="24"/>
        </w:rPr>
      </w:pPr>
      <w:r w:rsidRPr="00A111B6">
        <w:rPr>
          <w:rFonts w:asciiTheme="minorHAnsi" w:hAnsiTheme="minorHAnsi" w:cstheme="minorHAnsi"/>
          <w:b/>
          <w:i/>
          <w:szCs w:val="24"/>
        </w:rPr>
        <w:t xml:space="preserve">Audit of translation services </w:t>
      </w:r>
    </w:p>
    <w:p w14:paraId="25219FD6" w14:textId="0CB736A7" w:rsidR="00E178D7" w:rsidRPr="00A111B6" w:rsidRDefault="00E178D7" w:rsidP="00881945">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A111B6">
        <w:rPr>
          <w:rFonts w:asciiTheme="minorHAnsi" w:hAnsiTheme="minorHAnsi" w:cstheme="minorHAnsi"/>
          <w:sz w:val="24"/>
          <w:szCs w:val="24"/>
          <w:lang w:val="en-US"/>
        </w:rPr>
        <w:t xml:space="preserve">IA </w:t>
      </w:r>
      <w:r w:rsidRPr="00A111B6">
        <w:rPr>
          <w:rFonts w:asciiTheme="minorHAnsi" w:hAnsiTheme="minorHAnsi" w:cstheme="minorHAnsi"/>
          <w:sz w:val="24"/>
          <w:szCs w:val="24"/>
          <w:lang w:val="en-GB"/>
        </w:rPr>
        <w:t>conducted a</w:t>
      </w:r>
      <w:r w:rsidR="00545609" w:rsidRPr="00A111B6">
        <w:rPr>
          <w:rFonts w:asciiTheme="minorHAnsi" w:hAnsiTheme="minorHAnsi" w:cstheme="minorHAnsi"/>
          <w:sz w:val="24"/>
          <w:szCs w:val="24"/>
          <w:lang w:val="en-GB"/>
        </w:rPr>
        <w:t>n</w:t>
      </w:r>
      <w:r w:rsidR="00F86272" w:rsidRPr="00A111B6">
        <w:rPr>
          <w:rFonts w:asciiTheme="minorHAnsi" w:hAnsiTheme="minorHAnsi" w:cstheme="minorHAnsi"/>
          <w:sz w:val="24"/>
          <w:szCs w:val="24"/>
          <w:lang w:val="en-GB"/>
        </w:rPr>
        <w:t xml:space="preserve"> </w:t>
      </w:r>
      <w:r w:rsidR="00545609" w:rsidRPr="00A111B6">
        <w:rPr>
          <w:rFonts w:asciiTheme="minorHAnsi" w:hAnsiTheme="minorHAnsi" w:cstheme="minorHAnsi"/>
          <w:sz w:val="24"/>
          <w:szCs w:val="24"/>
          <w:lang w:val="en-GB"/>
        </w:rPr>
        <w:t>audit of Translation Activities in ITU covering the period from January 2014 to December 2017. This audit involved the review of applicable policies, processes and how translation activities are conducted in ITU. The audit reviewed translation related to conference/events documents, publications</w:t>
      </w:r>
      <w:r w:rsidR="00C44090">
        <w:rPr>
          <w:rFonts w:asciiTheme="minorHAnsi" w:hAnsiTheme="minorHAnsi" w:cstheme="minorHAnsi"/>
          <w:sz w:val="24"/>
          <w:szCs w:val="24"/>
          <w:lang w:val="en-GB"/>
        </w:rPr>
        <w:t>,</w:t>
      </w:r>
      <w:r w:rsidR="00545609" w:rsidRPr="00A111B6">
        <w:rPr>
          <w:rFonts w:asciiTheme="minorHAnsi" w:hAnsiTheme="minorHAnsi" w:cstheme="minorHAnsi"/>
          <w:sz w:val="24"/>
          <w:szCs w:val="24"/>
          <w:lang w:val="en-GB"/>
        </w:rPr>
        <w:t xml:space="preserve"> and webpages</w:t>
      </w:r>
      <w:r w:rsidRPr="00A111B6">
        <w:rPr>
          <w:rFonts w:asciiTheme="minorHAnsi" w:hAnsiTheme="minorHAnsi" w:cstheme="minorHAnsi"/>
          <w:sz w:val="24"/>
          <w:szCs w:val="24"/>
          <w:lang w:val="en-US"/>
        </w:rPr>
        <w:t>.</w:t>
      </w:r>
    </w:p>
    <w:p w14:paraId="15FD9ABA" w14:textId="77777777" w:rsidR="00E178D7" w:rsidRPr="00A111B6" w:rsidRDefault="00E178D7" w:rsidP="00881945">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A111B6">
        <w:rPr>
          <w:rFonts w:asciiTheme="minorHAnsi" w:hAnsiTheme="minorHAnsi" w:cstheme="minorHAnsi"/>
          <w:sz w:val="24"/>
          <w:szCs w:val="24"/>
          <w:lang w:val="en-US"/>
        </w:rPr>
        <w:t xml:space="preserve">IA concluded, as high priority matters on a number of issues as follows: </w:t>
      </w:r>
    </w:p>
    <w:p w14:paraId="3D259E13" w14:textId="11CD4A0F" w:rsidR="00E178D7" w:rsidRPr="00A111B6" w:rsidRDefault="00E178D7" w:rsidP="00881945">
      <w:pPr>
        <w:pStyle w:val="Default"/>
        <w:numPr>
          <w:ilvl w:val="0"/>
          <w:numId w:val="7"/>
        </w:numPr>
        <w:spacing w:after="20"/>
        <w:jc w:val="both"/>
        <w:rPr>
          <w:rFonts w:asciiTheme="minorHAnsi" w:hAnsiTheme="minorHAnsi" w:cstheme="minorHAnsi"/>
        </w:rPr>
      </w:pPr>
      <w:r w:rsidRPr="00A111B6">
        <w:rPr>
          <w:rFonts w:asciiTheme="minorHAnsi" w:hAnsiTheme="minorHAnsi" w:cstheme="minorHAnsi"/>
        </w:rPr>
        <w:t>The</w:t>
      </w:r>
      <w:r w:rsidR="00545609" w:rsidRPr="00A111B6">
        <w:rPr>
          <w:rFonts w:asciiTheme="minorHAnsi" w:hAnsiTheme="minorHAnsi" w:cstheme="minorHAnsi"/>
        </w:rPr>
        <w:t xml:space="preserve"> </w:t>
      </w:r>
      <w:r w:rsidR="00545609" w:rsidRPr="00A111B6">
        <w:rPr>
          <w:rFonts w:asciiTheme="minorHAnsi" w:hAnsiTheme="minorHAnsi" w:cstheme="minorHAnsi"/>
          <w:lang w:val="en-GB"/>
        </w:rPr>
        <w:t xml:space="preserve">policies relevant to translation activities are largely outdated and are </w:t>
      </w:r>
      <w:r w:rsidR="00FE0A55">
        <w:rPr>
          <w:rFonts w:asciiTheme="minorHAnsi" w:hAnsiTheme="minorHAnsi" w:cstheme="minorHAnsi"/>
          <w:lang w:val="en-GB"/>
        </w:rPr>
        <w:t xml:space="preserve">partly </w:t>
      </w:r>
      <w:r w:rsidR="00545609" w:rsidRPr="00A111B6">
        <w:rPr>
          <w:rFonts w:asciiTheme="minorHAnsi" w:hAnsiTheme="minorHAnsi" w:cstheme="minorHAnsi"/>
          <w:lang w:val="en-GB"/>
        </w:rPr>
        <w:t>inconsistent with current practices and other policies</w:t>
      </w:r>
      <w:r w:rsidRPr="00A111B6">
        <w:rPr>
          <w:rFonts w:asciiTheme="minorHAnsi" w:hAnsiTheme="minorHAnsi" w:cstheme="minorHAnsi"/>
        </w:rPr>
        <w:t>.</w:t>
      </w:r>
      <w:r w:rsidR="00545609" w:rsidRPr="00A111B6">
        <w:rPr>
          <w:rFonts w:asciiTheme="minorHAnsi" w:hAnsiTheme="minorHAnsi" w:cstheme="minorHAnsi"/>
        </w:rPr>
        <w:t xml:space="preserve"> It was recommended that </w:t>
      </w:r>
      <w:r w:rsidR="00545609" w:rsidRPr="00A111B6">
        <w:rPr>
          <w:rFonts w:asciiTheme="minorHAnsi" w:hAnsiTheme="minorHAnsi" w:cstheme="minorHAnsi"/>
          <w:lang w:val="en-GB"/>
        </w:rPr>
        <w:t>the policies are reviewed and updated</w:t>
      </w:r>
      <w:r w:rsidR="008B5987" w:rsidRPr="00A111B6">
        <w:rPr>
          <w:rFonts w:asciiTheme="minorHAnsi" w:hAnsiTheme="minorHAnsi" w:cstheme="minorHAnsi"/>
          <w:lang w:val="en-GB"/>
        </w:rPr>
        <w:t xml:space="preserve">. The concerned </w:t>
      </w:r>
      <w:r w:rsidR="00545609" w:rsidRPr="00A111B6">
        <w:rPr>
          <w:rFonts w:asciiTheme="minorHAnsi" w:hAnsiTheme="minorHAnsi" w:cstheme="minorHAnsi"/>
          <w:lang w:val="en-GB"/>
        </w:rPr>
        <w:t>Management indicated that it would update the policies in the course of 2018</w:t>
      </w:r>
      <w:r w:rsidR="008B5987" w:rsidRPr="00A111B6">
        <w:rPr>
          <w:rFonts w:asciiTheme="minorHAnsi" w:hAnsiTheme="minorHAnsi" w:cstheme="minorHAnsi"/>
          <w:lang w:val="en-GB"/>
        </w:rPr>
        <w:t>.</w:t>
      </w:r>
      <w:r w:rsidRPr="00A111B6">
        <w:rPr>
          <w:rFonts w:asciiTheme="minorHAnsi" w:hAnsiTheme="minorHAnsi" w:cstheme="minorHAnsi"/>
        </w:rPr>
        <w:t xml:space="preserve"> </w:t>
      </w:r>
    </w:p>
    <w:p w14:paraId="672E03D6" w14:textId="4330D929" w:rsidR="00E178D7" w:rsidRPr="00A111B6" w:rsidRDefault="00E178D7" w:rsidP="00881945">
      <w:pPr>
        <w:pStyle w:val="Default"/>
        <w:keepNext/>
        <w:keepLines/>
        <w:numPr>
          <w:ilvl w:val="0"/>
          <w:numId w:val="7"/>
        </w:numPr>
        <w:snapToGrid w:val="0"/>
        <w:spacing w:before="20" w:after="20"/>
        <w:ind w:left="714" w:hanging="357"/>
        <w:jc w:val="both"/>
        <w:rPr>
          <w:rFonts w:asciiTheme="minorHAnsi" w:hAnsiTheme="minorHAnsi" w:cstheme="minorHAnsi"/>
        </w:rPr>
      </w:pPr>
      <w:r w:rsidRPr="00A111B6">
        <w:rPr>
          <w:rFonts w:asciiTheme="minorHAnsi" w:hAnsiTheme="minorHAnsi" w:cstheme="minorHAnsi"/>
        </w:rPr>
        <w:lastRenderedPageBreak/>
        <w:t>Furthermore it was concluded that</w:t>
      </w:r>
      <w:r w:rsidR="00545609" w:rsidRPr="00A111B6">
        <w:rPr>
          <w:rFonts w:asciiTheme="minorHAnsi" w:hAnsiTheme="minorHAnsi" w:cstheme="minorHAnsi"/>
        </w:rPr>
        <w:t xml:space="preserve"> </w:t>
      </w:r>
      <w:r w:rsidR="008B5987" w:rsidRPr="00A111B6">
        <w:rPr>
          <w:rFonts w:asciiTheme="minorHAnsi" w:hAnsiTheme="minorHAnsi" w:cstheme="minorHAnsi"/>
        </w:rPr>
        <w:t xml:space="preserve">there are </w:t>
      </w:r>
      <w:r w:rsidR="008B5987" w:rsidRPr="00A111B6">
        <w:rPr>
          <w:rFonts w:asciiTheme="minorHAnsi" w:hAnsiTheme="minorHAnsi" w:cstheme="minorHAnsi"/>
          <w:lang w:val="en-GB"/>
        </w:rPr>
        <w:t>aspects about translation processes and internal capacity that need improvement. It is recommended that adapting the Language Sections structure according to the medium</w:t>
      </w:r>
      <w:r w:rsidR="00C44090">
        <w:rPr>
          <w:rFonts w:asciiTheme="minorHAnsi" w:hAnsiTheme="minorHAnsi" w:cstheme="minorHAnsi"/>
          <w:lang w:val="en-GB"/>
        </w:rPr>
        <w:t>-</w:t>
      </w:r>
      <w:r w:rsidR="008B5987" w:rsidRPr="00A111B6">
        <w:rPr>
          <w:rFonts w:asciiTheme="minorHAnsi" w:hAnsiTheme="minorHAnsi" w:cstheme="minorHAnsi"/>
          <w:lang w:val="en-GB"/>
        </w:rPr>
        <w:t xml:space="preserve">term reality is considered. Further, budgetary allocation should be considered for Temporary staff. The concerned Management </w:t>
      </w:r>
      <w:r w:rsidR="00045B71">
        <w:rPr>
          <w:rFonts w:asciiTheme="minorHAnsi" w:hAnsiTheme="minorHAnsi" w:cstheme="minorHAnsi"/>
          <w:lang w:val="en-GB"/>
        </w:rPr>
        <w:t>indicated that it</w:t>
      </w:r>
      <w:r w:rsidR="008B5987" w:rsidRPr="00A111B6">
        <w:rPr>
          <w:rFonts w:asciiTheme="minorHAnsi" w:hAnsiTheme="minorHAnsi" w:cstheme="minorHAnsi"/>
          <w:lang w:val="en-GB"/>
        </w:rPr>
        <w:t xml:space="preserve"> will work on the improvement of the Languages Sections’ structure</w:t>
      </w:r>
      <w:r w:rsidRPr="00A111B6">
        <w:rPr>
          <w:rFonts w:asciiTheme="minorHAnsi" w:hAnsiTheme="minorHAnsi" w:cstheme="minorHAnsi"/>
        </w:rPr>
        <w:t xml:space="preserve">. </w:t>
      </w:r>
    </w:p>
    <w:p w14:paraId="6B5606C6" w14:textId="2F6E1AD4" w:rsidR="00E178D7" w:rsidRPr="00A111B6" w:rsidRDefault="00E178D7" w:rsidP="00881945">
      <w:pPr>
        <w:pStyle w:val="Default"/>
        <w:numPr>
          <w:ilvl w:val="0"/>
          <w:numId w:val="7"/>
        </w:numPr>
        <w:snapToGrid w:val="0"/>
        <w:spacing w:before="20"/>
        <w:ind w:left="714" w:hanging="357"/>
        <w:jc w:val="both"/>
        <w:rPr>
          <w:rFonts w:asciiTheme="minorHAnsi" w:hAnsiTheme="minorHAnsi" w:cstheme="minorHAnsi"/>
        </w:rPr>
      </w:pPr>
      <w:r w:rsidRPr="00A111B6">
        <w:rPr>
          <w:rFonts w:asciiTheme="minorHAnsi" w:hAnsiTheme="minorHAnsi" w:cstheme="minorHAnsi"/>
        </w:rPr>
        <w:t>A</w:t>
      </w:r>
      <w:r w:rsidR="00045B71">
        <w:rPr>
          <w:rFonts w:asciiTheme="minorHAnsi" w:hAnsiTheme="minorHAnsi" w:cstheme="minorHAnsi"/>
        </w:rPr>
        <w:t>lso,</w:t>
      </w:r>
      <w:r w:rsidR="008B5987" w:rsidRPr="00A111B6">
        <w:rPr>
          <w:rFonts w:asciiTheme="minorHAnsi" w:hAnsiTheme="minorHAnsi" w:cstheme="minorHAnsi"/>
        </w:rPr>
        <w:t xml:space="preserve"> </w:t>
      </w:r>
      <w:r w:rsidR="002F2D1E" w:rsidRPr="00A111B6">
        <w:rPr>
          <w:rFonts w:asciiTheme="minorHAnsi" w:hAnsiTheme="minorHAnsi" w:cstheme="minorHAnsi"/>
        </w:rPr>
        <w:t xml:space="preserve">there </w:t>
      </w:r>
      <w:r w:rsidR="002F2D1E" w:rsidRPr="00A111B6">
        <w:rPr>
          <w:rFonts w:asciiTheme="minorHAnsi" w:hAnsiTheme="minorHAnsi" w:cstheme="minorHAnsi"/>
          <w:lang w:val="en-GB"/>
        </w:rPr>
        <w:t xml:space="preserve">was </w:t>
      </w:r>
      <w:r w:rsidR="001C695A">
        <w:rPr>
          <w:rFonts w:asciiTheme="minorHAnsi" w:hAnsiTheme="minorHAnsi" w:cstheme="minorHAnsi"/>
          <w:lang w:val="en-GB"/>
        </w:rPr>
        <w:t>no</w:t>
      </w:r>
      <w:r w:rsidR="002F2D1E" w:rsidRPr="00A111B6">
        <w:rPr>
          <w:rFonts w:asciiTheme="minorHAnsi" w:hAnsiTheme="minorHAnsi" w:cstheme="minorHAnsi"/>
          <w:lang w:val="en-GB"/>
        </w:rPr>
        <w:t xml:space="preserve"> clear channel </w:t>
      </w:r>
      <w:r w:rsidR="001C695A">
        <w:rPr>
          <w:rFonts w:asciiTheme="minorHAnsi" w:hAnsiTheme="minorHAnsi" w:cstheme="minorHAnsi"/>
          <w:lang w:val="en-GB"/>
        </w:rPr>
        <w:t>for</w:t>
      </w:r>
      <w:r w:rsidR="001C695A" w:rsidRPr="00A111B6">
        <w:rPr>
          <w:rFonts w:asciiTheme="minorHAnsi" w:hAnsiTheme="minorHAnsi" w:cstheme="minorHAnsi"/>
          <w:lang w:val="en-GB"/>
        </w:rPr>
        <w:t xml:space="preserve"> </w:t>
      </w:r>
      <w:r w:rsidR="002F2D1E" w:rsidRPr="00A111B6">
        <w:rPr>
          <w:rFonts w:asciiTheme="minorHAnsi" w:hAnsiTheme="minorHAnsi" w:cstheme="minorHAnsi"/>
          <w:lang w:val="en-GB"/>
        </w:rPr>
        <w:t>choosing providers such as for emerging technologies and many of the adopted alternative translation mechanisms are not effective. It is recommended that a call for expression of interest/bid for alternative translation mechanisms is considered, as opposed to direct sourcing of suppliers. C&amp;P Management commented that it was currently working on a call for bids with an estimated completion date in Q1 of 2019</w:t>
      </w:r>
      <w:r w:rsidRPr="00A111B6">
        <w:rPr>
          <w:rFonts w:asciiTheme="minorHAnsi" w:hAnsiTheme="minorHAnsi" w:cstheme="minorHAnsi"/>
        </w:rPr>
        <w:t xml:space="preserve">. </w:t>
      </w:r>
    </w:p>
    <w:p w14:paraId="11D6BEE4" w14:textId="1CCE1061" w:rsidR="00E178D7" w:rsidRPr="00A111B6" w:rsidRDefault="00045B71" w:rsidP="0070420C">
      <w:pPr>
        <w:pStyle w:val="Default"/>
        <w:spacing w:before="120" w:after="120"/>
        <w:jc w:val="both"/>
        <w:rPr>
          <w:rFonts w:asciiTheme="minorHAnsi" w:hAnsiTheme="minorHAnsi" w:cstheme="minorHAnsi"/>
        </w:rPr>
      </w:pPr>
      <w:r>
        <w:rPr>
          <w:rFonts w:asciiTheme="minorHAnsi" w:hAnsiTheme="minorHAnsi" w:cstheme="minorHAnsi"/>
        </w:rPr>
        <w:t>D</w:t>
      </w:r>
      <w:r w:rsidR="002F2D1E" w:rsidRPr="00A111B6">
        <w:rPr>
          <w:rFonts w:asciiTheme="minorHAnsi" w:hAnsiTheme="minorHAnsi" w:cstheme="minorHAnsi"/>
        </w:rPr>
        <w:t xml:space="preserve">uring a follow-up exercise </w:t>
      </w:r>
      <w:r>
        <w:rPr>
          <w:rFonts w:asciiTheme="minorHAnsi" w:hAnsiTheme="minorHAnsi" w:cstheme="minorHAnsi"/>
        </w:rPr>
        <w:t xml:space="preserve">by IA </w:t>
      </w:r>
      <w:r w:rsidR="002F2D1E" w:rsidRPr="00A111B6">
        <w:rPr>
          <w:rFonts w:asciiTheme="minorHAnsi" w:hAnsiTheme="minorHAnsi" w:cstheme="minorHAnsi"/>
        </w:rPr>
        <w:t>in early 2019 it was found that the anticipated time-frames for completion of the implementation have been moved towards the end of 2019</w:t>
      </w:r>
      <w:r w:rsidR="00C44090">
        <w:rPr>
          <w:rFonts w:asciiTheme="minorHAnsi" w:hAnsiTheme="minorHAnsi" w:cstheme="minorHAnsi"/>
        </w:rPr>
        <w:t>.</w:t>
      </w:r>
    </w:p>
    <w:p w14:paraId="18BF3791" w14:textId="6481DD03" w:rsidR="00706AAD" w:rsidRDefault="00E178D7" w:rsidP="0070420C">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A111B6">
        <w:rPr>
          <w:rFonts w:asciiTheme="minorHAnsi" w:hAnsiTheme="minorHAnsi" w:cstheme="minorHAnsi"/>
          <w:sz w:val="24"/>
          <w:szCs w:val="24"/>
          <w:lang w:val="en-US"/>
        </w:rPr>
        <w:t xml:space="preserve"> Overall, IA is of the opinion that </w:t>
      </w:r>
      <w:r w:rsidR="00FE58A1" w:rsidRPr="00A111B6">
        <w:rPr>
          <w:rFonts w:asciiTheme="minorHAnsi" w:hAnsiTheme="minorHAnsi" w:cstheme="minorHAnsi"/>
          <w:sz w:val="24"/>
          <w:szCs w:val="24"/>
          <w:lang w:val="en-US"/>
        </w:rPr>
        <w:t>the risk management with respect to translation activities is adequate and that resources are used reasonably efficiently and economically. Governance processes and internal controls are partially adequate with improvement needed in the area of policies and procedures as well as in some aspects of internal capacity. If these areas were addressed, the Secretary-General could be provided with reasonable assurance that –</w:t>
      </w:r>
      <w:r w:rsidR="00C44090">
        <w:rPr>
          <w:rFonts w:asciiTheme="minorHAnsi" w:hAnsiTheme="minorHAnsi" w:cstheme="minorHAnsi"/>
          <w:sz w:val="24"/>
          <w:szCs w:val="24"/>
          <w:lang w:val="en-US"/>
        </w:rPr>
        <w:t xml:space="preserve"> </w:t>
      </w:r>
      <w:r w:rsidR="00FE58A1" w:rsidRPr="00A111B6">
        <w:rPr>
          <w:rFonts w:asciiTheme="minorHAnsi" w:hAnsiTheme="minorHAnsi" w:cstheme="minorHAnsi"/>
          <w:sz w:val="24"/>
          <w:szCs w:val="24"/>
          <w:lang w:val="en-US"/>
        </w:rPr>
        <w:t>for translation activities</w:t>
      </w:r>
      <w:r w:rsidR="00C44090">
        <w:rPr>
          <w:rFonts w:asciiTheme="minorHAnsi" w:hAnsiTheme="minorHAnsi" w:cstheme="minorHAnsi"/>
          <w:sz w:val="24"/>
          <w:szCs w:val="24"/>
          <w:lang w:val="en-US"/>
        </w:rPr>
        <w:t xml:space="preserve"> </w:t>
      </w:r>
      <w:r w:rsidR="00C44090" w:rsidRPr="00A111B6">
        <w:rPr>
          <w:rFonts w:asciiTheme="minorHAnsi" w:hAnsiTheme="minorHAnsi" w:cstheme="minorHAnsi"/>
          <w:sz w:val="24"/>
          <w:szCs w:val="24"/>
          <w:lang w:val="en-US"/>
        </w:rPr>
        <w:t>–</w:t>
      </w:r>
      <w:r w:rsidR="00C44090">
        <w:rPr>
          <w:rFonts w:asciiTheme="minorHAnsi" w:hAnsiTheme="minorHAnsi" w:cstheme="minorHAnsi"/>
          <w:sz w:val="24"/>
          <w:szCs w:val="24"/>
          <w:lang w:val="en-US"/>
        </w:rPr>
        <w:t xml:space="preserve"> </w:t>
      </w:r>
      <w:r w:rsidR="00FE58A1" w:rsidRPr="00A111B6">
        <w:rPr>
          <w:rFonts w:asciiTheme="minorHAnsi" w:hAnsiTheme="minorHAnsi" w:cstheme="minorHAnsi"/>
          <w:sz w:val="24"/>
          <w:szCs w:val="24"/>
          <w:lang w:val="en-US"/>
        </w:rPr>
        <w:t>there is adequate governance and risk management, and that controls are effective</w:t>
      </w:r>
      <w:r w:rsidRPr="00A111B6">
        <w:rPr>
          <w:rFonts w:asciiTheme="minorHAnsi" w:hAnsiTheme="minorHAnsi" w:cstheme="minorHAnsi"/>
          <w:sz w:val="24"/>
          <w:szCs w:val="24"/>
          <w:lang w:val="en-US"/>
        </w:rPr>
        <w:t>.</w:t>
      </w:r>
    </w:p>
    <w:p w14:paraId="6E12870F" w14:textId="0E1E6899" w:rsidR="00B763B8" w:rsidRPr="00A111B6" w:rsidRDefault="00B763B8" w:rsidP="0070420C">
      <w:pPr>
        <w:pStyle w:val="FootnoteText"/>
        <w:keepLines w:val="0"/>
        <w:numPr>
          <w:ilvl w:val="0"/>
          <w:numId w:val="3"/>
        </w:numPr>
        <w:tabs>
          <w:tab w:val="clear" w:pos="256"/>
          <w:tab w:val="clear" w:pos="567"/>
          <w:tab w:val="clear" w:pos="1134"/>
          <w:tab w:val="clear" w:pos="1701"/>
          <w:tab w:val="clear" w:pos="2268"/>
          <w:tab w:val="clear" w:pos="2835"/>
        </w:tabs>
        <w:overflowPunct/>
        <w:autoSpaceDE/>
        <w:autoSpaceDN/>
        <w:snapToGrid w:val="0"/>
        <w:spacing w:after="120"/>
        <w:ind w:left="709" w:firstLine="0"/>
        <w:jc w:val="both"/>
        <w:textAlignment w:val="auto"/>
        <w:rPr>
          <w:rFonts w:asciiTheme="minorHAnsi" w:hAnsiTheme="minorHAnsi" w:cstheme="minorHAnsi"/>
          <w:b/>
          <w:bCs/>
          <w:i/>
          <w:iCs/>
          <w:szCs w:val="24"/>
        </w:rPr>
      </w:pPr>
      <w:r w:rsidRPr="00A111B6">
        <w:rPr>
          <w:rFonts w:asciiTheme="minorHAnsi" w:hAnsiTheme="minorHAnsi" w:cstheme="minorHAnsi"/>
          <w:b/>
          <w:bCs/>
          <w:i/>
          <w:iCs/>
          <w:szCs w:val="24"/>
        </w:rPr>
        <w:t>Audit of</w:t>
      </w:r>
      <w:r w:rsidR="00E178D7" w:rsidRPr="00A111B6">
        <w:rPr>
          <w:rFonts w:asciiTheme="minorHAnsi" w:hAnsiTheme="minorHAnsi" w:cstheme="minorHAnsi"/>
          <w:b/>
          <w:bCs/>
          <w:i/>
          <w:iCs/>
          <w:szCs w:val="24"/>
        </w:rPr>
        <w:t xml:space="preserve"> overtime arrangements</w:t>
      </w:r>
    </w:p>
    <w:p w14:paraId="57D42F00" w14:textId="277D4F9B" w:rsidR="00B763B8" w:rsidRPr="00A111B6" w:rsidRDefault="0030275D" w:rsidP="0070420C">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A111B6">
        <w:rPr>
          <w:rFonts w:asciiTheme="minorHAnsi" w:hAnsiTheme="minorHAnsi" w:cstheme="minorHAnsi"/>
          <w:sz w:val="24"/>
          <w:szCs w:val="24"/>
          <w:lang w:val="en-US"/>
        </w:rPr>
        <w:t xml:space="preserve">IA </w:t>
      </w:r>
      <w:r w:rsidRPr="00A111B6">
        <w:rPr>
          <w:rFonts w:asciiTheme="minorHAnsi" w:hAnsiTheme="minorHAnsi" w:cstheme="minorHAnsi"/>
          <w:sz w:val="24"/>
          <w:szCs w:val="24"/>
          <w:lang w:val="en-GB"/>
        </w:rPr>
        <w:t xml:space="preserve">conducted </w:t>
      </w:r>
      <w:r w:rsidR="00D53999" w:rsidRPr="00A111B6">
        <w:rPr>
          <w:rFonts w:asciiTheme="minorHAnsi" w:hAnsiTheme="minorHAnsi" w:cstheme="minorHAnsi"/>
          <w:sz w:val="24"/>
          <w:szCs w:val="24"/>
          <w:lang w:val="en-GB"/>
        </w:rPr>
        <w:t>an audit of Overtime Arrangements in ITU covering the period from January 2015 to April 2018. This audit reviewed information related to overtime policies,</w:t>
      </w:r>
      <w:r w:rsidR="00D53999" w:rsidRPr="00A111B6">
        <w:rPr>
          <w:rFonts w:asciiTheme="minorHAnsi" w:hAnsiTheme="minorHAnsi" w:cstheme="minorHAnsi"/>
          <w:sz w:val="24"/>
          <w:szCs w:val="24"/>
          <w:lang w:val="en-US"/>
        </w:rPr>
        <w:t xml:space="preserve"> </w:t>
      </w:r>
      <w:proofErr w:type="spellStart"/>
      <w:r w:rsidR="00D53999" w:rsidRPr="00A111B6">
        <w:rPr>
          <w:rFonts w:asciiTheme="minorHAnsi" w:hAnsiTheme="minorHAnsi" w:cstheme="minorHAnsi"/>
          <w:sz w:val="24"/>
          <w:szCs w:val="24"/>
          <w:lang w:val="en-US"/>
        </w:rPr>
        <w:t>authoriz</w:t>
      </w:r>
      <w:r w:rsidR="00D53999" w:rsidRPr="00A111B6">
        <w:rPr>
          <w:rFonts w:asciiTheme="minorHAnsi" w:hAnsiTheme="minorHAnsi" w:cstheme="minorHAnsi"/>
          <w:sz w:val="24"/>
          <w:szCs w:val="24"/>
          <w:lang w:val="en-GB"/>
        </w:rPr>
        <w:t>ation</w:t>
      </w:r>
      <w:proofErr w:type="spellEnd"/>
      <w:r w:rsidR="00D53999" w:rsidRPr="00A111B6">
        <w:rPr>
          <w:rFonts w:asciiTheme="minorHAnsi" w:hAnsiTheme="minorHAnsi" w:cstheme="minorHAnsi"/>
          <w:sz w:val="24"/>
          <w:szCs w:val="24"/>
          <w:lang w:val="en-GB"/>
        </w:rPr>
        <w:t xml:space="preserve"> process, procedures, compliance</w:t>
      </w:r>
      <w:r w:rsidR="000207A3">
        <w:rPr>
          <w:rFonts w:asciiTheme="minorHAnsi" w:hAnsiTheme="minorHAnsi" w:cstheme="minorHAnsi"/>
          <w:sz w:val="24"/>
          <w:szCs w:val="24"/>
          <w:lang w:val="en-GB"/>
        </w:rPr>
        <w:t>,</w:t>
      </w:r>
      <w:r w:rsidR="00D53999" w:rsidRPr="00A111B6">
        <w:rPr>
          <w:rFonts w:asciiTheme="minorHAnsi" w:hAnsiTheme="minorHAnsi" w:cstheme="minorHAnsi"/>
          <w:sz w:val="24"/>
          <w:szCs w:val="24"/>
          <w:lang w:val="en-GB"/>
        </w:rPr>
        <w:t xml:space="preserve"> and economy and efficiency in utilization of overtime resources</w:t>
      </w:r>
      <w:r w:rsidRPr="00A111B6">
        <w:rPr>
          <w:rFonts w:asciiTheme="minorHAnsi" w:hAnsiTheme="minorHAnsi" w:cstheme="minorHAnsi"/>
          <w:sz w:val="24"/>
          <w:szCs w:val="24"/>
          <w:lang w:val="en-US"/>
        </w:rPr>
        <w:t>.</w:t>
      </w:r>
    </w:p>
    <w:p w14:paraId="19635933" w14:textId="7AA48099" w:rsidR="0030275D" w:rsidRPr="00A111B6" w:rsidRDefault="0030275D" w:rsidP="0070420C">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A111B6">
        <w:rPr>
          <w:rFonts w:asciiTheme="minorHAnsi" w:hAnsiTheme="minorHAnsi" w:cstheme="minorHAnsi"/>
          <w:sz w:val="24"/>
          <w:szCs w:val="24"/>
          <w:lang w:val="en-US"/>
        </w:rPr>
        <w:t xml:space="preserve">IA </w:t>
      </w:r>
      <w:r w:rsidR="00706AAD" w:rsidRPr="00A111B6">
        <w:rPr>
          <w:rFonts w:asciiTheme="minorHAnsi" w:hAnsiTheme="minorHAnsi" w:cstheme="minorHAnsi"/>
          <w:sz w:val="24"/>
          <w:szCs w:val="24"/>
          <w:lang w:val="en-US"/>
        </w:rPr>
        <w:t>concluded, as high priority matters on a number of issues</w:t>
      </w:r>
      <w:r w:rsidR="00DC7F97" w:rsidRPr="00A111B6">
        <w:rPr>
          <w:rFonts w:asciiTheme="minorHAnsi" w:hAnsiTheme="minorHAnsi" w:cstheme="minorHAnsi"/>
          <w:sz w:val="24"/>
          <w:szCs w:val="24"/>
          <w:lang w:val="en-US"/>
        </w:rPr>
        <w:t xml:space="preserve"> as follows</w:t>
      </w:r>
      <w:r w:rsidRPr="00A111B6">
        <w:rPr>
          <w:rFonts w:asciiTheme="minorHAnsi" w:hAnsiTheme="minorHAnsi" w:cstheme="minorHAnsi"/>
          <w:sz w:val="24"/>
          <w:szCs w:val="24"/>
          <w:lang w:val="en-US"/>
        </w:rPr>
        <w:t xml:space="preserve">: </w:t>
      </w:r>
    </w:p>
    <w:p w14:paraId="52ACA433" w14:textId="43F5BA69" w:rsidR="0030275D" w:rsidRPr="00A111B6" w:rsidRDefault="0030275D" w:rsidP="0070420C">
      <w:pPr>
        <w:pStyle w:val="Default"/>
        <w:numPr>
          <w:ilvl w:val="0"/>
          <w:numId w:val="7"/>
        </w:numPr>
        <w:spacing w:before="120" w:after="20"/>
        <w:jc w:val="both"/>
        <w:rPr>
          <w:rFonts w:asciiTheme="minorHAnsi" w:hAnsiTheme="minorHAnsi" w:cstheme="minorHAnsi"/>
        </w:rPr>
      </w:pPr>
      <w:r w:rsidRPr="00A111B6">
        <w:rPr>
          <w:rFonts w:asciiTheme="minorHAnsi" w:hAnsiTheme="minorHAnsi" w:cstheme="minorHAnsi"/>
        </w:rPr>
        <w:t>The</w:t>
      </w:r>
      <w:r w:rsidR="0070420C">
        <w:rPr>
          <w:rFonts w:asciiTheme="minorHAnsi" w:hAnsiTheme="minorHAnsi" w:cstheme="minorHAnsi"/>
        </w:rPr>
        <w:t xml:space="preserve"> </w:t>
      </w:r>
      <w:r w:rsidR="0070420C" w:rsidRPr="00A111B6">
        <w:rPr>
          <w:rFonts w:asciiTheme="minorHAnsi" w:hAnsiTheme="minorHAnsi" w:cstheme="minorHAnsi"/>
          <w:lang w:val="en-GB"/>
        </w:rPr>
        <w:t>procedures</w:t>
      </w:r>
      <w:r w:rsidR="00D53999" w:rsidRPr="00A111B6">
        <w:rPr>
          <w:rFonts w:asciiTheme="minorHAnsi" w:hAnsiTheme="minorHAnsi" w:cstheme="minorHAnsi"/>
          <w:lang w:val="en-GB"/>
        </w:rPr>
        <w:t>, guidance</w:t>
      </w:r>
      <w:r w:rsidR="000207A3">
        <w:rPr>
          <w:rFonts w:asciiTheme="minorHAnsi" w:hAnsiTheme="minorHAnsi" w:cstheme="minorHAnsi"/>
          <w:lang w:val="en-GB"/>
        </w:rPr>
        <w:t>,</w:t>
      </w:r>
      <w:r w:rsidR="00D53999" w:rsidRPr="00A111B6">
        <w:rPr>
          <w:rFonts w:asciiTheme="minorHAnsi" w:hAnsiTheme="minorHAnsi" w:cstheme="minorHAnsi"/>
          <w:lang w:val="en-GB"/>
        </w:rPr>
        <w:t xml:space="preserve"> and training to manage heavy workloads periods</w:t>
      </w:r>
      <w:r w:rsidR="00D53999" w:rsidRPr="00A111B6">
        <w:rPr>
          <w:rFonts w:asciiTheme="minorHAnsi" w:hAnsiTheme="minorHAnsi" w:cstheme="minorHAnsi"/>
        </w:rPr>
        <w:t xml:space="preserve"> are absent which leads to uneconomical</w:t>
      </w:r>
      <w:r w:rsidR="00D53999" w:rsidRPr="00A111B6">
        <w:rPr>
          <w:rFonts w:asciiTheme="minorHAnsi" w:hAnsiTheme="minorHAnsi" w:cstheme="minorHAnsi"/>
          <w:lang w:val="en-GB"/>
        </w:rPr>
        <w:t xml:space="preserve"> and </w:t>
      </w:r>
      <w:r w:rsidR="00D53999" w:rsidRPr="00A111B6">
        <w:rPr>
          <w:rFonts w:asciiTheme="minorHAnsi" w:hAnsiTheme="minorHAnsi" w:cstheme="minorHAnsi"/>
        </w:rPr>
        <w:t>in</w:t>
      </w:r>
      <w:proofErr w:type="spellStart"/>
      <w:r w:rsidR="00D53999" w:rsidRPr="00A111B6">
        <w:rPr>
          <w:rFonts w:asciiTheme="minorHAnsi" w:hAnsiTheme="minorHAnsi" w:cstheme="minorHAnsi"/>
          <w:lang w:val="en-GB"/>
        </w:rPr>
        <w:t>efficien</w:t>
      </w:r>
      <w:proofErr w:type="spellEnd"/>
      <w:r w:rsidR="00D53999" w:rsidRPr="00A111B6">
        <w:rPr>
          <w:rFonts w:asciiTheme="minorHAnsi" w:hAnsiTheme="minorHAnsi" w:cstheme="minorHAnsi"/>
        </w:rPr>
        <w:t xml:space="preserve">t </w:t>
      </w:r>
      <w:r w:rsidR="00D53999" w:rsidRPr="00A111B6">
        <w:rPr>
          <w:rFonts w:asciiTheme="minorHAnsi" w:hAnsiTheme="minorHAnsi" w:cstheme="minorHAnsi"/>
          <w:lang w:val="en-GB"/>
        </w:rPr>
        <w:t>utilization of resources for overtime activities</w:t>
      </w:r>
      <w:r w:rsidR="00D53999" w:rsidRPr="00A111B6">
        <w:rPr>
          <w:rFonts w:asciiTheme="minorHAnsi" w:hAnsiTheme="minorHAnsi" w:cstheme="minorHAnsi"/>
        </w:rPr>
        <w:t>. It was recommended that a quarterly review of overtime patterns are provided to managers, which would also serve as advice on the status of overtime in the respective units/departments</w:t>
      </w:r>
      <w:r w:rsidRPr="00A111B6">
        <w:rPr>
          <w:rFonts w:asciiTheme="minorHAnsi" w:hAnsiTheme="minorHAnsi" w:cstheme="minorHAnsi"/>
        </w:rPr>
        <w:t xml:space="preserve">. </w:t>
      </w:r>
    </w:p>
    <w:p w14:paraId="3762CC00" w14:textId="33062377" w:rsidR="0030275D" w:rsidRPr="00A111B6" w:rsidRDefault="0030275D" w:rsidP="0070420C">
      <w:pPr>
        <w:pStyle w:val="Default"/>
        <w:numPr>
          <w:ilvl w:val="0"/>
          <w:numId w:val="7"/>
        </w:numPr>
        <w:spacing w:before="20" w:after="120"/>
        <w:jc w:val="both"/>
        <w:rPr>
          <w:rFonts w:asciiTheme="minorHAnsi" w:hAnsiTheme="minorHAnsi" w:cstheme="minorHAnsi"/>
        </w:rPr>
      </w:pPr>
      <w:r w:rsidRPr="00A111B6">
        <w:rPr>
          <w:rFonts w:asciiTheme="minorHAnsi" w:hAnsiTheme="minorHAnsi" w:cstheme="minorHAnsi"/>
        </w:rPr>
        <w:t>Furthermore it was concluded that</w:t>
      </w:r>
      <w:r w:rsidR="00D53999" w:rsidRPr="00A111B6">
        <w:rPr>
          <w:rFonts w:asciiTheme="minorHAnsi" w:hAnsiTheme="minorHAnsi" w:cstheme="minorHAnsi"/>
        </w:rPr>
        <w:t xml:space="preserve"> the policy regarding maximum </w:t>
      </w:r>
      <w:r w:rsidR="00D53999" w:rsidRPr="00A111B6">
        <w:rPr>
          <w:rFonts w:asciiTheme="minorHAnsi" w:hAnsiTheme="minorHAnsi" w:cstheme="minorHAnsi"/>
          <w:lang w:val="en-GB"/>
        </w:rPr>
        <w:t xml:space="preserve">40 hours of overtime during one month </w:t>
      </w:r>
      <w:r w:rsidR="00D53999" w:rsidRPr="00A111B6">
        <w:rPr>
          <w:rFonts w:asciiTheme="minorHAnsi" w:hAnsiTheme="minorHAnsi" w:cstheme="minorHAnsi"/>
        </w:rPr>
        <w:t>and 1</w:t>
      </w:r>
      <w:r w:rsidR="000207A3">
        <w:rPr>
          <w:rFonts w:asciiTheme="minorHAnsi" w:hAnsiTheme="minorHAnsi" w:cstheme="minorHAnsi"/>
          <w:lang w:val="en-GB"/>
        </w:rPr>
        <w:t>2 hours in any 24-</w:t>
      </w:r>
      <w:r w:rsidR="00D53999" w:rsidRPr="00A111B6">
        <w:rPr>
          <w:rFonts w:asciiTheme="minorHAnsi" w:hAnsiTheme="minorHAnsi" w:cstheme="minorHAnsi"/>
          <w:lang w:val="en-GB"/>
        </w:rPr>
        <w:t xml:space="preserve">hour period </w:t>
      </w:r>
      <w:r w:rsidR="00D53999" w:rsidRPr="00A111B6">
        <w:rPr>
          <w:rFonts w:asciiTheme="minorHAnsi" w:hAnsiTheme="minorHAnsi" w:cstheme="minorHAnsi"/>
        </w:rPr>
        <w:t xml:space="preserve">is not always complied with. The exceptional circumstance concept </w:t>
      </w:r>
      <w:r w:rsidR="001C695A">
        <w:rPr>
          <w:rFonts w:asciiTheme="minorHAnsi" w:hAnsiTheme="minorHAnsi" w:cstheme="minorHAnsi"/>
        </w:rPr>
        <w:t>to</w:t>
      </w:r>
      <w:r w:rsidR="001C695A" w:rsidRPr="00A111B6">
        <w:rPr>
          <w:rFonts w:asciiTheme="minorHAnsi" w:hAnsiTheme="minorHAnsi" w:cstheme="minorHAnsi"/>
        </w:rPr>
        <w:t xml:space="preserve"> </w:t>
      </w:r>
      <w:r w:rsidR="00D53999" w:rsidRPr="00A111B6">
        <w:rPr>
          <w:rFonts w:asciiTheme="minorHAnsi" w:hAnsiTheme="minorHAnsi" w:cstheme="minorHAnsi"/>
        </w:rPr>
        <w:t xml:space="preserve">deviate from that policy is not clearly defined and leads to thus </w:t>
      </w:r>
      <w:r w:rsidR="001C695A">
        <w:rPr>
          <w:rFonts w:asciiTheme="minorHAnsi" w:hAnsiTheme="minorHAnsi" w:cstheme="minorHAnsi"/>
        </w:rPr>
        <w:t>a</w:t>
      </w:r>
      <w:r w:rsidR="001C695A" w:rsidRPr="00A111B6">
        <w:rPr>
          <w:rFonts w:asciiTheme="minorHAnsi" w:hAnsiTheme="minorHAnsi" w:cstheme="minorHAnsi"/>
        </w:rPr>
        <w:t xml:space="preserve"> </w:t>
      </w:r>
      <w:r w:rsidR="00D53999" w:rsidRPr="00A111B6">
        <w:rPr>
          <w:rFonts w:asciiTheme="minorHAnsi" w:hAnsiTheme="minorHAnsi" w:cstheme="minorHAnsi"/>
        </w:rPr>
        <w:t>lack of compliance of policies and procedures. It was recommended that, in the interest of staff health and safety, the limits described above should be enforced</w:t>
      </w:r>
      <w:r w:rsidRPr="00A111B6">
        <w:rPr>
          <w:rFonts w:asciiTheme="minorHAnsi" w:hAnsiTheme="minorHAnsi" w:cstheme="minorHAnsi"/>
        </w:rPr>
        <w:t xml:space="preserve">. </w:t>
      </w:r>
    </w:p>
    <w:p w14:paraId="58FFD451" w14:textId="69E1D074" w:rsidR="00B131D7" w:rsidRPr="00A111B6" w:rsidRDefault="00035B7B" w:rsidP="0070420C">
      <w:pPr>
        <w:pStyle w:val="Default"/>
        <w:spacing w:before="120" w:after="120"/>
        <w:jc w:val="both"/>
        <w:rPr>
          <w:rFonts w:asciiTheme="minorHAnsi" w:hAnsiTheme="minorHAnsi" w:cstheme="minorHAnsi"/>
        </w:rPr>
      </w:pPr>
      <w:r w:rsidRPr="00A111B6">
        <w:rPr>
          <w:rFonts w:asciiTheme="minorHAnsi" w:hAnsiTheme="minorHAnsi" w:cstheme="minorHAnsi"/>
        </w:rPr>
        <w:t>R</w:t>
      </w:r>
      <w:r w:rsidR="00B131D7" w:rsidRPr="00A111B6">
        <w:rPr>
          <w:rFonts w:asciiTheme="minorHAnsi" w:hAnsiTheme="minorHAnsi" w:cstheme="minorHAnsi"/>
        </w:rPr>
        <w:t xml:space="preserve">ecommendations were accepted by the </w:t>
      </w:r>
      <w:r w:rsidR="009E4A7E" w:rsidRPr="00A111B6">
        <w:rPr>
          <w:rFonts w:asciiTheme="minorHAnsi" w:hAnsiTheme="minorHAnsi" w:cstheme="minorHAnsi"/>
        </w:rPr>
        <w:t xml:space="preserve">HRMD </w:t>
      </w:r>
      <w:r w:rsidR="00B131D7" w:rsidRPr="00A111B6">
        <w:rPr>
          <w:rFonts w:asciiTheme="minorHAnsi" w:hAnsiTheme="minorHAnsi" w:cstheme="minorHAnsi"/>
        </w:rPr>
        <w:t>manage</w:t>
      </w:r>
      <w:r w:rsidR="009E4A7E" w:rsidRPr="00A111B6">
        <w:rPr>
          <w:rFonts w:asciiTheme="minorHAnsi" w:hAnsiTheme="minorHAnsi" w:cstheme="minorHAnsi"/>
        </w:rPr>
        <w:t>ment</w:t>
      </w:r>
      <w:r w:rsidR="00B131D7" w:rsidRPr="00A111B6">
        <w:rPr>
          <w:rFonts w:asciiTheme="minorHAnsi" w:hAnsiTheme="minorHAnsi" w:cstheme="minorHAnsi"/>
        </w:rPr>
        <w:t>.</w:t>
      </w:r>
    </w:p>
    <w:p w14:paraId="08C09316" w14:textId="77DB84A4" w:rsidR="00295D68" w:rsidRDefault="00B763B8" w:rsidP="0070420C">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A111B6">
        <w:rPr>
          <w:rFonts w:asciiTheme="minorHAnsi" w:hAnsiTheme="minorHAnsi" w:cstheme="minorHAnsi"/>
          <w:sz w:val="24"/>
          <w:szCs w:val="24"/>
          <w:lang w:val="en-US"/>
        </w:rPr>
        <w:t xml:space="preserve"> </w:t>
      </w:r>
      <w:r w:rsidR="0030275D" w:rsidRPr="00A111B6">
        <w:rPr>
          <w:rFonts w:asciiTheme="minorHAnsi" w:hAnsiTheme="minorHAnsi" w:cstheme="minorHAnsi"/>
          <w:sz w:val="24"/>
          <w:szCs w:val="24"/>
          <w:lang w:val="en-US"/>
        </w:rPr>
        <w:t xml:space="preserve">Overall, IA is of the opinion that </w:t>
      </w:r>
      <w:r w:rsidR="00C62E99" w:rsidRPr="00A111B6">
        <w:rPr>
          <w:rFonts w:asciiTheme="minorHAnsi" w:hAnsiTheme="minorHAnsi" w:cstheme="minorHAnsi"/>
          <w:sz w:val="24"/>
          <w:szCs w:val="24"/>
          <w:lang w:val="en-US"/>
        </w:rPr>
        <w:t>the governance processes with respect to overtime are outdated and that the controls are not sufficiently adequate. In terms of risk management Internal Audit is of the opinion that resources are not used efficiently and economically. Improvement is thus needed in these areas in order to provide to the Secretary-General reasonable assurance that –</w:t>
      </w:r>
      <w:r w:rsidR="00A76AFF">
        <w:rPr>
          <w:rFonts w:asciiTheme="minorHAnsi" w:hAnsiTheme="minorHAnsi" w:cstheme="minorHAnsi"/>
          <w:sz w:val="24"/>
          <w:szCs w:val="24"/>
          <w:lang w:val="en-US"/>
        </w:rPr>
        <w:t xml:space="preserve"> for overtime arrangements </w:t>
      </w:r>
      <w:r w:rsidR="00A76AFF" w:rsidRPr="00A111B6">
        <w:rPr>
          <w:rFonts w:asciiTheme="minorHAnsi" w:hAnsiTheme="minorHAnsi" w:cstheme="minorHAnsi"/>
          <w:sz w:val="24"/>
          <w:szCs w:val="24"/>
          <w:lang w:val="en-US"/>
        </w:rPr>
        <w:t>–</w:t>
      </w:r>
      <w:r w:rsidR="00A76AFF">
        <w:rPr>
          <w:rFonts w:asciiTheme="minorHAnsi" w:hAnsiTheme="minorHAnsi" w:cstheme="minorHAnsi"/>
          <w:sz w:val="24"/>
          <w:szCs w:val="24"/>
          <w:lang w:val="en-US"/>
        </w:rPr>
        <w:t xml:space="preserve"> </w:t>
      </w:r>
      <w:r w:rsidR="00C62E99" w:rsidRPr="00A111B6">
        <w:rPr>
          <w:rFonts w:asciiTheme="minorHAnsi" w:hAnsiTheme="minorHAnsi" w:cstheme="minorHAnsi"/>
          <w:sz w:val="24"/>
          <w:szCs w:val="24"/>
          <w:lang w:val="en-US"/>
        </w:rPr>
        <w:t>there is adequate governance and risk management, and that controls are effective</w:t>
      </w:r>
      <w:r w:rsidR="0030275D" w:rsidRPr="00A111B6">
        <w:rPr>
          <w:rFonts w:asciiTheme="minorHAnsi" w:hAnsiTheme="minorHAnsi" w:cstheme="minorHAnsi"/>
          <w:sz w:val="24"/>
          <w:szCs w:val="24"/>
          <w:lang w:val="en-US"/>
        </w:rPr>
        <w:t>.</w:t>
      </w:r>
    </w:p>
    <w:p w14:paraId="4CDA5B1A" w14:textId="52B33080" w:rsidR="00286B22" w:rsidRPr="00A111B6" w:rsidRDefault="00E178D7" w:rsidP="00F4665F">
      <w:pPr>
        <w:pStyle w:val="FootnoteText"/>
        <w:keepNext/>
        <w:keepLines w:val="0"/>
        <w:numPr>
          <w:ilvl w:val="0"/>
          <w:numId w:val="3"/>
        </w:numPr>
        <w:tabs>
          <w:tab w:val="clear" w:pos="256"/>
          <w:tab w:val="clear" w:pos="567"/>
          <w:tab w:val="clear" w:pos="1134"/>
          <w:tab w:val="clear" w:pos="1701"/>
          <w:tab w:val="clear" w:pos="2268"/>
          <w:tab w:val="clear" w:pos="2835"/>
        </w:tabs>
        <w:overflowPunct/>
        <w:autoSpaceDE/>
        <w:autoSpaceDN/>
        <w:snapToGrid w:val="0"/>
        <w:spacing w:after="120"/>
        <w:ind w:left="709" w:firstLine="0"/>
        <w:jc w:val="both"/>
        <w:textAlignment w:val="auto"/>
        <w:rPr>
          <w:rFonts w:asciiTheme="minorHAnsi" w:hAnsiTheme="minorHAnsi" w:cstheme="minorHAnsi"/>
          <w:b/>
          <w:bCs/>
          <w:i/>
          <w:iCs/>
          <w:szCs w:val="24"/>
        </w:rPr>
      </w:pPr>
      <w:r w:rsidRPr="00A111B6">
        <w:rPr>
          <w:rFonts w:asciiTheme="minorHAnsi" w:hAnsiTheme="minorHAnsi" w:cstheme="minorHAnsi"/>
          <w:b/>
          <w:bCs/>
          <w:i/>
          <w:iCs/>
          <w:szCs w:val="24"/>
        </w:rPr>
        <w:lastRenderedPageBreak/>
        <w:t>Inspection of Staff credentials</w:t>
      </w:r>
      <w:r w:rsidR="00286B22" w:rsidRPr="00A111B6">
        <w:rPr>
          <w:rFonts w:asciiTheme="minorHAnsi" w:hAnsiTheme="minorHAnsi" w:cstheme="minorHAnsi"/>
          <w:b/>
          <w:bCs/>
          <w:i/>
          <w:iCs/>
          <w:szCs w:val="24"/>
        </w:rPr>
        <w:t xml:space="preserve"> </w:t>
      </w:r>
    </w:p>
    <w:p w14:paraId="3A3CDE25" w14:textId="10EABA8B" w:rsidR="00E178D7" w:rsidRPr="00A111B6" w:rsidRDefault="00E178D7" w:rsidP="00F4665F">
      <w:pPr>
        <w:pStyle w:val="ListParagraph"/>
        <w:keepNext/>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A111B6">
        <w:rPr>
          <w:rFonts w:asciiTheme="minorHAnsi" w:hAnsiTheme="minorHAnsi" w:cstheme="minorHAnsi"/>
          <w:sz w:val="24"/>
          <w:szCs w:val="24"/>
          <w:lang w:val="en-US"/>
        </w:rPr>
        <w:t xml:space="preserve">IA </w:t>
      </w:r>
      <w:r w:rsidRPr="00A111B6">
        <w:rPr>
          <w:rFonts w:asciiTheme="minorHAnsi" w:hAnsiTheme="minorHAnsi" w:cstheme="minorHAnsi"/>
          <w:sz w:val="24"/>
          <w:szCs w:val="24"/>
          <w:lang w:val="en-GB"/>
        </w:rPr>
        <w:t>conducted a</w:t>
      </w:r>
      <w:r w:rsidR="006A0166" w:rsidRPr="00A111B6">
        <w:rPr>
          <w:rFonts w:asciiTheme="minorHAnsi" w:hAnsiTheme="minorHAnsi" w:cstheme="minorHAnsi"/>
          <w:sz w:val="24"/>
          <w:szCs w:val="24"/>
          <w:lang w:val="en-GB"/>
        </w:rPr>
        <w:t>n inspection of staff credentials in ITU covering the period from January 2015 to September 2018. This inspection reviewed information and documentation related to academic qualifications for the recruitment / promotion of staff</w:t>
      </w:r>
      <w:r w:rsidRPr="00A111B6">
        <w:rPr>
          <w:rFonts w:asciiTheme="minorHAnsi" w:hAnsiTheme="minorHAnsi" w:cstheme="minorHAnsi"/>
          <w:sz w:val="24"/>
          <w:szCs w:val="24"/>
          <w:lang w:val="en-US"/>
        </w:rPr>
        <w:t>.</w:t>
      </w:r>
    </w:p>
    <w:p w14:paraId="150DF150" w14:textId="637B4964" w:rsidR="00E178D7" w:rsidRPr="00D8430E" w:rsidRDefault="00C62E99" w:rsidP="0070420C">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045B71">
        <w:rPr>
          <w:rFonts w:asciiTheme="minorHAnsi" w:hAnsiTheme="minorHAnsi" w:cstheme="minorHAnsi"/>
          <w:sz w:val="24"/>
          <w:szCs w:val="24"/>
          <w:lang w:val="en-US"/>
        </w:rPr>
        <w:t xml:space="preserve">There was one high priority issue that IA concluded: </w:t>
      </w:r>
      <w:proofErr w:type="spellStart"/>
      <w:r w:rsidRPr="00045B71">
        <w:rPr>
          <w:rFonts w:asciiTheme="minorHAnsi" w:hAnsiTheme="minorHAnsi" w:cstheme="minorHAnsi"/>
          <w:sz w:val="24"/>
          <w:szCs w:val="24"/>
          <w:lang w:val="en-US"/>
        </w:rPr>
        <w:t>i</w:t>
      </w:r>
      <w:r w:rsidRPr="00045B71">
        <w:rPr>
          <w:rFonts w:asciiTheme="minorHAnsi" w:hAnsiTheme="minorHAnsi" w:cstheme="minorHAnsi"/>
          <w:sz w:val="24"/>
          <w:szCs w:val="24"/>
          <w:lang w:val="en-GB"/>
        </w:rPr>
        <w:t>nternal</w:t>
      </w:r>
      <w:proofErr w:type="spellEnd"/>
      <w:r w:rsidRPr="00045B71">
        <w:rPr>
          <w:rFonts w:asciiTheme="minorHAnsi" w:hAnsiTheme="minorHAnsi" w:cstheme="minorHAnsi"/>
          <w:sz w:val="24"/>
          <w:szCs w:val="24"/>
          <w:lang w:val="en-GB"/>
        </w:rPr>
        <w:t xml:space="preserve"> controls related to the recognition and verification of staff and candidate’s credentials are partially adequate</w:t>
      </w:r>
      <w:r w:rsidRPr="00D8430E">
        <w:rPr>
          <w:rFonts w:asciiTheme="minorHAnsi" w:hAnsiTheme="minorHAnsi" w:cstheme="minorHAnsi"/>
          <w:sz w:val="24"/>
          <w:szCs w:val="24"/>
          <w:lang w:val="en-US"/>
        </w:rPr>
        <w:t xml:space="preserve">. It was recommended that consideration is given to </w:t>
      </w:r>
      <w:r w:rsidRPr="00D8430E">
        <w:rPr>
          <w:rFonts w:asciiTheme="minorHAnsi" w:hAnsiTheme="minorHAnsi" w:cstheme="minorHAnsi"/>
          <w:sz w:val="24"/>
          <w:szCs w:val="24"/>
          <w:lang w:val="en-GB"/>
        </w:rPr>
        <w:t xml:space="preserve">implementing </w:t>
      </w:r>
      <w:r w:rsidRPr="00D8430E">
        <w:rPr>
          <w:rFonts w:asciiTheme="minorHAnsi" w:hAnsiTheme="minorHAnsi" w:cstheme="minorHAnsi"/>
          <w:sz w:val="24"/>
          <w:szCs w:val="24"/>
          <w:lang w:val="en-US"/>
        </w:rPr>
        <w:t>measures for</w:t>
      </w:r>
      <w:r w:rsidR="00A76AFF">
        <w:rPr>
          <w:rFonts w:asciiTheme="minorHAnsi" w:hAnsiTheme="minorHAnsi" w:cstheme="minorHAnsi"/>
          <w:sz w:val="24"/>
          <w:szCs w:val="24"/>
          <w:lang w:val="en-US"/>
        </w:rPr>
        <w:t>:</w:t>
      </w:r>
      <w:r w:rsidRPr="00D8430E">
        <w:rPr>
          <w:rFonts w:asciiTheme="minorHAnsi" w:hAnsiTheme="minorHAnsi" w:cstheme="minorHAnsi"/>
          <w:sz w:val="24"/>
          <w:szCs w:val="24"/>
          <w:lang w:val="en-GB"/>
        </w:rPr>
        <w:t xml:space="preserve"> (</w:t>
      </w:r>
      <w:proofErr w:type="spellStart"/>
      <w:r w:rsidRPr="00D8430E">
        <w:rPr>
          <w:rFonts w:asciiTheme="minorHAnsi" w:hAnsiTheme="minorHAnsi" w:cstheme="minorHAnsi"/>
          <w:sz w:val="24"/>
          <w:szCs w:val="24"/>
          <w:lang w:val="en-GB"/>
        </w:rPr>
        <w:t>i</w:t>
      </w:r>
      <w:proofErr w:type="spellEnd"/>
      <w:r w:rsidRPr="00D8430E">
        <w:rPr>
          <w:rFonts w:asciiTheme="minorHAnsi" w:hAnsiTheme="minorHAnsi" w:cstheme="minorHAnsi"/>
          <w:sz w:val="24"/>
          <w:szCs w:val="24"/>
          <w:lang w:val="en-GB"/>
        </w:rPr>
        <w:t xml:space="preserve">) </w:t>
      </w:r>
      <w:proofErr w:type="spellStart"/>
      <w:r w:rsidRPr="00D8430E">
        <w:rPr>
          <w:rFonts w:asciiTheme="minorHAnsi" w:hAnsiTheme="minorHAnsi" w:cstheme="minorHAnsi"/>
          <w:sz w:val="24"/>
          <w:szCs w:val="24"/>
          <w:lang w:val="en-GB"/>
        </w:rPr>
        <w:t>ensur</w:t>
      </w:r>
      <w:r w:rsidRPr="00D8430E">
        <w:rPr>
          <w:rFonts w:asciiTheme="minorHAnsi" w:hAnsiTheme="minorHAnsi" w:cstheme="minorHAnsi"/>
          <w:sz w:val="24"/>
          <w:szCs w:val="24"/>
          <w:lang w:val="en-US"/>
        </w:rPr>
        <w:t>ing</w:t>
      </w:r>
      <w:proofErr w:type="spellEnd"/>
      <w:r w:rsidRPr="00D8430E">
        <w:rPr>
          <w:rFonts w:asciiTheme="minorHAnsi" w:hAnsiTheme="minorHAnsi" w:cstheme="minorHAnsi"/>
          <w:sz w:val="24"/>
          <w:szCs w:val="24"/>
          <w:lang w:val="en-GB"/>
        </w:rPr>
        <w:t xml:space="preserve"> the equality and fairness d</w:t>
      </w:r>
      <w:r w:rsidR="00A76AFF">
        <w:rPr>
          <w:rFonts w:asciiTheme="minorHAnsi" w:hAnsiTheme="minorHAnsi" w:cstheme="minorHAnsi"/>
          <w:sz w:val="24"/>
          <w:szCs w:val="24"/>
          <w:lang w:val="en-GB"/>
        </w:rPr>
        <w:t>uring the pre-screening process;</w:t>
      </w:r>
      <w:r w:rsidRPr="00D8430E">
        <w:rPr>
          <w:rFonts w:asciiTheme="minorHAnsi" w:hAnsiTheme="minorHAnsi" w:cstheme="minorHAnsi"/>
          <w:sz w:val="24"/>
          <w:szCs w:val="24"/>
          <w:lang w:val="en-GB"/>
        </w:rPr>
        <w:t xml:space="preserve"> (ii) document</w:t>
      </w:r>
      <w:proofErr w:type="spellStart"/>
      <w:r w:rsidRPr="00D8430E">
        <w:rPr>
          <w:rFonts w:asciiTheme="minorHAnsi" w:hAnsiTheme="minorHAnsi" w:cstheme="minorHAnsi"/>
          <w:sz w:val="24"/>
          <w:szCs w:val="24"/>
          <w:lang w:val="en-US"/>
        </w:rPr>
        <w:t>ing</w:t>
      </w:r>
      <w:proofErr w:type="spellEnd"/>
      <w:r w:rsidRPr="00D8430E">
        <w:rPr>
          <w:rFonts w:asciiTheme="minorHAnsi" w:hAnsiTheme="minorHAnsi" w:cstheme="minorHAnsi"/>
          <w:sz w:val="24"/>
          <w:szCs w:val="24"/>
          <w:lang w:val="en-GB"/>
        </w:rPr>
        <w:t xml:space="preserve"> the assessment process (recognition and verification) of the academic creden</w:t>
      </w:r>
      <w:r w:rsidR="00A76AFF">
        <w:rPr>
          <w:rFonts w:asciiTheme="minorHAnsi" w:hAnsiTheme="minorHAnsi" w:cstheme="minorHAnsi"/>
          <w:sz w:val="24"/>
          <w:szCs w:val="24"/>
          <w:lang w:val="en-GB"/>
        </w:rPr>
        <w:t>tials for all recruitment cases;</w:t>
      </w:r>
      <w:r w:rsidRPr="00D8430E">
        <w:rPr>
          <w:rFonts w:asciiTheme="minorHAnsi" w:hAnsiTheme="minorHAnsi" w:cstheme="minorHAnsi"/>
          <w:sz w:val="24"/>
          <w:szCs w:val="24"/>
          <w:lang w:val="en-GB"/>
        </w:rPr>
        <w:t xml:space="preserve"> and (iii) verify</w:t>
      </w:r>
      <w:proofErr w:type="spellStart"/>
      <w:r w:rsidRPr="00D8430E">
        <w:rPr>
          <w:rFonts w:asciiTheme="minorHAnsi" w:hAnsiTheme="minorHAnsi" w:cstheme="minorHAnsi"/>
          <w:sz w:val="24"/>
          <w:szCs w:val="24"/>
          <w:lang w:val="en-US"/>
        </w:rPr>
        <w:t>ing</w:t>
      </w:r>
      <w:proofErr w:type="spellEnd"/>
      <w:r w:rsidRPr="00D8430E">
        <w:rPr>
          <w:rFonts w:asciiTheme="minorHAnsi" w:hAnsiTheme="minorHAnsi" w:cstheme="minorHAnsi"/>
          <w:sz w:val="24"/>
          <w:szCs w:val="24"/>
          <w:lang w:val="en-GB"/>
        </w:rPr>
        <w:t xml:space="preserve"> the authenticity of credentials. </w:t>
      </w:r>
      <w:r w:rsidRPr="00045B71">
        <w:rPr>
          <w:rFonts w:asciiTheme="minorHAnsi" w:hAnsiTheme="minorHAnsi" w:cstheme="minorHAnsi"/>
          <w:sz w:val="24"/>
          <w:szCs w:val="24"/>
          <w:lang w:val="en-US"/>
        </w:rPr>
        <w:t>Recommendations for all issues (high and medium priority) were accepted by the HRMD management</w:t>
      </w:r>
      <w:r w:rsidR="00E178D7" w:rsidRPr="00D8430E">
        <w:rPr>
          <w:rFonts w:asciiTheme="minorHAnsi" w:hAnsiTheme="minorHAnsi" w:cstheme="minorHAnsi"/>
          <w:sz w:val="24"/>
          <w:szCs w:val="24"/>
          <w:lang w:val="en-US"/>
        </w:rPr>
        <w:t>.</w:t>
      </w:r>
    </w:p>
    <w:p w14:paraId="416C765C" w14:textId="7D88810C" w:rsidR="00E178D7" w:rsidRPr="00A111B6" w:rsidRDefault="00E178D7" w:rsidP="0070420C">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A111B6">
        <w:rPr>
          <w:rFonts w:asciiTheme="minorHAnsi" w:hAnsiTheme="minorHAnsi" w:cstheme="minorHAnsi"/>
          <w:sz w:val="24"/>
          <w:szCs w:val="24"/>
          <w:lang w:val="en-US"/>
        </w:rPr>
        <w:t xml:space="preserve">Overall, IA is of the opinion that </w:t>
      </w:r>
      <w:r w:rsidR="00DA1EE1" w:rsidRPr="00A111B6">
        <w:rPr>
          <w:rFonts w:asciiTheme="minorHAnsi" w:hAnsiTheme="minorHAnsi" w:cstheme="minorHAnsi"/>
          <w:sz w:val="24"/>
          <w:szCs w:val="24"/>
          <w:lang w:val="en-US"/>
        </w:rPr>
        <w:t>the governance processes with respect to staff credentials are partially appropriate. Whilst the governance process is reasonably adequate, risk management and effectiveness of controls are only partially adequate. Improvement is thus needed in these two areas in order to provide to the Secretary-General reasonable assurance that –for staff credentials</w:t>
      </w:r>
      <w:r w:rsidR="0070420C" w:rsidRPr="00A111B6">
        <w:rPr>
          <w:rFonts w:asciiTheme="minorHAnsi" w:hAnsiTheme="minorHAnsi" w:cstheme="minorHAnsi"/>
          <w:sz w:val="24"/>
          <w:szCs w:val="24"/>
          <w:lang w:val="en-US"/>
        </w:rPr>
        <w:t>–</w:t>
      </w:r>
      <w:r w:rsidR="00DA1EE1" w:rsidRPr="00A111B6">
        <w:rPr>
          <w:rFonts w:asciiTheme="minorHAnsi" w:hAnsiTheme="minorHAnsi" w:cstheme="minorHAnsi"/>
          <w:sz w:val="24"/>
          <w:szCs w:val="24"/>
          <w:lang w:val="en-US"/>
        </w:rPr>
        <w:t xml:space="preserve"> there is adequate governance and risk management, and that controls are effective</w:t>
      </w:r>
      <w:r w:rsidRPr="00A111B6">
        <w:rPr>
          <w:rFonts w:asciiTheme="minorHAnsi" w:hAnsiTheme="minorHAnsi" w:cstheme="minorHAnsi"/>
          <w:sz w:val="24"/>
          <w:szCs w:val="24"/>
          <w:lang w:val="en-US"/>
        </w:rPr>
        <w:t>.</w:t>
      </w:r>
    </w:p>
    <w:p w14:paraId="26F68BFF" w14:textId="1EDED573" w:rsidR="00BC04BB" w:rsidRPr="00A111B6" w:rsidRDefault="00BC04BB" w:rsidP="0070420C">
      <w:pPr>
        <w:pStyle w:val="Heading1"/>
        <w:keepNext w:val="0"/>
        <w:keepLines w:val="0"/>
        <w:tabs>
          <w:tab w:val="clear" w:pos="567"/>
          <w:tab w:val="clear" w:pos="1134"/>
          <w:tab w:val="clear" w:pos="1701"/>
          <w:tab w:val="clear" w:pos="2268"/>
          <w:tab w:val="clear" w:pos="2835"/>
        </w:tabs>
        <w:snapToGrid w:val="0"/>
        <w:spacing w:before="240" w:after="120"/>
        <w:ind w:left="0" w:firstLine="0"/>
        <w:rPr>
          <w:rFonts w:asciiTheme="minorHAnsi" w:hAnsiTheme="minorHAnsi" w:cstheme="minorHAnsi"/>
          <w:szCs w:val="28"/>
          <w:lang w:val="en-CA"/>
        </w:rPr>
      </w:pPr>
      <w:r w:rsidRPr="00A111B6">
        <w:rPr>
          <w:rFonts w:asciiTheme="minorHAnsi" w:hAnsiTheme="minorHAnsi" w:cstheme="minorHAnsi"/>
          <w:szCs w:val="28"/>
          <w:lang w:val="en-CA"/>
        </w:rPr>
        <w:t>I</w:t>
      </w:r>
      <w:r w:rsidR="009F3B23" w:rsidRPr="00A111B6">
        <w:rPr>
          <w:rFonts w:asciiTheme="minorHAnsi" w:hAnsiTheme="minorHAnsi" w:cstheme="minorHAnsi"/>
          <w:szCs w:val="28"/>
          <w:lang w:val="en-CA"/>
        </w:rPr>
        <w:t>nvestigations by</w:t>
      </w:r>
      <w:r w:rsidRPr="00A111B6">
        <w:rPr>
          <w:rFonts w:asciiTheme="minorHAnsi" w:hAnsiTheme="minorHAnsi" w:cstheme="minorHAnsi"/>
          <w:szCs w:val="28"/>
          <w:lang w:val="en-CA"/>
        </w:rPr>
        <w:t xml:space="preserve"> Internal Audit</w:t>
      </w:r>
    </w:p>
    <w:p w14:paraId="095A751F" w14:textId="3EA0B986" w:rsidR="00A13A01" w:rsidRDefault="0097092F" w:rsidP="00E51F25">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Pr>
          <w:rFonts w:asciiTheme="minorHAnsi" w:hAnsiTheme="minorHAnsi" w:cstheme="minorHAnsi"/>
          <w:sz w:val="24"/>
          <w:szCs w:val="24"/>
          <w:lang w:val="en-US"/>
        </w:rPr>
        <w:t>IA</w:t>
      </w:r>
      <w:r w:rsidR="0069723C" w:rsidRPr="0069723C">
        <w:rPr>
          <w:rFonts w:asciiTheme="minorHAnsi" w:hAnsiTheme="minorHAnsi" w:cstheme="minorHAnsi"/>
          <w:sz w:val="24"/>
          <w:szCs w:val="24"/>
          <w:lang w:val="en-US"/>
        </w:rPr>
        <w:t>,</w:t>
      </w:r>
      <w:r w:rsidR="0069723C">
        <w:rPr>
          <w:rFonts w:asciiTheme="minorHAnsi" w:hAnsiTheme="minorHAnsi" w:cstheme="minorHAnsi"/>
          <w:sz w:val="24"/>
          <w:szCs w:val="24"/>
          <w:lang w:val="en-US"/>
        </w:rPr>
        <w:t xml:space="preserve"> </w:t>
      </w:r>
      <w:r w:rsidR="0069723C" w:rsidRPr="0069723C">
        <w:rPr>
          <w:rFonts w:asciiTheme="minorHAnsi" w:hAnsiTheme="minorHAnsi" w:cstheme="minorHAnsi"/>
          <w:sz w:val="24"/>
          <w:szCs w:val="24"/>
          <w:lang w:val="en-US"/>
        </w:rPr>
        <w:t xml:space="preserve">in its investigative capacity, </w:t>
      </w:r>
      <w:r w:rsidR="0069723C">
        <w:rPr>
          <w:rFonts w:asciiTheme="minorHAnsi" w:hAnsiTheme="minorHAnsi" w:cstheme="minorHAnsi"/>
          <w:sz w:val="24"/>
          <w:szCs w:val="24"/>
          <w:lang w:val="en-US"/>
        </w:rPr>
        <w:t xml:space="preserve">conducted one investigation and two preliminary reviews. </w:t>
      </w:r>
      <w:r w:rsidR="00147321">
        <w:rPr>
          <w:rFonts w:asciiTheme="minorHAnsi" w:hAnsiTheme="minorHAnsi" w:cstheme="minorHAnsi"/>
          <w:sz w:val="24"/>
          <w:szCs w:val="24"/>
          <w:lang w:val="en-US"/>
        </w:rPr>
        <w:t xml:space="preserve">The investigation was related to a presumption of fraud by a staff member in the ITU Regional Office for the Asia pacific region. </w:t>
      </w:r>
      <w:r w:rsidR="00147321" w:rsidRPr="00A111B6">
        <w:rPr>
          <w:rFonts w:asciiTheme="minorHAnsi" w:hAnsiTheme="minorHAnsi" w:cstheme="minorHAnsi"/>
          <w:sz w:val="24"/>
          <w:szCs w:val="24"/>
          <w:lang w:val="en-US"/>
        </w:rPr>
        <w:t xml:space="preserve">Document </w:t>
      </w:r>
      <w:hyperlink r:id="rId10" w:history="1">
        <w:r w:rsidR="00147321" w:rsidRPr="00E51F25">
          <w:rPr>
            <w:rStyle w:val="Hyperlink"/>
            <w:rFonts w:asciiTheme="minorHAnsi" w:hAnsiTheme="minorHAnsi" w:cstheme="minorHAnsi"/>
            <w:sz w:val="24"/>
            <w:szCs w:val="24"/>
            <w:lang w:val="en-US"/>
          </w:rPr>
          <w:t>C19/INF/</w:t>
        </w:r>
        <w:r w:rsidR="00E51F25" w:rsidRPr="00E51F25">
          <w:rPr>
            <w:rStyle w:val="Hyperlink"/>
            <w:rFonts w:asciiTheme="minorHAnsi" w:hAnsiTheme="minorHAnsi" w:cstheme="minorHAnsi"/>
            <w:sz w:val="24"/>
            <w:szCs w:val="24"/>
            <w:lang w:val="en-US"/>
          </w:rPr>
          <w:t>14</w:t>
        </w:r>
      </w:hyperlink>
      <w:r w:rsidR="00E51F25">
        <w:rPr>
          <w:rFonts w:asciiTheme="minorHAnsi" w:hAnsiTheme="minorHAnsi" w:cstheme="minorHAnsi"/>
          <w:sz w:val="24"/>
          <w:szCs w:val="24"/>
          <w:lang w:val="en-US"/>
        </w:rPr>
        <w:t xml:space="preserve"> </w:t>
      </w:r>
      <w:r w:rsidR="00147321" w:rsidRPr="00A111B6">
        <w:rPr>
          <w:rFonts w:asciiTheme="minorHAnsi" w:hAnsiTheme="minorHAnsi" w:cstheme="minorHAnsi"/>
          <w:sz w:val="24"/>
          <w:szCs w:val="24"/>
          <w:lang w:val="en-US"/>
        </w:rPr>
        <w:t>contains an overview of the facts and remedial actions undertaken to date</w:t>
      </w:r>
      <w:r w:rsidR="0070420C">
        <w:rPr>
          <w:rFonts w:asciiTheme="minorHAnsi" w:hAnsiTheme="minorHAnsi" w:cstheme="minorHAnsi"/>
          <w:sz w:val="24"/>
          <w:szCs w:val="24"/>
          <w:lang w:val="en-US"/>
        </w:rPr>
        <w:t>.</w:t>
      </w:r>
    </w:p>
    <w:p w14:paraId="5CA3E147" w14:textId="393247F2" w:rsidR="00A13A01" w:rsidRPr="00A13A01" w:rsidRDefault="00A13A01" w:rsidP="0070420C">
      <w:pPr>
        <w:pStyle w:val="ListParagraph"/>
        <w:tabs>
          <w:tab w:val="clear" w:pos="794"/>
          <w:tab w:val="clear" w:pos="1191"/>
          <w:tab w:val="clear" w:pos="1588"/>
          <w:tab w:val="clear" w:pos="1985"/>
        </w:tabs>
        <w:adjustRightInd w:val="0"/>
        <w:snapToGrid w:val="0"/>
        <w:spacing w:before="120" w:after="120" w:line="240" w:lineRule="auto"/>
        <w:ind w:left="0"/>
        <w:contextualSpacing w:val="0"/>
        <w:jc w:val="both"/>
        <w:rPr>
          <w:rFonts w:asciiTheme="minorHAnsi" w:hAnsiTheme="minorHAnsi" w:cstheme="minorHAnsi"/>
          <w:sz w:val="24"/>
          <w:szCs w:val="24"/>
          <w:lang w:val="en-US"/>
        </w:rPr>
      </w:pPr>
      <w:r>
        <w:rPr>
          <w:rFonts w:asciiTheme="minorHAnsi" w:hAnsiTheme="minorHAnsi" w:cstheme="minorHAnsi"/>
          <w:sz w:val="24"/>
          <w:szCs w:val="24"/>
          <w:lang w:val="en-US"/>
        </w:rPr>
        <w:t>T</w:t>
      </w:r>
      <w:r w:rsidR="00147321">
        <w:rPr>
          <w:rFonts w:asciiTheme="minorHAnsi" w:hAnsiTheme="minorHAnsi" w:cstheme="minorHAnsi"/>
          <w:sz w:val="24"/>
          <w:szCs w:val="24"/>
          <w:lang w:val="en-US"/>
        </w:rPr>
        <w:t xml:space="preserve">he two preliminary reviews </w:t>
      </w:r>
      <w:r>
        <w:rPr>
          <w:rFonts w:asciiTheme="minorHAnsi" w:hAnsiTheme="minorHAnsi" w:cstheme="minorHAnsi"/>
          <w:sz w:val="24"/>
          <w:szCs w:val="24"/>
          <w:lang w:val="en-US"/>
        </w:rPr>
        <w:t xml:space="preserve">were </w:t>
      </w:r>
      <w:r w:rsidR="00147321">
        <w:rPr>
          <w:rFonts w:asciiTheme="minorHAnsi" w:hAnsiTheme="minorHAnsi" w:cstheme="minorHAnsi"/>
          <w:sz w:val="24"/>
          <w:szCs w:val="24"/>
          <w:lang w:val="en-US"/>
        </w:rPr>
        <w:t>conducted by I</w:t>
      </w:r>
      <w:r w:rsidR="0097092F">
        <w:rPr>
          <w:rFonts w:asciiTheme="minorHAnsi" w:hAnsiTheme="minorHAnsi" w:cstheme="minorHAnsi"/>
          <w:sz w:val="24"/>
          <w:szCs w:val="24"/>
          <w:lang w:val="en-US"/>
        </w:rPr>
        <w:t>A</w:t>
      </w:r>
      <w:r w:rsidR="00147321">
        <w:rPr>
          <w:rFonts w:asciiTheme="minorHAnsi" w:hAnsiTheme="minorHAnsi" w:cstheme="minorHAnsi"/>
          <w:sz w:val="24"/>
          <w:szCs w:val="24"/>
          <w:lang w:val="en-US"/>
        </w:rPr>
        <w:t xml:space="preserve">, in the absence of an Ethics Officer, </w:t>
      </w:r>
      <w:r>
        <w:rPr>
          <w:rFonts w:asciiTheme="minorHAnsi" w:hAnsiTheme="minorHAnsi" w:cstheme="minorHAnsi"/>
          <w:sz w:val="24"/>
          <w:szCs w:val="24"/>
          <w:lang w:val="en-US"/>
        </w:rPr>
        <w:t>and there was no connection between the two cases. O</w:t>
      </w:r>
      <w:r w:rsidR="00147321">
        <w:rPr>
          <w:rFonts w:asciiTheme="minorHAnsi" w:hAnsiTheme="minorHAnsi" w:cstheme="minorHAnsi"/>
          <w:sz w:val="24"/>
          <w:szCs w:val="24"/>
          <w:lang w:val="en-US"/>
        </w:rPr>
        <w:t xml:space="preserve">ne was with respect to allegations </w:t>
      </w:r>
      <w:r>
        <w:rPr>
          <w:rFonts w:asciiTheme="minorHAnsi" w:hAnsiTheme="minorHAnsi" w:cstheme="minorHAnsi"/>
          <w:sz w:val="24"/>
          <w:szCs w:val="24"/>
          <w:lang w:val="en-US"/>
        </w:rPr>
        <w:t xml:space="preserve">towards </w:t>
      </w:r>
      <w:r w:rsidR="00147321">
        <w:rPr>
          <w:rFonts w:asciiTheme="minorHAnsi" w:hAnsiTheme="minorHAnsi" w:cstheme="minorHAnsi"/>
          <w:sz w:val="24"/>
          <w:szCs w:val="24"/>
          <w:lang w:val="en-US"/>
        </w:rPr>
        <w:t xml:space="preserve">a General Service Staff engaging in a </w:t>
      </w:r>
      <w:r w:rsidR="00147321" w:rsidRPr="00A111B6">
        <w:rPr>
          <w:rFonts w:asciiTheme="minorHAnsi" w:eastAsia="SimSun" w:hAnsiTheme="minorHAnsi" w:cstheme="minorHAnsi"/>
          <w:color w:val="000000"/>
          <w:sz w:val="24"/>
          <w:szCs w:val="24"/>
          <w:lang w:val="en-US"/>
        </w:rPr>
        <w:t>combination of workplace bullying, humiliating, threatening and intimidating behavior</w:t>
      </w:r>
      <w:r w:rsidR="00147321">
        <w:rPr>
          <w:rFonts w:asciiTheme="minorHAnsi" w:eastAsia="SimSun" w:hAnsiTheme="minorHAnsi" w:cstheme="minorHAnsi"/>
          <w:color w:val="000000"/>
          <w:sz w:val="24"/>
          <w:szCs w:val="24"/>
          <w:lang w:val="en-US"/>
        </w:rPr>
        <w:t xml:space="preserve">, and the other </w:t>
      </w:r>
      <w:r>
        <w:rPr>
          <w:rFonts w:asciiTheme="minorHAnsi" w:eastAsia="SimSun" w:hAnsiTheme="minorHAnsi" w:cstheme="minorHAnsi"/>
          <w:color w:val="000000"/>
          <w:sz w:val="24"/>
          <w:szCs w:val="24"/>
          <w:lang w:val="en-US"/>
        </w:rPr>
        <w:t xml:space="preserve">one </w:t>
      </w:r>
      <w:r w:rsidR="00147321">
        <w:rPr>
          <w:rFonts w:asciiTheme="minorHAnsi" w:eastAsia="SimSun" w:hAnsiTheme="minorHAnsi" w:cstheme="minorHAnsi"/>
          <w:color w:val="000000"/>
          <w:sz w:val="24"/>
          <w:szCs w:val="24"/>
          <w:lang w:val="en-US"/>
        </w:rPr>
        <w:t xml:space="preserve">was with respect to a </w:t>
      </w:r>
      <w:r w:rsidR="00147321" w:rsidRPr="00A111B6">
        <w:rPr>
          <w:rFonts w:asciiTheme="minorHAnsi" w:eastAsia="SimSun" w:hAnsiTheme="minorHAnsi" w:cstheme="minorHAnsi"/>
          <w:bCs/>
          <w:color w:val="000000"/>
          <w:sz w:val="24"/>
          <w:szCs w:val="24"/>
          <w:lang w:val="en-US"/>
        </w:rPr>
        <w:t xml:space="preserve">staff member in the professional category, who </w:t>
      </w:r>
      <w:r w:rsidR="00147321" w:rsidRPr="00A111B6">
        <w:rPr>
          <w:rFonts w:asciiTheme="minorHAnsi" w:eastAsia="SimSun" w:hAnsiTheme="minorHAnsi" w:cstheme="minorHAnsi"/>
          <w:color w:val="000000"/>
          <w:sz w:val="24"/>
          <w:szCs w:val="24"/>
          <w:lang w:val="en-US"/>
        </w:rPr>
        <w:t>would have engaged in a combination of workplace sexual harassment, intimidation</w:t>
      </w:r>
      <w:r w:rsidR="00E6236D">
        <w:rPr>
          <w:rFonts w:asciiTheme="minorHAnsi" w:eastAsia="SimSun" w:hAnsiTheme="minorHAnsi" w:cstheme="minorHAnsi"/>
          <w:color w:val="000000"/>
          <w:sz w:val="24"/>
          <w:szCs w:val="24"/>
          <w:lang w:val="en-US"/>
        </w:rPr>
        <w:t>,</w:t>
      </w:r>
      <w:r w:rsidR="00147321" w:rsidRPr="00A111B6">
        <w:rPr>
          <w:rFonts w:asciiTheme="minorHAnsi" w:eastAsia="SimSun" w:hAnsiTheme="minorHAnsi" w:cstheme="minorHAnsi"/>
          <w:color w:val="000000"/>
          <w:sz w:val="24"/>
          <w:szCs w:val="24"/>
          <w:lang w:val="en-US"/>
        </w:rPr>
        <w:t xml:space="preserve"> and bullying behavior</w:t>
      </w:r>
      <w:r w:rsidR="00147321">
        <w:rPr>
          <w:rFonts w:asciiTheme="minorHAnsi" w:eastAsia="SimSun" w:hAnsiTheme="minorHAnsi" w:cstheme="minorHAnsi"/>
          <w:color w:val="000000"/>
          <w:sz w:val="24"/>
          <w:szCs w:val="24"/>
          <w:lang w:val="en-US"/>
        </w:rPr>
        <w:t>.</w:t>
      </w:r>
    </w:p>
    <w:p w14:paraId="0609AB74" w14:textId="78CBA091" w:rsidR="00406E0F" w:rsidRDefault="0097092F" w:rsidP="0070420C">
      <w:pPr>
        <w:pStyle w:val="ListParagraph"/>
        <w:tabs>
          <w:tab w:val="clear" w:pos="794"/>
          <w:tab w:val="clear" w:pos="1191"/>
          <w:tab w:val="clear" w:pos="1588"/>
          <w:tab w:val="clear" w:pos="1985"/>
        </w:tabs>
        <w:adjustRightInd w:val="0"/>
        <w:snapToGrid w:val="0"/>
        <w:spacing w:before="120" w:after="120" w:line="240" w:lineRule="auto"/>
        <w:ind w:left="0"/>
        <w:contextualSpacing w:val="0"/>
        <w:jc w:val="both"/>
        <w:rPr>
          <w:rFonts w:asciiTheme="minorHAnsi" w:hAnsiTheme="minorHAnsi" w:cstheme="minorHAnsi"/>
          <w:szCs w:val="24"/>
          <w:lang w:val="en-US"/>
        </w:rPr>
      </w:pPr>
      <w:r>
        <w:rPr>
          <w:rFonts w:asciiTheme="minorHAnsi" w:eastAsia="SimSun" w:hAnsiTheme="minorHAnsi" w:cstheme="minorHAnsi"/>
          <w:color w:val="000000"/>
          <w:sz w:val="24"/>
          <w:szCs w:val="24"/>
          <w:lang w:val="en-US"/>
        </w:rPr>
        <w:t xml:space="preserve">As per the ITU procedures, upon completion of the one </w:t>
      </w:r>
      <w:r>
        <w:rPr>
          <w:rFonts w:asciiTheme="minorHAnsi" w:hAnsiTheme="minorHAnsi" w:cstheme="minorHAnsi"/>
          <w:sz w:val="24"/>
          <w:szCs w:val="24"/>
          <w:lang w:val="en-US"/>
        </w:rPr>
        <w:t>investigation and the two preliminary reviews, IA submitted its confidential report to the Secretary-General.</w:t>
      </w:r>
      <w:r w:rsidR="0069723C">
        <w:rPr>
          <w:rFonts w:asciiTheme="minorHAnsi" w:hAnsiTheme="minorHAnsi" w:cstheme="minorHAnsi"/>
          <w:sz w:val="24"/>
          <w:szCs w:val="24"/>
          <w:lang w:val="en-US"/>
        </w:rPr>
        <w:t xml:space="preserve"> </w:t>
      </w:r>
    </w:p>
    <w:p w14:paraId="43AD83C3" w14:textId="22B27B97" w:rsidR="000D5F5E" w:rsidRPr="00F259FE" w:rsidRDefault="000D5F5E" w:rsidP="0070420C">
      <w:pPr>
        <w:pStyle w:val="Heading1"/>
        <w:keepNext w:val="0"/>
        <w:keepLines w:val="0"/>
        <w:tabs>
          <w:tab w:val="clear" w:pos="567"/>
          <w:tab w:val="clear" w:pos="1134"/>
          <w:tab w:val="clear" w:pos="1701"/>
          <w:tab w:val="clear" w:pos="2268"/>
          <w:tab w:val="clear" w:pos="2835"/>
        </w:tabs>
        <w:snapToGrid w:val="0"/>
        <w:spacing w:before="240" w:after="120"/>
        <w:ind w:left="0" w:firstLine="0"/>
        <w:rPr>
          <w:rFonts w:asciiTheme="minorHAnsi" w:hAnsiTheme="minorHAnsi" w:cstheme="minorHAnsi"/>
          <w:szCs w:val="28"/>
          <w:lang w:val="en-CA"/>
        </w:rPr>
      </w:pPr>
      <w:r w:rsidRPr="00F259FE">
        <w:rPr>
          <w:rFonts w:asciiTheme="minorHAnsi" w:hAnsiTheme="minorHAnsi" w:cstheme="minorHAnsi"/>
          <w:szCs w:val="28"/>
          <w:lang w:val="en-CA"/>
        </w:rPr>
        <w:t>Consulting services by Internal Audit</w:t>
      </w:r>
    </w:p>
    <w:p w14:paraId="6063CDD5" w14:textId="68D63A3B" w:rsidR="00BC04BB" w:rsidRPr="00F259FE" w:rsidRDefault="00F62870" w:rsidP="0070420C">
      <w:pPr>
        <w:pStyle w:val="FootnoteText"/>
        <w:keepLines w:val="0"/>
        <w:tabs>
          <w:tab w:val="clear" w:pos="256"/>
          <w:tab w:val="clear" w:pos="567"/>
          <w:tab w:val="clear" w:pos="1134"/>
          <w:tab w:val="clear" w:pos="1701"/>
          <w:tab w:val="clear" w:pos="2268"/>
          <w:tab w:val="clear" w:pos="2835"/>
        </w:tabs>
        <w:overflowPunct/>
        <w:autoSpaceDE/>
        <w:autoSpaceDN/>
        <w:snapToGrid w:val="0"/>
        <w:spacing w:after="120"/>
        <w:ind w:left="720" w:firstLine="0"/>
        <w:jc w:val="both"/>
        <w:textAlignment w:val="auto"/>
        <w:rPr>
          <w:rFonts w:asciiTheme="minorHAnsi" w:hAnsiTheme="minorHAnsi" w:cstheme="minorHAnsi"/>
          <w:b/>
          <w:bCs/>
          <w:i/>
          <w:iCs/>
          <w:szCs w:val="24"/>
        </w:rPr>
      </w:pPr>
      <w:r>
        <w:rPr>
          <w:rFonts w:asciiTheme="minorHAnsi" w:hAnsiTheme="minorHAnsi" w:cstheme="minorHAnsi"/>
          <w:b/>
          <w:bCs/>
          <w:i/>
          <w:iCs/>
          <w:szCs w:val="24"/>
        </w:rPr>
        <w:t>Selection process for the ITU External Auditor</w:t>
      </w:r>
    </w:p>
    <w:p w14:paraId="5D70EFC6" w14:textId="2E10BC17" w:rsidR="001301F0" w:rsidRDefault="00126AC1" w:rsidP="0070420C">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sidRPr="001301F0">
        <w:rPr>
          <w:rFonts w:asciiTheme="minorHAnsi" w:hAnsiTheme="minorHAnsi" w:cstheme="minorHAnsi"/>
          <w:color w:val="000000"/>
          <w:sz w:val="24"/>
          <w:szCs w:val="24"/>
          <w:lang w:val="en-US"/>
        </w:rPr>
        <w:t>Upon recommendation by the IMAC, the Secretary-Genera</w:t>
      </w:r>
      <w:r w:rsidR="00E6236D">
        <w:rPr>
          <w:rFonts w:asciiTheme="minorHAnsi" w:hAnsiTheme="minorHAnsi" w:cstheme="minorHAnsi"/>
          <w:color w:val="000000"/>
          <w:sz w:val="24"/>
          <w:szCs w:val="24"/>
          <w:lang w:val="en-US"/>
        </w:rPr>
        <w:t>l requested IA to lead for the s</w:t>
      </w:r>
      <w:r w:rsidRPr="001301F0">
        <w:rPr>
          <w:rFonts w:asciiTheme="minorHAnsi" w:hAnsiTheme="minorHAnsi" w:cstheme="minorHAnsi"/>
          <w:color w:val="000000"/>
          <w:sz w:val="24"/>
          <w:szCs w:val="24"/>
          <w:lang w:val="en-US"/>
        </w:rPr>
        <w:t xml:space="preserve">ecretariat the process of selecting a new External Auditor. </w:t>
      </w:r>
      <w:r w:rsidR="001301F0">
        <w:rPr>
          <w:rFonts w:asciiTheme="minorHAnsi" w:hAnsiTheme="minorHAnsi" w:cstheme="minorHAnsi"/>
          <w:color w:val="000000"/>
          <w:sz w:val="24"/>
          <w:szCs w:val="24"/>
          <w:lang w:val="en-US"/>
        </w:rPr>
        <w:t xml:space="preserve">At </w:t>
      </w:r>
      <w:r w:rsidR="007819F1" w:rsidRPr="001301F0">
        <w:rPr>
          <w:rFonts w:asciiTheme="minorHAnsi" w:hAnsiTheme="minorHAnsi" w:cstheme="minorHAnsi"/>
          <w:color w:val="000000"/>
          <w:sz w:val="24"/>
          <w:szCs w:val="24"/>
          <w:lang w:val="en-US"/>
        </w:rPr>
        <w:t>its 2018 session</w:t>
      </w:r>
      <w:r w:rsidR="001301F0">
        <w:rPr>
          <w:rFonts w:asciiTheme="minorHAnsi" w:hAnsiTheme="minorHAnsi" w:cstheme="minorHAnsi"/>
          <w:color w:val="000000"/>
          <w:sz w:val="24"/>
          <w:szCs w:val="24"/>
          <w:lang w:val="en-US"/>
        </w:rPr>
        <w:t xml:space="preserve">, </w:t>
      </w:r>
      <w:r w:rsidR="00E6236D">
        <w:rPr>
          <w:rFonts w:asciiTheme="minorHAnsi" w:hAnsiTheme="minorHAnsi" w:cstheme="minorHAnsi"/>
          <w:color w:val="000000"/>
          <w:sz w:val="24"/>
          <w:szCs w:val="24"/>
          <w:lang w:val="en-US"/>
        </w:rPr>
        <w:t xml:space="preserve">the </w:t>
      </w:r>
      <w:r w:rsidR="00A5594E" w:rsidRPr="001301F0">
        <w:rPr>
          <w:rFonts w:asciiTheme="minorHAnsi" w:hAnsiTheme="minorHAnsi" w:cstheme="minorHAnsi"/>
          <w:sz w:val="24"/>
          <w:szCs w:val="24"/>
          <w:lang w:val="en-US"/>
        </w:rPr>
        <w:t xml:space="preserve">Council appointed the individuals recommended by the six regional telecommunication organizations </w:t>
      </w:r>
      <w:r w:rsidR="00045B71">
        <w:rPr>
          <w:rFonts w:asciiTheme="minorHAnsi" w:hAnsiTheme="minorHAnsi" w:cstheme="minorHAnsi"/>
          <w:sz w:val="24"/>
          <w:szCs w:val="24"/>
          <w:lang w:val="en-US"/>
        </w:rPr>
        <w:t xml:space="preserve">to </w:t>
      </w:r>
      <w:r w:rsidR="00045B71" w:rsidRPr="001301F0">
        <w:rPr>
          <w:rFonts w:asciiTheme="minorHAnsi" w:hAnsiTheme="minorHAnsi" w:cstheme="minorHAnsi"/>
          <w:color w:val="000000"/>
          <w:sz w:val="24"/>
          <w:szCs w:val="24"/>
          <w:lang w:val="en-US"/>
        </w:rPr>
        <w:t>serve as members of an Appraisal Committee</w:t>
      </w:r>
      <w:r w:rsidR="00045B71">
        <w:rPr>
          <w:rFonts w:asciiTheme="minorHAnsi" w:hAnsiTheme="minorHAnsi" w:cstheme="minorHAnsi"/>
          <w:sz w:val="24"/>
          <w:szCs w:val="24"/>
          <w:lang w:val="en-US"/>
        </w:rPr>
        <w:t xml:space="preserve"> and report to Council 2019 on the outcome of its work</w:t>
      </w:r>
      <w:r w:rsidR="00A5594E" w:rsidRPr="001301F0">
        <w:rPr>
          <w:rFonts w:asciiTheme="minorHAnsi" w:hAnsiTheme="minorHAnsi" w:cstheme="minorHAnsi"/>
          <w:sz w:val="24"/>
          <w:szCs w:val="24"/>
          <w:lang w:val="en-US"/>
        </w:rPr>
        <w:t xml:space="preserve">. </w:t>
      </w:r>
    </w:p>
    <w:p w14:paraId="576D5639" w14:textId="52DA9CE2" w:rsidR="00A5594E" w:rsidRPr="001301F0" w:rsidRDefault="009545F8" w:rsidP="0070420C">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sz w:val="24"/>
          <w:szCs w:val="24"/>
          <w:lang w:val="en-US"/>
        </w:rPr>
      </w:pPr>
      <w:r>
        <w:rPr>
          <w:rFonts w:asciiTheme="minorHAnsi" w:hAnsiTheme="minorHAnsi" w:cstheme="minorHAnsi"/>
          <w:sz w:val="24"/>
          <w:szCs w:val="24"/>
          <w:lang w:val="en-US"/>
        </w:rPr>
        <w:t>With the support of the ITU s</w:t>
      </w:r>
      <w:r w:rsidR="00A5594E" w:rsidRPr="001301F0">
        <w:rPr>
          <w:rFonts w:asciiTheme="minorHAnsi" w:hAnsiTheme="minorHAnsi" w:cstheme="minorHAnsi"/>
          <w:sz w:val="24"/>
          <w:szCs w:val="24"/>
          <w:lang w:val="en-US"/>
        </w:rPr>
        <w:t>ecretariat, the Appraisal Committee conducted its work on the tender process for identifying a Supreme Audit Institution (SAI) of an ITU Member State that best meets the criteria set o</w:t>
      </w:r>
      <w:r w:rsidR="001301F0">
        <w:rPr>
          <w:rFonts w:asciiTheme="minorHAnsi" w:hAnsiTheme="minorHAnsi" w:cstheme="minorHAnsi"/>
          <w:sz w:val="24"/>
          <w:szCs w:val="24"/>
          <w:lang w:val="en-US"/>
        </w:rPr>
        <w:t>ut in a Request for Proposal (RF</w:t>
      </w:r>
      <w:r w:rsidR="00A5594E" w:rsidRPr="001301F0">
        <w:rPr>
          <w:rFonts w:asciiTheme="minorHAnsi" w:hAnsiTheme="minorHAnsi" w:cstheme="minorHAnsi"/>
          <w:sz w:val="24"/>
          <w:szCs w:val="24"/>
          <w:lang w:val="en-US"/>
        </w:rPr>
        <w:t>P) for auditing the accounts of the Union.</w:t>
      </w:r>
    </w:p>
    <w:p w14:paraId="2196F1DF" w14:textId="61D44067" w:rsidR="00F259FE" w:rsidRPr="00F259FE" w:rsidRDefault="00A111B6" w:rsidP="0070420C">
      <w:pPr>
        <w:pStyle w:val="ListParagraph"/>
        <w:numPr>
          <w:ilvl w:val="0"/>
          <w:numId w:val="2"/>
        </w:numPr>
        <w:tabs>
          <w:tab w:val="clear" w:pos="794"/>
          <w:tab w:val="clear" w:pos="1191"/>
          <w:tab w:val="clear" w:pos="1588"/>
          <w:tab w:val="clear" w:pos="1985"/>
        </w:tabs>
        <w:adjustRightInd w:val="0"/>
        <w:snapToGrid w:val="0"/>
        <w:spacing w:before="120" w:after="120" w:line="240" w:lineRule="auto"/>
        <w:ind w:left="0" w:firstLine="0"/>
        <w:contextualSpacing w:val="0"/>
        <w:jc w:val="both"/>
        <w:rPr>
          <w:rFonts w:asciiTheme="minorHAnsi" w:hAnsiTheme="minorHAnsi" w:cstheme="minorHAnsi"/>
          <w:bCs/>
          <w:sz w:val="24"/>
          <w:szCs w:val="24"/>
          <w:lang w:val="en-US"/>
        </w:rPr>
      </w:pPr>
      <w:r>
        <w:rPr>
          <w:rFonts w:asciiTheme="minorHAnsi" w:hAnsiTheme="minorHAnsi" w:cstheme="minorHAnsi"/>
          <w:color w:val="000000"/>
          <w:sz w:val="24"/>
          <w:szCs w:val="24"/>
          <w:lang w:val="en-US"/>
        </w:rPr>
        <w:t xml:space="preserve">IA continued throughout the process to assist the members of the Appraisal Committee for conducting their work, and provided guidance on procedural and audit technical matters as </w:t>
      </w:r>
      <w:r>
        <w:rPr>
          <w:rFonts w:asciiTheme="minorHAnsi" w:hAnsiTheme="minorHAnsi" w:cstheme="minorHAnsi"/>
          <w:color w:val="000000"/>
          <w:sz w:val="24"/>
          <w:szCs w:val="24"/>
          <w:lang w:val="en-US"/>
        </w:rPr>
        <w:lastRenderedPageBreak/>
        <w:t>appropriate. A</w:t>
      </w:r>
      <w:r w:rsidR="00A5594E" w:rsidRPr="001301F0">
        <w:rPr>
          <w:rFonts w:asciiTheme="minorHAnsi" w:hAnsiTheme="minorHAnsi" w:cstheme="minorHAnsi"/>
          <w:color w:val="000000"/>
          <w:sz w:val="24"/>
          <w:szCs w:val="24"/>
          <w:lang w:val="en-US"/>
        </w:rPr>
        <w:t xml:space="preserve"> report of the Appraisal Committee’s work </w:t>
      </w:r>
      <w:r>
        <w:rPr>
          <w:rFonts w:asciiTheme="minorHAnsi" w:hAnsiTheme="minorHAnsi" w:cstheme="minorHAnsi"/>
          <w:color w:val="000000"/>
          <w:sz w:val="24"/>
          <w:szCs w:val="24"/>
          <w:lang w:val="en-US"/>
        </w:rPr>
        <w:t xml:space="preserve">is submitted separately to </w:t>
      </w:r>
      <w:r w:rsidR="009545F8">
        <w:rPr>
          <w:rFonts w:asciiTheme="minorHAnsi" w:hAnsiTheme="minorHAnsi" w:cstheme="minorHAnsi"/>
          <w:color w:val="000000"/>
          <w:sz w:val="24"/>
          <w:szCs w:val="24"/>
          <w:lang w:val="en-US"/>
        </w:rPr>
        <w:t xml:space="preserve">the </w:t>
      </w:r>
      <w:r>
        <w:rPr>
          <w:rFonts w:asciiTheme="minorHAnsi" w:hAnsiTheme="minorHAnsi" w:cstheme="minorHAnsi"/>
          <w:color w:val="000000"/>
          <w:sz w:val="24"/>
          <w:szCs w:val="24"/>
          <w:lang w:val="en-US"/>
        </w:rPr>
        <w:t>Council for its consideration.</w:t>
      </w:r>
    </w:p>
    <w:p w14:paraId="215AF46C" w14:textId="4A12EA59" w:rsidR="00B763B8" w:rsidRPr="00F64EA7" w:rsidRDefault="00B763B8" w:rsidP="0070420C">
      <w:pPr>
        <w:pStyle w:val="Heading1"/>
        <w:tabs>
          <w:tab w:val="clear" w:pos="567"/>
          <w:tab w:val="clear" w:pos="1134"/>
          <w:tab w:val="clear" w:pos="1701"/>
          <w:tab w:val="clear" w:pos="2268"/>
          <w:tab w:val="clear" w:pos="2835"/>
        </w:tabs>
        <w:snapToGrid w:val="0"/>
        <w:spacing w:before="240" w:after="120"/>
        <w:ind w:left="0" w:firstLine="0"/>
        <w:jc w:val="both"/>
        <w:rPr>
          <w:rFonts w:asciiTheme="minorHAnsi" w:hAnsiTheme="minorHAnsi" w:cstheme="minorHAnsi"/>
          <w:szCs w:val="28"/>
          <w:lang w:val="en-CA"/>
        </w:rPr>
      </w:pPr>
      <w:r w:rsidRPr="00F64EA7">
        <w:rPr>
          <w:rFonts w:asciiTheme="minorHAnsi" w:hAnsiTheme="minorHAnsi" w:cstheme="minorHAnsi"/>
          <w:szCs w:val="28"/>
          <w:lang w:val="en-CA"/>
        </w:rPr>
        <w:t>Follow-up of internal audit recommendations</w:t>
      </w:r>
    </w:p>
    <w:p w14:paraId="2C4A5966" w14:textId="63071C3B" w:rsidR="00985B9B" w:rsidRDefault="00B763B8" w:rsidP="0070420C">
      <w:pPr>
        <w:pStyle w:val="ListParagraph"/>
        <w:keepNext/>
        <w:keepLines/>
        <w:numPr>
          <w:ilvl w:val="0"/>
          <w:numId w:val="2"/>
        </w:numPr>
        <w:tabs>
          <w:tab w:val="clear" w:pos="794"/>
          <w:tab w:val="clear" w:pos="1191"/>
          <w:tab w:val="clear" w:pos="1588"/>
          <w:tab w:val="clear" w:pos="1985"/>
        </w:tabs>
        <w:adjustRightInd w:val="0"/>
        <w:snapToGrid w:val="0"/>
        <w:spacing w:before="120" w:after="240" w:line="240" w:lineRule="auto"/>
        <w:ind w:left="0" w:firstLine="0"/>
        <w:contextualSpacing w:val="0"/>
        <w:jc w:val="both"/>
        <w:rPr>
          <w:rFonts w:asciiTheme="minorHAnsi" w:hAnsiTheme="minorHAnsi" w:cstheme="minorHAnsi"/>
          <w:sz w:val="24"/>
          <w:szCs w:val="24"/>
          <w:lang w:val="en-CA"/>
        </w:rPr>
      </w:pPr>
      <w:r w:rsidRPr="00F64EA7">
        <w:rPr>
          <w:rFonts w:asciiTheme="minorHAnsi" w:hAnsiTheme="minorHAnsi" w:cstheme="minorHAnsi"/>
          <w:sz w:val="24"/>
          <w:szCs w:val="24"/>
          <w:lang w:val="en-CA"/>
        </w:rPr>
        <w:t>Throughout the period reported on, and in compliance with IIA</w:t>
      </w:r>
      <w:r w:rsidR="002869AC" w:rsidRPr="00F64EA7">
        <w:rPr>
          <w:rStyle w:val="FootnoteReference"/>
          <w:rFonts w:cstheme="minorHAnsi"/>
          <w:sz w:val="18"/>
          <w:szCs w:val="18"/>
          <w:lang w:val="en-CA"/>
        </w:rPr>
        <w:footnoteReference w:id="4"/>
      </w:r>
      <w:r w:rsidRPr="00F64EA7">
        <w:rPr>
          <w:rFonts w:asciiTheme="minorHAnsi" w:hAnsiTheme="minorHAnsi" w:cstheme="minorHAnsi"/>
          <w:sz w:val="24"/>
          <w:szCs w:val="24"/>
          <w:lang w:val="en-CA"/>
        </w:rPr>
        <w:t xml:space="preserve"> Standard 2500, Internal Audit continued to follow up on recommendations made in previous audit reports. Further progress was noted over the last 12 months and statistics on the implementation are (at </w:t>
      </w:r>
      <w:r w:rsidR="00291F54" w:rsidRPr="00F64EA7">
        <w:rPr>
          <w:rFonts w:asciiTheme="minorHAnsi" w:hAnsiTheme="minorHAnsi" w:cstheme="minorHAnsi"/>
          <w:sz w:val="24"/>
          <w:szCs w:val="24"/>
          <w:lang w:val="en-CA"/>
        </w:rPr>
        <w:t>15 May 2019</w:t>
      </w:r>
      <w:r w:rsidRPr="00F64EA7">
        <w:rPr>
          <w:rFonts w:asciiTheme="minorHAnsi" w:hAnsiTheme="minorHAnsi" w:cstheme="minorHAnsi"/>
          <w:sz w:val="24"/>
          <w:szCs w:val="24"/>
          <w:lang w:val="en-CA"/>
        </w:rPr>
        <w:t>):</w:t>
      </w:r>
    </w:p>
    <w:p w14:paraId="630A9420" w14:textId="446ECEA8" w:rsidR="00DE20E9" w:rsidRDefault="00DE20E9" w:rsidP="00DE20E9">
      <w:pPr>
        <w:pStyle w:val="ListParagraph"/>
        <w:tabs>
          <w:tab w:val="clear" w:pos="794"/>
          <w:tab w:val="clear" w:pos="1191"/>
          <w:tab w:val="clear" w:pos="1588"/>
          <w:tab w:val="clear" w:pos="1985"/>
        </w:tabs>
        <w:adjustRightInd w:val="0"/>
        <w:snapToGrid w:val="0"/>
        <w:spacing w:after="0" w:line="240" w:lineRule="auto"/>
        <w:ind w:left="0"/>
        <w:contextualSpacing w:val="0"/>
        <w:jc w:val="both"/>
        <w:rPr>
          <w:rFonts w:asciiTheme="minorHAnsi" w:hAnsiTheme="minorHAnsi" w:cstheme="minorHAnsi"/>
          <w:sz w:val="24"/>
          <w:szCs w:val="24"/>
          <w:lang w:val="en-CA"/>
        </w:rPr>
      </w:pPr>
      <w:r w:rsidRPr="00DE20E9">
        <w:rPr>
          <w:noProof/>
          <w:lang w:val="en-GB"/>
        </w:rPr>
        <w:drawing>
          <wp:inline distT="0" distB="0" distL="0" distR="0" wp14:anchorId="2683F9E7" wp14:editId="32FF9FEE">
            <wp:extent cx="6119495" cy="15525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831" cy="1552914"/>
                    </a:xfrm>
                    <a:prstGeom prst="rect">
                      <a:avLst/>
                    </a:prstGeom>
                    <a:noFill/>
                    <a:ln>
                      <a:noFill/>
                    </a:ln>
                  </pic:spPr>
                </pic:pic>
              </a:graphicData>
            </a:graphic>
          </wp:inline>
        </w:drawing>
      </w:r>
    </w:p>
    <w:p w14:paraId="40F83E47" w14:textId="5CC1A1F1" w:rsidR="00DE20E9" w:rsidRPr="0070420C" w:rsidRDefault="00DE20E9" w:rsidP="0070420C">
      <w:pPr>
        <w:pStyle w:val="ListParagraph"/>
        <w:numPr>
          <w:ilvl w:val="0"/>
          <w:numId w:val="2"/>
        </w:numPr>
        <w:tabs>
          <w:tab w:val="clear" w:pos="794"/>
          <w:tab w:val="clear" w:pos="1191"/>
          <w:tab w:val="clear" w:pos="1588"/>
          <w:tab w:val="clear" w:pos="1985"/>
        </w:tabs>
        <w:adjustRightInd w:val="0"/>
        <w:snapToGrid w:val="0"/>
        <w:spacing w:before="240" w:after="240" w:line="240" w:lineRule="auto"/>
        <w:ind w:left="0" w:firstLine="0"/>
        <w:contextualSpacing w:val="0"/>
        <w:jc w:val="both"/>
        <w:rPr>
          <w:rFonts w:asciiTheme="minorHAnsi" w:hAnsiTheme="minorHAnsi" w:cstheme="minorHAnsi"/>
          <w:sz w:val="24"/>
          <w:szCs w:val="24"/>
          <w:lang w:val="en-CA"/>
        </w:rPr>
      </w:pPr>
      <w:r w:rsidRPr="0070420C">
        <w:rPr>
          <w:rFonts w:asciiTheme="minorHAnsi" w:hAnsiTheme="minorHAnsi" w:cstheme="minorHAnsi"/>
          <w:sz w:val="24"/>
          <w:szCs w:val="24"/>
          <w:lang w:val="en-CA"/>
        </w:rPr>
        <w:t>Further to a request last year from a Councillor, IA also included in this year’s report an overview of the criticality of the recommendations still in progress:</w:t>
      </w:r>
      <w:r w:rsidR="00653AA7" w:rsidRPr="0070420C">
        <w:rPr>
          <w:rFonts w:asciiTheme="minorHAnsi" w:hAnsiTheme="minorHAnsi" w:cstheme="minorHAnsi"/>
          <w:sz w:val="24"/>
          <w:szCs w:val="24"/>
          <w:lang w:val="en-CA"/>
        </w:rPr>
        <w:t xml:space="preserve"> </w:t>
      </w:r>
    </w:p>
    <w:p w14:paraId="4CF8C3E3" w14:textId="20BD23CA" w:rsidR="00F64EA7" w:rsidRDefault="00DE20E9" w:rsidP="00DE20E9">
      <w:pPr>
        <w:pStyle w:val="ListParagraph"/>
        <w:tabs>
          <w:tab w:val="clear" w:pos="794"/>
          <w:tab w:val="clear" w:pos="1191"/>
          <w:tab w:val="clear" w:pos="1588"/>
          <w:tab w:val="clear" w:pos="1985"/>
        </w:tabs>
        <w:adjustRightInd w:val="0"/>
        <w:snapToGrid w:val="0"/>
        <w:spacing w:after="0" w:line="240" w:lineRule="auto"/>
        <w:ind w:left="0"/>
        <w:contextualSpacing w:val="0"/>
        <w:jc w:val="center"/>
        <w:rPr>
          <w:rFonts w:asciiTheme="minorHAnsi" w:hAnsiTheme="minorHAnsi" w:cstheme="minorHAnsi"/>
          <w:sz w:val="24"/>
          <w:szCs w:val="24"/>
          <w:lang w:val="en-CA"/>
        </w:rPr>
      </w:pPr>
      <w:r>
        <w:rPr>
          <w:noProof/>
          <w:lang w:val="en-GB"/>
        </w:rPr>
        <w:drawing>
          <wp:inline distT="0" distB="0" distL="0" distR="0" wp14:anchorId="29C67C92" wp14:editId="65546E04">
            <wp:extent cx="5095875" cy="1990725"/>
            <wp:effectExtent l="0" t="0" r="9525" b="9525"/>
            <wp:docPr id="92" name="Chart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AD90F7" w14:textId="32066556" w:rsidR="00B763B8" w:rsidRPr="00F20A47" w:rsidRDefault="00DE20E9" w:rsidP="00F4665F">
      <w:pPr>
        <w:pStyle w:val="ListParagraph"/>
        <w:numPr>
          <w:ilvl w:val="0"/>
          <w:numId w:val="2"/>
        </w:numPr>
        <w:tabs>
          <w:tab w:val="clear" w:pos="794"/>
          <w:tab w:val="clear" w:pos="1191"/>
          <w:tab w:val="clear" w:pos="1588"/>
          <w:tab w:val="clear" w:pos="1985"/>
        </w:tabs>
        <w:overflowPunct w:val="0"/>
        <w:autoSpaceDE w:val="0"/>
        <w:autoSpaceDN w:val="0"/>
        <w:adjustRightInd w:val="0"/>
        <w:snapToGrid w:val="0"/>
        <w:spacing w:after="60" w:line="240" w:lineRule="auto"/>
        <w:ind w:left="0" w:firstLine="0"/>
        <w:contextualSpacing w:val="0"/>
        <w:jc w:val="both"/>
        <w:textAlignment w:val="baseline"/>
        <w:rPr>
          <w:rFonts w:asciiTheme="minorHAnsi" w:hAnsiTheme="minorHAnsi" w:cstheme="minorHAnsi"/>
          <w:sz w:val="24"/>
          <w:szCs w:val="24"/>
          <w:lang w:val="en-CA"/>
        </w:rPr>
      </w:pPr>
      <w:r w:rsidRPr="00F20A47">
        <w:rPr>
          <w:rFonts w:asciiTheme="minorHAnsi" w:hAnsiTheme="minorHAnsi" w:cstheme="minorHAnsi"/>
          <w:spacing w:val="-2"/>
          <w:sz w:val="24"/>
          <w:szCs w:val="24"/>
          <w:lang w:val="en-CA"/>
        </w:rPr>
        <w:t xml:space="preserve">The critical </w:t>
      </w:r>
      <w:r w:rsidR="00B763B8" w:rsidRPr="00F20A47">
        <w:rPr>
          <w:rFonts w:asciiTheme="minorHAnsi" w:hAnsiTheme="minorHAnsi" w:cstheme="minorHAnsi"/>
          <w:spacing w:val="-2"/>
          <w:sz w:val="24"/>
          <w:szCs w:val="24"/>
          <w:lang w:val="en-CA"/>
        </w:rPr>
        <w:t xml:space="preserve">recommendations </w:t>
      </w:r>
      <w:r w:rsidRPr="00F20A47">
        <w:rPr>
          <w:rFonts w:asciiTheme="minorHAnsi" w:hAnsiTheme="minorHAnsi" w:cstheme="minorHAnsi"/>
          <w:spacing w:val="-2"/>
          <w:sz w:val="24"/>
          <w:szCs w:val="24"/>
          <w:lang w:val="en-CA"/>
        </w:rPr>
        <w:t xml:space="preserve">from 2019 stem from the management letter that IA issued, further to the investigation into the fraud case (see paragraph above on </w:t>
      </w:r>
      <w:r w:rsidRPr="00F20A47">
        <w:rPr>
          <w:rFonts w:asciiTheme="minorHAnsi" w:hAnsiTheme="minorHAnsi" w:cstheme="minorHAnsi"/>
          <w:i/>
          <w:spacing w:val="-2"/>
          <w:sz w:val="24"/>
          <w:szCs w:val="24"/>
          <w:lang w:val="en-CA"/>
        </w:rPr>
        <w:t>Investigations</w:t>
      </w:r>
      <w:r w:rsidRPr="00F20A47">
        <w:rPr>
          <w:rFonts w:asciiTheme="minorHAnsi" w:hAnsiTheme="minorHAnsi" w:cstheme="minorHAnsi"/>
          <w:spacing w:val="-2"/>
          <w:sz w:val="24"/>
          <w:szCs w:val="24"/>
          <w:lang w:val="en-CA"/>
        </w:rPr>
        <w:t xml:space="preserve">). They relate mainly to </w:t>
      </w:r>
      <w:r w:rsidR="00F20A47" w:rsidRPr="00F20A47">
        <w:rPr>
          <w:rFonts w:asciiTheme="minorHAnsi" w:hAnsiTheme="minorHAnsi" w:cstheme="minorHAnsi"/>
          <w:spacing w:val="-2"/>
          <w:sz w:val="24"/>
          <w:szCs w:val="24"/>
          <w:lang w:val="en-CA"/>
        </w:rPr>
        <w:t xml:space="preserve">the need for reinforcement of </w:t>
      </w:r>
      <w:r w:rsidRPr="00F20A47">
        <w:rPr>
          <w:rFonts w:asciiTheme="minorHAnsi" w:hAnsiTheme="minorHAnsi" w:cstheme="minorHAnsi"/>
          <w:spacing w:val="-2"/>
          <w:sz w:val="24"/>
          <w:szCs w:val="24"/>
          <w:lang w:val="en-CA"/>
        </w:rPr>
        <w:t xml:space="preserve">procurement related controls, regional/area office oversight and control procedures with respect to the hiring of external experts </w:t>
      </w:r>
      <w:r w:rsidR="00F20A47" w:rsidRPr="00F20A47">
        <w:rPr>
          <w:rFonts w:asciiTheme="minorHAnsi" w:hAnsiTheme="minorHAnsi" w:cstheme="minorHAnsi"/>
          <w:spacing w:val="-2"/>
          <w:sz w:val="24"/>
          <w:szCs w:val="24"/>
          <w:lang w:val="en-CA"/>
        </w:rPr>
        <w:t>(under</w:t>
      </w:r>
      <w:r w:rsidRPr="00F20A47">
        <w:rPr>
          <w:rFonts w:asciiTheme="minorHAnsi" w:hAnsiTheme="minorHAnsi" w:cstheme="minorHAnsi"/>
          <w:spacing w:val="-2"/>
          <w:sz w:val="24"/>
          <w:szCs w:val="24"/>
          <w:lang w:val="en-CA"/>
        </w:rPr>
        <w:t xml:space="preserve"> </w:t>
      </w:r>
      <w:r w:rsidR="00F20A47" w:rsidRPr="00F20A47">
        <w:rPr>
          <w:rFonts w:asciiTheme="minorHAnsi" w:hAnsiTheme="minorHAnsi" w:cstheme="minorHAnsi"/>
          <w:spacing w:val="-2"/>
          <w:sz w:val="24"/>
          <w:szCs w:val="24"/>
          <w:lang w:val="en-CA"/>
        </w:rPr>
        <w:t>Special Service Agreements). For 2018</w:t>
      </w:r>
      <w:r w:rsidR="001E4782">
        <w:rPr>
          <w:rFonts w:asciiTheme="minorHAnsi" w:hAnsiTheme="minorHAnsi" w:cstheme="minorHAnsi"/>
          <w:spacing w:val="-2"/>
          <w:sz w:val="24"/>
          <w:szCs w:val="24"/>
          <w:lang w:val="en-CA"/>
        </w:rPr>
        <w:t>,</w:t>
      </w:r>
      <w:r w:rsidR="00F20A47" w:rsidRPr="00F20A47">
        <w:rPr>
          <w:rFonts w:asciiTheme="minorHAnsi" w:hAnsiTheme="minorHAnsi" w:cstheme="minorHAnsi"/>
          <w:spacing w:val="-2"/>
          <w:sz w:val="24"/>
          <w:szCs w:val="24"/>
          <w:lang w:val="en-CA"/>
        </w:rPr>
        <w:t xml:space="preserve"> the critical recommendation was related to the need for issuing a procurement manual </w:t>
      </w:r>
      <w:r w:rsidR="001E4782">
        <w:rPr>
          <w:rFonts w:asciiTheme="minorHAnsi" w:hAnsiTheme="minorHAnsi" w:cstheme="minorHAnsi"/>
          <w:spacing w:val="-2"/>
          <w:sz w:val="24"/>
          <w:szCs w:val="24"/>
          <w:lang w:val="en-CA"/>
        </w:rPr>
        <w:t>(</w:t>
      </w:r>
      <w:r w:rsidR="00F20A47" w:rsidRPr="00F20A47">
        <w:rPr>
          <w:rFonts w:asciiTheme="minorHAnsi" w:hAnsiTheme="minorHAnsi" w:cstheme="minorHAnsi"/>
          <w:spacing w:val="-2"/>
          <w:sz w:val="24"/>
          <w:szCs w:val="24"/>
          <w:lang w:val="en-CA"/>
        </w:rPr>
        <w:t xml:space="preserve">which </w:t>
      </w:r>
      <w:r w:rsidR="001E4782">
        <w:rPr>
          <w:rFonts w:asciiTheme="minorHAnsi" w:hAnsiTheme="minorHAnsi" w:cstheme="minorHAnsi"/>
          <w:spacing w:val="-2"/>
          <w:sz w:val="24"/>
          <w:szCs w:val="24"/>
          <w:lang w:val="en-CA"/>
        </w:rPr>
        <w:t xml:space="preserve">would </w:t>
      </w:r>
      <w:r w:rsidR="00F20A47" w:rsidRPr="00F20A47">
        <w:rPr>
          <w:rFonts w:asciiTheme="minorHAnsi" w:hAnsiTheme="minorHAnsi" w:cstheme="minorHAnsi"/>
          <w:spacing w:val="-2"/>
          <w:sz w:val="24"/>
          <w:szCs w:val="24"/>
          <w:lang w:val="en-CA"/>
        </w:rPr>
        <w:t>strengthen controls in that area</w:t>
      </w:r>
      <w:r w:rsidR="001E4782">
        <w:rPr>
          <w:rFonts w:asciiTheme="minorHAnsi" w:hAnsiTheme="minorHAnsi" w:cstheme="minorHAnsi"/>
          <w:spacing w:val="-2"/>
          <w:sz w:val="24"/>
          <w:szCs w:val="24"/>
          <w:lang w:val="en-CA"/>
        </w:rPr>
        <w:t>)</w:t>
      </w:r>
      <w:r w:rsidR="00F20A47" w:rsidRPr="00F20A47">
        <w:rPr>
          <w:rFonts w:asciiTheme="minorHAnsi" w:hAnsiTheme="minorHAnsi" w:cstheme="minorHAnsi"/>
          <w:spacing w:val="-2"/>
          <w:sz w:val="24"/>
          <w:szCs w:val="24"/>
          <w:lang w:val="en-CA"/>
        </w:rPr>
        <w:t>.</w:t>
      </w:r>
      <w:r w:rsidR="00B763B8" w:rsidRPr="00F20A47">
        <w:rPr>
          <w:rFonts w:asciiTheme="minorHAnsi" w:hAnsiTheme="minorHAnsi" w:cstheme="minorHAnsi"/>
          <w:sz w:val="24"/>
          <w:szCs w:val="24"/>
          <w:lang w:val="en-CA"/>
        </w:rPr>
        <w:t xml:space="preserve"> </w:t>
      </w:r>
      <w:r w:rsidR="00F20A47" w:rsidRPr="00F20A47">
        <w:rPr>
          <w:rFonts w:asciiTheme="minorHAnsi" w:hAnsiTheme="minorHAnsi" w:cstheme="minorHAnsi"/>
          <w:sz w:val="24"/>
          <w:szCs w:val="24"/>
          <w:lang w:val="en-CA"/>
        </w:rPr>
        <w:t xml:space="preserve">For earlier made recommendations, </w:t>
      </w:r>
      <w:r w:rsidR="00B763B8" w:rsidRPr="00F20A47">
        <w:rPr>
          <w:rFonts w:asciiTheme="minorHAnsi" w:hAnsiTheme="minorHAnsi" w:cstheme="minorHAnsi"/>
          <w:sz w:val="24"/>
          <w:szCs w:val="24"/>
          <w:lang w:val="en-CA"/>
        </w:rPr>
        <w:t xml:space="preserve">Management informed </w:t>
      </w:r>
      <w:r w:rsidR="00B30B17" w:rsidRPr="00F20A47">
        <w:rPr>
          <w:rFonts w:asciiTheme="minorHAnsi" w:hAnsiTheme="minorHAnsi" w:cstheme="minorHAnsi"/>
          <w:sz w:val="24"/>
          <w:szCs w:val="24"/>
          <w:lang w:val="en-CA"/>
        </w:rPr>
        <w:t>IA</w:t>
      </w:r>
      <w:r w:rsidR="00B763B8" w:rsidRPr="00F20A47">
        <w:rPr>
          <w:rFonts w:asciiTheme="minorHAnsi" w:hAnsiTheme="minorHAnsi" w:cstheme="minorHAnsi"/>
          <w:sz w:val="24"/>
          <w:szCs w:val="24"/>
          <w:lang w:val="en-CA"/>
        </w:rPr>
        <w:t xml:space="preserve"> (and IMAC) regularly of the </w:t>
      </w:r>
      <w:r w:rsidR="00BE788B" w:rsidRPr="00F20A47">
        <w:rPr>
          <w:rFonts w:asciiTheme="minorHAnsi" w:hAnsiTheme="minorHAnsi" w:cstheme="minorHAnsi"/>
          <w:sz w:val="24"/>
          <w:szCs w:val="24"/>
          <w:lang w:val="en-CA"/>
        </w:rPr>
        <w:t>progress.</w:t>
      </w:r>
      <w:r w:rsidR="00B763B8" w:rsidRPr="00F20A47">
        <w:rPr>
          <w:rFonts w:asciiTheme="minorHAnsi" w:hAnsiTheme="minorHAnsi" w:cstheme="minorHAnsi"/>
          <w:sz w:val="24"/>
          <w:szCs w:val="24"/>
          <w:lang w:val="en-CA"/>
        </w:rPr>
        <w:t xml:space="preserve"> </w:t>
      </w:r>
    </w:p>
    <w:p w14:paraId="539F161E" w14:textId="039297B2" w:rsidR="00B763B8" w:rsidRPr="00F64EA7" w:rsidRDefault="00B763B8" w:rsidP="00F4665F">
      <w:pPr>
        <w:tabs>
          <w:tab w:val="clear" w:pos="567"/>
          <w:tab w:val="clear" w:pos="1134"/>
          <w:tab w:val="clear" w:pos="1701"/>
          <w:tab w:val="clear" w:pos="2268"/>
          <w:tab w:val="clear" w:pos="2835"/>
        </w:tabs>
        <w:snapToGrid w:val="0"/>
        <w:spacing w:before="240" w:after="60"/>
        <w:jc w:val="both"/>
        <w:rPr>
          <w:rFonts w:asciiTheme="minorHAnsi" w:hAnsiTheme="minorHAnsi" w:cstheme="minorHAnsi"/>
          <w:b/>
          <w:bCs/>
          <w:sz w:val="28"/>
          <w:szCs w:val="28"/>
          <w:lang w:val="en-CA"/>
        </w:rPr>
      </w:pPr>
      <w:r w:rsidRPr="00F64EA7">
        <w:rPr>
          <w:rFonts w:asciiTheme="minorHAnsi" w:hAnsiTheme="minorHAnsi" w:cstheme="minorHAnsi"/>
          <w:b/>
          <w:bCs/>
          <w:sz w:val="28"/>
          <w:szCs w:val="28"/>
          <w:lang w:val="en-CA"/>
        </w:rPr>
        <w:t>Audit methodology related aspects</w:t>
      </w:r>
    </w:p>
    <w:p w14:paraId="7F63E0F0" w14:textId="22845ADC" w:rsidR="00F259FE" w:rsidRDefault="00B763B8" w:rsidP="00F4665F">
      <w:pPr>
        <w:pStyle w:val="ListParagraph"/>
        <w:numPr>
          <w:ilvl w:val="0"/>
          <w:numId w:val="2"/>
        </w:numPr>
        <w:tabs>
          <w:tab w:val="clear" w:pos="794"/>
          <w:tab w:val="clear" w:pos="1191"/>
          <w:tab w:val="clear" w:pos="1588"/>
          <w:tab w:val="clear" w:pos="1985"/>
        </w:tabs>
        <w:adjustRightInd w:val="0"/>
        <w:snapToGrid w:val="0"/>
        <w:spacing w:after="0" w:line="240" w:lineRule="auto"/>
        <w:ind w:left="0" w:firstLine="0"/>
        <w:contextualSpacing w:val="0"/>
        <w:jc w:val="both"/>
        <w:rPr>
          <w:rFonts w:asciiTheme="minorHAnsi" w:hAnsiTheme="minorHAnsi" w:cstheme="minorHAnsi"/>
          <w:sz w:val="24"/>
          <w:szCs w:val="24"/>
          <w:lang w:val="en-CA"/>
        </w:rPr>
      </w:pPr>
      <w:r w:rsidRPr="00295D68">
        <w:rPr>
          <w:rFonts w:asciiTheme="minorHAnsi" w:hAnsiTheme="minorHAnsi" w:cstheme="minorHAnsi"/>
          <w:sz w:val="24"/>
          <w:szCs w:val="24"/>
          <w:lang w:val="en-CA"/>
        </w:rPr>
        <w:t xml:space="preserve">Since 2013, Internal Audit started using </w:t>
      </w:r>
      <w:r w:rsidRPr="00295D68">
        <w:rPr>
          <w:rFonts w:asciiTheme="minorHAnsi" w:hAnsiTheme="minorHAnsi" w:cstheme="minorHAnsi"/>
          <w:i/>
          <w:iCs/>
          <w:sz w:val="24"/>
          <w:szCs w:val="24"/>
          <w:lang w:val="en-CA"/>
        </w:rPr>
        <w:t>Audit Effectiveness Questionnaires</w:t>
      </w:r>
      <w:r w:rsidRPr="00295D68">
        <w:rPr>
          <w:rFonts w:asciiTheme="minorHAnsi" w:hAnsiTheme="minorHAnsi" w:cstheme="minorHAnsi"/>
          <w:sz w:val="24"/>
          <w:szCs w:val="24"/>
          <w:lang w:val="en-CA"/>
        </w:rPr>
        <w:t xml:space="preserve"> which were sent to the audited processes’ and entities’ managers, to assess the effectiveness of the audit work and identify room for improvement. This practice was continued in the period reported on in this document. Based on the </w:t>
      </w:r>
      <w:r w:rsidR="00172E62" w:rsidRPr="00295D68">
        <w:rPr>
          <w:rFonts w:asciiTheme="minorHAnsi" w:hAnsiTheme="minorHAnsi" w:cstheme="minorHAnsi"/>
          <w:sz w:val="24"/>
          <w:szCs w:val="24"/>
          <w:lang w:val="en-CA"/>
        </w:rPr>
        <w:t>six</w:t>
      </w:r>
      <w:r w:rsidRPr="00295D68">
        <w:rPr>
          <w:rFonts w:asciiTheme="minorHAnsi" w:hAnsiTheme="minorHAnsi" w:cstheme="minorHAnsi"/>
          <w:sz w:val="24"/>
          <w:szCs w:val="24"/>
          <w:lang w:val="en-CA"/>
        </w:rPr>
        <w:t xml:space="preserve"> </w:t>
      </w:r>
      <w:r w:rsidRPr="00295D68">
        <w:rPr>
          <w:rFonts w:asciiTheme="minorHAnsi" w:hAnsiTheme="minorHAnsi" w:cstheme="minorHAnsi"/>
          <w:i/>
          <w:iCs/>
          <w:sz w:val="24"/>
          <w:szCs w:val="24"/>
          <w:lang w:val="en-CA"/>
        </w:rPr>
        <w:t>questionnaires</w:t>
      </w:r>
      <w:r w:rsidRPr="00295D68">
        <w:rPr>
          <w:rFonts w:asciiTheme="minorHAnsi" w:hAnsiTheme="minorHAnsi" w:cstheme="minorHAnsi"/>
          <w:sz w:val="24"/>
          <w:szCs w:val="24"/>
          <w:lang w:val="en-CA"/>
        </w:rPr>
        <w:t xml:space="preserve"> sent back to Internal Audit in </w:t>
      </w:r>
      <w:r w:rsidR="00291F54" w:rsidRPr="00295D68">
        <w:rPr>
          <w:rFonts w:asciiTheme="minorHAnsi" w:hAnsiTheme="minorHAnsi" w:cstheme="minorHAnsi"/>
          <w:sz w:val="24"/>
          <w:szCs w:val="24"/>
          <w:lang w:val="en-CA"/>
        </w:rPr>
        <w:t>2018/2019</w:t>
      </w:r>
      <w:r w:rsidRPr="00295D68">
        <w:rPr>
          <w:rFonts w:asciiTheme="minorHAnsi" w:hAnsiTheme="minorHAnsi" w:cstheme="minorHAnsi"/>
          <w:sz w:val="24"/>
          <w:szCs w:val="24"/>
          <w:lang w:val="en-CA"/>
        </w:rPr>
        <w:t>, feedback has been very positive (average score of 4</w:t>
      </w:r>
      <w:r w:rsidR="00172E62" w:rsidRPr="00295D68">
        <w:rPr>
          <w:rFonts w:asciiTheme="minorHAnsi" w:hAnsiTheme="minorHAnsi" w:cstheme="minorHAnsi"/>
          <w:sz w:val="24"/>
          <w:szCs w:val="24"/>
          <w:lang w:val="en-CA"/>
        </w:rPr>
        <w:t>.2</w:t>
      </w:r>
      <w:r w:rsidRPr="00295D68">
        <w:rPr>
          <w:rFonts w:asciiTheme="minorHAnsi" w:hAnsiTheme="minorHAnsi" w:cstheme="minorHAnsi"/>
          <w:sz w:val="24"/>
          <w:szCs w:val="24"/>
          <w:lang w:val="en-CA"/>
        </w:rPr>
        <w:t>, on a scale from 1 to 5).</w:t>
      </w:r>
    </w:p>
    <w:p w14:paraId="1F9BA7C2" w14:textId="59004A55" w:rsidR="000533D7" w:rsidRPr="00295D68" w:rsidRDefault="0070420C" w:rsidP="00F4665F">
      <w:pPr>
        <w:pStyle w:val="ListParagraph"/>
        <w:tabs>
          <w:tab w:val="clear" w:pos="794"/>
          <w:tab w:val="clear" w:pos="1191"/>
          <w:tab w:val="clear" w:pos="1588"/>
          <w:tab w:val="clear" w:pos="1985"/>
        </w:tabs>
        <w:adjustRightInd w:val="0"/>
        <w:snapToGrid w:val="0"/>
        <w:spacing w:after="0" w:line="240" w:lineRule="auto"/>
        <w:ind w:left="0"/>
        <w:contextualSpacing w:val="0"/>
        <w:jc w:val="center"/>
        <w:rPr>
          <w:rFonts w:asciiTheme="minorHAnsi" w:hAnsiTheme="minorHAnsi" w:cstheme="minorHAnsi"/>
          <w:sz w:val="24"/>
          <w:szCs w:val="24"/>
          <w:lang w:val="en-CA"/>
        </w:rPr>
      </w:pPr>
      <w:bookmarkStart w:id="10" w:name="_GoBack"/>
      <w:r>
        <w:rPr>
          <w:rFonts w:asciiTheme="minorHAnsi" w:hAnsiTheme="minorHAnsi" w:cstheme="minorHAnsi"/>
          <w:sz w:val="24"/>
          <w:szCs w:val="24"/>
          <w:lang w:val="en-CA"/>
        </w:rPr>
        <w:t>____________________</w:t>
      </w:r>
      <w:bookmarkEnd w:id="10"/>
    </w:p>
    <w:sectPr w:rsidR="000533D7" w:rsidRPr="00295D68" w:rsidSect="00295D68">
      <w:headerReference w:type="default" r:id="rId13"/>
      <w:footerReference w:type="first" r:id="rId14"/>
      <w:pgSz w:w="11907" w:h="16834"/>
      <w:pgMar w:top="1418" w:right="1134" w:bottom="1170"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50B6C" w14:textId="77777777" w:rsidR="00A521F4" w:rsidRDefault="00A521F4">
      <w:r>
        <w:separator/>
      </w:r>
    </w:p>
  </w:endnote>
  <w:endnote w:type="continuationSeparator" w:id="0">
    <w:p w14:paraId="0FE2737C" w14:textId="77777777" w:rsidR="00A521F4" w:rsidRDefault="00A5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9C050" w14:textId="77777777" w:rsidR="00161296" w:rsidRDefault="00161296">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1AEC0" w14:textId="77777777" w:rsidR="00A521F4" w:rsidRDefault="00A521F4" w:rsidP="002869AC">
      <w:pPr>
        <w:spacing w:before="60"/>
      </w:pPr>
      <w:r>
        <w:t>____________________</w:t>
      </w:r>
    </w:p>
  </w:footnote>
  <w:footnote w:type="continuationSeparator" w:id="0">
    <w:p w14:paraId="7120B797" w14:textId="77777777" w:rsidR="00A521F4" w:rsidRDefault="00A521F4">
      <w:r>
        <w:continuationSeparator/>
      </w:r>
    </w:p>
  </w:footnote>
  <w:footnote w:id="1">
    <w:p w14:paraId="70874407" w14:textId="77777777" w:rsidR="00161296" w:rsidRPr="00C53531" w:rsidRDefault="00161296" w:rsidP="002869AC">
      <w:pPr>
        <w:pStyle w:val="FootnoteText"/>
        <w:spacing w:before="40"/>
        <w:rPr>
          <w:sz w:val="18"/>
          <w:szCs w:val="18"/>
        </w:rPr>
      </w:pPr>
      <w:r w:rsidRPr="00C53531">
        <w:rPr>
          <w:rStyle w:val="FootnoteReference"/>
          <w:sz w:val="18"/>
          <w:szCs w:val="18"/>
        </w:rPr>
        <w:footnoteRef/>
      </w:r>
      <w:r w:rsidRPr="00C53531">
        <w:rPr>
          <w:sz w:val="18"/>
          <w:szCs w:val="18"/>
        </w:rPr>
        <w:t xml:space="preserve"> </w:t>
      </w:r>
      <w:r w:rsidRPr="00C53531">
        <w:rPr>
          <w:rFonts w:cs="Calibri"/>
          <w:sz w:val="18"/>
          <w:szCs w:val="18"/>
        </w:rPr>
        <w:t>Service Order 13/09, promulgated by the Secretary-General on 27 June 2013</w:t>
      </w:r>
    </w:p>
  </w:footnote>
  <w:footnote w:id="2">
    <w:p w14:paraId="1049A626" w14:textId="77777777" w:rsidR="00161296" w:rsidRPr="00C53531" w:rsidRDefault="00161296" w:rsidP="00881945">
      <w:pPr>
        <w:pStyle w:val="FootnoteText"/>
        <w:spacing w:before="20"/>
        <w:ind w:left="0" w:firstLine="0"/>
        <w:rPr>
          <w:sz w:val="18"/>
          <w:szCs w:val="18"/>
        </w:rPr>
      </w:pPr>
      <w:r w:rsidRPr="002869AC">
        <w:rPr>
          <w:rStyle w:val="FootnoteReference"/>
          <w:sz w:val="18"/>
          <w:szCs w:val="18"/>
        </w:rPr>
        <w:footnoteRef/>
      </w:r>
      <w:r w:rsidRPr="00141758">
        <w:rPr>
          <w:szCs w:val="24"/>
        </w:rPr>
        <w:t xml:space="preserve"> </w:t>
      </w:r>
      <w:r w:rsidRPr="00C53531">
        <w:rPr>
          <w:sz w:val="18"/>
          <w:szCs w:val="18"/>
        </w:rPr>
        <w:t xml:space="preserve">Institute of Internal Auditors, </w:t>
      </w:r>
      <w:hyperlink r:id="rId1" w:history="1">
        <w:r w:rsidRPr="00C53531">
          <w:rPr>
            <w:rStyle w:val="Hyperlink"/>
            <w:sz w:val="18"/>
            <w:szCs w:val="18"/>
          </w:rPr>
          <w:t>www.theiia.org</w:t>
        </w:r>
      </w:hyperlink>
    </w:p>
  </w:footnote>
  <w:footnote w:id="3">
    <w:p w14:paraId="7477BEF7" w14:textId="77777777" w:rsidR="00161296" w:rsidRPr="00FF744D" w:rsidRDefault="00161296" w:rsidP="00881945">
      <w:pPr>
        <w:pStyle w:val="FootnoteText"/>
        <w:spacing w:before="20" w:after="80"/>
        <w:ind w:left="0" w:firstLine="0"/>
      </w:pPr>
      <w:r w:rsidRPr="00C53531">
        <w:rPr>
          <w:rStyle w:val="FootnoteReference"/>
          <w:sz w:val="18"/>
          <w:szCs w:val="18"/>
        </w:rPr>
        <w:footnoteRef/>
      </w:r>
      <w:r w:rsidRPr="00C53531">
        <w:rPr>
          <w:sz w:val="18"/>
          <w:szCs w:val="18"/>
        </w:rPr>
        <w:t xml:space="preserve"> </w:t>
      </w:r>
      <w:r w:rsidRPr="00C53531">
        <w:rPr>
          <w:rFonts w:cs="Calibri"/>
          <w:sz w:val="18"/>
          <w:szCs w:val="18"/>
        </w:rPr>
        <w:t>Service Order 13/09, promulgated by the Secretary-General on 27 June 2013</w:t>
      </w:r>
    </w:p>
  </w:footnote>
  <w:footnote w:id="4">
    <w:p w14:paraId="30E60EA8" w14:textId="77777777" w:rsidR="00161296" w:rsidRPr="002869AC" w:rsidRDefault="00161296" w:rsidP="00127FC1">
      <w:pPr>
        <w:pStyle w:val="FootnoteText"/>
        <w:spacing w:before="0"/>
        <w:ind w:left="255" w:hanging="255"/>
        <w:rPr>
          <w:lang w:val="en-US"/>
        </w:rPr>
      </w:pPr>
      <w:r w:rsidRPr="002869AC">
        <w:rPr>
          <w:rStyle w:val="FootnoteReference"/>
          <w:sz w:val="18"/>
          <w:szCs w:val="18"/>
        </w:rPr>
        <w:footnoteRef/>
      </w:r>
      <w:r>
        <w:t xml:space="preserve"> </w:t>
      </w:r>
      <w:r w:rsidRPr="003952C2">
        <w:rPr>
          <w:sz w:val="20"/>
        </w:rPr>
        <w:t xml:space="preserve">Institute of Internal Auditors, </w:t>
      </w:r>
      <w:hyperlink r:id="rId2" w:history="1">
        <w:r w:rsidRPr="003952C2">
          <w:rPr>
            <w:rStyle w:val="Hyperlink"/>
            <w:sz w:val="20"/>
          </w:rPr>
          <w:t>www.theiia.org</w:t>
        </w:r>
      </w:hyperlink>
      <w:r w:rsidRPr="003952C2">
        <w:rPr>
          <w:rStyle w:val="Hyperlink"/>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025A6" w14:textId="384353A2" w:rsidR="00161296" w:rsidRDefault="00161296" w:rsidP="00CE433C">
    <w:pPr>
      <w:pStyle w:val="Header"/>
    </w:pPr>
    <w:r>
      <w:fldChar w:fldCharType="begin"/>
    </w:r>
    <w:r>
      <w:instrText>PAGE</w:instrText>
    </w:r>
    <w:r>
      <w:fldChar w:fldCharType="separate"/>
    </w:r>
    <w:r w:rsidR="00F4665F">
      <w:rPr>
        <w:noProof/>
      </w:rPr>
      <w:t>4</w:t>
    </w:r>
    <w:r>
      <w:rPr>
        <w:noProof/>
      </w:rPr>
      <w:fldChar w:fldCharType="end"/>
    </w:r>
  </w:p>
  <w:p w14:paraId="70112359" w14:textId="0162A5CD" w:rsidR="00161296" w:rsidRDefault="0070420C" w:rsidP="005243FF">
    <w:pPr>
      <w:pStyle w:val="Header"/>
    </w:pPr>
    <w:r>
      <w:t>C19</w:t>
    </w:r>
    <w:r w:rsidR="00161296">
      <w:t>/44-E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37BDF"/>
    <w:multiLevelType w:val="hybridMultilevel"/>
    <w:tmpl w:val="B56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F5A6B"/>
    <w:multiLevelType w:val="hybridMultilevel"/>
    <w:tmpl w:val="0EE6CE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52E63"/>
    <w:multiLevelType w:val="multilevel"/>
    <w:tmpl w:val="A1D25D06"/>
    <w:lvl w:ilvl="0">
      <w:start w:val="1"/>
      <w:numFmt w:val="decimal"/>
      <w:pStyle w:val="Style1"/>
      <w:lvlText w:val="%1."/>
      <w:lvlJc w:val="left"/>
      <w:pPr>
        <w:ind w:left="360" w:hanging="360"/>
      </w:pPr>
      <w:rPr>
        <w:b w:val="0"/>
        <w:bCs w:val="0"/>
        <w:i w:val="0"/>
        <w:iCs w:val="0"/>
        <w:color w:val="000000"/>
      </w:r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40023"/>
    <w:multiLevelType w:val="hybridMultilevel"/>
    <w:tmpl w:val="BAD6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D7EB0"/>
    <w:multiLevelType w:val="hybridMultilevel"/>
    <w:tmpl w:val="B88C875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33C9D"/>
    <w:multiLevelType w:val="hybridMultilevel"/>
    <w:tmpl w:val="4B80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013D0"/>
    <w:multiLevelType w:val="hybridMultilevel"/>
    <w:tmpl w:val="82A6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23D51"/>
    <w:multiLevelType w:val="multilevel"/>
    <w:tmpl w:val="3A6A7A8E"/>
    <w:lvl w:ilvl="0">
      <w:start w:val="1"/>
      <w:numFmt w:val="upperRoman"/>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330EEC"/>
    <w:multiLevelType w:val="hybridMultilevel"/>
    <w:tmpl w:val="A46AF6FC"/>
    <w:lvl w:ilvl="0" w:tplc="C902F800">
      <w:start w:val="1"/>
      <w:numFmt w:val="upp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D548A"/>
    <w:multiLevelType w:val="hybridMultilevel"/>
    <w:tmpl w:val="A46AF6FC"/>
    <w:lvl w:ilvl="0" w:tplc="C902F800">
      <w:start w:val="1"/>
      <w:numFmt w:val="upp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C314B"/>
    <w:multiLevelType w:val="hybridMultilevel"/>
    <w:tmpl w:val="A27E4584"/>
    <w:lvl w:ilvl="0" w:tplc="6A92C332">
      <w:start w:val="1"/>
      <w:numFmt w:val="decimal"/>
      <w:lvlText w:val="%1."/>
      <w:lvlJc w:val="left"/>
      <w:pPr>
        <w:ind w:left="502" w:hanging="360"/>
      </w:pPr>
      <w:rPr>
        <w:rFonts w:asciiTheme="minorHAnsi" w:hAnsiTheme="minorHAnsi"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C8748B"/>
    <w:multiLevelType w:val="hybridMultilevel"/>
    <w:tmpl w:val="2F02DA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7F34C7"/>
    <w:multiLevelType w:val="hybridMultilevel"/>
    <w:tmpl w:val="C2EA3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17974D1"/>
    <w:multiLevelType w:val="hybridMultilevel"/>
    <w:tmpl w:val="93D6F178"/>
    <w:lvl w:ilvl="0" w:tplc="6A92C332">
      <w:start w:val="1"/>
      <w:numFmt w:val="decimal"/>
      <w:lvlText w:val="%1."/>
      <w:lvlJc w:val="left"/>
      <w:pPr>
        <w:ind w:left="502" w:hanging="360"/>
      </w:pPr>
      <w:rPr>
        <w:rFonts w:asciiTheme="minorHAnsi" w:hAnsiTheme="minorHAnsi" w:hint="default"/>
        <w:b w:val="0"/>
        <w:bCs w:val="0"/>
        <w:i w:val="0"/>
        <w:iCs w:val="0"/>
        <w:sz w:val="24"/>
        <w:szCs w:val="24"/>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B2399D"/>
    <w:multiLevelType w:val="hybridMultilevel"/>
    <w:tmpl w:val="1BAE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C6A02"/>
    <w:multiLevelType w:val="hybridMultilevel"/>
    <w:tmpl w:val="554A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0"/>
  </w:num>
  <w:num w:numId="4">
    <w:abstractNumId w:val="5"/>
  </w:num>
  <w:num w:numId="5">
    <w:abstractNumId w:val="2"/>
  </w:num>
  <w:num w:numId="6">
    <w:abstractNumId w:val="16"/>
  </w:num>
  <w:num w:numId="7">
    <w:abstractNumId w:val="7"/>
  </w:num>
  <w:num w:numId="8">
    <w:abstractNumId w:val="15"/>
  </w:num>
  <w:num w:numId="9">
    <w:abstractNumId w:val="6"/>
  </w:num>
  <w:num w:numId="10">
    <w:abstractNumId w:val="9"/>
  </w:num>
  <w:num w:numId="11">
    <w:abstractNumId w:val="1"/>
  </w:num>
  <w:num w:numId="12">
    <w:abstractNumId w:val="13"/>
  </w:num>
  <w:num w:numId="13">
    <w:abstractNumId w:val="8"/>
  </w:num>
  <w:num w:numId="14">
    <w:abstractNumId w:val="3"/>
  </w:num>
  <w:num w:numId="15">
    <w:abstractNumId w:val="14"/>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fr-CH"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3B8"/>
    <w:rsid w:val="000207A3"/>
    <w:rsid w:val="000210D4"/>
    <w:rsid w:val="00034626"/>
    <w:rsid w:val="00035B7B"/>
    <w:rsid w:val="00045B71"/>
    <w:rsid w:val="000533D7"/>
    <w:rsid w:val="0005382F"/>
    <w:rsid w:val="00063016"/>
    <w:rsid w:val="00066795"/>
    <w:rsid w:val="00076AF6"/>
    <w:rsid w:val="00085CF2"/>
    <w:rsid w:val="000A22CB"/>
    <w:rsid w:val="000A29E5"/>
    <w:rsid w:val="000B1705"/>
    <w:rsid w:val="000C6083"/>
    <w:rsid w:val="000D5F5E"/>
    <w:rsid w:val="000D75B2"/>
    <w:rsid w:val="000F2B58"/>
    <w:rsid w:val="001121F5"/>
    <w:rsid w:val="00114C0C"/>
    <w:rsid w:val="00120F23"/>
    <w:rsid w:val="0012431F"/>
    <w:rsid w:val="00126AC1"/>
    <w:rsid w:val="00126B36"/>
    <w:rsid w:val="00127FC1"/>
    <w:rsid w:val="001301F0"/>
    <w:rsid w:val="00133A9E"/>
    <w:rsid w:val="00134A86"/>
    <w:rsid w:val="001400DC"/>
    <w:rsid w:val="00140CE1"/>
    <w:rsid w:val="001447A8"/>
    <w:rsid w:val="00147321"/>
    <w:rsid w:val="00153E43"/>
    <w:rsid w:val="00161296"/>
    <w:rsid w:val="00172E62"/>
    <w:rsid w:val="0017539C"/>
    <w:rsid w:val="00175AC2"/>
    <w:rsid w:val="0017609F"/>
    <w:rsid w:val="00182D45"/>
    <w:rsid w:val="00184D77"/>
    <w:rsid w:val="00195B40"/>
    <w:rsid w:val="001B149D"/>
    <w:rsid w:val="001B7316"/>
    <w:rsid w:val="001C22E9"/>
    <w:rsid w:val="001C628E"/>
    <w:rsid w:val="001C695A"/>
    <w:rsid w:val="001C7961"/>
    <w:rsid w:val="001E0F4E"/>
    <w:rsid w:val="001E0F7B"/>
    <w:rsid w:val="001E4782"/>
    <w:rsid w:val="001E68EF"/>
    <w:rsid w:val="002072BE"/>
    <w:rsid w:val="002119FD"/>
    <w:rsid w:val="002130E0"/>
    <w:rsid w:val="00227B50"/>
    <w:rsid w:val="00233E9C"/>
    <w:rsid w:val="0024104F"/>
    <w:rsid w:val="00243987"/>
    <w:rsid w:val="002458E3"/>
    <w:rsid w:val="00254031"/>
    <w:rsid w:val="00264425"/>
    <w:rsid w:val="00265875"/>
    <w:rsid w:val="0027303B"/>
    <w:rsid w:val="0028109B"/>
    <w:rsid w:val="00282799"/>
    <w:rsid w:val="00282C76"/>
    <w:rsid w:val="002869AC"/>
    <w:rsid w:val="00286B22"/>
    <w:rsid w:val="00291F54"/>
    <w:rsid w:val="00295D68"/>
    <w:rsid w:val="002B1F58"/>
    <w:rsid w:val="002C1C7A"/>
    <w:rsid w:val="002E30BD"/>
    <w:rsid w:val="002F2D1E"/>
    <w:rsid w:val="002F46AA"/>
    <w:rsid w:val="0030160F"/>
    <w:rsid w:val="0030275D"/>
    <w:rsid w:val="0031207A"/>
    <w:rsid w:val="003144E5"/>
    <w:rsid w:val="00322D0D"/>
    <w:rsid w:val="00367D9F"/>
    <w:rsid w:val="003942D4"/>
    <w:rsid w:val="003958A8"/>
    <w:rsid w:val="003B3BFA"/>
    <w:rsid w:val="003C2533"/>
    <w:rsid w:val="0040435A"/>
    <w:rsid w:val="00406E0F"/>
    <w:rsid w:val="004139C2"/>
    <w:rsid w:val="00414FD9"/>
    <w:rsid w:val="00416A24"/>
    <w:rsid w:val="00431D9E"/>
    <w:rsid w:val="00433CE8"/>
    <w:rsid w:val="00434A5C"/>
    <w:rsid w:val="0043686E"/>
    <w:rsid w:val="004544D9"/>
    <w:rsid w:val="00490E72"/>
    <w:rsid w:val="00491157"/>
    <w:rsid w:val="004921C8"/>
    <w:rsid w:val="004A63F6"/>
    <w:rsid w:val="004A6F25"/>
    <w:rsid w:val="004C46FF"/>
    <w:rsid w:val="004D1851"/>
    <w:rsid w:val="004D599D"/>
    <w:rsid w:val="004E2EA5"/>
    <w:rsid w:val="004E3AEB"/>
    <w:rsid w:val="004F2AEF"/>
    <w:rsid w:val="0050223C"/>
    <w:rsid w:val="00502690"/>
    <w:rsid w:val="0052059C"/>
    <w:rsid w:val="005243FF"/>
    <w:rsid w:val="00545609"/>
    <w:rsid w:val="00557B29"/>
    <w:rsid w:val="00560461"/>
    <w:rsid w:val="00564FBC"/>
    <w:rsid w:val="00582442"/>
    <w:rsid w:val="00592D4E"/>
    <w:rsid w:val="00592F04"/>
    <w:rsid w:val="005953BD"/>
    <w:rsid w:val="005B76EA"/>
    <w:rsid w:val="005C06E7"/>
    <w:rsid w:val="005D1AAB"/>
    <w:rsid w:val="005D4F96"/>
    <w:rsid w:val="005F1871"/>
    <w:rsid w:val="005F2817"/>
    <w:rsid w:val="005F6176"/>
    <w:rsid w:val="006132C3"/>
    <w:rsid w:val="00616196"/>
    <w:rsid w:val="0063373E"/>
    <w:rsid w:val="00633968"/>
    <w:rsid w:val="0063621E"/>
    <w:rsid w:val="0064737F"/>
    <w:rsid w:val="006535F1"/>
    <w:rsid w:val="00653AA7"/>
    <w:rsid w:val="0065557D"/>
    <w:rsid w:val="00655D2C"/>
    <w:rsid w:val="00662984"/>
    <w:rsid w:val="006702FD"/>
    <w:rsid w:val="006716BB"/>
    <w:rsid w:val="0068792C"/>
    <w:rsid w:val="00691F85"/>
    <w:rsid w:val="006925B3"/>
    <w:rsid w:val="0069723C"/>
    <w:rsid w:val="006A0166"/>
    <w:rsid w:val="006B6680"/>
    <w:rsid w:val="006B6DCC"/>
    <w:rsid w:val="0070111B"/>
    <w:rsid w:val="00702DEF"/>
    <w:rsid w:val="0070420C"/>
    <w:rsid w:val="00706861"/>
    <w:rsid w:val="00706AAD"/>
    <w:rsid w:val="0075051B"/>
    <w:rsid w:val="00753A8D"/>
    <w:rsid w:val="007678FA"/>
    <w:rsid w:val="00771DB6"/>
    <w:rsid w:val="007819F1"/>
    <w:rsid w:val="00794D34"/>
    <w:rsid w:val="007B55C8"/>
    <w:rsid w:val="007E4C87"/>
    <w:rsid w:val="007F2004"/>
    <w:rsid w:val="00813B78"/>
    <w:rsid w:val="00813E5E"/>
    <w:rsid w:val="00825AE2"/>
    <w:rsid w:val="0083581B"/>
    <w:rsid w:val="00851FE6"/>
    <w:rsid w:val="00864AFF"/>
    <w:rsid w:val="00881945"/>
    <w:rsid w:val="008B4A6A"/>
    <w:rsid w:val="008B5987"/>
    <w:rsid w:val="008C7E27"/>
    <w:rsid w:val="008D2991"/>
    <w:rsid w:val="008D3C4A"/>
    <w:rsid w:val="008F5E02"/>
    <w:rsid w:val="00913616"/>
    <w:rsid w:val="009173EF"/>
    <w:rsid w:val="00921B4F"/>
    <w:rsid w:val="00925FF0"/>
    <w:rsid w:val="00931218"/>
    <w:rsid w:val="00932906"/>
    <w:rsid w:val="00934B11"/>
    <w:rsid w:val="009545F8"/>
    <w:rsid w:val="00961B0B"/>
    <w:rsid w:val="0097092F"/>
    <w:rsid w:val="00983FA2"/>
    <w:rsid w:val="00985B9B"/>
    <w:rsid w:val="009933DB"/>
    <w:rsid w:val="009B30AA"/>
    <w:rsid w:val="009B38C3"/>
    <w:rsid w:val="009C0601"/>
    <w:rsid w:val="009E17BD"/>
    <w:rsid w:val="009E4A7E"/>
    <w:rsid w:val="009E6E40"/>
    <w:rsid w:val="009E7447"/>
    <w:rsid w:val="009F3B23"/>
    <w:rsid w:val="00A04CEC"/>
    <w:rsid w:val="00A111B6"/>
    <w:rsid w:val="00A121DB"/>
    <w:rsid w:val="00A13A01"/>
    <w:rsid w:val="00A27F92"/>
    <w:rsid w:val="00A32257"/>
    <w:rsid w:val="00A36D20"/>
    <w:rsid w:val="00A521F4"/>
    <w:rsid w:val="00A55622"/>
    <w:rsid w:val="00A5594E"/>
    <w:rsid w:val="00A76AFF"/>
    <w:rsid w:val="00A83502"/>
    <w:rsid w:val="00AA1B18"/>
    <w:rsid w:val="00AB1465"/>
    <w:rsid w:val="00AC3C09"/>
    <w:rsid w:val="00AD15B3"/>
    <w:rsid w:val="00AE59FD"/>
    <w:rsid w:val="00AF2683"/>
    <w:rsid w:val="00AF315D"/>
    <w:rsid w:val="00AF6E49"/>
    <w:rsid w:val="00B016C3"/>
    <w:rsid w:val="00B04A67"/>
    <w:rsid w:val="00B0583C"/>
    <w:rsid w:val="00B10891"/>
    <w:rsid w:val="00B131D7"/>
    <w:rsid w:val="00B16400"/>
    <w:rsid w:val="00B16FE2"/>
    <w:rsid w:val="00B30B17"/>
    <w:rsid w:val="00B40A81"/>
    <w:rsid w:val="00B44910"/>
    <w:rsid w:val="00B464EC"/>
    <w:rsid w:val="00B566D1"/>
    <w:rsid w:val="00B64567"/>
    <w:rsid w:val="00B64B16"/>
    <w:rsid w:val="00B72267"/>
    <w:rsid w:val="00B763B8"/>
    <w:rsid w:val="00B76EB6"/>
    <w:rsid w:val="00B7737B"/>
    <w:rsid w:val="00B80DB0"/>
    <w:rsid w:val="00B824C8"/>
    <w:rsid w:val="00B969CF"/>
    <w:rsid w:val="00BA22D8"/>
    <w:rsid w:val="00BB79F9"/>
    <w:rsid w:val="00BC005B"/>
    <w:rsid w:val="00BC04B9"/>
    <w:rsid w:val="00BC04BB"/>
    <w:rsid w:val="00BC251A"/>
    <w:rsid w:val="00BD032B"/>
    <w:rsid w:val="00BE2640"/>
    <w:rsid w:val="00BE788B"/>
    <w:rsid w:val="00BF5303"/>
    <w:rsid w:val="00C01189"/>
    <w:rsid w:val="00C07285"/>
    <w:rsid w:val="00C374DE"/>
    <w:rsid w:val="00C44090"/>
    <w:rsid w:val="00C47AD4"/>
    <w:rsid w:val="00C52D81"/>
    <w:rsid w:val="00C55198"/>
    <w:rsid w:val="00C556C6"/>
    <w:rsid w:val="00C573E5"/>
    <w:rsid w:val="00C62E99"/>
    <w:rsid w:val="00C8337A"/>
    <w:rsid w:val="00C95BA3"/>
    <w:rsid w:val="00CA6393"/>
    <w:rsid w:val="00CB18FF"/>
    <w:rsid w:val="00CC6256"/>
    <w:rsid w:val="00CD0C08"/>
    <w:rsid w:val="00CE03FB"/>
    <w:rsid w:val="00CE433C"/>
    <w:rsid w:val="00CF0127"/>
    <w:rsid w:val="00CF33F3"/>
    <w:rsid w:val="00CF70B8"/>
    <w:rsid w:val="00D06183"/>
    <w:rsid w:val="00D22C42"/>
    <w:rsid w:val="00D500DC"/>
    <w:rsid w:val="00D518B3"/>
    <w:rsid w:val="00D53999"/>
    <w:rsid w:val="00D64BCA"/>
    <w:rsid w:val="00D65041"/>
    <w:rsid w:val="00D75069"/>
    <w:rsid w:val="00D8430E"/>
    <w:rsid w:val="00D85482"/>
    <w:rsid w:val="00DA1EE1"/>
    <w:rsid w:val="00DB384B"/>
    <w:rsid w:val="00DB6FB8"/>
    <w:rsid w:val="00DC7F82"/>
    <w:rsid w:val="00DC7F97"/>
    <w:rsid w:val="00DE20E9"/>
    <w:rsid w:val="00E02A60"/>
    <w:rsid w:val="00E032A0"/>
    <w:rsid w:val="00E10E80"/>
    <w:rsid w:val="00E124F0"/>
    <w:rsid w:val="00E178D7"/>
    <w:rsid w:val="00E34244"/>
    <w:rsid w:val="00E3488E"/>
    <w:rsid w:val="00E35D7D"/>
    <w:rsid w:val="00E439A2"/>
    <w:rsid w:val="00E51F25"/>
    <w:rsid w:val="00E60F04"/>
    <w:rsid w:val="00E6236D"/>
    <w:rsid w:val="00E64052"/>
    <w:rsid w:val="00E76CE6"/>
    <w:rsid w:val="00E854E4"/>
    <w:rsid w:val="00E90C06"/>
    <w:rsid w:val="00EA5865"/>
    <w:rsid w:val="00EB0D6F"/>
    <w:rsid w:val="00EB2232"/>
    <w:rsid w:val="00EB41B6"/>
    <w:rsid w:val="00EB7B3B"/>
    <w:rsid w:val="00EC5337"/>
    <w:rsid w:val="00ED3C78"/>
    <w:rsid w:val="00EE41A0"/>
    <w:rsid w:val="00EF6257"/>
    <w:rsid w:val="00F20A47"/>
    <w:rsid w:val="00F2150A"/>
    <w:rsid w:val="00F231D8"/>
    <w:rsid w:val="00F259FE"/>
    <w:rsid w:val="00F46374"/>
    <w:rsid w:val="00F4665F"/>
    <w:rsid w:val="00F46C5F"/>
    <w:rsid w:val="00F62870"/>
    <w:rsid w:val="00F64EA7"/>
    <w:rsid w:val="00F833BD"/>
    <w:rsid w:val="00F86272"/>
    <w:rsid w:val="00F94920"/>
    <w:rsid w:val="00F94A63"/>
    <w:rsid w:val="00FA0387"/>
    <w:rsid w:val="00FA1C28"/>
    <w:rsid w:val="00FB7596"/>
    <w:rsid w:val="00FE0A55"/>
    <w:rsid w:val="00FE4077"/>
    <w:rsid w:val="00FE58A1"/>
    <w:rsid w:val="00FE77D2"/>
    <w:rsid w:val="00FF1E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2BFB5D4"/>
  <w15:docId w15:val="{0CA5754F-DA8B-4EC4-AA15-7C96E986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81945"/>
    <w:pPr>
      <w:framePr w:hSpace="180" w:wrap="around" w:hAnchor="margin" w:y="-675"/>
      <w:spacing w:before="72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B763B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B763B8"/>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200" w:line="276" w:lineRule="auto"/>
      <w:ind w:left="720"/>
      <w:contextualSpacing/>
      <w:textAlignment w:val="auto"/>
    </w:pPr>
    <w:rPr>
      <w:rFonts w:ascii="Times New Roman" w:eastAsiaTheme="minorEastAsia" w:hAnsi="Times New Roman" w:cstheme="minorBidi"/>
      <w:sz w:val="22"/>
      <w:szCs w:val="22"/>
      <w:lang w:val="fr-CH" w:eastAsia="zh-CN"/>
    </w:rPr>
  </w:style>
  <w:style w:type="character" w:customStyle="1" w:styleId="Heading1Char">
    <w:name w:val="Heading 1 Char"/>
    <w:link w:val="Heading1"/>
    <w:rsid w:val="00B763B8"/>
    <w:rPr>
      <w:rFonts w:ascii="Calibri" w:hAnsi="Calibri"/>
      <w:b/>
      <w:sz w:val="28"/>
      <w:lang w:val="en-GB" w:eastAsia="en-US"/>
    </w:rPr>
  </w:style>
  <w:style w:type="character" w:customStyle="1" w:styleId="FootnoteTextChar">
    <w:name w:val="Footnote Text Char"/>
    <w:link w:val="FootnoteText"/>
    <w:rsid w:val="00B763B8"/>
    <w:rPr>
      <w:rFonts w:ascii="Calibri" w:hAnsi="Calibri"/>
      <w:sz w:val="24"/>
      <w:lang w:val="en-GB" w:eastAsia="en-US"/>
    </w:rPr>
  </w:style>
  <w:style w:type="character" w:styleId="Emphasis">
    <w:name w:val="Emphasis"/>
    <w:basedOn w:val="DefaultParagraphFont"/>
    <w:qFormat/>
    <w:rsid w:val="003144E5"/>
    <w:rPr>
      <w:i/>
      <w:iCs/>
    </w:rPr>
  </w:style>
  <w:style w:type="paragraph" w:styleId="BalloonText">
    <w:name w:val="Balloon Text"/>
    <w:basedOn w:val="Normal"/>
    <w:link w:val="BalloonTextChar"/>
    <w:semiHidden/>
    <w:unhideWhenUsed/>
    <w:rsid w:val="00E76CE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76CE6"/>
    <w:rPr>
      <w:rFonts w:ascii="Segoe UI" w:hAnsi="Segoe UI" w:cs="Segoe UI"/>
      <w:sz w:val="18"/>
      <w:szCs w:val="18"/>
      <w:lang w:val="en-GB" w:eastAsia="en-US"/>
    </w:rPr>
  </w:style>
  <w:style w:type="character" w:styleId="CommentReference">
    <w:name w:val="annotation reference"/>
    <w:basedOn w:val="DefaultParagraphFont"/>
    <w:semiHidden/>
    <w:unhideWhenUsed/>
    <w:rsid w:val="00E76CE6"/>
    <w:rPr>
      <w:sz w:val="16"/>
      <w:szCs w:val="16"/>
    </w:rPr>
  </w:style>
  <w:style w:type="paragraph" w:styleId="CommentText">
    <w:name w:val="annotation text"/>
    <w:basedOn w:val="Normal"/>
    <w:link w:val="CommentTextChar"/>
    <w:semiHidden/>
    <w:unhideWhenUsed/>
    <w:rsid w:val="00E76CE6"/>
    <w:rPr>
      <w:sz w:val="20"/>
    </w:rPr>
  </w:style>
  <w:style w:type="character" w:customStyle="1" w:styleId="CommentTextChar">
    <w:name w:val="Comment Text Char"/>
    <w:basedOn w:val="DefaultParagraphFont"/>
    <w:link w:val="CommentText"/>
    <w:semiHidden/>
    <w:rsid w:val="00E76CE6"/>
    <w:rPr>
      <w:rFonts w:ascii="Calibri" w:hAnsi="Calibri"/>
      <w:lang w:val="en-GB" w:eastAsia="en-US"/>
    </w:rPr>
  </w:style>
  <w:style w:type="paragraph" w:styleId="CommentSubject">
    <w:name w:val="annotation subject"/>
    <w:basedOn w:val="CommentText"/>
    <w:next w:val="CommentText"/>
    <w:link w:val="CommentSubjectChar"/>
    <w:semiHidden/>
    <w:unhideWhenUsed/>
    <w:rsid w:val="00E76CE6"/>
    <w:rPr>
      <w:b/>
      <w:bCs/>
    </w:rPr>
  </w:style>
  <w:style w:type="character" w:customStyle="1" w:styleId="CommentSubjectChar">
    <w:name w:val="Comment Subject Char"/>
    <w:basedOn w:val="CommentTextChar"/>
    <w:link w:val="CommentSubject"/>
    <w:semiHidden/>
    <w:rsid w:val="00E76CE6"/>
    <w:rPr>
      <w:rFonts w:ascii="Calibri" w:hAnsi="Calibri"/>
      <w:b/>
      <w:bCs/>
      <w:lang w:val="en-GB" w:eastAsia="en-US"/>
    </w:rPr>
  </w:style>
  <w:style w:type="paragraph" w:styleId="NormalWeb">
    <w:name w:val="Normal (Web)"/>
    <w:basedOn w:val="Normal"/>
    <w:uiPriority w:val="99"/>
    <w:rsid w:val="00E02A60"/>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Verdana" w:hAnsi="Verdana"/>
      <w:szCs w:val="24"/>
      <w:lang w:val="en-US"/>
    </w:rPr>
  </w:style>
  <w:style w:type="paragraph" w:customStyle="1" w:styleId="Default">
    <w:name w:val="Default"/>
    <w:rsid w:val="00233E9C"/>
    <w:pPr>
      <w:autoSpaceDE w:val="0"/>
      <w:autoSpaceDN w:val="0"/>
      <w:adjustRightInd w:val="0"/>
    </w:pPr>
    <w:rPr>
      <w:rFonts w:ascii="Calibri" w:hAnsi="Calibri" w:cs="Calibri"/>
      <w:color w:val="000000"/>
      <w:sz w:val="24"/>
      <w:szCs w:val="24"/>
    </w:rPr>
  </w:style>
  <w:style w:type="paragraph" w:customStyle="1" w:styleId="Style1">
    <w:name w:val="Style1"/>
    <w:basedOn w:val="Heading3"/>
    <w:link w:val="Style1Char"/>
    <w:qFormat/>
    <w:rsid w:val="00C8337A"/>
    <w:pPr>
      <w:keepLines w:val="0"/>
      <w:numPr>
        <w:numId w:val="14"/>
      </w:numPr>
      <w:tabs>
        <w:tab w:val="clear" w:pos="567"/>
        <w:tab w:val="clear" w:pos="1134"/>
        <w:tab w:val="clear" w:pos="1701"/>
        <w:tab w:val="clear" w:pos="2268"/>
        <w:tab w:val="clear" w:pos="2835"/>
      </w:tabs>
      <w:overflowPunct/>
      <w:autoSpaceDE/>
      <w:autoSpaceDN/>
      <w:adjustRightInd/>
      <w:spacing w:before="0"/>
      <w:jc w:val="both"/>
      <w:textAlignment w:val="auto"/>
    </w:pPr>
    <w:rPr>
      <w:rFonts w:eastAsia="SimSun" w:cs="Arial"/>
      <w:b w:val="0"/>
      <w:sz w:val="22"/>
      <w:szCs w:val="22"/>
      <w:lang w:eastAsia="zh-CN"/>
    </w:rPr>
  </w:style>
  <w:style w:type="character" w:customStyle="1" w:styleId="Style1Char">
    <w:name w:val="Style1 Char"/>
    <w:basedOn w:val="DefaultParagraphFont"/>
    <w:link w:val="Style1"/>
    <w:rsid w:val="00C8337A"/>
    <w:rPr>
      <w:rFonts w:ascii="Calibri" w:eastAsia="SimSun" w:hAnsi="Calibri" w:cs="Arial"/>
      <w:sz w:val="22"/>
      <w:szCs w:val="22"/>
      <w:lang w:val="en-GB"/>
    </w:rPr>
  </w:style>
  <w:style w:type="paragraph" w:styleId="Date">
    <w:name w:val="Date"/>
    <w:basedOn w:val="Normal"/>
    <w:link w:val="DateChar"/>
    <w:rsid w:val="00A5594E"/>
    <w:pPr>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rsid w:val="00A5594E"/>
    <w:rPr>
      <w:rFonts w:ascii="Calibri"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542324">
      <w:bodyDiv w:val="1"/>
      <w:marLeft w:val="0"/>
      <w:marRight w:val="0"/>
      <w:marTop w:val="0"/>
      <w:marBottom w:val="0"/>
      <w:divBdr>
        <w:top w:val="none" w:sz="0" w:space="0" w:color="auto"/>
        <w:left w:val="none" w:sz="0" w:space="0" w:color="auto"/>
        <w:bottom w:val="none" w:sz="0" w:space="0" w:color="auto"/>
        <w:right w:val="none" w:sz="0" w:space="0" w:color="auto"/>
      </w:divBdr>
    </w:div>
    <w:div w:id="1506550740">
      <w:bodyDiv w:val="1"/>
      <w:marLeft w:val="0"/>
      <w:marRight w:val="0"/>
      <w:marTop w:val="0"/>
      <w:marBottom w:val="0"/>
      <w:divBdr>
        <w:top w:val="none" w:sz="0" w:space="0" w:color="auto"/>
        <w:left w:val="none" w:sz="0" w:space="0" w:color="auto"/>
        <w:bottom w:val="none" w:sz="0" w:space="0" w:color="auto"/>
        <w:right w:val="none" w:sz="0" w:space="0" w:color="auto"/>
      </w:divBdr>
    </w:div>
    <w:div w:id="1544294029">
      <w:bodyDiv w:val="1"/>
      <w:marLeft w:val="0"/>
      <w:marRight w:val="0"/>
      <w:marTop w:val="0"/>
      <w:marBottom w:val="0"/>
      <w:divBdr>
        <w:top w:val="none" w:sz="0" w:space="0" w:color="auto"/>
        <w:left w:val="none" w:sz="0" w:space="0" w:color="auto"/>
        <w:bottom w:val="none" w:sz="0" w:space="0" w:color="auto"/>
        <w:right w:val="none" w:sz="0" w:space="0" w:color="auto"/>
      </w:divBdr>
    </w:div>
    <w:div w:id="205134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S19-CL-INF-0014/en" TargetMode="External"/><Relationship Id="rId4" Type="http://schemas.openxmlformats.org/officeDocument/2006/relationships/settings" Target="settings.xml"/><Relationship Id="rId9" Type="http://schemas.openxmlformats.org/officeDocument/2006/relationships/hyperlink" Target="https://www.itu.int/en/council/Documents/Financial-Regulations/S-GEN-REG_RGTFIN-2018-PDF-E.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theiia.org" TargetMode="External"/><Relationship Id="rId1" Type="http://schemas.openxmlformats.org/officeDocument/2006/relationships/hyperlink" Target="http://www.theiia.org"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Criticality of the recommendations in progress/ delayed</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Statistics!$R$38</c:f>
              <c:strCache>
                <c:ptCount val="1"/>
                <c:pt idx="0">
                  <c:v>Critical</c:v>
                </c:pt>
              </c:strCache>
            </c:strRef>
          </c:tx>
          <c:spPr>
            <a:solidFill>
              <a:srgbClr val="FF0000"/>
            </a:solidFill>
            <a:ln>
              <a:noFill/>
            </a:ln>
            <a:effectLst/>
          </c:spPr>
          <c:invertIfNegative val="0"/>
          <c:cat>
            <c:numRef>
              <c:f>Statistics!$Q$39:$Q$47</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Statistics!$R$39:$R$47</c:f>
              <c:numCache>
                <c:formatCode>General</c:formatCode>
                <c:ptCount val="9"/>
                <c:pt idx="4">
                  <c:v>0</c:v>
                </c:pt>
                <c:pt idx="7">
                  <c:v>1</c:v>
                </c:pt>
                <c:pt idx="8">
                  <c:v>6</c:v>
                </c:pt>
              </c:numCache>
            </c:numRef>
          </c:val>
          <c:extLst xmlns:c16r2="http://schemas.microsoft.com/office/drawing/2015/06/chart">
            <c:ext xmlns:c16="http://schemas.microsoft.com/office/drawing/2014/chart" uri="{C3380CC4-5D6E-409C-BE32-E72D297353CC}">
              <c16:uniqueId val="{00000000-374F-44A8-AE88-71EB94767125}"/>
            </c:ext>
          </c:extLst>
        </c:ser>
        <c:ser>
          <c:idx val="1"/>
          <c:order val="1"/>
          <c:tx>
            <c:strRef>
              <c:f>Statistics!$S$38</c:f>
              <c:strCache>
                <c:ptCount val="1"/>
                <c:pt idx="0">
                  <c:v>High </c:v>
                </c:pt>
              </c:strCache>
            </c:strRef>
          </c:tx>
          <c:spPr>
            <a:solidFill>
              <a:srgbClr val="FFC000"/>
            </a:solidFill>
            <a:ln>
              <a:noFill/>
            </a:ln>
            <a:effectLst/>
          </c:spPr>
          <c:invertIfNegative val="0"/>
          <c:cat>
            <c:numRef>
              <c:f>Statistics!$Q$39:$Q$47</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Statistics!$S$39:$S$47</c:f>
              <c:numCache>
                <c:formatCode>General</c:formatCode>
                <c:ptCount val="9"/>
                <c:pt idx="0">
                  <c:v>0</c:v>
                </c:pt>
                <c:pt idx="2">
                  <c:v>2</c:v>
                </c:pt>
                <c:pt idx="3">
                  <c:v>2</c:v>
                </c:pt>
                <c:pt idx="4">
                  <c:v>2</c:v>
                </c:pt>
                <c:pt idx="5">
                  <c:v>6</c:v>
                </c:pt>
                <c:pt idx="6">
                  <c:v>8</c:v>
                </c:pt>
                <c:pt idx="7">
                  <c:v>8</c:v>
                </c:pt>
                <c:pt idx="8">
                  <c:v>7</c:v>
                </c:pt>
              </c:numCache>
            </c:numRef>
          </c:val>
          <c:extLst xmlns:c16r2="http://schemas.microsoft.com/office/drawing/2015/06/chart">
            <c:ext xmlns:c16="http://schemas.microsoft.com/office/drawing/2014/chart" uri="{C3380CC4-5D6E-409C-BE32-E72D297353CC}">
              <c16:uniqueId val="{00000001-374F-44A8-AE88-71EB94767125}"/>
            </c:ext>
          </c:extLst>
        </c:ser>
        <c:ser>
          <c:idx val="2"/>
          <c:order val="2"/>
          <c:tx>
            <c:strRef>
              <c:f>Statistics!$T$38</c:f>
              <c:strCache>
                <c:ptCount val="1"/>
                <c:pt idx="0">
                  <c:v>Medium</c:v>
                </c:pt>
              </c:strCache>
            </c:strRef>
          </c:tx>
          <c:spPr>
            <a:solidFill>
              <a:srgbClr val="FFFF00"/>
            </a:solidFill>
            <a:ln>
              <a:noFill/>
            </a:ln>
            <a:effectLst/>
          </c:spPr>
          <c:invertIfNegative val="0"/>
          <c:cat>
            <c:numRef>
              <c:f>Statistics!$Q$39:$Q$47</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Statistics!$T$39:$T$47</c:f>
              <c:numCache>
                <c:formatCode>General</c:formatCode>
                <c:ptCount val="9"/>
                <c:pt idx="0">
                  <c:v>2</c:v>
                </c:pt>
                <c:pt idx="2">
                  <c:v>3</c:v>
                </c:pt>
                <c:pt idx="3">
                  <c:v>0</c:v>
                </c:pt>
                <c:pt idx="4">
                  <c:v>2</c:v>
                </c:pt>
                <c:pt idx="5">
                  <c:v>2</c:v>
                </c:pt>
                <c:pt idx="6">
                  <c:v>10</c:v>
                </c:pt>
                <c:pt idx="7">
                  <c:v>9</c:v>
                </c:pt>
                <c:pt idx="8">
                  <c:v>2</c:v>
                </c:pt>
              </c:numCache>
            </c:numRef>
          </c:val>
          <c:extLst xmlns:c16r2="http://schemas.microsoft.com/office/drawing/2015/06/chart">
            <c:ext xmlns:c16="http://schemas.microsoft.com/office/drawing/2014/chart" uri="{C3380CC4-5D6E-409C-BE32-E72D297353CC}">
              <c16:uniqueId val="{00000002-374F-44A8-AE88-71EB94767125}"/>
            </c:ext>
          </c:extLst>
        </c:ser>
        <c:ser>
          <c:idx val="3"/>
          <c:order val="3"/>
          <c:tx>
            <c:strRef>
              <c:f>Statistics!$U$38</c:f>
              <c:strCache>
                <c:ptCount val="1"/>
                <c:pt idx="0">
                  <c:v>Low</c:v>
                </c:pt>
              </c:strCache>
            </c:strRef>
          </c:tx>
          <c:spPr>
            <a:solidFill>
              <a:srgbClr val="00B050"/>
            </a:solidFill>
            <a:ln>
              <a:noFill/>
            </a:ln>
            <a:effectLst/>
          </c:spPr>
          <c:invertIfNegative val="0"/>
          <c:cat>
            <c:numRef>
              <c:f>Statistics!$Q$39:$Q$47</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Statistics!$U$39:$U$47</c:f>
              <c:numCache>
                <c:formatCode>General</c:formatCode>
                <c:ptCount val="9"/>
                <c:pt idx="0">
                  <c:v>1</c:v>
                </c:pt>
                <c:pt idx="2">
                  <c:v>0</c:v>
                </c:pt>
                <c:pt idx="5">
                  <c:v>0</c:v>
                </c:pt>
                <c:pt idx="7">
                  <c:v>2</c:v>
                </c:pt>
              </c:numCache>
            </c:numRef>
          </c:val>
          <c:extLst xmlns:c16r2="http://schemas.microsoft.com/office/drawing/2015/06/chart">
            <c:ext xmlns:c16="http://schemas.microsoft.com/office/drawing/2014/chart" uri="{C3380CC4-5D6E-409C-BE32-E72D297353CC}">
              <c16:uniqueId val="{00000003-374F-44A8-AE88-71EB94767125}"/>
            </c:ext>
          </c:extLst>
        </c:ser>
        <c:dLbls>
          <c:showLegendKey val="0"/>
          <c:showVal val="0"/>
          <c:showCatName val="0"/>
          <c:showSerName val="0"/>
          <c:showPercent val="0"/>
          <c:showBubbleSize val="0"/>
        </c:dLbls>
        <c:gapWidth val="219"/>
        <c:overlap val="-27"/>
        <c:axId val="476684600"/>
        <c:axId val="476683032"/>
      </c:barChart>
      <c:catAx>
        <c:axId val="476684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683032"/>
        <c:crosses val="autoZero"/>
        <c:auto val="1"/>
        <c:lblAlgn val="ctr"/>
        <c:lblOffset val="100"/>
        <c:noMultiLvlLbl val="0"/>
      </c:catAx>
      <c:valAx>
        <c:axId val="476683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6846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7A79C-1CA9-4040-8C9D-4E076776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2041</Words>
  <Characters>11501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Report of the Internal Auditor on internal audit activities</vt:lpstr>
    </vt:vector>
  </TitlesOfParts>
  <Manager>General Secretariat - Pool</Manager>
  <Company>International Telecommunication Union (ITU)</Company>
  <LinksUpToDate>false</LinksUpToDate>
  <CharactersWithSpaces>13515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Internal Auditor on internal audit activities</dc:title>
  <dc:subject>Council 2019</dc:subject>
  <dc:creator>Bogdan, Doreen</dc:creator>
  <cp:keywords>C2019, C19</cp:keywords>
  <dc:description/>
  <cp:lastModifiedBy>Janin, Patricia</cp:lastModifiedBy>
  <cp:revision>7</cp:revision>
  <cp:lastPrinted>2018-03-07T10:40:00Z</cp:lastPrinted>
  <dcterms:created xsi:type="dcterms:W3CDTF">2019-05-16T07:48:00Z</dcterms:created>
  <dcterms:modified xsi:type="dcterms:W3CDTF">2019-05-17T07:44:00Z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