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4241F2" w:rsidP="00A5354B">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201</w:t>
            </w:r>
            <w:r>
              <w:rPr>
                <w:rFonts w:cs="Arial"/>
                <w:b/>
                <w:bCs/>
                <w:sz w:val="26"/>
                <w:szCs w:val="26"/>
                <w:lang w:val="en-US" w:eastAsia="zh-CN"/>
              </w:rPr>
              <w:t>9</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Pr="009625D8">
              <w:rPr>
                <w:b/>
                <w:bCs/>
                <w:color w:val="000000"/>
                <w:lang w:eastAsia="zh-CN"/>
              </w:rPr>
              <w:t>201</w:t>
            </w:r>
            <w:r>
              <w:rPr>
                <w:b/>
                <w:bCs/>
                <w:color w:val="000000"/>
                <w:lang w:eastAsia="zh-CN"/>
              </w:rPr>
              <w:t>9</w:t>
            </w:r>
            <w:r w:rsidRPr="009625D8">
              <w:rPr>
                <w:rFonts w:ascii="SimSun" w:hAnsi="SimSun" w:hint="eastAsia"/>
                <w:b/>
                <w:bCs/>
                <w:color w:val="000000"/>
                <w:lang w:eastAsia="zh-CN"/>
              </w:rPr>
              <w:t>年</w:t>
            </w:r>
            <w:r>
              <w:rPr>
                <w:b/>
                <w:bCs/>
                <w:color w:val="000000"/>
                <w:lang w:eastAsia="zh-CN"/>
              </w:rPr>
              <w:t>6</w:t>
            </w:r>
            <w:r w:rsidRPr="009625D8">
              <w:rPr>
                <w:rFonts w:ascii="SimSun" w:hAnsi="SimSun" w:hint="eastAsia"/>
                <w:b/>
                <w:bCs/>
                <w:color w:val="000000"/>
                <w:lang w:eastAsia="zh-CN"/>
              </w:rPr>
              <w:t>月</w:t>
            </w:r>
            <w:r>
              <w:rPr>
                <w:b/>
                <w:bCs/>
                <w:color w:val="000000"/>
                <w:lang w:eastAsia="zh-CN"/>
              </w:rPr>
              <w:t>10-</w:t>
            </w:r>
            <w:r w:rsidRPr="009625D8">
              <w:rPr>
                <w:b/>
                <w:bCs/>
                <w:color w:val="000000"/>
                <w:lang w:eastAsia="zh-CN"/>
              </w:rPr>
              <w:t>2</w:t>
            </w:r>
            <w:r>
              <w:rPr>
                <w:b/>
                <w:bCs/>
                <w:color w:val="000000"/>
                <w:lang w:eastAsia="zh-CN"/>
              </w:rPr>
              <w:t>0</w:t>
            </w:r>
            <w:r w:rsidRPr="009625D8">
              <w:rPr>
                <w:rFonts w:ascii="SimSun" w:hAnsi="SimSun" w:hint="eastAsia"/>
                <w:b/>
                <w:bCs/>
                <w:color w:val="000000"/>
                <w:lang w:eastAsia="zh-CN"/>
              </w:rPr>
              <w:t>日</w:t>
            </w:r>
            <w:r w:rsidRPr="009625D8">
              <w:rPr>
                <w:rFonts w:ascii="SimSun" w:hAnsi="SimSun" w:cs="SimSun" w:hint="eastAsia"/>
                <w:b/>
                <w:bCs/>
                <w:smallCaps/>
                <w:szCs w:val="24"/>
                <w:lang w:val="en-US" w:eastAsia="zh-CN"/>
              </w:rPr>
              <w:t>，</w:t>
            </w:r>
            <w:r w:rsidRPr="009625D8">
              <w:rPr>
                <w:rFonts w:ascii="SimSun" w:hAnsi="SimSun" w:hint="eastAsia"/>
                <w:b/>
                <w:bCs/>
                <w:szCs w:val="24"/>
                <w:lang w:eastAsia="zh-CN"/>
              </w:rPr>
              <w:t>日内瓦</w:t>
            </w:r>
          </w:p>
        </w:tc>
        <w:tc>
          <w:tcPr>
            <w:tcW w:w="3120" w:type="dxa"/>
          </w:tcPr>
          <w:p w:rsidR="00700D1F" w:rsidRDefault="00AB42C1" w:rsidP="00864589">
            <w:pPr>
              <w:spacing w:before="0"/>
              <w:jc w:val="right"/>
            </w:pPr>
            <w:bookmarkStart w:id="0" w:name="ditulogo"/>
            <w:bookmarkEnd w:id="0"/>
            <w:r>
              <w:rPr>
                <w:noProof/>
                <w:lang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001B77">
            <w:pPr>
              <w:spacing w:before="0" w:after="48"/>
              <w:rPr>
                <w:b/>
                <w:smallCaps/>
                <w:szCs w:val="24"/>
              </w:rPr>
            </w:pPr>
          </w:p>
        </w:tc>
        <w:tc>
          <w:tcPr>
            <w:tcW w:w="3120" w:type="dxa"/>
            <w:tcBorders>
              <w:bottom w:val="single" w:sz="12" w:space="0" w:color="auto"/>
            </w:tcBorders>
          </w:tcPr>
          <w:p w:rsidR="00700D1F" w:rsidRPr="00617BE4" w:rsidRDefault="00700D1F" w:rsidP="00001B77">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001B77">
            <w:pPr>
              <w:spacing w:before="0" w:after="48"/>
              <w:rPr>
                <w:b/>
                <w:smallCaps/>
                <w:szCs w:val="24"/>
              </w:rPr>
            </w:pPr>
          </w:p>
        </w:tc>
        <w:tc>
          <w:tcPr>
            <w:tcW w:w="3120" w:type="dxa"/>
            <w:tcBorders>
              <w:top w:val="single" w:sz="12" w:space="0" w:color="auto"/>
            </w:tcBorders>
          </w:tcPr>
          <w:p w:rsidR="00700D1F" w:rsidRPr="00617BE4" w:rsidRDefault="00700D1F" w:rsidP="00001B77">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6C5D55">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6C5D55">
              <w:rPr>
                <w:b/>
              </w:rPr>
              <w:t>ADM</w:t>
            </w:r>
            <w:r w:rsidR="00B40A53">
              <w:rPr>
                <w:b/>
              </w:rPr>
              <w:t xml:space="preserve"> </w:t>
            </w:r>
            <w:r w:rsidR="00553186">
              <w:rPr>
                <w:b/>
              </w:rPr>
              <w:t>16</w:t>
            </w:r>
          </w:p>
        </w:tc>
        <w:tc>
          <w:tcPr>
            <w:tcW w:w="3120" w:type="dxa"/>
          </w:tcPr>
          <w:p w:rsidR="00700D1F" w:rsidRPr="00700D1F" w:rsidRDefault="00700D1F" w:rsidP="006C5D55">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4241F2" w:rsidRPr="00FC5386">
              <w:rPr>
                <w:b/>
                <w:bCs/>
                <w:szCs w:val="24"/>
                <w:lang w:eastAsia="zh-CN"/>
              </w:rPr>
              <w:t>1</w:t>
            </w:r>
            <w:r w:rsidR="004241F2">
              <w:rPr>
                <w:b/>
                <w:bCs/>
                <w:szCs w:val="24"/>
                <w:lang w:eastAsia="zh-CN"/>
              </w:rPr>
              <w:t>9</w:t>
            </w:r>
            <w:r w:rsidRPr="00FC5386">
              <w:rPr>
                <w:b/>
                <w:bCs/>
                <w:szCs w:val="24"/>
                <w:lang w:eastAsia="zh-CN"/>
              </w:rPr>
              <w:t>/</w:t>
            </w:r>
            <w:r w:rsidR="006C5D55">
              <w:rPr>
                <w:b/>
                <w:bCs/>
                <w:szCs w:val="24"/>
                <w:lang w:eastAsia="zh-CN"/>
              </w:rPr>
              <w:t>44</w:t>
            </w:r>
            <w:r w:rsidRPr="00FC5386">
              <w:rPr>
                <w:b/>
                <w:bCs/>
                <w:szCs w:val="24"/>
                <w:lang w:eastAsia="zh-CN"/>
              </w:rPr>
              <w:t>-C</w:t>
            </w:r>
          </w:p>
        </w:tc>
      </w:tr>
      <w:bookmarkEnd w:id="1"/>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4241F2" w:rsidP="006C5D55">
            <w:pPr>
              <w:tabs>
                <w:tab w:val="left" w:pos="993"/>
              </w:tabs>
              <w:spacing w:before="0"/>
              <w:rPr>
                <w:b/>
                <w:bCs/>
                <w:szCs w:val="24"/>
                <w:lang w:eastAsia="zh-CN"/>
              </w:rPr>
            </w:pPr>
            <w:r w:rsidRPr="00FC5386">
              <w:rPr>
                <w:b/>
                <w:bCs/>
                <w:szCs w:val="24"/>
                <w:lang w:eastAsia="zh-CN"/>
              </w:rPr>
              <w:t>201</w:t>
            </w:r>
            <w:r>
              <w:rPr>
                <w:b/>
                <w:bCs/>
                <w:szCs w:val="24"/>
                <w:lang w:eastAsia="zh-CN"/>
              </w:rPr>
              <w:t>9</w:t>
            </w:r>
            <w:r w:rsidR="00700D1F" w:rsidRPr="00FC5386">
              <w:rPr>
                <w:rFonts w:hint="eastAsia"/>
                <w:b/>
                <w:bCs/>
                <w:szCs w:val="24"/>
                <w:lang w:eastAsia="zh-CN"/>
              </w:rPr>
              <w:t>年</w:t>
            </w:r>
            <w:r w:rsidR="00553186">
              <w:rPr>
                <w:rFonts w:asciiTheme="minorHAnsi" w:hAnsiTheme="minorHAnsi" w:cstheme="minorHAnsi"/>
                <w:b/>
                <w:bCs/>
                <w:szCs w:val="24"/>
                <w:lang w:eastAsia="zh-CN"/>
              </w:rPr>
              <w:t>5</w:t>
            </w:r>
            <w:r w:rsidR="00700D1F" w:rsidRPr="00FC5386">
              <w:rPr>
                <w:rFonts w:hint="eastAsia"/>
                <w:b/>
                <w:bCs/>
                <w:szCs w:val="24"/>
                <w:lang w:eastAsia="zh-CN"/>
              </w:rPr>
              <w:t>月</w:t>
            </w:r>
            <w:r w:rsidR="00553186">
              <w:rPr>
                <w:rFonts w:asciiTheme="minorHAnsi" w:hAnsiTheme="minorHAnsi" w:cstheme="minorHAnsi"/>
                <w:b/>
                <w:bCs/>
                <w:szCs w:val="24"/>
                <w:lang w:eastAsia="zh-CN"/>
              </w:rPr>
              <w:t>15</w:t>
            </w:r>
            <w:r w:rsidR="00700D1F" w:rsidRPr="00FC5386">
              <w:rPr>
                <w:rFonts w:hint="eastAsia"/>
                <w:b/>
                <w:bCs/>
                <w:szCs w:val="24"/>
                <w:lang w:eastAsia="zh-CN"/>
              </w:rPr>
              <w:t>日</w:t>
            </w:r>
          </w:p>
        </w:tc>
      </w:tr>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trPr>
          <w:cantSplit/>
        </w:trPr>
        <w:tc>
          <w:tcPr>
            <w:tcW w:w="10031" w:type="dxa"/>
          </w:tcPr>
          <w:p w:rsidR="0093362E" w:rsidRDefault="00E378D8" w:rsidP="00001B77">
            <w:pPr>
              <w:pStyle w:val="Source"/>
              <w:rPr>
                <w:lang w:eastAsia="zh-CN"/>
              </w:rPr>
            </w:pPr>
            <w:r>
              <w:rPr>
                <w:rFonts w:ascii="Times New Roman Bold" w:hAnsi="Times New Roman Bold" w:hint="eastAsia"/>
                <w:lang w:val="fr-CH" w:eastAsia="zh-CN"/>
              </w:rPr>
              <w:t>秘书长的</w:t>
            </w:r>
            <w:r>
              <w:rPr>
                <w:rFonts w:ascii="Times New Roman Bold" w:hAnsi="Times New Roman Bold" w:hint="eastAsia"/>
                <w:lang w:eastAsia="zh-CN"/>
              </w:rPr>
              <w:t>报告</w:t>
            </w:r>
          </w:p>
        </w:tc>
      </w:tr>
      <w:tr w:rsidR="0093362E">
        <w:trPr>
          <w:cantSplit/>
        </w:trPr>
        <w:tc>
          <w:tcPr>
            <w:tcW w:w="10031" w:type="dxa"/>
          </w:tcPr>
          <w:p w:rsidR="0093362E" w:rsidRDefault="006C5D55" w:rsidP="00001B77">
            <w:pPr>
              <w:pStyle w:val="Title1"/>
              <w:rPr>
                <w:bCs/>
                <w:lang w:eastAsia="zh-CN"/>
              </w:rPr>
            </w:pPr>
            <w:r w:rsidRPr="00624EF3">
              <w:rPr>
                <w:rFonts w:hint="eastAsia"/>
                <w:lang w:eastAsia="zh-CN"/>
              </w:rPr>
              <w:t>内部审计员有关内部审计活动的报告</w:t>
            </w:r>
          </w:p>
        </w:tc>
      </w:tr>
    </w:tbl>
    <w:p w:rsidR="00B40A53" w:rsidRPr="000C207D" w:rsidRDefault="00B40A53" w:rsidP="00B40A53">
      <w:pPr>
        <w:rPr>
          <w:lang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40A53" w:rsidTr="00B40A53">
        <w:trPr>
          <w:trHeight w:val="3372"/>
        </w:trPr>
        <w:tc>
          <w:tcPr>
            <w:tcW w:w="8080" w:type="dxa"/>
            <w:tcBorders>
              <w:top w:val="single" w:sz="12" w:space="0" w:color="auto"/>
              <w:left w:val="single" w:sz="12" w:space="0" w:color="auto"/>
              <w:bottom w:val="single" w:sz="12" w:space="0" w:color="auto"/>
              <w:right w:val="single" w:sz="12" w:space="0" w:color="auto"/>
            </w:tcBorders>
          </w:tcPr>
          <w:p w:rsidR="00B40A53" w:rsidRDefault="00B40A53" w:rsidP="003C2E37">
            <w:pPr>
              <w:pStyle w:val="Headingb"/>
              <w:rPr>
                <w:lang w:val="fr-FR" w:eastAsia="zh-CN"/>
              </w:rPr>
            </w:pPr>
            <w:r>
              <w:rPr>
                <w:rFonts w:hint="eastAsia"/>
                <w:lang w:val="fr-FR" w:eastAsia="zh-CN"/>
              </w:rPr>
              <w:t>概</w:t>
            </w:r>
            <w:r>
              <w:rPr>
                <w:rFonts w:hint="eastAsia"/>
                <w:lang w:eastAsia="zh-CN"/>
              </w:rPr>
              <w:t>要</w:t>
            </w:r>
          </w:p>
          <w:p w:rsidR="00B40A53" w:rsidRDefault="006C5D55">
            <w:pPr>
              <w:ind w:firstLineChars="200" w:firstLine="480"/>
              <w:rPr>
                <w:szCs w:val="22"/>
                <w:lang w:val="fr-FR" w:eastAsia="zh-CN"/>
              </w:rPr>
            </w:pPr>
            <w:r w:rsidRPr="005B246E">
              <w:rPr>
                <w:szCs w:val="24"/>
                <w:lang w:eastAsia="zh-CN"/>
              </w:rPr>
              <w:t>本报告</w:t>
            </w:r>
            <w:r>
              <w:rPr>
                <w:rFonts w:hint="eastAsia"/>
                <w:szCs w:val="24"/>
                <w:lang w:eastAsia="zh-CN"/>
              </w:rPr>
              <w:t>阐述</w:t>
            </w:r>
            <w:r w:rsidRPr="005B246E">
              <w:rPr>
                <w:szCs w:val="24"/>
                <w:lang w:eastAsia="zh-CN"/>
              </w:rPr>
              <w:t>了</w:t>
            </w:r>
            <w:r>
              <w:rPr>
                <w:rFonts w:hint="eastAsia"/>
                <w:szCs w:val="24"/>
                <w:lang w:eastAsia="zh-CN"/>
              </w:rPr>
              <w:t>从</w:t>
            </w:r>
            <w:r>
              <w:rPr>
                <w:szCs w:val="24"/>
                <w:lang w:eastAsia="zh-CN"/>
              </w:rPr>
              <w:t>201</w:t>
            </w:r>
            <w:r w:rsidR="004B5B4A">
              <w:rPr>
                <w:szCs w:val="24"/>
                <w:lang w:eastAsia="zh-CN"/>
              </w:rPr>
              <w:t>8</w:t>
            </w:r>
            <w:r w:rsidRPr="005B246E">
              <w:rPr>
                <w:szCs w:val="24"/>
                <w:lang w:eastAsia="zh-CN"/>
              </w:rPr>
              <w:t>年</w:t>
            </w:r>
            <w:r w:rsidRPr="005B246E">
              <w:rPr>
                <w:szCs w:val="24"/>
                <w:lang w:eastAsia="zh-CN"/>
              </w:rPr>
              <w:t>3</w:t>
            </w:r>
            <w:r w:rsidRPr="005B246E">
              <w:rPr>
                <w:szCs w:val="24"/>
                <w:lang w:eastAsia="zh-CN"/>
              </w:rPr>
              <w:t>月至</w:t>
            </w:r>
            <w:r>
              <w:rPr>
                <w:szCs w:val="24"/>
                <w:lang w:eastAsia="zh-CN"/>
              </w:rPr>
              <w:t>201</w:t>
            </w:r>
            <w:r w:rsidR="004B5B4A">
              <w:rPr>
                <w:szCs w:val="24"/>
                <w:lang w:eastAsia="zh-CN"/>
              </w:rPr>
              <w:t>9</w:t>
            </w:r>
            <w:r w:rsidRPr="005B246E">
              <w:rPr>
                <w:szCs w:val="24"/>
                <w:lang w:eastAsia="zh-CN"/>
              </w:rPr>
              <w:t>年</w:t>
            </w:r>
            <w:r w:rsidR="00867E08">
              <w:rPr>
                <w:szCs w:val="24"/>
                <w:lang w:eastAsia="zh-CN"/>
              </w:rPr>
              <w:t>3</w:t>
            </w:r>
            <w:r w:rsidRPr="005B246E">
              <w:rPr>
                <w:szCs w:val="24"/>
                <w:lang w:eastAsia="zh-CN"/>
              </w:rPr>
              <w:t>月</w:t>
            </w:r>
            <w:r>
              <w:rPr>
                <w:rFonts w:hint="eastAsia"/>
                <w:szCs w:val="24"/>
                <w:lang w:eastAsia="zh-CN"/>
              </w:rPr>
              <w:t>期间开展的各项</w:t>
            </w:r>
            <w:r w:rsidRPr="005B246E">
              <w:rPr>
                <w:szCs w:val="24"/>
                <w:lang w:eastAsia="zh-CN"/>
              </w:rPr>
              <w:t>内部审计活动。</w:t>
            </w:r>
          </w:p>
          <w:p w:rsidR="00B40A53" w:rsidRPr="003C2E37" w:rsidRDefault="00B40A53" w:rsidP="003C2E37">
            <w:pPr>
              <w:pStyle w:val="Headingb"/>
              <w:rPr>
                <w:lang w:eastAsia="zh-CN"/>
              </w:rPr>
            </w:pPr>
            <w:r>
              <w:rPr>
                <w:rFonts w:hint="eastAsia"/>
                <w:lang w:eastAsia="zh-CN"/>
              </w:rPr>
              <w:t>需采取的行动</w:t>
            </w:r>
          </w:p>
          <w:p w:rsidR="00B40A53" w:rsidRPr="006C5D55" w:rsidRDefault="006C5D55" w:rsidP="00B40A53">
            <w:pPr>
              <w:pStyle w:val="BodyTextIndent3"/>
              <w:spacing w:before="120"/>
              <w:ind w:firstLineChars="200" w:firstLine="480"/>
              <w:textAlignment w:val="baseline"/>
              <w:rPr>
                <w:sz w:val="24"/>
                <w:szCs w:val="24"/>
              </w:rPr>
            </w:pPr>
            <w:r w:rsidRPr="006C5D55">
              <w:rPr>
                <w:rFonts w:hint="eastAsia"/>
                <w:sz w:val="24"/>
                <w:szCs w:val="24"/>
              </w:rPr>
              <w:t>本报告转呈理事会</w:t>
            </w:r>
            <w:r w:rsidRPr="006C5D55">
              <w:rPr>
                <w:rFonts w:hint="eastAsia"/>
                <w:b/>
                <w:bCs/>
                <w:sz w:val="24"/>
                <w:szCs w:val="24"/>
              </w:rPr>
              <w:t>审议</w:t>
            </w:r>
            <w:r w:rsidRPr="006C5D55">
              <w:rPr>
                <w:rFonts w:hint="eastAsia"/>
                <w:sz w:val="24"/>
                <w:szCs w:val="24"/>
              </w:rPr>
              <w:t>。</w:t>
            </w:r>
          </w:p>
          <w:p w:rsidR="00B40A53" w:rsidRDefault="00B40A53">
            <w:pPr>
              <w:jc w:val="center"/>
              <w:rPr>
                <w:sz w:val="28"/>
                <w:szCs w:val="22"/>
                <w:lang w:eastAsia="zh-CN"/>
              </w:rPr>
            </w:pPr>
            <w:r>
              <w:rPr>
                <w:sz w:val="28"/>
                <w:szCs w:val="22"/>
                <w:lang w:eastAsia="zh-CN"/>
              </w:rPr>
              <w:t>______________</w:t>
            </w:r>
          </w:p>
          <w:p w:rsidR="009164A9" w:rsidRPr="00FC5386" w:rsidRDefault="009164A9" w:rsidP="003C2E37">
            <w:pPr>
              <w:pStyle w:val="Headingb"/>
              <w:rPr>
                <w:lang w:val="fr-FR" w:eastAsia="zh-CN"/>
              </w:rPr>
            </w:pPr>
            <w:r w:rsidRPr="00FC5386">
              <w:rPr>
                <w:rFonts w:hint="eastAsia"/>
                <w:lang w:eastAsia="zh-CN"/>
              </w:rPr>
              <w:t>参考文件</w:t>
            </w:r>
          </w:p>
          <w:p w:rsidR="00B40A53" w:rsidRPr="006C5D55" w:rsidRDefault="003B7916" w:rsidP="004B5B4A">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caps/>
                <w:sz w:val="24"/>
                <w:szCs w:val="24"/>
                <w:lang w:val="fr-FR" w:eastAsia="zh-CN"/>
              </w:rPr>
            </w:pPr>
            <w:hyperlink r:id="rId9" w:history="1">
              <w:r w:rsidR="006C5D55" w:rsidRPr="00207F7C">
                <w:rPr>
                  <w:rStyle w:val="Hyperlink"/>
                  <w:rFonts w:eastAsia="STKaiti" w:cs="Calibri"/>
                  <w:sz w:val="24"/>
                  <w:szCs w:val="24"/>
                  <w:lang w:eastAsia="zh-CN"/>
                </w:rPr>
                <w:t>国际电联《财务规则和财务细则》（</w:t>
              </w:r>
              <w:r w:rsidR="006C5D55" w:rsidRPr="00207F7C">
                <w:rPr>
                  <w:rStyle w:val="Hyperlink"/>
                  <w:rFonts w:eastAsia="STKaiti" w:cs="Calibri"/>
                  <w:sz w:val="24"/>
                  <w:szCs w:val="24"/>
                  <w:lang w:eastAsia="zh-CN"/>
                </w:rPr>
                <w:t>201</w:t>
              </w:r>
              <w:r w:rsidR="004B5B4A" w:rsidRPr="00207F7C">
                <w:rPr>
                  <w:rStyle w:val="Hyperlink"/>
                  <w:rFonts w:eastAsia="STKaiti" w:cs="Calibri"/>
                  <w:sz w:val="24"/>
                  <w:szCs w:val="24"/>
                  <w:lang w:eastAsia="zh-CN"/>
                </w:rPr>
                <w:t>8</w:t>
              </w:r>
              <w:r w:rsidR="006C5D55" w:rsidRPr="00207F7C">
                <w:rPr>
                  <w:rStyle w:val="Hyperlink"/>
                  <w:rFonts w:eastAsia="STKaiti" w:cs="Calibri"/>
                  <w:sz w:val="24"/>
                  <w:szCs w:val="24"/>
                  <w:lang w:eastAsia="zh-CN"/>
                </w:rPr>
                <w:t>年）第</w:t>
              </w:r>
              <w:r w:rsidR="006C5D55" w:rsidRPr="00207F7C">
                <w:rPr>
                  <w:rStyle w:val="Hyperlink"/>
                  <w:rFonts w:eastAsia="STKaiti" w:cs="Calibri"/>
                  <w:sz w:val="24"/>
                  <w:szCs w:val="24"/>
                  <w:lang w:eastAsia="zh-CN"/>
                </w:rPr>
                <w:t>29</w:t>
              </w:r>
              <w:r w:rsidR="006C5D55" w:rsidRPr="00207F7C">
                <w:rPr>
                  <w:rStyle w:val="Hyperlink"/>
                  <w:rFonts w:eastAsia="STKaiti" w:cs="Calibri"/>
                  <w:sz w:val="24"/>
                  <w:szCs w:val="24"/>
                  <w:lang w:eastAsia="zh-CN"/>
                </w:rPr>
                <w:t>条</w:t>
              </w:r>
            </w:hyperlink>
          </w:p>
        </w:tc>
      </w:tr>
    </w:tbl>
    <w:p w:rsidR="006C5D55" w:rsidRPr="00F144C9" w:rsidRDefault="006C5D55" w:rsidP="00B27CE6">
      <w:pPr>
        <w:pStyle w:val="Heading1"/>
        <w:rPr>
          <w:lang w:eastAsia="zh-CN"/>
        </w:rPr>
      </w:pPr>
      <w:r w:rsidRPr="00F144C9">
        <w:rPr>
          <w:rFonts w:hint="eastAsia"/>
          <w:lang w:eastAsia="zh-CN"/>
        </w:rPr>
        <w:t>引言</w:t>
      </w:r>
    </w:p>
    <w:p w:rsidR="006C5D55" w:rsidRPr="00867E08" w:rsidRDefault="006C5D55" w:rsidP="001F5D21">
      <w:pPr>
        <w:rPr>
          <w:lang w:eastAsia="zh-CN"/>
        </w:rPr>
      </w:pPr>
      <w:r w:rsidRPr="006C5D55">
        <w:rPr>
          <w:rFonts w:cstheme="minorHAnsi"/>
          <w:szCs w:val="24"/>
          <w:lang w:val="en-US" w:eastAsia="zh-CN"/>
        </w:rPr>
        <w:t>1</w:t>
      </w:r>
      <w:r w:rsidRPr="006C5D55">
        <w:rPr>
          <w:rFonts w:cstheme="minorHAnsi"/>
          <w:szCs w:val="24"/>
          <w:lang w:val="en-US" w:eastAsia="zh-CN"/>
        </w:rPr>
        <w:tab/>
      </w:r>
      <w:r w:rsidRPr="006C5D55">
        <w:rPr>
          <w:rFonts w:cstheme="minorHAnsi"/>
          <w:szCs w:val="24"/>
          <w:lang w:val="en-US" w:eastAsia="zh-CN"/>
        </w:rPr>
        <w:t>按照国际电联《财务规则》（</w:t>
      </w:r>
      <w:r w:rsidRPr="006C5D55">
        <w:rPr>
          <w:rFonts w:cstheme="minorHAnsi"/>
          <w:szCs w:val="24"/>
          <w:lang w:val="en-US" w:eastAsia="zh-CN"/>
        </w:rPr>
        <w:t>2010</w:t>
      </w:r>
      <w:r w:rsidRPr="006C5D55">
        <w:rPr>
          <w:rFonts w:cstheme="minorHAnsi"/>
          <w:szCs w:val="24"/>
          <w:lang w:val="en-US" w:eastAsia="zh-CN"/>
        </w:rPr>
        <w:t>年）第</w:t>
      </w:r>
      <w:r w:rsidRPr="006C5D55">
        <w:rPr>
          <w:rFonts w:cstheme="minorHAnsi"/>
          <w:szCs w:val="24"/>
          <w:lang w:val="en-US" w:eastAsia="zh-CN"/>
        </w:rPr>
        <w:t>29</w:t>
      </w:r>
      <w:r w:rsidRPr="006C5D55">
        <w:rPr>
          <w:rFonts w:cstheme="minorHAnsi"/>
          <w:szCs w:val="24"/>
          <w:lang w:val="en-US" w:eastAsia="zh-CN"/>
        </w:rPr>
        <w:t>条要求编写的本报告现转呈</w:t>
      </w:r>
      <w:r w:rsidRPr="006C5D55">
        <w:rPr>
          <w:lang w:eastAsia="zh-CN"/>
        </w:rPr>
        <w:t>理事会。依据</w:t>
      </w:r>
      <w:r w:rsidR="00982068">
        <w:rPr>
          <w:rFonts w:hint="eastAsia"/>
          <w:lang w:eastAsia="zh-CN"/>
        </w:rPr>
        <w:t>《</w:t>
      </w:r>
      <w:r w:rsidRPr="006C5D55">
        <w:rPr>
          <w:lang w:eastAsia="zh-CN"/>
        </w:rPr>
        <w:t>国际电联内部审计章程</w:t>
      </w:r>
      <w:r w:rsidR="00982068">
        <w:rPr>
          <w:rFonts w:hint="eastAsia"/>
          <w:lang w:eastAsia="zh-CN"/>
        </w:rPr>
        <w:t>》</w:t>
      </w:r>
      <w:r w:rsidRPr="006C5D55">
        <w:rPr>
          <w:rStyle w:val="FootnoteReference"/>
          <w:rFonts w:asciiTheme="minorHAnsi" w:eastAsiaTheme="minorEastAsia" w:hAnsiTheme="minorHAnsi" w:cs="Calibri"/>
          <w:szCs w:val="24"/>
        </w:rPr>
        <w:footnoteReference w:id="1"/>
      </w:r>
      <w:r w:rsidRPr="006C5D55">
        <w:rPr>
          <w:lang w:eastAsia="zh-CN"/>
        </w:rPr>
        <w:t>，本报告已提交秘书长并转呈理事会审议。本报告涉及</w:t>
      </w:r>
      <w:r w:rsidR="00867E08">
        <w:rPr>
          <w:lang w:eastAsia="zh-CN"/>
        </w:rPr>
        <w:t>201</w:t>
      </w:r>
      <w:r w:rsidR="004B5B4A">
        <w:rPr>
          <w:lang w:eastAsia="zh-CN"/>
        </w:rPr>
        <w:t>8</w:t>
      </w:r>
      <w:r w:rsidRPr="006C5D55">
        <w:rPr>
          <w:lang w:eastAsia="zh-CN"/>
        </w:rPr>
        <w:t>年</w:t>
      </w:r>
      <w:r w:rsidRPr="006C5D55">
        <w:rPr>
          <w:lang w:eastAsia="zh-CN"/>
        </w:rPr>
        <w:t>3</w:t>
      </w:r>
      <w:r w:rsidRPr="006C5D55">
        <w:rPr>
          <w:lang w:eastAsia="zh-CN"/>
        </w:rPr>
        <w:t>月至</w:t>
      </w:r>
      <w:r w:rsidR="00867E08">
        <w:rPr>
          <w:lang w:eastAsia="zh-CN"/>
        </w:rPr>
        <w:t>201</w:t>
      </w:r>
      <w:r w:rsidR="004B5B4A">
        <w:rPr>
          <w:lang w:eastAsia="zh-CN"/>
        </w:rPr>
        <w:t>9</w:t>
      </w:r>
      <w:r w:rsidRPr="006C5D55">
        <w:rPr>
          <w:lang w:eastAsia="zh-CN"/>
        </w:rPr>
        <w:t>年</w:t>
      </w:r>
      <w:r w:rsidR="001F5D21">
        <w:rPr>
          <w:lang w:eastAsia="zh-CN"/>
        </w:rPr>
        <w:t>4</w:t>
      </w:r>
      <w:r w:rsidRPr="006C5D55">
        <w:rPr>
          <w:lang w:eastAsia="zh-CN"/>
        </w:rPr>
        <w:t>月期间开展的活动。</w:t>
      </w:r>
    </w:p>
    <w:p w:rsidR="006C5D55" w:rsidRPr="006C5D55" w:rsidRDefault="00867E08" w:rsidP="001F5D21">
      <w:pPr>
        <w:rPr>
          <w:lang w:val="en-US" w:eastAsia="zh-CN"/>
        </w:rPr>
      </w:pPr>
      <w:r>
        <w:rPr>
          <w:rFonts w:hint="eastAsia"/>
          <w:lang w:val="en-US" w:eastAsia="zh-CN"/>
        </w:rPr>
        <w:t>2</w:t>
      </w:r>
      <w:r>
        <w:rPr>
          <w:rFonts w:hint="eastAsia"/>
          <w:lang w:val="en-US" w:eastAsia="zh-CN"/>
        </w:rPr>
        <w:tab/>
      </w:r>
      <w:r w:rsidR="001F5D21">
        <w:rPr>
          <w:lang w:eastAsia="zh-CN"/>
        </w:rPr>
        <w:t>在整个报告期</w:t>
      </w:r>
      <w:r w:rsidR="007B12DD" w:rsidRPr="006C5D55">
        <w:rPr>
          <w:lang w:eastAsia="zh-CN"/>
        </w:rPr>
        <w:t>内，</w:t>
      </w:r>
      <w:r w:rsidR="001F5D21" w:rsidRPr="006C5D55">
        <w:rPr>
          <w:lang w:eastAsia="zh-CN"/>
        </w:rPr>
        <w:t>内部审计处由</w:t>
      </w:r>
      <w:r w:rsidR="001F5D21">
        <w:rPr>
          <w:rFonts w:hint="eastAsia"/>
          <w:lang w:eastAsia="zh-CN"/>
        </w:rPr>
        <w:t>三</w:t>
      </w:r>
      <w:r w:rsidR="001F5D21" w:rsidRPr="006C5D55">
        <w:rPr>
          <w:lang w:eastAsia="zh-CN"/>
        </w:rPr>
        <w:t>名专业类职员</w:t>
      </w:r>
      <w:r w:rsidR="001F5D21" w:rsidRPr="006C5D55">
        <w:rPr>
          <w:lang w:eastAsia="zh-CN"/>
        </w:rPr>
        <w:t xml:space="preserve"> – </w:t>
      </w:r>
      <w:r w:rsidR="001F5D21" w:rsidRPr="006C5D55">
        <w:rPr>
          <w:lang w:eastAsia="zh-CN"/>
        </w:rPr>
        <w:t>一名</w:t>
      </w:r>
      <w:r w:rsidR="001F5D21" w:rsidRPr="006C5D55">
        <w:rPr>
          <w:lang w:eastAsia="zh-CN"/>
        </w:rPr>
        <w:t>P.5</w:t>
      </w:r>
      <w:r w:rsidR="001F5D21" w:rsidRPr="006C5D55">
        <w:rPr>
          <w:lang w:eastAsia="zh-CN"/>
        </w:rPr>
        <w:t>（处长）</w:t>
      </w:r>
      <w:r w:rsidR="001F5D21">
        <w:rPr>
          <w:rFonts w:hint="eastAsia"/>
          <w:lang w:eastAsia="zh-CN"/>
        </w:rPr>
        <w:t>、一名</w:t>
      </w:r>
      <w:r w:rsidR="001F5D21">
        <w:rPr>
          <w:rFonts w:hint="eastAsia"/>
          <w:lang w:val="en-US" w:eastAsia="zh-CN"/>
        </w:rPr>
        <w:t>P.</w:t>
      </w:r>
      <w:r w:rsidR="001F5D21">
        <w:rPr>
          <w:lang w:val="en-US" w:eastAsia="zh-CN"/>
        </w:rPr>
        <w:t>3</w:t>
      </w:r>
      <w:r w:rsidR="001F5D21">
        <w:rPr>
          <w:lang w:val="en-US" w:eastAsia="zh-CN"/>
        </w:rPr>
        <w:t>（内部审计员）</w:t>
      </w:r>
      <w:r w:rsidR="001F5D21" w:rsidRPr="006C5D55">
        <w:rPr>
          <w:lang w:eastAsia="zh-CN"/>
        </w:rPr>
        <w:t>和一名</w:t>
      </w:r>
      <w:r w:rsidR="001F5D21" w:rsidRPr="006C5D55">
        <w:rPr>
          <w:lang w:eastAsia="zh-CN"/>
        </w:rPr>
        <w:t>P.2</w:t>
      </w:r>
      <w:r w:rsidR="001F5D21" w:rsidRPr="006C5D55">
        <w:rPr>
          <w:lang w:eastAsia="zh-CN"/>
        </w:rPr>
        <w:t>（初级审计员）</w:t>
      </w:r>
      <w:r w:rsidR="001F5D21">
        <w:rPr>
          <w:rFonts w:hint="eastAsia"/>
          <w:lang w:eastAsia="zh-CN"/>
        </w:rPr>
        <w:t>组</w:t>
      </w:r>
      <w:r w:rsidR="001F5D21" w:rsidRPr="006C5D55">
        <w:rPr>
          <w:lang w:eastAsia="zh-CN"/>
        </w:rPr>
        <w:t>成。</w:t>
      </w:r>
      <w:r w:rsidR="001F5D21">
        <w:rPr>
          <w:rFonts w:hint="eastAsia"/>
          <w:lang w:val="fr-CH" w:eastAsia="zh-CN"/>
        </w:rPr>
        <w:t>之后</w:t>
      </w:r>
      <w:r w:rsidR="001F5D21">
        <w:rPr>
          <w:rFonts w:hint="eastAsia"/>
          <w:lang w:val="fr-CH" w:eastAsia="zh-CN"/>
        </w:rPr>
        <w:t>P2</w:t>
      </w:r>
      <w:r w:rsidR="00882C6B">
        <w:rPr>
          <w:rFonts w:hint="eastAsia"/>
          <w:lang w:val="fr-CH" w:eastAsia="zh-CN"/>
        </w:rPr>
        <w:t>审计员于</w:t>
      </w:r>
      <w:r w:rsidR="00882C6B">
        <w:rPr>
          <w:rFonts w:hint="eastAsia"/>
          <w:lang w:val="fr-CH" w:eastAsia="zh-CN"/>
        </w:rPr>
        <w:t>2018</w:t>
      </w:r>
      <w:r w:rsidR="007B12DD" w:rsidRPr="006C5D55">
        <w:rPr>
          <w:lang w:val="en-US" w:eastAsia="zh-CN"/>
        </w:rPr>
        <w:t>年</w:t>
      </w:r>
      <w:r w:rsidR="00882C6B">
        <w:rPr>
          <w:rFonts w:hint="eastAsia"/>
          <w:lang w:val="en-US" w:eastAsia="zh-CN"/>
        </w:rPr>
        <w:t>7</w:t>
      </w:r>
      <w:r w:rsidR="007B12DD" w:rsidRPr="006C5D55">
        <w:rPr>
          <w:lang w:val="en-US" w:eastAsia="zh-CN"/>
        </w:rPr>
        <w:t>月</w:t>
      </w:r>
      <w:r w:rsidR="00882C6B">
        <w:rPr>
          <w:rFonts w:hint="eastAsia"/>
          <w:lang w:val="en-US" w:eastAsia="zh-CN"/>
        </w:rPr>
        <w:t>3</w:t>
      </w:r>
      <w:r w:rsidR="00FE77EE">
        <w:rPr>
          <w:rFonts w:hint="eastAsia"/>
          <w:lang w:val="en-US" w:eastAsia="zh-CN"/>
        </w:rPr>
        <w:t>1</w:t>
      </w:r>
      <w:r w:rsidR="00FE77EE">
        <w:rPr>
          <w:rFonts w:hint="eastAsia"/>
          <w:lang w:val="en-US" w:eastAsia="zh-CN"/>
        </w:rPr>
        <w:t>日</w:t>
      </w:r>
      <w:r w:rsidR="00882C6B">
        <w:rPr>
          <w:rFonts w:hint="eastAsia"/>
          <w:lang w:val="en-US" w:eastAsia="zh-CN"/>
        </w:rPr>
        <w:t>离开国际电联</w:t>
      </w:r>
      <w:r w:rsidR="001F5D21">
        <w:rPr>
          <w:rFonts w:hint="eastAsia"/>
          <w:lang w:val="en-US" w:eastAsia="zh-CN"/>
        </w:rPr>
        <w:t>，</w:t>
      </w:r>
      <w:r w:rsidR="00882C6B">
        <w:rPr>
          <w:rFonts w:hint="eastAsia"/>
          <w:lang w:val="en-US" w:eastAsia="zh-CN"/>
        </w:rPr>
        <w:t>一位临时人员于</w:t>
      </w:r>
      <w:r w:rsidR="00882C6B">
        <w:rPr>
          <w:rFonts w:hint="eastAsia"/>
          <w:lang w:val="en-US" w:eastAsia="zh-CN"/>
        </w:rPr>
        <w:t>2019</w:t>
      </w:r>
      <w:r w:rsidR="00882C6B">
        <w:rPr>
          <w:rFonts w:hint="eastAsia"/>
          <w:lang w:val="en-US" w:eastAsia="zh-CN"/>
        </w:rPr>
        <w:t>年</w:t>
      </w:r>
      <w:r w:rsidR="00882C6B">
        <w:rPr>
          <w:rFonts w:hint="eastAsia"/>
          <w:lang w:val="en-US" w:eastAsia="zh-CN"/>
        </w:rPr>
        <w:t>2</w:t>
      </w:r>
      <w:r w:rsidR="00882C6B">
        <w:rPr>
          <w:rFonts w:hint="eastAsia"/>
          <w:lang w:val="en-US" w:eastAsia="zh-CN"/>
        </w:rPr>
        <w:t>月</w:t>
      </w:r>
      <w:r w:rsidR="001F5D21">
        <w:rPr>
          <w:rFonts w:hint="eastAsia"/>
          <w:lang w:val="en-US" w:eastAsia="zh-CN"/>
        </w:rPr>
        <w:t>1</w:t>
      </w:r>
      <w:r w:rsidR="001F5D21">
        <w:rPr>
          <w:rFonts w:hint="eastAsia"/>
          <w:lang w:val="en-US" w:eastAsia="zh-CN"/>
        </w:rPr>
        <w:t>日开始顶替。现在</w:t>
      </w:r>
      <w:r w:rsidR="00882C6B" w:rsidRPr="006C5D55">
        <w:rPr>
          <w:lang w:eastAsia="zh-CN"/>
        </w:rPr>
        <w:t>P2</w:t>
      </w:r>
      <w:r w:rsidR="00882C6B">
        <w:rPr>
          <w:rFonts w:hint="eastAsia"/>
          <w:lang w:eastAsia="zh-CN"/>
        </w:rPr>
        <w:t>职位已</w:t>
      </w:r>
      <w:r w:rsidR="001F5D21">
        <w:rPr>
          <w:rFonts w:hint="eastAsia"/>
          <w:lang w:eastAsia="zh-CN"/>
        </w:rPr>
        <w:t>开始了定期合同</w:t>
      </w:r>
      <w:r w:rsidR="00882C6B">
        <w:rPr>
          <w:rFonts w:hint="eastAsia"/>
          <w:lang w:eastAsia="zh-CN"/>
        </w:rPr>
        <w:t>人员</w:t>
      </w:r>
      <w:r w:rsidR="001F5D21">
        <w:rPr>
          <w:rFonts w:hint="eastAsia"/>
          <w:lang w:eastAsia="zh-CN"/>
        </w:rPr>
        <w:t>的公开</w:t>
      </w:r>
      <w:r w:rsidR="00882C6B">
        <w:rPr>
          <w:rFonts w:hint="eastAsia"/>
          <w:lang w:eastAsia="zh-CN"/>
        </w:rPr>
        <w:t>招聘。</w:t>
      </w:r>
      <w:r w:rsidR="007B12DD" w:rsidRPr="006C5D55">
        <w:rPr>
          <w:lang w:eastAsia="zh-CN"/>
        </w:rPr>
        <w:t>一名</w:t>
      </w:r>
      <w:r w:rsidR="007B12DD" w:rsidRPr="006C5D55">
        <w:rPr>
          <w:lang w:val="en-US" w:eastAsia="zh-CN"/>
        </w:rPr>
        <w:t>一般事务类职员（审计助理）在该处全职工作。</w:t>
      </w:r>
      <w:r w:rsidR="001F5D21">
        <w:rPr>
          <w:rFonts w:hint="eastAsia"/>
          <w:lang w:val="en-US" w:eastAsia="zh-CN"/>
        </w:rPr>
        <w:t>这样</w:t>
      </w:r>
      <w:r w:rsidR="00E97027">
        <w:rPr>
          <w:rFonts w:hint="eastAsia"/>
          <w:lang w:val="en-US" w:eastAsia="zh-CN"/>
        </w:rPr>
        <w:t>目前</w:t>
      </w:r>
      <w:r w:rsidR="006C5D55" w:rsidRPr="006C5D55">
        <w:rPr>
          <w:lang w:val="en-US" w:eastAsia="zh-CN"/>
        </w:rPr>
        <w:t>该处由三个</w:t>
      </w:r>
      <w:r w:rsidR="006C5D55" w:rsidRPr="00392333">
        <w:rPr>
          <w:rFonts w:ascii="STKaiti" w:hAnsi="STKaiti"/>
          <w:iCs/>
          <w:lang w:val="en-US" w:eastAsia="zh-CN"/>
        </w:rPr>
        <w:t>专业</w:t>
      </w:r>
      <w:r w:rsidR="006C5D55" w:rsidRPr="006C5D55">
        <w:rPr>
          <w:lang w:val="en-US" w:eastAsia="zh-CN"/>
        </w:rPr>
        <w:t>类职位和一个一般事务类职位构成。</w:t>
      </w:r>
    </w:p>
    <w:p w:rsidR="006C5D55" w:rsidRPr="00867E08" w:rsidRDefault="006C5D55" w:rsidP="00867E08">
      <w:pPr>
        <w:rPr>
          <w:rFonts w:asciiTheme="minorHAnsi" w:eastAsiaTheme="minorEastAsia" w:hAnsiTheme="minorHAnsi"/>
          <w:lang w:eastAsia="zh-CN"/>
        </w:rPr>
      </w:pPr>
      <w:r w:rsidRPr="006C5D55">
        <w:rPr>
          <w:rFonts w:asciiTheme="minorHAnsi" w:eastAsiaTheme="minorEastAsia" w:hAnsiTheme="minorHAnsi"/>
          <w:lang w:val="en-US" w:eastAsia="zh-CN"/>
        </w:rPr>
        <w:t>3</w:t>
      </w:r>
      <w:r w:rsidRPr="006C5D55">
        <w:rPr>
          <w:rFonts w:asciiTheme="minorHAnsi" w:eastAsiaTheme="minorEastAsia" w:hAnsiTheme="minorHAnsi"/>
          <w:lang w:val="en-US" w:eastAsia="zh-CN"/>
        </w:rPr>
        <w:tab/>
      </w:r>
      <w:r w:rsidRPr="006C5D55">
        <w:rPr>
          <w:rFonts w:asciiTheme="minorHAnsi" w:eastAsiaTheme="minorEastAsia" w:hAnsiTheme="minorHAnsi"/>
          <w:lang w:eastAsia="zh-CN"/>
        </w:rPr>
        <w:t>内部审计处（</w:t>
      </w:r>
      <w:r w:rsidRPr="006C5D55">
        <w:rPr>
          <w:rFonts w:asciiTheme="minorHAnsi" w:eastAsiaTheme="minorEastAsia" w:hAnsiTheme="minorHAnsi"/>
          <w:lang w:eastAsia="zh-CN"/>
        </w:rPr>
        <w:t>IA</w:t>
      </w:r>
      <w:r w:rsidRPr="006C5D55">
        <w:rPr>
          <w:rFonts w:asciiTheme="minorHAnsi" w:eastAsiaTheme="minorEastAsia" w:hAnsiTheme="minorHAnsi"/>
          <w:lang w:eastAsia="zh-CN"/>
        </w:rPr>
        <w:t>）确认，所开展的审计工作是根据《内部审计专业做法国际标准》、内部审计师协会（</w:t>
      </w:r>
      <w:r w:rsidRPr="006C5D55">
        <w:rPr>
          <w:rFonts w:asciiTheme="minorHAnsi" w:eastAsiaTheme="minorEastAsia" w:hAnsiTheme="minorHAnsi"/>
          <w:lang w:eastAsia="zh-CN"/>
        </w:rPr>
        <w:t>IIA</w:t>
      </w:r>
      <w:r w:rsidRPr="006C5D55">
        <w:rPr>
          <w:rFonts w:asciiTheme="minorHAnsi" w:eastAsiaTheme="minorEastAsia" w:hAnsiTheme="minorHAnsi"/>
          <w:lang w:eastAsia="zh-CN"/>
        </w:rPr>
        <w:t>）</w:t>
      </w:r>
      <w:r w:rsidRPr="006C5D55">
        <w:rPr>
          <w:rStyle w:val="FootnoteReference"/>
          <w:rFonts w:asciiTheme="minorHAnsi" w:eastAsiaTheme="minorEastAsia" w:hAnsiTheme="minorHAnsi" w:cs="Arial"/>
          <w:szCs w:val="24"/>
        </w:rPr>
        <w:footnoteReference w:id="2"/>
      </w:r>
      <w:r w:rsidRPr="006C5D55">
        <w:rPr>
          <w:rFonts w:asciiTheme="minorHAnsi" w:eastAsiaTheme="minorEastAsia" w:hAnsiTheme="minorHAnsi"/>
          <w:lang w:eastAsia="zh-CN"/>
        </w:rPr>
        <w:t>制定的《道德准则》以及</w:t>
      </w:r>
      <w:r w:rsidR="00982068">
        <w:rPr>
          <w:rFonts w:asciiTheme="minorHAnsi" w:eastAsiaTheme="minorEastAsia" w:hAnsiTheme="minorHAnsi" w:hint="eastAsia"/>
          <w:lang w:eastAsia="zh-CN"/>
        </w:rPr>
        <w:t>《</w:t>
      </w:r>
      <w:r w:rsidRPr="006C5D55">
        <w:rPr>
          <w:rFonts w:asciiTheme="minorHAnsi" w:eastAsiaTheme="minorEastAsia" w:hAnsiTheme="minorHAnsi"/>
          <w:lang w:eastAsia="zh-CN"/>
        </w:rPr>
        <w:t>国际电联内部审计章程</w:t>
      </w:r>
      <w:r w:rsidR="00982068">
        <w:rPr>
          <w:rFonts w:asciiTheme="minorHAnsi" w:eastAsiaTheme="minorEastAsia" w:hAnsiTheme="minorHAnsi" w:hint="eastAsia"/>
          <w:lang w:eastAsia="zh-CN"/>
        </w:rPr>
        <w:t>》</w:t>
      </w:r>
      <w:r w:rsidRPr="006C5D55">
        <w:rPr>
          <w:rStyle w:val="FootnoteReference"/>
          <w:rFonts w:asciiTheme="minorHAnsi" w:eastAsiaTheme="minorEastAsia" w:hAnsiTheme="minorHAnsi" w:cs="Arial"/>
          <w:szCs w:val="24"/>
        </w:rPr>
        <w:footnoteReference w:id="3"/>
      </w:r>
      <w:r w:rsidRPr="006C5D55">
        <w:rPr>
          <w:rFonts w:asciiTheme="minorHAnsi" w:eastAsiaTheme="minorEastAsia" w:hAnsiTheme="minorHAnsi"/>
          <w:lang w:eastAsia="zh-CN"/>
        </w:rPr>
        <w:t>的规定进行</w:t>
      </w:r>
      <w:r w:rsidR="007533C8">
        <w:rPr>
          <w:rFonts w:asciiTheme="minorHAnsi" w:eastAsiaTheme="minorEastAsia" w:hAnsiTheme="minorHAnsi"/>
          <w:lang w:eastAsia="zh-CN"/>
        </w:rPr>
        <w:t>的。此外，内部审计处还确认，对于报告期内所审计的一切活动，该</w:t>
      </w:r>
      <w:r w:rsidR="007533C8">
        <w:rPr>
          <w:rFonts w:asciiTheme="minorHAnsi" w:eastAsiaTheme="minorEastAsia" w:hAnsiTheme="minorHAnsi" w:hint="eastAsia"/>
          <w:lang w:eastAsia="zh-CN"/>
        </w:rPr>
        <w:t>处</w:t>
      </w:r>
      <w:r w:rsidRPr="006C5D55">
        <w:rPr>
          <w:rFonts w:asciiTheme="minorHAnsi" w:eastAsiaTheme="minorEastAsia" w:hAnsiTheme="minorHAnsi"/>
          <w:lang w:eastAsia="zh-CN"/>
        </w:rPr>
        <w:t>职员既无管理权也</w:t>
      </w:r>
      <w:r w:rsidR="00982068">
        <w:rPr>
          <w:rFonts w:asciiTheme="minorHAnsi" w:eastAsiaTheme="minorEastAsia" w:hAnsiTheme="minorHAnsi" w:hint="eastAsia"/>
          <w:lang w:eastAsia="zh-CN"/>
        </w:rPr>
        <w:t>不</w:t>
      </w:r>
      <w:r w:rsidRPr="006C5D55">
        <w:rPr>
          <w:rFonts w:asciiTheme="minorHAnsi" w:eastAsiaTheme="minorEastAsia" w:hAnsiTheme="minorHAnsi"/>
          <w:lang w:eastAsia="zh-CN"/>
        </w:rPr>
        <w:t>承担任何责任，且未在国际电联内部承担任何财会或日常运作工作。</w:t>
      </w:r>
    </w:p>
    <w:p w:rsidR="006C5D55" w:rsidRPr="00E0607D" w:rsidRDefault="006C5D55" w:rsidP="00B27CE6">
      <w:pPr>
        <w:pStyle w:val="Heading1"/>
        <w:rPr>
          <w:lang w:eastAsia="zh-CN"/>
        </w:rPr>
      </w:pPr>
      <w:r w:rsidRPr="00E0607D">
        <w:rPr>
          <w:lang w:eastAsia="zh-CN"/>
        </w:rPr>
        <w:lastRenderedPageBreak/>
        <w:t>内部审计活动的方向和范围</w:t>
      </w:r>
    </w:p>
    <w:p w:rsidR="006C5D55" w:rsidRPr="006C5D55" w:rsidRDefault="006C5D55" w:rsidP="00392333">
      <w:pPr>
        <w:rPr>
          <w:lang w:eastAsia="zh-CN"/>
        </w:rPr>
      </w:pPr>
      <w:r w:rsidRPr="006C5D55">
        <w:rPr>
          <w:lang w:val="en-US" w:eastAsia="zh-CN"/>
        </w:rPr>
        <w:t>4</w:t>
      </w:r>
      <w:r w:rsidRPr="006C5D55">
        <w:rPr>
          <w:lang w:val="en-US" w:eastAsia="zh-CN"/>
        </w:rPr>
        <w:tab/>
      </w:r>
      <w:bookmarkStart w:id="2" w:name="lt_pId032"/>
      <w:r w:rsidRPr="006C5D55">
        <w:rPr>
          <w:lang w:val="en-US" w:eastAsia="zh-CN"/>
        </w:rPr>
        <w:t>根据</w:t>
      </w:r>
      <w:r w:rsidR="00982068">
        <w:rPr>
          <w:rFonts w:hint="eastAsia"/>
          <w:lang w:val="en-US" w:eastAsia="zh-CN"/>
        </w:rPr>
        <w:t>《</w:t>
      </w:r>
      <w:r w:rsidRPr="006C5D55">
        <w:rPr>
          <w:lang w:eastAsia="zh-CN"/>
        </w:rPr>
        <w:t>内部审计章程</w:t>
      </w:r>
      <w:r w:rsidR="00982068">
        <w:rPr>
          <w:rFonts w:hint="eastAsia"/>
          <w:lang w:eastAsia="zh-CN"/>
        </w:rPr>
        <w:t>》</w:t>
      </w:r>
      <w:r w:rsidRPr="006C5D55">
        <w:rPr>
          <w:lang w:eastAsia="zh-CN"/>
        </w:rPr>
        <w:t>，拟议的</w:t>
      </w:r>
      <w:r w:rsidR="00867E08">
        <w:rPr>
          <w:lang w:eastAsia="zh-CN"/>
        </w:rPr>
        <w:t>201</w:t>
      </w:r>
      <w:r w:rsidR="00882C6B">
        <w:rPr>
          <w:rFonts w:hint="eastAsia"/>
          <w:lang w:eastAsia="zh-CN"/>
        </w:rPr>
        <w:t>8</w:t>
      </w:r>
      <w:r w:rsidRPr="006C5D55">
        <w:rPr>
          <w:lang w:eastAsia="zh-CN"/>
        </w:rPr>
        <w:t>年内部审计计划由独立管理顾问委员会（</w:t>
      </w:r>
      <w:r w:rsidRPr="006C5D55">
        <w:rPr>
          <w:lang w:eastAsia="zh-CN"/>
        </w:rPr>
        <w:t>IMAC</w:t>
      </w:r>
      <w:r w:rsidRPr="006C5D55">
        <w:rPr>
          <w:lang w:eastAsia="zh-CN"/>
        </w:rPr>
        <w:t>）</w:t>
      </w:r>
      <w:r w:rsidR="00882C6B">
        <w:rPr>
          <w:rFonts w:hint="eastAsia"/>
          <w:lang w:eastAsia="zh-CN"/>
        </w:rPr>
        <w:t>第</w:t>
      </w:r>
      <w:r w:rsidR="00882C6B">
        <w:rPr>
          <w:rFonts w:hint="eastAsia"/>
          <w:lang w:eastAsia="zh-CN"/>
        </w:rPr>
        <w:t>18</w:t>
      </w:r>
      <w:r w:rsidR="00882C6B">
        <w:rPr>
          <w:rFonts w:hint="eastAsia"/>
          <w:lang w:eastAsia="zh-CN"/>
        </w:rPr>
        <w:t>次会议</w:t>
      </w:r>
      <w:r w:rsidRPr="006C5D55">
        <w:rPr>
          <w:lang w:eastAsia="zh-CN"/>
        </w:rPr>
        <w:t>进行了审议并</w:t>
      </w:r>
      <w:r w:rsidR="00882C6B">
        <w:rPr>
          <w:rFonts w:hint="eastAsia"/>
          <w:lang w:eastAsia="zh-CN"/>
        </w:rPr>
        <w:t>于</w:t>
      </w:r>
      <w:r w:rsidR="00882C6B">
        <w:rPr>
          <w:rFonts w:hint="eastAsia"/>
          <w:lang w:eastAsia="zh-CN"/>
        </w:rPr>
        <w:t>2018</w:t>
      </w:r>
      <w:r w:rsidR="00882C6B">
        <w:rPr>
          <w:rFonts w:hint="eastAsia"/>
          <w:lang w:eastAsia="zh-CN"/>
        </w:rPr>
        <w:t>年</w:t>
      </w:r>
      <w:r w:rsidR="00882C6B">
        <w:rPr>
          <w:rFonts w:hint="eastAsia"/>
          <w:lang w:eastAsia="zh-CN"/>
        </w:rPr>
        <w:t>1</w:t>
      </w:r>
      <w:r w:rsidR="00882C6B">
        <w:rPr>
          <w:rFonts w:hint="eastAsia"/>
          <w:lang w:eastAsia="zh-CN"/>
        </w:rPr>
        <w:t>月</w:t>
      </w:r>
      <w:r w:rsidR="00882C6B">
        <w:rPr>
          <w:rFonts w:hint="eastAsia"/>
          <w:lang w:eastAsia="zh-CN"/>
        </w:rPr>
        <w:t>24</w:t>
      </w:r>
      <w:r w:rsidR="00882C6B">
        <w:rPr>
          <w:rFonts w:hint="eastAsia"/>
          <w:lang w:eastAsia="zh-CN"/>
        </w:rPr>
        <w:t>日经</w:t>
      </w:r>
      <w:r w:rsidRPr="006C5D55">
        <w:rPr>
          <w:lang w:eastAsia="zh-CN"/>
        </w:rPr>
        <w:t>秘书长批准。</w:t>
      </w:r>
      <w:bookmarkEnd w:id="2"/>
      <w:r w:rsidR="00882C6B">
        <w:rPr>
          <w:rFonts w:hint="eastAsia"/>
          <w:lang w:eastAsia="zh-CN"/>
        </w:rPr>
        <w:t>2019</w:t>
      </w:r>
      <w:r w:rsidR="00882C6B">
        <w:rPr>
          <w:rFonts w:hint="eastAsia"/>
          <w:lang w:eastAsia="zh-CN"/>
        </w:rPr>
        <w:t>年，在与新选任官员磋商之后，拟议的</w:t>
      </w:r>
      <w:r w:rsidR="00882C6B" w:rsidRPr="006C5D55">
        <w:rPr>
          <w:lang w:eastAsia="zh-CN"/>
        </w:rPr>
        <w:t>内部审计计划</w:t>
      </w:r>
      <w:r w:rsidR="00882C6B">
        <w:rPr>
          <w:rFonts w:hint="eastAsia"/>
          <w:lang w:eastAsia="zh-CN"/>
        </w:rPr>
        <w:t>于年初制定。</w:t>
      </w:r>
      <w:r w:rsidR="00882C6B" w:rsidRPr="006C5D55">
        <w:rPr>
          <w:lang w:eastAsia="zh-CN"/>
        </w:rPr>
        <w:t>独立管理顾问委员会</w:t>
      </w:r>
      <w:r w:rsidR="00882C6B">
        <w:rPr>
          <w:rFonts w:hint="eastAsia"/>
          <w:lang w:eastAsia="zh-CN"/>
        </w:rPr>
        <w:t>第</w:t>
      </w:r>
      <w:r w:rsidR="00882C6B">
        <w:rPr>
          <w:rFonts w:hint="eastAsia"/>
          <w:lang w:eastAsia="zh-CN"/>
        </w:rPr>
        <w:t>21</w:t>
      </w:r>
      <w:r w:rsidR="00882C6B">
        <w:rPr>
          <w:rFonts w:hint="eastAsia"/>
          <w:lang w:eastAsia="zh-CN"/>
        </w:rPr>
        <w:t>次会议对计划</w:t>
      </w:r>
      <w:r w:rsidR="00882C6B" w:rsidRPr="006C5D55">
        <w:rPr>
          <w:lang w:eastAsia="zh-CN"/>
        </w:rPr>
        <w:t>进行了审议并</w:t>
      </w:r>
      <w:r w:rsidR="00882C6B">
        <w:rPr>
          <w:rFonts w:hint="eastAsia"/>
          <w:lang w:eastAsia="zh-CN"/>
        </w:rPr>
        <w:t>于</w:t>
      </w:r>
      <w:r w:rsidR="00882C6B">
        <w:rPr>
          <w:rFonts w:hint="eastAsia"/>
          <w:lang w:eastAsia="zh-CN"/>
        </w:rPr>
        <w:t>201</w:t>
      </w:r>
      <w:r w:rsidR="00F5467E">
        <w:rPr>
          <w:rFonts w:hint="eastAsia"/>
          <w:lang w:eastAsia="zh-CN"/>
        </w:rPr>
        <w:t>9</w:t>
      </w:r>
      <w:r w:rsidR="00882C6B">
        <w:rPr>
          <w:rFonts w:hint="eastAsia"/>
          <w:lang w:eastAsia="zh-CN"/>
        </w:rPr>
        <w:t>年</w:t>
      </w:r>
      <w:r w:rsidR="00F5467E">
        <w:rPr>
          <w:rFonts w:hint="eastAsia"/>
          <w:lang w:eastAsia="zh-CN"/>
        </w:rPr>
        <w:t>3</w:t>
      </w:r>
      <w:r w:rsidR="00882C6B">
        <w:rPr>
          <w:rFonts w:hint="eastAsia"/>
          <w:lang w:eastAsia="zh-CN"/>
        </w:rPr>
        <w:t>月</w:t>
      </w:r>
      <w:r w:rsidR="00882C6B">
        <w:rPr>
          <w:rFonts w:hint="eastAsia"/>
          <w:lang w:eastAsia="zh-CN"/>
        </w:rPr>
        <w:t>2</w:t>
      </w:r>
      <w:r w:rsidR="00F5467E">
        <w:rPr>
          <w:rFonts w:hint="eastAsia"/>
          <w:lang w:eastAsia="zh-CN"/>
        </w:rPr>
        <w:t>6</w:t>
      </w:r>
      <w:r w:rsidR="00882C6B">
        <w:rPr>
          <w:rFonts w:hint="eastAsia"/>
          <w:lang w:eastAsia="zh-CN"/>
        </w:rPr>
        <w:t>日</w:t>
      </w:r>
      <w:r w:rsidR="00F5467E">
        <w:rPr>
          <w:rFonts w:hint="eastAsia"/>
          <w:lang w:eastAsia="zh-CN"/>
        </w:rPr>
        <w:t>获得了</w:t>
      </w:r>
      <w:r w:rsidR="00882C6B" w:rsidRPr="006C5D55">
        <w:rPr>
          <w:lang w:eastAsia="zh-CN"/>
        </w:rPr>
        <w:t>秘书长</w:t>
      </w:r>
      <w:r w:rsidR="00F5467E">
        <w:rPr>
          <w:rFonts w:hint="eastAsia"/>
          <w:lang w:eastAsia="zh-CN"/>
        </w:rPr>
        <w:t>的</w:t>
      </w:r>
      <w:r w:rsidR="00882C6B" w:rsidRPr="006C5D55">
        <w:rPr>
          <w:lang w:eastAsia="zh-CN"/>
        </w:rPr>
        <w:t>批准。</w:t>
      </w:r>
      <w:r w:rsidR="00670FD3">
        <w:rPr>
          <w:lang w:eastAsia="zh-CN"/>
        </w:rPr>
        <w:t>除了</w:t>
      </w:r>
      <w:r w:rsidR="007533C8">
        <w:rPr>
          <w:rFonts w:hint="eastAsia"/>
          <w:lang w:eastAsia="zh-CN"/>
        </w:rPr>
        <w:t>签证业务</w:t>
      </w:r>
      <w:r w:rsidR="00670FD3">
        <w:rPr>
          <w:lang w:eastAsia="zh-CN"/>
        </w:rPr>
        <w:t>外</w:t>
      </w:r>
      <w:r w:rsidR="00670FD3" w:rsidRPr="00392333">
        <w:rPr>
          <w:lang w:eastAsia="zh-CN"/>
        </w:rPr>
        <w:t>，</w:t>
      </w:r>
      <w:r w:rsidR="00004644" w:rsidRPr="00392333">
        <w:rPr>
          <w:rFonts w:hint="eastAsia"/>
          <w:lang w:eastAsia="zh-CN"/>
        </w:rPr>
        <w:t>《</w:t>
      </w:r>
      <w:r w:rsidR="00670FD3" w:rsidRPr="00392333">
        <w:rPr>
          <w:rFonts w:ascii="STKaiti" w:hAnsi="STKaiti"/>
          <w:lang w:eastAsia="zh-CN"/>
        </w:rPr>
        <w:t>内部审计章程</w:t>
      </w:r>
      <w:r w:rsidR="00004644" w:rsidRPr="00392333">
        <w:rPr>
          <w:rFonts w:ascii="STKaiti" w:hAnsi="STKaiti" w:hint="eastAsia"/>
          <w:lang w:eastAsia="zh-CN"/>
        </w:rPr>
        <w:t>》</w:t>
      </w:r>
      <w:r w:rsidR="00004644" w:rsidRPr="00392333">
        <w:rPr>
          <w:rFonts w:ascii="STKaiti" w:hAnsi="STKaiti"/>
          <w:lang w:eastAsia="zh-CN"/>
        </w:rPr>
        <w:t>还规定</w:t>
      </w:r>
      <w:r w:rsidR="00004644">
        <w:rPr>
          <w:rFonts w:ascii="STKaiti" w:eastAsia="STKaiti" w:hAnsi="STKaiti"/>
          <w:lang w:eastAsia="zh-CN"/>
        </w:rPr>
        <w:t>内部审计</w:t>
      </w:r>
      <w:r w:rsidR="00004644">
        <w:rPr>
          <w:rFonts w:ascii="STKaiti" w:eastAsia="STKaiti" w:hAnsi="STKaiti" w:hint="eastAsia"/>
          <w:lang w:eastAsia="zh-CN"/>
        </w:rPr>
        <w:t>处</w:t>
      </w:r>
      <w:r w:rsidR="00670FD3" w:rsidRPr="00392333">
        <w:rPr>
          <w:rFonts w:asciiTheme="minorHAnsi" w:eastAsia="STKaiti" w:hAnsiTheme="minorHAnsi" w:cstheme="minorHAnsi"/>
          <w:lang w:eastAsia="zh-CN"/>
        </w:rPr>
        <w:t>（</w:t>
      </w:r>
      <w:r w:rsidR="00670FD3" w:rsidRPr="00392333">
        <w:rPr>
          <w:rFonts w:asciiTheme="minorHAnsi" w:eastAsia="STKaiti" w:hAnsiTheme="minorHAnsi" w:cstheme="minorHAnsi"/>
          <w:lang w:eastAsia="zh-CN"/>
        </w:rPr>
        <w:t>IA</w:t>
      </w:r>
      <w:r w:rsidR="00670FD3" w:rsidRPr="00392333">
        <w:rPr>
          <w:rFonts w:asciiTheme="minorHAnsi" w:eastAsia="STKaiti" w:hAnsiTheme="minorHAnsi" w:cstheme="minorHAnsi"/>
          <w:lang w:eastAsia="zh-CN"/>
        </w:rPr>
        <w:t>）</w:t>
      </w:r>
      <w:r w:rsidR="00004644">
        <w:rPr>
          <w:rFonts w:ascii="STKaiti" w:eastAsia="STKaiti" w:hAnsi="STKaiti" w:hint="eastAsia"/>
          <w:lang w:eastAsia="zh-CN"/>
        </w:rPr>
        <w:t>须</w:t>
      </w:r>
      <w:r w:rsidR="00670FD3" w:rsidRPr="00670FD3">
        <w:rPr>
          <w:rFonts w:ascii="STKaiti" w:eastAsia="STKaiti" w:hAnsi="STKaiti"/>
          <w:lang w:eastAsia="zh-CN"/>
        </w:rPr>
        <w:t>调查</w:t>
      </w:r>
      <w:r w:rsidR="00670FD3" w:rsidRPr="00670FD3">
        <w:rPr>
          <w:rFonts w:ascii="STKaiti" w:eastAsia="STKaiti" w:hAnsi="STKaiti" w:hint="eastAsia"/>
          <w:lang w:eastAsia="zh-CN"/>
        </w:rPr>
        <w:t>舞弊或</w:t>
      </w:r>
      <w:r w:rsidR="00004644">
        <w:rPr>
          <w:rFonts w:ascii="STKaiti" w:eastAsia="STKaiti" w:hAnsi="STKaiti"/>
          <w:lang w:eastAsia="zh-CN"/>
        </w:rPr>
        <w:t>管理不善的指控或假定，同时内部审计</w:t>
      </w:r>
      <w:r w:rsidR="00004644">
        <w:rPr>
          <w:rFonts w:ascii="STKaiti" w:eastAsia="STKaiti" w:hAnsi="STKaiti" w:hint="eastAsia"/>
          <w:lang w:eastAsia="zh-CN"/>
        </w:rPr>
        <w:t>处</w:t>
      </w:r>
      <w:r w:rsidR="00670FD3" w:rsidRPr="00670FD3">
        <w:rPr>
          <w:rFonts w:ascii="STKaiti" w:eastAsia="STKaiti" w:hAnsi="STKaiti"/>
          <w:lang w:eastAsia="zh-CN"/>
        </w:rPr>
        <w:t>可在国际电联内部提供咨询服务</w:t>
      </w:r>
      <w:r w:rsidR="00670FD3">
        <w:rPr>
          <w:lang w:eastAsia="zh-CN"/>
        </w:rPr>
        <w:t>。</w:t>
      </w:r>
    </w:p>
    <w:p w:rsidR="006C5D55" w:rsidRPr="006C5D55" w:rsidRDefault="006C5D55" w:rsidP="00880E64">
      <w:pPr>
        <w:rPr>
          <w:rFonts w:asciiTheme="minorHAnsi" w:eastAsiaTheme="minorEastAsia" w:hAnsiTheme="minorHAnsi"/>
          <w:lang w:eastAsia="zh-CN"/>
        </w:rPr>
      </w:pPr>
      <w:r w:rsidRPr="006C5D55">
        <w:rPr>
          <w:rFonts w:asciiTheme="minorHAnsi" w:eastAsiaTheme="minorEastAsia" w:hAnsiTheme="minorHAnsi"/>
          <w:lang w:eastAsia="zh-CN"/>
        </w:rPr>
        <w:t>5</w:t>
      </w:r>
      <w:r w:rsidRPr="006C5D55">
        <w:rPr>
          <w:rFonts w:asciiTheme="minorHAnsi" w:eastAsiaTheme="minorEastAsia" w:hAnsiTheme="minorHAnsi"/>
          <w:lang w:eastAsia="zh-CN"/>
        </w:rPr>
        <w:tab/>
      </w:r>
      <w:r w:rsidRPr="006C5D55">
        <w:rPr>
          <w:rFonts w:asciiTheme="minorHAnsi" w:eastAsiaTheme="minorEastAsia" w:hAnsiTheme="minorHAnsi"/>
          <w:lang w:eastAsia="zh-CN"/>
        </w:rPr>
        <w:t>内部审计处与</w:t>
      </w:r>
      <w:r w:rsidR="007E5C63" w:rsidRPr="006C5D55">
        <w:rPr>
          <w:rFonts w:asciiTheme="minorHAnsi" w:eastAsiaTheme="minorEastAsia" w:hAnsiTheme="minorHAnsi"/>
          <w:lang w:eastAsia="zh-CN"/>
        </w:rPr>
        <w:t>国际电联外部审计员和</w:t>
      </w:r>
      <w:r w:rsidRPr="006C5D55">
        <w:rPr>
          <w:rFonts w:asciiTheme="minorHAnsi" w:eastAsiaTheme="minorEastAsia" w:hAnsiTheme="minorHAnsi"/>
          <w:lang w:eastAsia="zh-CN"/>
        </w:rPr>
        <w:t>独立管理顾问委员会（</w:t>
      </w:r>
      <w:r w:rsidRPr="006C5D55">
        <w:rPr>
          <w:rFonts w:asciiTheme="minorHAnsi" w:eastAsiaTheme="minorEastAsia" w:hAnsiTheme="minorHAnsi"/>
          <w:lang w:eastAsia="zh-CN"/>
        </w:rPr>
        <w:t>IMAC</w:t>
      </w:r>
      <w:r w:rsidRPr="006C5D55">
        <w:rPr>
          <w:rFonts w:asciiTheme="minorHAnsi" w:eastAsiaTheme="minorEastAsia" w:hAnsiTheme="minorHAnsi"/>
          <w:lang w:eastAsia="zh-CN"/>
        </w:rPr>
        <w:t>）</w:t>
      </w:r>
      <w:r w:rsidR="004E59B7">
        <w:rPr>
          <w:rFonts w:asciiTheme="minorHAnsi" w:eastAsiaTheme="minorEastAsia" w:hAnsiTheme="minorHAnsi" w:hint="eastAsia"/>
          <w:lang w:eastAsia="zh-CN"/>
        </w:rPr>
        <w:t>系统</w:t>
      </w:r>
      <w:r w:rsidR="004E59B7" w:rsidRPr="006C5D55">
        <w:rPr>
          <w:rFonts w:asciiTheme="minorHAnsi" w:eastAsiaTheme="minorEastAsia" w:hAnsiTheme="minorHAnsi"/>
          <w:lang w:eastAsia="zh-CN"/>
        </w:rPr>
        <w:t>地</w:t>
      </w:r>
      <w:r w:rsidR="004E59B7">
        <w:rPr>
          <w:rFonts w:asciiTheme="minorHAnsi" w:eastAsiaTheme="minorEastAsia" w:hAnsiTheme="minorHAnsi"/>
          <w:lang w:eastAsia="zh-CN"/>
        </w:rPr>
        <w:t>分享</w:t>
      </w:r>
      <w:r w:rsidRPr="006C5D55">
        <w:rPr>
          <w:rFonts w:asciiTheme="minorHAnsi" w:eastAsiaTheme="minorEastAsia" w:hAnsiTheme="minorHAnsi"/>
          <w:lang w:eastAsia="zh-CN"/>
        </w:rPr>
        <w:t>内部审计报告副本。根据国际电联《财务规则》第</w:t>
      </w:r>
      <w:r w:rsidRPr="006C5D55">
        <w:rPr>
          <w:rFonts w:asciiTheme="minorHAnsi" w:eastAsiaTheme="minorEastAsia" w:hAnsiTheme="minorHAnsi"/>
          <w:lang w:eastAsia="zh-CN"/>
        </w:rPr>
        <w:t>29.5</w:t>
      </w:r>
      <w:r w:rsidRPr="006C5D55">
        <w:rPr>
          <w:rFonts w:asciiTheme="minorHAnsi" w:eastAsiaTheme="minorEastAsia" w:hAnsiTheme="minorHAnsi"/>
          <w:lang w:eastAsia="zh-CN"/>
        </w:rPr>
        <w:t>款，内部审计最终报告可提供给成员国或其指定的代表。自</w:t>
      </w:r>
      <w:r w:rsidRPr="006C5D55">
        <w:rPr>
          <w:rFonts w:asciiTheme="minorHAnsi" w:eastAsiaTheme="minorEastAsia" w:hAnsiTheme="minorHAnsi"/>
          <w:lang w:eastAsia="zh-CN"/>
        </w:rPr>
        <w:t>2015</w:t>
      </w:r>
      <w:r w:rsidRPr="006C5D55">
        <w:rPr>
          <w:rFonts w:asciiTheme="minorHAnsi" w:eastAsiaTheme="minorEastAsia" w:hAnsiTheme="minorHAnsi"/>
          <w:lang w:eastAsia="zh-CN"/>
        </w:rPr>
        <w:t>年</w:t>
      </w:r>
      <w:r w:rsidRPr="006C5D55">
        <w:rPr>
          <w:rFonts w:asciiTheme="minorHAnsi" w:eastAsiaTheme="minorEastAsia" w:hAnsiTheme="minorHAnsi"/>
          <w:lang w:eastAsia="zh-CN"/>
        </w:rPr>
        <w:t>10</w:t>
      </w:r>
      <w:r w:rsidRPr="006C5D55">
        <w:rPr>
          <w:rFonts w:asciiTheme="minorHAnsi" w:eastAsiaTheme="minorEastAsia" w:hAnsiTheme="minorHAnsi"/>
          <w:lang w:eastAsia="zh-CN"/>
        </w:rPr>
        <w:t>月以来，一项方便获取内部审计报告的机制已投入使用。在本报告期内，</w:t>
      </w:r>
      <w:r w:rsidR="00F5467E">
        <w:rPr>
          <w:rFonts w:asciiTheme="minorHAnsi" w:eastAsiaTheme="minorEastAsia" w:hAnsiTheme="minorHAnsi" w:hint="eastAsia"/>
          <w:lang w:eastAsia="zh-CN"/>
        </w:rPr>
        <w:t>未</w:t>
      </w:r>
      <w:r w:rsidRPr="006C5D55">
        <w:rPr>
          <w:rFonts w:asciiTheme="minorHAnsi" w:eastAsiaTheme="minorEastAsia" w:hAnsiTheme="minorHAnsi"/>
          <w:lang w:eastAsia="zh-CN"/>
        </w:rPr>
        <w:t>通过在线机制收到</w:t>
      </w:r>
      <w:r w:rsidR="00F5467E">
        <w:rPr>
          <w:rFonts w:asciiTheme="minorHAnsi" w:eastAsiaTheme="minorEastAsia" w:hAnsiTheme="minorHAnsi" w:hint="eastAsia"/>
          <w:lang w:eastAsia="zh-CN"/>
        </w:rPr>
        <w:t>任何</w:t>
      </w:r>
      <w:r w:rsidR="004E59B7">
        <w:rPr>
          <w:rFonts w:asciiTheme="minorHAnsi" w:eastAsiaTheme="minorEastAsia" w:hAnsiTheme="minorHAnsi" w:hint="eastAsia"/>
          <w:lang w:eastAsia="zh-CN"/>
        </w:rPr>
        <w:t>希望</w:t>
      </w:r>
      <w:r w:rsidR="003235BC">
        <w:rPr>
          <w:rFonts w:asciiTheme="minorHAnsi" w:eastAsiaTheme="minorEastAsia" w:hAnsiTheme="minorHAnsi" w:hint="eastAsia"/>
          <w:lang w:eastAsia="zh-CN"/>
        </w:rPr>
        <w:t>获得</w:t>
      </w:r>
      <w:r w:rsidRPr="006C5D55">
        <w:rPr>
          <w:rFonts w:asciiTheme="minorHAnsi" w:eastAsiaTheme="minorEastAsia" w:hAnsiTheme="minorHAnsi"/>
          <w:lang w:eastAsia="zh-CN"/>
        </w:rPr>
        <w:t>内部审计报告的要求</w:t>
      </w:r>
      <w:r w:rsidR="007E5C63">
        <w:rPr>
          <w:rFonts w:asciiTheme="minorHAnsi" w:eastAsiaTheme="minorEastAsia" w:hAnsiTheme="minorHAnsi" w:hint="eastAsia"/>
          <w:lang w:eastAsia="zh-CN"/>
        </w:rPr>
        <w:t>。</w:t>
      </w:r>
    </w:p>
    <w:p w:rsidR="006C5D55" w:rsidRPr="00E0607D" w:rsidRDefault="0094052E" w:rsidP="00B27CE6">
      <w:pPr>
        <w:pStyle w:val="Heading1"/>
        <w:rPr>
          <w:lang w:eastAsia="zh-CN"/>
        </w:rPr>
      </w:pPr>
      <w:r>
        <w:rPr>
          <w:lang w:eastAsia="zh-CN"/>
        </w:rPr>
        <w:t>鉴</w:t>
      </w:r>
      <w:r w:rsidR="007533C8">
        <w:rPr>
          <w:lang w:eastAsia="zh-CN"/>
        </w:rPr>
        <w:t>证业务</w:t>
      </w:r>
      <w:r>
        <w:rPr>
          <w:lang w:eastAsia="zh-CN"/>
        </w:rPr>
        <w:t>的目的</w:t>
      </w:r>
      <w:r w:rsidR="006C5D55" w:rsidRPr="00E0607D">
        <w:rPr>
          <w:lang w:eastAsia="zh-CN"/>
        </w:rPr>
        <w:t>和结论</w:t>
      </w:r>
    </w:p>
    <w:p w:rsidR="006C5D55" w:rsidRPr="006C5D55" w:rsidRDefault="006C5D55" w:rsidP="0094052E">
      <w:pPr>
        <w:rPr>
          <w:lang w:val="en-CA" w:eastAsia="zh-CN"/>
        </w:rPr>
      </w:pPr>
      <w:r w:rsidRPr="006C5D55">
        <w:rPr>
          <w:lang w:val="en-CA" w:eastAsia="zh-CN"/>
        </w:rPr>
        <w:t>6</w:t>
      </w:r>
      <w:r w:rsidRPr="006C5D55">
        <w:rPr>
          <w:lang w:val="en-CA" w:eastAsia="zh-CN"/>
        </w:rPr>
        <w:tab/>
      </w:r>
      <w:r w:rsidR="0094052E">
        <w:rPr>
          <w:lang w:eastAsia="zh-CN"/>
        </w:rPr>
        <w:t>鉴</w:t>
      </w:r>
      <w:r w:rsidR="007533C8">
        <w:rPr>
          <w:lang w:eastAsia="zh-CN"/>
        </w:rPr>
        <w:t>证业务</w:t>
      </w:r>
      <w:r w:rsidRPr="006C5D55">
        <w:rPr>
          <w:lang w:eastAsia="zh-CN"/>
        </w:rPr>
        <w:t>旨在评估</w:t>
      </w:r>
      <w:r w:rsidR="007533C8">
        <w:rPr>
          <w:rFonts w:hint="eastAsia"/>
          <w:lang w:eastAsia="zh-CN"/>
        </w:rPr>
        <w:t>：</w:t>
      </w:r>
      <w:r w:rsidR="007533C8">
        <w:rPr>
          <w:rFonts w:cs="Calibri"/>
          <w:lang w:eastAsia="zh-CN"/>
        </w:rPr>
        <w:t>（</w:t>
      </w:r>
      <w:proofErr w:type="spellStart"/>
      <w:r w:rsidRPr="006C5D55">
        <w:rPr>
          <w:rFonts w:cs="Calibri"/>
          <w:lang w:eastAsia="zh-CN"/>
        </w:rPr>
        <w:t>i</w:t>
      </w:r>
      <w:proofErr w:type="spellEnd"/>
      <w:r w:rsidR="007533C8">
        <w:rPr>
          <w:rFonts w:cs="Calibri"/>
          <w:lang w:eastAsia="zh-CN"/>
        </w:rPr>
        <w:t>）</w:t>
      </w:r>
      <w:r w:rsidRPr="006C5D55">
        <w:rPr>
          <w:rFonts w:cs="Calibri"/>
          <w:lang w:eastAsia="zh-CN"/>
        </w:rPr>
        <w:t>经审计的国际电联</w:t>
      </w:r>
      <w:r w:rsidR="006000AD">
        <w:rPr>
          <w:rFonts w:cs="Calibri" w:hint="eastAsia"/>
          <w:lang w:eastAsia="zh-CN"/>
        </w:rPr>
        <w:t>运营工作</w:t>
      </w:r>
      <w:r w:rsidRPr="006C5D55">
        <w:rPr>
          <w:rFonts w:cs="Calibri"/>
          <w:lang w:eastAsia="zh-CN"/>
        </w:rPr>
        <w:t>的</w:t>
      </w:r>
      <w:r w:rsidR="006000AD">
        <w:rPr>
          <w:rFonts w:cs="Calibri" w:hint="eastAsia"/>
          <w:lang w:eastAsia="zh-CN"/>
        </w:rPr>
        <w:t>治理；</w:t>
      </w:r>
      <w:r w:rsidR="007533C8">
        <w:rPr>
          <w:rFonts w:cs="Calibri"/>
          <w:lang w:eastAsia="zh-CN"/>
        </w:rPr>
        <w:t>（</w:t>
      </w:r>
      <w:r w:rsidRPr="006C5D55">
        <w:rPr>
          <w:rFonts w:cs="Calibri"/>
          <w:lang w:eastAsia="zh-CN"/>
        </w:rPr>
        <w:t>ii</w:t>
      </w:r>
      <w:r w:rsidR="007533C8">
        <w:rPr>
          <w:rFonts w:cs="Calibri"/>
          <w:lang w:eastAsia="zh-CN"/>
        </w:rPr>
        <w:t>）</w:t>
      </w:r>
      <w:r w:rsidRPr="006C5D55">
        <w:rPr>
          <w:rFonts w:cs="Calibri"/>
          <w:lang w:eastAsia="zh-CN"/>
        </w:rPr>
        <w:t>风险管理做法</w:t>
      </w:r>
      <w:r w:rsidR="006000AD">
        <w:rPr>
          <w:rFonts w:cs="Calibri" w:hint="eastAsia"/>
          <w:lang w:eastAsia="zh-CN"/>
        </w:rPr>
        <w:t>；</w:t>
      </w:r>
      <w:r w:rsidR="007533C8">
        <w:rPr>
          <w:rFonts w:cs="Calibri"/>
          <w:lang w:eastAsia="zh-CN"/>
        </w:rPr>
        <w:t>（</w:t>
      </w:r>
      <w:r w:rsidRPr="006C5D55">
        <w:rPr>
          <w:rFonts w:cs="Calibri"/>
          <w:lang w:eastAsia="zh-CN"/>
        </w:rPr>
        <w:t>iii</w:t>
      </w:r>
      <w:r w:rsidR="007533C8">
        <w:rPr>
          <w:rFonts w:cs="Calibri"/>
          <w:lang w:eastAsia="zh-CN"/>
        </w:rPr>
        <w:t>）（</w:t>
      </w:r>
      <w:r w:rsidRPr="006C5D55">
        <w:rPr>
          <w:rFonts w:cs="Calibri"/>
          <w:lang w:eastAsia="zh-CN"/>
        </w:rPr>
        <w:t>内部</w:t>
      </w:r>
      <w:r w:rsidR="007533C8">
        <w:rPr>
          <w:rFonts w:cs="Calibri"/>
          <w:lang w:eastAsia="zh-CN"/>
        </w:rPr>
        <w:t>）</w:t>
      </w:r>
      <w:r w:rsidRPr="006C5D55">
        <w:rPr>
          <w:rFonts w:cs="Calibri"/>
          <w:lang w:eastAsia="zh-CN"/>
        </w:rPr>
        <w:t>控制</w:t>
      </w:r>
      <w:r w:rsidR="006000AD">
        <w:rPr>
          <w:rFonts w:cs="Calibri" w:hint="eastAsia"/>
          <w:lang w:eastAsia="zh-CN"/>
        </w:rPr>
        <w:t>机制</w:t>
      </w:r>
      <w:r w:rsidRPr="006C5D55">
        <w:rPr>
          <w:rFonts w:cs="Calibri"/>
          <w:lang w:eastAsia="zh-CN"/>
        </w:rPr>
        <w:t>的有效性。</w:t>
      </w:r>
      <w:r w:rsidR="001F5503" w:rsidRPr="006C5D55">
        <w:rPr>
          <w:lang w:eastAsia="zh-CN"/>
        </w:rPr>
        <w:t>依据影响力和可能出现的问题</w:t>
      </w:r>
      <w:r w:rsidR="001F5503">
        <w:rPr>
          <w:rFonts w:cs="Calibri" w:hint="eastAsia"/>
          <w:lang w:eastAsia="zh-CN"/>
        </w:rPr>
        <w:t>对</w:t>
      </w:r>
      <w:r w:rsidRPr="006C5D55">
        <w:rPr>
          <w:lang w:eastAsia="zh-CN"/>
        </w:rPr>
        <w:t>审计产生的建议划分轻重缓急</w:t>
      </w:r>
      <w:r w:rsidR="007533C8">
        <w:rPr>
          <w:lang w:eastAsia="zh-CN"/>
        </w:rPr>
        <w:t>（</w:t>
      </w:r>
      <w:r w:rsidRPr="006C5D55">
        <w:rPr>
          <w:lang w:eastAsia="zh-CN"/>
        </w:rPr>
        <w:t>高、中、低</w:t>
      </w:r>
      <w:r w:rsidR="007533C8">
        <w:rPr>
          <w:lang w:eastAsia="zh-CN"/>
        </w:rPr>
        <w:t>）</w:t>
      </w:r>
      <w:r w:rsidRPr="006C5D55">
        <w:rPr>
          <w:lang w:eastAsia="zh-CN"/>
        </w:rPr>
        <w:t>。</w:t>
      </w:r>
    </w:p>
    <w:p w:rsidR="006C5D55" w:rsidRPr="006C5D55" w:rsidRDefault="006C5D55" w:rsidP="0094052E">
      <w:pPr>
        <w:ind w:firstLineChars="200" w:firstLine="480"/>
        <w:rPr>
          <w:lang w:eastAsia="zh-CN"/>
        </w:rPr>
      </w:pPr>
      <w:r w:rsidRPr="006C5D55">
        <w:rPr>
          <w:lang w:eastAsia="zh-CN"/>
        </w:rPr>
        <w:t>根据所开展的各项</w:t>
      </w:r>
      <w:r w:rsidR="0094052E">
        <w:rPr>
          <w:lang w:eastAsia="zh-CN"/>
        </w:rPr>
        <w:t>鉴</w:t>
      </w:r>
      <w:r w:rsidR="007533C8">
        <w:rPr>
          <w:lang w:eastAsia="zh-CN"/>
        </w:rPr>
        <w:t>证业务</w:t>
      </w:r>
      <w:r w:rsidRPr="006C5D55">
        <w:rPr>
          <w:lang w:eastAsia="zh-CN"/>
        </w:rPr>
        <w:t>，</w:t>
      </w:r>
      <w:r w:rsidR="0091023E">
        <w:rPr>
          <w:rFonts w:hint="eastAsia"/>
          <w:lang w:eastAsia="zh-CN"/>
        </w:rPr>
        <w:t>内部审计处</w:t>
      </w:r>
      <w:r w:rsidRPr="006C5D55">
        <w:rPr>
          <w:lang w:eastAsia="zh-CN"/>
        </w:rPr>
        <w:t>得出结论，总体而言，</w:t>
      </w:r>
      <w:r w:rsidR="002904A4">
        <w:rPr>
          <w:rFonts w:hint="eastAsia"/>
          <w:lang w:eastAsia="zh-CN"/>
        </w:rPr>
        <w:t>有必要</w:t>
      </w:r>
      <w:r w:rsidR="002904A4">
        <w:rPr>
          <w:lang w:eastAsia="zh-CN"/>
        </w:rPr>
        <w:t>加强治理，并改善得到审查的</w:t>
      </w:r>
      <w:r w:rsidR="0019567D">
        <w:rPr>
          <w:rFonts w:hint="eastAsia"/>
          <w:lang w:eastAsia="zh-CN"/>
        </w:rPr>
        <w:t>进程</w:t>
      </w:r>
      <w:r w:rsidR="002904A4">
        <w:rPr>
          <w:lang w:eastAsia="zh-CN"/>
        </w:rPr>
        <w:t>的风险管理，从而更有效控制得到审计</w:t>
      </w:r>
      <w:r w:rsidR="002904A4">
        <w:rPr>
          <w:rFonts w:hint="eastAsia"/>
          <w:lang w:eastAsia="zh-CN"/>
        </w:rPr>
        <w:t>的</w:t>
      </w:r>
      <w:r w:rsidR="002904A4">
        <w:rPr>
          <w:lang w:eastAsia="zh-CN"/>
        </w:rPr>
        <w:t>各领域</w:t>
      </w:r>
      <w:r w:rsidR="002904A4">
        <w:rPr>
          <w:rFonts w:hint="eastAsia"/>
          <w:lang w:eastAsia="zh-CN"/>
        </w:rPr>
        <w:t>工作</w:t>
      </w:r>
      <w:r w:rsidR="002904A4">
        <w:rPr>
          <w:lang w:eastAsia="zh-CN"/>
        </w:rPr>
        <w:t>。</w:t>
      </w:r>
      <w:bookmarkStart w:id="3" w:name="lt_pId049"/>
      <w:r w:rsidRPr="006C5D55">
        <w:rPr>
          <w:lang w:eastAsia="zh-CN"/>
        </w:rPr>
        <w:t>这些领域的改进</w:t>
      </w:r>
      <w:r w:rsidR="001F5503">
        <w:rPr>
          <w:rFonts w:hint="eastAsia"/>
          <w:lang w:eastAsia="zh-CN"/>
        </w:rPr>
        <w:t>有</w:t>
      </w:r>
      <w:r w:rsidR="001F5503">
        <w:rPr>
          <w:lang w:eastAsia="zh-CN"/>
        </w:rPr>
        <w:t>利于内部审计</w:t>
      </w:r>
      <w:r w:rsidR="0091023E">
        <w:rPr>
          <w:rFonts w:hint="eastAsia"/>
          <w:lang w:eastAsia="zh-CN"/>
        </w:rPr>
        <w:t>处</w:t>
      </w:r>
      <w:r w:rsidR="007533C8">
        <w:rPr>
          <w:lang w:eastAsia="zh-CN"/>
        </w:rPr>
        <w:t>向秘书长</w:t>
      </w:r>
      <w:r w:rsidR="007533C8">
        <w:rPr>
          <w:rFonts w:hint="eastAsia"/>
          <w:lang w:eastAsia="zh-CN"/>
        </w:rPr>
        <w:t>提供</w:t>
      </w:r>
      <w:r w:rsidR="001F5503">
        <w:rPr>
          <w:lang w:eastAsia="zh-CN"/>
        </w:rPr>
        <w:t>合理</w:t>
      </w:r>
      <w:r w:rsidR="007533C8">
        <w:rPr>
          <w:rFonts w:hint="eastAsia"/>
          <w:lang w:eastAsia="zh-CN"/>
        </w:rPr>
        <w:t>审计</w:t>
      </w:r>
      <w:r w:rsidRPr="006C5D55">
        <w:rPr>
          <w:lang w:eastAsia="zh-CN"/>
        </w:rPr>
        <w:t>，</w:t>
      </w:r>
      <w:r w:rsidR="001F5503">
        <w:rPr>
          <w:rFonts w:hint="eastAsia"/>
          <w:lang w:eastAsia="zh-CN"/>
        </w:rPr>
        <w:t>说明</w:t>
      </w:r>
      <w:r w:rsidR="0091023E">
        <w:rPr>
          <w:rFonts w:hint="eastAsia"/>
          <w:lang w:eastAsia="zh-CN"/>
        </w:rPr>
        <w:t>治理</w:t>
      </w:r>
      <w:r w:rsidRPr="006C5D55">
        <w:rPr>
          <w:lang w:eastAsia="zh-CN"/>
        </w:rPr>
        <w:t>和风险管理已经到位且控制</w:t>
      </w:r>
      <w:r w:rsidR="0091023E">
        <w:rPr>
          <w:rFonts w:hint="eastAsia"/>
          <w:lang w:eastAsia="zh-CN"/>
        </w:rPr>
        <w:t>机制</w:t>
      </w:r>
      <w:r w:rsidRPr="006C5D55">
        <w:rPr>
          <w:lang w:eastAsia="zh-CN"/>
        </w:rPr>
        <w:t>有效。</w:t>
      </w:r>
      <w:bookmarkEnd w:id="3"/>
      <w:r w:rsidRPr="006C5D55">
        <w:rPr>
          <w:lang w:eastAsia="zh-CN"/>
        </w:rPr>
        <w:t>在秘书长的支持下，向管理层提出的建议正在转化为行动，这将进一步强化国际电联的履职能力。</w:t>
      </w:r>
    </w:p>
    <w:p w:rsidR="006C5D55" w:rsidRPr="006C5D55" w:rsidRDefault="006C5D55" w:rsidP="00905015">
      <w:pPr>
        <w:rPr>
          <w:lang w:eastAsia="zh-CN"/>
        </w:rPr>
      </w:pPr>
      <w:r w:rsidRPr="006C5D55">
        <w:rPr>
          <w:lang w:eastAsia="zh-CN"/>
        </w:rPr>
        <w:t>7</w:t>
      </w:r>
      <w:r w:rsidRPr="006C5D55">
        <w:rPr>
          <w:lang w:eastAsia="zh-CN"/>
        </w:rPr>
        <w:tab/>
      </w:r>
      <w:r w:rsidRPr="006C5D55">
        <w:rPr>
          <w:lang w:eastAsia="zh-CN"/>
        </w:rPr>
        <w:t>内部审计处按要求随时对根据各项建议采取行动的落实情况予以跟进。</w:t>
      </w:r>
    </w:p>
    <w:p w:rsidR="00905015" w:rsidRPr="00B27CE6" w:rsidRDefault="00905015" w:rsidP="00B27CE6">
      <w:pPr>
        <w:pStyle w:val="Headingi"/>
        <w:rPr>
          <w:rFonts w:eastAsia="STKaiti"/>
          <w:i w:val="0"/>
          <w:iCs/>
          <w:lang w:eastAsia="zh-CN"/>
        </w:rPr>
      </w:pPr>
      <w:bookmarkStart w:id="4" w:name="lt_pId064"/>
      <w:r w:rsidRPr="00B27CE6">
        <w:rPr>
          <w:rFonts w:eastAsia="STKaiti"/>
          <w:i w:val="0"/>
          <w:iCs/>
          <w:lang w:eastAsia="zh-CN"/>
        </w:rPr>
        <w:t>已开展的</w:t>
      </w:r>
      <w:r w:rsidR="0094052E" w:rsidRPr="00B27CE6">
        <w:rPr>
          <w:rFonts w:eastAsia="STKaiti"/>
          <w:i w:val="0"/>
          <w:iCs/>
          <w:lang w:eastAsia="zh-CN"/>
        </w:rPr>
        <w:t>鉴</w:t>
      </w:r>
      <w:r w:rsidRPr="00B27CE6">
        <w:rPr>
          <w:rFonts w:eastAsia="STKaiti"/>
          <w:i w:val="0"/>
          <w:iCs/>
          <w:lang w:eastAsia="zh-CN"/>
        </w:rPr>
        <w:t>证业务如下：</w:t>
      </w:r>
    </w:p>
    <w:p w:rsidR="00867E08" w:rsidRPr="00392333" w:rsidRDefault="00275971" w:rsidP="00112C16">
      <w:pPr>
        <w:pStyle w:val="Headingb"/>
        <w:rPr>
          <w:szCs w:val="24"/>
          <w:lang w:eastAsia="zh-CN"/>
        </w:rPr>
      </w:pPr>
      <w:r>
        <w:rPr>
          <w:lang w:eastAsia="zh-CN"/>
        </w:rPr>
        <w:t>A</w:t>
      </w:r>
      <w:r w:rsidR="00A627D1" w:rsidRPr="00392333">
        <w:rPr>
          <w:lang w:eastAsia="zh-CN"/>
        </w:rPr>
        <w:tab/>
      </w:r>
      <w:r w:rsidR="00F5467E">
        <w:rPr>
          <w:rFonts w:hint="eastAsia"/>
          <w:lang w:eastAsia="zh-CN"/>
        </w:rPr>
        <w:t>对笔译服务的</w:t>
      </w:r>
      <w:r w:rsidR="0060437F" w:rsidRPr="00392333">
        <w:rPr>
          <w:lang w:eastAsia="zh-CN"/>
        </w:rPr>
        <w:t>审计</w:t>
      </w:r>
    </w:p>
    <w:p w:rsidR="00275971" w:rsidRPr="00C46DFF" w:rsidRDefault="00275971" w:rsidP="00275971">
      <w:pPr>
        <w:tabs>
          <w:tab w:val="clear" w:pos="794"/>
          <w:tab w:val="clear" w:pos="1191"/>
          <w:tab w:val="clear" w:pos="1588"/>
          <w:tab w:val="clear" w:pos="1985"/>
        </w:tabs>
        <w:snapToGrid w:val="0"/>
        <w:spacing w:after="120"/>
        <w:jc w:val="both"/>
        <w:rPr>
          <w:rFonts w:asciiTheme="minorHAnsi" w:hAnsiTheme="minorHAnsi" w:cstheme="minorHAnsi"/>
          <w:szCs w:val="24"/>
          <w:lang w:val="en-US" w:eastAsia="zh-CN"/>
        </w:rPr>
      </w:pPr>
      <w:r w:rsidRPr="00A111B6">
        <w:rPr>
          <w:rFonts w:asciiTheme="minorHAnsi" w:eastAsiaTheme="minorEastAsia" w:hAnsiTheme="minorHAnsi" w:cstheme="minorHAnsi"/>
          <w:szCs w:val="24"/>
          <w:lang w:val="en-US" w:eastAsia="zh-CN"/>
        </w:rPr>
        <w:t>8</w:t>
      </w:r>
      <w:r w:rsidRPr="00A111B6">
        <w:rPr>
          <w:rFonts w:asciiTheme="minorHAnsi" w:eastAsiaTheme="minorEastAsia" w:hAnsiTheme="minorHAnsi" w:cstheme="minorHAnsi"/>
          <w:szCs w:val="24"/>
          <w:lang w:val="en-US" w:eastAsia="zh-CN"/>
        </w:rPr>
        <w:tab/>
      </w:r>
      <w:r w:rsidR="008843BC">
        <w:rPr>
          <w:rFonts w:asciiTheme="minorHAnsi" w:eastAsiaTheme="minorEastAsia" w:hAnsiTheme="minorHAnsi" w:cstheme="minorHAnsi" w:hint="eastAsia"/>
          <w:szCs w:val="24"/>
          <w:lang w:val="en-US" w:eastAsia="zh-CN"/>
        </w:rPr>
        <w:t>内部</w:t>
      </w:r>
      <w:r w:rsidR="00F5467E">
        <w:rPr>
          <w:rFonts w:asciiTheme="minorHAnsi" w:eastAsiaTheme="minorEastAsia" w:hAnsiTheme="minorHAnsi" w:cstheme="minorHAnsi" w:hint="eastAsia"/>
          <w:szCs w:val="24"/>
          <w:lang w:val="en-US" w:eastAsia="zh-CN"/>
        </w:rPr>
        <w:t>审计</w:t>
      </w:r>
      <w:r w:rsidR="008843BC">
        <w:rPr>
          <w:rFonts w:asciiTheme="minorHAnsi" w:eastAsiaTheme="minorEastAsia" w:hAnsiTheme="minorHAnsi" w:cstheme="minorHAnsi" w:hint="eastAsia"/>
          <w:szCs w:val="24"/>
          <w:lang w:val="en-US" w:eastAsia="zh-CN"/>
        </w:rPr>
        <w:t>处</w:t>
      </w:r>
      <w:r w:rsidR="00F5467E">
        <w:rPr>
          <w:rFonts w:asciiTheme="minorHAnsi" w:eastAsiaTheme="minorEastAsia" w:hAnsiTheme="minorHAnsi" w:cstheme="minorHAnsi" w:hint="eastAsia"/>
          <w:szCs w:val="24"/>
          <w:lang w:val="en-US" w:eastAsia="zh-CN"/>
        </w:rPr>
        <w:t>对</w:t>
      </w:r>
      <w:r w:rsidR="00F5467E">
        <w:rPr>
          <w:rFonts w:asciiTheme="minorHAnsi" w:eastAsiaTheme="minorEastAsia" w:hAnsiTheme="minorHAnsi" w:cstheme="minorHAnsi" w:hint="eastAsia"/>
          <w:szCs w:val="24"/>
          <w:lang w:val="en-US" w:eastAsia="zh-CN"/>
        </w:rPr>
        <w:t>2014</w:t>
      </w:r>
      <w:r w:rsidR="00F5467E">
        <w:rPr>
          <w:rFonts w:asciiTheme="minorHAnsi" w:eastAsiaTheme="minorEastAsia" w:hAnsiTheme="minorHAnsi" w:cstheme="minorHAnsi" w:hint="eastAsia"/>
          <w:szCs w:val="24"/>
          <w:lang w:val="en-US" w:eastAsia="zh-CN"/>
        </w:rPr>
        <w:t>年</w:t>
      </w:r>
      <w:r w:rsidR="00F5467E">
        <w:rPr>
          <w:rFonts w:asciiTheme="minorHAnsi" w:eastAsiaTheme="minorEastAsia" w:hAnsiTheme="minorHAnsi" w:cstheme="minorHAnsi" w:hint="eastAsia"/>
          <w:szCs w:val="24"/>
          <w:lang w:val="en-US" w:eastAsia="zh-CN"/>
        </w:rPr>
        <w:t>1</w:t>
      </w:r>
      <w:r w:rsidR="00F5467E">
        <w:rPr>
          <w:rFonts w:asciiTheme="minorHAnsi" w:eastAsiaTheme="minorEastAsia" w:hAnsiTheme="minorHAnsi" w:cstheme="minorHAnsi" w:hint="eastAsia"/>
          <w:szCs w:val="24"/>
          <w:lang w:val="en-US" w:eastAsia="zh-CN"/>
        </w:rPr>
        <w:t>月至</w:t>
      </w:r>
      <w:r w:rsidR="00F5467E">
        <w:rPr>
          <w:rFonts w:asciiTheme="minorHAnsi" w:eastAsiaTheme="minorEastAsia" w:hAnsiTheme="minorHAnsi" w:cstheme="minorHAnsi" w:hint="eastAsia"/>
          <w:szCs w:val="24"/>
          <w:lang w:val="en-US" w:eastAsia="zh-CN"/>
        </w:rPr>
        <w:t>2017</w:t>
      </w:r>
      <w:r w:rsidR="00F5467E">
        <w:rPr>
          <w:rFonts w:asciiTheme="minorHAnsi" w:eastAsiaTheme="minorEastAsia" w:hAnsiTheme="minorHAnsi" w:cstheme="minorHAnsi" w:hint="eastAsia"/>
          <w:szCs w:val="24"/>
          <w:lang w:val="en-US" w:eastAsia="zh-CN"/>
        </w:rPr>
        <w:t>年</w:t>
      </w:r>
      <w:r w:rsidR="00F5467E">
        <w:rPr>
          <w:rFonts w:asciiTheme="minorHAnsi" w:eastAsiaTheme="minorEastAsia" w:hAnsiTheme="minorHAnsi" w:cstheme="minorHAnsi" w:hint="eastAsia"/>
          <w:szCs w:val="24"/>
          <w:lang w:val="en-US" w:eastAsia="zh-CN"/>
        </w:rPr>
        <w:t>12</w:t>
      </w:r>
      <w:r w:rsidR="00F5467E">
        <w:rPr>
          <w:rFonts w:asciiTheme="minorHAnsi" w:eastAsiaTheme="minorEastAsia" w:hAnsiTheme="minorHAnsi" w:cstheme="minorHAnsi" w:hint="eastAsia"/>
          <w:szCs w:val="24"/>
          <w:lang w:val="en-US" w:eastAsia="zh-CN"/>
        </w:rPr>
        <w:t>月间开展的笔译活动进行了审计。此项审计回顾了适用的政策、流程以及国际电联开展笔译工作的方式。笔译的审计涉及大会</w:t>
      </w:r>
      <w:r w:rsidR="00F5467E">
        <w:rPr>
          <w:rFonts w:asciiTheme="minorHAnsi" w:eastAsiaTheme="minorEastAsia" w:hAnsiTheme="minorHAnsi" w:cstheme="minorHAnsi" w:hint="eastAsia"/>
          <w:szCs w:val="24"/>
          <w:lang w:val="en-US" w:eastAsia="zh-CN"/>
        </w:rPr>
        <w:t>/</w:t>
      </w:r>
      <w:r w:rsidR="008843BC">
        <w:rPr>
          <w:rFonts w:asciiTheme="minorHAnsi" w:eastAsiaTheme="minorEastAsia" w:hAnsiTheme="minorHAnsi" w:cstheme="minorHAnsi" w:hint="eastAsia"/>
          <w:szCs w:val="24"/>
          <w:lang w:val="en-US" w:eastAsia="zh-CN"/>
        </w:rPr>
        <w:t>大型</w:t>
      </w:r>
      <w:r w:rsidR="00F5467E">
        <w:rPr>
          <w:rFonts w:asciiTheme="minorHAnsi" w:eastAsiaTheme="minorEastAsia" w:hAnsiTheme="minorHAnsi" w:cstheme="minorHAnsi" w:hint="eastAsia"/>
          <w:szCs w:val="24"/>
          <w:lang w:val="en-US" w:eastAsia="zh-CN"/>
        </w:rPr>
        <w:t>活动</w:t>
      </w:r>
      <w:r w:rsidR="008843BC">
        <w:rPr>
          <w:rFonts w:asciiTheme="minorHAnsi" w:eastAsiaTheme="minorEastAsia" w:hAnsiTheme="minorHAnsi" w:cstheme="minorHAnsi" w:hint="eastAsia"/>
          <w:szCs w:val="24"/>
          <w:lang w:val="en-US" w:eastAsia="zh-CN"/>
        </w:rPr>
        <w:t>的</w:t>
      </w:r>
      <w:r w:rsidR="00F5467E">
        <w:rPr>
          <w:rFonts w:asciiTheme="minorHAnsi" w:eastAsiaTheme="minorEastAsia" w:hAnsiTheme="minorHAnsi" w:cstheme="minorHAnsi" w:hint="eastAsia"/>
          <w:szCs w:val="24"/>
          <w:lang w:val="en-US" w:eastAsia="zh-CN"/>
        </w:rPr>
        <w:t>文件、出版物和网页。</w:t>
      </w:r>
    </w:p>
    <w:p w:rsidR="00867E08" w:rsidRPr="00F259FE" w:rsidRDefault="00275971" w:rsidP="0060437F">
      <w:pPr>
        <w:pStyle w:val="ListParagraph"/>
        <w:tabs>
          <w:tab w:val="clear" w:pos="567"/>
          <w:tab w:val="clear" w:pos="1134"/>
          <w:tab w:val="clear" w:pos="1701"/>
          <w:tab w:val="clear" w:pos="2268"/>
          <w:tab w:val="clear" w:pos="2835"/>
        </w:tabs>
        <w:overflowPunct/>
        <w:autoSpaceDE/>
        <w:autoSpaceDN/>
        <w:snapToGrid w:val="0"/>
        <w:spacing w:after="120"/>
        <w:ind w:left="0"/>
        <w:contextualSpacing w:val="0"/>
        <w:jc w:val="both"/>
        <w:textAlignment w:val="auto"/>
        <w:rPr>
          <w:rFonts w:asciiTheme="minorHAnsi" w:hAnsiTheme="minorHAnsi" w:cstheme="minorHAnsi"/>
          <w:szCs w:val="24"/>
          <w:lang w:val="en-US" w:eastAsia="zh-CN"/>
        </w:rPr>
      </w:pPr>
      <w:r>
        <w:rPr>
          <w:rFonts w:asciiTheme="minorHAnsi" w:hAnsiTheme="minorHAnsi" w:cstheme="minorHAnsi"/>
          <w:szCs w:val="24"/>
          <w:lang w:val="en-US" w:eastAsia="zh-CN"/>
        </w:rPr>
        <w:t>9</w:t>
      </w:r>
      <w:r w:rsidR="00A627D1">
        <w:rPr>
          <w:rFonts w:asciiTheme="minorHAnsi" w:hAnsiTheme="minorHAnsi" w:cstheme="minorHAnsi"/>
          <w:szCs w:val="24"/>
          <w:lang w:val="en-US" w:eastAsia="zh-CN"/>
        </w:rPr>
        <w:tab/>
      </w:r>
      <w:r w:rsidR="0060437F">
        <w:rPr>
          <w:rFonts w:asciiTheme="minorHAnsi" w:eastAsiaTheme="minorEastAsia" w:hAnsiTheme="minorHAnsi" w:cstheme="minorHAnsi" w:hint="eastAsia"/>
          <w:szCs w:val="24"/>
          <w:lang w:val="en-US" w:eastAsia="zh-CN"/>
        </w:rPr>
        <w:t>内部</w:t>
      </w:r>
      <w:r w:rsidR="00E52EE7">
        <w:rPr>
          <w:rFonts w:asciiTheme="minorHAnsi" w:eastAsiaTheme="minorEastAsia" w:hAnsiTheme="minorHAnsi" w:cstheme="minorHAnsi"/>
          <w:szCs w:val="24"/>
          <w:lang w:val="en-US" w:eastAsia="zh-CN"/>
        </w:rPr>
        <w:t>审计</w:t>
      </w:r>
      <w:r w:rsidR="008843BC">
        <w:rPr>
          <w:rFonts w:asciiTheme="minorHAnsi" w:eastAsiaTheme="minorEastAsia" w:hAnsiTheme="minorHAnsi" w:cstheme="minorHAnsi"/>
          <w:szCs w:val="24"/>
          <w:lang w:val="en-US" w:eastAsia="zh-CN"/>
        </w:rPr>
        <w:t>得</w:t>
      </w:r>
      <w:r w:rsidR="00E52EE7">
        <w:rPr>
          <w:rFonts w:asciiTheme="minorHAnsi" w:eastAsiaTheme="minorEastAsia" w:hAnsiTheme="minorHAnsi" w:cstheme="minorHAnsi" w:hint="eastAsia"/>
          <w:szCs w:val="24"/>
          <w:lang w:val="en-US" w:eastAsia="zh-CN"/>
        </w:rPr>
        <w:t>出</w:t>
      </w:r>
      <w:r w:rsidR="00E52EE7">
        <w:rPr>
          <w:rFonts w:asciiTheme="minorHAnsi" w:eastAsiaTheme="minorEastAsia" w:hAnsiTheme="minorHAnsi" w:cstheme="minorHAnsi"/>
          <w:szCs w:val="24"/>
          <w:lang w:val="en-US" w:eastAsia="zh-CN"/>
        </w:rPr>
        <w:t>的结论是，下列若干问题具有</w:t>
      </w:r>
      <w:r w:rsidR="00E52EE7">
        <w:rPr>
          <w:rFonts w:asciiTheme="minorHAnsi" w:eastAsiaTheme="minorEastAsia" w:hAnsiTheme="minorHAnsi" w:cstheme="minorHAnsi" w:hint="eastAsia"/>
          <w:szCs w:val="24"/>
          <w:lang w:val="en-US" w:eastAsia="zh-CN"/>
        </w:rPr>
        <w:t>高度</w:t>
      </w:r>
      <w:r w:rsidR="0060437F">
        <w:rPr>
          <w:rFonts w:asciiTheme="minorHAnsi" w:eastAsiaTheme="minorEastAsia" w:hAnsiTheme="minorHAnsi" w:cstheme="minorHAnsi" w:hint="eastAsia"/>
          <w:szCs w:val="24"/>
          <w:lang w:val="en-US" w:eastAsia="zh-CN"/>
        </w:rPr>
        <w:t>优先性</w:t>
      </w:r>
      <w:r w:rsidR="0060437F">
        <w:rPr>
          <w:rFonts w:asciiTheme="minorHAnsi" w:eastAsiaTheme="minorEastAsia" w:hAnsiTheme="minorHAnsi" w:cstheme="minorHAnsi"/>
          <w:szCs w:val="24"/>
          <w:lang w:val="en-US" w:eastAsia="zh-CN"/>
        </w:rPr>
        <w:t>：</w:t>
      </w:r>
    </w:p>
    <w:p w:rsidR="00B12C30" w:rsidRPr="00A111B6" w:rsidRDefault="00B12C30" w:rsidP="008843BC">
      <w:pPr>
        <w:pStyle w:val="enumlev1"/>
        <w:rPr>
          <w:lang w:eastAsia="zh-CN"/>
        </w:rPr>
      </w:pPr>
      <w:r w:rsidRPr="00A111B6">
        <w:rPr>
          <w:rFonts w:ascii="Symbol" w:hAnsi="Symbol"/>
          <w:lang w:eastAsia="zh-CN"/>
        </w:rPr>
        <w:t></w:t>
      </w:r>
      <w:r w:rsidRPr="00A111B6">
        <w:rPr>
          <w:rFonts w:ascii="Symbol" w:hAnsi="Symbol"/>
          <w:lang w:eastAsia="zh-CN"/>
        </w:rPr>
        <w:tab/>
      </w:r>
      <w:r w:rsidR="008843BC">
        <w:rPr>
          <w:rFonts w:hint="eastAsia"/>
          <w:lang w:eastAsia="zh-CN"/>
        </w:rPr>
        <w:t>有关</w:t>
      </w:r>
      <w:r w:rsidR="00F5467E">
        <w:rPr>
          <w:rFonts w:hint="eastAsia"/>
          <w:lang w:eastAsia="zh-CN"/>
        </w:rPr>
        <w:t>笔译工作的</w:t>
      </w:r>
      <w:r w:rsidR="008843BC">
        <w:rPr>
          <w:rFonts w:hint="eastAsia"/>
          <w:lang w:eastAsia="zh-CN"/>
        </w:rPr>
        <w:t>政策许</w:t>
      </w:r>
      <w:r w:rsidR="00EE604E">
        <w:rPr>
          <w:rFonts w:hint="eastAsia"/>
          <w:lang w:eastAsia="zh-CN"/>
        </w:rPr>
        <w:t>多均已过时且</w:t>
      </w:r>
      <w:r w:rsidR="008843BC">
        <w:rPr>
          <w:rFonts w:hint="eastAsia"/>
          <w:lang w:eastAsia="zh-CN"/>
        </w:rPr>
        <w:t>有些政策</w:t>
      </w:r>
      <w:r w:rsidR="00EE604E">
        <w:rPr>
          <w:rFonts w:hint="eastAsia"/>
          <w:lang w:eastAsia="zh-CN"/>
        </w:rPr>
        <w:t>与现</w:t>
      </w:r>
      <w:r w:rsidR="008843BC">
        <w:rPr>
          <w:rFonts w:hint="eastAsia"/>
          <w:lang w:eastAsia="zh-CN"/>
        </w:rPr>
        <w:t>行做法和其它政策不符。建议对相关政策进行审议和更新。相关管理团队表示</w:t>
      </w:r>
      <w:r w:rsidR="00EE604E">
        <w:rPr>
          <w:rFonts w:hint="eastAsia"/>
          <w:lang w:eastAsia="zh-CN"/>
        </w:rPr>
        <w:t>将在</w:t>
      </w:r>
      <w:r w:rsidR="00EE604E">
        <w:rPr>
          <w:rFonts w:hint="eastAsia"/>
          <w:lang w:eastAsia="zh-CN"/>
        </w:rPr>
        <w:t>2018</w:t>
      </w:r>
      <w:r w:rsidR="00EE604E">
        <w:rPr>
          <w:rFonts w:hint="eastAsia"/>
          <w:lang w:eastAsia="zh-CN"/>
        </w:rPr>
        <w:t>年更新相关政策。</w:t>
      </w:r>
    </w:p>
    <w:p w:rsidR="00B12C30" w:rsidRPr="00A111B6" w:rsidRDefault="00B12C30" w:rsidP="000C1A5A">
      <w:pPr>
        <w:pStyle w:val="enumlev1"/>
        <w:rPr>
          <w:lang w:eastAsia="zh-CN"/>
        </w:rPr>
      </w:pPr>
      <w:r w:rsidRPr="00A111B6">
        <w:rPr>
          <w:rFonts w:ascii="Symbol" w:hAnsi="Symbol"/>
          <w:lang w:eastAsia="zh-CN"/>
        </w:rPr>
        <w:t></w:t>
      </w:r>
      <w:r w:rsidRPr="00A111B6">
        <w:rPr>
          <w:rFonts w:ascii="Symbol" w:hAnsi="Symbol"/>
          <w:lang w:eastAsia="zh-CN"/>
        </w:rPr>
        <w:tab/>
      </w:r>
      <w:r w:rsidR="00EE604E">
        <w:rPr>
          <w:rFonts w:ascii="Symbol" w:hAnsi="Symbol"/>
          <w:lang w:eastAsia="zh-CN"/>
        </w:rPr>
        <w:t>此外，结论认为笔译流程和内部翻译</w:t>
      </w:r>
      <w:r w:rsidR="007E143E">
        <w:rPr>
          <w:rFonts w:ascii="Symbol" w:hAnsi="Symbol"/>
          <w:lang w:eastAsia="zh-CN"/>
        </w:rPr>
        <w:t>人员数</w:t>
      </w:r>
      <w:r w:rsidR="00EE604E">
        <w:rPr>
          <w:rFonts w:ascii="Symbol" w:hAnsi="Symbol"/>
          <w:lang w:eastAsia="zh-CN"/>
        </w:rPr>
        <w:t>量</w:t>
      </w:r>
      <w:r w:rsidR="007E143E">
        <w:rPr>
          <w:rFonts w:ascii="Symbol" w:hAnsi="Symbol"/>
          <w:lang w:eastAsia="zh-CN"/>
        </w:rPr>
        <w:t>有些方面仍</w:t>
      </w:r>
      <w:r w:rsidR="00EE604E">
        <w:rPr>
          <w:rFonts w:ascii="Symbol" w:hAnsi="Symbol"/>
          <w:lang w:eastAsia="zh-CN"/>
        </w:rPr>
        <w:t>需</w:t>
      </w:r>
      <w:r w:rsidR="007E143E">
        <w:rPr>
          <w:rFonts w:ascii="Symbol" w:hAnsi="Symbol"/>
          <w:lang w:eastAsia="zh-CN"/>
        </w:rPr>
        <w:t>完善</w:t>
      </w:r>
      <w:r w:rsidR="00EE604E">
        <w:rPr>
          <w:rFonts w:ascii="Symbol" w:hAnsi="Symbol"/>
          <w:lang w:eastAsia="zh-CN"/>
        </w:rPr>
        <w:t>。内部审计建议根据中期的实际情况，</w:t>
      </w:r>
      <w:r w:rsidR="000C1A5A">
        <w:rPr>
          <w:rFonts w:ascii="Symbol" w:hAnsi="Symbol" w:hint="eastAsia"/>
          <w:lang w:eastAsia="zh-CN"/>
        </w:rPr>
        <w:t>考虑</w:t>
      </w:r>
      <w:r w:rsidR="00EE604E">
        <w:rPr>
          <w:rFonts w:ascii="Symbol" w:hAnsi="Symbol"/>
          <w:lang w:eastAsia="zh-CN"/>
        </w:rPr>
        <w:t>对</w:t>
      </w:r>
      <w:r w:rsidR="00EE604E" w:rsidRPr="00EE604E">
        <w:rPr>
          <w:rFonts w:ascii="Symbol" w:hAnsi="Symbol"/>
          <w:lang w:eastAsia="zh-CN"/>
        </w:rPr>
        <w:t>各语文科</w:t>
      </w:r>
      <w:r w:rsidR="00EE604E">
        <w:rPr>
          <w:rFonts w:ascii="Symbol" w:hAnsi="Symbol"/>
          <w:lang w:eastAsia="zh-CN"/>
        </w:rPr>
        <w:t>的结构做出调整。此外，应考虑临时人员的预算划拨问题。相关管理人员</w:t>
      </w:r>
      <w:r w:rsidR="000C1A5A">
        <w:rPr>
          <w:rFonts w:ascii="Symbol" w:hAnsi="Symbol" w:hint="eastAsia"/>
          <w:lang w:eastAsia="zh-CN"/>
        </w:rPr>
        <w:t>表示</w:t>
      </w:r>
      <w:r w:rsidR="000C1A5A">
        <w:rPr>
          <w:rFonts w:ascii="Symbol" w:hAnsi="Symbol"/>
          <w:lang w:eastAsia="zh-CN"/>
        </w:rPr>
        <w:t>，正在努力</w:t>
      </w:r>
      <w:r w:rsidR="000C1A5A">
        <w:rPr>
          <w:rFonts w:ascii="Symbol" w:hAnsi="Symbol" w:hint="eastAsia"/>
          <w:lang w:eastAsia="zh-CN"/>
        </w:rPr>
        <w:t>完</w:t>
      </w:r>
      <w:r w:rsidR="00EE604E">
        <w:rPr>
          <w:rFonts w:ascii="Symbol" w:hAnsi="Symbol"/>
          <w:lang w:eastAsia="zh-CN"/>
        </w:rPr>
        <w:t>善</w:t>
      </w:r>
      <w:r w:rsidR="00EE604E" w:rsidRPr="00EE604E">
        <w:rPr>
          <w:rFonts w:ascii="Symbol" w:hAnsi="Symbol"/>
          <w:lang w:eastAsia="zh-CN"/>
        </w:rPr>
        <w:t>各语文科</w:t>
      </w:r>
      <w:r w:rsidR="00EE604E">
        <w:rPr>
          <w:rFonts w:ascii="Symbol" w:hAnsi="Symbol"/>
          <w:lang w:eastAsia="zh-CN"/>
        </w:rPr>
        <w:t>的结构。</w:t>
      </w:r>
    </w:p>
    <w:p w:rsidR="00B12C30" w:rsidRPr="00A111B6" w:rsidRDefault="00B12C30" w:rsidP="00F26D4A">
      <w:pPr>
        <w:pStyle w:val="enumlev1"/>
        <w:rPr>
          <w:lang w:eastAsia="zh-CN"/>
        </w:rPr>
      </w:pPr>
      <w:r w:rsidRPr="00A111B6">
        <w:rPr>
          <w:rFonts w:ascii="Symbol" w:hAnsi="Symbol"/>
          <w:lang w:eastAsia="zh-CN"/>
        </w:rPr>
        <w:t></w:t>
      </w:r>
      <w:r w:rsidRPr="00A111B6">
        <w:rPr>
          <w:rFonts w:ascii="Symbol" w:hAnsi="Symbol"/>
          <w:lang w:eastAsia="zh-CN"/>
        </w:rPr>
        <w:tab/>
      </w:r>
      <w:r w:rsidR="00EE604E">
        <w:rPr>
          <w:rFonts w:hint="eastAsia"/>
          <w:lang w:eastAsia="zh-CN"/>
        </w:rPr>
        <w:t>此外，新兴技术等方面供应商的选择渠道不明确，</w:t>
      </w:r>
      <w:r w:rsidR="000C1A5A">
        <w:rPr>
          <w:rFonts w:hint="eastAsia"/>
          <w:lang w:eastAsia="zh-CN"/>
        </w:rPr>
        <w:t>而</w:t>
      </w:r>
      <w:r w:rsidR="00EE604E">
        <w:rPr>
          <w:rFonts w:hint="eastAsia"/>
          <w:lang w:eastAsia="zh-CN"/>
        </w:rPr>
        <w:t>且选用的许多笔译替代机制效果不佳。</w:t>
      </w:r>
      <w:r w:rsidR="00EE604E">
        <w:rPr>
          <w:rFonts w:asciiTheme="minorHAnsi" w:eastAsiaTheme="minorEastAsia" w:hAnsiTheme="minorHAnsi" w:cstheme="minorHAnsi" w:hint="eastAsia"/>
          <w:szCs w:val="24"/>
          <w:lang w:val="en-US" w:eastAsia="zh-CN"/>
        </w:rPr>
        <w:t>内部</w:t>
      </w:r>
      <w:r w:rsidR="00EE604E">
        <w:rPr>
          <w:rFonts w:asciiTheme="minorHAnsi" w:eastAsiaTheme="minorEastAsia" w:hAnsiTheme="minorHAnsi" w:cstheme="minorHAnsi"/>
          <w:szCs w:val="24"/>
          <w:lang w:val="en-US" w:eastAsia="zh-CN"/>
        </w:rPr>
        <w:t>审计</w:t>
      </w:r>
      <w:r w:rsidR="00EE604E">
        <w:rPr>
          <w:rFonts w:asciiTheme="minorHAnsi" w:eastAsiaTheme="minorEastAsia" w:hAnsiTheme="minorHAnsi" w:cstheme="minorHAnsi" w:hint="eastAsia"/>
          <w:szCs w:val="24"/>
          <w:lang w:val="en-US" w:eastAsia="zh-CN"/>
        </w:rPr>
        <w:t>建议</w:t>
      </w:r>
      <w:r w:rsidR="000C1A5A">
        <w:rPr>
          <w:rFonts w:asciiTheme="minorHAnsi" w:eastAsiaTheme="minorEastAsia" w:hAnsiTheme="minorHAnsi" w:cstheme="minorHAnsi" w:hint="eastAsia"/>
          <w:szCs w:val="24"/>
          <w:lang w:val="en-US" w:eastAsia="zh-CN"/>
        </w:rPr>
        <w:t>，考虑呼吁感兴趣的相关方参与替代</w:t>
      </w:r>
      <w:r w:rsidR="001732B8">
        <w:rPr>
          <w:rFonts w:asciiTheme="minorHAnsi" w:eastAsiaTheme="minorEastAsia" w:hAnsiTheme="minorHAnsi" w:cstheme="minorHAnsi" w:hint="eastAsia"/>
          <w:szCs w:val="24"/>
          <w:lang w:val="en-US" w:eastAsia="zh-CN"/>
        </w:rPr>
        <w:t>笔译机制的</w:t>
      </w:r>
      <w:r w:rsidR="000C1A5A">
        <w:rPr>
          <w:rFonts w:asciiTheme="minorHAnsi" w:eastAsiaTheme="minorEastAsia" w:hAnsiTheme="minorHAnsi" w:cstheme="minorHAnsi" w:hint="eastAsia"/>
          <w:szCs w:val="24"/>
          <w:lang w:val="en-US" w:eastAsia="zh-CN"/>
        </w:rPr>
        <w:t>选用</w:t>
      </w:r>
      <w:r w:rsidR="001732B8">
        <w:rPr>
          <w:rFonts w:asciiTheme="minorHAnsi" w:eastAsiaTheme="minorEastAsia" w:hAnsiTheme="minorHAnsi" w:cstheme="minorHAnsi" w:hint="eastAsia"/>
          <w:szCs w:val="24"/>
          <w:lang w:val="en-US" w:eastAsia="zh-CN"/>
        </w:rPr>
        <w:t>工作</w:t>
      </w:r>
      <w:r w:rsidR="001732B8">
        <w:rPr>
          <w:rFonts w:asciiTheme="minorHAnsi" w:eastAsiaTheme="minorEastAsia" w:hAnsiTheme="minorHAnsi" w:cstheme="minorHAnsi" w:hint="eastAsia"/>
          <w:szCs w:val="24"/>
          <w:lang w:val="en-US" w:eastAsia="zh-CN"/>
        </w:rPr>
        <w:t>/</w:t>
      </w:r>
      <w:r w:rsidR="000C1A5A">
        <w:rPr>
          <w:rFonts w:asciiTheme="minorHAnsi" w:eastAsiaTheme="minorEastAsia" w:hAnsiTheme="minorHAnsi" w:cstheme="minorHAnsi" w:hint="eastAsia"/>
          <w:szCs w:val="24"/>
          <w:lang w:val="en-US" w:eastAsia="zh-CN"/>
        </w:rPr>
        <w:t>替代</w:t>
      </w:r>
      <w:r w:rsidR="001732B8">
        <w:rPr>
          <w:rFonts w:asciiTheme="minorHAnsi" w:eastAsiaTheme="minorEastAsia" w:hAnsiTheme="minorHAnsi" w:cstheme="minorHAnsi" w:hint="eastAsia"/>
          <w:szCs w:val="24"/>
          <w:lang w:val="en-US" w:eastAsia="zh-CN"/>
        </w:rPr>
        <w:t>，以</w:t>
      </w:r>
      <w:r w:rsidR="000C1A5A">
        <w:rPr>
          <w:rFonts w:asciiTheme="minorHAnsi" w:eastAsiaTheme="minorEastAsia" w:hAnsiTheme="minorHAnsi" w:cstheme="minorHAnsi" w:hint="eastAsia"/>
          <w:szCs w:val="24"/>
          <w:lang w:val="en-US" w:eastAsia="zh-CN"/>
        </w:rPr>
        <w:t>替代之前</w:t>
      </w:r>
      <w:r w:rsidR="001732B8">
        <w:rPr>
          <w:rFonts w:asciiTheme="minorHAnsi" w:eastAsiaTheme="minorEastAsia" w:hAnsiTheme="minorHAnsi" w:cstheme="minorHAnsi" w:hint="eastAsia"/>
          <w:szCs w:val="24"/>
          <w:lang w:val="en-US" w:eastAsia="zh-CN"/>
        </w:rPr>
        <w:t>直接选择供应商的方式。大会和出版物部（</w:t>
      </w:r>
      <w:r w:rsidRPr="00A111B6">
        <w:rPr>
          <w:lang w:eastAsia="zh-CN"/>
        </w:rPr>
        <w:t>C&amp;P</w:t>
      </w:r>
      <w:r w:rsidR="000C1A5A">
        <w:rPr>
          <w:rFonts w:hint="eastAsia"/>
          <w:lang w:eastAsia="zh-CN"/>
        </w:rPr>
        <w:t>）的管理层指出，该部</w:t>
      </w:r>
      <w:r w:rsidR="001732B8">
        <w:rPr>
          <w:rFonts w:hint="eastAsia"/>
          <w:lang w:eastAsia="zh-CN"/>
        </w:rPr>
        <w:t>正在进行招标且预计此项工作将于</w:t>
      </w:r>
      <w:r w:rsidR="001732B8">
        <w:rPr>
          <w:rFonts w:hint="eastAsia"/>
          <w:lang w:eastAsia="zh-CN"/>
        </w:rPr>
        <w:t>2019</w:t>
      </w:r>
      <w:r w:rsidR="001732B8">
        <w:rPr>
          <w:rFonts w:hint="eastAsia"/>
          <w:lang w:eastAsia="zh-CN"/>
        </w:rPr>
        <w:t>年第</w:t>
      </w:r>
      <w:r w:rsidR="001732B8">
        <w:rPr>
          <w:rFonts w:hint="eastAsia"/>
          <w:lang w:eastAsia="zh-CN"/>
        </w:rPr>
        <w:t>1</w:t>
      </w:r>
      <w:r w:rsidR="001732B8">
        <w:rPr>
          <w:rFonts w:hint="eastAsia"/>
          <w:lang w:eastAsia="zh-CN"/>
        </w:rPr>
        <w:t>季度完成。</w:t>
      </w:r>
    </w:p>
    <w:p w:rsidR="00B12C30" w:rsidRPr="00A111B6" w:rsidRDefault="001732B8" w:rsidP="00B12C30">
      <w:pPr>
        <w:ind w:firstLineChars="200" w:firstLine="480"/>
        <w:rPr>
          <w:lang w:eastAsia="zh-CN"/>
        </w:rPr>
      </w:pPr>
      <w:r>
        <w:rPr>
          <w:rFonts w:hint="eastAsia"/>
          <w:lang w:eastAsia="zh-CN"/>
        </w:rPr>
        <w:t>内部审计于</w:t>
      </w:r>
      <w:r>
        <w:rPr>
          <w:rFonts w:hint="eastAsia"/>
          <w:lang w:eastAsia="zh-CN"/>
        </w:rPr>
        <w:t>2019</w:t>
      </w:r>
      <w:r>
        <w:rPr>
          <w:rFonts w:hint="eastAsia"/>
          <w:lang w:eastAsia="zh-CN"/>
        </w:rPr>
        <w:t>年初进行的跟进发现，上述工作的预计完成时间已推后至</w:t>
      </w:r>
      <w:r>
        <w:rPr>
          <w:rFonts w:hint="eastAsia"/>
          <w:lang w:eastAsia="zh-CN"/>
        </w:rPr>
        <w:t>2019</w:t>
      </w:r>
      <w:r>
        <w:rPr>
          <w:rFonts w:hint="eastAsia"/>
          <w:lang w:eastAsia="zh-CN"/>
        </w:rPr>
        <w:t>年底。</w:t>
      </w:r>
    </w:p>
    <w:p w:rsidR="00867E08" w:rsidRDefault="00924A6D" w:rsidP="001732B8">
      <w:pPr>
        <w:tabs>
          <w:tab w:val="clear" w:pos="794"/>
          <w:tab w:val="clear" w:pos="1191"/>
          <w:tab w:val="clear" w:pos="1588"/>
          <w:tab w:val="clear" w:pos="1985"/>
        </w:tabs>
        <w:snapToGrid w:val="0"/>
        <w:spacing w:after="120"/>
        <w:jc w:val="both"/>
        <w:rPr>
          <w:lang w:eastAsia="zh-CN"/>
        </w:rPr>
      </w:pPr>
      <w:r>
        <w:rPr>
          <w:rFonts w:asciiTheme="minorHAnsi" w:hAnsiTheme="minorHAnsi" w:cstheme="minorHAnsi"/>
          <w:szCs w:val="24"/>
          <w:lang w:val="en-US" w:eastAsia="zh-CN"/>
        </w:rPr>
        <w:lastRenderedPageBreak/>
        <w:t>10</w:t>
      </w:r>
      <w:r>
        <w:rPr>
          <w:rFonts w:asciiTheme="minorHAnsi" w:hAnsiTheme="minorHAnsi" w:cstheme="minorHAnsi"/>
          <w:szCs w:val="24"/>
          <w:lang w:val="en-US" w:eastAsia="zh-CN"/>
        </w:rPr>
        <w:tab/>
      </w:r>
      <w:r w:rsidR="00694E26">
        <w:rPr>
          <w:rFonts w:hint="eastAsia"/>
          <w:lang w:eastAsia="zh-CN"/>
        </w:rPr>
        <w:t>总体</w:t>
      </w:r>
      <w:r w:rsidR="00A627D1" w:rsidRPr="00A627D1">
        <w:rPr>
          <w:rFonts w:hint="eastAsia"/>
          <w:lang w:eastAsia="zh-CN"/>
        </w:rPr>
        <w:t>而言，</w:t>
      </w:r>
      <w:r w:rsidR="006E7CE7">
        <w:rPr>
          <w:rFonts w:hint="eastAsia"/>
          <w:lang w:eastAsia="zh-CN"/>
        </w:rPr>
        <w:t>内部</w:t>
      </w:r>
      <w:r w:rsidR="00694E26">
        <w:rPr>
          <w:lang w:eastAsia="zh-CN"/>
        </w:rPr>
        <w:t>审计</w:t>
      </w:r>
      <w:r w:rsidR="00694E26">
        <w:rPr>
          <w:rFonts w:hint="eastAsia"/>
          <w:lang w:eastAsia="zh-CN"/>
        </w:rPr>
        <w:t>处</w:t>
      </w:r>
      <w:r w:rsidR="00A627D1" w:rsidRPr="00A627D1">
        <w:rPr>
          <w:rFonts w:hint="eastAsia"/>
          <w:lang w:eastAsia="zh-CN"/>
        </w:rPr>
        <w:t>认为</w:t>
      </w:r>
      <w:r w:rsidR="001732B8">
        <w:rPr>
          <w:rFonts w:hint="eastAsia"/>
          <w:lang w:eastAsia="zh-CN"/>
        </w:rPr>
        <w:t>笔译工作的风险管理</w:t>
      </w:r>
      <w:r w:rsidR="000C1A5A">
        <w:rPr>
          <w:rFonts w:hint="eastAsia"/>
          <w:lang w:eastAsia="zh-CN"/>
        </w:rPr>
        <w:t>适当</w:t>
      </w:r>
      <w:r w:rsidR="001732B8">
        <w:rPr>
          <w:rFonts w:hint="eastAsia"/>
          <w:lang w:eastAsia="zh-CN"/>
        </w:rPr>
        <w:t>，</w:t>
      </w:r>
      <w:r w:rsidR="000C1A5A">
        <w:rPr>
          <w:rFonts w:hint="eastAsia"/>
          <w:lang w:eastAsia="zh-CN"/>
        </w:rPr>
        <w:t>而且</w:t>
      </w:r>
      <w:r w:rsidR="001732B8">
        <w:rPr>
          <w:rFonts w:hint="eastAsia"/>
          <w:lang w:eastAsia="zh-CN"/>
        </w:rPr>
        <w:t>资源的使用合理、有效且经济。管理流程和内部控制</w:t>
      </w:r>
      <w:r w:rsidR="00E93F1A">
        <w:rPr>
          <w:rFonts w:hint="eastAsia"/>
          <w:lang w:eastAsia="zh-CN"/>
        </w:rPr>
        <w:t>基本完善，但在政策、程序以及内部笔译</w:t>
      </w:r>
      <w:r w:rsidR="000C1A5A">
        <w:rPr>
          <w:rFonts w:hint="eastAsia"/>
          <w:lang w:eastAsia="zh-CN"/>
        </w:rPr>
        <w:t>人员数</w:t>
      </w:r>
      <w:r w:rsidR="00E93F1A">
        <w:rPr>
          <w:rFonts w:hint="eastAsia"/>
          <w:lang w:eastAsia="zh-CN"/>
        </w:rPr>
        <w:t>量的</w:t>
      </w:r>
      <w:r w:rsidR="000C1A5A">
        <w:rPr>
          <w:rFonts w:hint="eastAsia"/>
          <w:lang w:eastAsia="zh-CN"/>
        </w:rPr>
        <w:t>一</w:t>
      </w:r>
      <w:r w:rsidR="00E93F1A">
        <w:rPr>
          <w:rFonts w:hint="eastAsia"/>
          <w:lang w:eastAsia="zh-CN"/>
        </w:rPr>
        <w:t>些方面尚需改进。如果这些领域的问题得到妥善处理，则可向秘书长做出合理保证</w:t>
      </w:r>
      <w:r w:rsidR="00656121">
        <w:rPr>
          <w:rFonts w:hint="eastAsia"/>
          <w:lang w:eastAsia="zh-CN"/>
        </w:rPr>
        <w:t>：</w:t>
      </w:r>
      <w:r w:rsidR="00E93F1A">
        <w:rPr>
          <w:rFonts w:hint="eastAsia"/>
          <w:lang w:eastAsia="zh-CN"/>
        </w:rPr>
        <w:t>笔译工作的</w:t>
      </w:r>
      <w:r w:rsidR="00E93F1A">
        <w:rPr>
          <w:rFonts w:hint="eastAsia"/>
          <w:lang w:val="en-US" w:eastAsia="zh-CN"/>
        </w:rPr>
        <w:t>管理和风险管控完备有效。</w:t>
      </w:r>
    </w:p>
    <w:p w:rsidR="006C5D55" w:rsidRPr="00392333" w:rsidRDefault="00DE6701" w:rsidP="00112C16">
      <w:pPr>
        <w:pStyle w:val="Headingb"/>
        <w:rPr>
          <w:rFonts w:asciiTheme="minorHAnsi" w:hAnsiTheme="minorHAnsi" w:cstheme="minorHAnsi"/>
          <w:lang w:eastAsia="zh-CN"/>
        </w:rPr>
      </w:pPr>
      <w:bookmarkStart w:id="5" w:name="lt_pId086"/>
      <w:bookmarkEnd w:id="4"/>
      <w:r w:rsidRPr="00112C16">
        <w:rPr>
          <w:lang w:eastAsia="zh-CN"/>
        </w:rPr>
        <w:t>B</w:t>
      </w:r>
      <w:r w:rsidR="00E61C94" w:rsidRPr="00112C16">
        <w:rPr>
          <w:lang w:eastAsia="zh-CN"/>
        </w:rPr>
        <w:tab/>
      </w:r>
      <w:r w:rsidR="00E93F1A" w:rsidRPr="00112C16">
        <w:rPr>
          <w:rFonts w:hint="eastAsia"/>
          <w:lang w:eastAsia="zh-CN"/>
        </w:rPr>
        <w:t>加班安排</w:t>
      </w:r>
      <w:r w:rsidR="006C5D55" w:rsidRPr="00112C16">
        <w:rPr>
          <w:lang w:eastAsia="zh-CN"/>
        </w:rPr>
        <w:t>的审计</w:t>
      </w:r>
      <w:bookmarkEnd w:id="5"/>
    </w:p>
    <w:p w:rsidR="00DE6701" w:rsidRPr="00C46DFF" w:rsidRDefault="008A3374" w:rsidP="00DE6701">
      <w:pPr>
        <w:tabs>
          <w:tab w:val="clear" w:pos="794"/>
          <w:tab w:val="clear" w:pos="1191"/>
          <w:tab w:val="clear" w:pos="1588"/>
          <w:tab w:val="clear" w:pos="1985"/>
        </w:tabs>
        <w:snapToGrid w:val="0"/>
        <w:spacing w:after="120"/>
        <w:jc w:val="both"/>
        <w:rPr>
          <w:rFonts w:asciiTheme="minorHAnsi" w:hAnsiTheme="minorHAnsi" w:cstheme="minorHAnsi"/>
          <w:szCs w:val="24"/>
          <w:lang w:val="en-US" w:eastAsia="zh-CN"/>
        </w:rPr>
      </w:pPr>
      <w:r>
        <w:rPr>
          <w:rFonts w:asciiTheme="minorHAnsi" w:eastAsiaTheme="minorEastAsia" w:hAnsiTheme="minorHAnsi" w:cstheme="minorHAnsi"/>
          <w:szCs w:val="24"/>
          <w:lang w:val="en-US" w:eastAsia="zh-CN"/>
        </w:rPr>
        <w:t>11</w:t>
      </w:r>
      <w:r w:rsidR="00DE6701" w:rsidRPr="00A111B6">
        <w:rPr>
          <w:rFonts w:asciiTheme="minorHAnsi" w:eastAsiaTheme="minorEastAsia" w:hAnsiTheme="minorHAnsi" w:cstheme="minorHAnsi"/>
          <w:szCs w:val="24"/>
          <w:lang w:val="en-US" w:eastAsia="zh-CN"/>
        </w:rPr>
        <w:tab/>
      </w:r>
      <w:r w:rsidR="00DE6701" w:rsidRPr="00C46DFF">
        <w:rPr>
          <w:rFonts w:asciiTheme="minorHAnsi" w:hAnsiTheme="minorHAnsi" w:cstheme="minorHAnsi"/>
          <w:szCs w:val="24"/>
          <w:lang w:val="en-US" w:eastAsia="zh-CN"/>
        </w:rPr>
        <w:t>IA</w:t>
      </w:r>
      <w:r w:rsidR="00E93F1A">
        <w:rPr>
          <w:rFonts w:asciiTheme="minorHAnsi" w:hAnsiTheme="minorHAnsi" w:cstheme="minorHAnsi" w:hint="eastAsia"/>
          <w:szCs w:val="24"/>
          <w:lang w:val="en-US" w:eastAsia="zh-CN"/>
        </w:rPr>
        <w:t>审计了国际电联</w:t>
      </w:r>
      <w:r w:rsidR="00E93F1A">
        <w:rPr>
          <w:rFonts w:hint="eastAsia"/>
          <w:lang w:eastAsia="zh-CN"/>
        </w:rPr>
        <w:t>2015</w:t>
      </w:r>
      <w:r w:rsidR="00E93F1A">
        <w:rPr>
          <w:rFonts w:hint="eastAsia"/>
          <w:lang w:eastAsia="zh-CN"/>
        </w:rPr>
        <w:t>年</w:t>
      </w:r>
      <w:r w:rsidR="00E93F1A">
        <w:rPr>
          <w:rFonts w:hint="eastAsia"/>
          <w:lang w:eastAsia="zh-CN"/>
        </w:rPr>
        <w:t>1</w:t>
      </w:r>
      <w:r w:rsidR="00E93F1A">
        <w:rPr>
          <w:rFonts w:hint="eastAsia"/>
          <w:lang w:eastAsia="zh-CN"/>
        </w:rPr>
        <w:t>月</w:t>
      </w:r>
      <w:r w:rsidR="00E93F1A">
        <w:rPr>
          <w:lang w:eastAsia="zh-CN"/>
        </w:rPr>
        <w:t>至</w:t>
      </w:r>
      <w:r w:rsidR="00E93F1A">
        <w:rPr>
          <w:rFonts w:hint="eastAsia"/>
          <w:lang w:eastAsia="zh-CN"/>
        </w:rPr>
        <w:t>2018</w:t>
      </w:r>
      <w:r w:rsidR="00E93F1A">
        <w:rPr>
          <w:rFonts w:hint="eastAsia"/>
          <w:lang w:eastAsia="zh-CN"/>
        </w:rPr>
        <w:t>年</w:t>
      </w:r>
      <w:r w:rsidR="00E93F1A">
        <w:rPr>
          <w:rFonts w:hint="eastAsia"/>
          <w:lang w:eastAsia="zh-CN"/>
        </w:rPr>
        <w:t>4</w:t>
      </w:r>
      <w:r w:rsidR="00E93F1A">
        <w:rPr>
          <w:rFonts w:hint="eastAsia"/>
          <w:lang w:eastAsia="zh-CN"/>
        </w:rPr>
        <w:t>月</w:t>
      </w:r>
      <w:r w:rsidR="00E93F1A">
        <w:rPr>
          <w:lang w:eastAsia="zh-CN"/>
        </w:rPr>
        <w:t>的</w:t>
      </w:r>
      <w:r w:rsidR="00E93F1A">
        <w:rPr>
          <w:rFonts w:hint="eastAsia"/>
          <w:lang w:eastAsia="zh-CN"/>
        </w:rPr>
        <w:t>加班安排</w:t>
      </w:r>
      <w:r w:rsidR="00E93F1A">
        <w:rPr>
          <w:lang w:eastAsia="zh-CN"/>
        </w:rPr>
        <w:t>情况</w:t>
      </w:r>
      <w:r w:rsidR="00E93F1A">
        <w:rPr>
          <w:rFonts w:hint="eastAsia"/>
          <w:lang w:eastAsia="zh-CN"/>
        </w:rPr>
        <w:t>。此次审计审查了有关加班政策、授权</w:t>
      </w:r>
      <w:r w:rsidR="00E56B21">
        <w:rPr>
          <w:rFonts w:hint="eastAsia"/>
          <w:lang w:eastAsia="zh-CN"/>
        </w:rPr>
        <w:t>流程</w:t>
      </w:r>
      <w:r w:rsidR="00E93F1A">
        <w:rPr>
          <w:rFonts w:hint="eastAsia"/>
          <w:lang w:eastAsia="zh-CN"/>
        </w:rPr>
        <w:t>、加班程序、合规，以及加班</w:t>
      </w:r>
      <w:r w:rsidR="00D26C96">
        <w:rPr>
          <w:rFonts w:hint="eastAsia"/>
          <w:lang w:eastAsia="zh-CN"/>
        </w:rPr>
        <w:t>所带来的</w:t>
      </w:r>
      <w:r w:rsidR="00E93F1A">
        <w:rPr>
          <w:rFonts w:hint="eastAsia"/>
          <w:lang w:eastAsia="zh-CN"/>
        </w:rPr>
        <w:t>效益</w:t>
      </w:r>
      <w:r w:rsidR="00E56B21">
        <w:rPr>
          <w:rFonts w:hint="eastAsia"/>
          <w:lang w:eastAsia="zh-CN"/>
        </w:rPr>
        <w:t>和加班效率等</w:t>
      </w:r>
      <w:r w:rsidR="00D26C96">
        <w:rPr>
          <w:rFonts w:hint="eastAsia"/>
          <w:lang w:eastAsia="zh-CN"/>
        </w:rPr>
        <w:t>情况。</w:t>
      </w:r>
    </w:p>
    <w:p w:rsidR="00A627D1" w:rsidRPr="00F259FE" w:rsidRDefault="00DE6701" w:rsidP="00392333">
      <w:pPr>
        <w:rPr>
          <w:lang w:val="en-US" w:eastAsia="zh-CN"/>
        </w:rPr>
      </w:pPr>
      <w:bookmarkStart w:id="6" w:name="lt_pId093"/>
      <w:r>
        <w:rPr>
          <w:lang w:val="en-US" w:eastAsia="zh-CN"/>
        </w:rPr>
        <w:t>1</w:t>
      </w:r>
      <w:r w:rsidR="00A627D1" w:rsidRPr="00A627D1">
        <w:rPr>
          <w:rFonts w:hint="eastAsia"/>
          <w:lang w:val="en-US" w:eastAsia="zh-CN"/>
        </w:rPr>
        <w:t>2</w:t>
      </w:r>
      <w:r w:rsidR="00A627D1" w:rsidRPr="00A627D1">
        <w:rPr>
          <w:lang w:val="en-US" w:eastAsia="zh-CN"/>
        </w:rPr>
        <w:tab/>
      </w:r>
      <w:r w:rsidR="00F93A1A">
        <w:rPr>
          <w:rFonts w:hint="eastAsia"/>
          <w:lang w:val="en-US" w:eastAsia="zh-CN"/>
        </w:rPr>
        <w:t>内部审计处</w:t>
      </w:r>
      <w:r w:rsidR="008322FC">
        <w:rPr>
          <w:rFonts w:hint="eastAsia"/>
          <w:lang w:val="en-US" w:eastAsia="zh-CN"/>
        </w:rPr>
        <w:t>得出</w:t>
      </w:r>
      <w:r w:rsidR="008322FC">
        <w:rPr>
          <w:lang w:val="en-US" w:eastAsia="zh-CN"/>
        </w:rPr>
        <w:t>结论，下列问题为具有高度优先性的问题：</w:t>
      </w:r>
    </w:p>
    <w:bookmarkEnd w:id="6"/>
    <w:p w:rsidR="005C781B" w:rsidRPr="00A111B6" w:rsidRDefault="005C781B" w:rsidP="00E7395A">
      <w:pPr>
        <w:pStyle w:val="enumlev1"/>
        <w:rPr>
          <w:lang w:eastAsia="zh-CN"/>
        </w:rPr>
      </w:pPr>
      <w:r w:rsidRPr="00A111B6">
        <w:rPr>
          <w:rFonts w:ascii="Symbol" w:hAnsi="Symbol"/>
          <w:lang w:eastAsia="zh-CN"/>
        </w:rPr>
        <w:t></w:t>
      </w:r>
      <w:r w:rsidRPr="00A111B6">
        <w:rPr>
          <w:rFonts w:ascii="Symbol" w:hAnsi="Symbol"/>
          <w:lang w:eastAsia="zh-CN"/>
        </w:rPr>
        <w:tab/>
      </w:r>
      <w:r w:rsidR="00E56B21">
        <w:rPr>
          <w:rFonts w:hint="eastAsia"/>
          <w:lang w:eastAsia="zh-CN"/>
        </w:rPr>
        <w:t>由于缺少</w:t>
      </w:r>
      <w:r w:rsidR="00176E7D">
        <w:rPr>
          <w:rFonts w:hint="eastAsia"/>
          <w:lang w:eastAsia="zh-CN"/>
        </w:rPr>
        <w:t>大工作量时段</w:t>
      </w:r>
      <w:r w:rsidR="00E56B21">
        <w:rPr>
          <w:rFonts w:hint="eastAsia"/>
          <w:lang w:eastAsia="zh-CN"/>
        </w:rPr>
        <w:t>的</w:t>
      </w:r>
      <w:r w:rsidR="00176E7D">
        <w:rPr>
          <w:rFonts w:hint="eastAsia"/>
          <w:lang w:eastAsia="zh-CN"/>
        </w:rPr>
        <w:t>管理程序、指南和培训，导致加班资源使用不够经济且效率不高。建议</w:t>
      </w:r>
      <w:r w:rsidR="00E7395A">
        <w:rPr>
          <w:rFonts w:hint="eastAsia"/>
          <w:lang w:eastAsia="zh-CN"/>
        </w:rPr>
        <w:t>管理人员每季度进行</w:t>
      </w:r>
      <w:r w:rsidR="00176E7D">
        <w:rPr>
          <w:rFonts w:hint="eastAsia"/>
          <w:lang w:eastAsia="zh-CN"/>
        </w:rPr>
        <w:t>加班模式回顾，并</w:t>
      </w:r>
      <w:r w:rsidR="00E7395A">
        <w:rPr>
          <w:rFonts w:hint="eastAsia"/>
          <w:lang w:eastAsia="zh-CN"/>
        </w:rPr>
        <w:t>据</w:t>
      </w:r>
      <w:r w:rsidR="00176E7D">
        <w:rPr>
          <w:rFonts w:hint="eastAsia"/>
          <w:lang w:eastAsia="zh-CN"/>
        </w:rPr>
        <w:t>此对各单位</w:t>
      </w:r>
      <w:r w:rsidR="00176E7D">
        <w:rPr>
          <w:rFonts w:hint="eastAsia"/>
          <w:lang w:eastAsia="zh-CN"/>
        </w:rPr>
        <w:t>/</w:t>
      </w:r>
      <w:r w:rsidR="00176E7D">
        <w:rPr>
          <w:rFonts w:hint="eastAsia"/>
          <w:lang w:eastAsia="zh-CN"/>
        </w:rPr>
        <w:t>部门加班状况提出的建议。</w:t>
      </w:r>
    </w:p>
    <w:p w:rsidR="005C781B" w:rsidRPr="00A111B6" w:rsidRDefault="005C781B" w:rsidP="00E7395A">
      <w:pPr>
        <w:pStyle w:val="enumlev1"/>
        <w:rPr>
          <w:lang w:eastAsia="zh-CN"/>
        </w:rPr>
      </w:pPr>
      <w:r w:rsidRPr="00A111B6">
        <w:rPr>
          <w:rFonts w:ascii="Symbol" w:hAnsi="Symbol"/>
          <w:lang w:eastAsia="zh-CN"/>
        </w:rPr>
        <w:t></w:t>
      </w:r>
      <w:r w:rsidRPr="00A111B6">
        <w:rPr>
          <w:rFonts w:ascii="Symbol" w:hAnsi="Symbol"/>
          <w:lang w:eastAsia="zh-CN"/>
        </w:rPr>
        <w:tab/>
      </w:r>
      <w:r w:rsidR="00176E7D">
        <w:rPr>
          <w:rFonts w:hint="eastAsia"/>
          <w:lang w:eastAsia="zh-CN"/>
        </w:rPr>
        <w:t>此外，审计</w:t>
      </w:r>
      <w:r w:rsidR="00E7395A">
        <w:rPr>
          <w:rFonts w:hint="eastAsia"/>
          <w:lang w:eastAsia="zh-CN"/>
        </w:rPr>
        <w:t>还得出</w:t>
      </w:r>
      <w:r w:rsidR="00176E7D">
        <w:rPr>
          <w:rFonts w:hint="eastAsia"/>
          <w:lang w:eastAsia="zh-CN"/>
        </w:rPr>
        <w:t>结论</w:t>
      </w:r>
      <w:r w:rsidR="00E7395A">
        <w:rPr>
          <w:rFonts w:hint="eastAsia"/>
          <w:lang w:eastAsia="zh-CN"/>
        </w:rPr>
        <w:t>，</w:t>
      </w:r>
      <w:r w:rsidR="00176E7D">
        <w:rPr>
          <w:rFonts w:hint="eastAsia"/>
          <w:lang w:eastAsia="zh-CN"/>
        </w:rPr>
        <w:t>每月最多</w:t>
      </w:r>
      <w:r w:rsidR="00176E7D">
        <w:rPr>
          <w:rFonts w:hint="eastAsia"/>
          <w:lang w:eastAsia="zh-CN"/>
        </w:rPr>
        <w:t>40</w:t>
      </w:r>
      <w:r w:rsidR="00176E7D">
        <w:rPr>
          <w:rFonts w:hint="eastAsia"/>
          <w:lang w:eastAsia="zh-CN"/>
        </w:rPr>
        <w:t>小时</w:t>
      </w:r>
      <w:r w:rsidR="00E7395A">
        <w:rPr>
          <w:rFonts w:hint="eastAsia"/>
          <w:lang w:eastAsia="zh-CN"/>
        </w:rPr>
        <w:t>加班、</w:t>
      </w:r>
      <w:r w:rsidR="00176E7D">
        <w:rPr>
          <w:rFonts w:hint="eastAsia"/>
          <w:lang w:eastAsia="zh-CN"/>
        </w:rPr>
        <w:t>每</w:t>
      </w:r>
      <w:r w:rsidR="00176E7D">
        <w:rPr>
          <w:rFonts w:hint="eastAsia"/>
          <w:lang w:eastAsia="zh-CN"/>
        </w:rPr>
        <w:t>24</w:t>
      </w:r>
      <w:r w:rsidR="00176E7D">
        <w:rPr>
          <w:rFonts w:hint="eastAsia"/>
          <w:lang w:eastAsia="zh-CN"/>
        </w:rPr>
        <w:t>小时最多</w:t>
      </w:r>
      <w:r w:rsidR="00176E7D">
        <w:rPr>
          <w:rFonts w:hint="eastAsia"/>
          <w:lang w:eastAsia="zh-CN"/>
        </w:rPr>
        <w:t>12</w:t>
      </w:r>
      <w:r w:rsidR="00176E7D">
        <w:rPr>
          <w:rFonts w:hint="eastAsia"/>
          <w:lang w:eastAsia="zh-CN"/>
        </w:rPr>
        <w:t>小时的加班政策有时并未得到贯彻。由于可不遵守政策的例外情况</w:t>
      </w:r>
      <w:r w:rsidR="00E7395A">
        <w:rPr>
          <w:rFonts w:hint="eastAsia"/>
          <w:lang w:eastAsia="zh-CN"/>
        </w:rPr>
        <w:t>没有明确定义</w:t>
      </w:r>
      <w:r w:rsidR="00176E7D">
        <w:rPr>
          <w:rFonts w:hint="eastAsia"/>
          <w:lang w:eastAsia="zh-CN"/>
        </w:rPr>
        <w:t>，因此导致相关政策和</w:t>
      </w:r>
      <w:r w:rsidR="00E7395A">
        <w:rPr>
          <w:rFonts w:hint="eastAsia"/>
          <w:lang w:eastAsia="zh-CN"/>
        </w:rPr>
        <w:t>流程</w:t>
      </w:r>
      <w:r w:rsidR="00176E7D">
        <w:rPr>
          <w:rFonts w:hint="eastAsia"/>
          <w:lang w:eastAsia="zh-CN"/>
        </w:rPr>
        <w:t>得不到执行。结论建议，</w:t>
      </w:r>
      <w:r w:rsidR="00E7395A">
        <w:rPr>
          <w:rFonts w:hint="eastAsia"/>
          <w:lang w:eastAsia="zh-CN"/>
        </w:rPr>
        <w:t>出于</w:t>
      </w:r>
      <w:r w:rsidR="00EB60F6">
        <w:rPr>
          <w:rFonts w:hint="eastAsia"/>
          <w:lang w:eastAsia="zh-CN"/>
        </w:rPr>
        <w:t>对</w:t>
      </w:r>
      <w:r w:rsidR="00176E7D">
        <w:rPr>
          <w:rFonts w:hint="eastAsia"/>
          <w:lang w:eastAsia="zh-CN"/>
        </w:rPr>
        <w:t>员工的健康和安全</w:t>
      </w:r>
      <w:r w:rsidR="00E7395A">
        <w:rPr>
          <w:rFonts w:hint="eastAsia"/>
          <w:lang w:eastAsia="zh-CN"/>
        </w:rPr>
        <w:t>考虑</w:t>
      </w:r>
      <w:r w:rsidR="00176E7D">
        <w:rPr>
          <w:rFonts w:hint="eastAsia"/>
          <w:lang w:eastAsia="zh-CN"/>
        </w:rPr>
        <w:t>，应当执行上述限制。</w:t>
      </w:r>
    </w:p>
    <w:p w:rsidR="005C781B" w:rsidRPr="00D26C96" w:rsidRDefault="00D26C96" w:rsidP="00561137">
      <w:pPr>
        <w:ind w:firstLineChars="200" w:firstLine="480"/>
        <w:rPr>
          <w:lang w:val="en-US" w:eastAsia="zh-CN"/>
        </w:rPr>
      </w:pPr>
      <w:r w:rsidRPr="00D26C96">
        <w:rPr>
          <w:rFonts w:hint="eastAsia"/>
          <w:lang w:val="en-US" w:eastAsia="zh-CN"/>
        </w:rPr>
        <w:t>人力资源管理部（</w:t>
      </w:r>
      <w:r w:rsidRPr="00D26C96">
        <w:rPr>
          <w:rFonts w:hint="eastAsia"/>
          <w:lang w:val="en-US" w:eastAsia="zh-CN"/>
        </w:rPr>
        <w:t>HRMD</w:t>
      </w:r>
      <w:r w:rsidRPr="00D26C96">
        <w:rPr>
          <w:rFonts w:hint="eastAsia"/>
          <w:lang w:val="en-US" w:eastAsia="zh-CN"/>
        </w:rPr>
        <w:t>）</w:t>
      </w:r>
      <w:r w:rsidR="00E7395A">
        <w:rPr>
          <w:rFonts w:hint="eastAsia"/>
          <w:lang w:val="en-US" w:eastAsia="zh-CN"/>
        </w:rPr>
        <w:t>管理层</w:t>
      </w:r>
      <w:r w:rsidRPr="00D26C96">
        <w:rPr>
          <w:rFonts w:hint="eastAsia"/>
          <w:lang w:val="en-US" w:eastAsia="zh-CN"/>
        </w:rPr>
        <w:t>接受了这些建议。</w:t>
      </w:r>
    </w:p>
    <w:p w:rsidR="005C781B" w:rsidRPr="00C46DFF" w:rsidRDefault="005C781B" w:rsidP="001205F7">
      <w:pPr>
        <w:pStyle w:val="ListParagraph"/>
        <w:tabs>
          <w:tab w:val="clear" w:pos="567"/>
          <w:tab w:val="clear" w:pos="1134"/>
          <w:tab w:val="clear" w:pos="1701"/>
          <w:tab w:val="clear" w:pos="2268"/>
          <w:tab w:val="clear" w:pos="2835"/>
        </w:tabs>
        <w:overflowPunct/>
        <w:autoSpaceDE/>
        <w:autoSpaceDN/>
        <w:snapToGrid w:val="0"/>
        <w:spacing w:after="120"/>
        <w:ind w:left="0"/>
        <w:contextualSpacing w:val="0"/>
        <w:jc w:val="both"/>
        <w:textAlignment w:val="auto"/>
        <w:rPr>
          <w:rFonts w:asciiTheme="minorHAnsi" w:hAnsiTheme="minorHAnsi" w:cstheme="minorHAnsi"/>
          <w:szCs w:val="24"/>
          <w:lang w:val="en-US" w:eastAsia="zh-CN"/>
        </w:rPr>
      </w:pPr>
      <w:r>
        <w:rPr>
          <w:rFonts w:eastAsia="SimSun" w:cs="Calibri"/>
          <w:color w:val="000000"/>
          <w:szCs w:val="24"/>
          <w:lang w:val="en-US" w:eastAsia="zh-CN"/>
        </w:rPr>
        <w:t>13</w:t>
      </w:r>
      <w:r w:rsidR="0097490A" w:rsidRPr="0097490A">
        <w:rPr>
          <w:rFonts w:eastAsia="SimSun" w:cs="Calibri"/>
          <w:color w:val="000000"/>
          <w:szCs w:val="24"/>
          <w:lang w:val="en-US" w:eastAsia="zh-CN"/>
        </w:rPr>
        <w:tab/>
      </w:r>
      <w:r w:rsidR="001205F7">
        <w:rPr>
          <w:rFonts w:eastAsia="SimSun" w:cs="Calibri" w:hint="eastAsia"/>
          <w:color w:val="000000"/>
          <w:szCs w:val="24"/>
          <w:lang w:val="en-US" w:eastAsia="zh-CN"/>
        </w:rPr>
        <w:t>总之</w:t>
      </w:r>
      <w:r w:rsidR="00E7395A">
        <w:rPr>
          <w:rFonts w:eastAsia="SimSun" w:cs="Calibri" w:hint="eastAsia"/>
          <w:color w:val="000000"/>
          <w:szCs w:val="24"/>
          <w:lang w:val="en-US" w:eastAsia="zh-CN"/>
        </w:rPr>
        <w:t>，</w:t>
      </w:r>
      <w:r w:rsidR="00647613">
        <w:rPr>
          <w:rFonts w:eastAsia="SimSun" w:cs="Calibri" w:hint="eastAsia"/>
          <w:color w:val="000000"/>
          <w:szCs w:val="24"/>
          <w:lang w:val="en-US" w:eastAsia="zh-CN"/>
        </w:rPr>
        <w:t>内部</w:t>
      </w:r>
      <w:r w:rsidR="0040712F">
        <w:rPr>
          <w:rFonts w:eastAsia="SimSun" w:cs="Calibri"/>
          <w:color w:val="000000"/>
          <w:szCs w:val="24"/>
          <w:lang w:val="en-US" w:eastAsia="zh-CN"/>
        </w:rPr>
        <w:t>审计</w:t>
      </w:r>
      <w:r w:rsidR="0040712F">
        <w:rPr>
          <w:rFonts w:eastAsia="SimSun" w:cs="Calibri" w:hint="eastAsia"/>
          <w:color w:val="000000"/>
          <w:szCs w:val="24"/>
          <w:lang w:val="en-US" w:eastAsia="zh-CN"/>
        </w:rPr>
        <w:t>处</w:t>
      </w:r>
      <w:r w:rsidR="0040712F">
        <w:rPr>
          <w:rFonts w:eastAsia="SimSun" w:cs="Calibri"/>
          <w:color w:val="000000"/>
          <w:szCs w:val="24"/>
          <w:lang w:val="en-US" w:eastAsia="zh-CN"/>
        </w:rPr>
        <w:t>的意见是，</w:t>
      </w:r>
      <w:r w:rsidR="001205F7">
        <w:rPr>
          <w:rFonts w:eastAsia="SimSun" w:cs="Calibri" w:hint="eastAsia"/>
          <w:color w:val="000000"/>
          <w:szCs w:val="24"/>
          <w:lang w:val="en-US" w:eastAsia="zh-CN"/>
        </w:rPr>
        <w:t>有关加班的管理程序已经过时且控制</w:t>
      </w:r>
      <w:r w:rsidR="0040712F">
        <w:rPr>
          <w:rFonts w:eastAsia="SimSun" w:cs="Calibri"/>
          <w:color w:val="000000"/>
          <w:szCs w:val="24"/>
          <w:lang w:val="en-US" w:eastAsia="zh-CN"/>
        </w:rPr>
        <w:t>机制</w:t>
      </w:r>
      <w:r w:rsidR="001205F7">
        <w:rPr>
          <w:rFonts w:eastAsia="SimSun" w:cs="Calibri" w:hint="eastAsia"/>
          <w:color w:val="000000"/>
          <w:szCs w:val="24"/>
          <w:lang w:val="en-US" w:eastAsia="zh-CN"/>
        </w:rPr>
        <w:t>也并不十分完善。内部</w:t>
      </w:r>
      <w:r w:rsidR="001205F7">
        <w:rPr>
          <w:rFonts w:eastAsia="SimSun" w:cs="Calibri"/>
          <w:color w:val="000000"/>
          <w:szCs w:val="24"/>
          <w:lang w:val="en-US" w:eastAsia="zh-CN"/>
        </w:rPr>
        <w:t>审计</w:t>
      </w:r>
      <w:r w:rsidR="001205F7">
        <w:rPr>
          <w:rFonts w:eastAsia="SimSun" w:cs="Calibri" w:hint="eastAsia"/>
          <w:color w:val="000000"/>
          <w:szCs w:val="24"/>
          <w:lang w:val="en-US" w:eastAsia="zh-CN"/>
        </w:rPr>
        <w:t>处认为</w:t>
      </w:r>
      <w:r w:rsidR="00E7395A">
        <w:rPr>
          <w:rFonts w:eastAsia="SimSun" w:cs="Calibri" w:hint="eastAsia"/>
          <w:color w:val="000000"/>
          <w:szCs w:val="24"/>
          <w:lang w:val="en-US" w:eastAsia="zh-CN"/>
        </w:rPr>
        <w:t>，</w:t>
      </w:r>
      <w:r w:rsidR="00647613">
        <w:rPr>
          <w:rFonts w:eastAsia="SimSun" w:cs="Calibri"/>
          <w:color w:val="000000"/>
          <w:szCs w:val="24"/>
          <w:lang w:val="en-US" w:eastAsia="zh-CN"/>
        </w:rPr>
        <w:t>风险管理</w:t>
      </w:r>
      <w:r w:rsidR="001205F7">
        <w:rPr>
          <w:rFonts w:eastAsia="SimSun" w:cs="Calibri" w:hint="eastAsia"/>
          <w:color w:val="000000"/>
          <w:szCs w:val="24"/>
          <w:lang w:val="en-US" w:eastAsia="zh-CN"/>
        </w:rPr>
        <w:t>资源的使用称不上经济高效。</w:t>
      </w:r>
      <w:r w:rsidR="00E7395A">
        <w:rPr>
          <w:rFonts w:eastAsia="SimSun" w:cs="Calibri" w:hint="eastAsia"/>
          <w:color w:val="000000"/>
          <w:szCs w:val="24"/>
          <w:lang w:val="en-US" w:eastAsia="zh-CN"/>
        </w:rPr>
        <w:t>因此</w:t>
      </w:r>
      <w:r w:rsidR="001205F7">
        <w:rPr>
          <w:rFonts w:eastAsia="SimSun" w:cs="Calibri" w:hint="eastAsia"/>
          <w:color w:val="000000"/>
          <w:szCs w:val="24"/>
          <w:lang w:val="en-US" w:eastAsia="zh-CN"/>
        </w:rPr>
        <w:t>需要在这些领域加以改进，</w:t>
      </w:r>
      <w:r w:rsidR="00656121">
        <w:rPr>
          <w:rFonts w:eastAsia="SimSun" w:cs="Calibri" w:hint="eastAsia"/>
          <w:color w:val="000000"/>
          <w:szCs w:val="24"/>
          <w:lang w:val="en-US" w:eastAsia="zh-CN"/>
        </w:rPr>
        <w:t>以便向</w:t>
      </w:r>
      <w:r w:rsidR="00656121" w:rsidRPr="00656121">
        <w:rPr>
          <w:rFonts w:eastAsia="SimSun" w:cs="Calibri" w:hint="eastAsia"/>
          <w:color w:val="000000"/>
          <w:szCs w:val="24"/>
          <w:lang w:val="en-US" w:eastAsia="zh-CN"/>
        </w:rPr>
        <w:t>秘书长做出合理保证</w:t>
      </w:r>
      <w:r w:rsidR="00656121">
        <w:rPr>
          <w:rFonts w:eastAsia="SimSun" w:cs="Calibri" w:hint="eastAsia"/>
          <w:color w:val="000000"/>
          <w:szCs w:val="24"/>
          <w:lang w:val="en-US" w:eastAsia="zh-CN"/>
        </w:rPr>
        <w:t>：加班安排的</w:t>
      </w:r>
      <w:r w:rsidR="00656121" w:rsidRPr="00656121">
        <w:rPr>
          <w:rFonts w:eastAsia="SimSun" w:cs="Calibri" w:hint="eastAsia"/>
          <w:color w:val="000000"/>
          <w:szCs w:val="24"/>
          <w:lang w:val="en-US" w:eastAsia="zh-CN"/>
        </w:rPr>
        <w:t>管理和风险管控完备有效。</w:t>
      </w:r>
    </w:p>
    <w:p w:rsidR="005C781B" w:rsidRPr="00A111B6" w:rsidRDefault="005C781B" w:rsidP="00112C16">
      <w:pPr>
        <w:pStyle w:val="Headingb"/>
        <w:rPr>
          <w:rFonts w:asciiTheme="minorHAnsi" w:hAnsiTheme="minorHAnsi" w:cstheme="minorHAnsi"/>
          <w:b w:val="0"/>
          <w:bCs/>
          <w:i/>
          <w:iCs/>
          <w:szCs w:val="24"/>
          <w:lang w:eastAsia="zh-CN"/>
        </w:rPr>
      </w:pPr>
      <w:r w:rsidRPr="00112C16">
        <w:rPr>
          <w:lang w:eastAsia="zh-CN"/>
        </w:rPr>
        <w:t>C.</w:t>
      </w:r>
      <w:r w:rsidRPr="00112C16">
        <w:rPr>
          <w:lang w:eastAsia="zh-CN"/>
        </w:rPr>
        <w:tab/>
      </w:r>
      <w:r w:rsidR="001205F7" w:rsidRPr="00112C16">
        <w:rPr>
          <w:rFonts w:hint="eastAsia"/>
          <w:lang w:eastAsia="zh-CN"/>
        </w:rPr>
        <w:t>员工证书</w:t>
      </w:r>
      <w:r w:rsidR="00E7395A" w:rsidRPr="00112C16">
        <w:rPr>
          <w:rFonts w:hint="eastAsia"/>
          <w:lang w:eastAsia="zh-CN"/>
        </w:rPr>
        <w:t>的核查</w:t>
      </w:r>
    </w:p>
    <w:p w:rsidR="005C781B" w:rsidRPr="00C46DFF" w:rsidRDefault="00822560" w:rsidP="005C781B">
      <w:pPr>
        <w:keepNext/>
        <w:tabs>
          <w:tab w:val="clear" w:pos="794"/>
          <w:tab w:val="clear" w:pos="1191"/>
          <w:tab w:val="clear" w:pos="1588"/>
          <w:tab w:val="clear" w:pos="1985"/>
        </w:tabs>
        <w:snapToGrid w:val="0"/>
        <w:spacing w:after="120"/>
        <w:jc w:val="both"/>
        <w:rPr>
          <w:rFonts w:asciiTheme="minorHAnsi" w:hAnsiTheme="minorHAnsi" w:cstheme="minorHAnsi"/>
          <w:szCs w:val="24"/>
          <w:lang w:val="en-US" w:eastAsia="zh-CN"/>
        </w:rPr>
      </w:pPr>
      <w:r>
        <w:rPr>
          <w:rFonts w:asciiTheme="minorHAnsi" w:eastAsiaTheme="minorEastAsia" w:hAnsiTheme="minorHAnsi" w:cstheme="minorHAnsi"/>
          <w:szCs w:val="24"/>
          <w:lang w:val="en-US" w:eastAsia="zh-CN"/>
        </w:rPr>
        <w:t>14</w:t>
      </w:r>
      <w:r w:rsidR="005C781B" w:rsidRPr="00A111B6">
        <w:rPr>
          <w:rFonts w:asciiTheme="minorHAnsi" w:eastAsiaTheme="minorEastAsia" w:hAnsiTheme="minorHAnsi" w:cstheme="minorHAnsi"/>
          <w:szCs w:val="24"/>
          <w:lang w:val="en-US" w:eastAsia="zh-CN"/>
        </w:rPr>
        <w:tab/>
      </w:r>
      <w:r w:rsidR="00B37CE3">
        <w:rPr>
          <w:rFonts w:cs="Calibri" w:hint="eastAsia"/>
          <w:color w:val="000000"/>
          <w:szCs w:val="24"/>
          <w:lang w:val="en-US" w:eastAsia="zh-CN"/>
        </w:rPr>
        <w:t>内部</w:t>
      </w:r>
      <w:r w:rsidR="00B37CE3">
        <w:rPr>
          <w:rFonts w:cs="Calibri"/>
          <w:color w:val="000000"/>
          <w:szCs w:val="24"/>
          <w:lang w:val="en-US" w:eastAsia="zh-CN"/>
        </w:rPr>
        <w:t>审计</w:t>
      </w:r>
      <w:r w:rsidR="00B37CE3">
        <w:rPr>
          <w:rFonts w:cs="Calibri" w:hint="eastAsia"/>
          <w:color w:val="000000"/>
          <w:szCs w:val="24"/>
          <w:lang w:val="en-US" w:eastAsia="zh-CN"/>
        </w:rPr>
        <w:t>处</w:t>
      </w:r>
      <w:r w:rsidR="00B37CE3">
        <w:rPr>
          <w:rFonts w:asciiTheme="minorHAnsi" w:hAnsiTheme="minorHAnsi" w:cstheme="minorHAnsi" w:hint="eastAsia"/>
          <w:szCs w:val="24"/>
          <w:lang w:val="en-US" w:eastAsia="zh-CN"/>
        </w:rPr>
        <w:t>核查了</w:t>
      </w:r>
      <w:r w:rsidR="00B37CE3">
        <w:rPr>
          <w:rFonts w:asciiTheme="minorHAnsi" w:hAnsiTheme="minorHAnsi" w:cstheme="minorHAnsi" w:hint="eastAsia"/>
          <w:szCs w:val="24"/>
          <w:lang w:val="en-US" w:eastAsia="zh-CN"/>
        </w:rPr>
        <w:t>2015</w:t>
      </w:r>
      <w:r w:rsidR="00B37CE3">
        <w:rPr>
          <w:rFonts w:asciiTheme="minorHAnsi" w:hAnsiTheme="minorHAnsi" w:cstheme="minorHAnsi" w:hint="eastAsia"/>
          <w:szCs w:val="24"/>
          <w:lang w:val="en-US" w:eastAsia="zh-CN"/>
        </w:rPr>
        <w:t>年</w:t>
      </w:r>
      <w:r w:rsidR="00B37CE3">
        <w:rPr>
          <w:rFonts w:asciiTheme="minorHAnsi" w:hAnsiTheme="minorHAnsi" w:cstheme="minorHAnsi" w:hint="eastAsia"/>
          <w:szCs w:val="24"/>
          <w:lang w:val="en-US" w:eastAsia="zh-CN"/>
        </w:rPr>
        <w:t>1</w:t>
      </w:r>
      <w:r w:rsidR="00B37CE3">
        <w:rPr>
          <w:rFonts w:asciiTheme="minorHAnsi" w:hAnsiTheme="minorHAnsi" w:cstheme="minorHAnsi" w:hint="eastAsia"/>
          <w:szCs w:val="24"/>
          <w:lang w:val="en-US" w:eastAsia="zh-CN"/>
        </w:rPr>
        <w:t>月至</w:t>
      </w:r>
      <w:r w:rsidR="00B37CE3">
        <w:rPr>
          <w:rFonts w:asciiTheme="minorHAnsi" w:hAnsiTheme="minorHAnsi" w:cstheme="minorHAnsi" w:hint="eastAsia"/>
          <w:szCs w:val="24"/>
          <w:lang w:val="en-US" w:eastAsia="zh-CN"/>
        </w:rPr>
        <w:t>2018</w:t>
      </w:r>
      <w:r w:rsidR="00B37CE3">
        <w:rPr>
          <w:rFonts w:asciiTheme="minorHAnsi" w:hAnsiTheme="minorHAnsi" w:cstheme="minorHAnsi" w:hint="eastAsia"/>
          <w:szCs w:val="24"/>
          <w:lang w:val="en-US" w:eastAsia="zh-CN"/>
        </w:rPr>
        <w:t>年</w:t>
      </w:r>
      <w:r w:rsidR="00B37CE3">
        <w:rPr>
          <w:rFonts w:asciiTheme="minorHAnsi" w:hAnsiTheme="minorHAnsi" w:cstheme="minorHAnsi" w:hint="eastAsia"/>
          <w:szCs w:val="24"/>
          <w:lang w:val="en-US" w:eastAsia="zh-CN"/>
        </w:rPr>
        <w:t>9</w:t>
      </w:r>
      <w:r w:rsidR="00B37CE3">
        <w:rPr>
          <w:rFonts w:asciiTheme="minorHAnsi" w:hAnsiTheme="minorHAnsi" w:cstheme="minorHAnsi" w:hint="eastAsia"/>
          <w:szCs w:val="24"/>
          <w:lang w:val="en-US" w:eastAsia="zh-CN"/>
        </w:rPr>
        <w:t>月入职的国际电联职员的证书。此次核查核对了招聘</w:t>
      </w:r>
      <w:r w:rsidR="00B37CE3">
        <w:rPr>
          <w:rFonts w:asciiTheme="minorHAnsi" w:hAnsiTheme="minorHAnsi" w:cstheme="minorHAnsi" w:hint="eastAsia"/>
          <w:szCs w:val="24"/>
          <w:lang w:val="en-US" w:eastAsia="zh-CN"/>
        </w:rPr>
        <w:t>/</w:t>
      </w:r>
      <w:r w:rsidR="00B37CE3">
        <w:rPr>
          <w:rFonts w:asciiTheme="minorHAnsi" w:hAnsiTheme="minorHAnsi" w:cstheme="minorHAnsi" w:hint="eastAsia"/>
          <w:szCs w:val="24"/>
          <w:lang w:val="en-US" w:eastAsia="zh-CN"/>
        </w:rPr>
        <w:t>晋升职员的学历信息及相关文件。</w:t>
      </w:r>
    </w:p>
    <w:p w:rsidR="005C781B" w:rsidRPr="00C46DFF" w:rsidRDefault="00822560" w:rsidP="005C781B">
      <w:pPr>
        <w:tabs>
          <w:tab w:val="clear" w:pos="794"/>
          <w:tab w:val="clear" w:pos="1191"/>
          <w:tab w:val="clear" w:pos="1588"/>
          <w:tab w:val="clear" w:pos="1985"/>
        </w:tabs>
        <w:snapToGrid w:val="0"/>
        <w:spacing w:after="120"/>
        <w:jc w:val="both"/>
        <w:rPr>
          <w:rFonts w:asciiTheme="minorHAnsi" w:hAnsiTheme="minorHAnsi" w:cstheme="minorHAnsi"/>
          <w:szCs w:val="24"/>
          <w:lang w:val="en-US" w:eastAsia="zh-CN"/>
        </w:rPr>
      </w:pPr>
      <w:r>
        <w:rPr>
          <w:rFonts w:asciiTheme="minorHAnsi" w:eastAsiaTheme="minorEastAsia" w:hAnsiTheme="minorHAnsi" w:cstheme="minorHAnsi"/>
          <w:szCs w:val="24"/>
          <w:lang w:val="en-US" w:eastAsia="zh-CN"/>
        </w:rPr>
        <w:t>15</w:t>
      </w:r>
      <w:r w:rsidR="005C781B" w:rsidRPr="00D8430E">
        <w:rPr>
          <w:rFonts w:asciiTheme="minorHAnsi" w:eastAsiaTheme="minorEastAsia" w:hAnsiTheme="minorHAnsi" w:cstheme="minorHAnsi"/>
          <w:szCs w:val="24"/>
          <w:lang w:val="en-US" w:eastAsia="zh-CN"/>
        </w:rPr>
        <w:tab/>
      </w:r>
      <w:r w:rsidR="00B37CE3">
        <w:rPr>
          <w:rFonts w:cs="Calibri" w:hint="eastAsia"/>
          <w:color w:val="000000"/>
          <w:szCs w:val="24"/>
          <w:lang w:val="en-US" w:eastAsia="zh-CN"/>
        </w:rPr>
        <w:t>内部</w:t>
      </w:r>
      <w:r w:rsidR="00B37CE3">
        <w:rPr>
          <w:rFonts w:cs="Calibri"/>
          <w:color w:val="000000"/>
          <w:szCs w:val="24"/>
          <w:lang w:val="en-US" w:eastAsia="zh-CN"/>
        </w:rPr>
        <w:t>审计</w:t>
      </w:r>
      <w:r w:rsidR="00B37CE3">
        <w:rPr>
          <w:rFonts w:cs="Calibri" w:hint="eastAsia"/>
          <w:color w:val="000000"/>
          <w:szCs w:val="24"/>
          <w:lang w:val="en-US" w:eastAsia="zh-CN"/>
        </w:rPr>
        <w:t>处的结论提出了一个</w:t>
      </w:r>
      <w:r w:rsidR="00B37CE3" w:rsidRPr="00B37CE3">
        <w:rPr>
          <w:rFonts w:cs="Calibri" w:hint="eastAsia"/>
          <w:color w:val="000000"/>
          <w:szCs w:val="24"/>
          <w:lang w:val="en-US" w:eastAsia="zh-CN"/>
        </w:rPr>
        <w:t>应优先处理</w:t>
      </w:r>
      <w:r w:rsidR="00B37CE3">
        <w:rPr>
          <w:rFonts w:cs="Calibri" w:hint="eastAsia"/>
          <w:color w:val="000000"/>
          <w:szCs w:val="24"/>
          <w:lang w:val="en-US" w:eastAsia="zh-CN"/>
        </w:rPr>
        <w:t>的问题：</w:t>
      </w:r>
      <w:r w:rsidR="00260E30">
        <w:rPr>
          <w:rFonts w:cs="Calibri" w:hint="eastAsia"/>
          <w:color w:val="000000"/>
          <w:szCs w:val="24"/>
          <w:lang w:val="en-US" w:eastAsia="zh-CN"/>
        </w:rPr>
        <w:t>有关</w:t>
      </w:r>
      <w:r w:rsidR="00B37CE3">
        <w:rPr>
          <w:rFonts w:cs="Calibri" w:hint="eastAsia"/>
          <w:color w:val="000000"/>
          <w:szCs w:val="24"/>
          <w:lang w:val="en-US" w:eastAsia="zh-CN"/>
        </w:rPr>
        <w:t>国际电联职员和候选人证书</w:t>
      </w:r>
      <w:r w:rsidR="001F618F">
        <w:rPr>
          <w:rFonts w:cs="Calibri" w:hint="eastAsia"/>
          <w:color w:val="000000"/>
          <w:szCs w:val="24"/>
          <w:lang w:val="en-US" w:eastAsia="zh-CN"/>
        </w:rPr>
        <w:t>验证和</w:t>
      </w:r>
      <w:r w:rsidR="00B37CE3">
        <w:rPr>
          <w:rFonts w:cs="Calibri" w:hint="eastAsia"/>
          <w:color w:val="000000"/>
          <w:szCs w:val="24"/>
          <w:lang w:val="en-US" w:eastAsia="zh-CN"/>
        </w:rPr>
        <w:t>认证的内控</w:t>
      </w:r>
      <w:r w:rsidR="001F618F">
        <w:rPr>
          <w:rFonts w:cs="Calibri" w:hint="eastAsia"/>
          <w:color w:val="000000"/>
          <w:szCs w:val="24"/>
          <w:lang w:val="en-US" w:eastAsia="zh-CN"/>
        </w:rPr>
        <w:t>机</w:t>
      </w:r>
      <w:r w:rsidR="00B37CE3">
        <w:rPr>
          <w:rFonts w:cs="Calibri" w:hint="eastAsia"/>
          <w:color w:val="000000"/>
          <w:szCs w:val="24"/>
          <w:lang w:val="en-US" w:eastAsia="zh-CN"/>
        </w:rPr>
        <w:t>制</w:t>
      </w:r>
      <w:r w:rsidR="00260E30">
        <w:rPr>
          <w:rFonts w:cs="Calibri" w:hint="eastAsia"/>
          <w:color w:val="000000"/>
          <w:szCs w:val="24"/>
          <w:lang w:val="en-US" w:eastAsia="zh-CN"/>
        </w:rPr>
        <w:t>只是部分</w:t>
      </w:r>
      <w:r w:rsidR="00B37CE3">
        <w:rPr>
          <w:rFonts w:cs="Calibri" w:hint="eastAsia"/>
          <w:color w:val="000000"/>
          <w:szCs w:val="24"/>
          <w:lang w:val="en-US" w:eastAsia="zh-CN"/>
        </w:rPr>
        <w:t>健全。</w:t>
      </w:r>
      <w:r w:rsidR="001F618F">
        <w:rPr>
          <w:rFonts w:cs="Calibri" w:hint="eastAsia"/>
          <w:color w:val="000000"/>
          <w:szCs w:val="24"/>
          <w:lang w:val="en-US" w:eastAsia="zh-CN"/>
        </w:rPr>
        <w:t>结论建议考虑</w:t>
      </w:r>
      <w:r w:rsidR="00260E30">
        <w:rPr>
          <w:rFonts w:cs="Calibri" w:hint="eastAsia"/>
          <w:color w:val="000000"/>
          <w:szCs w:val="24"/>
          <w:lang w:val="en-US" w:eastAsia="zh-CN"/>
        </w:rPr>
        <w:t>在以下方面</w:t>
      </w:r>
      <w:bookmarkStart w:id="7" w:name="_GoBack"/>
      <w:bookmarkEnd w:id="7"/>
      <w:r w:rsidR="001F618F">
        <w:rPr>
          <w:rFonts w:cs="Calibri" w:hint="eastAsia"/>
          <w:color w:val="000000"/>
          <w:szCs w:val="24"/>
          <w:lang w:val="en-US" w:eastAsia="zh-CN"/>
        </w:rPr>
        <w:t>实施措施：</w:t>
      </w:r>
      <w:r w:rsidR="00F26D4A">
        <w:rPr>
          <w:rFonts w:asciiTheme="minorHAnsi" w:hAnsiTheme="minorHAnsi" w:cstheme="minorHAnsi"/>
          <w:szCs w:val="24"/>
          <w:lang w:eastAsia="zh-CN"/>
        </w:rPr>
        <w:t>（</w:t>
      </w:r>
      <w:proofErr w:type="spellStart"/>
      <w:r w:rsidR="005C781B" w:rsidRPr="00C46DFF">
        <w:rPr>
          <w:rFonts w:asciiTheme="minorHAnsi" w:hAnsiTheme="minorHAnsi" w:cstheme="minorHAnsi"/>
          <w:szCs w:val="24"/>
          <w:lang w:eastAsia="zh-CN"/>
        </w:rPr>
        <w:t>i</w:t>
      </w:r>
      <w:proofErr w:type="spellEnd"/>
      <w:r w:rsidR="00F26D4A">
        <w:rPr>
          <w:rFonts w:asciiTheme="minorHAnsi" w:hAnsiTheme="minorHAnsi" w:cstheme="minorHAnsi"/>
          <w:szCs w:val="24"/>
          <w:lang w:eastAsia="zh-CN"/>
        </w:rPr>
        <w:t>）</w:t>
      </w:r>
      <w:r w:rsidR="001F618F">
        <w:rPr>
          <w:rFonts w:asciiTheme="minorHAnsi" w:hAnsiTheme="minorHAnsi" w:cstheme="minorHAnsi" w:hint="eastAsia"/>
          <w:szCs w:val="24"/>
          <w:lang w:eastAsia="zh-CN"/>
        </w:rPr>
        <w:t>确保预筛流程的</w:t>
      </w:r>
      <w:r w:rsidR="001F618F" w:rsidRPr="001F618F">
        <w:rPr>
          <w:rFonts w:asciiTheme="minorHAnsi" w:hAnsiTheme="minorHAnsi" w:cstheme="minorHAnsi" w:hint="eastAsia"/>
          <w:szCs w:val="24"/>
          <w:lang w:eastAsia="zh-CN"/>
        </w:rPr>
        <w:t>平等和公平</w:t>
      </w:r>
      <w:r w:rsidR="001F618F">
        <w:rPr>
          <w:rFonts w:asciiTheme="minorHAnsi" w:hAnsiTheme="minorHAnsi" w:cstheme="minorHAnsi" w:hint="eastAsia"/>
          <w:szCs w:val="24"/>
          <w:lang w:eastAsia="zh-CN"/>
        </w:rPr>
        <w:t>；</w:t>
      </w:r>
      <w:r w:rsidR="00F26D4A">
        <w:rPr>
          <w:rFonts w:asciiTheme="minorHAnsi" w:hAnsiTheme="minorHAnsi" w:cstheme="minorHAnsi"/>
          <w:szCs w:val="24"/>
          <w:lang w:eastAsia="zh-CN"/>
        </w:rPr>
        <w:t>（</w:t>
      </w:r>
      <w:r w:rsidR="005C781B" w:rsidRPr="00C46DFF">
        <w:rPr>
          <w:rFonts w:asciiTheme="minorHAnsi" w:hAnsiTheme="minorHAnsi" w:cstheme="minorHAnsi"/>
          <w:szCs w:val="24"/>
          <w:lang w:eastAsia="zh-CN"/>
        </w:rPr>
        <w:t>ii</w:t>
      </w:r>
      <w:r w:rsidR="00F26D4A">
        <w:rPr>
          <w:rFonts w:asciiTheme="minorHAnsi" w:hAnsiTheme="minorHAnsi" w:cstheme="minorHAnsi"/>
          <w:szCs w:val="24"/>
          <w:lang w:eastAsia="zh-CN"/>
        </w:rPr>
        <w:t>）</w:t>
      </w:r>
      <w:r w:rsidR="00260E30">
        <w:rPr>
          <w:rFonts w:asciiTheme="minorHAnsi" w:hAnsiTheme="minorHAnsi" w:cstheme="minorHAnsi" w:hint="eastAsia"/>
          <w:szCs w:val="24"/>
          <w:lang w:eastAsia="zh-CN"/>
        </w:rPr>
        <w:t>将所有招聘案例学历</w:t>
      </w:r>
      <w:r w:rsidR="001F618F">
        <w:rPr>
          <w:rFonts w:asciiTheme="minorHAnsi" w:hAnsiTheme="minorHAnsi" w:cstheme="minorHAnsi" w:hint="eastAsia"/>
          <w:szCs w:val="24"/>
          <w:lang w:eastAsia="zh-CN"/>
        </w:rPr>
        <w:t>证书</w:t>
      </w:r>
      <w:r w:rsidR="00260E30">
        <w:rPr>
          <w:rFonts w:asciiTheme="minorHAnsi" w:hAnsiTheme="minorHAnsi" w:cstheme="minorHAnsi" w:hint="eastAsia"/>
          <w:szCs w:val="24"/>
          <w:lang w:eastAsia="zh-CN"/>
        </w:rPr>
        <w:t>的</w:t>
      </w:r>
      <w:r w:rsidR="001F618F">
        <w:rPr>
          <w:rFonts w:asciiTheme="minorHAnsi" w:hAnsiTheme="minorHAnsi" w:cstheme="minorHAnsi" w:hint="eastAsia"/>
          <w:szCs w:val="24"/>
          <w:lang w:eastAsia="zh-CN"/>
        </w:rPr>
        <w:t>评估过程</w:t>
      </w:r>
      <w:r w:rsidR="00F26D4A">
        <w:rPr>
          <w:rFonts w:asciiTheme="minorHAnsi" w:hAnsiTheme="minorHAnsi" w:cstheme="minorHAnsi" w:hint="eastAsia"/>
          <w:szCs w:val="24"/>
          <w:lang w:eastAsia="zh-CN"/>
        </w:rPr>
        <w:t>（</w:t>
      </w:r>
      <w:r w:rsidR="001F618F">
        <w:rPr>
          <w:rFonts w:cs="Calibri" w:hint="eastAsia"/>
          <w:color w:val="000000"/>
          <w:szCs w:val="24"/>
          <w:lang w:val="en-US" w:eastAsia="zh-CN"/>
        </w:rPr>
        <w:t>验证和认证</w:t>
      </w:r>
      <w:r w:rsidR="00F26D4A">
        <w:rPr>
          <w:rFonts w:cs="Calibri" w:hint="eastAsia"/>
          <w:color w:val="000000"/>
          <w:szCs w:val="24"/>
          <w:lang w:val="en-US" w:eastAsia="zh-CN"/>
        </w:rPr>
        <w:t>）</w:t>
      </w:r>
      <w:r w:rsidR="001F618F">
        <w:rPr>
          <w:rFonts w:cs="Calibri" w:hint="eastAsia"/>
          <w:color w:val="000000"/>
          <w:szCs w:val="24"/>
          <w:lang w:val="en-US" w:eastAsia="zh-CN"/>
        </w:rPr>
        <w:t>记录在案；及</w:t>
      </w:r>
      <w:r w:rsidR="00F26D4A">
        <w:rPr>
          <w:rFonts w:asciiTheme="minorHAnsi" w:hAnsiTheme="minorHAnsi" w:cstheme="minorHAnsi"/>
          <w:szCs w:val="24"/>
          <w:lang w:eastAsia="zh-CN"/>
        </w:rPr>
        <w:t>（</w:t>
      </w:r>
      <w:r w:rsidR="005C781B" w:rsidRPr="00C46DFF">
        <w:rPr>
          <w:rFonts w:asciiTheme="minorHAnsi" w:hAnsiTheme="minorHAnsi" w:cstheme="minorHAnsi"/>
          <w:szCs w:val="24"/>
          <w:lang w:eastAsia="zh-CN"/>
        </w:rPr>
        <w:t>iii</w:t>
      </w:r>
      <w:r w:rsidR="00F26D4A">
        <w:rPr>
          <w:rFonts w:asciiTheme="minorHAnsi" w:hAnsiTheme="minorHAnsi" w:cstheme="minorHAnsi"/>
          <w:szCs w:val="24"/>
          <w:lang w:eastAsia="zh-CN"/>
        </w:rPr>
        <w:t>）</w:t>
      </w:r>
      <w:r w:rsidR="001F618F">
        <w:rPr>
          <w:rFonts w:asciiTheme="minorHAnsi" w:hAnsiTheme="minorHAnsi" w:cstheme="minorHAnsi" w:hint="eastAsia"/>
          <w:szCs w:val="24"/>
          <w:lang w:eastAsia="zh-CN"/>
        </w:rPr>
        <w:t>验证证书的真实性。</w:t>
      </w:r>
      <w:r w:rsidR="005C781B" w:rsidRPr="00C46DFF">
        <w:rPr>
          <w:rFonts w:asciiTheme="minorHAnsi" w:hAnsiTheme="minorHAnsi" w:cstheme="minorHAnsi"/>
          <w:szCs w:val="24"/>
          <w:lang w:val="en-US" w:eastAsia="zh-CN"/>
        </w:rPr>
        <w:t>HRMD</w:t>
      </w:r>
      <w:r w:rsidR="001F618F">
        <w:rPr>
          <w:rFonts w:asciiTheme="minorHAnsi" w:hAnsiTheme="minorHAnsi" w:cstheme="minorHAnsi" w:hint="eastAsia"/>
          <w:szCs w:val="24"/>
          <w:lang w:val="en-US" w:eastAsia="zh-CN"/>
        </w:rPr>
        <w:t>管理团队接受了针对各个问题（高优先级和中优先级）提出的建议。</w:t>
      </w:r>
    </w:p>
    <w:p w:rsidR="005C781B" w:rsidRPr="00656121" w:rsidRDefault="00822560" w:rsidP="00260E30">
      <w:pPr>
        <w:tabs>
          <w:tab w:val="clear" w:pos="794"/>
          <w:tab w:val="clear" w:pos="1191"/>
          <w:tab w:val="clear" w:pos="1588"/>
          <w:tab w:val="clear" w:pos="1985"/>
        </w:tabs>
        <w:snapToGrid w:val="0"/>
        <w:spacing w:after="120"/>
        <w:jc w:val="both"/>
        <w:rPr>
          <w:rFonts w:asciiTheme="minorHAnsi" w:hAnsiTheme="minorHAnsi" w:cstheme="minorHAnsi"/>
          <w:szCs w:val="24"/>
          <w:lang w:val="en-US" w:eastAsia="zh-CN"/>
        </w:rPr>
      </w:pPr>
      <w:r>
        <w:rPr>
          <w:rFonts w:asciiTheme="minorHAnsi" w:eastAsiaTheme="minorEastAsia" w:hAnsiTheme="minorHAnsi" w:cstheme="minorHAnsi"/>
          <w:szCs w:val="24"/>
          <w:lang w:val="en-US" w:eastAsia="zh-CN"/>
        </w:rPr>
        <w:t>16</w:t>
      </w:r>
      <w:r w:rsidR="005C781B" w:rsidRPr="00A111B6">
        <w:rPr>
          <w:rFonts w:asciiTheme="minorHAnsi" w:eastAsiaTheme="minorEastAsia" w:hAnsiTheme="minorHAnsi" w:cstheme="minorHAnsi"/>
          <w:szCs w:val="24"/>
          <w:lang w:val="en-US" w:eastAsia="zh-CN"/>
        </w:rPr>
        <w:tab/>
      </w:r>
      <w:r w:rsidR="001F618F" w:rsidRPr="001F618F">
        <w:rPr>
          <w:rFonts w:asciiTheme="minorHAnsi" w:hAnsiTheme="minorHAnsi" w:cstheme="minorHAnsi" w:hint="eastAsia"/>
          <w:szCs w:val="24"/>
          <w:lang w:val="en-US" w:eastAsia="zh-CN"/>
        </w:rPr>
        <w:t>总之</w:t>
      </w:r>
      <w:r w:rsidR="00260E30">
        <w:rPr>
          <w:rFonts w:asciiTheme="minorHAnsi" w:hAnsiTheme="minorHAnsi" w:cstheme="minorHAnsi" w:hint="eastAsia"/>
          <w:szCs w:val="24"/>
          <w:lang w:val="en-US" w:eastAsia="zh-CN"/>
        </w:rPr>
        <w:t>，</w:t>
      </w:r>
      <w:r w:rsidR="001F618F" w:rsidRPr="001F618F">
        <w:rPr>
          <w:rFonts w:asciiTheme="minorHAnsi" w:hAnsiTheme="minorHAnsi" w:cstheme="minorHAnsi" w:hint="eastAsia"/>
          <w:szCs w:val="24"/>
          <w:lang w:val="en-US" w:eastAsia="zh-CN"/>
        </w:rPr>
        <w:t>内部审计处的意见是，员工证书的管理程序并不十分完善。</w:t>
      </w:r>
      <w:r w:rsidR="001F618F">
        <w:rPr>
          <w:rFonts w:asciiTheme="minorHAnsi" w:hAnsiTheme="minorHAnsi" w:cstheme="minorHAnsi" w:hint="eastAsia"/>
          <w:szCs w:val="24"/>
          <w:lang w:val="en-US" w:eastAsia="zh-CN"/>
        </w:rPr>
        <w:t>尽管管理流程合理充分，但风险管理和控制的有效性尚</w:t>
      </w:r>
      <w:r w:rsidR="00E1285B">
        <w:rPr>
          <w:rFonts w:asciiTheme="minorHAnsi" w:hAnsiTheme="minorHAnsi" w:cstheme="minorHAnsi" w:hint="eastAsia"/>
          <w:szCs w:val="24"/>
          <w:lang w:val="en-US" w:eastAsia="zh-CN"/>
        </w:rPr>
        <w:t>未完全达到要求。</w:t>
      </w:r>
      <w:r w:rsidR="00656121">
        <w:rPr>
          <w:rFonts w:hint="eastAsia"/>
          <w:lang w:eastAsia="zh-CN"/>
        </w:rPr>
        <w:t>因此</w:t>
      </w:r>
      <w:r w:rsidR="00656121" w:rsidRPr="00656121">
        <w:rPr>
          <w:rFonts w:hint="eastAsia"/>
          <w:lang w:eastAsia="zh-CN"/>
        </w:rPr>
        <w:t>需要在这些领域加以改进，以便向秘书长做出合理保证：员工证书的管理和风险管控完备有效。</w:t>
      </w:r>
    </w:p>
    <w:p w:rsidR="0097490A" w:rsidRPr="00F259FE" w:rsidRDefault="00647613" w:rsidP="00112C16">
      <w:pPr>
        <w:pStyle w:val="Heading1"/>
        <w:rPr>
          <w:lang w:val="en-CA" w:eastAsia="zh-CN"/>
        </w:rPr>
      </w:pPr>
      <w:r>
        <w:rPr>
          <w:rFonts w:hint="eastAsia"/>
          <w:lang w:val="en-CA" w:eastAsia="zh-CN"/>
        </w:rPr>
        <w:t>内部</w:t>
      </w:r>
      <w:r w:rsidR="00722106">
        <w:rPr>
          <w:lang w:val="en-CA" w:eastAsia="zh-CN"/>
        </w:rPr>
        <w:t>审计</w:t>
      </w:r>
      <w:r w:rsidR="00722106">
        <w:rPr>
          <w:rFonts w:hint="eastAsia"/>
          <w:lang w:val="en-CA" w:eastAsia="zh-CN"/>
        </w:rPr>
        <w:t>处</w:t>
      </w:r>
      <w:r>
        <w:rPr>
          <w:lang w:val="en-CA" w:eastAsia="zh-CN"/>
        </w:rPr>
        <w:t>的调查</w:t>
      </w:r>
    </w:p>
    <w:p w:rsidR="005C781B" w:rsidRPr="00C46DFF" w:rsidRDefault="00822560" w:rsidP="00252304">
      <w:pPr>
        <w:tabs>
          <w:tab w:val="clear" w:pos="794"/>
          <w:tab w:val="clear" w:pos="1191"/>
          <w:tab w:val="clear" w:pos="1588"/>
          <w:tab w:val="clear" w:pos="1985"/>
        </w:tabs>
        <w:snapToGrid w:val="0"/>
        <w:spacing w:after="120"/>
        <w:jc w:val="both"/>
        <w:rPr>
          <w:rFonts w:asciiTheme="minorHAnsi" w:hAnsiTheme="minorHAnsi" w:cstheme="minorHAnsi"/>
          <w:szCs w:val="24"/>
          <w:lang w:val="en-US" w:eastAsia="zh-CN"/>
        </w:rPr>
      </w:pPr>
      <w:r>
        <w:rPr>
          <w:rFonts w:asciiTheme="minorHAnsi" w:eastAsiaTheme="minorEastAsia" w:hAnsiTheme="minorHAnsi" w:cstheme="minorHAnsi"/>
          <w:szCs w:val="24"/>
          <w:lang w:val="en-US" w:eastAsia="zh-CN"/>
        </w:rPr>
        <w:t>17</w:t>
      </w:r>
      <w:r w:rsidR="005C781B">
        <w:rPr>
          <w:rFonts w:asciiTheme="minorHAnsi" w:eastAsiaTheme="minorEastAsia" w:hAnsiTheme="minorHAnsi" w:cstheme="minorHAnsi"/>
          <w:szCs w:val="24"/>
          <w:lang w:val="en-US" w:eastAsia="zh-CN"/>
        </w:rPr>
        <w:tab/>
      </w:r>
      <w:r w:rsidR="00131306" w:rsidRPr="001F618F">
        <w:rPr>
          <w:rFonts w:asciiTheme="minorHAnsi" w:hAnsiTheme="minorHAnsi" w:cstheme="minorHAnsi" w:hint="eastAsia"/>
          <w:szCs w:val="24"/>
          <w:lang w:val="en-US" w:eastAsia="zh-CN"/>
        </w:rPr>
        <w:t>内部审计处</w:t>
      </w:r>
      <w:r w:rsidR="00131306">
        <w:rPr>
          <w:rFonts w:asciiTheme="minorHAnsi" w:hAnsiTheme="minorHAnsi" w:cstheme="minorHAnsi" w:hint="eastAsia"/>
          <w:szCs w:val="24"/>
          <w:lang w:val="en-US" w:eastAsia="zh-CN"/>
        </w:rPr>
        <w:t>以调查机构的身份开展了一次调查和两次初步审议。此次调查</w:t>
      </w:r>
      <w:r w:rsidR="00252304">
        <w:rPr>
          <w:rFonts w:asciiTheme="minorHAnsi" w:hAnsiTheme="minorHAnsi" w:cstheme="minorHAnsi" w:hint="eastAsia"/>
          <w:szCs w:val="24"/>
          <w:lang w:val="en-US" w:eastAsia="zh-CN"/>
        </w:rPr>
        <w:t>内容为针对</w:t>
      </w:r>
      <w:r w:rsidR="00131306">
        <w:rPr>
          <w:rFonts w:asciiTheme="minorHAnsi" w:hAnsiTheme="minorHAnsi" w:cstheme="minorHAnsi" w:hint="eastAsia"/>
          <w:szCs w:val="24"/>
          <w:lang w:val="en-US" w:eastAsia="zh-CN"/>
        </w:rPr>
        <w:t>国际电联亚太区域代表处一位职员欺诈的指控。</w:t>
      </w:r>
      <w:hyperlink r:id="rId10" w:history="1">
        <w:r w:rsidR="00131306" w:rsidRPr="00C46DFF">
          <w:rPr>
            <w:rStyle w:val="Hyperlink"/>
            <w:rFonts w:asciiTheme="minorHAnsi" w:hAnsiTheme="minorHAnsi" w:cstheme="minorHAnsi"/>
            <w:szCs w:val="24"/>
            <w:lang w:val="en-US" w:eastAsia="zh-CN"/>
          </w:rPr>
          <w:t>C19/INF/14</w:t>
        </w:r>
      </w:hyperlink>
      <w:r w:rsidR="00131306" w:rsidRPr="00131306">
        <w:rPr>
          <w:rFonts w:hint="eastAsia"/>
          <w:lang w:eastAsia="zh-CN"/>
        </w:rPr>
        <w:t>号文件</w:t>
      </w:r>
      <w:r w:rsidR="00131306">
        <w:rPr>
          <w:rFonts w:hint="eastAsia"/>
          <w:lang w:eastAsia="zh-CN"/>
        </w:rPr>
        <w:t>概述了相关事实和迄今为止采取的补救行动。</w:t>
      </w:r>
    </w:p>
    <w:p w:rsidR="005C781B" w:rsidRPr="00A13A01" w:rsidRDefault="00252304" w:rsidP="00561137">
      <w:pPr>
        <w:pStyle w:val="ListParagraph"/>
        <w:snapToGrid w:val="0"/>
        <w:spacing w:after="120"/>
        <w:ind w:left="0" w:firstLineChars="200" w:firstLine="480"/>
        <w:contextualSpacing w:val="0"/>
        <w:jc w:val="both"/>
        <w:rPr>
          <w:rFonts w:asciiTheme="minorHAnsi" w:hAnsiTheme="minorHAnsi" w:cstheme="minorHAnsi"/>
          <w:szCs w:val="24"/>
          <w:lang w:val="en-US" w:eastAsia="zh-CN"/>
        </w:rPr>
      </w:pPr>
      <w:r>
        <w:rPr>
          <w:rFonts w:asciiTheme="minorHAnsi" w:eastAsia="SimSun" w:hAnsiTheme="minorHAnsi" w:cstheme="minorHAnsi" w:hint="eastAsia"/>
          <w:szCs w:val="24"/>
          <w:lang w:val="en-US" w:eastAsia="zh-CN"/>
        </w:rPr>
        <w:t>由于</w:t>
      </w:r>
      <w:r w:rsidR="00131306" w:rsidRPr="00131306">
        <w:rPr>
          <w:rFonts w:asciiTheme="minorHAnsi" w:eastAsia="SimSun" w:hAnsiTheme="minorHAnsi" w:cstheme="minorHAnsi" w:hint="eastAsia"/>
          <w:szCs w:val="24"/>
          <w:lang w:val="en-US" w:eastAsia="zh-CN"/>
        </w:rPr>
        <w:t>道德规范干事</w:t>
      </w:r>
      <w:r>
        <w:rPr>
          <w:rFonts w:asciiTheme="minorHAnsi" w:eastAsia="SimSun" w:hAnsiTheme="minorHAnsi" w:cstheme="minorHAnsi" w:hint="eastAsia"/>
          <w:szCs w:val="24"/>
          <w:lang w:val="en-US" w:eastAsia="zh-CN"/>
        </w:rPr>
        <w:t>尚未就职，</w:t>
      </w:r>
      <w:r w:rsidRPr="00131306">
        <w:rPr>
          <w:rFonts w:asciiTheme="minorHAnsi" w:eastAsia="SimSun" w:hAnsiTheme="minorHAnsi" w:cstheme="minorHAnsi" w:hint="eastAsia"/>
          <w:szCs w:val="24"/>
          <w:lang w:val="en-US" w:eastAsia="zh-CN"/>
        </w:rPr>
        <w:t>内部审计处</w:t>
      </w:r>
      <w:r w:rsidR="007F37A2">
        <w:rPr>
          <w:rFonts w:asciiTheme="minorHAnsi" w:eastAsia="SimSun" w:hAnsiTheme="minorHAnsi" w:cstheme="minorHAnsi" w:hint="eastAsia"/>
          <w:szCs w:val="24"/>
          <w:lang w:val="en-US" w:eastAsia="zh-CN"/>
        </w:rPr>
        <w:t>进行了两次初步审议，两个案件之间并无关联。一个案件是</w:t>
      </w:r>
      <w:r>
        <w:rPr>
          <w:rFonts w:asciiTheme="minorHAnsi" w:eastAsia="SimSun" w:hAnsiTheme="minorHAnsi" w:cstheme="minorHAnsi" w:hint="eastAsia"/>
          <w:szCs w:val="24"/>
          <w:lang w:val="en-US" w:eastAsia="zh-CN"/>
        </w:rPr>
        <w:t>对一</w:t>
      </w:r>
      <w:r w:rsidR="007F37A2">
        <w:rPr>
          <w:rFonts w:asciiTheme="minorHAnsi" w:eastAsia="SimSun" w:hAnsiTheme="minorHAnsi" w:cstheme="minorHAnsi" w:hint="eastAsia"/>
          <w:szCs w:val="24"/>
          <w:lang w:val="en-US" w:eastAsia="zh-CN"/>
        </w:rPr>
        <w:t>位</w:t>
      </w:r>
      <w:r w:rsidR="007F37A2" w:rsidRPr="007F37A2">
        <w:rPr>
          <w:rFonts w:asciiTheme="minorHAnsi" w:eastAsia="SimSun" w:hAnsiTheme="minorHAnsi" w:cstheme="minorHAnsi" w:hint="eastAsia"/>
          <w:szCs w:val="24"/>
          <w:lang w:val="en-US" w:eastAsia="zh-CN"/>
        </w:rPr>
        <w:t>一般事务类职员</w:t>
      </w:r>
      <w:r w:rsidR="007F37A2">
        <w:rPr>
          <w:rFonts w:asciiTheme="minorHAnsi" w:eastAsia="SimSun" w:hAnsiTheme="minorHAnsi" w:cstheme="minorHAnsi" w:hint="eastAsia"/>
          <w:szCs w:val="24"/>
          <w:lang w:val="en-US" w:eastAsia="zh-CN"/>
        </w:rPr>
        <w:t>在办公场所实施</w:t>
      </w:r>
      <w:r w:rsidR="007F37A2" w:rsidRPr="007F37A2">
        <w:rPr>
          <w:rFonts w:asciiTheme="minorHAnsi" w:eastAsia="SimSun" w:hAnsiTheme="minorHAnsi" w:cstheme="minorHAnsi" w:hint="eastAsia"/>
          <w:szCs w:val="24"/>
          <w:lang w:val="en-US" w:eastAsia="zh-CN"/>
        </w:rPr>
        <w:t>欺凌、羞辱、威胁和恐吓</w:t>
      </w:r>
      <w:r w:rsidR="007F37A2">
        <w:rPr>
          <w:rFonts w:asciiTheme="minorHAnsi" w:eastAsia="SimSun" w:hAnsiTheme="minorHAnsi" w:cstheme="minorHAnsi" w:hint="eastAsia"/>
          <w:szCs w:val="24"/>
          <w:lang w:val="en-US" w:eastAsia="zh-CN"/>
        </w:rPr>
        <w:t>行为</w:t>
      </w:r>
      <w:r>
        <w:rPr>
          <w:rFonts w:asciiTheme="minorHAnsi" w:eastAsia="SimSun" w:hAnsiTheme="minorHAnsi" w:cstheme="minorHAnsi" w:hint="eastAsia"/>
          <w:szCs w:val="24"/>
          <w:lang w:val="en-US" w:eastAsia="zh-CN"/>
        </w:rPr>
        <w:t>的</w:t>
      </w:r>
      <w:r w:rsidR="007F37A2">
        <w:rPr>
          <w:rFonts w:asciiTheme="minorHAnsi" w:eastAsia="SimSun" w:hAnsiTheme="minorHAnsi" w:cstheme="minorHAnsi" w:hint="eastAsia"/>
          <w:szCs w:val="24"/>
          <w:lang w:val="en-US" w:eastAsia="zh-CN"/>
        </w:rPr>
        <w:t>指控，另一案件涉及</w:t>
      </w:r>
      <w:r>
        <w:rPr>
          <w:rFonts w:asciiTheme="minorHAnsi" w:eastAsia="SimSun" w:hAnsiTheme="minorHAnsi" w:cstheme="minorHAnsi" w:hint="eastAsia"/>
          <w:szCs w:val="24"/>
          <w:lang w:val="en-US" w:eastAsia="zh-CN"/>
        </w:rPr>
        <w:t>一位专业职类职员涉嫌在办公场所实施</w:t>
      </w:r>
      <w:r w:rsidR="007F37A2" w:rsidRPr="007F37A2">
        <w:rPr>
          <w:rFonts w:asciiTheme="minorHAnsi" w:eastAsia="SimSun" w:hAnsiTheme="minorHAnsi" w:cstheme="minorHAnsi" w:hint="eastAsia"/>
          <w:szCs w:val="24"/>
          <w:lang w:val="en-US" w:eastAsia="zh-CN"/>
        </w:rPr>
        <w:t>性骚扰、恐吓和欺凌行为</w:t>
      </w:r>
      <w:r w:rsidR="007F37A2">
        <w:rPr>
          <w:rFonts w:asciiTheme="minorHAnsi" w:eastAsia="SimSun" w:hAnsiTheme="minorHAnsi" w:cstheme="minorHAnsi" w:hint="eastAsia"/>
          <w:szCs w:val="24"/>
          <w:lang w:val="en-US" w:eastAsia="zh-CN"/>
        </w:rPr>
        <w:t>。</w:t>
      </w:r>
    </w:p>
    <w:p w:rsidR="005C781B" w:rsidRDefault="007F37A2" w:rsidP="00561137">
      <w:pPr>
        <w:pStyle w:val="ListParagraph"/>
        <w:snapToGrid w:val="0"/>
        <w:spacing w:after="120"/>
        <w:ind w:left="0" w:firstLineChars="200" w:firstLine="480"/>
        <w:contextualSpacing w:val="0"/>
        <w:jc w:val="both"/>
        <w:rPr>
          <w:rFonts w:asciiTheme="minorHAnsi" w:hAnsiTheme="minorHAnsi" w:cstheme="minorHAnsi"/>
          <w:szCs w:val="24"/>
          <w:lang w:val="en-US" w:eastAsia="zh-CN"/>
        </w:rPr>
      </w:pPr>
      <w:r>
        <w:rPr>
          <w:rFonts w:asciiTheme="minorEastAsia" w:eastAsiaTheme="minorEastAsia" w:hAnsiTheme="minorEastAsia" w:cstheme="minorHAnsi" w:hint="eastAsia"/>
          <w:szCs w:val="24"/>
          <w:lang w:val="en-US" w:eastAsia="zh-CN"/>
        </w:rPr>
        <w:lastRenderedPageBreak/>
        <w:t>根据国际电联的程序，</w:t>
      </w:r>
      <w:r w:rsidRPr="00131306">
        <w:rPr>
          <w:rFonts w:asciiTheme="minorHAnsi" w:eastAsia="SimSun" w:hAnsiTheme="minorHAnsi" w:cstheme="minorHAnsi" w:hint="eastAsia"/>
          <w:szCs w:val="24"/>
          <w:lang w:val="en-US" w:eastAsia="zh-CN"/>
        </w:rPr>
        <w:t>内部审计处</w:t>
      </w:r>
      <w:r w:rsidR="00252304">
        <w:rPr>
          <w:rFonts w:asciiTheme="minorHAnsi" w:eastAsia="SimSun" w:hAnsiTheme="minorHAnsi" w:cstheme="minorHAnsi" w:hint="eastAsia"/>
          <w:szCs w:val="24"/>
          <w:lang w:val="en-US" w:eastAsia="zh-CN"/>
        </w:rPr>
        <w:t>在完成上述调查和两次初审</w:t>
      </w:r>
      <w:r>
        <w:rPr>
          <w:rFonts w:asciiTheme="minorHAnsi" w:eastAsia="SimSun" w:hAnsiTheme="minorHAnsi" w:cstheme="minorHAnsi" w:hint="eastAsia"/>
          <w:szCs w:val="24"/>
          <w:lang w:val="en-US" w:eastAsia="zh-CN"/>
        </w:rPr>
        <w:t>后，向秘书长提交了保密报告。</w:t>
      </w:r>
    </w:p>
    <w:p w:rsidR="0097490A" w:rsidRPr="00F259FE" w:rsidRDefault="00647613" w:rsidP="00112C16">
      <w:pPr>
        <w:pStyle w:val="Heading1"/>
        <w:rPr>
          <w:lang w:val="en-CA" w:eastAsia="zh-CN"/>
        </w:rPr>
      </w:pPr>
      <w:r>
        <w:rPr>
          <w:rFonts w:hint="eastAsia"/>
          <w:lang w:val="en-US" w:eastAsia="zh-CN"/>
        </w:rPr>
        <w:t>内部</w:t>
      </w:r>
      <w:r>
        <w:rPr>
          <w:lang w:val="en-US" w:eastAsia="zh-CN"/>
        </w:rPr>
        <w:t>审计</w:t>
      </w:r>
      <w:r w:rsidR="00F5083F">
        <w:rPr>
          <w:rFonts w:hint="eastAsia"/>
          <w:lang w:val="en-US" w:eastAsia="zh-CN"/>
        </w:rPr>
        <w:t>处</w:t>
      </w:r>
      <w:r w:rsidR="00252304">
        <w:rPr>
          <w:rFonts w:hint="eastAsia"/>
          <w:lang w:val="en-US" w:eastAsia="zh-CN"/>
        </w:rPr>
        <w:t>开展</w:t>
      </w:r>
      <w:r>
        <w:rPr>
          <w:lang w:val="en-US" w:eastAsia="zh-CN"/>
        </w:rPr>
        <w:t>的咨询服务</w:t>
      </w:r>
    </w:p>
    <w:p w:rsidR="0097490A" w:rsidRPr="00097A0C" w:rsidRDefault="00647613" w:rsidP="00112C16">
      <w:pPr>
        <w:pStyle w:val="Headingb"/>
        <w:rPr>
          <w:szCs w:val="24"/>
          <w:lang w:eastAsia="zh-CN"/>
        </w:rPr>
      </w:pPr>
      <w:r w:rsidRPr="00097A0C">
        <w:rPr>
          <w:lang w:eastAsia="zh-CN"/>
        </w:rPr>
        <w:t>国际电联</w:t>
      </w:r>
      <w:r w:rsidR="00241EDC">
        <w:rPr>
          <w:rFonts w:hint="eastAsia"/>
          <w:lang w:eastAsia="zh-CN"/>
        </w:rPr>
        <w:t>外部审计员的遴选流程</w:t>
      </w:r>
    </w:p>
    <w:p w:rsidR="005C781B" w:rsidRPr="00C46DFF" w:rsidRDefault="005C781B" w:rsidP="00252304">
      <w:pPr>
        <w:tabs>
          <w:tab w:val="clear" w:pos="794"/>
          <w:tab w:val="clear" w:pos="1191"/>
          <w:tab w:val="clear" w:pos="1588"/>
          <w:tab w:val="clear" w:pos="1985"/>
        </w:tabs>
        <w:snapToGrid w:val="0"/>
        <w:spacing w:after="120"/>
        <w:jc w:val="both"/>
        <w:rPr>
          <w:rFonts w:asciiTheme="minorHAnsi" w:hAnsiTheme="minorHAnsi" w:cstheme="minorHAnsi"/>
          <w:szCs w:val="24"/>
          <w:lang w:val="en-US" w:eastAsia="zh-CN"/>
        </w:rPr>
      </w:pPr>
      <w:r>
        <w:rPr>
          <w:rFonts w:asciiTheme="minorHAnsi" w:eastAsiaTheme="minorEastAsia" w:hAnsiTheme="minorHAnsi" w:cstheme="minorHAnsi"/>
          <w:szCs w:val="24"/>
          <w:lang w:val="en-US" w:eastAsia="zh-CN"/>
        </w:rPr>
        <w:t>18.</w:t>
      </w:r>
      <w:r>
        <w:rPr>
          <w:rFonts w:asciiTheme="minorHAnsi" w:eastAsiaTheme="minorEastAsia" w:hAnsiTheme="minorHAnsi" w:cstheme="minorHAnsi"/>
          <w:szCs w:val="24"/>
          <w:lang w:val="en-US" w:eastAsia="zh-CN"/>
        </w:rPr>
        <w:tab/>
      </w:r>
      <w:r w:rsidR="00241EDC">
        <w:rPr>
          <w:rFonts w:asciiTheme="minorHAnsi" w:eastAsiaTheme="minorEastAsia" w:hAnsiTheme="minorHAnsi" w:cstheme="minorHAnsi" w:hint="eastAsia"/>
          <w:szCs w:val="24"/>
          <w:lang w:val="en-US" w:eastAsia="zh-CN"/>
        </w:rPr>
        <w:t>根据</w:t>
      </w:r>
      <w:r w:rsidRPr="00C46DFF">
        <w:rPr>
          <w:rFonts w:asciiTheme="minorHAnsi" w:hAnsiTheme="minorHAnsi" w:cstheme="minorHAnsi"/>
          <w:color w:val="000000"/>
          <w:szCs w:val="24"/>
          <w:lang w:val="en-US" w:eastAsia="zh-CN"/>
        </w:rPr>
        <w:t>IMAC</w:t>
      </w:r>
      <w:r w:rsidR="00241EDC">
        <w:rPr>
          <w:rFonts w:asciiTheme="minorHAnsi" w:hAnsiTheme="minorHAnsi" w:cstheme="minorHAnsi" w:hint="eastAsia"/>
          <w:color w:val="000000"/>
          <w:szCs w:val="24"/>
          <w:lang w:val="en-US" w:eastAsia="zh-CN"/>
        </w:rPr>
        <w:t>的建议，秘书长请</w:t>
      </w:r>
      <w:r w:rsidR="00241EDC" w:rsidRPr="00131306">
        <w:rPr>
          <w:rFonts w:asciiTheme="minorHAnsi" w:hAnsiTheme="minorHAnsi" w:cstheme="minorHAnsi" w:hint="eastAsia"/>
          <w:szCs w:val="24"/>
          <w:lang w:val="en-US" w:eastAsia="zh-CN"/>
        </w:rPr>
        <w:t>内部审计处</w:t>
      </w:r>
      <w:r w:rsidR="00241EDC">
        <w:rPr>
          <w:rFonts w:asciiTheme="minorHAnsi" w:hAnsiTheme="minorHAnsi" w:cstheme="minorHAnsi" w:hint="eastAsia"/>
          <w:szCs w:val="24"/>
          <w:lang w:val="en-US" w:eastAsia="zh-CN"/>
        </w:rPr>
        <w:t>主导</w:t>
      </w:r>
      <w:r w:rsidR="00241EDC" w:rsidRPr="00241EDC">
        <w:rPr>
          <w:rFonts w:asciiTheme="minorHAnsi" w:hAnsiTheme="minorHAnsi" w:cstheme="minorHAnsi" w:hint="eastAsia"/>
          <w:szCs w:val="24"/>
          <w:lang w:val="en-US" w:eastAsia="zh-CN"/>
        </w:rPr>
        <w:t>外部审计员的遴选流程</w:t>
      </w:r>
      <w:r w:rsidR="00241EDC">
        <w:rPr>
          <w:rFonts w:asciiTheme="minorHAnsi" w:hAnsiTheme="minorHAnsi" w:cstheme="minorHAnsi" w:hint="eastAsia"/>
          <w:szCs w:val="24"/>
          <w:lang w:val="en-US" w:eastAsia="zh-CN"/>
        </w:rPr>
        <w:t>。理事会在</w:t>
      </w:r>
      <w:r w:rsidR="00241EDC">
        <w:rPr>
          <w:rFonts w:asciiTheme="minorHAnsi" w:hAnsiTheme="minorHAnsi" w:cstheme="minorHAnsi" w:hint="eastAsia"/>
          <w:szCs w:val="24"/>
          <w:lang w:val="en-US" w:eastAsia="zh-CN"/>
        </w:rPr>
        <w:t>2018</w:t>
      </w:r>
      <w:r w:rsidR="00252304">
        <w:rPr>
          <w:rFonts w:asciiTheme="minorHAnsi" w:hAnsiTheme="minorHAnsi" w:cstheme="minorHAnsi" w:hint="eastAsia"/>
          <w:szCs w:val="24"/>
          <w:lang w:val="en-US" w:eastAsia="zh-CN"/>
        </w:rPr>
        <w:t>年会议期间任命</w:t>
      </w:r>
      <w:r w:rsidR="00241EDC">
        <w:rPr>
          <w:rFonts w:asciiTheme="minorHAnsi" w:hAnsiTheme="minorHAnsi" w:cstheme="minorHAnsi" w:hint="eastAsia"/>
          <w:szCs w:val="24"/>
          <w:lang w:val="en-US" w:eastAsia="zh-CN"/>
        </w:rPr>
        <w:t>由六个区域</w:t>
      </w:r>
      <w:r w:rsidR="00252304">
        <w:rPr>
          <w:rFonts w:asciiTheme="minorHAnsi" w:hAnsiTheme="minorHAnsi" w:cstheme="minorHAnsi" w:hint="eastAsia"/>
          <w:szCs w:val="24"/>
          <w:lang w:val="en-US" w:eastAsia="zh-CN"/>
        </w:rPr>
        <w:t>性</w:t>
      </w:r>
      <w:r w:rsidR="00241EDC">
        <w:rPr>
          <w:rFonts w:asciiTheme="minorHAnsi" w:hAnsiTheme="minorHAnsi" w:cstheme="minorHAnsi" w:hint="eastAsia"/>
          <w:szCs w:val="24"/>
          <w:lang w:val="en-US" w:eastAsia="zh-CN"/>
        </w:rPr>
        <w:t>电信组织推荐的个人为评审委员会的</w:t>
      </w:r>
      <w:r w:rsidR="00252304">
        <w:rPr>
          <w:rFonts w:asciiTheme="minorHAnsi" w:hAnsiTheme="minorHAnsi" w:cstheme="minorHAnsi" w:hint="eastAsia"/>
          <w:szCs w:val="24"/>
          <w:lang w:val="en-US" w:eastAsia="zh-CN"/>
        </w:rPr>
        <w:t>委员并</w:t>
      </w:r>
      <w:r w:rsidR="00241EDC">
        <w:rPr>
          <w:rFonts w:asciiTheme="minorHAnsi" w:hAnsiTheme="minorHAnsi" w:cstheme="minorHAnsi" w:hint="eastAsia"/>
          <w:szCs w:val="24"/>
          <w:lang w:val="en-US" w:eastAsia="zh-CN"/>
        </w:rPr>
        <w:t>向理事会</w:t>
      </w:r>
      <w:r w:rsidR="00241EDC">
        <w:rPr>
          <w:rFonts w:asciiTheme="minorHAnsi" w:hAnsiTheme="minorHAnsi" w:cstheme="minorHAnsi" w:hint="eastAsia"/>
          <w:szCs w:val="24"/>
          <w:lang w:val="en-US" w:eastAsia="zh-CN"/>
        </w:rPr>
        <w:t>2019</w:t>
      </w:r>
      <w:r w:rsidR="00241EDC">
        <w:rPr>
          <w:rFonts w:asciiTheme="minorHAnsi" w:hAnsiTheme="minorHAnsi" w:cstheme="minorHAnsi" w:hint="eastAsia"/>
          <w:szCs w:val="24"/>
          <w:lang w:val="en-US" w:eastAsia="zh-CN"/>
        </w:rPr>
        <w:t>年会议</w:t>
      </w:r>
      <w:r w:rsidR="00252304">
        <w:rPr>
          <w:rFonts w:asciiTheme="minorHAnsi" w:hAnsiTheme="minorHAnsi" w:cstheme="minorHAnsi" w:hint="eastAsia"/>
          <w:szCs w:val="24"/>
          <w:lang w:val="en-US" w:eastAsia="zh-CN"/>
        </w:rPr>
        <w:t>汇报工作成果</w:t>
      </w:r>
      <w:r w:rsidR="00241EDC">
        <w:rPr>
          <w:rFonts w:asciiTheme="minorHAnsi" w:hAnsiTheme="minorHAnsi" w:cstheme="minorHAnsi" w:hint="eastAsia"/>
          <w:szCs w:val="24"/>
          <w:lang w:val="en-US" w:eastAsia="zh-CN"/>
        </w:rPr>
        <w:t>。</w:t>
      </w:r>
    </w:p>
    <w:p w:rsidR="005C781B" w:rsidRPr="00C46DFF" w:rsidRDefault="00822560" w:rsidP="005C781B">
      <w:pPr>
        <w:tabs>
          <w:tab w:val="clear" w:pos="794"/>
          <w:tab w:val="clear" w:pos="1191"/>
          <w:tab w:val="clear" w:pos="1588"/>
          <w:tab w:val="clear" w:pos="1985"/>
        </w:tabs>
        <w:snapToGrid w:val="0"/>
        <w:spacing w:after="120"/>
        <w:jc w:val="both"/>
        <w:rPr>
          <w:rFonts w:asciiTheme="minorHAnsi" w:hAnsiTheme="minorHAnsi" w:cstheme="minorHAnsi"/>
          <w:szCs w:val="24"/>
          <w:lang w:val="en-US" w:eastAsia="zh-CN"/>
        </w:rPr>
      </w:pPr>
      <w:r>
        <w:rPr>
          <w:rFonts w:asciiTheme="minorHAnsi" w:eastAsiaTheme="minorEastAsia" w:hAnsiTheme="minorHAnsi" w:cstheme="minorHAnsi"/>
          <w:szCs w:val="24"/>
          <w:lang w:val="en-US" w:eastAsia="zh-CN"/>
        </w:rPr>
        <w:t>19</w:t>
      </w:r>
      <w:r w:rsidR="005C781B" w:rsidRPr="00C15427">
        <w:rPr>
          <w:rFonts w:asciiTheme="minorHAnsi" w:eastAsiaTheme="minorEastAsia" w:hAnsiTheme="minorHAnsi" w:cstheme="minorHAnsi"/>
          <w:szCs w:val="24"/>
          <w:lang w:val="en-US" w:eastAsia="zh-CN"/>
        </w:rPr>
        <w:tab/>
      </w:r>
      <w:r w:rsidR="00241EDC">
        <w:rPr>
          <w:rFonts w:asciiTheme="minorHAnsi" w:hAnsiTheme="minorHAnsi" w:cstheme="minorHAnsi" w:hint="eastAsia"/>
          <w:szCs w:val="24"/>
          <w:lang w:val="en-US" w:eastAsia="zh-CN"/>
        </w:rPr>
        <w:t>在国际电联秘书处的支持下，</w:t>
      </w:r>
      <w:r w:rsidR="005C781B">
        <w:rPr>
          <w:lang w:val="en-US" w:eastAsia="zh-CN"/>
        </w:rPr>
        <w:t>评审</w:t>
      </w:r>
      <w:r w:rsidR="005C781B">
        <w:rPr>
          <w:rFonts w:hint="eastAsia"/>
          <w:lang w:val="en-US" w:eastAsia="zh-CN"/>
        </w:rPr>
        <w:t>委员</w:t>
      </w:r>
      <w:r w:rsidR="005C781B">
        <w:rPr>
          <w:lang w:val="en-US" w:eastAsia="zh-CN"/>
        </w:rPr>
        <w:t>会</w:t>
      </w:r>
      <w:r w:rsidR="004C687E">
        <w:rPr>
          <w:rFonts w:hint="eastAsia"/>
          <w:lang w:val="en-US" w:eastAsia="zh-CN"/>
        </w:rPr>
        <w:t>开展了有关</w:t>
      </w:r>
      <w:r w:rsidR="005C781B">
        <w:rPr>
          <w:lang w:val="en-US" w:eastAsia="zh-CN"/>
        </w:rPr>
        <w:t>招标程序</w:t>
      </w:r>
      <w:r w:rsidR="004C687E">
        <w:rPr>
          <w:rFonts w:hint="eastAsia"/>
          <w:lang w:val="en-US" w:eastAsia="zh-CN"/>
        </w:rPr>
        <w:t>的工作</w:t>
      </w:r>
      <w:r w:rsidR="005C781B">
        <w:rPr>
          <w:lang w:val="en-US" w:eastAsia="zh-CN"/>
        </w:rPr>
        <w:t>，以确定符合国际电联账目审计投标申请书（</w:t>
      </w:r>
      <w:r w:rsidR="005C781B">
        <w:rPr>
          <w:rFonts w:hint="eastAsia"/>
          <w:lang w:val="en-US" w:eastAsia="zh-CN"/>
        </w:rPr>
        <w:t>R</w:t>
      </w:r>
      <w:r w:rsidR="004C687E">
        <w:rPr>
          <w:rFonts w:hint="eastAsia"/>
          <w:lang w:val="en-US" w:eastAsia="zh-CN"/>
        </w:rPr>
        <w:t>F</w:t>
      </w:r>
      <w:r w:rsidR="005C781B">
        <w:rPr>
          <w:rFonts w:hint="eastAsia"/>
          <w:lang w:val="en-US" w:eastAsia="zh-CN"/>
        </w:rPr>
        <w:t>P</w:t>
      </w:r>
      <w:r w:rsidR="005C781B">
        <w:rPr>
          <w:lang w:val="en-US" w:eastAsia="zh-CN"/>
        </w:rPr>
        <w:t>）</w:t>
      </w:r>
      <w:r w:rsidR="005C781B">
        <w:rPr>
          <w:rFonts w:hint="eastAsia"/>
          <w:lang w:val="en-US" w:eastAsia="zh-CN"/>
        </w:rPr>
        <w:t>最佳</w:t>
      </w:r>
      <w:r w:rsidR="005C781B">
        <w:rPr>
          <w:lang w:val="en-US" w:eastAsia="zh-CN"/>
        </w:rPr>
        <w:t>标准的、国际电联某一成员国的最高审计机构（</w:t>
      </w:r>
      <w:r w:rsidR="005C781B">
        <w:rPr>
          <w:rFonts w:hint="eastAsia"/>
          <w:lang w:val="en-US" w:eastAsia="zh-CN"/>
        </w:rPr>
        <w:t>SAI</w:t>
      </w:r>
      <w:r w:rsidR="005C781B">
        <w:rPr>
          <w:lang w:val="en-US" w:eastAsia="zh-CN"/>
        </w:rPr>
        <w:t>）</w:t>
      </w:r>
      <w:r w:rsidR="005C781B">
        <w:rPr>
          <w:rFonts w:hint="eastAsia"/>
          <w:lang w:val="en-US" w:eastAsia="zh-CN"/>
        </w:rPr>
        <w:t>。</w:t>
      </w:r>
    </w:p>
    <w:p w:rsidR="005C781B" w:rsidRPr="00C46DFF" w:rsidRDefault="00822560" w:rsidP="005C781B">
      <w:pPr>
        <w:tabs>
          <w:tab w:val="clear" w:pos="794"/>
          <w:tab w:val="clear" w:pos="1191"/>
          <w:tab w:val="clear" w:pos="1588"/>
          <w:tab w:val="clear" w:pos="1985"/>
        </w:tabs>
        <w:snapToGrid w:val="0"/>
        <w:spacing w:after="120"/>
        <w:jc w:val="both"/>
        <w:rPr>
          <w:rFonts w:asciiTheme="minorHAnsi" w:hAnsiTheme="minorHAnsi" w:cstheme="minorHAnsi"/>
          <w:bCs/>
          <w:szCs w:val="24"/>
          <w:lang w:val="en-US" w:eastAsia="zh-CN"/>
        </w:rPr>
      </w:pPr>
      <w:r>
        <w:rPr>
          <w:rFonts w:asciiTheme="minorHAnsi" w:eastAsiaTheme="minorEastAsia" w:hAnsiTheme="minorHAnsi" w:cstheme="minorHAnsi"/>
          <w:szCs w:val="24"/>
          <w:lang w:val="en-US" w:eastAsia="zh-CN"/>
        </w:rPr>
        <w:t>20</w:t>
      </w:r>
      <w:r w:rsidR="005C781B" w:rsidRPr="00F259FE">
        <w:rPr>
          <w:rFonts w:asciiTheme="minorHAnsi" w:eastAsiaTheme="minorEastAsia" w:hAnsiTheme="minorHAnsi" w:cstheme="minorHAnsi"/>
          <w:szCs w:val="24"/>
          <w:lang w:val="en-US" w:eastAsia="zh-CN"/>
        </w:rPr>
        <w:tab/>
      </w:r>
      <w:r w:rsidR="00542E7D" w:rsidRPr="00131306">
        <w:rPr>
          <w:rFonts w:asciiTheme="minorHAnsi" w:hAnsiTheme="minorHAnsi" w:cstheme="minorHAnsi" w:hint="eastAsia"/>
          <w:szCs w:val="24"/>
          <w:lang w:val="en-US" w:eastAsia="zh-CN"/>
        </w:rPr>
        <w:t>内部审计处</w:t>
      </w:r>
      <w:r w:rsidR="00542E7D">
        <w:rPr>
          <w:rFonts w:asciiTheme="minorHAnsi" w:hAnsiTheme="minorHAnsi" w:cstheme="minorHAnsi" w:hint="eastAsia"/>
          <w:szCs w:val="24"/>
          <w:lang w:val="en-US" w:eastAsia="zh-CN"/>
        </w:rPr>
        <w:t>继续在整个过程中</w:t>
      </w:r>
      <w:r w:rsidR="00252304">
        <w:rPr>
          <w:rFonts w:asciiTheme="minorHAnsi" w:hAnsiTheme="minorHAnsi" w:cstheme="minorHAnsi" w:hint="eastAsia"/>
          <w:szCs w:val="24"/>
          <w:lang w:val="en-US" w:eastAsia="zh-CN"/>
        </w:rPr>
        <w:t>向</w:t>
      </w:r>
      <w:r w:rsidR="00542E7D">
        <w:rPr>
          <w:lang w:val="en-US" w:eastAsia="zh-CN"/>
        </w:rPr>
        <w:t>评审</w:t>
      </w:r>
      <w:r w:rsidR="00542E7D">
        <w:rPr>
          <w:rFonts w:hint="eastAsia"/>
          <w:lang w:val="en-US" w:eastAsia="zh-CN"/>
        </w:rPr>
        <w:t>委员</w:t>
      </w:r>
      <w:r w:rsidR="00542E7D">
        <w:rPr>
          <w:lang w:val="en-US" w:eastAsia="zh-CN"/>
        </w:rPr>
        <w:t>会</w:t>
      </w:r>
      <w:r w:rsidR="00252304">
        <w:rPr>
          <w:rFonts w:hint="eastAsia"/>
          <w:lang w:val="en-US" w:eastAsia="zh-CN"/>
        </w:rPr>
        <w:t>委</w:t>
      </w:r>
      <w:r w:rsidR="00542E7D">
        <w:rPr>
          <w:rFonts w:hint="eastAsia"/>
          <w:lang w:val="en-US" w:eastAsia="zh-CN"/>
        </w:rPr>
        <w:t>员提供帮助，并酌情就程序和审计的技术问题提供指导。</w:t>
      </w:r>
      <w:r w:rsidR="00252304">
        <w:rPr>
          <w:rFonts w:hint="eastAsia"/>
          <w:lang w:val="en-US" w:eastAsia="zh-CN"/>
        </w:rPr>
        <w:t>IA</w:t>
      </w:r>
      <w:r w:rsidR="00542E7D">
        <w:rPr>
          <w:rFonts w:hint="eastAsia"/>
          <w:lang w:val="en-US" w:eastAsia="zh-CN"/>
        </w:rPr>
        <w:t>单独向理事会提交了一份</w:t>
      </w:r>
      <w:r w:rsidR="00542E7D">
        <w:rPr>
          <w:lang w:val="en-US" w:eastAsia="zh-CN"/>
        </w:rPr>
        <w:t>评审</w:t>
      </w:r>
      <w:r w:rsidR="00542E7D">
        <w:rPr>
          <w:rFonts w:hint="eastAsia"/>
          <w:lang w:val="en-US" w:eastAsia="zh-CN"/>
        </w:rPr>
        <w:t>委员</w:t>
      </w:r>
      <w:r w:rsidR="00542E7D">
        <w:rPr>
          <w:lang w:val="en-US" w:eastAsia="zh-CN"/>
        </w:rPr>
        <w:t>会</w:t>
      </w:r>
      <w:r w:rsidR="00542E7D">
        <w:rPr>
          <w:rFonts w:hint="eastAsia"/>
          <w:lang w:val="en-US" w:eastAsia="zh-CN"/>
        </w:rPr>
        <w:t>工作报告供理事会审议。</w:t>
      </w:r>
    </w:p>
    <w:p w:rsidR="006C5D55" w:rsidRPr="00E0607D" w:rsidRDefault="006C5D55" w:rsidP="00112C16">
      <w:pPr>
        <w:pStyle w:val="Heading1"/>
        <w:rPr>
          <w:lang w:eastAsia="zh-CN"/>
        </w:rPr>
      </w:pPr>
      <w:r w:rsidRPr="00E0607D">
        <w:rPr>
          <w:lang w:eastAsia="zh-CN"/>
        </w:rPr>
        <w:t>对内部审计建议的跟进</w:t>
      </w:r>
    </w:p>
    <w:p w:rsidR="0097490A" w:rsidRDefault="005C781B" w:rsidP="0097490A">
      <w:pPr>
        <w:spacing w:after="240"/>
        <w:rPr>
          <w:rFonts w:asciiTheme="minorHAnsi" w:eastAsiaTheme="minorEastAsia" w:hAnsiTheme="minorHAnsi"/>
          <w:lang w:val="en-CA" w:eastAsia="zh-CN"/>
        </w:rPr>
      </w:pPr>
      <w:r>
        <w:rPr>
          <w:rFonts w:asciiTheme="minorHAnsi" w:eastAsiaTheme="minorEastAsia" w:hAnsiTheme="minorHAnsi"/>
          <w:lang w:val="en-CA" w:eastAsia="zh-CN"/>
        </w:rPr>
        <w:t>21</w:t>
      </w:r>
      <w:r w:rsidR="006C5D55" w:rsidRPr="006C5D55">
        <w:rPr>
          <w:rFonts w:asciiTheme="minorHAnsi" w:eastAsiaTheme="minorEastAsia" w:hAnsiTheme="minorHAnsi"/>
          <w:lang w:val="en-CA" w:eastAsia="zh-CN"/>
        </w:rPr>
        <w:tab/>
      </w:r>
      <w:r w:rsidR="006C5D55" w:rsidRPr="006C5D55">
        <w:rPr>
          <w:rFonts w:asciiTheme="minorHAnsi" w:eastAsiaTheme="minorEastAsia" w:hAnsiTheme="minorHAnsi"/>
          <w:lang w:val="en-CA" w:eastAsia="zh-CN"/>
        </w:rPr>
        <w:t>在整个报告期内，根据</w:t>
      </w:r>
      <w:r w:rsidR="006C5D55" w:rsidRPr="006C5D55">
        <w:rPr>
          <w:rFonts w:asciiTheme="minorHAnsi" w:eastAsiaTheme="minorEastAsia" w:hAnsiTheme="minorHAnsi"/>
          <w:lang w:val="en-CA" w:eastAsia="zh-CN"/>
        </w:rPr>
        <w:t>IIA</w:t>
      </w:r>
      <w:r w:rsidR="006C5D55" w:rsidRPr="006C5D55">
        <w:rPr>
          <w:rStyle w:val="FootnoteReference"/>
          <w:rFonts w:asciiTheme="minorHAnsi" w:eastAsiaTheme="minorEastAsia" w:hAnsiTheme="minorHAnsi"/>
        </w:rPr>
        <w:footnoteReference w:id="4"/>
      </w:r>
      <w:r w:rsidR="006C5D55" w:rsidRPr="006C5D55">
        <w:rPr>
          <w:rFonts w:asciiTheme="minorHAnsi" w:eastAsiaTheme="minorEastAsia" w:hAnsiTheme="minorHAnsi"/>
          <w:lang w:val="en-CA" w:eastAsia="zh-CN"/>
        </w:rPr>
        <w:t>的准则</w:t>
      </w:r>
      <w:r w:rsidR="006C5D55" w:rsidRPr="006C5D55">
        <w:rPr>
          <w:rFonts w:asciiTheme="minorHAnsi" w:eastAsiaTheme="minorEastAsia" w:hAnsiTheme="minorHAnsi"/>
          <w:lang w:val="en-CA" w:eastAsia="zh-CN"/>
        </w:rPr>
        <w:t>2500</w:t>
      </w:r>
      <w:r w:rsidR="006C5D55" w:rsidRPr="006C5D55">
        <w:rPr>
          <w:rFonts w:asciiTheme="minorHAnsi" w:eastAsiaTheme="minorEastAsia" w:hAnsiTheme="minorHAnsi"/>
          <w:lang w:val="en-CA" w:eastAsia="zh-CN"/>
        </w:rPr>
        <w:t>，内部审计处继续对以往审计报告提出的各项建议</w:t>
      </w:r>
      <w:r w:rsidR="00EE4234">
        <w:rPr>
          <w:rFonts w:asciiTheme="minorHAnsi" w:eastAsiaTheme="minorEastAsia" w:hAnsiTheme="minorHAnsi" w:hint="eastAsia"/>
          <w:lang w:val="en-CA" w:eastAsia="zh-CN"/>
        </w:rPr>
        <w:t>予以跟进</w:t>
      </w:r>
      <w:r w:rsidR="006C5D55" w:rsidRPr="006C5D55">
        <w:rPr>
          <w:rFonts w:asciiTheme="minorHAnsi" w:eastAsiaTheme="minorEastAsia" w:hAnsiTheme="minorHAnsi"/>
          <w:lang w:val="en-CA" w:eastAsia="zh-CN"/>
        </w:rPr>
        <w:t>。</w:t>
      </w:r>
      <w:r w:rsidR="00EE4234">
        <w:rPr>
          <w:rFonts w:asciiTheme="minorHAnsi" w:eastAsiaTheme="minorEastAsia" w:hAnsiTheme="minorHAnsi" w:hint="eastAsia"/>
          <w:lang w:val="en-CA" w:eastAsia="zh-CN"/>
        </w:rPr>
        <w:t>我们</w:t>
      </w:r>
      <w:r w:rsidR="006C5D55" w:rsidRPr="006C5D55">
        <w:rPr>
          <w:rFonts w:asciiTheme="minorHAnsi" w:eastAsiaTheme="minorEastAsia" w:hAnsiTheme="minorHAnsi"/>
          <w:lang w:val="en-CA" w:eastAsia="zh-CN"/>
        </w:rPr>
        <w:t>注意到在过去</w:t>
      </w:r>
      <w:r w:rsidR="006C5D55" w:rsidRPr="006C5D55">
        <w:rPr>
          <w:rFonts w:asciiTheme="minorHAnsi" w:eastAsiaTheme="minorEastAsia" w:hAnsiTheme="minorHAnsi"/>
          <w:lang w:val="en-CA" w:eastAsia="zh-CN"/>
        </w:rPr>
        <w:t>12</w:t>
      </w:r>
      <w:r w:rsidR="006C5D55" w:rsidRPr="006C5D55">
        <w:rPr>
          <w:rFonts w:asciiTheme="minorHAnsi" w:eastAsiaTheme="minorEastAsia" w:hAnsiTheme="minorHAnsi"/>
          <w:lang w:val="en-CA" w:eastAsia="zh-CN"/>
        </w:rPr>
        <w:t>个月进一步取得了进展，实施统计数据（截至</w:t>
      </w:r>
      <w:r w:rsidR="006C5D55" w:rsidRPr="006C5D55">
        <w:rPr>
          <w:rFonts w:asciiTheme="minorHAnsi" w:eastAsiaTheme="minorEastAsia" w:hAnsiTheme="minorHAnsi"/>
          <w:lang w:val="en-CA" w:eastAsia="zh-CN"/>
        </w:rPr>
        <w:t>201</w:t>
      </w:r>
      <w:r w:rsidR="00542E7D">
        <w:rPr>
          <w:rFonts w:asciiTheme="minorHAnsi" w:eastAsiaTheme="minorEastAsia" w:hAnsiTheme="minorHAnsi" w:hint="eastAsia"/>
          <w:lang w:val="en-CA" w:eastAsia="zh-CN"/>
        </w:rPr>
        <w:t>9</w:t>
      </w:r>
      <w:r w:rsidR="006C5D55" w:rsidRPr="006C5D55">
        <w:rPr>
          <w:rFonts w:asciiTheme="minorHAnsi" w:eastAsiaTheme="minorEastAsia" w:hAnsiTheme="minorHAnsi"/>
          <w:lang w:val="en-CA" w:eastAsia="zh-CN"/>
        </w:rPr>
        <w:t>年</w:t>
      </w:r>
      <w:r w:rsidR="00542E7D">
        <w:rPr>
          <w:rFonts w:asciiTheme="minorHAnsi" w:eastAsiaTheme="minorEastAsia" w:hAnsiTheme="minorHAnsi" w:hint="eastAsia"/>
          <w:lang w:val="en-CA" w:eastAsia="zh-CN"/>
        </w:rPr>
        <w:t>5</w:t>
      </w:r>
      <w:r w:rsidR="006C5D55" w:rsidRPr="006C5D55">
        <w:rPr>
          <w:rFonts w:asciiTheme="minorHAnsi" w:eastAsiaTheme="minorEastAsia" w:hAnsiTheme="minorHAnsi"/>
          <w:lang w:val="en-CA" w:eastAsia="zh-CN"/>
        </w:rPr>
        <w:t>月</w:t>
      </w:r>
      <w:r w:rsidR="00542E7D">
        <w:rPr>
          <w:rFonts w:asciiTheme="minorHAnsi" w:eastAsiaTheme="minorEastAsia" w:hAnsiTheme="minorHAnsi" w:hint="eastAsia"/>
          <w:lang w:val="en-CA" w:eastAsia="zh-CN"/>
        </w:rPr>
        <w:t>15</w:t>
      </w:r>
      <w:r w:rsidR="006C5D55" w:rsidRPr="006C5D55">
        <w:rPr>
          <w:rFonts w:asciiTheme="minorHAnsi" w:eastAsiaTheme="minorEastAsia" w:hAnsiTheme="minorHAnsi"/>
          <w:lang w:val="en-CA" w:eastAsia="zh-CN"/>
        </w:rPr>
        <w:t>日）如下：</w:t>
      </w:r>
    </w:p>
    <w:tbl>
      <w:tblPr>
        <w:tblW w:w="9619" w:type="dxa"/>
        <w:tblLook w:val="04A0" w:firstRow="1" w:lastRow="0" w:firstColumn="1" w:lastColumn="0" w:noHBand="0" w:noVBand="1"/>
      </w:tblPr>
      <w:tblGrid>
        <w:gridCol w:w="2371"/>
        <w:gridCol w:w="713"/>
        <w:gridCol w:w="628"/>
        <w:gridCol w:w="711"/>
        <w:gridCol w:w="712"/>
        <w:gridCol w:w="712"/>
        <w:gridCol w:w="712"/>
        <w:gridCol w:w="880"/>
        <w:gridCol w:w="622"/>
        <w:gridCol w:w="846"/>
        <w:gridCol w:w="712"/>
      </w:tblGrid>
      <w:tr w:rsidR="00251A0B" w:rsidRPr="00E77CA3" w:rsidTr="00251A0B">
        <w:trPr>
          <w:trHeight w:val="315"/>
        </w:trPr>
        <w:tc>
          <w:tcPr>
            <w:tcW w:w="2371" w:type="dxa"/>
            <w:tcBorders>
              <w:top w:val="single" w:sz="8" w:space="0" w:color="auto"/>
              <w:left w:val="single" w:sz="8" w:space="0" w:color="auto"/>
              <w:bottom w:val="nil"/>
              <w:right w:val="nil"/>
            </w:tcBorders>
            <w:shd w:val="clear" w:color="000000" w:fill="000000"/>
            <w:noWrap/>
            <w:vAlign w:val="bottom"/>
            <w:hideMark/>
          </w:tcPr>
          <w:p w:rsidR="00251A0B" w:rsidRPr="0097490A" w:rsidRDefault="00251A0B" w:rsidP="00251A0B">
            <w:pPr>
              <w:keepNext/>
              <w:keepLines/>
              <w:overflowPunct/>
              <w:autoSpaceDE/>
              <w:autoSpaceDN/>
              <w:adjustRightInd/>
              <w:spacing w:before="0"/>
              <w:textAlignment w:val="auto"/>
              <w:rPr>
                <w:rFonts w:ascii="Arial" w:hAnsi="Arial" w:cs="Arial"/>
                <w:b/>
                <w:bCs/>
                <w:color w:val="FFFFFF"/>
                <w:sz w:val="22"/>
                <w:szCs w:val="22"/>
                <w:lang w:val="en-US" w:eastAsia="zh-CN"/>
              </w:rPr>
            </w:pPr>
            <w:r w:rsidRPr="0097490A">
              <w:rPr>
                <w:rFonts w:asciiTheme="minorHAnsi" w:eastAsiaTheme="minorEastAsia" w:hAnsiTheme="minorHAnsi"/>
                <w:sz w:val="22"/>
                <w:szCs w:val="22"/>
                <w:lang w:val="en-US" w:eastAsia="zh-CN"/>
              </w:rPr>
              <w:t>年份</w:t>
            </w:r>
          </w:p>
        </w:tc>
        <w:tc>
          <w:tcPr>
            <w:tcW w:w="713" w:type="dxa"/>
            <w:tcBorders>
              <w:top w:val="single" w:sz="8" w:space="0" w:color="auto"/>
              <w:left w:val="nil"/>
              <w:bottom w:val="nil"/>
              <w:right w:val="nil"/>
            </w:tcBorders>
            <w:shd w:val="clear" w:color="000000" w:fill="000000"/>
            <w:noWrap/>
            <w:vAlign w:val="bottom"/>
            <w:hideMark/>
          </w:tcPr>
          <w:p w:rsidR="00251A0B" w:rsidRPr="00E77CA3" w:rsidRDefault="00251A0B" w:rsidP="00251A0B">
            <w:pPr>
              <w:pStyle w:val="Tablehead"/>
              <w:rPr>
                <w:sz w:val="20"/>
              </w:rPr>
            </w:pPr>
            <w:r w:rsidRPr="00E77CA3">
              <w:rPr>
                <w:sz w:val="20"/>
              </w:rPr>
              <w:t>2011</w:t>
            </w:r>
          </w:p>
        </w:tc>
        <w:tc>
          <w:tcPr>
            <w:tcW w:w="628" w:type="dxa"/>
            <w:tcBorders>
              <w:top w:val="single" w:sz="8" w:space="0" w:color="auto"/>
              <w:left w:val="nil"/>
              <w:bottom w:val="nil"/>
              <w:right w:val="nil"/>
            </w:tcBorders>
            <w:shd w:val="clear" w:color="000000" w:fill="000000"/>
            <w:noWrap/>
            <w:vAlign w:val="bottom"/>
            <w:hideMark/>
          </w:tcPr>
          <w:p w:rsidR="00251A0B" w:rsidRPr="00E77CA3" w:rsidRDefault="00251A0B" w:rsidP="00251A0B">
            <w:pPr>
              <w:pStyle w:val="Tablehead"/>
              <w:rPr>
                <w:sz w:val="20"/>
              </w:rPr>
            </w:pPr>
            <w:r w:rsidRPr="00E77CA3">
              <w:rPr>
                <w:sz w:val="20"/>
              </w:rPr>
              <w:t>2012</w:t>
            </w:r>
          </w:p>
        </w:tc>
        <w:tc>
          <w:tcPr>
            <w:tcW w:w="711" w:type="dxa"/>
            <w:tcBorders>
              <w:top w:val="single" w:sz="8" w:space="0" w:color="auto"/>
              <w:left w:val="nil"/>
              <w:bottom w:val="nil"/>
              <w:right w:val="nil"/>
            </w:tcBorders>
            <w:shd w:val="clear" w:color="000000" w:fill="000000"/>
            <w:noWrap/>
            <w:vAlign w:val="bottom"/>
            <w:hideMark/>
          </w:tcPr>
          <w:p w:rsidR="00251A0B" w:rsidRPr="00E77CA3" w:rsidRDefault="00251A0B" w:rsidP="00251A0B">
            <w:pPr>
              <w:pStyle w:val="Tablehead"/>
              <w:rPr>
                <w:sz w:val="20"/>
              </w:rPr>
            </w:pPr>
            <w:r w:rsidRPr="00E77CA3">
              <w:rPr>
                <w:sz w:val="20"/>
              </w:rPr>
              <w:t>2013</w:t>
            </w:r>
          </w:p>
        </w:tc>
        <w:tc>
          <w:tcPr>
            <w:tcW w:w="712" w:type="dxa"/>
            <w:tcBorders>
              <w:top w:val="single" w:sz="8" w:space="0" w:color="auto"/>
              <w:left w:val="nil"/>
              <w:bottom w:val="nil"/>
              <w:right w:val="nil"/>
            </w:tcBorders>
            <w:shd w:val="clear" w:color="000000" w:fill="000000"/>
            <w:noWrap/>
            <w:vAlign w:val="bottom"/>
            <w:hideMark/>
          </w:tcPr>
          <w:p w:rsidR="00251A0B" w:rsidRPr="00E77CA3" w:rsidRDefault="00251A0B" w:rsidP="00251A0B">
            <w:pPr>
              <w:pStyle w:val="Tablehead"/>
              <w:rPr>
                <w:sz w:val="20"/>
              </w:rPr>
            </w:pPr>
            <w:r w:rsidRPr="00E77CA3">
              <w:rPr>
                <w:sz w:val="20"/>
              </w:rPr>
              <w:t>2014</w:t>
            </w:r>
          </w:p>
        </w:tc>
        <w:tc>
          <w:tcPr>
            <w:tcW w:w="712" w:type="dxa"/>
            <w:tcBorders>
              <w:top w:val="single" w:sz="8" w:space="0" w:color="auto"/>
              <w:left w:val="nil"/>
              <w:bottom w:val="nil"/>
              <w:right w:val="nil"/>
            </w:tcBorders>
            <w:shd w:val="clear" w:color="000000" w:fill="000000"/>
            <w:noWrap/>
            <w:vAlign w:val="bottom"/>
            <w:hideMark/>
          </w:tcPr>
          <w:p w:rsidR="00251A0B" w:rsidRPr="00E77CA3" w:rsidRDefault="00251A0B" w:rsidP="00251A0B">
            <w:pPr>
              <w:pStyle w:val="Tablehead"/>
              <w:rPr>
                <w:sz w:val="20"/>
              </w:rPr>
            </w:pPr>
            <w:r w:rsidRPr="00E77CA3">
              <w:rPr>
                <w:sz w:val="20"/>
              </w:rPr>
              <w:t>2015</w:t>
            </w:r>
          </w:p>
        </w:tc>
        <w:tc>
          <w:tcPr>
            <w:tcW w:w="712" w:type="dxa"/>
            <w:tcBorders>
              <w:top w:val="single" w:sz="8" w:space="0" w:color="auto"/>
              <w:left w:val="nil"/>
              <w:bottom w:val="nil"/>
              <w:right w:val="nil"/>
            </w:tcBorders>
            <w:shd w:val="clear" w:color="000000" w:fill="000000"/>
            <w:noWrap/>
            <w:vAlign w:val="bottom"/>
            <w:hideMark/>
          </w:tcPr>
          <w:p w:rsidR="00251A0B" w:rsidRPr="00E77CA3" w:rsidRDefault="00251A0B" w:rsidP="00251A0B">
            <w:pPr>
              <w:pStyle w:val="Tablehead"/>
              <w:rPr>
                <w:sz w:val="20"/>
              </w:rPr>
            </w:pPr>
            <w:r w:rsidRPr="00E77CA3">
              <w:rPr>
                <w:sz w:val="20"/>
              </w:rPr>
              <w:t>2016</w:t>
            </w:r>
          </w:p>
        </w:tc>
        <w:tc>
          <w:tcPr>
            <w:tcW w:w="880" w:type="dxa"/>
            <w:tcBorders>
              <w:top w:val="single" w:sz="8" w:space="0" w:color="auto"/>
              <w:left w:val="nil"/>
              <w:bottom w:val="nil"/>
              <w:right w:val="nil"/>
            </w:tcBorders>
            <w:shd w:val="clear" w:color="000000" w:fill="000000"/>
            <w:noWrap/>
            <w:vAlign w:val="bottom"/>
            <w:hideMark/>
          </w:tcPr>
          <w:p w:rsidR="00251A0B" w:rsidRPr="00E77CA3" w:rsidRDefault="00251A0B" w:rsidP="00251A0B">
            <w:pPr>
              <w:pStyle w:val="Tablehead"/>
              <w:rPr>
                <w:sz w:val="20"/>
              </w:rPr>
            </w:pPr>
            <w:r w:rsidRPr="00E77CA3">
              <w:rPr>
                <w:sz w:val="20"/>
              </w:rPr>
              <w:t>2017</w:t>
            </w:r>
          </w:p>
        </w:tc>
        <w:tc>
          <w:tcPr>
            <w:tcW w:w="622" w:type="dxa"/>
            <w:tcBorders>
              <w:top w:val="single" w:sz="8" w:space="0" w:color="auto"/>
              <w:left w:val="nil"/>
              <w:bottom w:val="single" w:sz="8" w:space="0" w:color="auto"/>
              <w:right w:val="nil"/>
            </w:tcBorders>
            <w:shd w:val="clear" w:color="000000" w:fill="000000"/>
          </w:tcPr>
          <w:p w:rsidR="00251A0B" w:rsidRPr="00E77CA3" w:rsidRDefault="00251A0B" w:rsidP="00251A0B">
            <w:pPr>
              <w:pStyle w:val="Tablehead"/>
              <w:rPr>
                <w:sz w:val="20"/>
              </w:rPr>
            </w:pPr>
            <w:r w:rsidRPr="00E77CA3">
              <w:rPr>
                <w:sz w:val="20"/>
              </w:rPr>
              <w:t>2018</w:t>
            </w:r>
          </w:p>
        </w:tc>
        <w:tc>
          <w:tcPr>
            <w:tcW w:w="846" w:type="dxa"/>
            <w:tcBorders>
              <w:top w:val="single" w:sz="8" w:space="0" w:color="auto"/>
              <w:left w:val="nil"/>
              <w:bottom w:val="single" w:sz="8" w:space="0" w:color="auto"/>
              <w:right w:val="nil"/>
            </w:tcBorders>
            <w:shd w:val="clear" w:color="000000" w:fill="000000"/>
          </w:tcPr>
          <w:p w:rsidR="00251A0B" w:rsidRPr="00E77CA3" w:rsidRDefault="00251A0B" w:rsidP="00251A0B">
            <w:pPr>
              <w:pStyle w:val="Tablehead"/>
              <w:rPr>
                <w:sz w:val="20"/>
              </w:rPr>
            </w:pPr>
            <w:r w:rsidRPr="00E77CA3">
              <w:rPr>
                <w:sz w:val="20"/>
              </w:rPr>
              <w:t>2019(*)</w:t>
            </w:r>
          </w:p>
        </w:tc>
        <w:tc>
          <w:tcPr>
            <w:tcW w:w="712" w:type="dxa"/>
            <w:tcBorders>
              <w:top w:val="single" w:sz="8" w:space="0" w:color="auto"/>
              <w:left w:val="nil"/>
              <w:bottom w:val="nil"/>
              <w:right w:val="single" w:sz="8" w:space="0" w:color="auto"/>
            </w:tcBorders>
            <w:shd w:val="clear" w:color="000000" w:fill="000000"/>
            <w:noWrap/>
            <w:vAlign w:val="bottom"/>
            <w:hideMark/>
          </w:tcPr>
          <w:p w:rsidR="00251A0B" w:rsidRPr="00E77CA3" w:rsidRDefault="00112C16" w:rsidP="00112C16">
            <w:pPr>
              <w:pStyle w:val="Tablehead"/>
              <w:rPr>
                <w:sz w:val="20"/>
              </w:rPr>
            </w:pPr>
            <w:r>
              <w:rPr>
                <w:rFonts w:hint="eastAsia"/>
                <w:sz w:val="20"/>
                <w:lang w:eastAsia="zh-CN"/>
              </w:rPr>
              <w:t>合计</w:t>
            </w:r>
          </w:p>
        </w:tc>
      </w:tr>
      <w:tr w:rsidR="00251A0B" w:rsidRPr="00100BB2" w:rsidTr="00251A0B">
        <w:trPr>
          <w:trHeight w:val="300"/>
        </w:trPr>
        <w:tc>
          <w:tcPr>
            <w:tcW w:w="2371"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251A0B" w:rsidRPr="0097490A" w:rsidRDefault="00251A0B" w:rsidP="00251A0B">
            <w:pPr>
              <w:pStyle w:val="Tabletext"/>
              <w:rPr>
                <w:rFonts w:asciiTheme="minorHAnsi" w:eastAsiaTheme="minorEastAsia" w:hAnsiTheme="minorHAnsi"/>
                <w:szCs w:val="22"/>
                <w:lang w:val="en-US" w:eastAsia="zh-CN"/>
              </w:rPr>
            </w:pPr>
            <w:r w:rsidRPr="0097490A">
              <w:rPr>
                <w:rFonts w:asciiTheme="minorHAnsi" w:eastAsiaTheme="minorEastAsia" w:hAnsiTheme="minorHAnsi"/>
                <w:szCs w:val="22"/>
                <w:lang w:val="en-US" w:eastAsia="zh-CN"/>
              </w:rPr>
              <w:t>审计报告的数量</w:t>
            </w:r>
          </w:p>
        </w:tc>
        <w:tc>
          <w:tcPr>
            <w:tcW w:w="713" w:type="dxa"/>
            <w:tcBorders>
              <w:top w:val="single" w:sz="8" w:space="0" w:color="auto"/>
              <w:left w:val="nil"/>
              <w:bottom w:val="single" w:sz="4" w:space="0" w:color="auto"/>
              <w:right w:val="single" w:sz="4" w:space="0" w:color="auto"/>
            </w:tcBorders>
            <w:shd w:val="clear" w:color="auto" w:fill="auto"/>
            <w:noWrap/>
            <w:vAlign w:val="center"/>
            <w:hideMark/>
          </w:tcPr>
          <w:p w:rsidR="00251A0B" w:rsidRPr="00FB48BF" w:rsidRDefault="00251A0B" w:rsidP="00251A0B">
            <w:pPr>
              <w:spacing w:before="40" w:after="40"/>
              <w:jc w:val="center"/>
              <w:rPr>
                <w:sz w:val="20"/>
              </w:rPr>
            </w:pPr>
            <w:r w:rsidRPr="00FB48BF">
              <w:rPr>
                <w:sz w:val="20"/>
              </w:rPr>
              <w:t>2</w:t>
            </w:r>
          </w:p>
        </w:tc>
        <w:tc>
          <w:tcPr>
            <w:tcW w:w="628" w:type="dxa"/>
            <w:tcBorders>
              <w:top w:val="single" w:sz="8" w:space="0" w:color="auto"/>
              <w:left w:val="nil"/>
              <w:bottom w:val="single" w:sz="4" w:space="0" w:color="auto"/>
              <w:right w:val="single" w:sz="4" w:space="0" w:color="auto"/>
            </w:tcBorders>
            <w:shd w:val="clear" w:color="auto" w:fill="auto"/>
            <w:noWrap/>
            <w:vAlign w:val="center"/>
            <w:hideMark/>
          </w:tcPr>
          <w:p w:rsidR="00251A0B" w:rsidRPr="00FB48BF" w:rsidRDefault="00251A0B" w:rsidP="00251A0B">
            <w:pPr>
              <w:spacing w:before="40" w:after="40"/>
              <w:jc w:val="center"/>
              <w:rPr>
                <w:sz w:val="20"/>
              </w:rPr>
            </w:pPr>
            <w:r w:rsidRPr="00FB48BF">
              <w:rPr>
                <w:sz w:val="20"/>
              </w:rPr>
              <w:t>0</w:t>
            </w:r>
          </w:p>
        </w:tc>
        <w:tc>
          <w:tcPr>
            <w:tcW w:w="711" w:type="dxa"/>
            <w:tcBorders>
              <w:top w:val="single" w:sz="8" w:space="0" w:color="auto"/>
              <w:left w:val="nil"/>
              <w:bottom w:val="single" w:sz="4" w:space="0" w:color="auto"/>
              <w:right w:val="single" w:sz="4" w:space="0" w:color="auto"/>
            </w:tcBorders>
            <w:shd w:val="clear" w:color="000000" w:fill="FFFFFF"/>
            <w:noWrap/>
            <w:vAlign w:val="center"/>
            <w:hideMark/>
          </w:tcPr>
          <w:p w:rsidR="00251A0B" w:rsidRPr="00FB48BF" w:rsidRDefault="00251A0B" w:rsidP="00251A0B">
            <w:pPr>
              <w:spacing w:before="40" w:after="40"/>
              <w:jc w:val="center"/>
              <w:rPr>
                <w:sz w:val="20"/>
              </w:rPr>
            </w:pPr>
            <w:r w:rsidRPr="00FB48BF">
              <w:rPr>
                <w:sz w:val="20"/>
              </w:rPr>
              <w:t>4</w:t>
            </w:r>
          </w:p>
        </w:tc>
        <w:tc>
          <w:tcPr>
            <w:tcW w:w="712" w:type="dxa"/>
            <w:tcBorders>
              <w:top w:val="single" w:sz="8" w:space="0" w:color="auto"/>
              <w:left w:val="nil"/>
              <w:bottom w:val="single" w:sz="4" w:space="0" w:color="auto"/>
              <w:right w:val="nil"/>
            </w:tcBorders>
            <w:shd w:val="clear" w:color="000000" w:fill="FFFFFF"/>
            <w:noWrap/>
            <w:vAlign w:val="center"/>
            <w:hideMark/>
          </w:tcPr>
          <w:p w:rsidR="00251A0B" w:rsidRPr="00FB48BF" w:rsidRDefault="00251A0B" w:rsidP="00251A0B">
            <w:pPr>
              <w:spacing w:before="40" w:after="40"/>
              <w:jc w:val="center"/>
              <w:rPr>
                <w:sz w:val="20"/>
              </w:rPr>
            </w:pPr>
            <w:r w:rsidRPr="00FB48BF">
              <w:rPr>
                <w:sz w:val="20"/>
              </w:rPr>
              <w:t>4</w:t>
            </w:r>
          </w:p>
        </w:tc>
        <w:tc>
          <w:tcPr>
            <w:tcW w:w="712" w:type="dxa"/>
            <w:tcBorders>
              <w:top w:val="single" w:sz="8" w:space="0" w:color="auto"/>
              <w:left w:val="single" w:sz="4" w:space="0" w:color="auto"/>
              <w:bottom w:val="single" w:sz="4" w:space="0" w:color="auto"/>
              <w:right w:val="nil"/>
            </w:tcBorders>
            <w:shd w:val="clear" w:color="000000" w:fill="FFFFFF"/>
            <w:noWrap/>
            <w:vAlign w:val="center"/>
            <w:hideMark/>
          </w:tcPr>
          <w:p w:rsidR="00251A0B" w:rsidRPr="00FB48BF" w:rsidRDefault="00251A0B" w:rsidP="00251A0B">
            <w:pPr>
              <w:spacing w:before="40" w:after="40"/>
              <w:jc w:val="center"/>
              <w:rPr>
                <w:sz w:val="20"/>
              </w:rPr>
            </w:pPr>
            <w:r w:rsidRPr="00FB48BF">
              <w:rPr>
                <w:sz w:val="20"/>
              </w:rPr>
              <w:t>7</w:t>
            </w:r>
          </w:p>
        </w:tc>
        <w:tc>
          <w:tcPr>
            <w:tcW w:w="712" w:type="dxa"/>
            <w:tcBorders>
              <w:top w:val="single" w:sz="8" w:space="0" w:color="auto"/>
              <w:left w:val="single" w:sz="4" w:space="0" w:color="auto"/>
              <w:bottom w:val="single" w:sz="4" w:space="0" w:color="auto"/>
              <w:right w:val="nil"/>
            </w:tcBorders>
            <w:shd w:val="clear" w:color="000000" w:fill="FFFFFF"/>
            <w:noWrap/>
            <w:vAlign w:val="center"/>
            <w:hideMark/>
          </w:tcPr>
          <w:p w:rsidR="00251A0B" w:rsidRPr="00FB48BF" w:rsidRDefault="00251A0B" w:rsidP="00251A0B">
            <w:pPr>
              <w:spacing w:before="40" w:after="40"/>
              <w:jc w:val="center"/>
              <w:rPr>
                <w:sz w:val="20"/>
              </w:rPr>
            </w:pPr>
            <w:r w:rsidRPr="00FB48BF">
              <w:rPr>
                <w:sz w:val="20"/>
              </w:rPr>
              <w:t>4</w:t>
            </w:r>
          </w:p>
        </w:tc>
        <w:tc>
          <w:tcPr>
            <w:tcW w:w="880" w:type="dxa"/>
            <w:tcBorders>
              <w:top w:val="single" w:sz="8" w:space="0" w:color="auto"/>
              <w:left w:val="single" w:sz="4" w:space="0" w:color="auto"/>
              <w:bottom w:val="single" w:sz="4" w:space="0" w:color="auto"/>
              <w:right w:val="nil"/>
            </w:tcBorders>
            <w:shd w:val="clear" w:color="000000" w:fill="FFFFFF"/>
            <w:noWrap/>
            <w:vAlign w:val="center"/>
            <w:hideMark/>
          </w:tcPr>
          <w:p w:rsidR="00251A0B" w:rsidRPr="00FB48BF" w:rsidRDefault="00251A0B" w:rsidP="00251A0B">
            <w:pPr>
              <w:spacing w:before="40" w:after="40"/>
              <w:jc w:val="center"/>
              <w:rPr>
                <w:sz w:val="20"/>
              </w:rPr>
            </w:pPr>
            <w:r>
              <w:rPr>
                <w:sz w:val="20"/>
              </w:rPr>
              <w:t>5</w:t>
            </w:r>
          </w:p>
        </w:tc>
        <w:tc>
          <w:tcPr>
            <w:tcW w:w="622" w:type="dxa"/>
            <w:tcBorders>
              <w:top w:val="single" w:sz="8" w:space="0" w:color="auto"/>
              <w:left w:val="single" w:sz="4" w:space="0" w:color="auto"/>
              <w:bottom w:val="single" w:sz="4" w:space="0" w:color="auto"/>
              <w:right w:val="single" w:sz="4" w:space="0" w:color="auto"/>
            </w:tcBorders>
            <w:shd w:val="clear" w:color="000000" w:fill="auto"/>
            <w:vAlign w:val="center"/>
          </w:tcPr>
          <w:p w:rsidR="00251A0B" w:rsidRPr="00E46005" w:rsidRDefault="00251A0B" w:rsidP="00251A0B">
            <w:pPr>
              <w:spacing w:before="40" w:after="40"/>
              <w:jc w:val="center"/>
              <w:rPr>
                <w:sz w:val="20"/>
              </w:rPr>
            </w:pPr>
            <w:r w:rsidRPr="00E46005">
              <w:rPr>
                <w:sz w:val="20"/>
              </w:rPr>
              <w:t>4</w:t>
            </w:r>
          </w:p>
        </w:tc>
        <w:tc>
          <w:tcPr>
            <w:tcW w:w="846" w:type="dxa"/>
            <w:tcBorders>
              <w:top w:val="single" w:sz="8" w:space="0" w:color="auto"/>
              <w:left w:val="single" w:sz="4" w:space="0" w:color="auto"/>
              <w:bottom w:val="single" w:sz="4" w:space="0" w:color="auto"/>
              <w:right w:val="single" w:sz="4" w:space="0" w:color="auto"/>
            </w:tcBorders>
            <w:shd w:val="clear" w:color="000000" w:fill="auto"/>
            <w:vAlign w:val="center"/>
          </w:tcPr>
          <w:p w:rsidR="00251A0B" w:rsidRPr="00E46005" w:rsidRDefault="00251A0B" w:rsidP="00251A0B">
            <w:pPr>
              <w:spacing w:before="40" w:after="40"/>
              <w:jc w:val="center"/>
              <w:rPr>
                <w:sz w:val="20"/>
              </w:rPr>
            </w:pPr>
            <w:r w:rsidRPr="00E46005">
              <w:rPr>
                <w:sz w:val="20"/>
              </w:rPr>
              <w:t>2</w:t>
            </w:r>
          </w:p>
        </w:tc>
        <w:tc>
          <w:tcPr>
            <w:tcW w:w="712" w:type="dxa"/>
            <w:tcBorders>
              <w:top w:val="single" w:sz="8" w:space="0" w:color="auto"/>
              <w:left w:val="single" w:sz="4" w:space="0" w:color="auto"/>
              <w:bottom w:val="single" w:sz="4" w:space="0" w:color="auto"/>
              <w:right w:val="single" w:sz="8" w:space="0" w:color="auto"/>
            </w:tcBorders>
            <w:shd w:val="clear" w:color="000000" w:fill="AEAAAA"/>
            <w:noWrap/>
            <w:vAlign w:val="center"/>
            <w:hideMark/>
          </w:tcPr>
          <w:p w:rsidR="00251A0B" w:rsidRPr="00FB48BF" w:rsidRDefault="00251A0B" w:rsidP="00251A0B">
            <w:pPr>
              <w:spacing w:before="40" w:after="40"/>
              <w:jc w:val="center"/>
              <w:rPr>
                <w:b/>
                <w:bCs/>
                <w:sz w:val="20"/>
              </w:rPr>
            </w:pPr>
            <w:r>
              <w:rPr>
                <w:b/>
                <w:bCs/>
                <w:sz w:val="20"/>
              </w:rPr>
              <w:t>32</w:t>
            </w:r>
          </w:p>
        </w:tc>
      </w:tr>
      <w:tr w:rsidR="00251A0B" w:rsidRPr="00100BB2" w:rsidTr="00251A0B">
        <w:trPr>
          <w:trHeight w:val="300"/>
        </w:trPr>
        <w:tc>
          <w:tcPr>
            <w:tcW w:w="2371" w:type="dxa"/>
            <w:tcBorders>
              <w:top w:val="nil"/>
              <w:left w:val="single" w:sz="8" w:space="0" w:color="auto"/>
              <w:bottom w:val="single" w:sz="4" w:space="0" w:color="auto"/>
              <w:right w:val="single" w:sz="4" w:space="0" w:color="auto"/>
            </w:tcBorders>
            <w:shd w:val="clear" w:color="auto" w:fill="auto"/>
            <w:noWrap/>
            <w:vAlign w:val="bottom"/>
            <w:hideMark/>
          </w:tcPr>
          <w:p w:rsidR="00251A0B" w:rsidRPr="0097490A" w:rsidRDefault="00251A0B" w:rsidP="00251A0B">
            <w:pPr>
              <w:pStyle w:val="Tabletext"/>
              <w:rPr>
                <w:rFonts w:asciiTheme="minorHAnsi" w:eastAsiaTheme="minorEastAsia" w:hAnsiTheme="minorHAnsi"/>
                <w:szCs w:val="22"/>
                <w:lang w:val="en-US" w:eastAsia="zh-CN"/>
              </w:rPr>
            </w:pPr>
            <w:r w:rsidRPr="0097490A">
              <w:rPr>
                <w:rFonts w:asciiTheme="minorHAnsi" w:eastAsiaTheme="minorEastAsia" w:hAnsiTheme="minorHAnsi"/>
                <w:szCs w:val="22"/>
                <w:lang w:val="en-US" w:eastAsia="zh-CN"/>
              </w:rPr>
              <w:t>建议</w:t>
            </w:r>
            <w:r w:rsidRPr="0097490A">
              <w:rPr>
                <w:rFonts w:asciiTheme="minorHAnsi" w:eastAsiaTheme="minorEastAsia" w:hAnsiTheme="minorHAnsi"/>
                <w:szCs w:val="22"/>
                <w:lang w:val="en-US" w:eastAsia="zh-CN"/>
              </w:rPr>
              <w:t xml:space="preserve"> – </w:t>
            </w:r>
            <w:r w:rsidRPr="0097490A">
              <w:rPr>
                <w:rFonts w:asciiTheme="minorHAnsi" w:eastAsiaTheme="minorEastAsia" w:hAnsiTheme="minorHAnsi"/>
                <w:szCs w:val="22"/>
                <w:lang w:val="en-US" w:eastAsia="zh-CN"/>
              </w:rPr>
              <w:t>总量</w:t>
            </w:r>
          </w:p>
        </w:tc>
        <w:tc>
          <w:tcPr>
            <w:tcW w:w="713" w:type="dxa"/>
            <w:tcBorders>
              <w:top w:val="nil"/>
              <w:left w:val="nil"/>
              <w:bottom w:val="single" w:sz="4" w:space="0" w:color="auto"/>
              <w:right w:val="single" w:sz="4" w:space="0" w:color="auto"/>
            </w:tcBorders>
            <w:shd w:val="clear" w:color="auto" w:fill="auto"/>
            <w:noWrap/>
            <w:vAlign w:val="center"/>
            <w:hideMark/>
          </w:tcPr>
          <w:p w:rsidR="00251A0B" w:rsidRPr="00FB48BF" w:rsidRDefault="00251A0B" w:rsidP="00251A0B">
            <w:pPr>
              <w:spacing w:before="40" w:after="40"/>
              <w:jc w:val="center"/>
              <w:rPr>
                <w:sz w:val="20"/>
              </w:rPr>
            </w:pPr>
            <w:r w:rsidRPr="00FB48BF">
              <w:rPr>
                <w:sz w:val="20"/>
              </w:rPr>
              <w:t>17</w:t>
            </w:r>
          </w:p>
        </w:tc>
        <w:tc>
          <w:tcPr>
            <w:tcW w:w="628" w:type="dxa"/>
            <w:tcBorders>
              <w:top w:val="nil"/>
              <w:left w:val="nil"/>
              <w:bottom w:val="single" w:sz="4" w:space="0" w:color="auto"/>
              <w:right w:val="single" w:sz="4" w:space="0" w:color="auto"/>
            </w:tcBorders>
            <w:shd w:val="clear" w:color="auto" w:fill="auto"/>
            <w:noWrap/>
            <w:vAlign w:val="center"/>
            <w:hideMark/>
          </w:tcPr>
          <w:p w:rsidR="00251A0B" w:rsidRPr="00FB48BF" w:rsidRDefault="00251A0B" w:rsidP="00251A0B">
            <w:pPr>
              <w:spacing w:before="40" w:after="40"/>
              <w:jc w:val="center"/>
              <w:rPr>
                <w:sz w:val="20"/>
              </w:rPr>
            </w:pPr>
            <w:r w:rsidRPr="00FB48BF">
              <w:rPr>
                <w:sz w:val="20"/>
              </w:rPr>
              <w:t>–</w:t>
            </w:r>
          </w:p>
        </w:tc>
        <w:tc>
          <w:tcPr>
            <w:tcW w:w="711" w:type="dxa"/>
            <w:tcBorders>
              <w:top w:val="nil"/>
              <w:left w:val="nil"/>
              <w:bottom w:val="single" w:sz="4" w:space="0" w:color="auto"/>
              <w:right w:val="single" w:sz="4" w:space="0" w:color="auto"/>
            </w:tcBorders>
            <w:shd w:val="clear" w:color="000000" w:fill="FFFFFF"/>
            <w:noWrap/>
            <w:vAlign w:val="center"/>
            <w:hideMark/>
          </w:tcPr>
          <w:p w:rsidR="00251A0B" w:rsidRPr="00FB48BF" w:rsidRDefault="00251A0B" w:rsidP="00251A0B">
            <w:pPr>
              <w:spacing w:before="40" w:after="40"/>
              <w:jc w:val="center"/>
              <w:rPr>
                <w:sz w:val="20"/>
              </w:rPr>
            </w:pPr>
            <w:r w:rsidRPr="00FB48BF">
              <w:rPr>
                <w:sz w:val="20"/>
              </w:rPr>
              <w:t>113</w:t>
            </w:r>
          </w:p>
        </w:tc>
        <w:tc>
          <w:tcPr>
            <w:tcW w:w="712" w:type="dxa"/>
            <w:tcBorders>
              <w:top w:val="nil"/>
              <w:left w:val="nil"/>
              <w:bottom w:val="single" w:sz="4" w:space="0" w:color="auto"/>
              <w:right w:val="nil"/>
            </w:tcBorders>
            <w:shd w:val="clear" w:color="000000" w:fill="FFFFFF"/>
            <w:noWrap/>
            <w:vAlign w:val="center"/>
            <w:hideMark/>
          </w:tcPr>
          <w:p w:rsidR="00251A0B" w:rsidRPr="00FB48BF" w:rsidRDefault="00251A0B" w:rsidP="00251A0B">
            <w:pPr>
              <w:spacing w:before="40" w:after="40"/>
              <w:jc w:val="center"/>
              <w:rPr>
                <w:sz w:val="20"/>
              </w:rPr>
            </w:pPr>
            <w:r w:rsidRPr="00FB48BF">
              <w:rPr>
                <w:sz w:val="20"/>
              </w:rPr>
              <w:t>55</w:t>
            </w:r>
          </w:p>
        </w:tc>
        <w:tc>
          <w:tcPr>
            <w:tcW w:w="712" w:type="dxa"/>
            <w:tcBorders>
              <w:top w:val="nil"/>
              <w:left w:val="single" w:sz="4" w:space="0" w:color="auto"/>
              <w:bottom w:val="single" w:sz="4" w:space="0" w:color="auto"/>
              <w:right w:val="nil"/>
            </w:tcBorders>
            <w:shd w:val="clear" w:color="000000" w:fill="FFFFFF"/>
            <w:noWrap/>
            <w:vAlign w:val="center"/>
            <w:hideMark/>
          </w:tcPr>
          <w:p w:rsidR="00251A0B" w:rsidRPr="00FB48BF" w:rsidRDefault="00251A0B" w:rsidP="00251A0B">
            <w:pPr>
              <w:spacing w:before="40" w:after="40"/>
              <w:jc w:val="center"/>
              <w:rPr>
                <w:sz w:val="20"/>
              </w:rPr>
            </w:pPr>
            <w:r w:rsidRPr="00FB48BF">
              <w:rPr>
                <w:sz w:val="20"/>
              </w:rPr>
              <w:t>34</w:t>
            </w:r>
          </w:p>
        </w:tc>
        <w:tc>
          <w:tcPr>
            <w:tcW w:w="712" w:type="dxa"/>
            <w:tcBorders>
              <w:top w:val="nil"/>
              <w:left w:val="single" w:sz="4" w:space="0" w:color="auto"/>
              <w:bottom w:val="single" w:sz="4" w:space="0" w:color="auto"/>
              <w:right w:val="nil"/>
            </w:tcBorders>
            <w:shd w:val="clear" w:color="000000" w:fill="FFFFFF"/>
            <w:noWrap/>
            <w:vAlign w:val="center"/>
            <w:hideMark/>
          </w:tcPr>
          <w:p w:rsidR="00251A0B" w:rsidRPr="00FB48BF" w:rsidRDefault="00251A0B" w:rsidP="00251A0B">
            <w:pPr>
              <w:spacing w:before="40" w:after="40"/>
              <w:jc w:val="center"/>
              <w:rPr>
                <w:sz w:val="20"/>
              </w:rPr>
            </w:pPr>
            <w:r w:rsidRPr="00FB48BF">
              <w:rPr>
                <w:sz w:val="20"/>
              </w:rPr>
              <w:t>22</w:t>
            </w:r>
          </w:p>
        </w:tc>
        <w:tc>
          <w:tcPr>
            <w:tcW w:w="880" w:type="dxa"/>
            <w:tcBorders>
              <w:top w:val="nil"/>
              <w:left w:val="single" w:sz="4" w:space="0" w:color="auto"/>
              <w:bottom w:val="single" w:sz="4" w:space="0" w:color="auto"/>
              <w:right w:val="nil"/>
            </w:tcBorders>
            <w:shd w:val="clear" w:color="000000" w:fill="FFFFFF"/>
            <w:noWrap/>
            <w:vAlign w:val="center"/>
            <w:hideMark/>
          </w:tcPr>
          <w:p w:rsidR="00251A0B" w:rsidRPr="00FB48BF" w:rsidRDefault="00251A0B" w:rsidP="00251A0B">
            <w:pPr>
              <w:spacing w:before="40" w:after="40"/>
              <w:jc w:val="center"/>
              <w:rPr>
                <w:sz w:val="20"/>
              </w:rPr>
            </w:pPr>
            <w:r>
              <w:rPr>
                <w:sz w:val="20"/>
              </w:rPr>
              <w:t>30</w:t>
            </w:r>
          </w:p>
        </w:tc>
        <w:tc>
          <w:tcPr>
            <w:tcW w:w="622" w:type="dxa"/>
            <w:tcBorders>
              <w:top w:val="single" w:sz="4" w:space="0" w:color="auto"/>
              <w:left w:val="single" w:sz="4" w:space="0" w:color="auto"/>
              <w:bottom w:val="single" w:sz="4" w:space="0" w:color="auto"/>
              <w:right w:val="single" w:sz="4" w:space="0" w:color="auto"/>
            </w:tcBorders>
            <w:shd w:val="clear" w:color="000000" w:fill="auto"/>
            <w:vAlign w:val="center"/>
          </w:tcPr>
          <w:p w:rsidR="00251A0B" w:rsidRPr="00E46005" w:rsidRDefault="00251A0B" w:rsidP="00251A0B">
            <w:pPr>
              <w:spacing w:before="40" w:after="40"/>
              <w:jc w:val="center"/>
              <w:rPr>
                <w:sz w:val="20"/>
              </w:rPr>
            </w:pPr>
            <w:r w:rsidRPr="00E46005">
              <w:rPr>
                <w:sz w:val="20"/>
              </w:rPr>
              <w:t>26</w:t>
            </w:r>
          </w:p>
        </w:tc>
        <w:tc>
          <w:tcPr>
            <w:tcW w:w="846" w:type="dxa"/>
            <w:tcBorders>
              <w:top w:val="single" w:sz="4" w:space="0" w:color="auto"/>
              <w:left w:val="single" w:sz="4" w:space="0" w:color="auto"/>
              <w:bottom w:val="single" w:sz="4" w:space="0" w:color="auto"/>
              <w:right w:val="single" w:sz="4" w:space="0" w:color="auto"/>
            </w:tcBorders>
            <w:shd w:val="clear" w:color="000000" w:fill="auto"/>
            <w:vAlign w:val="center"/>
          </w:tcPr>
          <w:p w:rsidR="00251A0B" w:rsidRPr="00E46005" w:rsidRDefault="00251A0B" w:rsidP="00251A0B">
            <w:pPr>
              <w:spacing w:before="40" w:after="40"/>
              <w:jc w:val="center"/>
              <w:rPr>
                <w:sz w:val="20"/>
              </w:rPr>
            </w:pPr>
            <w:r w:rsidRPr="00E46005">
              <w:rPr>
                <w:sz w:val="20"/>
              </w:rPr>
              <w:t>15</w:t>
            </w:r>
          </w:p>
        </w:tc>
        <w:tc>
          <w:tcPr>
            <w:tcW w:w="712" w:type="dxa"/>
            <w:tcBorders>
              <w:top w:val="nil"/>
              <w:left w:val="single" w:sz="4" w:space="0" w:color="auto"/>
              <w:bottom w:val="single" w:sz="4" w:space="0" w:color="auto"/>
              <w:right w:val="single" w:sz="8" w:space="0" w:color="auto"/>
            </w:tcBorders>
            <w:shd w:val="clear" w:color="000000" w:fill="AEAAAA"/>
            <w:noWrap/>
            <w:vAlign w:val="center"/>
            <w:hideMark/>
          </w:tcPr>
          <w:p w:rsidR="00251A0B" w:rsidRPr="00FB48BF" w:rsidRDefault="00251A0B" w:rsidP="00251A0B">
            <w:pPr>
              <w:spacing w:before="40" w:after="40"/>
              <w:jc w:val="center"/>
              <w:rPr>
                <w:b/>
                <w:bCs/>
                <w:sz w:val="20"/>
              </w:rPr>
            </w:pPr>
            <w:r>
              <w:rPr>
                <w:b/>
                <w:bCs/>
                <w:sz w:val="20"/>
              </w:rPr>
              <w:t>312</w:t>
            </w:r>
          </w:p>
        </w:tc>
      </w:tr>
      <w:tr w:rsidR="00251A0B" w:rsidRPr="00100BB2" w:rsidTr="00251A0B">
        <w:trPr>
          <w:trHeight w:val="300"/>
        </w:trPr>
        <w:tc>
          <w:tcPr>
            <w:tcW w:w="2371" w:type="dxa"/>
            <w:tcBorders>
              <w:top w:val="nil"/>
              <w:left w:val="single" w:sz="8" w:space="0" w:color="auto"/>
              <w:bottom w:val="single" w:sz="4" w:space="0" w:color="auto"/>
              <w:right w:val="single" w:sz="4" w:space="0" w:color="auto"/>
            </w:tcBorders>
            <w:shd w:val="clear" w:color="auto" w:fill="auto"/>
            <w:noWrap/>
            <w:vAlign w:val="bottom"/>
            <w:hideMark/>
          </w:tcPr>
          <w:p w:rsidR="00251A0B" w:rsidRPr="0097490A" w:rsidRDefault="00251A0B" w:rsidP="00251A0B">
            <w:pPr>
              <w:pStyle w:val="Tabletext"/>
              <w:rPr>
                <w:rFonts w:asciiTheme="minorHAnsi" w:eastAsiaTheme="minorEastAsia" w:hAnsiTheme="minorHAnsi"/>
                <w:szCs w:val="22"/>
                <w:lang w:val="en-US" w:eastAsia="zh-CN"/>
              </w:rPr>
            </w:pPr>
            <w:r w:rsidRPr="0097490A">
              <w:rPr>
                <w:rFonts w:asciiTheme="minorHAnsi" w:eastAsiaTheme="minorEastAsia" w:hAnsiTheme="minorHAnsi"/>
                <w:szCs w:val="22"/>
                <w:lang w:val="en-CA" w:eastAsia="zh-CN"/>
              </w:rPr>
              <w:tab/>
            </w:r>
            <w:r w:rsidRPr="0097490A">
              <w:rPr>
                <w:rFonts w:asciiTheme="minorHAnsi" w:eastAsiaTheme="minorEastAsia" w:hAnsiTheme="minorHAnsi"/>
                <w:szCs w:val="22"/>
                <w:lang w:val="en-US" w:eastAsia="zh-CN"/>
              </w:rPr>
              <w:t>实施中</w:t>
            </w:r>
          </w:p>
        </w:tc>
        <w:tc>
          <w:tcPr>
            <w:tcW w:w="713" w:type="dxa"/>
            <w:tcBorders>
              <w:top w:val="nil"/>
              <w:left w:val="nil"/>
              <w:bottom w:val="single" w:sz="4" w:space="0" w:color="auto"/>
              <w:right w:val="single" w:sz="4" w:space="0" w:color="auto"/>
            </w:tcBorders>
            <w:shd w:val="clear" w:color="000000" w:fill="FFFFFF"/>
            <w:noWrap/>
            <w:vAlign w:val="center"/>
            <w:hideMark/>
          </w:tcPr>
          <w:p w:rsidR="00251A0B" w:rsidRPr="00FB48BF" w:rsidRDefault="00251A0B" w:rsidP="00251A0B">
            <w:pPr>
              <w:spacing w:before="40" w:after="40"/>
              <w:jc w:val="center"/>
              <w:rPr>
                <w:sz w:val="20"/>
              </w:rPr>
            </w:pPr>
            <w:r w:rsidRPr="00FB48BF">
              <w:rPr>
                <w:sz w:val="20"/>
              </w:rPr>
              <w:t>0</w:t>
            </w:r>
          </w:p>
        </w:tc>
        <w:tc>
          <w:tcPr>
            <w:tcW w:w="628" w:type="dxa"/>
            <w:tcBorders>
              <w:top w:val="nil"/>
              <w:left w:val="nil"/>
              <w:bottom w:val="single" w:sz="4" w:space="0" w:color="auto"/>
              <w:right w:val="single" w:sz="4" w:space="0" w:color="auto"/>
            </w:tcBorders>
            <w:shd w:val="clear" w:color="auto" w:fill="auto"/>
            <w:noWrap/>
            <w:vAlign w:val="center"/>
            <w:hideMark/>
          </w:tcPr>
          <w:p w:rsidR="00251A0B" w:rsidRPr="00FB48BF" w:rsidRDefault="00251A0B" w:rsidP="00251A0B">
            <w:pPr>
              <w:spacing w:before="40" w:after="40"/>
              <w:jc w:val="center"/>
              <w:rPr>
                <w:sz w:val="20"/>
              </w:rPr>
            </w:pPr>
            <w:r w:rsidRPr="00FB48BF">
              <w:rPr>
                <w:sz w:val="20"/>
              </w:rPr>
              <w:t>–</w:t>
            </w:r>
          </w:p>
        </w:tc>
        <w:tc>
          <w:tcPr>
            <w:tcW w:w="711" w:type="dxa"/>
            <w:tcBorders>
              <w:top w:val="nil"/>
              <w:left w:val="nil"/>
              <w:bottom w:val="single" w:sz="4" w:space="0" w:color="auto"/>
              <w:right w:val="single" w:sz="4" w:space="0" w:color="auto"/>
            </w:tcBorders>
            <w:shd w:val="clear" w:color="000000" w:fill="FFFFFF"/>
            <w:noWrap/>
            <w:vAlign w:val="center"/>
            <w:hideMark/>
          </w:tcPr>
          <w:p w:rsidR="00251A0B" w:rsidRPr="00FB48BF" w:rsidRDefault="00251A0B" w:rsidP="00251A0B">
            <w:pPr>
              <w:spacing w:before="40" w:after="40"/>
              <w:jc w:val="center"/>
              <w:rPr>
                <w:sz w:val="20"/>
              </w:rPr>
            </w:pPr>
            <w:r>
              <w:rPr>
                <w:sz w:val="20"/>
              </w:rPr>
              <w:t>5</w:t>
            </w:r>
          </w:p>
        </w:tc>
        <w:tc>
          <w:tcPr>
            <w:tcW w:w="712" w:type="dxa"/>
            <w:tcBorders>
              <w:top w:val="nil"/>
              <w:left w:val="nil"/>
              <w:bottom w:val="single" w:sz="4" w:space="0" w:color="auto"/>
              <w:right w:val="nil"/>
            </w:tcBorders>
            <w:shd w:val="clear" w:color="000000" w:fill="FFFFFF"/>
            <w:noWrap/>
            <w:vAlign w:val="center"/>
            <w:hideMark/>
          </w:tcPr>
          <w:p w:rsidR="00251A0B" w:rsidRPr="00FB48BF" w:rsidRDefault="00251A0B" w:rsidP="00251A0B">
            <w:pPr>
              <w:spacing w:before="40" w:after="40"/>
              <w:jc w:val="center"/>
              <w:rPr>
                <w:sz w:val="20"/>
              </w:rPr>
            </w:pPr>
            <w:r>
              <w:rPr>
                <w:sz w:val="20"/>
              </w:rPr>
              <w:t>2</w:t>
            </w:r>
          </w:p>
        </w:tc>
        <w:tc>
          <w:tcPr>
            <w:tcW w:w="712" w:type="dxa"/>
            <w:tcBorders>
              <w:top w:val="nil"/>
              <w:left w:val="single" w:sz="4" w:space="0" w:color="auto"/>
              <w:bottom w:val="single" w:sz="4" w:space="0" w:color="auto"/>
              <w:right w:val="nil"/>
            </w:tcBorders>
            <w:shd w:val="clear" w:color="000000" w:fill="FFFFFF"/>
            <w:noWrap/>
            <w:vAlign w:val="center"/>
            <w:hideMark/>
          </w:tcPr>
          <w:p w:rsidR="00251A0B" w:rsidRPr="00FB48BF" w:rsidRDefault="00251A0B" w:rsidP="00251A0B">
            <w:pPr>
              <w:spacing w:before="40" w:after="40"/>
              <w:jc w:val="center"/>
              <w:rPr>
                <w:sz w:val="20"/>
              </w:rPr>
            </w:pPr>
            <w:r>
              <w:rPr>
                <w:sz w:val="20"/>
              </w:rPr>
              <w:t>4</w:t>
            </w:r>
          </w:p>
        </w:tc>
        <w:tc>
          <w:tcPr>
            <w:tcW w:w="712" w:type="dxa"/>
            <w:tcBorders>
              <w:top w:val="nil"/>
              <w:left w:val="single" w:sz="4" w:space="0" w:color="auto"/>
              <w:bottom w:val="single" w:sz="4" w:space="0" w:color="auto"/>
              <w:right w:val="nil"/>
            </w:tcBorders>
            <w:shd w:val="clear" w:color="000000" w:fill="FFFFFF"/>
            <w:noWrap/>
            <w:vAlign w:val="center"/>
            <w:hideMark/>
          </w:tcPr>
          <w:p w:rsidR="00251A0B" w:rsidRPr="00FB48BF" w:rsidRDefault="00251A0B" w:rsidP="00251A0B">
            <w:pPr>
              <w:spacing w:before="40" w:after="40"/>
              <w:jc w:val="center"/>
              <w:rPr>
                <w:sz w:val="20"/>
              </w:rPr>
            </w:pPr>
            <w:r>
              <w:rPr>
                <w:sz w:val="20"/>
              </w:rPr>
              <w:t>8</w:t>
            </w:r>
          </w:p>
        </w:tc>
        <w:tc>
          <w:tcPr>
            <w:tcW w:w="880" w:type="dxa"/>
            <w:tcBorders>
              <w:top w:val="nil"/>
              <w:left w:val="single" w:sz="4" w:space="0" w:color="auto"/>
              <w:bottom w:val="single" w:sz="4" w:space="0" w:color="auto"/>
              <w:right w:val="nil"/>
            </w:tcBorders>
            <w:shd w:val="clear" w:color="000000" w:fill="FFFFFF"/>
            <w:noWrap/>
            <w:vAlign w:val="center"/>
            <w:hideMark/>
          </w:tcPr>
          <w:p w:rsidR="00251A0B" w:rsidRPr="00FB48BF" w:rsidRDefault="00251A0B" w:rsidP="00251A0B">
            <w:pPr>
              <w:spacing w:before="40" w:after="40"/>
              <w:jc w:val="center"/>
              <w:rPr>
                <w:sz w:val="20"/>
              </w:rPr>
            </w:pPr>
            <w:r>
              <w:rPr>
                <w:sz w:val="20"/>
              </w:rPr>
              <w:t>18</w:t>
            </w:r>
          </w:p>
        </w:tc>
        <w:tc>
          <w:tcPr>
            <w:tcW w:w="622" w:type="dxa"/>
            <w:tcBorders>
              <w:top w:val="single" w:sz="4" w:space="0" w:color="auto"/>
              <w:left w:val="single" w:sz="4" w:space="0" w:color="auto"/>
              <w:bottom w:val="single" w:sz="4" w:space="0" w:color="auto"/>
              <w:right w:val="single" w:sz="4" w:space="0" w:color="auto"/>
            </w:tcBorders>
            <w:shd w:val="clear" w:color="000000" w:fill="auto"/>
            <w:vAlign w:val="center"/>
          </w:tcPr>
          <w:p w:rsidR="00251A0B" w:rsidRPr="00E46005" w:rsidRDefault="00251A0B" w:rsidP="00251A0B">
            <w:pPr>
              <w:spacing w:before="40" w:after="40"/>
              <w:jc w:val="center"/>
              <w:rPr>
                <w:sz w:val="20"/>
              </w:rPr>
            </w:pPr>
            <w:r w:rsidRPr="00E46005">
              <w:rPr>
                <w:sz w:val="20"/>
              </w:rPr>
              <w:t>19</w:t>
            </w:r>
          </w:p>
        </w:tc>
        <w:tc>
          <w:tcPr>
            <w:tcW w:w="846" w:type="dxa"/>
            <w:tcBorders>
              <w:top w:val="single" w:sz="4" w:space="0" w:color="auto"/>
              <w:left w:val="single" w:sz="4" w:space="0" w:color="auto"/>
              <w:bottom w:val="single" w:sz="4" w:space="0" w:color="auto"/>
              <w:right w:val="single" w:sz="4" w:space="0" w:color="auto"/>
            </w:tcBorders>
            <w:shd w:val="clear" w:color="000000" w:fill="auto"/>
            <w:vAlign w:val="center"/>
          </w:tcPr>
          <w:p w:rsidR="00251A0B" w:rsidRPr="00E46005" w:rsidRDefault="00251A0B" w:rsidP="00251A0B">
            <w:pPr>
              <w:spacing w:before="40" w:after="40"/>
              <w:jc w:val="center"/>
              <w:rPr>
                <w:sz w:val="20"/>
              </w:rPr>
            </w:pPr>
            <w:r w:rsidRPr="00E46005">
              <w:rPr>
                <w:sz w:val="20"/>
              </w:rPr>
              <w:t>15</w:t>
            </w:r>
          </w:p>
        </w:tc>
        <w:tc>
          <w:tcPr>
            <w:tcW w:w="712" w:type="dxa"/>
            <w:tcBorders>
              <w:top w:val="nil"/>
              <w:left w:val="single" w:sz="4" w:space="0" w:color="auto"/>
              <w:bottom w:val="single" w:sz="4" w:space="0" w:color="auto"/>
              <w:right w:val="single" w:sz="8" w:space="0" w:color="auto"/>
            </w:tcBorders>
            <w:shd w:val="clear" w:color="000000" w:fill="AEAAAA"/>
            <w:noWrap/>
            <w:vAlign w:val="center"/>
            <w:hideMark/>
          </w:tcPr>
          <w:p w:rsidR="00251A0B" w:rsidRPr="00FB48BF" w:rsidRDefault="00251A0B" w:rsidP="00251A0B">
            <w:pPr>
              <w:spacing w:before="40" w:after="40"/>
              <w:jc w:val="center"/>
              <w:rPr>
                <w:b/>
                <w:bCs/>
                <w:sz w:val="20"/>
              </w:rPr>
            </w:pPr>
            <w:r>
              <w:rPr>
                <w:b/>
                <w:bCs/>
                <w:sz w:val="20"/>
              </w:rPr>
              <w:t>71</w:t>
            </w:r>
          </w:p>
        </w:tc>
      </w:tr>
      <w:tr w:rsidR="00251A0B" w:rsidRPr="00100BB2" w:rsidTr="00251A0B">
        <w:trPr>
          <w:trHeight w:val="300"/>
        </w:trPr>
        <w:tc>
          <w:tcPr>
            <w:tcW w:w="2371" w:type="dxa"/>
            <w:tcBorders>
              <w:top w:val="nil"/>
              <w:left w:val="single" w:sz="8" w:space="0" w:color="auto"/>
              <w:bottom w:val="single" w:sz="4" w:space="0" w:color="auto"/>
              <w:right w:val="single" w:sz="4" w:space="0" w:color="auto"/>
            </w:tcBorders>
            <w:shd w:val="clear" w:color="auto" w:fill="auto"/>
            <w:noWrap/>
            <w:vAlign w:val="bottom"/>
            <w:hideMark/>
          </w:tcPr>
          <w:p w:rsidR="00251A0B" w:rsidRPr="0097490A" w:rsidRDefault="00251A0B" w:rsidP="00251A0B">
            <w:pPr>
              <w:pStyle w:val="Tabletext"/>
              <w:rPr>
                <w:rFonts w:asciiTheme="minorHAnsi" w:eastAsiaTheme="minorEastAsia" w:hAnsiTheme="minorHAnsi"/>
                <w:szCs w:val="22"/>
                <w:lang w:val="en-US" w:eastAsia="zh-CN"/>
              </w:rPr>
            </w:pPr>
            <w:r w:rsidRPr="0097490A">
              <w:rPr>
                <w:rFonts w:asciiTheme="minorHAnsi" w:eastAsiaTheme="minorEastAsia" w:hAnsiTheme="minorHAnsi"/>
                <w:szCs w:val="22"/>
                <w:lang w:val="en-CA" w:eastAsia="zh-CN"/>
              </w:rPr>
              <w:tab/>
            </w:r>
            <w:r w:rsidRPr="0097490A">
              <w:rPr>
                <w:rFonts w:asciiTheme="minorHAnsi" w:eastAsiaTheme="minorEastAsia" w:hAnsiTheme="minorHAnsi"/>
                <w:szCs w:val="22"/>
                <w:lang w:val="en-US" w:eastAsia="zh-CN"/>
              </w:rPr>
              <w:t>延迟</w:t>
            </w:r>
          </w:p>
        </w:tc>
        <w:tc>
          <w:tcPr>
            <w:tcW w:w="713" w:type="dxa"/>
            <w:tcBorders>
              <w:top w:val="nil"/>
              <w:left w:val="nil"/>
              <w:bottom w:val="single" w:sz="4" w:space="0" w:color="auto"/>
              <w:right w:val="single" w:sz="4" w:space="0" w:color="auto"/>
            </w:tcBorders>
            <w:shd w:val="clear" w:color="000000" w:fill="FFFFFF"/>
            <w:noWrap/>
            <w:vAlign w:val="center"/>
            <w:hideMark/>
          </w:tcPr>
          <w:p w:rsidR="00251A0B" w:rsidRPr="00FB48BF" w:rsidRDefault="00251A0B" w:rsidP="00251A0B">
            <w:pPr>
              <w:spacing w:before="40" w:after="40"/>
              <w:jc w:val="center"/>
              <w:rPr>
                <w:sz w:val="20"/>
              </w:rPr>
            </w:pPr>
            <w:r w:rsidRPr="00FB48BF">
              <w:rPr>
                <w:sz w:val="20"/>
              </w:rPr>
              <w:t>3</w:t>
            </w:r>
          </w:p>
        </w:tc>
        <w:tc>
          <w:tcPr>
            <w:tcW w:w="628" w:type="dxa"/>
            <w:tcBorders>
              <w:top w:val="nil"/>
              <w:left w:val="nil"/>
              <w:bottom w:val="single" w:sz="4" w:space="0" w:color="auto"/>
              <w:right w:val="single" w:sz="4" w:space="0" w:color="auto"/>
            </w:tcBorders>
            <w:shd w:val="clear" w:color="auto" w:fill="auto"/>
            <w:noWrap/>
            <w:vAlign w:val="center"/>
            <w:hideMark/>
          </w:tcPr>
          <w:p w:rsidR="00251A0B" w:rsidRPr="00FB48BF" w:rsidRDefault="00251A0B" w:rsidP="00251A0B">
            <w:pPr>
              <w:spacing w:before="40" w:after="40"/>
              <w:jc w:val="center"/>
              <w:rPr>
                <w:sz w:val="20"/>
              </w:rPr>
            </w:pPr>
            <w:r w:rsidRPr="00FB48BF">
              <w:rPr>
                <w:sz w:val="20"/>
              </w:rPr>
              <w:t>–</w:t>
            </w:r>
          </w:p>
        </w:tc>
        <w:tc>
          <w:tcPr>
            <w:tcW w:w="711" w:type="dxa"/>
            <w:tcBorders>
              <w:top w:val="nil"/>
              <w:left w:val="nil"/>
              <w:bottom w:val="single" w:sz="4" w:space="0" w:color="auto"/>
              <w:right w:val="single" w:sz="4" w:space="0" w:color="auto"/>
            </w:tcBorders>
            <w:shd w:val="clear" w:color="000000" w:fill="FFFFFF"/>
            <w:noWrap/>
            <w:vAlign w:val="center"/>
            <w:hideMark/>
          </w:tcPr>
          <w:p w:rsidR="00251A0B" w:rsidRPr="00FB48BF" w:rsidRDefault="00251A0B" w:rsidP="00251A0B">
            <w:pPr>
              <w:spacing w:before="40" w:after="40"/>
              <w:jc w:val="center"/>
              <w:rPr>
                <w:sz w:val="20"/>
              </w:rPr>
            </w:pPr>
            <w:r w:rsidRPr="00FB48BF">
              <w:rPr>
                <w:sz w:val="20"/>
              </w:rPr>
              <w:t>0</w:t>
            </w:r>
          </w:p>
        </w:tc>
        <w:tc>
          <w:tcPr>
            <w:tcW w:w="712" w:type="dxa"/>
            <w:tcBorders>
              <w:top w:val="nil"/>
              <w:left w:val="nil"/>
              <w:bottom w:val="single" w:sz="4" w:space="0" w:color="auto"/>
              <w:right w:val="nil"/>
            </w:tcBorders>
            <w:shd w:val="clear" w:color="000000" w:fill="FFFFFF"/>
            <w:noWrap/>
            <w:vAlign w:val="center"/>
            <w:hideMark/>
          </w:tcPr>
          <w:p w:rsidR="00251A0B" w:rsidRPr="00FB48BF" w:rsidRDefault="00251A0B" w:rsidP="00251A0B">
            <w:pPr>
              <w:spacing w:before="40" w:after="40"/>
              <w:jc w:val="center"/>
              <w:rPr>
                <w:sz w:val="20"/>
              </w:rPr>
            </w:pPr>
            <w:r w:rsidRPr="00FB48BF">
              <w:rPr>
                <w:sz w:val="20"/>
              </w:rPr>
              <w:t>0</w:t>
            </w:r>
          </w:p>
        </w:tc>
        <w:tc>
          <w:tcPr>
            <w:tcW w:w="712" w:type="dxa"/>
            <w:tcBorders>
              <w:top w:val="nil"/>
              <w:left w:val="single" w:sz="4" w:space="0" w:color="auto"/>
              <w:bottom w:val="single" w:sz="4" w:space="0" w:color="auto"/>
              <w:right w:val="nil"/>
            </w:tcBorders>
            <w:shd w:val="clear" w:color="000000" w:fill="FFFFFF"/>
            <w:noWrap/>
            <w:vAlign w:val="center"/>
            <w:hideMark/>
          </w:tcPr>
          <w:p w:rsidR="00251A0B" w:rsidRPr="00FB48BF" w:rsidRDefault="00251A0B" w:rsidP="00251A0B">
            <w:pPr>
              <w:spacing w:before="40" w:after="40"/>
              <w:jc w:val="center"/>
              <w:rPr>
                <w:sz w:val="20"/>
              </w:rPr>
            </w:pPr>
            <w:r w:rsidRPr="00FB48BF">
              <w:rPr>
                <w:sz w:val="20"/>
              </w:rPr>
              <w:t>0</w:t>
            </w:r>
          </w:p>
        </w:tc>
        <w:tc>
          <w:tcPr>
            <w:tcW w:w="712" w:type="dxa"/>
            <w:tcBorders>
              <w:top w:val="nil"/>
              <w:left w:val="single" w:sz="4" w:space="0" w:color="auto"/>
              <w:bottom w:val="single" w:sz="4" w:space="0" w:color="auto"/>
              <w:right w:val="nil"/>
            </w:tcBorders>
            <w:shd w:val="clear" w:color="000000" w:fill="FFFFFF"/>
            <w:noWrap/>
            <w:vAlign w:val="center"/>
            <w:hideMark/>
          </w:tcPr>
          <w:p w:rsidR="00251A0B" w:rsidRPr="00FB48BF" w:rsidRDefault="00251A0B" w:rsidP="00251A0B">
            <w:pPr>
              <w:spacing w:before="40" w:after="40"/>
              <w:jc w:val="center"/>
              <w:rPr>
                <w:sz w:val="20"/>
              </w:rPr>
            </w:pPr>
            <w:r w:rsidRPr="00FB48BF">
              <w:rPr>
                <w:sz w:val="20"/>
              </w:rPr>
              <w:t>0</w:t>
            </w:r>
          </w:p>
        </w:tc>
        <w:tc>
          <w:tcPr>
            <w:tcW w:w="880" w:type="dxa"/>
            <w:tcBorders>
              <w:top w:val="nil"/>
              <w:left w:val="single" w:sz="4" w:space="0" w:color="auto"/>
              <w:bottom w:val="single" w:sz="4" w:space="0" w:color="auto"/>
              <w:right w:val="nil"/>
            </w:tcBorders>
            <w:shd w:val="clear" w:color="000000" w:fill="FFFFFF"/>
            <w:noWrap/>
            <w:vAlign w:val="center"/>
            <w:hideMark/>
          </w:tcPr>
          <w:p w:rsidR="00251A0B" w:rsidRPr="00FB48BF" w:rsidRDefault="00251A0B" w:rsidP="00251A0B">
            <w:pPr>
              <w:spacing w:before="40" w:after="40"/>
              <w:jc w:val="center"/>
              <w:rPr>
                <w:sz w:val="20"/>
              </w:rPr>
            </w:pPr>
            <w:r w:rsidRPr="00FB48BF">
              <w:rPr>
                <w:sz w:val="20"/>
              </w:rPr>
              <w:t>0</w:t>
            </w:r>
          </w:p>
        </w:tc>
        <w:tc>
          <w:tcPr>
            <w:tcW w:w="622" w:type="dxa"/>
            <w:tcBorders>
              <w:top w:val="single" w:sz="4" w:space="0" w:color="auto"/>
              <w:left w:val="single" w:sz="4" w:space="0" w:color="auto"/>
              <w:bottom w:val="single" w:sz="4" w:space="0" w:color="auto"/>
              <w:right w:val="single" w:sz="4" w:space="0" w:color="auto"/>
            </w:tcBorders>
            <w:shd w:val="clear" w:color="000000" w:fill="auto"/>
            <w:vAlign w:val="center"/>
          </w:tcPr>
          <w:p w:rsidR="00251A0B" w:rsidRPr="00E46005" w:rsidRDefault="00251A0B" w:rsidP="00251A0B">
            <w:pPr>
              <w:spacing w:before="40" w:after="40"/>
              <w:jc w:val="center"/>
              <w:rPr>
                <w:sz w:val="20"/>
              </w:rPr>
            </w:pPr>
            <w:r w:rsidRPr="00E46005">
              <w:rPr>
                <w:sz w:val="20"/>
              </w:rPr>
              <w:t>1</w:t>
            </w:r>
          </w:p>
        </w:tc>
        <w:tc>
          <w:tcPr>
            <w:tcW w:w="846" w:type="dxa"/>
            <w:tcBorders>
              <w:top w:val="single" w:sz="4" w:space="0" w:color="auto"/>
              <w:left w:val="single" w:sz="4" w:space="0" w:color="auto"/>
              <w:bottom w:val="single" w:sz="4" w:space="0" w:color="auto"/>
              <w:right w:val="single" w:sz="4" w:space="0" w:color="auto"/>
            </w:tcBorders>
            <w:shd w:val="clear" w:color="000000" w:fill="auto"/>
            <w:vAlign w:val="center"/>
          </w:tcPr>
          <w:p w:rsidR="00251A0B" w:rsidRPr="00E46005" w:rsidRDefault="00251A0B" w:rsidP="00251A0B">
            <w:pPr>
              <w:spacing w:before="40" w:after="40"/>
              <w:jc w:val="center"/>
              <w:rPr>
                <w:sz w:val="20"/>
              </w:rPr>
            </w:pPr>
            <w:r w:rsidRPr="00E46005">
              <w:rPr>
                <w:sz w:val="20"/>
              </w:rPr>
              <w:t>0</w:t>
            </w:r>
          </w:p>
        </w:tc>
        <w:tc>
          <w:tcPr>
            <w:tcW w:w="712" w:type="dxa"/>
            <w:tcBorders>
              <w:top w:val="nil"/>
              <w:left w:val="single" w:sz="4" w:space="0" w:color="auto"/>
              <w:bottom w:val="single" w:sz="4" w:space="0" w:color="auto"/>
              <w:right w:val="single" w:sz="8" w:space="0" w:color="auto"/>
            </w:tcBorders>
            <w:shd w:val="clear" w:color="000000" w:fill="AEAAAA"/>
            <w:noWrap/>
            <w:vAlign w:val="center"/>
            <w:hideMark/>
          </w:tcPr>
          <w:p w:rsidR="00251A0B" w:rsidRPr="00FB48BF" w:rsidRDefault="00251A0B" w:rsidP="00251A0B">
            <w:pPr>
              <w:spacing w:before="40" w:after="40"/>
              <w:jc w:val="center"/>
              <w:rPr>
                <w:b/>
                <w:bCs/>
                <w:sz w:val="20"/>
              </w:rPr>
            </w:pPr>
            <w:r>
              <w:rPr>
                <w:b/>
                <w:bCs/>
                <w:sz w:val="20"/>
              </w:rPr>
              <w:t>4</w:t>
            </w:r>
          </w:p>
        </w:tc>
      </w:tr>
      <w:tr w:rsidR="00251A0B" w:rsidRPr="00100BB2" w:rsidTr="00251A0B">
        <w:trPr>
          <w:trHeight w:val="315"/>
        </w:trPr>
        <w:tc>
          <w:tcPr>
            <w:tcW w:w="2371" w:type="dxa"/>
            <w:tcBorders>
              <w:top w:val="nil"/>
              <w:left w:val="single" w:sz="8" w:space="0" w:color="auto"/>
              <w:bottom w:val="single" w:sz="8" w:space="0" w:color="auto"/>
              <w:right w:val="single" w:sz="4" w:space="0" w:color="auto"/>
            </w:tcBorders>
            <w:shd w:val="clear" w:color="auto" w:fill="auto"/>
            <w:noWrap/>
            <w:vAlign w:val="bottom"/>
            <w:hideMark/>
          </w:tcPr>
          <w:p w:rsidR="00251A0B" w:rsidRPr="0097490A" w:rsidRDefault="00251A0B" w:rsidP="00251A0B">
            <w:pPr>
              <w:pStyle w:val="Tabletext"/>
              <w:rPr>
                <w:rFonts w:asciiTheme="minorHAnsi" w:eastAsiaTheme="minorEastAsia" w:hAnsiTheme="minorHAnsi"/>
                <w:szCs w:val="22"/>
                <w:lang w:val="en-US" w:eastAsia="zh-CN"/>
              </w:rPr>
            </w:pPr>
            <w:r w:rsidRPr="0097490A">
              <w:rPr>
                <w:rFonts w:asciiTheme="minorHAnsi" w:eastAsiaTheme="minorEastAsia" w:hAnsiTheme="minorHAnsi"/>
                <w:szCs w:val="22"/>
                <w:lang w:val="en-CA" w:eastAsia="zh-CN"/>
              </w:rPr>
              <w:tab/>
            </w:r>
            <w:r w:rsidRPr="0097490A">
              <w:rPr>
                <w:rFonts w:asciiTheme="minorHAnsi" w:eastAsiaTheme="minorEastAsia" w:hAnsiTheme="minorHAnsi"/>
                <w:szCs w:val="22"/>
                <w:lang w:val="en-US" w:eastAsia="zh-CN"/>
              </w:rPr>
              <w:t>完成</w:t>
            </w:r>
          </w:p>
        </w:tc>
        <w:tc>
          <w:tcPr>
            <w:tcW w:w="713" w:type="dxa"/>
            <w:tcBorders>
              <w:top w:val="nil"/>
              <w:left w:val="nil"/>
              <w:bottom w:val="single" w:sz="8" w:space="0" w:color="auto"/>
              <w:right w:val="single" w:sz="4" w:space="0" w:color="auto"/>
            </w:tcBorders>
            <w:shd w:val="clear" w:color="000000" w:fill="FFFFFF"/>
            <w:noWrap/>
            <w:vAlign w:val="center"/>
            <w:hideMark/>
          </w:tcPr>
          <w:p w:rsidR="00251A0B" w:rsidRPr="00FB48BF" w:rsidRDefault="00251A0B" w:rsidP="00251A0B">
            <w:pPr>
              <w:spacing w:before="40" w:after="40"/>
              <w:jc w:val="center"/>
              <w:rPr>
                <w:sz w:val="20"/>
              </w:rPr>
            </w:pPr>
            <w:r w:rsidRPr="00FB48BF">
              <w:rPr>
                <w:sz w:val="20"/>
              </w:rPr>
              <w:t>14</w:t>
            </w:r>
          </w:p>
        </w:tc>
        <w:tc>
          <w:tcPr>
            <w:tcW w:w="628" w:type="dxa"/>
            <w:tcBorders>
              <w:top w:val="nil"/>
              <w:left w:val="nil"/>
              <w:bottom w:val="single" w:sz="8" w:space="0" w:color="auto"/>
              <w:right w:val="single" w:sz="4" w:space="0" w:color="auto"/>
            </w:tcBorders>
            <w:shd w:val="clear" w:color="auto" w:fill="auto"/>
            <w:noWrap/>
            <w:vAlign w:val="center"/>
            <w:hideMark/>
          </w:tcPr>
          <w:p w:rsidR="00251A0B" w:rsidRPr="00FB48BF" w:rsidRDefault="00251A0B" w:rsidP="00251A0B">
            <w:pPr>
              <w:spacing w:before="40" w:after="40"/>
              <w:jc w:val="center"/>
              <w:rPr>
                <w:sz w:val="20"/>
              </w:rPr>
            </w:pPr>
            <w:r w:rsidRPr="00FB48BF">
              <w:rPr>
                <w:sz w:val="20"/>
              </w:rPr>
              <w:t>–</w:t>
            </w:r>
          </w:p>
        </w:tc>
        <w:tc>
          <w:tcPr>
            <w:tcW w:w="711" w:type="dxa"/>
            <w:tcBorders>
              <w:top w:val="nil"/>
              <w:left w:val="nil"/>
              <w:bottom w:val="single" w:sz="8" w:space="0" w:color="auto"/>
              <w:right w:val="single" w:sz="4" w:space="0" w:color="auto"/>
            </w:tcBorders>
            <w:shd w:val="clear" w:color="000000" w:fill="FFFFFF"/>
            <w:noWrap/>
            <w:vAlign w:val="center"/>
            <w:hideMark/>
          </w:tcPr>
          <w:p w:rsidR="00251A0B" w:rsidRPr="00FB48BF" w:rsidRDefault="00251A0B" w:rsidP="00251A0B">
            <w:pPr>
              <w:spacing w:before="40" w:after="40"/>
              <w:jc w:val="center"/>
              <w:rPr>
                <w:sz w:val="20"/>
              </w:rPr>
            </w:pPr>
            <w:r w:rsidRPr="00FB48BF">
              <w:rPr>
                <w:sz w:val="20"/>
              </w:rPr>
              <w:t>10</w:t>
            </w:r>
            <w:r>
              <w:rPr>
                <w:sz w:val="20"/>
              </w:rPr>
              <w:t>8</w:t>
            </w:r>
          </w:p>
        </w:tc>
        <w:tc>
          <w:tcPr>
            <w:tcW w:w="712" w:type="dxa"/>
            <w:tcBorders>
              <w:top w:val="nil"/>
              <w:left w:val="nil"/>
              <w:bottom w:val="single" w:sz="8" w:space="0" w:color="auto"/>
              <w:right w:val="nil"/>
            </w:tcBorders>
            <w:shd w:val="clear" w:color="000000" w:fill="FFFFFF"/>
            <w:noWrap/>
            <w:vAlign w:val="center"/>
            <w:hideMark/>
          </w:tcPr>
          <w:p w:rsidR="00251A0B" w:rsidRPr="00FB48BF" w:rsidRDefault="00251A0B" w:rsidP="00251A0B">
            <w:pPr>
              <w:spacing w:before="40" w:after="40"/>
              <w:jc w:val="center"/>
              <w:rPr>
                <w:sz w:val="20"/>
              </w:rPr>
            </w:pPr>
            <w:r w:rsidRPr="00FB48BF">
              <w:rPr>
                <w:sz w:val="20"/>
              </w:rPr>
              <w:t>5</w:t>
            </w:r>
            <w:r>
              <w:rPr>
                <w:sz w:val="20"/>
              </w:rPr>
              <w:t>3</w:t>
            </w:r>
          </w:p>
        </w:tc>
        <w:tc>
          <w:tcPr>
            <w:tcW w:w="712" w:type="dxa"/>
            <w:tcBorders>
              <w:top w:val="nil"/>
              <w:left w:val="single" w:sz="4" w:space="0" w:color="auto"/>
              <w:bottom w:val="single" w:sz="8" w:space="0" w:color="auto"/>
              <w:right w:val="nil"/>
            </w:tcBorders>
            <w:shd w:val="clear" w:color="000000" w:fill="FFFFFF"/>
            <w:noWrap/>
            <w:vAlign w:val="center"/>
            <w:hideMark/>
          </w:tcPr>
          <w:p w:rsidR="00251A0B" w:rsidRPr="00FB48BF" w:rsidRDefault="00251A0B" w:rsidP="00251A0B">
            <w:pPr>
              <w:spacing w:before="40" w:after="40"/>
              <w:jc w:val="center"/>
              <w:rPr>
                <w:sz w:val="20"/>
              </w:rPr>
            </w:pPr>
            <w:r>
              <w:rPr>
                <w:sz w:val="20"/>
              </w:rPr>
              <w:t>30</w:t>
            </w:r>
          </w:p>
        </w:tc>
        <w:tc>
          <w:tcPr>
            <w:tcW w:w="712" w:type="dxa"/>
            <w:tcBorders>
              <w:top w:val="nil"/>
              <w:left w:val="single" w:sz="4" w:space="0" w:color="auto"/>
              <w:bottom w:val="single" w:sz="8" w:space="0" w:color="auto"/>
              <w:right w:val="nil"/>
            </w:tcBorders>
            <w:shd w:val="clear" w:color="000000" w:fill="FFFFFF"/>
            <w:noWrap/>
            <w:vAlign w:val="center"/>
            <w:hideMark/>
          </w:tcPr>
          <w:p w:rsidR="00251A0B" w:rsidRPr="00FB48BF" w:rsidRDefault="00251A0B" w:rsidP="00251A0B">
            <w:pPr>
              <w:spacing w:before="40" w:after="40"/>
              <w:jc w:val="center"/>
              <w:rPr>
                <w:sz w:val="20"/>
              </w:rPr>
            </w:pPr>
            <w:r>
              <w:rPr>
                <w:sz w:val="20"/>
              </w:rPr>
              <w:t>14</w:t>
            </w:r>
          </w:p>
        </w:tc>
        <w:tc>
          <w:tcPr>
            <w:tcW w:w="880" w:type="dxa"/>
            <w:tcBorders>
              <w:top w:val="nil"/>
              <w:left w:val="single" w:sz="4" w:space="0" w:color="auto"/>
              <w:bottom w:val="single" w:sz="8" w:space="0" w:color="auto"/>
              <w:right w:val="nil"/>
            </w:tcBorders>
            <w:shd w:val="clear" w:color="000000" w:fill="FFFFFF"/>
            <w:noWrap/>
            <w:vAlign w:val="center"/>
            <w:hideMark/>
          </w:tcPr>
          <w:p w:rsidR="00251A0B" w:rsidRPr="00FB48BF" w:rsidRDefault="00251A0B" w:rsidP="00251A0B">
            <w:pPr>
              <w:spacing w:before="40" w:after="40"/>
              <w:jc w:val="center"/>
              <w:rPr>
                <w:sz w:val="20"/>
              </w:rPr>
            </w:pPr>
            <w:r>
              <w:rPr>
                <w:sz w:val="20"/>
              </w:rPr>
              <w:t>12</w:t>
            </w:r>
          </w:p>
        </w:tc>
        <w:tc>
          <w:tcPr>
            <w:tcW w:w="622" w:type="dxa"/>
            <w:tcBorders>
              <w:top w:val="single" w:sz="4" w:space="0" w:color="auto"/>
              <w:left w:val="single" w:sz="4" w:space="0" w:color="auto"/>
              <w:bottom w:val="single" w:sz="8" w:space="0" w:color="auto"/>
              <w:right w:val="single" w:sz="4" w:space="0" w:color="auto"/>
            </w:tcBorders>
            <w:shd w:val="clear" w:color="000000" w:fill="auto"/>
            <w:vAlign w:val="center"/>
          </w:tcPr>
          <w:p w:rsidR="00251A0B" w:rsidRPr="00E46005" w:rsidRDefault="00251A0B" w:rsidP="00251A0B">
            <w:pPr>
              <w:spacing w:before="40" w:after="40"/>
              <w:jc w:val="center"/>
              <w:rPr>
                <w:sz w:val="20"/>
              </w:rPr>
            </w:pPr>
            <w:r w:rsidRPr="00E46005">
              <w:rPr>
                <w:sz w:val="20"/>
              </w:rPr>
              <w:t>6</w:t>
            </w:r>
          </w:p>
        </w:tc>
        <w:tc>
          <w:tcPr>
            <w:tcW w:w="846" w:type="dxa"/>
            <w:tcBorders>
              <w:top w:val="single" w:sz="4" w:space="0" w:color="auto"/>
              <w:left w:val="single" w:sz="4" w:space="0" w:color="auto"/>
              <w:bottom w:val="single" w:sz="8" w:space="0" w:color="auto"/>
              <w:right w:val="single" w:sz="4" w:space="0" w:color="auto"/>
            </w:tcBorders>
            <w:shd w:val="clear" w:color="000000" w:fill="auto"/>
            <w:vAlign w:val="center"/>
          </w:tcPr>
          <w:p w:rsidR="00251A0B" w:rsidRPr="00E46005" w:rsidRDefault="00251A0B" w:rsidP="00251A0B">
            <w:pPr>
              <w:spacing w:before="40" w:after="40"/>
              <w:jc w:val="center"/>
              <w:rPr>
                <w:sz w:val="20"/>
              </w:rPr>
            </w:pPr>
            <w:r w:rsidRPr="00E46005">
              <w:rPr>
                <w:sz w:val="20"/>
              </w:rPr>
              <w:t>0</w:t>
            </w:r>
          </w:p>
        </w:tc>
        <w:tc>
          <w:tcPr>
            <w:tcW w:w="712" w:type="dxa"/>
            <w:tcBorders>
              <w:top w:val="nil"/>
              <w:left w:val="single" w:sz="4" w:space="0" w:color="auto"/>
              <w:bottom w:val="single" w:sz="8" w:space="0" w:color="auto"/>
              <w:right w:val="single" w:sz="8" w:space="0" w:color="auto"/>
            </w:tcBorders>
            <w:shd w:val="clear" w:color="000000" w:fill="AEAAAA"/>
            <w:noWrap/>
            <w:vAlign w:val="center"/>
            <w:hideMark/>
          </w:tcPr>
          <w:p w:rsidR="00251A0B" w:rsidRPr="00FB48BF" w:rsidRDefault="00251A0B" w:rsidP="00251A0B">
            <w:pPr>
              <w:spacing w:before="40" w:after="40"/>
              <w:jc w:val="center"/>
              <w:rPr>
                <w:b/>
                <w:bCs/>
                <w:sz w:val="20"/>
              </w:rPr>
            </w:pPr>
            <w:r w:rsidRPr="00FB48BF">
              <w:rPr>
                <w:b/>
                <w:bCs/>
                <w:sz w:val="20"/>
              </w:rPr>
              <w:t>2</w:t>
            </w:r>
            <w:r>
              <w:rPr>
                <w:b/>
                <w:bCs/>
                <w:sz w:val="20"/>
              </w:rPr>
              <w:t>37</w:t>
            </w:r>
          </w:p>
        </w:tc>
      </w:tr>
      <w:tr w:rsidR="00251A0B" w:rsidRPr="00100BB2" w:rsidTr="00251A0B">
        <w:trPr>
          <w:trHeight w:val="105"/>
        </w:trPr>
        <w:tc>
          <w:tcPr>
            <w:tcW w:w="2371" w:type="dxa"/>
            <w:tcBorders>
              <w:top w:val="nil"/>
              <w:left w:val="single" w:sz="8" w:space="0" w:color="auto"/>
              <w:bottom w:val="nil"/>
              <w:right w:val="nil"/>
            </w:tcBorders>
            <w:shd w:val="clear" w:color="auto" w:fill="auto"/>
            <w:noWrap/>
            <w:vAlign w:val="bottom"/>
            <w:hideMark/>
          </w:tcPr>
          <w:p w:rsidR="00251A0B" w:rsidRPr="00FB48BF" w:rsidRDefault="00251A0B" w:rsidP="00F31A03">
            <w:pPr>
              <w:spacing w:before="40" w:after="40"/>
              <w:rPr>
                <w:sz w:val="20"/>
              </w:rPr>
            </w:pPr>
            <w:r w:rsidRPr="00FB48BF">
              <w:rPr>
                <w:sz w:val="20"/>
              </w:rPr>
              <w:t> </w:t>
            </w:r>
          </w:p>
        </w:tc>
        <w:tc>
          <w:tcPr>
            <w:tcW w:w="713" w:type="dxa"/>
            <w:tcBorders>
              <w:top w:val="nil"/>
              <w:left w:val="nil"/>
              <w:bottom w:val="nil"/>
              <w:right w:val="nil"/>
            </w:tcBorders>
            <w:shd w:val="clear" w:color="000000" w:fill="FFFFFF"/>
            <w:noWrap/>
            <w:vAlign w:val="center"/>
            <w:hideMark/>
          </w:tcPr>
          <w:p w:rsidR="00251A0B" w:rsidRPr="00FB48BF" w:rsidRDefault="00251A0B" w:rsidP="00F31A03">
            <w:pPr>
              <w:spacing w:before="40" w:after="40"/>
              <w:jc w:val="center"/>
              <w:rPr>
                <w:sz w:val="20"/>
              </w:rPr>
            </w:pPr>
          </w:p>
        </w:tc>
        <w:tc>
          <w:tcPr>
            <w:tcW w:w="628" w:type="dxa"/>
            <w:tcBorders>
              <w:top w:val="nil"/>
              <w:left w:val="nil"/>
              <w:bottom w:val="nil"/>
              <w:right w:val="nil"/>
            </w:tcBorders>
            <w:shd w:val="clear" w:color="auto" w:fill="auto"/>
            <w:noWrap/>
            <w:vAlign w:val="center"/>
            <w:hideMark/>
          </w:tcPr>
          <w:p w:rsidR="00251A0B" w:rsidRPr="00FB48BF" w:rsidRDefault="00251A0B" w:rsidP="00F31A03">
            <w:pPr>
              <w:spacing w:before="40" w:after="40"/>
              <w:jc w:val="center"/>
              <w:rPr>
                <w:sz w:val="20"/>
              </w:rPr>
            </w:pPr>
          </w:p>
        </w:tc>
        <w:tc>
          <w:tcPr>
            <w:tcW w:w="711" w:type="dxa"/>
            <w:tcBorders>
              <w:top w:val="nil"/>
              <w:left w:val="nil"/>
              <w:bottom w:val="nil"/>
              <w:right w:val="nil"/>
            </w:tcBorders>
            <w:shd w:val="clear" w:color="000000" w:fill="FFFFFF"/>
            <w:noWrap/>
            <w:vAlign w:val="center"/>
            <w:hideMark/>
          </w:tcPr>
          <w:p w:rsidR="00251A0B" w:rsidRPr="00FB48BF" w:rsidRDefault="00251A0B" w:rsidP="00F31A03">
            <w:pPr>
              <w:spacing w:before="40" w:after="40"/>
              <w:jc w:val="center"/>
              <w:rPr>
                <w:sz w:val="20"/>
              </w:rPr>
            </w:pPr>
          </w:p>
        </w:tc>
        <w:tc>
          <w:tcPr>
            <w:tcW w:w="712" w:type="dxa"/>
            <w:tcBorders>
              <w:top w:val="nil"/>
              <w:left w:val="nil"/>
              <w:bottom w:val="nil"/>
              <w:right w:val="nil"/>
            </w:tcBorders>
            <w:shd w:val="clear" w:color="000000" w:fill="FFFFFF"/>
            <w:noWrap/>
            <w:vAlign w:val="center"/>
            <w:hideMark/>
          </w:tcPr>
          <w:p w:rsidR="00251A0B" w:rsidRPr="00FB48BF" w:rsidRDefault="00251A0B" w:rsidP="00F31A03">
            <w:pPr>
              <w:spacing w:before="40" w:after="40"/>
              <w:jc w:val="center"/>
              <w:rPr>
                <w:sz w:val="20"/>
              </w:rPr>
            </w:pPr>
          </w:p>
        </w:tc>
        <w:tc>
          <w:tcPr>
            <w:tcW w:w="712" w:type="dxa"/>
            <w:tcBorders>
              <w:top w:val="nil"/>
              <w:left w:val="nil"/>
              <w:bottom w:val="nil"/>
              <w:right w:val="nil"/>
            </w:tcBorders>
            <w:shd w:val="clear" w:color="000000" w:fill="FFFFFF"/>
            <w:noWrap/>
            <w:vAlign w:val="center"/>
            <w:hideMark/>
          </w:tcPr>
          <w:p w:rsidR="00251A0B" w:rsidRPr="00FB48BF" w:rsidRDefault="00251A0B" w:rsidP="00F31A03">
            <w:pPr>
              <w:spacing w:before="40" w:after="40"/>
              <w:jc w:val="center"/>
              <w:rPr>
                <w:sz w:val="20"/>
              </w:rPr>
            </w:pPr>
          </w:p>
        </w:tc>
        <w:tc>
          <w:tcPr>
            <w:tcW w:w="712" w:type="dxa"/>
            <w:tcBorders>
              <w:top w:val="nil"/>
              <w:left w:val="nil"/>
              <w:bottom w:val="nil"/>
              <w:right w:val="nil"/>
            </w:tcBorders>
            <w:shd w:val="clear" w:color="000000" w:fill="FFFFFF"/>
            <w:noWrap/>
            <w:vAlign w:val="center"/>
            <w:hideMark/>
          </w:tcPr>
          <w:p w:rsidR="00251A0B" w:rsidRPr="00FB48BF" w:rsidRDefault="00251A0B" w:rsidP="00F31A03">
            <w:pPr>
              <w:spacing w:before="40" w:after="40"/>
              <w:jc w:val="center"/>
              <w:rPr>
                <w:sz w:val="20"/>
              </w:rPr>
            </w:pPr>
          </w:p>
        </w:tc>
        <w:tc>
          <w:tcPr>
            <w:tcW w:w="880" w:type="dxa"/>
            <w:tcBorders>
              <w:top w:val="nil"/>
              <w:left w:val="nil"/>
              <w:bottom w:val="nil"/>
              <w:right w:val="nil"/>
            </w:tcBorders>
            <w:shd w:val="clear" w:color="000000" w:fill="FFFFFF"/>
            <w:noWrap/>
            <w:vAlign w:val="center"/>
            <w:hideMark/>
          </w:tcPr>
          <w:p w:rsidR="00251A0B" w:rsidRPr="00FB48BF" w:rsidRDefault="00251A0B" w:rsidP="00F31A03">
            <w:pPr>
              <w:spacing w:before="40" w:after="40"/>
              <w:jc w:val="center"/>
              <w:rPr>
                <w:sz w:val="20"/>
              </w:rPr>
            </w:pPr>
          </w:p>
        </w:tc>
        <w:tc>
          <w:tcPr>
            <w:tcW w:w="622" w:type="dxa"/>
            <w:tcBorders>
              <w:top w:val="nil"/>
              <w:left w:val="nil"/>
              <w:bottom w:val="nil"/>
              <w:right w:val="nil"/>
            </w:tcBorders>
            <w:shd w:val="clear" w:color="000000" w:fill="FFFFFF"/>
            <w:vAlign w:val="center"/>
          </w:tcPr>
          <w:p w:rsidR="00251A0B" w:rsidRPr="00E46005" w:rsidRDefault="00251A0B" w:rsidP="00F31A03">
            <w:pPr>
              <w:spacing w:before="40" w:after="40"/>
              <w:jc w:val="center"/>
              <w:rPr>
                <w:sz w:val="20"/>
              </w:rPr>
            </w:pPr>
          </w:p>
        </w:tc>
        <w:tc>
          <w:tcPr>
            <w:tcW w:w="846" w:type="dxa"/>
            <w:tcBorders>
              <w:top w:val="nil"/>
              <w:left w:val="nil"/>
              <w:bottom w:val="nil"/>
              <w:right w:val="nil"/>
            </w:tcBorders>
            <w:shd w:val="clear" w:color="000000" w:fill="FFFFFF"/>
            <w:vAlign w:val="center"/>
          </w:tcPr>
          <w:p w:rsidR="00251A0B" w:rsidRPr="00E46005" w:rsidRDefault="00251A0B" w:rsidP="00F31A03">
            <w:pPr>
              <w:spacing w:before="40" w:after="40"/>
              <w:jc w:val="center"/>
              <w:rPr>
                <w:sz w:val="20"/>
              </w:rPr>
            </w:pPr>
          </w:p>
        </w:tc>
        <w:tc>
          <w:tcPr>
            <w:tcW w:w="712" w:type="dxa"/>
            <w:tcBorders>
              <w:top w:val="nil"/>
              <w:left w:val="nil"/>
              <w:bottom w:val="nil"/>
              <w:right w:val="single" w:sz="8" w:space="0" w:color="auto"/>
            </w:tcBorders>
            <w:shd w:val="clear" w:color="000000" w:fill="FFFFFF"/>
            <w:noWrap/>
            <w:vAlign w:val="center"/>
            <w:hideMark/>
          </w:tcPr>
          <w:p w:rsidR="00251A0B" w:rsidRPr="00FB48BF" w:rsidRDefault="00251A0B" w:rsidP="00F31A03">
            <w:pPr>
              <w:spacing w:before="40" w:after="40"/>
              <w:jc w:val="center"/>
              <w:rPr>
                <w:b/>
                <w:bCs/>
                <w:sz w:val="20"/>
              </w:rPr>
            </w:pPr>
          </w:p>
        </w:tc>
      </w:tr>
      <w:tr w:rsidR="00251A0B" w:rsidRPr="00100BB2" w:rsidTr="00251A0B">
        <w:trPr>
          <w:trHeight w:val="315"/>
        </w:trPr>
        <w:tc>
          <w:tcPr>
            <w:tcW w:w="237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251A0B" w:rsidRPr="0097490A" w:rsidRDefault="00251A0B" w:rsidP="00251A0B">
            <w:pPr>
              <w:pStyle w:val="Tabletext"/>
              <w:rPr>
                <w:rFonts w:asciiTheme="minorHAnsi" w:eastAsiaTheme="minorEastAsia" w:hAnsiTheme="minorHAnsi"/>
                <w:szCs w:val="22"/>
                <w:lang w:val="en-US" w:eastAsia="zh-CN"/>
              </w:rPr>
            </w:pPr>
            <w:r w:rsidRPr="0097490A">
              <w:rPr>
                <w:rFonts w:asciiTheme="minorHAnsi" w:eastAsiaTheme="minorEastAsia" w:hAnsiTheme="minorHAnsi"/>
                <w:szCs w:val="22"/>
                <w:lang w:val="en-US" w:eastAsia="zh-CN"/>
              </w:rPr>
              <w:t>实施中建议所占百分比</w:t>
            </w:r>
          </w:p>
        </w:tc>
        <w:tc>
          <w:tcPr>
            <w:tcW w:w="713" w:type="dxa"/>
            <w:tcBorders>
              <w:top w:val="single" w:sz="8" w:space="0" w:color="auto"/>
              <w:left w:val="nil"/>
              <w:bottom w:val="single" w:sz="8" w:space="0" w:color="auto"/>
              <w:right w:val="single" w:sz="4" w:space="0" w:color="auto"/>
            </w:tcBorders>
            <w:shd w:val="clear" w:color="auto" w:fill="auto"/>
            <w:noWrap/>
            <w:vAlign w:val="center"/>
            <w:hideMark/>
          </w:tcPr>
          <w:p w:rsidR="00251A0B" w:rsidRPr="00FB48BF" w:rsidRDefault="00251A0B" w:rsidP="00251A0B">
            <w:pPr>
              <w:spacing w:before="40" w:after="40"/>
              <w:jc w:val="center"/>
              <w:rPr>
                <w:sz w:val="20"/>
              </w:rPr>
            </w:pPr>
            <w:r w:rsidRPr="00FB48BF">
              <w:rPr>
                <w:sz w:val="20"/>
              </w:rPr>
              <w:t>0%</w:t>
            </w:r>
          </w:p>
        </w:tc>
        <w:tc>
          <w:tcPr>
            <w:tcW w:w="628" w:type="dxa"/>
            <w:tcBorders>
              <w:top w:val="single" w:sz="8" w:space="0" w:color="auto"/>
              <w:left w:val="nil"/>
              <w:bottom w:val="single" w:sz="8" w:space="0" w:color="auto"/>
              <w:right w:val="single" w:sz="4" w:space="0" w:color="auto"/>
            </w:tcBorders>
            <w:shd w:val="clear" w:color="auto" w:fill="auto"/>
            <w:noWrap/>
            <w:vAlign w:val="center"/>
            <w:hideMark/>
          </w:tcPr>
          <w:p w:rsidR="00251A0B" w:rsidRPr="00FB48BF" w:rsidRDefault="00251A0B" w:rsidP="00251A0B">
            <w:pPr>
              <w:spacing w:before="40" w:after="40"/>
              <w:jc w:val="center"/>
              <w:rPr>
                <w:sz w:val="20"/>
              </w:rPr>
            </w:pPr>
            <w:r w:rsidRPr="00FB48BF">
              <w:rPr>
                <w:sz w:val="20"/>
              </w:rPr>
              <w:t>–</w:t>
            </w:r>
          </w:p>
        </w:tc>
        <w:tc>
          <w:tcPr>
            <w:tcW w:w="711" w:type="dxa"/>
            <w:tcBorders>
              <w:top w:val="single" w:sz="8" w:space="0" w:color="auto"/>
              <w:left w:val="nil"/>
              <w:bottom w:val="single" w:sz="8" w:space="0" w:color="auto"/>
              <w:right w:val="single" w:sz="4" w:space="0" w:color="auto"/>
            </w:tcBorders>
            <w:shd w:val="clear" w:color="auto" w:fill="auto"/>
            <w:noWrap/>
            <w:vAlign w:val="center"/>
            <w:hideMark/>
          </w:tcPr>
          <w:p w:rsidR="00251A0B" w:rsidRPr="00FB48BF" w:rsidRDefault="00251A0B" w:rsidP="00251A0B">
            <w:pPr>
              <w:spacing w:before="40" w:after="40"/>
              <w:jc w:val="center"/>
              <w:rPr>
                <w:sz w:val="20"/>
              </w:rPr>
            </w:pPr>
            <w:r>
              <w:rPr>
                <w:sz w:val="20"/>
              </w:rPr>
              <w:t>4</w:t>
            </w:r>
            <w:r w:rsidRPr="00FB48BF">
              <w:rPr>
                <w:sz w:val="20"/>
              </w:rPr>
              <w:t>%</w:t>
            </w:r>
          </w:p>
        </w:tc>
        <w:tc>
          <w:tcPr>
            <w:tcW w:w="712" w:type="dxa"/>
            <w:tcBorders>
              <w:top w:val="single" w:sz="8" w:space="0" w:color="auto"/>
              <w:left w:val="nil"/>
              <w:bottom w:val="single" w:sz="8" w:space="0" w:color="auto"/>
              <w:right w:val="single" w:sz="4" w:space="0" w:color="auto"/>
            </w:tcBorders>
            <w:shd w:val="clear" w:color="auto" w:fill="auto"/>
            <w:noWrap/>
            <w:vAlign w:val="center"/>
            <w:hideMark/>
          </w:tcPr>
          <w:p w:rsidR="00251A0B" w:rsidRPr="00FB48BF" w:rsidRDefault="00251A0B" w:rsidP="00251A0B">
            <w:pPr>
              <w:spacing w:before="40" w:after="40"/>
              <w:jc w:val="center"/>
              <w:rPr>
                <w:sz w:val="20"/>
              </w:rPr>
            </w:pPr>
            <w:r>
              <w:rPr>
                <w:sz w:val="20"/>
              </w:rPr>
              <w:t>4</w:t>
            </w:r>
            <w:r w:rsidRPr="00FB48BF">
              <w:rPr>
                <w:sz w:val="20"/>
              </w:rPr>
              <w:t>%</w:t>
            </w:r>
          </w:p>
        </w:tc>
        <w:tc>
          <w:tcPr>
            <w:tcW w:w="712" w:type="dxa"/>
            <w:tcBorders>
              <w:top w:val="single" w:sz="8" w:space="0" w:color="auto"/>
              <w:left w:val="nil"/>
              <w:bottom w:val="single" w:sz="8" w:space="0" w:color="auto"/>
              <w:right w:val="single" w:sz="4" w:space="0" w:color="auto"/>
            </w:tcBorders>
            <w:shd w:val="clear" w:color="auto" w:fill="auto"/>
            <w:noWrap/>
            <w:vAlign w:val="center"/>
            <w:hideMark/>
          </w:tcPr>
          <w:p w:rsidR="00251A0B" w:rsidRPr="00FB48BF" w:rsidRDefault="00251A0B" w:rsidP="00251A0B">
            <w:pPr>
              <w:spacing w:before="40" w:after="40"/>
              <w:jc w:val="center"/>
              <w:rPr>
                <w:sz w:val="20"/>
              </w:rPr>
            </w:pPr>
            <w:r>
              <w:rPr>
                <w:sz w:val="20"/>
              </w:rPr>
              <w:t>12</w:t>
            </w:r>
            <w:r w:rsidRPr="00FB48BF">
              <w:rPr>
                <w:sz w:val="20"/>
              </w:rPr>
              <w:t>%</w:t>
            </w:r>
          </w:p>
        </w:tc>
        <w:tc>
          <w:tcPr>
            <w:tcW w:w="712" w:type="dxa"/>
            <w:tcBorders>
              <w:top w:val="single" w:sz="8" w:space="0" w:color="auto"/>
              <w:left w:val="nil"/>
              <w:bottom w:val="single" w:sz="8" w:space="0" w:color="auto"/>
              <w:right w:val="single" w:sz="4" w:space="0" w:color="auto"/>
            </w:tcBorders>
            <w:shd w:val="clear" w:color="auto" w:fill="auto"/>
            <w:noWrap/>
            <w:vAlign w:val="center"/>
            <w:hideMark/>
          </w:tcPr>
          <w:p w:rsidR="00251A0B" w:rsidRPr="00FB48BF" w:rsidRDefault="00251A0B" w:rsidP="00251A0B">
            <w:pPr>
              <w:spacing w:before="40" w:after="40"/>
              <w:jc w:val="center"/>
              <w:rPr>
                <w:sz w:val="20"/>
              </w:rPr>
            </w:pPr>
            <w:r>
              <w:rPr>
                <w:sz w:val="20"/>
              </w:rPr>
              <w:t>36</w:t>
            </w:r>
            <w:r w:rsidRPr="00FB48BF">
              <w:rPr>
                <w:sz w:val="20"/>
              </w:rPr>
              <w:t>%</w:t>
            </w:r>
          </w:p>
        </w:tc>
        <w:tc>
          <w:tcPr>
            <w:tcW w:w="880" w:type="dxa"/>
            <w:tcBorders>
              <w:top w:val="single" w:sz="8" w:space="0" w:color="auto"/>
              <w:left w:val="nil"/>
              <w:bottom w:val="single" w:sz="8" w:space="0" w:color="auto"/>
              <w:right w:val="nil"/>
            </w:tcBorders>
            <w:shd w:val="clear" w:color="auto" w:fill="auto"/>
            <w:noWrap/>
            <w:vAlign w:val="center"/>
            <w:hideMark/>
          </w:tcPr>
          <w:p w:rsidR="00251A0B" w:rsidRPr="00FB48BF" w:rsidRDefault="00251A0B" w:rsidP="00251A0B">
            <w:pPr>
              <w:spacing w:before="40" w:after="40"/>
              <w:jc w:val="center"/>
              <w:rPr>
                <w:sz w:val="20"/>
              </w:rPr>
            </w:pPr>
            <w:r>
              <w:rPr>
                <w:sz w:val="20"/>
              </w:rPr>
              <w:t>6</w:t>
            </w:r>
            <w:r w:rsidRPr="00FB48BF">
              <w:rPr>
                <w:sz w:val="20"/>
              </w:rPr>
              <w:t>0%</w:t>
            </w:r>
          </w:p>
        </w:tc>
        <w:tc>
          <w:tcPr>
            <w:tcW w:w="622" w:type="dxa"/>
            <w:tcBorders>
              <w:top w:val="single" w:sz="8" w:space="0" w:color="auto"/>
              <w:left w:val="single" w:sz="4" w:space="0" w:color="auto"/>
              <w:bottom w:val="single" w:sz="8" w:space="0" w:color="auto"/>
              <w:right w:val="single" w:sz="4" w:space="0" w:color="auto"/>
            </w:tcBorders>
            <w:vAlign w:val="center"/>
          </w:tcPr>
          <w:p w:rsidR="00251A0B" w:rsidRPr="00E46005" w:rsidRDefault="00251A0B" w:rsidP="00251A0B">
            <w:pPr>
              <w:spacing w:before="40" w:after="40"/>
              <w:jc w:val="center"/>
              <w:rPr>
                <w:sz w:val="20"/>
              </w:rPr>
            </w:pPr>
            <w:r w:rsidRPr="00E46005">
              <w:rPr>
                <w:sz w:val="20"/>
              </w:rPr>
              <w:t>73%</w:t>
            </w:r>
          </w:p>
        </w:tc>
        <w:tc>
          <w:tcPr>
            <w:tcW w:w="846" w:type="dxa"/>
            <w:tcBorders>
              <w:top w:val="single" w:sz="8" w:space="0" w:color="auto"/>
              <w:left w:val="single" w:sz="4" w:space="0" w:color="auto"/>
              <w:bottom w:val="single" w:sz="8" w:space="0" w:color="auto"/>
              <w:right w:val="single" w:sz="4" w:space="0" w:color="auto"/>
            </w:tcBorders>
            <w:vAlign w:val="center"/>
          </w:tcPr>
          <w:p w:rsidR="00251A0B" w:rsidRPr="00E46005" w:rsidRDefault="00251A0B" w:rsidP="00251A0B">
            <w:pPr>
              <w:spacing w:before="40" w:after="40"/>
              <w:jc w:val="center"/>
              <w:rPr>
                <w:sz w:val="20"/>
              </w:rPr>
            </w:pPr>
            <w:r w:rsidRPr="00E46005">
              <w:rPr>
                <w:sz w:val="20"/>
              </w:rPr>
              <w:t>100%</w:t>
            </w:r>
          </w:p>
        </w:tc>
        <w:tc>
          <w:tcPr>
            <w:tcW w:w="712" w:type="dxa"/>
            <w:tcBorders>
              <w:top w:val="single" w:sz="8" w:space="0" w:color="auto"/>
              <w:left w:val="single" w:sz="4" w:space="0" w:color="auto"/>
              <w:bottom w:val="single" w:sz="8" w:space="0" w:color="auto"/>
              <w:right w:val="single" w:sz="8" w:space="0" w:color="auto"/>
            </w:tcBorders>
            <w:shd w:val="clear" w:color="000000" w:fill="AEAAAA"/>
            <w:noWrap/>
            <w:vAlign w:val="center"/>
            <w:hideMark/>
          </w:tcPr>
          <w:p w:rsidR="00251A0B" w:rsidRPr="00FB48BF" w:rsidRDefault="00251A0B" w:rsidP="00251A0B">
            <w:pPr>
              <w:spacing w:before="40" w:after="40"/>
              <w:jc w:val="center"/>
              <w:rPr>
                <w:b/>
                <w:bCs/>
                <w:sz w:val="20"/>
              </w:rPr>
            </w:pPr>
            <w:r w:rsidRPr="00FB48BF">
              <w:rPr>
                <w:b/>
                <w:bCs/>
                <w:sz w:val="20"/>
              </w:rPr>
              <w:t>23%</w:t>
            </w:r>
          </w:p>
        </w:tc>
      </w:tr>
      <w:tr w:rsidR="00251A0B" w:rsidRPr="00100BB2" w:rsidTr="00251A0B">
        <w:trPr>
          <w:trHeight w:val="315"/>
        </w:trPr>
        <w:tc>
          <w:tcPr>
            <w:tcW w:w="2371" w:type="dxa"/>
            <w:tcBorders>
              <w:top w:val="nil"/>
              <w:left w:val="single" w:sz="8" w:space="0" w:color="auto"/>
              <w:bottom w:val="single" w:sz="8" w:space="0" w:color="auto"/>
              <w:right w:val="single" w:sz="4" w:space="0" w:color="auto"/>
            </w:tcBorders>
            <w:shd w:val="clear" w:color="auto" w:fill="auto"/>
            <w:noWrap/>
            <w:vAlign w:val="bottom"/>
            <w:hideMark/>
          </w:tcPr>
          <w:p w:rsidR="00251A0B" w:rsidRPr="0097490A" w:rsidRDefault="00251A0B" w:rsidP="00251A0B">
            <w:pPr>
              <w:pStyle w:val="Tabletext"/>
              <w:rPr>
                <w:rFonts w:asciiTheme="minorHAnsi" w:eastAsiaTheme="minorEastAsia" w:hAnsiTheme="minorHAnsi"/>
                <w:szCs w:val="22"/>
                <w:lang w:val="en-US" w:eastAsia="zh-CN"/>
              </w:rPr>
            </w:pPr>
            <w:r w:rsidRPr="0097490A">
              <w:rPr>
                <w:rFonts w:asciiTheme="minorHAnsi" w:eastAsiaTheme="minorEastAsia" w:hAnsiTheme="minorHAnsi"/>
                <w:szCs w:val="22"/>
                <w:lang w:val="en-US" w:eastAsia="zh-CN"/>
              </w:rPr>
              <w:t>延迟建议所占百分比</w:t>
            </w:r>
          </w:p>
        </w:tc>
        <w:tc>
          <w:tcPr>
            <w:tcW w:w="713" w:type="dxa"/>
            <w:tcBorders>
              <w:top w:val="nil"/>
              <w:left w:val="nil"/>
              <w:bottom w:val="single" w:sz="8" w:space="0" w:color="auto"/>
              <w:right w:val="single" w:sz="4" w:space="0" w:color="auto"/>
            </w:tcBorders>
            <w:shd w:val="clear" w:color="auto" w:fill="auto"/>
            <w:noWrap/>
            <w:vAlign w:val="center"/>
            <w:hideMark/>
          </w:tcPr>
          <w:p w:rsidR="00251A0B" w:rsidRPr="00FB48BF" w:rsidRDefault="00251A0B" w:rsidP="00251A0B">
            <w:pPr>
              <w:spacing w:before="40" w:after="40"/>
              <w:jc w:val="center"/>
              <w:rPr>
                <w:sz w:val="20"/>
              </w:rPr>
            </w:pPr>
            <w:r w:rsidRPr="00FB48BF">
              <w:rPr>
                <w:sz w:val="20"/>
              </w:rPr>
              <w:t>18%</w:t>
            </w:r>
          </w:p>
        </w:tc>
        <w:tc>
          <w:tcPr>
            <w:tcW w:w="628" w:type="dxa"/>
            <w:tcBorders>
              <w:top w:val="nil"/>
              <w:left w:val="nil"/>
              <w:bottom w:val="single" w:sz="8" w:space="0" w:color="auto"/>
              <w:right w:val="single" w:sz="4" w:space="0" w:color="auto"/>
            </w:tcBorders>
            <w:shd w:val="clear" w:color="auto" w:fill="auto"/>
            <w:noWrap/>
            <w:vAlign w:val="center"/>
            <w:hideMark/>
          </w:tcPr>
          <w:p w:rsidR="00251A0B" w:rsidRPr="00FB48BF" w:rsidRDefault="00251A0B" w:rsidP="00251A0B">
            <w:pPr>
              <w:spacing w:before="40" w:after="40"/>
              <w:jc w:val="center"/>
              <w:rPr>
                <w:sz w:val="20"/>
              </w:rPr>
            </w:pPr>
            <w:r w:rsidRPr="00FB48BF">
              <w:rPr>
                <w:sz w:val="20"/>
              </w:rPr>
              <w:t>–</w:t>
            </w:r>
          </w:p>
        </w:tc>
        <w:tc>
          <w:tcPr>
            <w:tcW w:w="711" w:type="dxa"/>
            <w:tcBorders>
              <w:top w:val="nil"/>
              <w:left w:val="nil"/>
              <w:bottom w:val="single" w:sz="8" w:space="0" w:color="auto"/>
              <w:right w:val="single" w:sz="4" w:space="0" w:color="auto"/>
            </w:tcBorders>
            <w:shd w:val="clear" w:color="000000" w:fill="FFFFFF"/>
            <w:noWrap/>
            <w:vAlign w:val="center"/>
            <w:hideMark/>
          </w:tcPr>
          <w:p w:rsidR="00251A0B" w:rsidRPr="00FB48BF" w:rsidRDefault="00251A0B" w:rsidP="00251A0B">
            <w:pPr>
              <w:spacing w:before="40" w:after="40"/>
              <w:jc w:val="center"/>
              <w:rPr>
                <w:sz w:val="20"/>
              </w:rPr>
            </w:pPr>
            <w:r w:rsidRPr="00FB48BF">
              <w:rPr>
                <w:sz w:val="20"/>
              </w:rPr>
              <w:t>0%</w:t>
            </w:r>
          </w:p>
        </w:tc>
        <w:tc>
          <w:tcPr>
            <w:tcW w:w="712" w:type="dxa"/>
            <w:tcBorders>
              <w:top w:val="nil"/>
              <w:left w:val="nil"/>
              <w:bottom w:val="single" w:sz="8" w:space="0" w:color="auto"/>
              <w:right w:val="single" w:sz="4" w:space="0" w:color="auto"/>
            </w:tcBorders>
            <w:shd w:val="clear" w:color="000000" w:fill="FFFFFF"/>
            <w:noWrap/>
            <w:vAlign w:val="center"/>
            <w:hideMark/>
          </w:tcPr>
          <w:p w:rsidR="00251A0B" w:rsidRPr="00FB48BF" w:rsidRDefault="00251A0B" w:rsidP="00251A0B">
            <w:pPr>
              <w:spacing w:before="40" w:after="40"/>
              <w:jc w:val="center"/>
              <w:rPr>
                <w:sz w:val="20"/>
              </w:rPr>
            </w:pPr>
            <w:r w:rsidRPr="00FB48BF">
              <w:rPr>
                <w:sz w:val="20"/>
              </w:rPr>
              <w:t>0%</w:t>
            </w:r>
          </w:p>
        </w:tc>
        <w:tc>
          <w:tcPr>
            <w:tcW w:w="712" w:type="dxa"/>
            <w:tcBorders>
              <w:top w:val="nil"/>
              <w:left w:val="nil"/>
              <w:bottom w:val="single" w:sz="8" w:space="0" w:color="auto"/>
              <w:right w:val="single" w:sz="4" w:space="0" w:color="auto"/>
            </w:tcBorders>
            <w:shd w:val="clear" w:color="auto" w:fill="auto"/>
            <w:noWrap/>
            <w:vAlign w:val="center"/>
            <w:hideMark/>
          </w:tcPr>
          <w:p w:rsidR="00251A0B" w:rsidRPr="00FB48BF" w:rsidRDefault="00251A0B" w:rsidP="00251A0B">
            <w:pPr>
              <w:spacing w:before="40" w:after="40"/>
              <w:jc w:val="center"/>
              <w:rPr>
                <w:sz w:val="20"/>
              </w:rPr>
            </w:pPr>
            <w:r w:rsidRPr="00FB48BF">
              <w:rPr>
                <w:sz w:val="20"/>
              </w:rPr>
              <w:t>0%</w:t>
            </w:r>
          </w:p>
        </w:tc>
        <w:tc>
          <w:tcPr>
            <w:tcW w:w="712" w:type="dxa"/>
            <w:tcBorders>
              <w:top w:val="nil"/>
              <w:left w:val="nil"/>
              <w:bottom w:val="single" w:sz="8" w:space="0" w:color="auto"/>
              <w:right w:val="single" w:sz="4" w:space="0" w:color="auto"/>
            </w:tcBorders>
            <w:shd w:val="clear" w:color="auto" w:fill="auto"/>
            <w:noWrap/>
            <w:vAlign w:val="center"/>
            <w:hideMark/>
          </w:tcPr>
          <w:p w:rsidR="00251A0B" w:rsidRPr="00FB48BF" w:rsidRDefault="00251A0B" w:rsidP="00251A0B">
            <w:pPr>
              <w:spacing w:before="40" w:after="40"/>
              <w:jc w:val="center"/>
              <w:rPr>
                <w:sz w:val="20"/>
              </w:rPr>
            </w:pPr>
            <w:r w:rsidRPr="00FB48BF">
              <w:rPr>
                <w:sz w:val="20"/>
              </w:rPr>
              <w:t>0%</w:t>
            </w:r>
          </w:p>
        </w:tc>
        <w:tc>
          <w:tcPr>
            <w:tcW w:w="880" w:type="dxa"/>
            <w:tcBorders>
              <w:top w:val="nil"/>
              <w:left w:val="nil"/>
              <w:bottom w:val="single" w:sz="8" w:space="0" w:color="auto"/>
              <w:right w:val="nil"/>
            </w:tcBorders>
            <w:shd w:val="clear" w:color="auto" w:fill="auto"/>
            <w:noWrap/>
            <w:vAlign w:val="center"/>
            <w:hideMark/>
          </w:tcPr>
          <w:p w:rsidR="00251A0B" w:rsidRPr="00FB48BF" w:rsidRDefault="00251A0B" w:rsidP="00251A0B">
            <w:pPr>
              <w:spacing w:before="40" w:after="40"/>
              <w:jc w:val="center"/>
              <w:rPr>
                <w:sz w:val="20"/>
              </w:rPr>
            </w:pPr>
            <w:r w:rsidRPr="00FB48BF">
              <w:rPr>
                <w:sz w:val="20"/>
              </w:rPr>
              <w:t>0%</w:t>
            </w:r>
          </w:p>
        </w:tc>
        <w:tc>
          <w:tcPr>
            <w:tcW w:w="622" w:type="dxa"/>
            <w:tcBorders>
              <w:top w:val="nil"/>
              <w:left w:val="single" w:sz="4" w:space="0" w:color="auto"/>
              <w:bottom w:val="single" w:sz="8" w:space="0" w:color="auto"/>
              <w:right w:val="single" w:sz="4" w:space="0" w:color="auto"/>
            </w:tcBorders>
            <w:vAlign w:val="center"/>
          </w:tcPr>
          <w:p w:rsidR="00251A0B" w:rsidRPr="00FB48BF" w:rsidRDefault="00251A0B" w:rsidP="00251A0B">
            <w:pPr>
              <w:spacing w:before="40" w:after="40"/>
              <w:jc w:val="center"/>
              <w:rPr>
                <w:sz w:val="20"/>
              </w:rPr>
            </w:pPr>
            <w:r>
              <w:rPr>
                <w:sz w:val="20"/>
              </w:rPr>
              <w:t>4%</w:t>
            </w:r>
          </w:p>
        </w:tc>
        <w:tc>
          <w:tcPr>
            <w:tcW w:w="846" w:type="dxa"/>
            <w:tcBorders>
              <w:top w:val="nil"/>
              <w:left w:val="single" w:sz="4" w:space="0" w:color="auto"/>
              <w:bottom w:val="single" w:sz="8" w:space="0" w:color="auto"/>
              <w:right w:val="single" w:sz="4" w:space="0" w:color="auto"/>
            </w:tcBorders>
            <w:vAlign w:val="center"/>
          </w:tcPr>
          <w:p w:rsidR="00251A0B" w:rsidRPr="00FB48BF" w:rsidRDefault="00251A0B" w:rsidP="00251A0B">
            <w:pPr>
              <w:spacing w:before="40" w:after="40"/>
              <w:jc w:val="center"/>
              <w:rPr>
                <w:sz w:val="20"/>
              </w:rPr>
            </w:pPr>
            <w:r>
              <w:rPr>
                <w:sz w:val="20"/>
              </w:rPr>
              <w:t>0%</w:t>
            </w:r>
          </w:p>
        </w:tc>
        <w:tc>
          <w:tcPr>
            <w:tcW w:w="712" w:type="dxa"/>
            <w:tcBorders>
              <w:top w:val="nil"/>
              <w:left w:val="single" w:sz="4" w:space="0" w:color="auto"/>
              <w:bottom w:val="single" w:sz="8" w:space="0" w:color="auto"/>
              <w:right w:val="single" w:sz="8" w:space="0" w:color="auto"/>
            </w:tcBorders>
            <w:shd w:val="clear" w:color="000000" w:fill="AEAAAA"/>
            <w:noWrap/>
            <w:vAlign w:val="center"/>
            <w:hideMark/>
          </w:tcPr>
          <w:p w:rsidR="00251A0B" w:rsidRPr="00FB48BF" w:rsidRDefault="00251A0B" w:rsidP="00251A0B">
            <w:pPr>
              <w:spacing w:before="40" w:after="40"/>
              <w:jc w:val="center"/>
              <w:rPr>
                <w:b/>
                <w:bCs/>
                <w:sz w:val="20"/>
              </w:rPr>
            </w:pPr>
            <w:r w:rsidRPr="00FB48BF">
              <w:rPr>
                <w:b/>
                <w:bCs/>
                <w:sz w:val="20"/>
              </w:rPr>
              <w:t>1%</w:t>
            </w:r>
          </w:p>
        </w:tc>
      </w:tr>
      <w:tr w:rsidR="00251A0B" w:rsidRPr="00100BB2" w:rsidTr="00251A0B">
        <w:trPr>
          <w:trHeight w:val="315"/>
        </w:trPr>
        <w:tc>
          <w:tcPr>
            <w:tcW w:w="2371" w:type="dxa"/>
            <w:tcBorders>
              <w:top w:val="nil"/>
              <w:left w:val="single" w:sz="8" w:space="0" w:color="auto"/>
              <w:bottom w:val="single" w:sz="8" w:space="0" w:color="auto"/>
              <w:right w:val="single" w:sz="4" w:space="0" w:color="auto"/>
            </w:tcBorders>
            <w:shd w:val="clear" w:color="auto" w:fill="auto"/>
            <w:noWrap/>
            <w:vAlign w:val="bottom"/>
            <w:hideMark/>
          </w:tcPr>
          <w:p w:rsidR="00251A0B" w:rsidRPr="0097490A" w:rsidRDefault="00251A0B" w:rsidP="00251A0B">
            <w:pPr>
              <w:pStyle w:val="Tabletext"/>
              <w:rPr>
                <w:rFonts w:asciiTheme="minorHAnsi" w:eastAsiaTheme="minorEastAsia" w:hAnsiTheme="minorHAnsi"/>
                <w:szCs w:val="22"/>
                <w:lang w:val="en-US" w:eastAsia="zh-CN"/>
              </w:rPr>
            </w:pPr>
            <w:r w:rsidRPr="0097490A">
              <w:rPr>
                <w:rFonts w:asciiTheme="minorHAnsi" w:eastAsiaTheme="minorEastAsia" w:hAnsiTheme="minorHAnsi"/>
                <w:szCs w:val="22"/>
                <w:lang w:val="en-US" w:eastAsia="zh-CN"/>
              </w:rPr>
              <w:t>完成建议所占百分比</w:t>
            </w:r>
          </w:p>
        </w:tc>
        <w:tc>
          <w:tcPr>
            <w:tcW w:w="713" w:type="dxa"/>
            <w:tcBorders>
              <w:top w:val="nil"/>
              <w:left w:val="nil"/>
              <w:bottom w:val="single" w:sz="8" w:space="0" w:color="auto"/>
              <w:right w:val="single" w:sz="4" w:space="0" w:color="auto"/>
            </w:tcBorders>
            <w:shd w:val="clear" w:color="auto" w:fill="auto"/>
            <w:noWrap/>
            <w:vAlign w:val="center"/>
            <w:hideMark/>
          </w:tcPr>
          <w:p w:rsidR="00251A0B" w:rsidRPr="00FB48BF" w:rsidRDefault="00251A0B" w:rsidP="00251A0B">
            <w:pPr>
              <w:spacing w:before="40" w:after="40"/>
              <w:jc w:val="center"/>
              <w:rPr>
                <w:sz w:val="20"/>
              </w:rPr>
            </w:pPr>
            <w:r w:rsidRPr="00FB48BF">
              <w:rPr>
                <w:sz w:val="20"/>
              </w:rPr>
              <w:t>82%</w:t>
            </w:r>
          </w:p>
        </w:tc>
        <w:tc>
          <w:tcPr>
            <w:tcW w:w="628" w:type="dxa"/>
            <w:tcBorders>
              <w:top w:val="nil"/>
              <w:left w:val="nil"/>
              <w:bottom w:val="single" w:sz="8" w:space="0" w:color="auto"/>
              <w:right w:val="single" w:sz="4" w:space="0" w:color="auto"/>
            </w:tcBorders>
            <w:shd w:val="clear" w:color="auto" w:fill="auto"/>
            <w:noWrap/>
            <w:vAlign w:val="center"/>
            <w:hideMark/>
          </w:tcPr>
          <w:p w:rsidR="00251A0B" w:rsidRPr="00FB48BF" w:rsidRDefault="00251A0B" w:rsidP="00251A0B">
            <w:pPr>
              <w:spacing w:before="40" w:after="40"/>
              <w:jc w:val="center"/>
              <w:rPr>
                <w:sz w:val="20"/>
              </w:rPr>
            </w:pPr>
            <w:r w:rsidRPr="00FB48BF">
              <w:rPr>
                <w:sz w:val="20"/>
              </w:rPr>
              <w:t>–</w:t>
            </w:r>
          </w:p>
        </w:tc>
        <w:tc>
          <w:tcPr>
            <w:tcW w:w="711" w:type="dxa"/>
            <w:tcBorders>
              <w:top w:val="nil"/>
              <w:left w:val="nil"/>
              <w:bottom w:val="single" w:sz="8" w:space="0" w:color="auto"/>
              <w:right w:val="single" w:sz="4" w:space="0" w:color="auto"/>
            </w:tcBorders>
            <w:shd w:val="clear" w:color="auto" w:fill="auto"/>
            <w:noWrap/>
            <w:vAlign w:val="center"/>
            <w:hideMark/>
          </w:tcPr>
          <w:p w:rsidR="00251A0B" w:rsidRPr="00FB48BF" w:rsidRDefault="00251A0B" w:rsidP="00251A0B">
            <w:pPr>
              <w:spacing w:before="40" w:after="40"/>
              <w:jc w:val="center"/>
              <w:rPr>
                <w:sz w:val="20"/>
              </w:rPr>
            </w:pPr>
            <w:r w:rsidRPr="00FB48BF">
              <w:rPr>
                <w:sz w:val="20"/>
              </w:rPr>
              <w:t>9</w:t>
            </w:r>
            <w:r>
              <w:rPr>
                <w:sz w:val="20"/>
              </w:rPr>
              <w:t>6</w:t>
            </w:r>
            <w:r w:rsidRPr="00FB48BF">
              <w:rPr>
                <w:sz w:val="20"/>
              </w:rPr>
              <w:t>%</w:t>
            </w:r>
          </w:p>
        </w:tc>
        <w:tc>
          <w:tcPr>
            <w:tcW w:w="712" w:type="dxa"/>
            <w:tcBorders>
              <w:top w:val="nil"/>
              <w:left w:val="nil"/>
              <w:bottom w:val="single" w:sz="8" w:space="0" w:color="auto"/>
              <w:right w:val="single" w:sz="4" w:space="0" w:color="auto"/>
            </w:tcBorders>
            <w:shd w:val="clear" w:color="auto" w:fill="auto"/>
            <w:noWrap/>
            <w:vAlign w:val="center"/>
            <w:hideMark/>
          </w:tcPr>
          <w:p w:rsidR="00251A0B" w:rsidRPr="00FB48BF" w:rsidRDefault="00251A0B" w:rsidP="00251A0B">
            <w:pPr>
              <w:spacing w:before="40" w:after="40"/>
              <w:jc w:val="center"/>
              <w:rPr>
                <w:sz w:val="20"/>
              </w:rPr>
            </w:pPr>
            <w:r w:rsidRPr="00FB48BF">
              <w:rPr>
                <w:sz w:val="20"/>
              </w:rPr>
              <w:t>9</w:t>
            </w:r>
            <w:r>
              <w:rPr>
                <w:sz w:val="20"/>
              </w:rPr>
              <w:t>6</w:t>
            </w:r>
            <w:r w:rsidRPr="00FB48BF">
              <w:rPr>
                <w:sz w:val="20"/>
              </w:rPr>
              <w:t>%</w:t>
            </w:r>
          </w:p>
        </w:tc>
        <w:tc>
          <w:tcPr>
            <w:tcW w:w="712" w:type="dxa"/>
            <w:tcBorders>
              <w:top w:val="nil"/>
              <w:left w:val="nil"/>
              <w:bottom w:val="single" w:sz="8" w:space="0" w:color="auto"/>
              <w:right w:val="single" w:sz="4" w:space="0" w:color="auto"/>
            </w:tcBorders>
            <w:shd w:val="clear" w:color="auto" w:fill="auto"/>
            <w:noWrap/>
            <w:vAlign w:val="center"/>
            <w:hideMark/>
          </w:tcPr>
          <w:p w:rsidR="00251A0B" w:rsidRPr="00FB48BF" w:rsidRDefault="00251A0B" w:rsidP="00251A0B">
            <w:pPr>
              <w:spacing w:before="40" w:after="40"/>
              <w:jc w:val="center"/>
              <w:rPr>
                <w:sz w:val="20"/>
              </w:rPr>
            </w:pPr>
            <w:r>
              <w:rPr>
                <w:sz w:val="20"/>
              </w:rPr>
              <w:t>88</w:t>
            </w:r>
            <w:r w:rsidRPr="00FB48BF">
              <w:rPr>
                <w:sz w:val="20"/>
              </w:rPr>
              <w:t>%</w:t>
            </w:r>
          </w:p>
        </w:tc>
        <w:tc>
          <w:tcPr>
            <w:tcW w:w="712" w:type="dxa"/>
            <w:tcBorders>
              <w:top w:val="nil"/>
              <w:left w:val="nil"/>
              <w:bottom w:val="single" w:sz="8" w:space="0" w:color="auto"/>
              <w:right w:val="single" w:sz="4" w:space="0" w:color="auto"/>
            </w:tcBorders>
            <w:shd w:val="clear" w:color="auto" w:fill="auto"/>
            <w:noWrap/>
            <w:vAlign w:val="center"/>
            <w:hideMark/>
          </w:tcPr>
          <w:p w:rsidR="00251A0B" w:rsidRPr="00FB48BF" w:rsidRDefault="00251A0B" w:rsidP="00251A0B">
            <w:pPr>
              <w:spacing w:before="40" w:after="40"/>
              <w:jc w:val="center"/>
              <w:rPr>
                <w:sz w:val="20"/>
              </w:rPr>
            </w:pPr>
            <w:r>
              <w:rPr>
                <w:sz w:val="20"/>
              </w:rPr>
              <w:t>64</w:t>
            </w:r>
            <w:r w:rsidRPr="00FB48BF">
              <w:rPr>
                <w:sz w:val="20"/>
              </w:rPr>
              <w:t>%</w:t>
            </w:r>
          </w:p>
        </w:tc>
        <w:tc>
          <w:tcPr>
            <w:tcW w:w="880" w:type="dxa"/>
            <w:tcBorders>
              <w:top w:val="nil"/>
              <w:left w:val="nil"/>
              <w:bottom w:val="single" w:sz="8" w:space="0" w:color="auto"/>
              <w:right w:val="nil"/>
            </w:tcBorders>
            <w:shd w:val="clear" w:color="auto" w:fill="auto"/>
            <w:noWrap/>
            <w:vAlign w:val="center"/>
            <w:hideMark/>
          </w:tcPr>
          <w:p w:rsidR="00251A0B" w:rsidRPr="00FB48BF" w:rsidRDefault="00251A0B" w:rsidP="00251A0B">
            <w:pPr>
              <w:spacing w:before="40" w:after="40"/>
              <w:jc w:val="center"/>
              <w:rPr>
                <w:sz w:val="20"/>
              </w:rPr>
            </w:pPr>
            <w:r>
              <w:rPr>
                <w:sz w:val="20"/>
              </w:rPr>
              <w:t>4</w:t>
            </w:r>
            <w:r w:rsidRPr="00FB48BF">
              <w:rPr>
                <w:sz w:val="20"/>
              </w:rPr>
              <w:t>0%</w:t>
            </w:r>
          </w:p>
        </w:tc>
        <w:tc>
          <w:tcPr>
            <w:tcW w:w="622" w:type="dxa"/>
            <w:tcBorders>
              <w:top w:val="nil"/>
              <w:left w:val="single" w:sz="4" w:space="0" w:color="auto"/>
              <w:bottom w:val="single" w:sz="8" w:space="0" w:color="auto"/>
              <w:right w:val="single" w:sz="4" w:space="0" w:color="auto"/>
            </w:tcBorders>
            <w:vAlign w:val="center"/>
          </w:tcPr>
          <w:p w:rsidR="00251A0B" w:rsidRPr="00FB48BF" w:rsidRDefault="00251A0B" w:rsidP="00251A0B">
            <w:pPr>
              <w:spacing w:before="40" w:after="40"/>
              <w:jc w:val="center"/>
              <w:rPr>
                <w:sz w:val="20"/>
              </w:rPr>
            </w:pPr>
            <w:r>
              <w:rPr>
                <w:sz w:val="20"/>
              </w:rPr>
              <w:t>23%</w:t>
            </w:r>
          </w:p>
        </w:tc>
        <w:tc>
          <w:tcPr>
            <w:tcW w:w="846" w:type="dxa"/>
            <w:tcBorders>
              <w:top w:val="nil"/>
              <w:left w:val="single" w:sz="4" w:space="0" w:color="auto"/>
              <w:bottom w:val="single" w:sz="8" w:space="0" w:color="auto"/>
              <w:right w:val="single" w:sz="4" w:space="0" w:color="auto"/>
            </w:tcBorders>
            <w:vAlign w:val="center"/>
          </w:tcPr>
          <w:p w:rsidR="00251A0B" w:rsidRPr="00FB48BF" w:rsidRDefault="00251A0B" w:rsidP="00251A0B">
            <w:pPr>
              <w:spacing w:before="40" w:after="40"/>
              <w:jc w:val="center"/>
              <w:rPr>
                <w:sz w:val="20"/>
              </w:rPr>
            </w:pPr>
            <w:r>
              <w:rPr>
                <w:sz w:val="20"/>
              </w:rPr>
              <w:t>0%</w:t>
            </w:r>
          </w:p>
        </w:tc>
        <w:tc>
          <w:tcPr>
            <w:tcW w:w="712" w:type="dxa"/>
            <w:tcBorders>
              <w:top w:val="nil"/>
              <w:left w:val="single" w:sz="4" w:space="0" w:color="auto"/>
              <w:bottom w:val="single" w:sz="8" w:space="0" w:color="auto"/>
              <w:right w:val="single" w:sz="8" w:space="0" w:color="auto"/>
            </w:tcBorders>
            <w:shd w:val="clear" w:color="000000" w:fill="AEAAAA"/>
            <w:noWrap/>
            <w:vAlign w:val="center"/>
            <w:hideMark/>
          </w:tcPr>
          <w:p w:rsidR="00251A0B" w:rsidRPr="00FB48BF" w:rsidRDefault="00251A0B" w:rsidP="00251A0B">
            <w:pPr>
              <w:spacing w:before="40" w:after="40"/>
              <w:jc w:val="center"/>
              <w:rPr>
                <w:b/>
                <w:bCs/>
                <w:sz w:val="20"/>
              </w:rPr>
            </w:pPr>
            <w:r w:rsidRPr="00FB48BF">
              <w:rPr>
                <w:b/>
                <w:bCs/>
                <w:sz w:val="20"/>
              </w:rPr>
              <w:t>76%</w:t>
            </w:r>
          </w:p>
        </w:tc>
      </w:tr>
    </w:tbl>
    <w:p w:rsidR="00251A0B" w:rsidRPr="001109F8" w:rsidRDefault="00251A0B" w:rsidP="00251A0B">
      <w:pPr>
        <w:spacing w:before="0"/>
        <w:rPr>
          <w:sz w:val="20"/>
        </w:rPr>
      </w:pPr>
      <w:r w:rsidRPr="001109F8">
        <w:rPr>
          <w:sz w:val="20"/>
        </w:rPr>
        <w:t>(*)</w:t>
      </w:r>
      <w:r w:rsidRPr="001109F8">
        <w:rPr>
          <w:sz w:val="20"/>
        </w:rPr>
        <w:tab/>
      </w:r>
      <w:r>
        <w:rPr>
          <w:rFonts w:hint="eastAsia"/>
          <w:sz w:val="20"/>
          <w:lang w:eastAsia="zh-CN"/>
        </w:rPr>
        <w:t>迄今为止</w:t>
      </w:r>
    </w:p>
    <w:p w:rsidR="007D785A" w:rsidRPr="00C46DFF" w:rsidRDefault="007D785A" w:rsidP="00561137">
      <w:pPr>
        <w:keepNext/>
        <w:tabs>
          <w:tab w:val="clear" w:pos="794"/>
          <w:tab w:val="clear" w:pos="1191"/>
          <w:tab w:val="clear" w:pos="1588"/>
          <w:tab w:val="clear" w:pos="1985"/>
        </w:tabs>
        <w:snapToGrid w:val="0"/>
        <w:spacing w:before="240" w:after="240"/>
        <w:jc w:val="both"/>
        <w:rPr>
          <w:rFonts w:asciiTheme="minorHAnsi" w:hAnsiTheme="minorHAnsi" w:cstheme="minorHAnsi"/>
          <w:szCs w:val="24"/>
          <w:lang w:val="en-CA" w:eastAsia="zh-CN"/>
        </w:rPr>
      </w:pPr>
      <w:r w:rsidRPr="0070420C">
        <w:rPr>
          <w:rFonts w:asciiTheme="minorHAnsi" w:eastAsiaTheme="minorEastAsia" w:hAnsiTheme="minorHAnsi" w:cstheme="minorHAnsi"/>
          <w:szCs w:val="24"/>
          <w:lang w:val="en-CA" w:eastAsia="zh-CN"/>
        </w:rPr>
        <w:lastRenderedPageBreak/>
        <w:t>22</w:t>
      </w:r>
      <w:r w:rsidRPr="0070420C">
        <w:rPr>
          <w:rFonts w:asciiTheme="minorHAnsi" w:eastAsiaTheme="minorEastAsia" w:hAnsiTheme="minorHAnsi" w:cstheme="minorHAnsi"/>
          <w:szCs w:val="24"/>
          <w:lang w:val="en-CA" w:eastAsia="zh-CN"/>
        </w:rPr>
        <w:tab/>
      </w:r>
      <w:r w:rsidR="00542E7D">
        <w:rPr>
          <w:rFonts w:asciiTheme="minorHAnsi" w:eastAsiaTheme="minorEastAsia" w:hAnsiTheme="minorHAnsi" w:cstheme="minorHAnsi" w:hint="eastAsia"/>
          <w:szCs w:val="24"/>
          <w:lang w:val="en-CA" w:eastAsia="zh-CN"/>
        </w:rPr>
        <w:t>除</w:t>
      </w:r>
      <w:r w:rsidR="00252304">
        <w:rPr>
          <w:rFonts w:asciiTheme="minorHAnsi" w:eastAsiaTheme="minorEastAsia" w:hAnsiTheme="minorHAnsi" w:cstheme="minorHAnsi" w:hint="eastAsia"/>
          <w:szCs w:val="24"/>
          <w:lang w:val="en-CA" w:eastAsia="zh-CN"/>
        </w:rPr>
        <w:t>一</w:t>
      </w:r>
      <w:r w:rsidR="00542E7D">
        <w:rPr>
          <w:rFonts w:asciiTheme="minorHAnsi" w:eastAsiaTheme="minorEastAsia" w:hAnsiTheme="minorHAnsi" w:cstheme="minorHAnsi" w:hint="eastAsia"/>
          <w:szCs w:val="24"/>
          <w:lang w:val="en-CA" w:eastAsia="zh-CN"/>
        </w:rPr>
        <w:t>位理事去年提出的请求外，</w:t>
      </w:r>
      <w:r w:rsidR="00542E7D" w:rsidRPr="006C5D55">
        <w:rPr>
          <w:lang w:val="en-CA" w:eastAsia="zh-CN"/>
        </w:rPr>
        <w:t>内部审计处</w:t>
      </w:r>
      <w:r w:rsidR="00542E7D">
        <w:rPr>
          <w:rFonts w:hint="eastAsia"/>
          <w:lang w:val="en-CA" w:eastAsia="zh-CN"/>
        </w:rPr>
        <w:t>还在今年的报告中纳入了有关仍在落实中的建议重要性的概述：</w:t>
      </w:r>
    </w:p>
    <w:p w:rsidR="007D785A" w:rsidRDefault="007D785A" w:rsidP="00561137">
      <w:pPr>
        <w:jc w:val="center"/>
        <w:rPr>
          <w:lang w:val="en-CA" w:eastAsia="zh-CN"/>
        </w:rPr>
      </w:pPr>
      <w:r>
        <w:rPr>
          <w:noProof/>
          <w:lang w:eastAsia="zh-CN"/>
        </w:rPr>
        <w:drawing>
          <wp:inline distT="0" distB="0" distL="0" distR="0" wp14:anchorId="1C047702" wp14:editId="7256598C">
            <wp:extent cx="5095875" cy="1990725"/>
            <wp:effectExtent l="0" t="0" r="9525" b="9525"/>
            <wp:docPr id="92" name="Chart 9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D785A" w:rsidRPr="00C46DFF" w:rsidRDefault="007D785A" w:rsidP="007D785A">
      <w:pPr>
        <w:rPr>
          <w:lang w:val="en-CA" w:eastAsia="zh-CN"/>
        </w:rPr>
      </w:pPr>
      <w:r>
        <w:rPr>
          <w:rFonts w:eastAsiaTheme="minorEastAsia"/>
          <w:lang w:val="en-CA" w:eastAsia="zh-CN"/>
        </w:rPr>
        <w:t>23</w:t>
      </w:r>
      <w:r w:rsidRPr="00F20A47">
        <w:rPr>
          <w:rFonts w:eastAsiaTheme="minorEastAsia"/>
          <w:lang w:val="en-CA" w:eastAsia="zh-CN"/>
        </w:rPr>
        <w:tab/>
      </w:r>
      <w:r w:rsidR="00542E7D">
        <w:rPr>
          <w:rFonts w:eastAsiaTheme="minorEastAsia" w:hint="eastAsia"/>
          <w:lang w:val="en-CA" w:eastAsia="zh-CN"/>
        </w:rPr>
        <w:t>2019</w:t>
      </w:r>
      <w:r w:rsidR="00542E7D">
        <w:rPr>
          <w:rFonts w:eastAsiaTheme="minorEastAsia" w:hint="eastAsia"/>
          <w:lang w:val="en-CA" w:eastAsia="zh-CN"/>
        </w:rPr>
        <w:t>年的关键建议</w:t>
      </w:r>
      <w:r w:rsidR="007E212D">
        <w:rPr>
          <w:rFonts w:eastAsiaTheme="minorEastAsia" w:hint="eastAsia"/>
          <w:lang w:val="en-CA" w:eastAsia="zh-CN"/>
        </w:rPr>
        <w:t>源自</w:t>
      </w:r>
      <w:r w:rsidR="007E212D" w:rsidRPr="006C5D55">
        <w:rPr>
          <w:lang w:val="en-CA" w:eastAsia="zh-CN"/>
        </w:rPr>
        <w:t>内部审计处</w:t>
      </w:r>
      <w:r w:rsidR="007E212D">
        <w:rPr>
          <w:rFonts w:hint="eastAsia"/>
          <w:lang w:val="en-CA" w:eastAsia="zh-CN"/>
        </w:rPr>
        <w:t>在调查欺诈案件后（见上文有关</w:t>
      </w:r>
      <w:r w:rsidR="007E212D" w:rsidRPr="007E212D">
        <w:rPr>
          <w:rFonts w:ascii="STKaiti" w:eastAsia="STKaiti" w:hAnsi="STKaiti" w:hint="eastAsia"/>
          <w:lang w:val="en-CA" w:eastAsia="zh-CN"/>
        </w:rPr>
        <w:t>调查</w:t>
      </w:r>
      <w:r w:rsidR="007E212D">
        <w:rPr>
          <w:rFonts w:hint="eastAsia"/>
          <w:lang w:val="en-CA" w:eastAsia="zh-CN"/>
        </w:rPr>
        <w:t>的段落）发布的管理函。建议的内容主要涉及加强采购控制、强化区域</w:t>
      </w:r>
      <w:r w:rsidR="007E212D">
        <w:rPr>
          <w:rFonts w:hint="eastAsia"/>
          <w:lang w:val="en-CA" w:eastAsia="zh-CN"/>
        </w:rPr>
        <w:t>/</w:t>
      </w:r>
      <w:r w:rsidR="007E212D">
        <w:rPr>
          <w:rFonts w:hint="eastAsia"/>
          <w:lang w:val="en-CA" w:eastAsia="zh-CN"/>
        </w:rPr>
        <w:t>地区（依据</w:t>
      </w:r>
      <w:r w:rsidR="007E212D" w:rsidRPr="007E212D">
        <w:rPr>
          <w:lang w:val="en-CA" w:eastAsia="zh-CN"/>
        </w:rPr>
        <w:t>特别服务协</w:t>
      </w:r>
      <w:r w:rsidR="007E212D" w:rsidRPr="007E212D">
        <w:rPr>
          <w:rFonts w:hint="eastAsia"/>
          <w:lang w:val="en-CA" w:eastAsia="zh-CN"/>
        </w:rPr>
        <w:t>定</w:t>
      </w:r>
      <w:r w:rsidR="007E212D">
        <w:rPr>
          <w:rFonts w:hint="eastAsia"/>
          <w:lang w:val="en-CA" w:eastAsia="zh-CN"/>
        </w:rPr>
        <w:t>）聘用外部专家的监控程序的必要性。</w:t>
      </w:r>
      <w:r w:rsidR="007E212D">
        <w:rPr>
          <w:rFonts w:hint="eastAsia"/>
          <w:lang w:val="en-CA" w:eastAsia="zh-CN"/>
        </w:rPr>
        <w:t>2018</w:t>
      </w:r>
      <w:r w:rsidR="007E212D">
        <w:rPr>
          <w:rFonts w:hint="eastAsia"/>
          <w:lang w:val="en-CA" w:eastAsia="zh-CN"/>
        </w:rPr>
        <w:t>年的关键建议涉及发布采购手册（可加强对此领域的控制）的必要性。关于更早提出的建议，管理层</w:t>
      </w:r>
      <w:r w:rsidR="00DE1431">
        <w:rPr>
          <w:rFonts w:hint="eastAsia"/>
          <w:lang w:val="en-CA" w:eastAsia="zh-CN"/>
        </w:rPr>
        <w:t>已</w:t>
      </w:r>
      <w:r w:rsidR="007E212D">
        <w:rPr>
          <w:rFonts w:hint="eastAsia"/>
          <w:lang w:val="en-CA" w:eastAsia="zh-CN"/>
        </w:rPr>
        <w:t>定期向</w:t>
      </w:r>
      <w:r w:rsidR="007E212D" w:rsidRPr="006C5D55">
        <w:rPr>
          <w:lang w:val="en-CA" w:eastAsia="zh-CN"/>
        </w:rPr>
        <w:t>内部审计处</w:t>
      </w:r>
      <w:r w:rsidR="007E212D">
        <w:rPr>
          <w:rFonts w:hint="eastAsia"/>
          <w:lang w:val="en-CA" w:eastAsia="zh-CN"/>
        </w:rPr>
        <w:t>（和</w:t>
      </w:r>
      <w:r w:rsidR="007E212D" w:rsidRPr="00C46DFF">
        <w:rPr>
          <w:lang w:val="en-CA" w:eastAsia="zh-CN"/>
        </w:rPr>
        <w:t>IMAC</w:t>
      </w:r>
      <w:r w:rsidR="007E212D">
        <w:rPr>
          <w:rFonts w:hint="eastAsia"/>
          <w:lang w:val="en-CA" w:eastAsia="zh-CN"/>
        </w:rPr>
        <w:t>）通报相关进展。</w:t>
      </w:r>
    </w:p>
    <w:p w:rsidR="006C5D55" w:rsidRPr="00E0607D" w:rsidRDefault="006C5D55" w:rsidP="00112C16">
      <w:pPr>
        <w:pStyle w:val="Heading1"/>
        <w:rPr>
          <w:lang w:eastAsia="zh-CN"/>
        </w:rPr>
      </w:pPr>
      <w:r w:rsidRPr="00E0607D">
        <w:rPr>
          <w:lang w:eastAsia="zh-CN"/>
        </w:rPr>
        <w:t>与审计方法相关的方面</w:t>
      </w:r>
    </w:p>
    <w:p w:rsidR="00B40A53" w:rsidRPr="006C5D55" w:rsidRDefault="007D785A" w:rsidP="00E0607D">
      <w:pPr>
        <w:rPr>
          <w:rFonts w:asciiTheme="minorHAnsi" w:eastAsiaTheme="minorEastAsia" w:hAnsiTheme="minorHAnsi"/>
          <w:lang w:val="fr-FR" w:eastAsia="zh-CN"/>
        </w:rPr>
      </w:pPr>
      <w:r>
        <w:rPr>
          <w:rFonts w:asciiTheme="minorHAnsi" w:eastAsiaTheme="minorEastAsia" w:hAnsiTheme="minorHAnsi"/>
          <w:lang w:val="en-CA" w:eastAsia="zh-CN"/>
        </w:rPr>
        <w:t>24</w:t>
      </w:r>
      <w:r w:rsidR="006C5D55" w:rsidRPr="006C5D55">
        <w:rPr>
          <w:rFonts w:asciiTheme="minorHAnsi" w:eastAsiaTheme="minorEastAsia" w:hAnsiTheme="minorHAnsi"/>
          <w:lang w:val="en-CA" w:eastAsia="zh-CN"/>
        </w:rPr>
        <w:tab/>
      </w:r>
      <w:r w:rsidR="006C5D55" w:rsidRPr="006C5D55">
        <w:rPr>
          <w:rFonts w:asciiTheme="minorHAnsi" w:eastAsiaTheme="minorEastAsia" w:hAnsiTheme="minorHAnsi" w:cs="Calibri"/>
          <w:lang w:val="en-CA" w:eastAsia="zh-CN"/>
        </w:rPr>
        <w:t>自</w:t>
      </w:r>
      <w:r w:rsidR="006C5D55" w:rsidRPr="006C5D55">
        <w:rPr>
          <w:rFonts w:asciiTheme="minorHAnsi" w:eastAsiaTheme="minorEastAsia" w:hAnsiTheme="minorHAnsi" w:cs="Calibri"/>
          <w:lang w:val="en-CA" w:eastAsia="zh-CN"/>
        </w:rPr>
        <w:t>2013</w:t>
      </w:r>
      <w:r w:rsidR="006C5D55" w:rsidRPr="006C5D55">
        <w:rPr>
          <w:rFonts w:asciiTheme="minorHAnsi" w:eastAsiaTheme="minorEastAsia" w:hAnsiTheme="minorHAnsi" w:cs="Calibri"/>
          <w:lang w:val="en-CA" w:eastAsia="zh-CN"/>
        </w:rPr>
        <w:t>年以来</w:t>
      </w:r>
      <w:r w:rsidR="006C5D55" w:rsidRPr="006C5D55">
        <w:rPr>
          <w:rFonts w:asciiTheme="minorHAnsi" w:eastAsiaTheme="minorEastAsia" w:hAnsiTheme="minorHAnsi"/>
          <w:lang w:val="en-CA" w:eastAsia="zh-CN"/>
        </w:rPr>
        <w:t>，内部审计处开始向审计流程和审计实体负责人下发</w:t>
      </w:r>
      <w:r w:rsidR="006C5D55" w:rsidRPr="00A627D1">
        <w:rPr>
          <w:rFonts w:ascii="STKaiti" w:eastAsia="STKaiti" w:hAnsi="STKaiti"/>
          <w:lang w:val="en-CA" w:eastAsia="zh-CN"/>
        </w:rPr>
        <w:t>审计有效性问卷调查表</w:t>
      </w:r>
      <w:r w:rsidR="006C5D55" w:rsidRPr="006C5D55">
        <w:rPr>
          <w:rFonts w:asciiTheme="minorHAnsi" w:eastAsiaTheme="minorEastAsia" w:hAnsiTheme="minorHAnsi"/>
          <w:lang w:val="en-CA" w:eastAsia="zh-CN"/>
        </w:rPr>
        <w:t>，用于评估审计工作的有效性，寻找改进空间。这种做法一直持续到本文件所报告的时段。根据</w:t>
      </w:r>
      <w:r w:rsidR="007E212D" w:rsidRPr="007E212D">
        <w:rPr>
          <w:rFonts w:asciiTheme="minorHAnsi" w:eastAsiaTheme="minorEastAsia" w:hAnsiTheme="minorHAnsi"/>
          <w:lang w:val="en-CA" w:eastAsia="zh-CN"/>
        </w:rPr>
        <w:t>2018/2019</w:t>
      </w:r>
      <w:r w:rsidR="006C5D55" w:rsidRPr="006C5D55">
        <w:rPr>
          <w:rFonts w:asciiTheme="minorHAnsi" w:eastAsiaTheme="minorEastAsia" w:hAnsiTheme="minorHAnsi"/>
          <w:lang w:val="en-CA" w:eastAsia="zh-CN"/>
        </w:rPr>
        <w:t>年内部审计处收到的</w:t>
      </w:r>
      <w:r w:rsidR="007E212D">
        <w:rPr>
          <w:rFonts w:asciiTheme="minorHAnsi" w:eastAsiaTheme="minorEastAsia" w:hAnsiTheme="minorHAnsi" w:hint="eastAsia"/>
          <w:lang w:val="en-CA" w:eastAsia="zh-CN"/>
        </w:rPr>
        <w:t>6</w:t>
      </w:r>
      <w:r w:rsidR="006C5D55" w:rsidRPr="006C5D55">
        <w:rPr>
          <w:rFonts w:asciiTheme="minorHAnsi" w:eastAsiaTheme="minorEastAsia" w:hAnsiTheme="minorHAnsi"/>
          <w:lang w:val="en-CA" w:eastAsia="zh-CN"/>
        </w:rPr>
        <w:t>份</w:t>
      </w:r>
      <w:r w:rsidR="006C5D55" w:rsidRPr="00A627D1">
        <w:rPr>
          <w:rFonts w:ascii="STKaiti" w:eastAsia="STKaiti" w:hAnsi="STKaiti"/>
          <w:iCs/>
          <w:lang w:val="en-CA" w:eastAsia="zh-CN"/>
        </w:rPr>
        <w:t>问卷调查表</w:t>
      </w:r>
      <w:r w:rsidR="00DE1431">
        <w:rPr>
          <w:rFonts w:asciiTheme="minorHAnsi" w:eastAsiaTheme="minorEastAsia" w:hAnsiTheme="minorHAnsi"/>
          <w:lang w:val="en-CA" w:eastAsia="zh-CN"/>
        </w:rPr>
        <w:t>，反馈</w:t>
      </w:r>
      <w:r w:rsidR="008148D5">
        <w:rPr>
          <w:rFonts w:asciiTheme="minorHAnsi" w:eastAsiaTheme="minorEastAsia" w:hAnsiTheme="minorHAnsi" w:hint="eastAsia"/>
          <w:lang w:val="en-CA" w:eastAsia="zh-CN"/>
        </w:rPr>
        <w:t>非常</w:t>
      </w:r>
      <w:r w:rsidR="00DE1431">
        <w:rPr>
          <w:rFonts w:asciiTheme="minorHAnsi" w:eastAsiaTheme="minorEastAsia" w:hAnsiTheme="minorHAnsi"/>
          <w:lang w:val="en-CA" w:eastAsia="zh-CN"/>
        </w:rPr>
        <w:t>积极</w:t>
      </w:r>
      <w:r w:rsidR="006C5D55" w:rsidRPr="006C5D55">
        <w:rPr>
          <w:rFonts w:asciiTheme="minorHAnsi" w:eastAsiaTheme="minorEastAsia" w:hAnsiTheme="minorHAnsi"/>
          <w:lang w:val="en-CA" w:eastAsia="zh-CN"/>
        </w:rPr>
        <w:t>（</w:t>
      </w:r>
      <w:r w:rsidR="006C5D55" w:rsidRPr="006C5D55">
        <w:rPr>
          <w:rFonts w:asciiTheme="minorHAnsi" w:eastAsiaTheme="minorEastAsia" w:hAnsiTheme="minorHAnsi"/>
          <w:lang w:val="en-CA" w:eastAsia="zh-CN"/>
        </w:rPr>
        <w:t>1</w:t>
      </w:r>
      <w:r w:rsidR="006C5D55" w:rsidRPr="006C5D55">
        <w:rPr>
          <w:rFonts w:asciiTheme="minorHAnsi" w:eastAsiaTheme="minorEastAsia" w:hAnsiTheme="minorHAnsi"/>
          <w:lang w:val="en-CA" w:eastAsia="zh-CN"/>
        </w:rPr>
        <w:t>到</w:t>
      </w:r>
      <w:r w:rsidR="006C5D55" w:rsidRPr="006C5D55">
        <w:rPr>
          <w:rFonts w:asciiTheme="minorHAnsi" w:eastAsiaTheme="minorEastAsia" w:hAnsiTheme="minorHAnsi"/>
          <w:lang w:val="en-CA" w:eastAsia="zh-CN"/>
        </w:rPr>
        <w:t>5</w:t>
      </w:r>
      <w:r w:rsidR="006C5D55" w:rsidRPr="006C5D55">
        <w:rPr>
          <w:rFonts w:asciiTheme="minorHAnsi" w:eastAsiaTheme="minorEastAsia" w:hAnsiTheme="minorHAnsi"/>
          <w:lang w:val="en-CA" w:eastAsia="zh-CN"/>
        </w:rPr>
        <w:t>分制的评级中，平均分为</w:t>
      </w:r>
      <w:r w:rsidR="006C5D55" w:rsidRPr="006C5D55">
        <w:rPr>
          <w:rFonts w:asciiTheme="minorHAnsi" w:eastAsiaTheme="minorEastAsia" w:hAnsiTheme="minorHAnsi"/>
          <w:lang w:val="en-CA" w:eastAsia="zh-CN"/>
        </w:rPr>
        <w:t>4</w:t>
      </w:r>
      <w:r w:rsidR="007E212D">
        <w:rPr>
          <w:rFonts w:asciiTheme="minorHAnsi" w:eastAsiaTheme="minorEastAsia" w:hAnsiTheme="minorHAnsi"/>
          <w:lang w:val="en-CA" w:eastAsia="zh-CN"/>
        </w:rPr>
        <w:t>.2</w:t>
      </w:r>
      <w:r w:rsidR="006C5D55" w:rsidRPr="006C5D55">
        <w:rPr>
          <w:rFonts w:asciiTheme="minorHAnsi" w:eastAsiaTheme="minorEastAsia" w:hAnsiTheme="minorHAnsi"/>
          <w:lang w:val="en-CA" w:eastAsia="zh-CN"/>
        </w:rPr>
        <w:t>）。</w:t>
      </w:r>
    </w:p>
    <w:p w:rsidR="007D785A" w:rsidRPr="007D785A" w:rsidRDefault="007D785A" w:rsidP="0060437F">
      <w:pPr>
        <w:pStyle w:val="Reasons"/>
        <w:rPr>
          <w:lang w:val="en-CA" w:eastAsia="zh-CN"/>
        </w:rPr>
      </w:pPr>
    </w:p>
    <w:p w:rsidR="009F2D04" w:rsidRDefault="009F2D04">
      <w:pPr>
        <w:jc w:val="center"/>
      </w:pPr>
      <w:r>
        <w:t>______________</w:t>
      </w:r>
    </w:p>
    <w:p w:rsidR="00E378D8" w:rsidRDefault="00E378D8" w:rsidP="00E378D8">
      <w:pPr>
        <w:tabs>
          <w:tab w:val="left" w:pos="720"/>
        </w:tabs>
        <w:overflowPunct/>
        <w:autoSpaceDE/>
        <w:adjustRightInd/>
        <w:spacing w:before="0"/>
        <w:rPr>
          <w:lang w:val="fr-FR" w:eastAsia="zh-CN"/>
        </w:rPr>
      </w:pPr>
    </w:p>
    <w:sectPr w:rsidR="00E378D8" w:rsidSect="006C36CD">
      <w:headerReference w:type="default" r:id="rId12"/>
      <w:footerReference w:type="defaul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569C" w:rsidRDefault="00E7569C">
      <w:r>
        <w:separator/>
      </w:r>
    </w:p>
  </w:endnote>
  <w:endnote w:type="continuationSeparator" w:id="0">
    <w:p w:rsidR="00E7569C" w:rsidRDefault="00E75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F1A" w:rsidRPr="00EE1359" w:rsidRDefault="003B7916" w:rsidP="00EE1359">
    <w:pPr>
      <w:pStyle w:val="Footer"/>
    </w:pPr>
    <w:r>
      <w:fldChar w:fldCharType="begin"/>
    </w:r>
    <w:r>
      <w:instrText xml:space="preserve"> FILENAME \p  \* MERGEFORMAT </w:instrText>
    </w:r>
    <w:r>
      <w:fldChar w:fldCharType="separate"/>
    </w:r>
    <w:r w:rsidR="00B27CE6">
      <w:t>P:\CHI\SG\CONSEIL\C19\000\044C.docx</w:t>
    </w:r>
    <w:r>
      <w:fldChar w:fldCharType="end"/>
    </w:r>
    <w:r w:rsidR="00E93F1A">
      <w:t xml:space="preserve"> (450266)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F1A" w:rsidRDefault="00E93F1A"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569C" w:rsidRDefault="00E7569C">
      <w:r>
        <w:t>____________________</w:t>
      </w:r>
    </w:p>
  </w:footnote>
  <w:footnote w:type="continuationSeparator" w:id="0">
    <w:p w:rsidR="00E7569C" w:rsidRDefault="00E7569C">
      <w:r>
        <w:continuationSeparator/>
      </w:r>
    </w:p>
  </w:footnote>
  <w:footnote w:id="1">
    <w:p w:rsidR="00E93F1A" w:rsidRPr="00DE2BC2" w:rsidRDefault="00E93F1A" w:rsidP="006C5D55">
      <w:pPr>
        <w:pStyle w:val="FootnoteText"/>
        <w:rPr>
          <w:sz w:val="22"/>
          <w:szCs w:val="22"/>
          <w:lang w:val="en-US" w:eastAsia="zh-CN"/>
        </w:rPr>
      </w:pPr>
      <w:r w:rsidRPr="00F03227">
        <w:rPr>
          <w:rStyle w:val="FootnoteReference"/>
        </w:rPr>
        <w:footnoteRef/>
      </w:r>
      <w:r>
        <w:rPr>
          <w:rFonts w:asciiTheme="majorBidi" w:eastAsiaTheme="minorEastAsia" w:hAnsiTheme="majorBidi" w:cstheme="majorBidi" w:hint="eastAsia"/>
          <w:szCs w:val="24"/>
          <w:lang w:eastAsia="zh-CN"/>
        </w:rPr>
        <w:tab/>
      </w:r>
      <w:r w:rsidRPr="00F144C9">
        <w:rPr>
          <w:sz w:val="18"/>
          <w:szCs w:val="18"/>
          <w:lang w:eastAsia="zh-CN"/>
        </w:rPr>
        <w:t>秘书长</w:t>
      </w:r>
      <w:r w:rsidRPr="00F144C9">
        <w:rPr>
          <w:sz w:val="18"/>
          <w:szCs w:val="18"/>
          <w:lang w:eastAsia="zh-CN"/>
        </w:rPr>
        <w:t>2013</w:t>
      </w:r>
      <w:r w:rsidRPr="00F144C9">
        <w:rPr>
          <w:sz w:val="18"/>
          <w:szCs w:val="18"/>
          <w:lang w:eastAsia="zh-CN"/>
        </w:rPr>
        <w:t>年</w:t>
      </w:r>
      <w:r w:rsidRPr="00F144C9">
        <w:rPr>
          <w:sz w:val="18"/>
          <w:szCs w:val="18"/>
          <w:lang w:eastAsia="zh-CN"/>
        </w:rPr>
        <w:t>6</w:t>
      </w:r>
      <w:r w:rsidRPr="00F144C9">
        <w:rPr>
          <w:sz w:val="18"/>
          <w:szCs w:val="18"/>
          <w:lang w:eastAsia="zh-CN"/>
        </w:rPr>
        <w:t>月</w:t>
      </w:r>
      <w:r w:rsidRPr="00F144C9">
        <w:rPr>
          <w:sz w:val="18"/>
          <w:szCs w:val="18"/>
          <w:lang w:eastAsia="zh-CN"/>
        </w:rPr>
        <w:t>27</w:t>
      </w:r>
      <w:r w:rsidRPr="00F144C9">
        <w:rPr>
          <w:sz w:val="18"/>
          <w:szCs w:val="18"/>
          <w:lang w:eastAsia="zh-CN"/>
        </w:rPr>
        <w:t>日</w:t>
      </w:r>
      <w:r w:rsidRPr="00F144C9">
        <w:rPr>
          <w:rFonts w:hint="eastAsia"/>
          <w:sz w:val="18"/>
          <w:szCs w:val="18"/>
          <w:lang w:eastAsia="zh-CN"/>
        </w:rPr>
        <w:t>颁布</w:t>
      </w:r>
      <w:r w:rsidRPr="00F144C9">
        <w:rPr>
          <w:sz w:val="18"/>
          <w:szCs w:val="18"/>
          <w:lang w:eastAsia="zh-CN"/>
        </w:rPr>
        <w:t>的第</w:t>
      </w:r>
      <w:r w:rsidRPr="00F144C9">
        <w:rPr>
          <w:sz w:val="18"/>
          <w:szCs w:val="18"/>
          <w:lang w:eastAsia="zh-CN"/>
        </w:rPr>
        <w:t>13/09</w:t>
      </w:r>
      <w:r w:rsidRPr="00F144C9">
        <w:rPr>
          <w:sz w:val="18"/>
          <w:szCs w:val="18"/>
          <w:lang w:eastAsia="zh-CN"/>
        </w:rPr>
        <w:t>号行政规定</w:t>
      </w:r>
      <w:r w:rsidR="008B3561">
        <w:rPr>
          <w:sz w:val="18"/>
          <w:szCs w:val="18"/>
          <w:lang w:eastAsia="zh-CN"/>
        </w:rPr>
        <w:t>。</w:t>
      </w:r>
    </w:p>
  </w:footnote>
  <w:footnote w:id="2">
    <w:p w:rsidR="00E93F1A" w:rsidRPr="00141758" w:rsidRDefault="00E93F1A" w:rsidP="006C5D55">
      <w:pPr>
        <w:pStyle w:val="FootnoteText"/>
        <w:spacing w:before="0"/>
        <w:ind w:left="0" w:firstLine="0"/>
        <w:rPr>
          <w:szCs w:val="24"/>
          <w:lang w:eastAsia="zh-CN"/>
        </w:rPr>
      </w:pPr>
      <w:r w:rsidRPr="00141758">
        <w:rPr>
          <w:rStyle w:val="FootnoteReference"/>
          <w:szCs w:val="24"/>
        </w:rPr>
        <w:footnoteRef/>
      </w:r>
      <w:r>
        <w:rPr>
          <w:rFonts w:hint="eastAsia"/>
          <w:szCs w:val="24"/>
          <w:lang w:eastAsia="zh-CN"/>
        </w:rPr>
        <w:tab/>
      </w:r>
      <w:r w:rsidRPr="00E61C94">
        <w:rPr>
          <w:rFonts w:hint="eastAsia"/>
          <w:sz w:val="18"/>
          <w:szCs w:val="18"/>
          <w:lang w:eastAsia="zh-CN"/>
        </w:rPr>
        <w:t>内部审计师协会，</w:t>
      </w:r>
      <w:hyperlink r:id="rId1" w:history="1">
        <w:r w:rsidRPr="00E61C94">
          <w:rPr>
            <w:rStyle w:val="Hyperlink"/>
            <w:sz w:val="18"/>
            <w:szCs w:val="18"/>
          </w:rPr>
          <w:t>www.theiia.org</w:t>
        </w:r>
      </w:hyperlink>
      <w:r w:rsidR="008B3561">
        <w:rPr>
          <w:rFonts w:cs="Calibri" w:hint="eastAsia"/>
          <w:sz w:val="18"/>
          <w:szCs w:val="18"/>
          <w:lang w:eastAsia="zh-CN"/>
        </w:rPr>
        <w:t>。</w:t>
      </w:r>
    </w:p>
  </w:footnote>
  <w:footnote w:id="3">
    <w:p w:rsidR="00E93F1A" w:rsidRPr="00FF744D" w:rsidRDefault="00E93F1A" w:rsidP="006C5D55">
      <w:pPr>
        <w:pStyle w:val="FootnoteText"/>
        <w:spacing w:before="0"/>
        <w:ind w:left="0" w:firstLine="0"/>
        <w:rPr>
          <w:lang w:eastAsia="zh-CN"/>
        </w:rPr>
      </w:pPr>
      <w:r w:rsidRPr="00141758">
        <w:rPr>
          <w:rStyle w:val="FootnoteReference"/>
          <w:szCs w:val="24"/>
        </w:rPr>
        <w:footnoteRef/>
      </w:r>
      <w:r>
        <w:rPr>
          <w:rFonts w:hint="eastAsia"/>
          <w:szCs w:val="24"/>
          <w:lang w:eastAsia="zh-CN"/>
        </w:rPr>
        <w:tab/>
      </w:r>
      <w:r w:rsidRPr="00E61C94">
        <w:rPr>
          <w:rFonts w:cs="Calibri" w:hint="eastAsia"/>
          <w:sz w:val="18"/>
          <w:szCs w:val="18"/>
          <w:lang w:eastAsia="zh-CN"/>
        </w:rPr>
        <w:t>秘书长</w:t>
      </w:r>
      <w:r w:rsidRPr="00E61C94">
        <w:rPr>
          <w:rFonts w:cs="Calibri" w:hint="eastAsia"/>
          <w:sz w:val="18"/>
          <w:szCs w:val="18"/>
          <w:lang w:eastAsia="zh-CN"/>
        </w:rPr>
        <w:t>2013</w:t>
      </w:r>
      <w:r w:rsidRPr="00E61C94">
        <w:rPr>
          <w:rFonts w:cs="Calibri" w:hint="eastAsia"/>
          <w:sz w:val="18"/>
          <w:szCs w:val="18"/>
          <w:lang w:eastAsia="zh-CN"/>
        </w:rPr>
        <w:t>年</w:t>
      </w:r>
      <w:r w:rsidRPr="00E61C94">
        <w:rPr>
          <w:rFonts w:cs="Calibri" w:hint="eastAsia"/>
          <w:sz w:val="18"/>
          <w:szCs w:val="18"/>
          <w:lang w:eastAsia="zh-CN"/>
        </w:rPr>
        <w:t>6</w:t>
      </w:r>
      <w:r w:rsidRPr="00E61C94">
        <w:rPr>
          <w:rFonts w:cs="Calibri" w:hint="eastAsia"/>
          <w:sz w:val="18"/>
          <w:szCs w:val="18"/>
          <w:lang w:eastAsia="zh-CN"/>
        </w:rPr>
        <w:t>月</w:t>
      </w:r>
      <w:r w:rsidRPr="00E61C94">
        <w:rPr>
          <w:rFonts w:cs="Calibri" w:hint="eastAsia"/>
          <w:sz w:val="18"/>
          <w:szCs w:val="18"/>
          <w:lang w:eastAsia="zh-CN"/>
        </w:rPr>
        <w:t>27</w:t>
      </w:r>
      <w:r w:rsidRPr="00E61C94">
        <w:rPr>
          <w:rFonts w:cs="Calibri" w:hint="eastAsia"/>
          <w:sz w:val="18"/>
          <w:szCs w:val="18"/>
          <w:lang w:eastAsia="zh-CN"/>
        </w:rPr>
        <w:t>日颁布的第</w:t>
      </w:r>
      <w:r w:rsidRPr="00E61C94">
        <w:rPr>
          <w:rFonts w:cs="Calibri"/>
          <w:sz w:val="18"/>
          <w:szCs w:val="18"/>
          <w:lang w:eastAsia="zh-CN"/>
        </w:rPr>
        <w:t>13/09</w:t>
      </w:r>
      <w:r w:rsidRPr="00E61C94">
        <w:rPr>
          <w:rFonts w:cs="Calibri" w:hint="eastAsia"/>
          <w:sz w:val="18"/>
          <w:szCs w:val="18"/>
          <w:lang w:eastAsia="zh-CN"/>
        </w:rPr>
        <w:t>号行政规定</w:t>
      </w:r>
      <w:r w:rsidR="008B3561">
        <w:rPr>
          <w:rFonts w:cs="Calibri" w:hint="eastAsia"/>
          <w:sz w:val="18"/>
          <w:szCs w:val="18"/>
          <w:lang w:eastAsia="zh-CN"/>
        </w:rPr>
        <w:t>。</w:t>
      </w:r>
    </w:p>
  </w:footnote>
  <w:footnote w:id="4">
    <w:p w:rsidR="00E93F1A" w:rsidRPr="0008156A" w:rsidRDefault="00E93F1A" w:rsidP="006C5D55">
      <w:pPr>
        <w:pStyle w:val="FootnoteText"/>
        <w:rPr>
          <w:lang w:val="en-US" w:eastAsia="zh-CN"/>
        </w:rPr>
      </w:pPr>
      <w:r>
        <w:rPr>
          <w:rStyle w:val="FootnoteReference"/>
        </w:rPr>
        <w:footnoteRef/>
      </w:r>
      <w:r>
        <w:rPr>
          <w:rFonts w:hint="eastAsia"/>
          <w:lang w:eastAsia="zh-CN"/>
        </w:rPr>
        <w:tab/>
      </w:r>
      <w:r>
        <w:rPr>
          <w:rFonts w:hint="eastAsia"/>
          <w:sz w:val="18"/>
          <w:szCs w:val="18"/>
          <w:lang w:val="en-US" w:eastAsia="zh-CN"/>
        </w:rPr>
        <w:t>内部审计师</w:t>
      </w:r>
      <w:r w:rsidRPr="00E61C94">
        <w:rPr>
          <w:rFonts w:hint="eastAsia"/>
          <w:sz w:val="18"/>
          <w:szCs w:val="18"/>
          <w:lang w:val="en-US" w:eastAsia="zh-CN"/>
        </w:rPr>
        <w:t>协会，</w:t>
      </w:r>
      <w:hyperlink r:id="rId2" w:history="1">
        <w:r w:rsidRPr="00E61C94">
          <w:rPr>
            <w:rStyle w:val="Hyperlink"/>
            <w:sz w:val="18"/>
            <w:szCs w:val="18"/>
            <w:lang w:val="en-US"/>
          </w:rPr>
          <w:t>www.theiia.org</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F1A" w:rsidRDefault="00E93F1A" w:rsidP="00CE6F22">
    <w:pPr>
      <w:pStyle w:val="Header"/>
    </w:pPr>
    <w:r>
      <w:fldChar w:fldCharType="begin"/>
    </w:r>
    <w:r>
      <w:instrText>PAGE</w:instrText>
    </w:r>
    <w:r>
      <w:fldChar w:fldCharType="separate"/>
    </w:r>
    <w:r w:rsidR="003B7916">
      <w:rPr>
        <w:noProof/>
      </w:rPr>
      <w:t>5</w:t>
    </w:r>
    <w:r>
      <w:rPr>
        <w:noProof/>
      </w:rPr>
      <w:fldChar w:fldCharType="end"/>
    </w:r>
  </w:p>
  <w:p w:rsidR="00E93F1A" w:rsidRDefault="00E93F1A" w:rsidP="00EE1359">
    <w:pPr>
      <w:pStyle w:val="Header"/>
      <w:rPr>
        <w:lang w:eastAsia="zh-CN"/>
      </w:rPr>
    </w:pPr>
    <w:r>
      <w:t>C1</w:t>
    </w:r>
    <w:r>
      <w:rPr>
        <w:noProof/>
      </w:rPr>
      <w:t>9</w:t>
    </w:r>
    <w:r>
      <w:t>/</w:t>
    </w:r>
    <w:r>
      <w:rPr>
        <w:lang w:eastAsia="zh-CN"/>
      </w:rPr>
      <w:t>44</w:t>
    </w:r>
    <w: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85EB9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81A8D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5E61B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664BA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3AA5E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903B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C81C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E25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3648C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6644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E37BDF"/>
    <w:multiLevelType w:val="hybridMultilevel"/>
    <w:tmpl w:val="B56EB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C40023"/>
    <w:multiLevelType w:val="hybridMultilevel"/>
    <w:tmpl w:val="BAD65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FB33C9D"/>
    <w:multiLevelType w:val="hybridMultilevel"/>
    <w:tmpl w:val="4B800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3013D0"/>
    <w:multiLevelType w:val="hybridMultilevel"/>
    <w:tmpl w:val="82A6C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9330EEC"/>
    <w:multiLevelType w:val="hybridMultilevel"/>
    <w:tmpl w:val="1FB250C0"/>
    <w:lvl w:ilvl="0" w:tplc="376CB34C">
      <w:start w:val="1"/>
      <w:numFmt w:val="upperLetter"/>
      <w:lvlText w:val="%1."/>
      <w:lvlJc w:val="left"/>
      <w:pPr>
        <w:ind w:left="72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4D548A"/>
    <w:multiLevelType w:val="hybridMultilevel"/>
    <w:tmpl w:val="A46AF6FC"/>
    <w:lvl w:ilvl="0" w:tplc="C902F800">
      <w:start w:val="1"/>
      <w:numFmt w:val="upperLetter"/>
      <w:lvlText w:val="%1."/>
      <w:lvlJc w:val="left"/>
      <w:pPr>
        <w:ind w:left="720" w:hanging="360"/>
      </w:pPr>
      <w:rPr>
        <w:rFonts w:hint="default"/>
        <w:b/>
        <w:bCs/>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8C314B"/>
    <w:multiLevelType w:val="hybridMultilevel"/>
    <w:tmpl w:val="A27E4584"/>
    <w:lvl w:ilvl="0" w:tplc="6A92C332">
      <w:start w:val="1"/>
      <w:numFmt w:val="decimal"/>
      <w:lvlText w:val="%1."/>
      <w:lvlJc w:val="left"/>
      <w:pPr>
        <w:ind w:left="786" w:hanging="360"/>
      </w:pPr>
      <w:rPr>
        <w:rFonts w:asciiTheme="minorHAnsi" w:hAnsiTheme="minorHAnsi" w:hint="default"/>
        <w:b w:val="0"/>
        <w:bCs w:val="0"/>
        <w:i w:val="0"/>
        <w:iCs w:val="0"/>
        <w:sz w:val="24"/>
        <w:szCs w:val="24"/>
      </w:r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0"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3B2399D"/>
    <w:multiLevelType w:val="hybridMultilevel"/>
    <w:tmpl w:val="1BAE5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88C6A02"/>
    <w:multiLevelType w:val="hybridMultilevel"/>
    <w:tmpl w:val="554A7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16"/>
  </w:num>
  <w:num w:numId="4">
    <w:abstractNumId w:val="20"/>
  </w:num>
  <w:num w:numId="5">
    <w:abstractNumId w:val="23"/>
  </w:num>
  <w:num w:numId="6">
    <w:abstractNumId w:val="21"/>
  </w:num>
  <w:num w:numId="7">
    <w:abstractNumId w:val="12"/>
  </w:num>
  <w:num w:numId="8">
    <w:abstractNumId w:val="18"/>
  </w:num>
  <w:num w:numId="9">
    <w:abstractNumId w:val="19"/>
  </w:num>
  <w:num w:numId="10">
    <w:abstractNumId w:val="24"/>
  </w:num>
  <w:num w:numId="11">
    <w:abstractNumId w:val="14"/>
  </w:num>
  <w:num w:numId="12">
    <w:abstractNumId w:val="22"/>
  </w:num>
  <w:num w:numId="13">
    <w:abstractNumId w:val="13"/>
  </w:num>
  <w:num w:numId="14">
    <w:abstractNumId w:val="17"/>
  </w:num>
  <w:num w:numId="15">
    <w:abstractNumId w:val="10"/>
  </w:num>
  <w:num w:numId="16">
    <w:abstractNumId w:val="11"/>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3313"/>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D55"/>
    <w:rsid w:val="00001B77"/>
    <w:rsid w:val="00004644"/>
    <w:rsid w:val="0000517A"/>
    <w:rsid w:val="00026EB7"/>
    <w:rsid w:val="00031E72"/>
    <w:rsid w:val="00035034"/>
    <w:rsid w:val="00035B35"/>
    <w:rsid w:val="000404D2"/>
    <w:rsid w:val="000718CA"/>
    <w:rsid w:val="000853C0"/>
    <w:rsid w:val="00097A0C"/>
    <w:rsid w:val="000A1C21"/>
    <w:rsid w:val="000C1A5A"/>
    <w:rsid w:val="000C207D"/>
    <w:rsid w:val="000D15EA"/>
    <w:rsid w:val="00100D84"/>
    <w:rsid w:val="0010669C"/>
    <w:rsid w:val="00112C16"/>
    <w:rsid w:val="001205F7"/>
    <w:rsid w:val="00124C9D"/>
    <w:rsid w:val="00131306"/>
    <w:rsid w:val="00142636"/>
    <w:rsid w:val="001532ED"/>
    <w:rsid w:val="001545B3"/>
    <w:rsid w:val="0015649D"/>
    <w:rsid w:val="00157773"/>
    <w:rsid w:val="001732B8"/>
    <w:rsid w:val="00176E7D"/>
    <w:rsid w:val="0018251A"/>
    <w:rsid w:val="00190272"/>
    <w:rsid w:val="00193244"/>
    <w:rsid w:val="00194A59"/>
    <w:rsid w:val="0019567D"/>
    <w:rsid w:val="00195C6C"/>
    <w:rsid w:val="00195FED"/>
    <w:rsid w:val="001A4BD6"/>
    <w:rsid w:val="001D5A18"/>
    <w:rsid w:val="001F5503"/>
    <w:rsid w:val="001F5D21"/>
    <w:rsid w:val="001F618F"/>
    <w:rsid w:val="00206E65"/>
    <w:rsid w:val="00207F7C"/>
    <w:rsid w:val="00232176"/>
    <w:rsid w:val="00241EDC"/>
    <w:rsid w:val="00244DB2"/>
    <w:rsid w:val="00251A0B"/>
    <w:rsid w:val="00252304"/>
    <w:rsid w:val="00260E30"/>
    <w:rsid w:val="00265F50"/>
    <w:rsid w:val="00275971"/>
    <w:rsid w:val="00280EB8"/>
    <w:rsid w:val="002865EE"/>
    <w:rsid w:val="002904A4"/>
    <w:rsid w:val="002A6670"/>
    <w:rsid w:val="002B00A8"/>
    <w:rsid w:val="002C0C60"/>
    <w:rsid w:val="00303502"/>
    <w:rsid w:val="003235BC"/>
    <w:rsid w:val="00325C25"/>
    <w:rsid w:val="003402CA"/>
    <w:rsid w:val="00345361"/>
    <w:rsid w:val="00346128"/>
    <w:rsid w:val="00372C8F"/>
    <w:rsid w:val="00380ECE"/>
    <w:rsid w:val="00392333"/>
    <w:rsid w:val="00393DDF"/>
    <w:rsid w:val="00397F55"/>
    <w:rsid w:val="003B4454"/>
    <w:rsid w:val="003B7916"/>
    <w:rsid w:val="003C2E37"/>
    <w:rsid w:val="003D4F7C"/>
    <w:rsid w:val="003F1415"/>
    <w:rsid w:val="0040144C"/>
    <w:rsid w:val="00403EB7"/>
    <w:rsid w:val="004042A3"/>
    <w:rsid w:val="0040712F"/>
    <w:rsid w:val="004241F2"/>
    <w:rsid w:val="00430BF0"/>
    <w:rsid w:val="00434165"/>
    <w:rsid w:val="00455940"/>
    <w:rsid w:val="004672E6"/>
    <w:rsid w:val="00474ED1"/>
    <w:rsid w:val="00493085"/>
    <w:rsid w:val="00496D1C"/>
    <w:rsid w:val="004A36EC"/>
    <w:rsid w:val="004B5B4A"/>
    <w:rsid w:val="004C687E"/>
    <w:rsid w:val="004C7CD2"/>
    <w:rsid w:val="004D163F"/>
    <w:rsid w:val="004E39C5"/>
    <w:rsid w:val="004E4BFF"/>
    <w:rsid w:val="004E59B7"/>
    <w:rsid w:val="004F2598"/>
    <w:rsid w:val="005403F7"/>
    <w:rsid w:val="00540632"/>
    <w:rsid w:val="00541CF4"/>
    <w:rsid w:val="00542E7D"/>
    <w:rsid w:val="005451E8"/>
    <w:rsid w:val="005507F2"/>
    <w:rsid w:val="005511DC"/>
    <w:rsid w:val="00553186"/>
    <w:rsid w:val="00561137"/>
    <w:rsid w:val="0056173F"/>
    <w:rsid w:val="005759CC"/>
    <w:rsid w:val="00596F41"/>
    <w:rsid w:val="005A72E1"/>
    <w:rsid w:val="005B0FDD"/>
    <w:rsid w:val="005C6632"/>
    <w:rsid w:val="005C781B"/>
    <w:rsid w:val="005D1C9E"/>
    <w:rsid w:val="005D2246"/>
    <w:rsid w:val="005D473E"/>
    <w:rsid w:val="005D75FA"/>
    <w:rsid w:val="005F6A63"/>
    <w:rsid w:val="006000AD"/>
    <w:rsid w:val="0060437F"/>
    <w:rsid w:val="00614349"/>
    <w:rsid w:val="00647613"/>
    <w:rsid w:val="00651354"/>
    <w:rsid w:val="00654257"/>
    <w:rsid w:val="0065435A"/>
    <w:rsid w:val="00656121"/>
    <w:rsid w:val="00670FD3"/>
    <w:rsid w:val="0067277C"/>
    <w:rsid w:val="006867E6"/>
    <w:rsid w:val="006945B2"/>
    <w:rsid w:val="00694E26"/>
    <w:rsid w:val="006A2DD3"/>
    <w:rsid w:val="006A5AF8"/>
    <w:rsid w:val="006C36CD"/>
    <w:rsid w:val="006C5D55"/>
    <w:rsid w:val="006E7CE7"/>
    <w:rsid w:val="00700D1F"/>
    <w:rsid w:val="007205CB"/>
    <w:rsid w:val="00722106"/>
    <w:rsid w:val="00726073"/>
    <w:rsid w:val="00734FE8"/>
    <w:rsid w:val="007360CE"/>
    <w:rsid w:val="007533C8"/>
    <w:rsid w:val="00771620"/>
    <w:rsid w:val="00772315"/>
    <w:rsid w:val="00775157"/>
    <w:rsid w:val="007813AE"/>
    <w:rsid w:val="007849D7"/>
    <w:rsid w:val="007A37DB"/>
    <w:rsid w:val="007B12DD"/>
    <w:rsid w:val="007C4659"/>
    <w:rsid w:val="007D785A"/>
    <w:rsid w:val="007E143E"/>
    <w:rsid w:val="007E189D"/>
    <w:rsid w:val="007E212D"/>
    <w:rsid w:val="007E5C63"/>
    <w:rsid w:val="007F37A2"/>
    <w:rsid w:val="007F5FCC"/>
    <w:rsid w:val="00811259"/>
    <w:rsid w:val="00813AA2"/>
    <w:rsid w:val="008148D5"/>
    <w:rsid w:val="008173A3"/>
    <w:rsid w:val="00822560"/>
    <w:rsid w:val="008322FC"/>
    <w:rsid w:val="0086059C"/>
    <w:rsid w:val="00864589"/>
    <w:rsid w:val="00864685"/>
    <w:rsid w:val="00867E08"/>
    <w:rsid w:val="00880E64"/>
    <w:rsid w:val="00882C6B"/>
    <w:rsid w:val="008843BC"/>
    <w:rsid w:val="00890AFB"/>
    <w:rsid w:val="00890FC4"/>
    <w:rsid w:val="008926A1"/>
    <w:rsid w:val="00895905"/>
    <w:rsid w:val="008A3374"/>
    <w:rsid w:val="008A4B43"/>
    <w:rsid w:val="008B3561"/>
    <w:rsid w:val="008B7B24"/>
    <w:rsid w:val="008C2EAC"/>
    <w:rsid w:val="008E594F"/>
    <w:rsid w:val="00905015"/>
    <w:rsid w:val="0091023E"/>
    <w:rsid w:val="009164A9"/>
    <w:rsid w:val="00924A6D"/>
    <w:rsid w:val="009258CB"/>
    <w:rsid w:val="0093362E"/>
    <w:rsid w:val="0094052E"/>
    <w:rsid w:val="00944563"/>
    <w:rsid w:val="00953160"/>
    <w:rsid w:val="009625D8"/>
    <w:rsid w:val="009739BC"/>
    <w:rsid w:val="0097490A"/>
    <w:rsid w:val="00982068"/>
    <w:rsid w:val="0098459B"/>
    <w:rsid w:val="00986908"/>
    <w:rsid w:val="00997185"/>
    <w:rsid w:val="009A5C02"/>
    <w:rsid w:val="009B5788"/>
    <w:rsid w:val="009C16F2"/>
    <w:rsid w:val="009C2458"/>
    <w:rsid w:val="009C4A7B"/>
    <w:rsid w:val="009C6123"/>
    <w:rsid w:val="009C6549"/>
    <w:rsid w:val="009D77EE"/>
    <w:rsid w:val="009F1E3E"/>
    <w:rsid w:val="009F2D04"/>
    <w:rsid w:val="00A1213C"/>
    <w:rsid w:val="00A272FF"/>
    <w:rsid w:val="00A4795E"/>
    <w:rsid w:val="00A512C6"/>
    <w:rsid w:val="00A5354B"/>
    <w:rsid w:val="00A627D1"/>
    <w:rsid w:val="00A764EC"/>
    <w:rsid w:val="00A94CB3"/>
    <w:rsid w:val="00AB42C1"/>
    <w:rsid w:val="00AC516F"/>
    <w:rsid w:val="00AE2926"/>
    <w:rsid w:val="00AE76B4"/>
    <w:rsid w:val="00B0184B"/>
    <w:rsid w:val="00B035CD"/>
    <w:rsid w:val="00B0769D"/>
    <w:rsid w:val="00B12C30"/>
    <w:rsid w:val="00B15ADA"/>
    <w:rsid w:val="00B217F8"/>
    <w:rsid w:val="00B27CE6"/>
    <w:rsid w:val="00B30D1E"/>
    <w:rsid w:val="00B332EA"/>
    <w:rsid w:val="00B355AC"/>
    <w:rsid w:val="00B36D6D"/>
    <w:rsid w:val="00B37CE3"/>
    <w:rsid w:val="00B40A53"/>
    <w:rsid w:val="00B45365"/>
    <w:rsid w:val="00B46A65"/>
    <w:rsid w:val="00B60184"/>
    <w:rsid w:val="00B62D20"/>
    <w:rsid w:val="00B7333F"/>
    <w:rsid w:val="00B81E75"/>
    <w:rsid w:val="00BB7708"/>
    <w:rsid w:val="00BD1A5A"/>
    <w:rsid w:val="00BD23CC"/>
    <w:rsid w:val="00BD7A9B"/>
    <w:rsid w:val="00BD7BE1"/>
    <w:rsid w:val="00BF23A0"/>
    <w:rsid w:val="00BF416B"/>
    <w:rsid w:val="00C4559D"/>
    <w:rsid w:val="00C64E4E"/>
    <w:rsid w:val="00C66E64"/>
    <w:rsid w:val="00C761A0"/>
    <w:rsid w:val="00C85F7E"/>
    <w:rsid w:val="00CD47F0"/>
    <w:rsid w:val="00CD5566"/>
    <w:rsid w:val="00CD64D7"/>
    <w:rsid w:val="00CE6F22"/>
    <w:rsid w:val="00CF41F6"/>
    <w:rsid w:val="00CF7D3E"/>
    <w:rsid w:val="00D02B4E"/>
    <w:rsid w:val="00D049C3"/>
    <w:rsid w:val="00D171B4"/>
    <w:rsid w:val="00D21996"/>
    <w:rsid w:val="00D26C96"/>
    <w:rsid w:val="00D36817"/>
    <w:rsid w:val="00D5666C"/>
    <w:rsid w:val="00D666BC"/>
    <w:rsid w:val="00D83542"/>
    <w:rsid w:val="00D92F45"/>
    <w:rsid w:val="00D94637"/>
    <w:rsid w:val="00D9725C"/>
    <w:rsid w:val="00DA06AB"/>
    <w:rsid w:val="00DA237D"/>
    <w:rsid w:val="00DA7006"/>
    <w:rsid w:val="00DC0378"/>
    <w:rsid w:val="00DC6427"/>
    <w:rsid w:val="00DD66A1"/>
    <w:rsid w:val="00DE1431"/>
    <w:rsid w:val="00DE196D"/>
    <w:rsid w:val="00DE6701"/>
    <w:rsid w:val="00DF6B49"/>
    <w:rsid w:val="00E0607D"/>
    <w:rsid w:val="00E067C5"/>
    <w:rsid w:val="00E1285B"/>
    <w:rsid w:val="00E167B7"/>
    <w:rsid w:val="00E230F2"/>
    <w:rsid w:val="00E230F9"/>
    <w:rsid w:val="00E265BF"/>
    <w:rsid w:val="00E378D8"/>
    <w:rsid w:val="00E43A12"/>
    <w:rsid w:val="00E52EE7"/>
    <w:rsid w:val="00E56B21"/>
    <w:rsid w:val="00E61C94"/>
    <w:rsid w:val="00E67C67"/>
    <w:rsid w:val="00E7395A"/>
    <w:rsid w:val="00E7569C"/>
    <w:rsid w:val="00E77476"/>
    <w:rsid w:val="00E8228B"/>
    <w:rsid w:val="00E93F1A"/>
    <w:rsid w:val="00E97027"/>
    <w:rsid w:val="00EB60F6"/>
    <w:rsid w:val="00EB7B4C"/>
    <w:rsid w:val="00EC2FA7"/>
    <w:rsid w:val="00EE1359"/>
    <w:rsid w:val="00EE4234"/>
    <w:rsid w:val="00EE5706"/>
    <w:rsid w:val="00EE604E"/>
    <w:rsid w:val="00EE7812"/>
    <w:rsid w:val="00EF0FCB"/>
    <w:rsid w:val="00EF373D"/>
    <w:rsid w:val="00F11595"/>
    <w:rsid w:val="00F12087"/>
    <w:rsid w:val="00F13BC9"/>
    <w:rsid w:val="00F144C9"/>
    <w:rsid w:val="00F26D4A"/>
    <w:rsid w:val="00F357B2"/>
    <w:rsid w:val="00F36556"/>
    <w:rsid w:val="00F40CA6"/>
    <w:rsid w:val="00F5083F"/>
    <w:rsid w:val="00F5467E"/>
    <w:rsid w:val="00F60569"/>
    <w:rsid w:val="00F705DF"/>
    <w:rsid w:val="00F70622"/>
    <w:rsid w:val="00F85624"/>
    <w:rsid w:val="00F87C05"/>
    <w:rsid w:val="00F93191"/>
    <w:rsid w:val="00F93A17"/>
    <w:rsid w:val="00F93A1A"/>
    <w:rsid w:val="00FA2AF6"/>
    <w:rsid w:val="00FB073D"/>
    <w:rsid w:val="00FB771F"/>
    <w:rsid w:val="00FC5386"/>
    <w:rsid w:val="00FE77E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5:docId w15:val="{0B58A8C4-55D0-41E2-969F-E471F36BC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
    <w:basedOn w:val="DefaultParagraphFont"/>
    <w:uiPriority w:val="99"/>
    <w:rsid w:val="006C36CD"/>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rmal"/>
    <w:link w:val="FootnoteTextChar"/>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
    <w:basedOn w:val="DefaultParagraphFont"/>
    <w:link w:val="FootnoteText"/>
    <w:rsid w:val="007A37DB"/>
    <w:rPr>
      <w:rFonts w:ascii="Calibri" w:hAnsi="Calibri"/>
      <w:sz w:val="24"/>
      <w:lang w:val="en-GB" w:eastAsia="en-US"/>
    </w:rPr>
  </w:style>
  <w:style w:type="paragraph" w:styleId="ListParagraph">
    <w:name w:val="List Paragraph"/>
    <w:basedOn w:val="Normal"/>
    <w:link w:val="ListParagraphChar"/>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ListParagraphChar">
    <w:name w:val="List Paragraph Char"/>
    <w:basedOn w:val="DefaultParagraphFont"/>
    <w:link w:val="ListParagraph"/>
    <w:uiPriority w:val="34"/>
    <w:rsid w:val="006C5D55"/>
    <w:rPr>
      <w:rFonts w:ascii="Calibri" w:eastAsia="Times New Roman" w:hAnsi="Calibri"/>
      <w:sz w:val="24"/>
      <w:lang w:val="en-GB" w:eastAsia="en-US"/>
    </w:rPr>
  </w:style>
  <w:style w:type="paragraph" w:customStyle="1" w:styleId="Default">
    <w:name w:val="Default"/>
    <w:rsid w:val="00867E08"/>
    <w:pPr>
      <w:autoSpaceDE w:val="0"/>
      <w:autoSpaceDN w:val="0"/>
      <w:adjustRightInd w:val="0"/>
    </w:pPr>
    <w:rPr>
      <w:rFonts w:ascii="Calibri" w:eastAsia="Times New Roman" w:hAnsi="Calibri" w:cs="Calibri"/>
      <w:color w:val="000000"/>
      <w:sz w:val="24"/>
      <w:szCs w:val="24"/>
    </w:rPr>
  </w:style>
  <w:style w:type="paragraph" w:customStyle="1" w:styleId="HeadingHea1">
    <w:name w:val="HeadingHea 1"/>
    <w:basedOn w:val="Headingi"/>
    <w:rsid w:val="00112C16"/>
    <w:rPr>
      <w:rFonts w:asciiTheme="minorHAnsi" w:eastAsia="STKaiti" w:hAnsiTheme="minorHAnsi" w:cstheme="minorHAnsi"/>
      <w:b/>
      <w:bCs/>
      <w:i w:val="0"/>
      <w:lang w:eastAsia="zh-CN"/>
    </w:rPr>
  </w:style>
  <w:style w:type="paragraph" w:customStyle="1" w:styleId="Heading-b">
    <w:name w:val="Heading-b"/>
    <w:basedOn w:val="HeadingHea1"/>
    <w:rsid w:val="00112C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md/S19-CL-INF-0014/en" TargetMode="External"/><Relationship Id="rId4" Type="http://schemas.openxmlformats.org/officeDocument/2006/relationships/settings" Target="settings.xml"/><Relationship Id="rId9" Type="http://schemas.openxmlformats.org/officeDocument/2006/relationships/hyperlink" Target="https://www.itu.int/en/council/Documents/Financial-Regulations/S-GEN-REG_RGTFIN-2018-PDF-C.pdf"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theiia.org" TargetMode="External"/><Relationship Id="rId1" Type="http://schemas.openxmlformats.org/officeDocument/2006/relationships/hyperlink" Target="http://www.theii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g\AppData\Roaming\Microsoft\Templates\POOL%20C%20-%20ITU\PC_C17.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en-US" sz="1400" b="0" i="0" u="none" strike="noStrike" baseline="0">
                <a:effectLst/>
              </a:rPr>
              <a:t>仍在落实中的</a:t>
            </a:r>
            <a:r>
              <a:rPr lang="en-US" altLang="zh-CN" sz="1400" b="0" i="0" u="none" strike="noStrike" baseline="0">
                <a:effectLst/>
              </a:rPr>
              <a:t>/</a:t>
            </a:r>
            <a:r>
              <a:rPr lang="zh-CN" altLang="en-US" sz="1400" b="0" i="0" u="none" strike="noStrike" baseline="0">
                <a:effectLst/>
              </a:rPr>
              <a:t>出现延迟的建议的重要性</a:t>
            </a: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Statistics!$R$38</c:f>
              <c:strCache>
                <c:ptCount val="1"/>
                <c:pt idx="0">
                  <c:v>关键</c:v>
                </c:pt>
              </c:strCache>
            </c:strRef>
          </c:tx>
          <c:spPr>
            <a:solidFill>
              <a:srgbClr val="FF0000"/>
            </a:solidFill>
            <a:ln>
              <a:noFill/>
            </a:ln>
            <a:effectLst/>
          </c:spPr>
          <c:invertIfNegative val="0"/>
          <c:cat>
            <c:strRef>
              <c:f>Statistics!$Q$39:$Q$47</c:f>
              <c:strCache>
                <c:ptCount val="9"/>
                <c:pt idx="0">
                  <c:v>2011年</c:v>
                </c:pt>
                <c:pt idx="1">
                  <c:v>2012年</c:v>
                </c:pt>
                <c:pt idx="2">
                  <c:v>2013年</c:v>
                </c:pt>
                <c:pt idx="3">
                  <c:v>2014年</c:v>
                </c:pt>
                <c:pt idx="4">
                  <c:v>2015年</c:v>
                </c:pt>
                <c:pt idx="5">
                  <c:v>2016年</c:v>
                </c:pt>
                <c:pt idx="6">
                  <c:v>2017年</c:v>
                </c:pt>
                <c:pt idx="7">
                  <c:v>2018年</c:v>
                </c:pt>
                <c:pt idx="8">
                  <c:v>2019年</c:v>
                </c:pt>
              </c:strCache>
            </c:strRef>
          </c:cat>
          <c:val>
            <c:numRef>
              <c:f>Statistics!$R$39:$R$47</c:f>
              <c:numCache>
                <c:formatCode>General</c:formatCode>
                <c:ptCount val="9"/>
                <c:pt idx="4">
                  <c:v>0</c:v>
                </c:pt>
                <c:pt idx="7">
                  <c:v>1</c:v>
                </c:pt>
                <c:pt idx="8">
                  <c:v>6</c:v>
                </c:pt>
              </c:numCache>
            </c:numRef>
          </c:val>
          <c:extLst xmlns:c16r2="http://schemas.microsoft.com/office/drawing/2015/06/chart">
            <c:ext xmlns:c16="http://schemas.microsoft.com/office/drawing/2014/chart" uri="{C3380CC4-5D6E-409C-BE32-E72D297353CC}">
              <c16:uniqueId val="{00000000-374F-44A8-AE88-71EB94767125}"/>
            </c:ext>
          </c:extLst>
        </c:ser>
        <c:ser>
          <c:idx val="1"/>
          <c:order val="1"/>
          <c:tx>
            <c:strRef>
              <c:f>Statistics!$S$38</c:f>
              <c:strCache>
                <c:ptCount val="1"/>
                <c:pt idx="0">
                  <c:v>高</c:v>
                </c:pt>
              </c:strCache>
            </c:strRef>
          </c:tx>
          <c:spPr>
            <a:solidFill>
              <a:srgbClr val="FFC000"/>
            </a:solidFill>
            <a:ln>
              <a:noFill/>
            </a:ln>
            <a:effectLst/>
          </c:spPr>
          <c:invertIfNegative val="0"/>
          <c:cat>
            <c:strRef>
              <c:f>Statistics!$Q$39:$Q$47</c:f>
              <c:strCache>
                <c:ptCount val="9"/>
                <c:pt idx="0">
                  <c:v>2011年</c:v>
                </c:pt>
                <c:pt idx="1">
                  <c:v>2012年</c:v>
                </c:pt>
                <c:pt idx="2">
                  <c:v>2013年</c:v>
                </c:pt>
                <c:pt idx="3">
                  <c:v>2014年</c:v>
                </c:pt>
                <c:pt idx="4">
                  <c:v>2015年</c:v>
                </c:pt>
                <c:pt idx="5">
                  <c:v>2016年</c:v>
                </c:pt>
                <c:pt idx="6">
                  <c:v>2017年</c:v>
                </c:pt>
                <c:pt idx="7">
                  <c:v>2018年</c:v>
                </c:pt>
                <c:pt idx="8">
                  <c:v>2019年</c:v>
                </c:pt>
              </c:strCache>
            </c:strRef>
          </c:cat>
          <c:val>
            <c:numRef>
              <c:f>Statistics!$S$39:$S$47</c:f>
              <c:numCache>
                <c:formatCode>General</c:formatCode>
                <c:ptCount val="9"/>
                <c:pt idx="0">
                  <c:v>0</c:v>
                </c:pt>
                <c:pt idx="2">
                  <c:v>2</c:v>
                </c:pt>
                <c:pt idx="3">
                  <c:v>2</c:v>
                </c:pt>
                <c:pt idx="4">
                  <c:v>2</c:v>
                </c:pt>
                <c:pt idx="5">
                  <c:v>6</c:v>
                </c:pt>
                <c:pt idx="6">
                  <c:v>8</c:v>
                </c:pt>
                <c:pt idx="7">
                  <c:v>8</c:v>
                </c:pt>
                <c:pt idx="8">
                  <c:v>7</c:v>
                </c:pt>
              </c:numCache>
            </c:numRef>
          </c:val>
          <c:extLst xmlns:c16r2="http://schemas.microsoft.com/office/drawing/2015/06/chart">
            <c:ext xmlns:c16="http://schemas.microsoft.com/office/drawing/2014/chart" uri="{C3380CC4-5D6E-409C-BE32-E72D297353CC}">
              <c16:uniqueId val="{00000001-374F-44A8-AE88-71EB94767125}"/>
            </c:ext>
          </c:extLst>
        </c:ser>
        <c:ser>
          <c:idx val="2"/>
          <c:order val="2"/>
          <c:tx>
            <c:strRef>
              <c:f>Statistics!$T$38</c:f>
              <c:strCache>
                <c:ptCount val="1"/>
                <c:pt idx="0">
                  <c:v>中</c:v>
                </c:pt>
              </c:strCache>
            </c:strRef>
          </c:tx>
          <c:spPr>
            <a:solidFill>
              <a:srgbClr val="FFFF00"/>
            </a:solidFill>
            <a:ln>
              <a:noFill/>
            </a:ln>
            <a:effectLst/>
          </c:spPr>
          <c:invertIfNegative val="0"/>
          <c:cat>
            <c:strRef>
              <c:f>Statistics!$Q$39:$Q$47</c:f>
              <c:strCache>
                <c:ptCount val="9"/>
                <c:pt idx="0">
                  <c:v>2011年</c:v>
                </c:pt>
                <c:pt idx="1">
                  <c:v>2012年</c:v>
                </c:pt>
                <c:pt idx="2">
                  <c:v>2013年</c:v>
                </c:pt>
                <c:pt idx="3">
                  <c:v>2014年</c:v>
                </c:pt>
                <c:pt idx="4">
                  <c:v>2015年</c:v>
                </c:pt>
                <c:pt idx="5">
                  <c:v>2016年</c:v>
                </c:pt>
                <c:pt idx="6">
                  <c:v>2017年</c:v>
                </c:pt>
                <c:pt idx="7">
                  <c:v>2018年</c:v>
                </c:pt>
                <c:pt idx="8">
                  <c:v>2019年</c:v>
                </c:pt>
              </c:strCache>
            </c:strRef>
          </c:cat>
          <c:val>
            <c:numRef>
              <c:f>Statistics!$T$39:$T$47</c:f>
              <c:numCache>
                <c:formatCode>General</c:formatCode>
                <c:ptCount val="9"/>
                <c:pt idx="0">
                  <c:v>2</c:v>
                </c:pt>
                <c:pt idx="2">
                  <c:v>3</c:v>
                </c:pt>
                <c:pt idx="3">
                  <c:v>0</c:v>
                </c:pt>
                <c:pt idx="4">
                  <c:v>2</c:v>
                </c:pt>
                <c:pt idx="5">
                  <c:v>2</c:v>
                </c:pt>
                <c:pt idx="6">
                  <c:v>10</c:v>
                </c:pt>
                <c:pt idx="7">
                  <c:v>9</c:v>
                </c:pt>
                <c:pt idx="8">
                  <c:v>2</c:v>
                </c:pt>
              </c:numCache>
            </c:numRef>
          </c:val>
          <c:extLst xmlns:c16r2="http://schemas.microsoft.com/office/drawing/2015/06/chart">
            <c:ext xmlns:c16="http://schemas.microsoft.com/office/drawing/2014/chart" uri="{C3380CC4-5D6E-409C-BE32-E72D297353CC}">
              <c16:uniqueId val="{00000002-374F-44A8-AE88-71EB94767125}"/>
            </c:ext>
          </c:extLst>
        </c:ser>
        <c:ser>
          <c:idx val="3"/>
          <c:order val="3"/>
          <c:tx>
            <c:strRef>
              <c:f>Statistics!$U$38</c:f>
              <c:strCache>
                <c:ptCount val="1"/>
                <c:pt idx="0">
                  <c:v>低</c:v>
                </c:pt>
              </c:strCache>
            </c:strRef>
          </c:tx>
          <c:spPr>
            <a:solidFill>
              <a:srgbClr val="00B050"/>
            </a:solidFill>
            <a:ln>
              <a:noFill/>
            </a:ln>
            <a:effectLst/>
          </c:spPr>
          <c:invertIfNegative val="0"/>
          <c:cat>
            <c:strRef>
              <c:f>Statistics!$Q$39:$Q$47</c:f>
              <c:strCache>
                <c:ptCount val="9"/>
                <c:pt idx="0">
                  <c:v>2011年</c:v>
                </c:pt>
                <c:pt idx="1">
                  <c:v>2012年</c:v>
                </c:pt>
                <c:pt idx="2">
                  <c:v>2013年</c:v>
                </c:pt>
                <c:pt idx="3">
                  <c:v>2014年</c:v>
                </c:pt>
                <c:pt idx="4">
                  <c:v>2015年</c:v>
                </c:pt>
                <c:pt idx="5">
                  <c:v>2016年</c:v>
                </c:pt>
                <c:pt idx="6">
                  <c:v>2017年</c:v>
                </c:pt>
                <c:pt idx="7">
                  <c:v>2018年</c:v>
                </c:pt>
                <c:pt idx="8">
                  <c:v>2019年</c:v>
                </c:pt>
              </c:strCache>
            </c:strRef>
          </c:cat>
          <c:val>
            <c:numRef>
              <c:f>Statistics!$U$39:$U$47</c:f>
              <c:numCache>
                <c:formatCode>General</c:formatCode>
                <c:ptCount val="9"/>
                <c:pt idx="0">
                  <c:v>1</c:v>
                </c:pt>
                <c:pt idx="2">
                  <c:v>0</c:v>
                </c:pt>
                <c:pt idx="5">
                  <c:v>0</c:v>
                </c:pt>
                <c:pt idx="7">
                  <c:v>2</c:v>
                </c:pt>
              </c:numCache>
            </c:numRef>
          </c:val>
          <c:extLst xmlns:c16r2="http://schemas.microsoft.com/office/drawing/2015/06/chart">
            <c:ext xmlns:c16="http://schemas.microsoft.com/office/drawing/2014/chart" uri="{C3380CC4-5D6E-409C-BE32-E72D297353CC}">
              <c16:uniqueId val="{00000003-374F-44A8-AE88-71EB94767125}"/>
            </c:ext>
          </c:extLst>
        </c:ser>
        <c:dLbls>
          <c:showLegendKey val="0"/>
          <c:showVal val="0"/>
          <c:showCatName val="0"/>
          <c:showSerName val="0"/>
          <c:showPercent val="0"/>
          <c:showBubbleSize val="0"/>
        </c:dLbls>
        <c:gapWidth val="219"/>
        <c:overlap val="-27"/>
        <c:axId val="370774544"/>
        <c:axId val="378614656"/>
      </c:barChart>
      <c:catAx>
        <c:axId val="370774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8614656"/>
        <c:crosses val="autoZero"/>
        <c:auto val="1"/>
        <c:lblAlgn val="ctr"/>
        <c:lblOffset val="100"/>
        <c:noMultiLvlLbl val="0"/>
      </c:catAx>
      <c:valAx>
        <c:axId val="3786146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077454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49E63-5786-4737-8017-6DF33E0B7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PC_C17.dotx</Template>
  <TotalTime>38</TotalTime>
  <Pages>5</Pages>
  <Words>3604</Words>
  <Characters>774</Characters>
  <Application>Microsoft Office Word</Application>
  <DocSecurity>0</DocSecurity>
  <Lines>6</Lines>
  <Paragraphs>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4370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2004</dc:subject>
  <dc:creator>Kong, Hongli</dc:creator>
  <cp:keywords>C2018, C18</cp:keywords>
  <dc:description/>
  <cp:lastModifiedBy>Kong, Hongli</cp:lastModifiedBy>
  <cp:revision>25</cp:revision>
  <cp:lastPrinted>2019-05-29T13:46:00Z</cp:lastPrinted>
  <dcterms:created xsi:type="dcterms:W3CDTF">2019-06-10T19:33:00Z</dcterms:created>
  <dcterms:modified xsi:type="dcterms:W3CDTF">2019-06-10T20:48:00Z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