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8A26E0" w:rsidRPr="00290728" w:rsidTr="009F66A8">
        <w:trPr>
          <w:cantSplit/>
        </w:trPr>
        <w:tc>
          <w:tcPr>
            <w:tcW w:w="6620" w:type="dxa"/>
          </w:tcPr>
          <w:p w:rsidR="008A26E0" w:rsidRPr="005A3170" w:rsidRDefault="008A26E0" w:rsidP="008A26E0">
            <w:pPr>
              <w:spacing w:before="20" w:after="20" w:line="340" w:lineRule="exact"/>
              <w:rPr>
                <w:b/>
                <w:bCs/>
                <w:highlight w:val="yellow"/>
                <w:rtl/>
                <w:lang w:bidi="ar-EG"/>
              </w:rPr>
            </w:pPr>
            <w:r w:rsidRPr="00334924">
              <w:rPr>
                <w:rFonts w:hint="cs"/>
                <w:b/>
                <w:bCs/>
                <w:rtl/>
                <w:lang w:bidi="ar-EG"/>
              </w:rPr>
              <w:t xml:space="preserve">بند جدول الأعمال: </w:t>
            </w:r>
            <w:r w:rsidRPr="00AE36B8">
              <w:rPr>
                <w:b/>
                <w:bCs/>
                <w:lang w:bidi="ar-EG"/>
              </w:rPr>
              <w:t>ADM</w:t>
            </w:r>
            <w:r>
              <w:rPr>
                <w:b/>
                <w:bCs/>
                <w:lang w:bidi="ar-EG"/>
              </w:rPr>
              <w:t> </w:t>
            </w:r>
            <w:r w:rsidRPr="00AE36B8">
              <w:rPr>
                <w:b/>
                <w:bCs/>
                <w:lang w:bidi="ar-EG"/>
              </w:rPr>
              <w:t>1</w:t>
            </w:r>
            <w:r>
              <w:rPr>
                <w:b/>
                <w:bCs/>
                <w:lang w:bidi="ar-EG"/>
              </w:rPr>
              <w:t>6</w:t>
            </w:r>
          </w:p>
        </w:tc>
        <w:tc>
          <w:tcPr>
            <w:tcW w:w="3052" w:type="dxa"/>
            <w:vAlign w:val="center"/>
          </w:tcPr>
          <w:p w:rsidR="008A26E0" w:rsidRPr="00290728" w:rsidRDefault="008A26E0" w:rsidP="008A26E0">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Pr>
                <w:b/>
                <w:bCs/>
                <w:lang w:bidi="ar-SY"/>
              </w:rPr>
              <w:t>9</w:t>
            </w:r>
            <w:r w:rsidRPr="00290728">
              <w:rPr>
                <w:b/>
                <w:bCs/>
                <w:lang w:bidi="ar-SY"/>
              </w:rPr>
              <w:t>/</w:t>
            </w:r>
            <w:r>
              <w:rPr>
                <w:b/>
                <w:bCs/>
                <w:lang w:bidi="ar-SY"/>
              </w:rPr>
              <w:t>44</w:t>
            </w:r>
            <w:r w:rsidRPr="00290728">
              <w:rPr>
                <w:b/>
                <w:bCs/>
                <w:lang w:bidi="ar-SY"/>
              </w:rPr>
              <w:t>-A</w:t>
            </w:r>
          </w:p>
        </w:tc>
      </w:tr>
      <w:tr w:rsidR="008A26E0" w:rsidRPr="00290728" w:rsidTr="009F66A8">
        <w:trPr>
          <w:cantSplit/>
        </w:trPr>
        <w:tc>
          <w:tcPr>
            <w:tcW w:w="6620" w:type="dxa"/>
          </w:tcPr>
          <w:p w:rsidR="008A26E0" w:rsidRPr="00290728" w:rsidRDefault="008A26E0" w:rsidP="008A26E0">
            <w:pPr>
              <w:spacing w:before="20" w:after="20" w:line="340" w:lineRule="exact"/>
              <w:rPr>
                <w:b/>
                <w:bCs/>
                <w:lang w:bidi="ar-SY"/>
              </w:rPr>
            </w:pPr>
          </w:p>
        </w:tc>
        <w:tc>
          <w:tcPr>
            <w:tcW w:w="3052" w:type="dxa"/>
            <w:vAlign w:val="center"/>
          </w:tcPr>
          <w:p w:rsidR="008A26E0" w:rsidRPr="003763DE" w:rsidRDefault="008A26E0" w:rsidP="008A26E0">
            <w:pPr>
              <w:spacing w:before="20" w:after="20" w:line="340" w:lineRule="exact"/>
              <w:rPr>
                <w:b/>
                <w:bCs/>
                <w:rtl/>
                <w:lang w:bidi="ar-EG"/>
              </w:rPr>
            </w:pPr>
            <w:r w:rsidRPr="003763DE">
              <w:rPr>
                <w:b/>
                <w:bCs/>
                <w:lang w:bidi="ar-SY"/>
              </w:rPr>
              <w:t>15</w:t>
            </w:r>
            <w:r w:rsidRPr="003763DE">
              <w:rPr>
                <w:rFonts w:hint="cs"/>
                <w:b/>
                <w:bCs/>
                <w:rtl/>
                <w:lang w:bidi="ar-EG"/>
              </w:rPr>
              <w:t xml:space="preserve"> مايو </w:t>
            </w:r>
            <w:r w:rsidRPr="003763DE">
              <w:rPr>
                <w:b/>
                <w:bCs/>
                <w:lang w:bidi="ar-SY"/>
              </w:rPr>
              <w:t>2019</w:t>
            </w:r>
          </w:p>
        </w:tc>
      </w:tr>
      <w:tr w:rsidR="008A26E0" w:rsidRPr="00290728" w:rsidTr="009F66A8">
        <w:trPr>
          <w:cantSplit/>
        </w:trPr>
        <w:tc>
          <w:tcPr>
            <w:tcW w:w="6620" w:type="dxa"/>
          </w:tcPr>
          <w:p w:rsidR="008A26E0" w:rsidRPr="0069200F" w:rsidRDefault="008A26E0" w:rsidP="008A26E0">
            <w:pPr>
              <w:spacing w:before="20" w:after="20" w:line="340" w:lineRule="exact"/>
              <w:rPr>
                <w:b/>
                <w:bCs/>
                <w:lang w:bidi="ar-EG"/>
              </w:rPr>
            </w:pPr>
          </w:p>
        </w:tc>
        <w:tc>
          <w:tcPr>
            <w:tcW w:w="3052" w:type="dxa"/>
            <w:vAlign w:val="center"/>
          </w:tcPr>
          <w:p w:rsidR="008A26E0" w:rsidRPr="00290728" w:rsidRDefault="008A26E0" w:rsidP="008A26E0">
            <w:pPr>
              <w:spacing w:before="20" w:after="20" w:line="340" w:lineRule="exact"/>
              <w:rPr>
                <w:b/>
                <w:bCs/>
                <w:lang w:bidi="ar-SY"/>
              </w:rPr>
            </w:pPr>
            <w:r w:rsidRPr="00290728">
              <w:rPr>
                <w:b/>
                <w:bCs/>
                <w:rtl/>
                <w:lang w:bidi="ar-EG"/>
              </w:rPr>
              <w:t xml:space="preserve">الأصل: </w:t>
            </w:r>
            <w:r>
              <w:rPr>
                <w:rFonts w:hint="cs"/>
                <w:b/>
                <w:bCs/>
                <w:rtl/>
                <w:lang w:bidi="ar-EG"/>
              </w:rPr>
              <w:t>بالإنكليزية</w:t>
            </w:r>
          </w:p>
        </w:tc>
      </w:tr>
      <w:tr w:rsidR="00290728" w:rsidRPr="00290728" w:rsidTr="009F66A8">
        <w:trPr>
          <w:cantSplit/>
        </w:trPr>
        <w:tc>
          <w:tcPr>
            <w:tcW w:w="9672" w:type="dxa"/>
            <w:gridSpan w:val="2"/>
          </w:tcPr>
          <w:p w:rsidR="00290728" w:rsidRPr="00290728" w:rsidRDefault="008A26E0" w:rsidP="00290728">
            <w:pPr>
              <w:pStyle w:val="Source"/>
              <w:rPr>
                <w:rtl/>
                <w:lang w:bidi="ar-SY"/>
              </w:rPr>
            </w:pPr>
            <w:r w:rsidRPr="00AE36B8">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8A26E0" w:rsidP="00383829">
            <w:pPr>
              <w:pStyle w:val="Title1"/>
              <w:rPr>
                <w:rtl/>
              </w:rPr>
            </w:pPr>
            <w:r w:rsidRPr="00AE36B8">
              <w:rPr>
                <w:rtl/>
              </w:rPr>
              <w:t xml:space="preserve">تقرير </w:t>
            </w:r>
            <w:r w:rsidRPr="00AE36B8">
              <w:rPr>
                <w:rFonts w:hint="cs"/>
                <w:rtl/>
              </w:rPr>
              <w:t>المراجع</w:t>
            </w:r>
            <w:r w:rsidRPr="00AE36B8">
              <w:rPr>
                <w:rtl/>
              </w:rPr>
              <w:t xml:space="preserve"> الداخلي عن أنشطة </w:t>
            </w:r>
            <w:r w:rsidRPr="00AE36B8">
              <w:rPr>
                <w:rFonts w:hint="cs"/>
                <w:rtl/>
              </w:rPr>
              <w:t>المراجعة</w:t>
            </w:r>
            <w:r w:rsidRPr="00AE36B8">
              <w:rPr>
                <w:rtl/>
              </w:rPr>
              <w:t xml:space="preserve"> الداخلية</w:t>
            </w:r>
          </w:p>
        </w:tc>
      </w:tr>
      <w:tr w:rsidR="00A6683B" w:rsidRPr="00290728" w:rsidTr="009F66A8">
        <w:trPr>
          <w:cantSplit/>
        </w:trPr>
        <w:tc>
          <w:tcPr>
            <w:tcW w:w="9672" w:type="dxa"/>
            <w:gridSpan w:val="2"/>
          </w:tcPr>
          <w:p w:rsidR="00A6683B" w:rsidRPr="00383829" w:rsidRDefault="00A6683B" w:rsidP="00DC5FB0">
            <w:pPr>
              <w:pStyle w:val="Title2"/>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8A26E0" w:rsidP="00655FD5">
            <w:pPr>
              <w:rPr>
                <w:rtl/>
                <w:lang w:bidi="ar-SY"/>
              </w:rPr>
            </w:pPr>
            <w:r w:rsidRPr="00813B86">
              <w:rPr>
                <w:rtl/>
              </w:rPr>
              <w:t>ي</w:t>
            </w:r>
            <w:r w:rsidR="00655FD5">
              <w:rPr>
                <w:rFonts w:hint="cs"/>
                <w:rtl/>
              </w:rPr>
              <w:t>ُ</w:t>
            </w:r>
            <w:r w:rsidRPr="00813B86">
              <w:rPr>
                <w:rFonts w:hint="cs"/>
                <w:rtl/>
              </w:rPr>
              <w:t>غطي</w:t>
            </w:r>
            <w:r w:rsidRPr="00813B86">
              <w:rPr>
                <w:rtl/>
              </w:rPr>
              <w:t xml:space="preserve"> هذا التقرير </w:t>
            </w:r>
            <w:r>
              <w:rPr>
                <w:rFonts w:hint="cs"/>
                <w:rtl/>
                <w:lang w:bidi="ar-EG"/>
              </w:rPr>
              <w:t>أنشطة المراجعة الداخلية</w:t>
            </w:r>
            <w:r w:rsidRPr="00813B86">
              <w:rPr>
                <w:rtl/>
              </w:rPr>
              <w:t xml:space="preserve"> في</w:t>
            </w:r>
            <w:r w:rsidRPr="00813B86">
              <w:rPr>
                <w:rFonts w:hint="cs"/>
                <w:rtl/>
              </w:rPr>
              <w:t> </w:t>
            </w:r>
            <w:r w:rsidRPr="00813B86">
              <w:rPr>
                <w:rtl/>
              </w:rPr>
              <w:t xml:space="preserve">الفترة الممتدة من </w:t>
            </w:r>
            <w:r w:rsidRPr="00D239D4">
              <w:rPr>
                <w:rtl/>
              </w:rPr>
              <w:t>مارس</w:t>
            </w:r>
            <w:r w:rsidR="00655FD5">
              <w:rPr>
                <w:rFonts w:hint="cs"/>
                <w:rtl/>
              </w:rPr>
              <w:t> </w:t>
            </w:r>
            <w:r w:rsidRPr="00D239D4">
              <w:rPr>
                <w:lang w:bidi="ar-SY"/>
              </w:rPr>
              <w:t>2018</w:t>
            </w:r>
            <w:r w:rsidRPr="00D239D4">
              <w:rPr>
                <w:rtl/>
              </w:rPr>
              <w:t xml:space="preserve"> إلى </w:t>
            </w:r>
            <w:r w:rsidRPr="00D239D4">
              <w:rPr>
                <w:rFonts w:hint="cs"/>
                <w:rtl/>
                <w:lang w:bidi="ar-EG"/>
              </w:rPr>
              <w:t>أبريل</w:t>
            </w:r>
            <w:r w:rsidR="00655FD5">
              <w:rPr>
                <w:rFonts w:hint="eastAsia"/>
                <w:rtl/>
                <w:lang w:bidi="ar-EG"/>
              </w:rPr>
              <w:t> </w:t>
            </w:r>
            <w:r w:rsidRPr="00D239D4">
              <w:rPr>
                <w:lang w:bidi="ar-EG"/>
              </w:rPr>
              <w:t>2019</w:t>
            </w:r>
            <w:r w:rsidRPr="00813B86">
              <w:rPr>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8A26E0" w:rsidP="00706D7A">
            <w:pPr>
              <w:rPr>
                <w:rtl/>
                <w:lang w:bidi="ar-SY"/>
              </w:rPr>
            </w:pPr>
            <w:r>
              <w:rPr>
                <w:rFonts w:hint="cs"/>
                <w:rtl/>
                <w:lang w:bidi="ar-EG"/>
              </w:rPr>
              <w:t>ي</w:t>
            </w:r>
            <w:r w:rsidR="00655FD5">
              <w:rPr>
                <w:rFonts w:hint="cs"/>
                <w:rtl/>
                <w:lang w:bidi="ar-EG"/>
              </w:rPr>
              <w:t>ُ</w:t>
            </w:r>
            <w:r>
              <w:rPr>
                <w:rFonts w:hint="cs"/>
                <w:rtl/>
                <w:lang w:bidi="ar-EG"/>
              </w:rPr>
              <w:t xml:space="preserve">حال هذا التقرير إلى المجلس لكي </w:t>
            </w:r>
            <w:r w:rsidRPr="003763DE">
              <w:rPr>
                <w:rFonts w:hint="cs"/>
                <w:b/>
                <w:bCs/>
                <w:rtl/>
                <w:lang w:bidi="ar-EG"/>
              </w:rPr>
              <w:t>ينظر فيه</w:t>
            </w:r>
            <w:r w:rsidR="00655FD5" w:rsidRPr="00655FD5">
              <w:rPr>
                <w:rFonts w:hint="cs"/>
                <w:rtl/>
                <w:lang w:bidi="ar-EG"/>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8A26E0" w:rsidRDefault="006F793D" w:rsidP="005409AC">
            <w:pPr>
              <w:spacing w:after="120"/>
              <w:jc w:val="left"/>
              <w:rPr>
                <w:i/>
                <w:iCs/>
                <w:rtl/>
                <w:lang w:bidi="ar-SY"/>
              </w:rPr>
            </w:pPr>
            <w:hyperlink r:id="rId9" w:history="1">
              <w:r w:rsidR="008A26E0" w:rsidRPr="00655FD5">
                <w:rPr>
                  <w:rStyle w:val="Hyperlink"/>
                  <w:i/>
                  <w:iCs/>
                  <w:rtl/>
                </w:rPr>
                <w:t xml:space="preserve">اللوائح المالية والقواعد المالية للاتحاد </w:t>
              </w:r>
              <w:r w:rsidR="008A26E0" w:rsidRPr="00655FD5">
                <w:rPr>
                  <w:rStyle w:val="Hyperlink"/>
                  <w:i/>
                  <w:iCs/>
                  <w:lang w:bidi="ar-SY"/>
                </w:rPr>
                <w:t>(2018)</w:t>
              </w:r>
              <w:r w:rsidR="008A26E0" w:rsidRPr="00655FD5">
                <w:rPr>
                  <w:rStyle w:val="Hyperlink"/>
                  <w:i/>
                  <w:iCs/>
                  <w:rtl/>
                </w:rPr>
                <w:t xml:space="preserve">، المادة </w:t>
              </w:r>
              <w:r w:rsidR="008A26E0" w:rsidRPr="00655FD5">
                <w:rPr>
                  <w:rStyle w:val="Hyperlink"/>
                  <w:i/>
                  <w:iCs/>
                  <w:lang w:bidi="ar-SY"/>
                </w:rPr>
                <w:t>29</w:t>
              </w:r>
            </w:hyperlink>
          </w:p>
        </w:tc>
      </w:tr>
    </w:tbl>
    <w:p w:rsidR="008A26E0" w:rsidRPr="00294638" w:rsidRDefault="008A26E0" w:rsidP="00332040">
      <w:pPr>
        <w:pStyle w:val="Heading1"/>
      </w:pPr>
      <w:r w:rsidRPr="00294638">
        <w:rPr>
          <w:rtl/>
        </w:rPr>
        <w:t>مقدمة</w:t>
      </w:r>
    </w:p>
    <w:p w:rsidR="008A26E0" w:rsidRPr="00813B86" w:rsidRDefault="008A26E0" w:rsidP="00655FD5">
      <w:pPr>
        <w:rPr>
          <w:rtl/>
        </w:rPr>
      </w:pPr>
      <w:r w:rsidRPr="00813B86">
        <w:rPr>
          <w:lang w:bidi="ar-SY"/>
        </w:rPr>
        <w:t>1</w:t>
      </w:r>
      <w:r w:rsidRPr="00813B86">
        <w:rPr>
          <w:rtl/>
        </w:rPr>
        <w:tab/>
        <w:t>يُحال هذا التقرير إلى المجلس</w:t>
      </w:r>
      <w:r>
        <w:rPr>
          <w:rFonts w:hint="cs"/>
          <w:rtl/>
        </w:rPr>
        <w:t>، و</w:t>
      </w:r>
      <w:r w:rsidRPr="00813B86">
        <w:rPr>
          <w:rtl/>
        </w:rPr>
        <w:t>قد أُعد عملاً بالمادة</w:t>
      </w:r>
      <w:r w:rsidR="00655FD5">
        <w:rPr>
          <w:rFonts w:hint="cs"/>
          <w:rtl/>
        </w:rPr>
        <w:t> </w:t>
      </w:r>
      <w:proofErr w:type="gramStart"/>
      <w:r w:rsidRPr="00813B86">
        <w:rPr>
          <w:lang w:bidi="ar-SY"/>
        </w:rPr>
        <w:t>29</w:t>
      </w:r>
      <w:r w:rsidRPr="00813B86">
        <w:rPr>
          <w:rtl/>
        </w:rPr>
        <w:t xml:space="preserve"> من</w:t>
      </w:r>
      <w:proofErr w:type="gramEnd"/>
      <w:r w:rsidRPr="00813B86">
        <w:rPr>
          <w:rtl/>
        </w:rPr>
        <w:t xml:space="preserve"> اللوائح المالية</w:t>
      </w:r>
      <w:r w:rsidR="00655FD5">
        <w:rPr>
          <w:rFonts w:hint="cs"/>
          <w:rtl/>
        </w:rPr>
        <w:t> </w:t>
      </w:r>
      <w:r w:rsidRPr="00813B86">
        <w:rPr>
          <w:lang w:bidi="ar-SY"/>
        </w:rPr>
        <w:t>(2010)</w:t>
      </w:r>
      <w:r w:rsidRPr="00813B86">
        <w:rPr>
          <w:rtl/>
        </w:rPr>
        <w:t>. ووفقاً لميثاق المراجعة الداخلية في الاتحاد</w:t>
      </w:r>
      <w:r w:rsidRPr="00813B86">
        <w:rPr>
          <w:rFonts w:hint="cs"/>
          <w:rtl/>
        </w:rPr>
        <w:t>،</w:t>
      </w:r>
      <w:r w:rsidRPr="00813B86">
        <w:rPr>
          <w:rStyle w:val="FootnoteReference"/>
          <w:rtl/>
        </w:rPr>
        <w:footnoteReference w:id="1"/>
      </w:r>
      <w:r w:rsidRPr="00813B86">
        <w:rPr>
          <w:rtl/>
        </w:rPr>
        <w:t xml:space="preserve"> يقدَّم هذا التقرير إلى الأمين العام ويُعرض على المجلس لكي ينظر فيه. وي</w:t>
      </w:r>
      <w:r w:rsidRPr="00813B86">
        <w:rPr>
          <w:rFonts w:hint="cs"/>
          <w:rtl/>
        </w:rPr>
        <w:t>غطي</w:t>
      </w:r>
      <w:r w:rsidRPr="00813B86">
        <w:rPr>
          <w:rtl/>
        </w:rPr>
        <w:t xml:space="preserve"> هذا التقرير الأنشطة المضطلَع بها في</w:t>
      </w:r>
      <w:r w:rsidRPr="00813B86">
        <w:rPr>
          <w:rFonts w:hint="cs"/>
          <w:rtl/>
        </w:rPr>
        <w:t> </w:t>
      </w:r>
      <w:r w:rsidRPr="00813B86">
        <w:rPr>
          <w:rtl/>
        </w:rPr>
        <w:t>الفترة الممتدة من مارس</w:t>
      </w:r>
      <w:r w:rsidR="00655FD5">
        <w:rPr>
          <w:rFonts w:hint="cs"/>
          <w:rtl/>
        </w:rPr>
        <w:t> </w:t>
      </w:r>
      <w:r w:rsidRPr="00D239D4">
        <w:rPr>
          <w:lang w:bidi="ar-SY"/>
        </w:rPr>
        <w:t>2018</w:t>
      </w:r>
      <w:r w:rsidRPr="00D239D4">
        <w:rPr>
          <w:rtl/>
        </w:rPr>
        <w:t xml:space="preserve"> </w:t>
      </w:r>
      <w:r w:rsidRPr="00D239D4">
        <w:rPr>
          <w:rFonts w:hint="cs"/>
          <w:rtl/>
        </w:rPr>
        <w:t>إلى</w:t>
      </w:r>
      <w:r w:rsidRPr="00D239D4">
        <w:rPr>
          <w:rtl/>
        </w:rPr>
        <w:t xml:space="preserve"> </w:t>
      </w:r>
      <w:r w:rsidRPr="00D239D4">
        <w:rPr>
          <w:rFonts w:hint="cs"/>
          <w:rtl/>
          <w:lang w:bidi="ar-EG"/>
        </w:rPr>
        <w:t>أبريل</w:t>
      </w:r>
      <w:r w:rsidR="00655FD5">
        <w:rPr>
          <w:rFonts w:hint="eastAsia"/>
          <w:rtl/>
          <w:lang w:bidi="ar-EG"/>
        </w:rPr>
        <w:t> </w:t>
      </w:r>
      <w:r w:rsidRPr="00D239D4">
        <w:rPr>
          <w:lang w:bidi="ar-EG"/>
        </w:rPr>
        <w:t>2019</w:t>
      </w:r>
      <w:r w:rsidRPr="00D239D4">
        <w:rPr>
          <w:rtl/>
        </w:rPr>
        <w:t>.</w:t>
      </w:r>
    </w:p>
    <w:p w:rsidR="008A26E0" w:rsidRPr="00140B22" w:rsidRDefault="008A26E0" w:rsidP="00655FD5">
      <w:pPr>
        <w:rPr>
          <w:rtl/>
          <w:lang w:val="en-CA" w:bidi="ar-EG"/>
        </w:rPr>
      </w:pPr>
      <w:proofErr w:type="gramStart"/>
      <w:r w:rsidRPr="00D239D4">
        <w:t>2</w:t>
      </w:r>
      <w:proofErr w:type="gramEnd"/>
      <w:r w:rsidRPr="00D239D4">
        <w:rPr>
          <w:rtl/>
          <w:lang w:bidi="ar-EG"/>
        </w:rPr>
        <w:tab/>
      </w:r>
      <w:r w:rsidRPr="00D239D4">
        <w:rPr>
          <w:rFonts w:hint="cs"/>
          <w:rtl/>
        </w:rPr>
        <w:t>وخلال الفترة المشمولة بالتقرير، تألفت وحدة المراجعة الداخلية من موظفين اثنين من الفئة الفنية</w:t>
      </w:r>
      <w:r w:rsidRPr="00D239D4">
        <w:rPr>
          <w:rFonts w:hint="eastAsia"/>
          <w:rtl/>
        </w:rPr>
        <w:t> </w:t>
      </w:r>
      <w:r w:rsidRPr="00D239D4">
        <w:rPr>
          <w:rFonts w:hint="cs"/>
          <w:rtl/>
        </w:rPr>
        <w:t>-</w:t>
      </w:r>
      <w:r w:rsidR="00655FD5">
        <w:rPr>
          <w:rFonts w:hint="eastAsia"/>
          <w:rtl/>
        </w:rPr>
        <w:t> </w:t>
      </w:r>
      <w:r w:rsidRPr="00D239D4">
        <w:rPr>
          <w:rFonts w:hint="cs"/>
          <w:rtl/>
        </w:rPr>
        <w:t>موظف بدرجة</w:t>
      </w:r>
      <w:r w:rsidRPr="00D239D4">
        <w:rPr>
          <w:rFonts w:hint="eastAsia"/>
          <w:rtl/>
        </w:rPr>
        <w:t> </w:t>
      </w:r>
      <w:r w:rsidRPr="00D239D4">
        <w:rPr>
          <w:rFonts w:hint="cs"/>
          <w:rtl/>
        </w:rPr>
        <w:t>ف</w:t>
      </w:r>
      <w:r w:rsidR="00655FD5">
        <w:rPr>
          <w:rtl/>
        </w:rPr>
        <w:noBreakHyphen/>
      </w:r>
      <w:r w:rsidRPr="00D239D4">
        <w:rPr>
          <w:lang w:val="en-CA"/>
        </w:rPr>
        <w:t>5</w:t>
      </w:r>
      <w:r w:rsidRPr="00D239D4">
        <w:rPr>
          <w:rFonts w:hint="cs"/>
          <w:rtl/>
          <w:lang w:val="en-CA" w:bidi="ar-EG"/>
        </w:rPr>
        <w:t xml:space="preserve"> (رئيس</w:t>
      </w:r>
      <w:r w:rsidRPr="00D239D4">
        <w:rPr>
          <w:rFonts w:hint="eastAsia"/>
          <w:rtl/>
          <w:lang w:val="en-CA" w:bidi="ar-EG"/>
        </w:rPr>
        <w:t> </w:t>
      </w:r>
      <w:r w:rsidRPr="00D239D4">
        <w:rPr>
          <w:rFonts w:hint="cs"/>
          <w:rtl/>
          <w:lang w:val="en-CA" w:bidi="ar-EG"/>
        </w:rPr>
        <w:t>الوحدة) وموظف بدرجة ف</w:t>
      </w:r>
      <w:r w:rsidR="00655FD5">
        <w:rPr>
          <w:rtl/>
          <w:lang w:val="en-CA" w:bidi="ar-EG"/>
        </w:rPr>
        <w:noBreakHyphen/>
      </w:r>
      <w:r>
        <w:rPr>
          <w:lang w:bidi="ar-EG"/>
        </w:rPr>
        <w:t>3</w:t>
      </w:r>
      <w:r>
        <w:rPr>
          <w:rFonts w:hint="cs"/>
          <w:rtl/>
          <w:lang w:bidi="ar-EG"/>
        </w:rPr>
        <w:t xml:space="preserve"> (مراجع</w:t>
      </w:r>
      <w:r w:rsidR="00655FD5">
        <w:rPr>
          <w:rFonts w:hint="eastAsia"/>
          <w:rtl/>
          <w:lang w:bidi="ar-EG"/>
        </w:rPr>
        <w:t> </w:t>
      </w:r>
      <w:r>
        <w:rPr>
          <w:rFonts w:hint="cs"/>
          <w:rtl/>
          <w:lang w:bidi="ar-EG"/>
        </w:rPr>
        <w:t xml:space="preserve">داخلي) </w:t>
      </w:r>
      <w:r w:rsidRPr="00D239D4">
        <w:rPr>
          <w:rFonts w:hint="cs"/>
          <w:rtl/>
          <w:lang w:val="en-CA" w:bidi="ar-EG"/>
        </w:rPr>
        <w:t>و</w:t>
      </w:r>
      <w:r>
        <w:rPr>
          <w:rFonts w:hint="cs"/>
          <w:rtl/>
          <w:lang w:val="en-CA" w:bidi="ar-EG"/>
        </w:rPr>
        <w:t xml:space="preserve">كذلك </w:t>
      </w:r>
      <w:r w:rsidRPr="00D239D4">
        <w:rPr>
          <w:rFonts w:hint="cs"/>
          <w:rtl/>
          <w:lang w:val="en-CA" w:bidi="ar-EG"/>
        </w:rPr>
        <w:t>موظف بدرجة ف-</w:t>
      </w:r>
      <w:r w:rsidRPr="00D239D4">
        <w:rPr>
          <w:lang w:val="en-CA" w:bidi="ar-EG"/>
        </w:rPr>
        <w:t>2</w:t>
      </w:r>
      <w:r>
        <w:rPr>
          <w:rFonts w:hint="cs"/>
          <w:rtl/>
          <w:lang w:val="en-CA" w:bidi="ar-EG"/>
        </w:rPr>
        <w:t xml:space="preserve"> (مراجع داخلي مبتدئ) حتى غادر </w:t>
      </w:r>
      <w:r w:rsidRPr="00D239D4">
        <w:rPr>
          <w:rFonts w:hint="cs"/>
          <w:rtl/>
          <w:lang w:val="en-CA" w:bidi="ar-EG"/>
        </w:rPr>
        <w:t xml:space="preserve">صاحب </w:t>
      </w:r>
      <w:r>
        <w:rPr>
          <w:rFonts w:hint="cs"/>
          <w:rtl/>
          <w:lang w:val="en-CA" w:bidi="ar-EG"/>
        </w:rPr>
        <w:t xml:space="preserve">هذه </w:t>
      </w:r>
      <w:r w:rsidRPr="00D239D4">
        <w:rPr>
          <w:rFonts w:hint="cs"/>
          <w:rtl/>
          <w:lang w:val="en-CA" w:bidi="ar-EG"/>
        </w:rPr>
        <w:t xml:space="preserve">الوظيفية </w:t>
      </w:r>
      <w:r>
        <w:rPr>
          <w:rFonts w:hint="cs"/>
          <w:rtl/>
          <w:lang w:val="en-CA" w:bidi="ar-EG"/>
        </w:rPr>
        <w:t>الاتحاد</w:t>
      </w:r>
      <w:r w:rsidRPr="00D239D4">
        <w:rPr>
          <w:rFonts w:hint="cs"/>
          <w:rtl/>
          <w:lang w:val="en-CA" w:bidi="ar-EG"/>
        </w:rPr>
        <w:t xml:space="preserve"> في </w:t>
      </w:r>
      <w:r w:rsidRPr="00D239D4">
        <w:rPr>
          <w:lang w:bidi="ar-EG"/>
        </w:rPr>
        <w:t>31</w:t>
      </w:r>
      <w:r w:rsidR="00655FD5">
        <w:rPr>
          <w:rFonts w:hint="eastAsia"/>
          <w:rtl/>
          <w:lang w:val="en-CA" w:bidi="ar-EG"/>
        </w:rPr>
        <w:t> </w:t>
      </w:r>
      <w:r w:rsidRPr="00D239D4">
        <w:rPr>
          <w:rFonts w:hint="cs"/>
          <w:rtl/>
          <w:lang w:val="en-CA" w:bidi="ar-EG"/>
        </w:rPr>
        <w:t>يوليو</w:t>
      </w:r>
      <w:r w:rsidR="00655FD5">
        <w:rPr>
          <w:rFonts w:hint="eastAsia"/>
          <w:rtl/>
          <w:lang w:val="en-CA" w:bidi="ar-EG"/>
        </w:rPr>
        <w:t> </w:t>
      </w:r>
      <w:r w:rsidRPr="00D239D4">
        <w:rPr>
          <w:lang w:bidi="ar-EG"/>
        </w:rPr>
        <w:t>2018</w:t>
      </w:r>
      <w:r>
        <w:rPr>
          <w:rFonts w:hint="cs"/>
          <w:rtl/>
          <w:lang w:bidi="ar-EG"/>
        </w:rPr>
        <w:t xml:space="preserve"> والتحق بالركب موظف مؤقت ليحل محله اعتباراً من </w:t>
      </w:r>
      <w:r w:rsidRPr="00D239D4">
        <w:rPr>
          <w:lang w:bidi="ar-EG"/>
        </w:rPr>
        <w:t>1</w:t>
      </w:r>
      <w:r w:rsidR="00655FD5">
        <w:rPr>
          <w:rFonts w:hint="eastAsia"/>
          <w:rtl/>
          <w:lang w:bidi="ar-EG"/>
        </w:rPr>
        <w:t> </w:t>
      </w:r>
      <w:r w:rsidRPr="00D239D4">
        <w:rPr>
          <w:rFonts w:hint="cs"/>
          <w:rtl/>
          <w:lang w:bidi="ar-EG"/>
        </w:rPr>
        <w:t>فبراير</w:t>
      </w:r>
      <w:r w:rsidR="00655FD5">
        <w:rPr>
          <w:rFonts w:hint="eastAsia"/>
          <w:rtl/>
          <w:lang w:bidi="ar-EG"/>
        </w:rPr>
        <w:t> </w:t>
      </w:r>
      <w:r w:rsidRPr="00D239D4">
        <w:rPr>
          <w:lang w:bidi="ar-EG"/>
        </w:rPr>
        <w:t>2019</w:t>
      </w:r>
      <w:r>
        <w:rPr>
          <w:rFonts w:hint="cs"/>
          <w:rtl/>
          <w:lang w:bidi="ar-EG"/>
        </w:rPr>
        <w:t xml:space="preserve">. وأعلن عن الوظيفة </w:t>
      </w:r>
      <w:r w:rsidRPr="00D239D4">
        <w:rPr>
          <w:rFonts w:hint="cs"/>
          <w:rtl/>
          <w:lang w:val="en-CA" w:bidi="ar-EG"/>
        </w:rPr>
        <w:t>بدرجة ف-</w:t>
      </w:r>
      <w:r w:rsidRPr="00D239D4">
        <w:rPr>
          <w:lang w:val="en-CA" w:bidi="ar-EG"/>
        </w:rPr>
        <w:t>2</w:t>
      </w:r>
      <w:r>
        <w:rPr>
          <w:rFonts w:hint="cs"/>
          <w:rtl/>
          <w:lang w:val="en-CA" w:bidi="ar-EG"/>
        </w:rPr>
        <w:t xml:space="preserve"> على أساس محدد المدة.</w:t>
      </w:r>
      <w:r w:rsidRPr="00D239D4">
        <w:rPr>
          <w:rFonts w:hint="cs"/>
          <w:rtl/>
          <w:lang w:val="en-CA" w:bidi="ar-EG"/>
        </w:rPr>
        <w:t xml:space="preserve"> وكان هناك موظف من فئة الخدمات العامة (مساعد مراجع) يعمل في</w:t>
      </w:r>
      <w:r w:rsidRPr="00D239D4">
        <w:rPr>
          <w:rFonts w:hint="eastAsia"/>
          <w:rtl/>
          <w:lang w:val="en-CA" w:bidi="ar-EG"/>
        </w:rPr>
        <w:t> </w:t>
      </w:r>
      <w:r w:rsidRPr="00D239D4">
        <w:rPr>
          <w:rFonts w:hint="cs"/>
          <w:rtl/>
          <w:lang w:val="en-CA" w:bidi="ar-EG"/>
        </w:rPr>
        <w:t xml:space="preserve">الوحدة على أساس دوام كامل. </w:t>
      </w:r>
      <w:r w:rsidRPr="00D239D4">
        <w:rPr>
          <w:rFonts w:hint="cs"/>
          <w:rtl/>
        </w:rPr>
        <w:t xml:space="preserve">ومن ثم </w:t>
      </w:r>
      <w:r w:rsidRPr="00D239D4">
        <w:rPr>
          <w:rtl/>
        </w:rPr>
        <w:t xml:space="preserve">تتألف الوحدة حالياً من ثلاثة موظفين من </w:t>
      </w:r>
      <w:r w:rsidRPr="006E76A1">
        <w:rPr>
          <w:rtl/>
        </w:rPr>
        <w:t>الفئة الفنية</w:t>
      </w:r>
      <w:r w:rsidRPr="00D239D4">
        <w:rPr>
          <w:rtl/>
        </w:rPr>
        <w:t xml:space="preserve"> وموظف </w:t>
      </w:r>
      <w:r w:rsidRPr="00D239D4">
        <w:rPr>
          <w:rFonts w:hint="cs"/>
          <w:rtl/>
        </w:rPr>
        <w:t>واحد</w:t>
      </w:r>
      <w:r w:rsidRPr="00D239D4">
        <w:rPr>
          <w:rtl/>
        </w:rPr>
        <w:t xml:space="preserve"> من فئة الخدمات العامة</w:t>
      </w:r>
      <w:r w:rsidRPr="00D239D4">
        <w:t>.</w:t>
      </w:r>
    </w:p>
    <w:p w:rsidR="008A26E0" w:rsidRPr="00813B86" w:rsidRDefault="008A26E0" w:rsidP="00473A7A">
      <w:pPr>
        <w:rPr>
          <w:rtl/>
        </w:rPr>
      </w:pPr>
      <w:r w:rsidRPr="00813B86">
        <w:lastRenderedPageBreak/>
        <w:t>3</w:t>
      </w:r>
      <w:r w:rsidRPr="00813B86">
        <w:rPr>
          <w:rtl/>
        </w:rPr>
        <w:tab/>
      </w:r>
      <w:r w:rsidRPr="00813B86">
        <w:rPr>
          <w:rFonts w:hint="cs"/>
          <w:rtl/>
        </w:rPr>
        <w:t>و</w:t>
      </w:r>
      <w:r w:rsidRPr="00813B86">
        <w:rPr>
          <w:rtl/>
        </w:rPr>
        <w:t>تؤكد وحدة المراجعة الداخلية</w:t>
      </w:r>
      <w:r w:rsidR="00473A7A">
        <w:rPr>
          <w:rFonts w:hint="cs"/>
          <w:rtl/>
        </w:rPr>
        <w:t> </w:t>
      </w:r>
      <w:r w:rsidRPr="00813B86">
        <w:t>(IA)</w:t>
      </w:r>
      <w:r w:rsidRPr="00813B86">
        <w:rPr>
          <w:rtl/>
        </w:rPr>
        <w:t xml:space="preserve"> أنها تجري مراجعاتها وفقاً للمعايير الدولية للممارسة المهنية للمراجعة الداخلية ومدونة قواعد السلوك التي وضعها معهد المراجعين الداخليين</w:t>
      </w:r>
      <w:r w:rsidRPr="00813B86">
        <w:rPr>
          <w:rStyle w:val="FootnoteReference"/>
          <w:rtl/>
        </w:rPr>
        <w:footnoteReference w:id="2"/>
      </w:r>
      <w:r w:rsidR="00473A7A">
        <w:rPr>
          <w:rFonts w:hint="cs"/>
          <w:rtl/>
        </w:rPr>
        <w:t> </w:t>
      </w:r>
      <w:r w:rsidRPr="00813B86">
        <w:t>(IIA</w:t>
      </w:r>
      <w:proofErr w:type="gramStart"/>
      <w:r w:rsidRPr="00813B86">
        <w:t>)</w:t>
      </w:r>
      <w:r w:rsidRPr="00813B86">
        <w:rPr>
          <w:rtl/>
        </w:rPr>
        <w:t>،</w:t>
      </w:r>
      <w:proofErr w:type="gramEnd"/>
      <w:r w:rsidRPr="00813B86">
        <w:rPr>
          <w:rtl/>
        </w:rPr>
        <w:t xml:space="preserve"> ولأحكام ميثاق المراجعة الداخلية في الاتحاد</w:t>
      </w:r>
      <w:r w:rsidRPr="00813B86">
        <w:rPr>
          <w:rFonts w:hint="cs"/>
          <w:rtl/>
        </w:rPr>
        <w:t>.</w:t>
      </w:r>
      <w:r w:rsidRPr="00813B86">
        <w:rPr>
          <w:rStyle w:val="FootnoteReference"/>
          <w:rtl/>
        </w:rPr>
        <w:footnoteReference w:id="3"/>
      </w:r>
      <w:r w:rsidRPr="00813B86">
        <w:rPr>
          <w:rtl/>
        </w:rPr>
        <w:t xml:space="preserve"> وبالإضافة</w:t>
      </w:r>
      <w:r>
        <w:rPr>
          <w:rFonts w:hint="eastAsia"/>
          <w:rtl/>
        </w:rPr>
        <w:t> </w:t>
      </w:r>
      <w:r w:rsidRPr="00813B86">
        <w:rPr>
          <w:rtl/>
        </w:rPr>
        <w:t>إلى ذلك، تؤكد وحدة المراجعة الداخلية فيما</w:t>
      </w:r>
      <w:r w:rsidR="00473A7A">
        <w:rPr>
          <w:rFonts w:hint="cs"/>
          <w:rtl/>
        </w:rPr>
        <w:t> </w:t>
      </w:r>
      <w:r w:rsidRPr="00813B86">
        <w:rPr>
          <w:rtl/>
        </w:rPr>
        <w:t>يخص الفترة المشمولة بهذا التقرير أنه لم يكن لموظفيها أي سلطة إدارية ولم</w:t>
      </w:r>
      <w:r w:rsidRPr="00813B86">
        <w:rPr>
          <w:rFonts w:hint="cs"/>
          <w:rtl/>
        </w:rPr>
        <w:t> </w:t>
      </w:r>
      <w:r w:rsidRPr="00813B86">
        <w:rPr>
          <w:rtl/>
        </w:rPr>
        <w:t>يتولوا أي مسؤولية عن أي من الأنشطة التي جرت مراجعتها ولم يؤدوا أي وظائف محاسبية أو</w:t>
      </w:r>
      <w:r w:rsidR="00473A7A">
        <w:rPr>
          <w:rFonts w:hint="cs"/>
          <w:rtl/>
        </w:rPr>
        <w:t> </w:t>
      </w:r>
      <w:r w:rsidRPr="00813B86">
        <w:rPr>
          <w:rtl/>
        </w:rPr>
        <w:t>تشغيلية ضمن الاتحاد.</w:t>
      </w:r>
    </w:p>
    <w:p w:rsidR="008A26E0" w:rsidRPr="00813B86" w:rsidRDefault="008A26E0" w:rsidP="00332040">
      <w:pPr>
        <w:pStyle w:val="Heading1"/>
        <w:rPr>
          <w:rtl/>
        </w:rPr>
      </w:pPr>
      <w:r w:rsidRPr="00813B86">
        <w:rPr>
          <w:rtl/>
        </w:rPr>
        <w:t>توجُّه أنشطة المراجعة الداخلية ونطاقها</w:t>
      </w:r>
    </w:p>
    <w:p w:rsidR="008A26E0" w:rsidRPr="00470D18" w:rsidRDefault="008A26E0" w:rsidP="00473A7A">
      <w:pPr>
        <w:rPr>
          <w:rtl/>
          <w:lang w:bidi="ar-EG"/>
        </w:rPr>
      </w:pPr>
      <w:proofErr w:type="gramStart"/>
      <w:r w:rsidRPr="00813B86">
        <w:t>4</w:t>
      </w:r>
      <w:r w:rsidRPr="00813B86">
        <w:rPr>
          <w:rtl/>
        </w:rPr>
        <w:tab/>
      </w:r>
      <w:r>
        <w:rPr>
          <w:rFonts w:hint="cs"/>
          <w:rtl/>
        </w:rPr>
        <w:t>تماشيا</w:t>
      </w:r>
      <w:proofErr w:type="gramEnd"/>
      <w:r>
        <w:rPr>
          <w:rFonts w:hint="cs"/>
          <w:rtl/>
        </w:rPr>
        <w:t>ً</w:t>
      </w:r>
      <w:r w:rsidRPr="00813B86">
        <w:rPr>
          <w:rFonts w:hint="cs"/>
          <w:rtl/>
        </w:rPr>
        <w:t xml:space="preserve"> مع ميثاق المراجعة الداخلية، استعرضت</w:t>
      </w:r>
      <w:r w:rsidRPr="00813B86">
        <w:rPr>
          <w:rFonts w:hint="cs"/>
          <w:rtl/>
          <w:lang w:bidi="ar-EG"/>
        </w:rPr>
        <w:t xml:space="preserve"> </w:t>
      </w:r>
      <w:r w:rsidRPr="00813B86">
        <w:rPr>
          <w:rtl/>
        </w:rPr>
        <w:t>اللجنة الاستشارية المستقلة للإدارة </w:t>
      </w:r>
      <w:r w:rsidRPr="00813B86">
        <w:t>(IMAC)</w:t>
      </w:r>
      <w:r>
        <w:rPr>
          <w:rFonts w:hint="cs"/>
          <w:rtl/>
        </w:rPr>
        <w:t xml:space="preserve"> </w:t>
      </w:r>
      <w:r>
        <w:rPr>
          <w:rFonts w:hint="cs"/>
          <w:rtl/>
          <w:lang w:bidi="ar-EG"/>
        </w:rPr>
        <w:t xml:space="preserve">في اجتماعها الثامن عشر </w:t>
      </w:r>
      <w:r w:rsidRPr="00813B86">
        <w:rPr>
          <w:rFonts w:hint="cs"/>
          <w:rtl/>
        </w:rPr>
        <w:t xml:space="preserve">خطة المراجعة الداخلية المقترحة </w:t>
      </w:r>
      <w:r w:rsidRPr="002707B1">
        <w:rPr>
          <w:rFonts w:hint="cs"/>
          <w:rtl/>
        </w:rPr>
        <w:t>لعام</w:t>
      </w:r>
      <w:r w:rsidRPr="002707B1">
        <w:rPr>
          <w:rFonts w:hint="eastAsia"/>
          <w:rtl/>
        </w:rPr>
        <w:t> </w:t>
      </w:r>
      <w:r w:rsidRPr="002707B1">
        <w:t>2018</w:t>
      </w:r>
      <w:r w:rsidRPr="002707B1">
        <w:rPr>
          <w:rFonts w:hint="cs"/>
          <w:rtl/>
          <w:lang w:bidi="ar-EG"/>
        </w:rPr>
        <w:t xml:space="preserve"> </w:t>
      </w:r>
      <w:r w:rsidRPr="00813B86">
        <w:rPr>
          <w:rFonts w:hint="cs"/>
          <w:rtl/>
          <w:lang w:val="en-CA" w:bidi="ar-EG"/>
        </w:rPr>
        <w:t xml:space="preserve">ووافق عليها الأمين العام </w:t>
      </w:r>
      <w:r w:rsidRPr="002707B1">
        <w:rPr>
          <w:rFonts w:hint="cs"/>
          <w:rtl/>
          <w:lang w:bidi="ar-EG"/>
        </w:rPr>
        <w:t xml:space="preserve">في </w:t>
      </w:r>
      <w:r>
        <w:rPr>
          <w:lang w:bidi="ar-EG"/>
        </w:rPr>
        <w:t>24</w:t>
      </w:r>
      <w:r w:rsidR="00473A7A">
        <w:rPr>
          <w:rFonts w:hint="eastAsia"/>
          <w:rtl/>
          <w:lang w:bidi="ar-EG"/>
        </w:rPr>
        <w:t> </w:t>
      </w:r>
      <w:r w:rsidRPr="002707B1">
        <w:rPr>
          <w:rFonts w:hint="cs"/>
          <w:rtl/>
          <w:lang w:bidi="ar-EG"/>
        </w:rPr>
        <w:t>يناير</w:t>
      </w:r>
      <w:r w:rsidR="00473A7A">
        <w:rPr>
          <w:rFonts w:hint="eastAsia"/>
          <w:rtl/>
          <w:lang w:bidi="ar-EG"/>
        </w:rPr>
        <w:t> </w:t>
      </w:r>
      <w:r w:rsidRPr="002707B1">
        <w:rPr>
          <w:lang w:bidi="ar-EG"/>
        </w:rPr>
        <w:t>2018</w:t>
      </w:r>
      <w:r>
        <w:rPr>
          <w:rFonts w:hint="cs"/>
          <w:rtl/>
          <w:lang w:bidi="ar-EG"/>
        </w:rPr>
        <w:t>. وفيما</w:t>
      </w:r>
      <w:r w:rsidR="00473A7A">
        <w:rPr>
          <w:rFonts w:hint="eastAsia"/>
          <w:rtl/>
          <w:lang w:bidi="ar-EG"/>
        </w:rPr>
        <w:t> </w:t>
      </w:r>
      <w:r>
        <w:rPr>
          <w:rFonts w:hint="cs"/>
          <w:rtl/>
          <w:lang w:bidi="ar-EG"/>
        </w:rPr>
        <w:t>يتعلق بعام</w:t>
      </w:r>
      <w:r w:rsidR="00473A7A">
        <w:rPr>
          <w:rFonts w:hint="eastAsia"/>
          <w:rtl/>
          <w:lang w:bidi="ar-EG"/>
        </w:rPr>
        <w:t> </w:t>
      </w:r>
      <w:r>
        <w:rPr>
          <w:lang w:bidi="ar-EG"/>
        </w:rPr>
        <w:t>2019</w:t>
      </w:r>
      <w:r>
        <w:rPr>
          <w:rFonts w:hint="cs"/>
          <w:rtl/>
          <w:lang w:bidi="ar-EG"/>
        </w:rPr>
        <w:t xml:space="preserve">، أُعدت </w:t>
      </w:r>
      <w:r w:rsidRPr="00813B86">
        <w:rPr>
          <w:rFonts w:hint="cs"/>
          <w:rtl/>
        </w:rPr>
        <w:t>خطة المراجعة الداخلية</w:t>
      </w:r>
      <w:r>
        <w:rPr>
          <w:rFonts w:hint="cs"/>
          <w:rtl/>
        </w:rPr>
        <w:t xml:space="preserve"> </w:t>
      </w:r>
      <w:r w:rsidRPr="00813B86">
        <w:rPr>
          <w:rFonts w:hint="cs"/>
          <w:rtl/>
        </w:rPr>
        <w:t>المقترحة</w:t>
      </w:r>
      <w:r>
        <w:rPr>
          <w:rFonts w:hint="cs"/>
          <w:rtl/>
        </w:rPr>
        <w:t xml:space="preserve"> في بداية العام، بعد التشاور مع الموظفين المنتخبين حديثاً. و</w:t>
      </w:r>
      <w:r w:rsidRPr="00813B86">
        <w:rPr>
          <w:rFonts w:hint="cs"/>
          <w:rtl/>
        </w:rPr>
        <w:t>استعرضت</w:t>
      </w:r>
      <w:r w:rsidRPr="00813B86">
        <w:rPr>
          <w:rFonts w:hint="cs"/>
          <w:rtl/>
          <w:lang w:bidi="ar-EG"/>
        </w:rPr>
        <w:t xml:space="preserve"> </w:t>
      </w:r>
      <w:r w:rsidRPr="00813B86">
        <w:rPr>
          <w:rtl/>
        </w:rPr>
        <w:t>اللجنة الاستشارية المستقلة للإدارة </w:t>
      </w:r>
      <w:r>
        <w:rPr>
          <w:rFonts w:hint="cs"/>
          <w:rtl/>
        </w:rPr>
        <w:t xml:space="preserve">الخطة في اجتماعها الحادي والعشرين ووافق عليها الأمين العام في </w:t>
      </w:r>
      <w:r>
        <w:t>26</w:t>
      </w:r>
      <w:r w:rsidR="00473A7A">
        <w:rPr>
          <w:rFonts w:hint="eastAsia"/>
          <w:rtl/>
          <w:lang w:bidi="ar-EG"/>
        </w:rPr>
        <w:t> </w:t>
      </w:r>
      <w:r>
        <w:rPr>
          <w:rFonts w:hint="cs"/>
          <w:rtl/>
          <w:lang w:bidi="ar-EG"/>
        </w:rPr>
        <w:t>مارس</w:t>
      </w:r>
      <w:r w:rsidR="00473A7A">
        <w:rPr>
          <w:rFonts w:hint="eastAsia"/>
          <w:rtl/>
          <w:lang w:bidi="ar-EG"/>
        </w:rPr>
        <w:t> </w:t>
      </w:r>
      <w:r>
        <w:rPr>
          <w:lang w:bidi="ar-EG"/>
        </w:rPr>
        <w:t>2019</w:t>
      </w:r>
      <w:r>
        <w:rPr>
          <w:rFonts w:hint="cs"/>
          <w:rtl/>
          <w:lang w:bidi="ar-EG"/>
        </w:rPr>
        <w:t xml:space="preserve">. وبالإضافة إلى التزامات تأكيد صحة البيانات، ينص ميثاق المراجعة الداخلية أيضاً </w:t>
      </w:r>
      <w:r w:rsidRPr="00A566A6">
        <w:rPr>
          <w:rFonts w:hint="cs"/>
          <w:i/>
          <w:iCs/>
          <w:rtl/>
          <w:lang w:bidi="ar-EG"/>
        </w:rPr>
        <w:t>على أن تقوم وحدة المراجعة الداخلية بالتحقيق في ادعاءات أو</w:t>
      </w:r>
      <w:r w:rsidR="00473A7A">
        <w:rPr>
          <w:rFonts w:hint="eastAsia"/>
          <w:i/>
          <w:iCs/>
          <w:rtl/>
          <w:lang w:bidi="ar-EG"/>
        </w:rPr>
        <w:t> </w:t>
      </w:r>
      <w:r w:rsidRPr="00A566A6">
        <w:rPr>
          <w:rFonts w:hint="cs"/>
          <w:i/>
          <w:iCs/>
          <w:rtl/>
          <w:lang w:bidi="ar-EG"/>
        </w:rPr>
        <w:t>افتراضات الاحتيال أو</w:t>
      </w:r>
      <w:r w:rsidR="00473A7A">
        <w:rPr>
          <w:rFonts w:hint="eastAsia"/>
          <w:i/>
          <w:iCs/>
          <w:rtl/>
          <w:lang w:bidi="ar-EG"/>
        </w:rPr>
        <w:t> </w:t>
      </w:r>
      <w:r w:rsidRPr="00A566A6">
        <w:rPr>
          <w:rFonts w:hint="cs"/>
          <w:i/>
          <w:iCs/>
          <w:rtl/>
          <w:lang w:bidi="ar-EG"/>
        </w:rPr>
        <w:t>سوء الإدارة بالإضافة إلى أنها قد</w:t>
      </w:r>
      <w:r>
        <w:rPr>
          <w:rFonts w:hint="eastAsia"/>
          <w:i/>
          <w:iCs/>
          <w:rtl/>
          <w:lang w:bidi="ar-EG"/>
        </w:rPr>
        <w:t> </w:t>
      </w:r>
      <w:r w:rsidRPr="00A566A6">
        <w:rPr>
          <w:rFonts w:hint="cs"/>
          <w:i/>
          <w:iCs/>
          <w:rtl/>
          <w:lang w:bidi="ar-EG"/>
        </w:rPr>
        <w:t>تقدم خدمات استشارية داخل الاتحاد</w:t>
      </w:r>
      <w:r>
        <w:rPr>
          <w:rFonts w:hint="cs"/>
          <w:rtl/>
          <w:lang w:bidi="ar-EG"/>
        </w:rPr>
        <w:t>.</w:t>
      </w:r>
    </w:p>
    <w:p w:rsidR="008A26E0" w:rsidRPr="007D3DE3" w:rsidRDefault="008A26E0" w:rsidP="00473A7A">
      <w:pPr>
        <w:rPr>
          <w:spacing w:val="-2"/>
          <w:rtl/>
          <w:lang w:val="en-CA" w:bidi="ar-EG"/>
        </w:rPr>
      </w:pPr>
      <w:proofErr w:type="gramStart"/>
      <w:r w:rsidRPr="007D3DE3">
        <w:rPr>
          <w:spacing w:val="-2"/>
        </w:rPr>
        <w:t>5</w:t>
      </w:r>
      <w:r w:rsidRPr="007D3DE3">
        <w:rPr>
          <w:spacing w:val="-2"/>
          <w:rtl/>
        </w:rPr>
        <w:tab/>
      </w:r>
      <w:r w:rsidRPr="007D3DE3">
        <w:rPr>
          <w:rFonts w:hint="cs"/>
          <w:spacing w:val="-2"/>
          <w:rtl/>
        </w:rPr>
        <w:t>و</w:t>
      </w:r>
      <w:r w:rsidRPr="007D3DE3">
        <w:rPr>
          <w:spacing w:val="-2"/>
          <w:rtl/>
        </w:rPr>
        <w:t>تقدِّم</w:t>
      </w:r>
      <w:proofErr w:type="gramEnd"/>
      <w:r w:rsidRPr="007D3DE3">
        <w:rPr>
          <w:spacing w:val="-2"/>
          <w:rtl/>
        </w:rPr>
        <w:t xml:space="preserve"> وحدة المراجعة الداخلية بانتظام نسخاً من تقارير المراجعة الداخلية إلى المراجع الخارجي لحسابات الاتحاد واللجنة الاستشارية المستقلة للإدارة </w:t>
      </w:r>
      <w:r w:rsidRPr="007D3DE3">
        <w:rPr>
          <w:spacing w:val="-2"/>
        </w:rPr>
        <w:t>(IMAC)</w:t>
      </w:r>
      <w:r w:rsidRPr="007D3DE3">
        <w:rPr>
          <w:spacing w:val="-2"/>
          <w:rtl/>
        </w:rPr>
        <w:t>. ووفقاً للمادة</w:t>
      </w:r>
      <w:r w:rsidR="00473A7A">
        <w:rPr>
          <w:rFonts w:hint="cs"/>
          <w:spacing w:val="-2"/>
          <w:rtl/>
        </w:rPr>
        <w:t> </w:t>
      </w:r>
      <w:r w:rsidRPr="007D3DE3">
        <w:rPr>
          <w:spacing w:val="-2"/>
        </w:rPr>
        <w:t>5.29</w:t>
      </w:r>
      <w:r w:rsidRPr="007D3DE3">
        <w:rPr>
          <w:spacing w:val="-2"/>
          <w:rtl/>
        </w:rPr>
        <w:t xml:space="preserve"> من اللوائح المالية للاتحاد، يمكن أن ت</w:t>
      </w:r>
      <w:r w:rsidR="00473A7A">
        <w:rPr>
          <w:rFonts w:hint="cs"/>
          <w:spacing w:val="-2"/>
          <w:rtl/>
        </w:rPr>
        <w:t>ُ</w:t>
      </w:r>
      <w:r w:rsidRPr="007D3DE3">
        <w:rPr>
          <w:spacing w:val="-2"/>
          <w:rtl/>
        </w:rPr>
        <w:t>تاح التقارير النهائية للمراجعة الداخلية إلى الدول الأعضاء أو</w:t>
      </w:r>
      <w:r w:rsidR="00473A7A">
        <w:rPr>
          <w:rFonts w:hint="cs"/>
          <w:spacing w:val="-2"/>
          <w:rtl/>
        </w:rPr>
        <w:t> </w:t>
      </w:r>
      <w:r w:rsidRPr="007D3DE3">
        <w:rPr>
          <w:spacing w:val="-2"/>
          <w:rtl/>
        </w:rPr>
        <w:t>ممثليها المعيَّنين.</w:t>
      </w:r>
      <w:r w:rsidRPr="007D3DE3">
        <w:rPr>
          <w:rFonts w:hint="cs"/>
          <w:spacing w:val="-2"/>
          <w:rtl/>
        </w:rPr>
        <w:t xml:space="preserve"> </w:t>
      </w:r>
      <w:r>
        <w:rPr>
          <w:rFonts w:hint="cs"/>
          <w:spacing w:val="-2"/>
          <w:rtl/>
        </w:rPr>
        <w:t>وتم إنشاء آلية تيسير</w:t>
      </w:r>
      <w:r w:rsidRPr="007D3DE3">
        <w:rPr>
          <w:rFonts w:hint="cs"/>
          <w:spacing w:val="-2"/>
          <w:rtl/>
        </w:rPr>
        <w:t xml:space="preserve"> منذ أكتوبر</w:t>
      </w:r>
      <w:r w:rsidR="00473A7A">
        <w:rPr>
          <w:rFonts w:hint="eastAsia"/>
          <w:spacing w:val="-2"/>
          <w:rtl/>
        </w:rPr>
        <w:t> </w:t>
      </w:r>
      <w:r w:rsidRPr="007D3DE3">
        <w:rPr>
          <w:spacing w:val="-2"/>
          <w:lang w:val="en-CA"/>
        </w:rPr>
        <w:t>2015</w:t>
      </w:r>
      <w:r w:rsidRPr="007D3DE3">
        <w:rPr>
          <w:rFonts w:hint="cs"/>
          <w:spacing w:val="-2"/>
          <w:rtl/>
          <w:lang w:val="en-CA" w:bidi="ar-EG"/>
        </w:rPr>
        <w:t xml:space="preserve"> للحصول على تقارير المراجعة الداخلية. وخلال الفترة المشمولة بالتقرير، </w:t>
      </w:r>
      <w:r w:rsidRPr="00CE56A1">
        <w:rPr>
          <w:rFonts w:hint="cs"/>
          <w:spacing w:val="-2"/>
          <w:rtl/>
          <w:lang w:val="en-CA" w:bidi="ar-EG"/>
        </w:rPr>
        <w:t>لم</w:t>
      </w:r>
      <w:r w:rsidR="00473A7A">
        <w:rPr>
          <w:rFonts w:hint="eastAsia"/>
          <w:spacing w:val="-2"/>
          <w:rtl/>
          <w:lang w:val="en-CA" w:bidi="ar-EG"/>
        </w:rPr>
        <w:t> </w:t>
      </w:r>
      <w:r w:rsidRPr="00CE56A1">
        <w:rPr>
          <w:rFonts w:hint="cs"/>
          <w:spacing w:val="-2"/>
          <w:rtl/>
          <w:lang w:val="en-CA" w:bidi="ar-EG"/>
        </w:rPr>
        <w:t>يتم استلام أي طلبات للحصول على تقارير المراجعة الداخلية</w:t>
      </w:r>
      <w:r w:rsidRPr="007D3DE3">
        <w:rPr>
          <w:rFonts w:hint="cs"/>
          <w:spacing w:val="-2"/>
          <w:rtl/>
          <w:lang w:val="en-CA" w:bidi="ar-EG"/>
        </w:rPr>
        <w:t xml:space="preserve"> </w:t>
      </w:r>
      <w:r w:rsidRPr="007D3DE3">
        <w:rPr>
          <w:rFonts w:hint="cs"/>
          <w:color w:val="000000"/>
          <w:spacing w:val="-2"/>
          <w:rtl/>
        </w:rPr>
        <w:t>من خلال</w:t>
      </w:r>
      <w:r w:rsidRPr="007D3DE3">
        <w:rPr>
          <w:color w:val="000000"/>
          <w:spacing w:val="-2"/>
          <w:rtl/>
        </w:rPr>
        <w:t xml:space="preserve"> الآلية المتاحة </w:t>
      </w:r>
      <w:r w:rsidRPr="007D3DE3">
        <w:rPr>
          <w:rFonts w:hint="cs"/>
          <w:color w:val="000000"/>
          <w:spacing w:val="-2"/>
          <w:rtl/>
        </w:rPr>
        <w:t>على الخط</w:t>
      </w:r>
      <w:r w:rsidRPr="007D3DE3">
        <w:rPr>
          <w:rFonts w:hint="cs"/>
          <w:spacing w:val="-2"/>
          <w:rtl/>
          <w:lang w:val="en-CA" w:bidi="ar-EG"/>
        </w:rPr>
        <w:t>.</w:t>
      </w:r>
    </w:p>
    <w:p w:rsidR="008A26E0" w:rsidRPr="00813B86" w:rsidRDefault="008A26E0" w:rsidP="00332040">
      <w:pPr>
        <w:pStyle w:val="Heading1"/>
        <w:rPr>
          <w:rtl/>
        </w:rPr>
      </w:pPr>
      <w:r w:rsidRPr="00813B86">
        <w:rPr>
          <w:rtl/>
        </w:rPr>
        <w:t xml:space="preserve">أهداف </w:t>
      </w:r>
      <w:r w:rsidRPr="005F4E1F">
        <w:rPr>
          <w:rtl/>
        </w:rPr>
        <w:t>المهمات المتصلة بالتزامات تأكيد</w:t>
      </w:r>
      <w:r w:rsidRPr="00813B86">
        <w:rPr>
          <w:rtl/>
        </w:rPr>
        <w:t xml:space="preserve"> صحة ال</w:t>
      </w:r>
      <w:r>
        <w:rPr>
          <w:rtl/>
        </w:rPr>
        <w:t>بيانات والنتائج التي خلصت إليها</w:t>
      </w:r>
    </w:p>
    <w:p w:rsidR="008A26E0" w:rsidRPr="00813B86" w:rsidRDefault="008A26E0" w:rsidP="00473A7A">
      <w:pPr>
        <w:rPr>
          <w:rtl/>
        </w:rPr>
      </w:pPr>
      <w:r w:rsidRPr="00813B86">
        <w:t>6</w:t>
      </w:r>
      <w:r w:rsidRPr="00813B86">
        <w:rPr>
          <w:rtl/>
        </w:rPr>
        <w:tab/>
        <w:t>تتمثل أهداف المهمات المتصلة بالتزامات تأكيد صحة البيانات في تقييم ما</w:t>
      </w:r>
      <w:r w:rsidR="00473A7A">
        <w:rPr>
          <w:rFonts w:hint="cs"/>
          <w:rtl/>
        </w:rPr>
        <w:t> </w:t>
      </w:r>
      <w:r w:rsidRPr="00813B86">
        <w:rPr>
          <w:rtl/>
        </w:rPr>
        <w:t xml:space="preserve">يلي: </w:t>
      </w:r>
      <w:proofErr w:type="gramStart"/>
      <w:r w:rsidRPr="00813B86">
        <w:rPr>
          <w:rtl/>
        </w:rPr>
        <w:t>’</w:t>
      </w:r>
      <w:r w:rsidRPr="00813B86">
        <w:t>1</w:t>
      </w:r>
      <w:r w:rsidRPr="00813B86">
        <w:rPr>
          <w:rtl/>
        </w:rPr>
        <w:t>‘</w:t>
      </w:r>
      <w:r w:rsidRPr="00813B86">
        <w:rPr>
          <w:rFonts w:hint="eastAsia"/>
          <w:rtl/>
        </w:rPr>
        <w:t> </w:t>
      </w:r>
      <w:r w:rsidRPr="00813B86">
        <w:rPr>
          <w:rtl/>
        </w:rPr>
        <w:t>جوانب</w:t>
      </w:r>
      <w:proofErr w:type="gramEnd"/>
      <w:r w:rsidRPr="00813B86">
        <w:rPr>
          <w:rtl/>
        </w:rPr>
        <w:t xml:space="preserve"> </w:t>
      </w:r>
      <w:r>
        <w:rPr>
          <w:rFonts w:hint="cs"/>
          <w:rtl/>
        </w:rPr>
        <w:t>الإدارة في</w:t>
      </w:r>
      <w:r>
        <w:rPr>
          <w:rFonts w:hint="eastAsia"/>
          <w:rtl/>
        </w:rPr>
        <w:t> </w:t>
      </w:r>
      <w:r w:rsidRPr="00813B86">
        <w:rPr>
          <w:rtl/>
        </w:rPr>
        <w:t>عمليات الاتحاد التي جرت مراجعتها</w:t>
      </w:r>
      <w:r w:rsidRPr="00813B86">
        <w:rPr>
          <w:rFonts w:hint="cs"/>
          <w:rtl/>
        </w:rPr>
        <w:t>؛</w:t>
      </w:r>
      <w:r w:rsidRPr="00813B86">
        <w:rPr>
          <w:rtl/>
        </w:rPr>
        <w:t xml:space="preserve"> ’</w:t>
      </w:r>
      <w:r w:rsidRPr="00813B86">
        <w:t>2</w:t>
      </w:r>
      <w:r w:rsidRPr="00813B86">
        <w:rPr>
          <w:rtl/>
        </w:rPr>
        <w:t>‘</w:t>
      </w:r>
      <w:r w:rsidRPr="00813B86">
        <w:rPr>
          <w:rFonts w:hint="eastAsia"/>
          <w:rtl/>
        </w:rPr>
        <w:t> </w:t>
      </w:r>
      <w:r w:rsidRPr="00813B86">
        <w:rPr>
          <w:rtl/>
        </w:rPr>
        <w:t>ممارسات إدارة المخاطر</w:t>
      </w:r>
      <w:r w:rsidRPr="00813B86">
        <w:rPr>
          <w:rFonts w:hint="cs"/>
          <w:rtl/>
        </w:rPr>
        <w:t>؛</w:t>
      </w:r>
      <w:r w:rsidRPr="00813B86">
        <w:rPr>
          <w:rtl/>
        </w:rPr>
        <w:t xml:space="preserve"> ’</w:t>
      </w:r>
      <w:r w:rsidRPr="00813B86">
        <w:t>3</w:t>
      </w:r>
      <w:r w:rsidRPr="00813B86">
        <w:rPr>
          <w:rtl/>
        </w:rPr>
        <w:t>‘</w:t>
      </w:r>
      <w:r w:rsidRPr="00813B86">
        <w:rPr>
          <w:rFonts w:hint="eastAsia"/>
          <w:rtl/>
        </w:rPr>
        <w:t> </w:t>
      </w:r>
      <w:r w:rsidRPr="00813B86">
        <w:rPr>
          <w:rtl/>
        </w:rPr>
        <w:t>فعالية الضوابط (الداخلية). وتصنَّف التوصيات الناتجة عن أعمال المراجعة من حيث الأولوية بحسب أثر القصور المعني واحتماله (</w:t>
      </w:r>
      <w:r w:rsidRPr="00DA7CEF">
        <w:rPr>
          <w:rtl/>
        </w:rPr>
        <w:t>كبيرة الأهمية</w:t>
      </w:r>
      <w:r w:rsidRPr="00813B86">
        <w:rPr>
          <w:rtl/>
        </w:rPr>
        <w:t xml:space="preserve">، متوسطة الأهمية، </w:t>
      </w:r>
      <w:r w:rsidRPr="00655FD5">
        <w:rPr>
          <w:rFonts w:hint="cs"/>
          <w:rtl/>
        </w:rPr>
        <w:t>قليلة</w:t>
      </w:r>
      <w:r w:rsidRPr="00813B86">
        <w:rPr>
          <w:rtl/>
        </w:rPr>
        <w:t> الأهمية).</w:t>
      </w:r>
    </w:p>
    <w:p w:rsidR="008A26E0" w:rsidRPr="00813B86" w:rsidRDefault="008A26E0" w:rsidP="008A26E0">
      <w:pPr>
        <w:rPr>
          <w:rtl/>
        </w:rPr>
      </w:pPr>
      <w:r>
        <w:rPr>
          <w:rFonts w:hint="cs"/>
          <w:rtl/>
          <w:lang w:bidi="ar-EG"/>
        </w:rPr>
        <w:t>واستناداً إلى</w:t>
      </w:r>
      <w:r w:rsidRPr="00813B86">
        <w:rPr>
          <w:rFonts w:hint="cs"/>
          <w:rtl/>
        </w:rPr>
        <w:t xml:space="preserve"> مختلف</w:t>
      </w:r>
      <w:r w:rsidRPr="00813B86">
        <w:rPr>
          <w:rtl/>
        </w:rPr>
        <w:t xml:space="preserve"> المهمات المتصلة بالتزامات تأكيد صحة البيانات</w:t>
      </w:r>
      <w:r w:rsidRPr="00813B86">
        <w:rPr>
          <w:rFonts w:hint="cs"/>
          <w:rtl/>
        </w:rPr>
        <w:t xml:space="preserve"> المضطلع بها، خلصت وحدة المراجعة الداخلية </w:t>
      </w:r>
      <w:r>
        <w:rPr>
          <w:rFonts w:hint="cs"/>
          <w:rtl/>
        </w:rPr>
        <w:t>إلى أن</w:t>
      </w:r>
      <w:r>
        <w:rPr>
          <w:rFonts w:hint="eastAsia"/>
          <w:rtl/>
        </w:rPr>
        <w:t> </w:t>
      </w:r>
      <w:r>
        <w:rPr>
          <w:rFonts w:hint="cs"/>
          <w:rtl/>
        </w:rPr>
        <w:t>الحاجة تدعو عموماً إلى تحسين</w:t>
      </w:r>
      <w:r w:rsidRPr="00633E92">
        <w:rPr>
          <w:rFonts w:hint="cs"/>
          <w:rtl/>
        </w:rPr>
        <w:t xml:space="preserve"> الإدارة </w:t>
      </w:r>
      <w:r w:rsidRPr="003A5EC2">
        <w:rPr>
          <w:rFonts w:hint="cs"/>
          <w:rtl/>
        </w:rPr>
        <w:t xml:space="preserve">وإدارة مخاطر </w:t>
      </w:r>
      <w:r>
        <w:rPr>
          <w:rFonts w:hint="cs"/>
          <w:rtl/>
        </w:rPr>
        <w:t xml:space="preserve">العمليات المستعرضة وجعل </w:t>
      </w:r>
      <w:r w:rsidRPr="00633E92">
        <w:rPr>
          <w:rFonts w:hint="cs"/>
          <w:rtl/>
        </w:rPr>
        <w:t xml:space="preserve">الضوابط </w:t>
      </w:r>
      <w:r>
        <w:rPr>
          <w:rFonts w:hint="cs"/>
          <w:rtl/>
        </w:rPr>
        <w:t xml:space="preserve">أكثر فعالية في مختلف المجالات التي </w:t>
      </w:r>
      <w:r>
        <w:rPr>
          <w:rFonts w:hint="cs"/>
          <w:rtl/>
          <w:lang w:bidi="ar-EG"/>
        </w:rPr>
        <w:t>خضعت للمراجعة</w:t>
      </w:r>
      <w:r w:rsidRPr="00813B86">
        <w:rPr>
          <w:rFonts w:hint="cs"/>
          <w:rtl/>
        </w:rPr>
        <w:t xml:space="preserve">. </w:t>
      </w:r>
      <w:r>
        <w:rPr>
          <w:rFonts w:hint="cs"/>
          <w:rtl/>
        </w:rPr>
        <w:t>و</w:t>
      </w:r>
      <w:r w:rsidRPr="00813B86">
        <w:rPr>
          <w:rFonts w:hint="cs"/>
          <w:rtl/>
        </w:rPr>
        <w:t xml:space="preserve">ستسمح التحسينات في هذه المجالات لوحدة المراجعة الداخلية بتزويد الأمين العام </w:t>
      </w:r>
      <w:r>
        <w:rPr>
          <w:rFonts w:hint="cs"/>
          <w:rtl/>
        </w:rPr>
        <w:t>ب</w:t>
      </w:r>
      <w:r w:rsidRPr="00813B86">
        <w:rPr>
          <w:rFonts w:hint="cs"/>
          <w:rtl/>
        </w:rPr>
        <w:t xml:space="preserve">تأكيدات معقولة تفيد بأن هناك </w:t>
      </w:r>
      <w:r>
        <w:rPr>
          <w:rFonts w:hint="cs"/>
          <w:rtl/>
        </w:rPr>
        <w:t>إدارة</w:t>
      </w:r>
      <w:r w:rsidRPr="00813B86">
        <w:rPr>
          <w:rFonts w:hint="cs"/>
          <w:rtl/>
        </w:rPr>
        <w:t xml:space="preserve"> وإدارة للمخاطر كافيتين وأن الضوابط فع</w:t>
      </w:r>
      <w:r>
        <w:rPr>
          <w:rFonts w:hint="cs"/>
          <w:rtl/>
        </w:rPr>
        <w:t>ّ</w:t>
      </w:r>
      <w:r w:rsidRPr="00813B86">
        <w:rPr>
          <w:rFonts w:hint="cs"/>
          <w:rtl/>
        </w:rPr>
        <w:t>الة.</w:t>
      </w:r>
      <w:r w:rsidRPr="00813B86">
        <w:rPr>
          <w:rtl/>
        </w:rPr>
        <w:t xml:space="preserve"> وتُتخذ بدعم من الأمين العام تدابير لتنفيذ التوصيات التي قدِّمت إلى الإدارة، ما سيزيد من تعزيز قدرة الاتحاد على النهوض بالمهام المنوطة به في إطار</w:t>
      </w:r>
      <w:r w:rsidRPr="00813B86">
        <w:rPr>
          <w:rFonts w:hint="cs"/>
          <w:rtl/>
        </w:rPr>
        <w:t> </w:t>
      </w:r>
      <w:r>
        <w:rPr>
          <w:rtl/>
        </w:rPr>
        <w:t>ولايته.</w:t>
      </w:r>
    </w:p>
    <w:p w:rsidR="008A26E0" w:rsidRPr="002D30D9" w:rsidRDefault="008A26E0" w:rsidP="008A26E0">
      <w:pPr>
        <w:rPr>
          <w:rtl/>
          <w:lang w:bidi="ar-EG"/>
        </w:rPr>
      </w:pPr>
      <w:proofErr w:type="gramStart"/>
      <w:r w:rsidRPr="001101E1">
        <w:t>7</w:t>
      </w:r>
      <w:r w:rsidRPr="001101E1">
        <w:rPr>
          <w:rtl/>
        </w:rPr>
        <w:tab/>
      </w:r>
      <w:r w:rsidRPr="001101E1">
        <w:rPr>
          <w:rFonts w:hint="cs"/>
          <w:rtl/>
          <w:lang w:bidi="ar-EG"/>
        </w:rPr>
        <w:t>و</w:t>
      </w:r>
      <w:r w:rsidRPr="001101E1">
        <w:rPr>
          <w:rFonts w:hint="cs"/>
          <w:rtl/>
        </w:rPr>
        <w:t>ت</w:t>
      </w:r>
      <w:r w:rsidR="00473A7A">
        <w:rPr>
          <w:rFonts w:hint="cs"/>
          <w:rtl/>
        </w:rPr>
        <w:t>ُ</w:t>
      </w:r>
      <w:r w:rsidRPr="001101E1">
        <w:rPr>
          <w:rFonts w:hint="cs"/>
          <w:rtl/>
        </w:rPr>
        <w:t>تابع</w:t>
      </w:r>
      <w:proofErr w:type="gramEnd"/>
      <w:r w:rsidRPr="001101E1">
        <w:rPr>
          <w:rFonts w:hint="cs"/>
          <w:rtl/>
        </w:rPr>
        <w:t xml:space="preserve"> وحدة المراجعة الداخلية</w:t>
      </w:r>
      <w:r w:rsidRPr="001101E1">
        <w:rPr>
          <w:rtl/>
        </w:rPr>
        <w:t xml:space="preserve"> تنفيذ </w:t>
      </w:r>
      <w:r w:rsidRPr="001101E1">
        <w:rPr>
          <w:rFonts w:hint="cs"/>
          <w:rtl/>
        </w:rPr>
        <w:t>الإجراءات</w:t>
      </w:r>
      <w:r w:rsidRPr="001101E1">
        <w:rPr>
          <w:rtl/>
        </w:rPr>
        <w:t xml:space="preserve"> </w:t>
      </w:r>
      <w:proofErr w:type="spellStart"/>
      <w:r w:rsidRPr="001101E1">
        <w:rPr>
          <w:rtl/>
        </w:rPr>
        <w:t>الموصى</w:t>
      </w:r>
      <w:proofErr w:type="spellEnd"/>
      <w:r w:rsidRPr="001101E1">
        <w:rPr>
          <w:rtl/>
        </w:rPr>
        <w:t xml:space="preserve"> بها، وذلك بحسب الاقتضاء وعند الاقتضاء</w:t>
      </w:r>
      <w:r w:rsidRPr="001101E1">
        <w:rPr>
          <w:rFonts w:hint="cs"/>
          <w:rtl/>
        </w:rPr>
        <w:t>.</w:t>
      </w:r>
    </w:p>
    <w:p w:rsidR="008A26E0" w:rsidRPr="00CE0A19" w:rsidRDefault="008A26E0" w:rsidP="00473A7A">
      <w:pPr>
        <w:rPr>
          <w:i/>
          <w:iCs/>
          <w:rtl/>
        </w:rPr>
      </w:pPr>
      <w:r w:rsidRPr="00CE0A19">
        <w:rPr>
          <w:i/>
          <w:iCs/>
          <w:rtl/>
        </w:rPr>
        <w:t>وقد</w:t>
      </w:r>
      <w:r w:rsidRPr="00CE0A19">
        <w:rPr>
          <w:rFonts w:hint="cs"/>
          <w:i/>
          <w:iCs/>
          <w:rtl/>
        </w:rPr>
        <w:t> </w:t>
      </w:r>
      <w:r w:rsidRPr="00CE0A19">
        <w:rPr>
          <w:i/>
          <w:iCs/>
          <w:rtl/>
        </w:rPr>
        <w:t>نُفِّذ ما</w:t>
      </w:r>
      <w:r w:rsidR="00473A7A">
        <w:rPr>
          <w:rFonts w:hint="cs"/>
          <w:i/>
          <w:iCs/>
          <w:rtl/>
        </w:rPr>
        <w:t> </w:t>
      </w:r>
      <w:r w:rsidRPr="00CE0A19">
        <w:rPr>
          <w:i/>
          <w:iCs/>
          <w:rtl/>
        </w:rPr>
        <w:t>يلي من المهمات المتصلة بالتزامات تأكيد صحة البيانات:</w:t>
      </w:r>
    </w:p>
    <w:p w:rsidR="008A26E0" w:rsidRDefault="008A26E0" w:rsidP="008A26E0">
      <w:pPr>
        <w:pStyle w:val="Headingbitalic"/>
        <w:rPr>
          <w:rtl/>
        </w:rPr>
      </w:pPr>
      <w:r w:rsidRPr="001101E1">
        <w:rPr>
          <w:rFonts w:hint="cs"/>
          <w:rtl/>
        </w:rPr>
        <w:t>ألف -</w:t>
      </w:r>
      <w:r w:rsidRPr="001101E1">
        <w:rPr>
          <w:rtl/>
        </w:rPr>
        <w:tab/>
      </w:r>
      <w:r>
        <w:rPr>
          <w:rFonts w:hint="cs"/>
          <w:rtl/>
        </w:rPr>
        <w:t>مراجعة خدمات الترجمة</w:t>
      </w:r>
    </w:p>
    <w:p w:rsidR="008A26E0" w:rsidRPr="001101E1" w:rsidRDefault="008A26E0" w:rsidP="00473A7A">
      <w:pPr>
        <w:rPr>
          <w:rtl/>
          <w:lang w:bidi="ar-EG"/>
        </w:rPr>
      </w:pPr>
      <w:proofErr w:type="gramStart"/>
      <w:r w:rsidRPr="001101E1">
        <w:t>8</w:t>
      </w:r>
      <w:r w:rsidRPr="001101E1">
        <w:rPr>
          <w:rtl/>
          <w:lang w:bidi="ar-EG"/>
        </w:rPr>
        <w:tab/>
      </w:r>
      <w:r>
        <w:rPr>
          <w:rFonts w:hint="cs"/>
          <w:rtl/>
        </w:rPr>
        <w:t>أجرت</w:t>
      </w:r>
      <w:proofErr w:type="gramEnd"/>
      <w:r>
        <w:rPr>
          <w:rFonts w:hint="cs"/>
          <w:rtl/>
        </w:rPr>
        <w:t xml:space="preserve"> وحدة المراجعة الداخلية مراجعة لأنشطة الترجمة في الاتحاد غطت الفترة من يناير</w:t>
      </w:r>
      <w:r w:rsidR="00473A7A">
        <w:rPr>
          <w:rFonts w:hint="eastAsia"/>
          <w:rtl/>
        </w:rPr>
        <w:t> </w:t>
      </w:r>
      <w:r>
        <w:t>2014</w:t>
      </w:r>
      <w:r>
        <w:rPr>
          <w:rFonts w:hint="cs"/>
          <w:rtl/>
          <w:lang w:bidi="ar-EG"/>
        </w:rPr>
        <w:t xml:space="preserve"> إلى ديسمبر</w:t>
      </w:r>
      <w:r w:rsidR="00473A7A">
        <w:rPr>
          <w:rFonts w:hint="eastAsia"/>
          <w:rtl/>
          <w:lang w:bidi="ar-EG"/>
        </w:rPr>
        <w:t> </w:t>
      </w:r>
      <w:r>
        <w:rPr>
          <w:lang w:bidi="ar-EG"/>
        </w:rPr>
        <w:t>2017</w:t>
      </w:r>
      <w:r>
        <w:rPr>
          <w:rFonts w:hint="cs"/>
          <w:rtl/>
          <w:lang w:bidi="ar-EG"/>
        </w:rPr>
        <w:t xml:space="preserve">. وشملت هذه المراجعة استعراض السياسات والعمليات المطبقة وكيفية تنفيذ أنشطة الترجمة في الاتحاد. وتناولت المراجعة الترجمة المتعلقة بوثائق المؤتمرات/الأحداث والمنشورات وصفحات </w:t>
      </w:r>
      <w:r w:rsidR="00655FD5">
        <w:rPr>
          <w:rFonts w:hint="cs"/>
          <w:rtl/>
          <w:lang w:bidi="ar-EG"/>
        </w:rPr>
        <w:t>الموقع الإلكتروني</w:t>
      </w:r>
      <w:r w:rsidR="00473A7A">
        <w:rPr>
          <w:rFonts w:hint="cs"/>
          <w:rtl/>
          <w:lang w:bidi="ar-EG"/>
        </w:rPr>
        <w:t>.</w:t>
      </w:r>
    </w:p>
    <w:p w:rsidR="008A26E0" w:rsidRDefault="008A26E0" w:rsidP="00093E27">
      <w:pPr>
        <w:keepNext/>
        <w:keepLines/>
        <w:rPr>
          <w:rtl/>
          <w:lang w:bidi="ar-EG"/>
        </w:rPr>
      </w:pPr>
      <w:proofErr w:type="gramStart"/>
      <w:r>
        <w:lastRenderedPageBreak/>
        <w:t>9</w:t>
      </w:r>
      <w:r>
        <w:rPr>
          <w:rtl/>
          <w:lang w:bidi="ar-EG"/>
        </w:rPr>
        <w:tab/>
      </w:r>
      <w:r>
        <w:rPr>
          <w:rFonts w:hint="cs"/>
          <w:rtl/>
          <w:lang w:bidi="ar-EG"/>
        </w:rPr>
        <w:t>خلصت</w:t>
      </w:r>
      <w:proofErr w:type="gramEnd"/>
      <w:r>
        <w:rPr>
          <w:rFonts w:hint="cs"/>
          <w:rtl/>
          <w:lang w:bidi="ar-EG"/>
        </w:rPr>
        <w:t xml:space="preserve"> وحدة المراجعة الداخلية إلى الاستنتاجات التالية وهي مسائل ذات أولوية عالية:</w:t>
      </w:r>
    </w:p>
    <w:p w:rsidR="008A26E0" w:rsidRDefault="008A26E0" w:rsidP="00473A7A">
      <w:pPr>
        <w:pStyle w:val="enumlev1"/>
        <w:rPr>
          <w:rtl/>
        </w:rPr>
      </w:pPr>
      <w:r>
        <w:sym w:font="Symbol" w:char="F0B7"/>
      </w:r>
      <w:r w:rsidRPr="00294638">
        <w:tab/>
      </w:r>
      <w:r>
        <w:rPr>
          <w:rFonts w:hint="cs"/>
          <w:rtl/>
        </w:rPr>
        <w:t xml:space="preserve">السياسات المتعلقة بأنشطة الترجمة </w:t>
      </w:r>
      <w:r w:rsidR="00473A7A">
        <w:rPr>
          <w:rFonts w:hint="cs"/>
          <w:rtl/>
        </w:rPr>
        <w:t>متقادمة إلى حد كبير وغير</w:t>
      </w:r>
      <w:r w:rsidR="00473A7A">
        <w:rPr>
          <w:rFonts w:hint="eastAsia"/>
          <w:rtl/>
        </w:rPr>
        <w:t> </w:t>
      </w:r>
      <w:r w:rsidR="00473A7A">
        <w:rPr>
          <w:rFonts w:hint="cs"/>
          <w:rtl/>
        </w:rPr>
        <w:t>متسقة جزئي</w:t>
      </w:r>
      <w:r>
        <w:rPr>
          <w:rFonts w:hint="cs"/>
          <w:rtl/>
        </w:rPr>
        <w:t xml:space="preserve">اً مع الممارسات الحالية والسياسات الأخرى. وأوصي باستعراض السياسات وتحديثها. وأشارت </w:t>
      </w:r>
      <w:r w:rsidR="00473A7A">
        <w:rPr>
          <w:rFonts w:hint="cs"/>
          <w:rtl/>
        </w:rPr>
        <w:t>الإدارة المعنية إلى أنها ستقوم ب</w:t>
      </w:r>
      <w:r>
        <w:rPr>
          <w:rFonts w:hint="cs"/>
          <w:rtl/>
        </w:rPr>
        <w:t>تحديث السياسات في عام</w:t>
      </w:r>
      <w:r w:rsidR="00473A7A">
        <w:rPr>
          <w:rFonts w:hint="eastAsia"/>
          <w:rtl/>
        </w:rPr>
        <w:t> </w:t>
      </w:r>
      <w:r>
        <w:t>2018</w:t>
      </w:r>
      <w:r w:rsidR="00473A7A">
        <w:rPr>
          <w:rFonts w:hint="cs"/>
          <w:rtl/>
          <w:lang w:bidi="ar-EG"/>
        </w:rPr>
        <w:t>.</w:t>
      </w:r>
    </w:p>
    <w:p w:rsidR="008A26E0" w:rsidRDefault="008A26E0" w:rsidP="00651D09">
      <w:pPr>
        <w:pStyle w:val="enumlev1"/>
        <w:rPr>
          <w:rtl/>
        </w:rPr>
      </w:pPr>
      <w:r>
        <w:sym w:font="Symbol" w:char="F0B7"/>
      </w:r>
      <w:r w:rsidRPr="00294638">
        <w:tab/>
      </w:r>
      <w:r>
        <w:rPr>
          <w:rFonts w:hint="cs"/>
          <w:rtl/>
        </w:rPr>
        <w:t>علاوةً على ذلك، استُخلص أن هناك جوانب تتعلق بعمليات الترجمة وبقدراتها الداخلية تحتاج إلى تحسين. ويوصى بالنظر في</w:t>
      </w:r>
      <w:r w:rsidR="00651D09">
        <w:rPr>
          <w:rFonts w:hint="eastAsia"/>
          <w:rtl/>
        </w:rPr>
        <w:t> </w:t>
      </w:r>
      <w:r>
        <w:rPr>
          <w:rFonts w:hint="cs"/>
          <w:rtl/>
        </w:rPr>
        <w:t>تكييف هيكل أقسام اللغات وفقاً للواقع المتوسط الأجل. وينبغي النظر كذلك في مخصصات الميزانية المرصودة للموظفين المؤقتين. وأشارت الإدارة المعنية إلى أنها ستع</w:t>
      </w:r>
      <w:r w:rsidR="00473A7A">
        <w:rPr>
          <w:rFonts w:hint="cs"/>
          <w:rtl/>
        </w:rPr>
        <w:t>مل على تحسين هيكل أقسام اللغات.</w:t>
      </w:r>
    </w:p>
    <w:p w:rsidR="008A26E0" w:rsidRDefault="008A26E0" w:rsidP="00AC1F71">
      <w:pPr>
        <w:pStyle w:val="enumlev1"/>
      </w:pPr>
      <w:r>
        <w:sym w:font="Symbol" w:char="F0B7"/>
      </w:r>
      <w:r w:rsidRPr="00294638">
        <w:tab/>
      </w:r>
      <w:r>
        <w:rPr>
          <w:rFonts w:hint="cs"/>
          <w:rtl/>
        </w:rPr>
        <w:t xml:space="preserve">إضافةً </w:t>
      </w:r>
      <w:r w:rsidR="00AC1F71">
        <w:rPr>
          <w:rFonts w:hint="cs"/>
          <w:rtl/>
        </w:rPr>
        <w:t>إلى</w:t>
      </w:r>
      <w:r>
        <w:rPr>
          <w:rFonts w:hint="cs"/>
          <w:rtl/>
        </w:rPr>
        <w:t xml:space="preserve"> ذلك، لم</w:t>
      </w:r>
      <w:r w:rsidR="00473A7A">
        <w:rPr>
          <w:rFonts w:hint="eastAsia"/>
          <w:rtl/>
        </w:rPr>
        <w:t> </w:t>
      </w:r>
      <w:r>
        <w:rPr>
          <w:rFonts w:hint="cs"/>
          <w:rtl/>
        </w:rPr>
        <w:t>تكن هناك وسيلة واضحة لاختيار مقدمي الخدمات من قبيل الخدمات المتعلقة بالتكنولوجيات الناشئة، والعديد من الآليات البديلة المعتمدة في الترجمة ليست فع</w:t>
      </w:r>
      <w:r w:rsidR="00473A7A">
        <w:rPr>
          <w:rFonts w:hint="cs"/>
          <w:rtl/>
        </w:rPr>
        <w:t>ّ</w:t>
      </w:r>
      <w:r>
        <w:rPr>
          <w:rFonts w:hint="cs"/>
          <w:rtl/>
        </w:rPr>
        <w:t>الة. ويوصى بالنظر في إصدار دعوة إلى إبداء اهتمام/تقديم عطاءات بشأن الآليات البديلة في الترجمة، بدلاً من المصادر المباشرة للموردين. وعل</w:t>
      </w:r>
      <w:r w:rsidR="00473A7A">
        <w:rPr>
          <w:rFonts w:hint="cs"/>
          <w:rtl/>
        </w:rPr>
        <w:t>ّ</w:t>
      </w:r>
      <w:r>
        <w:rPr>
          <w:rFonts w:hint="cs"/>
          <w:rtl/>
        </w:rPr>
        <w:t>قت إدارة المؤتمرات والمنشورات قائلة إنها تعمل حالياً على إصدار دعوة إلى تقديم عطاءات وتتوقع أنها ستنتهي في الربع الأول من</w:t>
      </w:r>
      <w:r w:rsidR="00473A7A">
        <w:rPr>
          <w:rFonts w:hint="eastAsia"/>
          <w:rtl/>
        </w:rPr>
        <w:t> </w:t>
      </w:r>
      <w:r>
        <w:t>2019</w:t>
      </w:r>
      <w:r w:rsidR="00473A7A">
        <w:rPr>
          <w:rFonts w:hint="cs"/>
          <w:rtl/>
          <w:lang w:bidi="ar-EG"/>
        </w:rPr>
        <w:t>.</w:t>
      </w:r>
    </w:p>
    <w:p w:rsidR="008A26E0" w:rsidRPr="00B3559F" w:rsidRDefault="008A26E0" w:rsidP="009F6701">
      <w:pPr>
        <w:pStyle w:val="enumlev1"/>
        <w:ind w:left="0" w:firstLine="0"/>
        <w:rPr>
          <w:lang w:bidi="ar-SA"/>
        </w:rPr>
      </w:pPr>
      <w:r>
        <w:rPr>
          <w:rFonts w:hint="cs"/>
          <w:rtl/>
          <w:lang w:bidi="ar-SA"/>
        </w:rPr>
        <w:t xml:space="preserve">وخلصت وحدة المراجعة الداخلية خلال متابعة أجرتها في أوائل </w:t>
      </w:r>
      <w:r>
        <w:t>2019</w:t>
      </w:r>
      <w:r>
        <w:rPr>
          <w:rFonts w:hint="cs"/>
          <w:rtl/>
        </w:rPr>
        <w:t xml:space="preserve"> إلى أن الإطار الزمني المتوقع لاستكمال التنفيذ</w:t>
      </w:r>
      <w:r w:rsidR="00C968B9">
        <w:rPr>
          <w:rFonts w:hint="cs"/>
          <w:rtl/>
        </w:rPr>
        <w:t xml:space="preserve"> قد</w:t>
      </w:r>
      <w:r>
        <w:rPr>
          <w:rFonts w:hint="cs"/>
          <w:rtl/>
        </w:rPr>
        <w:t xml:space="preserve"> تحول إلى نهاية</w:t>
      </w:r>
      <w:r w:rsidR="009F6701">
        <w:rPr>
          <w:rFonts w:hint="eastAsia"/>
          <w:rtl/>
        </w:rPr>
        <w:t> </w:t>
      </w:r>
      <w:r>
        <w:t>2019</w:t>
      </w:r>
      <w:r w:rsidR="00C968B9">
        <w:rPr>
          <w:rFonts w:hint="cs"/>
          <w:rtl/>
        </w:rPr>
        <w:t>.</w:t>
      </w:r>
    </w:p>
    <w:p w:rsidR="008A26E0" w:rsidRDefault="008A26E0" w:rsidP="00CE2395">
      <w:pPr>
        <w:rPr>
          <w:rtl/>
        </w:rPr>
      </w:pPr>
      <w:proofErr w:type="gramStart"/>
      <w:r w:rsidRPr="007559CF">
        <w:rPr>
          <w:lang w:bidi="ar-EG"/>
        </w:rPr>
        <w:t>10</w:t>
      </w:r>
      <w:r w:rsidRPr="007559CF">
        <w:rPr>
          <w:rtl/>
          <w:lang w:bidi="ar-EG"/>
        </w:rPr>
        <w:tab/>
      </w:r>
      <w:r w:rsidRPr="00E6352B">
        <w:rPr>
          <w:spacing w:val="4"/>
          <w:rtl/>
        </w:rPr>
        <w:t>وإجمالا</w:t>
      </w:r>
      <w:proofErr w:type="gramEnd"/>
      <w:r w:rsidRPr="00E6352B">
        <w:rPr>
          <w:spacing w:val="4"/>
          <w:rtl/>
        </w:rPr>
        <w:t xml:space="preserve">ً، ترى وحدة المراجعة الداخلية أن إدارة المخاطر </w:t>
      </w:r>
      <w:r w:rsidRPr="00E6352B">
        <w:rPr>
          <w:rFonts w:hint="cs"/>
          <w:spacing w:val="4"/>
          <w:rtl/>
        </w:rPr>
        <w:t>المتصلة</w:t>
      </w:r>
      <w:r w:rsidRPr="007559CF">
        <w:rPr>
          <w:rFonts w:hint="cs"/>
          <w:rtl/>
        </w:rPr>
        <w:t xml:space="preserve"> </w:t>
      </w:r>
      <w:r>
        <w:rPr>
          <w:rFonts w:hint="cs"/>
          <w:rtl/>
        </w:rPr>
        <w:t>بأنشطة الترجمة كافية وأن الموارد مستخدمة بشكل يتسم بالعقلانية والكفاءة والاقتصاد. وترى أيضاً أن عمليات الإدارة والضوابط الداخلية كافية جزئياً، مع الحاجة إلى إجراء تحسين في</w:t>
      </w:r>
      <w:r w:rsidR="00CE2395">
        <w:rPr>
          <w:rFonts w:hint="eastAsia"/>
          <w:rtl/>
        </w:rPr>
        <w:t> </w:t>
      </w:r>
      <w:r>
        <w:rPr>
          <w:rFonts w:hint="cs"/>
          <w:rtl/>
        </w:rPr>
        <w:t xml:space="preserve">مجال السياسات والإجراءات وفي بعض جوانب القدرات الداخلية. </w:t>
      </w:r>
      <w:r w:rsidRPr="007559CF">
        <w:rPr>
          <w:rtl/>
        </w:rPr>
        <w:t xml:space="preserve">وفي حالة معالجة هذه المجالات، يمكن تزويد الأمين العام </w:t>
      </w:r>
      <w:r w:rsidRPr="007559CF">
        <w:rPr>
          <w:rFonts w:hint="cs"/>
          <w:rtl/>
        </w:rPr>
        <w:t>بتأكيدات</w:t>
      </w:r>
      <w:r w:rsidRPr="007559CF">
        <w:rPr>
          <w:rtl/>
        </w:rPr>
        <w:t xml:space="preserve"> معقولة </w:t>
      </w:r>
      <w:r w:rsidRPr="007559CF">
        <w:rPr>
          <w:rFonts w:hint="cs"/>
          <w:rtl/>
        </w:rPr>
        <w:t>بأن</w:t>
      </w:r>
      <w:r w:rsidRPr="007559CF">
        <w:rPr>
          <w:rtl/>
        </w:rPr>
        <w:t xml:space="preserve"> هناك </w:t>
      </w:r>
      <w:r w:rsidRPr="007559CF">
        <w:rPr>
          <w:rFonts w:hint="cs"/>
          <w:rtl/>
        </w:rPr>
        <w:t>إدارة</w:t>
      </w:r>
      <w:r w:rsidRPr="007559CF">
        <w:rPr>
          <w:rtl/>
        </w:rPr>
        <w:t xml:space="preserve"> وإدارة للمخاطر</w:t>
      </w:r>
      <w:r w:rsidRPr="007559CF">
        <w:rPr>
          <w:rFonts w:hint="cs"/>
          <w:rtl/>
        </w:rPr>
        <w:t xml:space="preserve"> كافيتين</w:t>
      </w:r>
      <w:r>
        <w:rPr>
          <w:rFonts w:hint="cs"/>
          <w:rtl/>
        </w:rPr>
        <w:t>،</w:t>
      </w:r>
      <w:r w:rsidRPr="007559CF">
        <w:rPr>
          <w:rtl/>
        </w:rPr>
        <w:t xml:space="preserve"> </w:t>
      </w:r>
      <w:r w:rsidRPr="007559CF">
        <w:rPr>
          <w:rFonts w:hint="cs"/>
          <w:rtl/>
        </w:rPr>
        <w:t>فيما</w:t>
      </w:r>
      <w:r w:rsidR="00171323">
        <w:rPr>
          <w:rFonts w:hint="eastAsia"/>
          <w:rtl/>
        </w:rPr>
        <w:t> </w:t>
      </w:r>
      <w:r w:rsidRPr="007559CF">
        <w:rPr>
          <w:rFonts w:hint="cs"/>
          <w:rtl/>
        </w:rPr>
        <w:t xml:space="preserve">يتعلق </w:t>
      </w:r>
      <w:r>
        <w:rPr>
          <w:rFonts w:hint="cs"/>
          <w:rtl/>
        </w:rPr>
        <w:t>بأنشطة الترجمة،</w:t>
      </w:r>
      <w:r w:rsidRPr="007559CF">
        <w:rPr>
          <w:rtl/>
        </w:rPr>
        <w:t xml:space="preserve"> و</w:t>
      </w:r>
      <w:r w:rsidRPr="007559CF">
        <w:rPr>
          <w:rFonts w:hint="cs"/>
          <w:rtl/>
        </w:rPr>
        <w:t>ب</w:t>
      </w:r>
      <w:r w:rsidRPr="007559CF">
        <w:rPr>
          <w:rtl/>
        </w:rPr>
        <w:t>أن الضوابط فع</w:t>
      </w:r>
      <w:r w:rsidRPr="007559CF">
        <w:rPr>
          <w:rFonts w:hint="cs"/>
          <w:rtl/>
        </w:rPr>
        <w:t>ّ</w:t>
      </w:r>
      <w:r w:rsidRPr="007559CF">
        <w:rPr>
          <w:rtl/>
        </w:rPr>
        <w:t>الة.</w:t>
      </w:r>
    </w:p>
    <w:p w:rsidR="008A26E0" w:rsidRPr="00294638" w:rsidRDefault="008A26E0" w:rsidP="008A26E0">
      <w:pPr>
        <w:pStyle w:val="Headingbitalic"/>
      </w:pPr>
      <w:r w:rsidRPr="00307A51">
        <w:rPr>
          <w:rFonts w:hint="cs"/>
          <w:rtl/>
        </w:rPr>
        <w:t>باء -</w:t>
      </w:r>
      <w:r w:rsidRPr="00307A51">
        <w:rPr>
          <w:rtl/>
        </w:rPr>
        <w:tab/>
      </w:r>
      <w:r w:rsidRPr="00307A51">
        <w:rPr>
          <w:rFonts w:hint="cs"/>
          <w:rtl/>
        </w:rPr>
        <w:t xml:space="preserve">مراجعة </w:t>
      </w:r>
      <w:r>
        <w:rPr>
          <w:rFonts w:hint="cs"/>
          <w:rtl/>
        </w:rPr>
        <w:t>الترتيبات الخاصة بساعات العمل الإضافية</w:t>
      </w:r>
    </w:p>
    <w:p w:rsidR="008A26E0" w:rsidRDefault="008A26E0" w:rsidP="00171323">
      <w:pPr>
        <w:rPr>
          <w:rtl/>
        </w:rPr>
      </w:pPr>
      <w:proofErr w:type="gramStart"/>
      <w:r w:rsidRPr="00307A51">
        <w:t>11</w:t>
      </w:r>
      <w:r w:rsidRPr="00307A51">
        <w:rPr>
          <w:rtl/>
          <w:lang w:bidi="ar-EG"/>
        </w:rPr>
        <w:tab/>
      </w:r>
      <w:r>
        <w:rPr>
          <w:rFonts w:hint="cs"/>
          <w:rtl/>
          <w:lang w:bidi="ar-EG"/>
        </w:rPr>
        <w:t>أجرت</w:t>
      </w:r>
      <w:proofErr w:type="gramEnd"/>
      <w:r>
        <w:rPr>
          <w:rFonts w:hint="cs"/>
          <w:rtl/>
          <w:lang w:bidi="ar-EG"/>
        </w:rPr>
        <w:t xml:space="preserve"> </w:t>
      </w:r>
      <w:r w:rsidRPr="00307A51">
        <w:rPr>
          <w:rFonts w:hint="cs"/>
          <w:rtl/>
        </w:rPr>
        <w:t xml:space="preserve">وحدة المراجعة الداخلية </w:t>
      </w:r>
      <w:r>
        <w:rPr>
          <w:rFonts w:hint="cs"/>
          <w:rtl/>
        </w:rPr>
        <w:t>مراجعة للترتيبات الخاصة بساعات العمل الإضافية في الاتحاد غط</w:t>
      </w:r>
      <w:r w:rsidR="00171323">
        <w:rPr>
          <w:rFonts w:hint="cs"/>
          <w:rtl/>
        </w:rPr>
        <w:t>ّ</w:t>
      </w:r>
      <w:r>
        <w:rPr>
          <w:rFonts w:hint="cs"/>
          <w:rtl/>
        </w:rPr>
        <w:t xml:space="preserve">ت </w:t>
      </w:r>
      <w:r w:rsidRPr="00307A51">
        <w:rPr>
          <w:rFonts w:hint="cs"/>
          <w:rtl/>
        </w:rPr>
        <w:t xml:space="preserve">الفترة من </w:t>
      </w:r>
      <w:r w:rsidRPr="00307A51">
        <w:rPr>
          <w:rFonts w:hint="cs"/>
          <w:rtl/>
          <w:lang w:val="en-CA" w:bidi="ar-EG"/>
        </w:rPr>
        <w:t>يناير</w:t>
      </w:r>
      <w:r w:rsidR="00171323">
        <w:rPr>
          <w:rFonts w:hint="eastAsia"/>
          <w:rtl/>
          <w:lang w:val="en-CA" w:bidi="ar-EG"/>
        </w:rPr>
        <w:t> </w:t>
      </w:r>
      <w:r w:rsidRPr="00307A51">
        <w:rPr>
          <w:lang w:bidi="ar-EG"/>
        </w:rPr>
        <w:t>2015</w:t>
      </w:r>
      <w:r w:rsidRPr="00307A51">
        <w:rPr>
          <w:rFonts w:hint="cs"/>
          <w:rtl/>
          <w:lang w:bidi="ar-EG"/>
        </w:rPr>
        <w:t xml:space="preserve"> إلى أبريل</w:t>
      </w:r>
      <w:r w:rsidR="00171323">
        <w:rPr>
          <w:rFonts w:hint="eastAsia"/>
          <w:rtl/>
          <w:lang w:bidi="ar-EG"/>
        </w:rPr>
        <w:t> </w:t>
      </w:r>
      <w:r>
        <w:rPr>
          <w:lang w:bidi="ar-EG"/>
        </w:rPr>
        <w:t>2018</w:t>
      </w:r>
      <w:r w:rsidRPr="00307A51">
        <w:rPr>
          <w:rFonts w:hint="cs"/>
          <w:rtl/>
          <w:lang w:bidi="ar-EG"/>
        </w:rPr>
        <w:t>.</w:t>
      </w:r>
      <w:r>
        <w:rPr>
          <w:rFonts w:hint="cs"/>
          <w:rtl/>
          <w:lang w:bidi="ar-EG"/>
        </w:rPr>
        <w:t xml:space="preserve"> واستعرضت هذه المراجعة المعلومات المتعلقة بالسياسات الخاصة بساعات العمل الإضافية وعملية الترخيص والإجراءات والامتثال والاقتصاد والكفاءة في استخدام </w:t>
      </w:r>
      <w:r w:rsidR="00171323">
        <w:rPr>
          <w:rFonts w:hint="cs"/>
          <w:rtl/>
          <w:lang w:bidi="ar-EG"/>
        </w:rPr>
        <w:t>موارد العمل الإضافي.</w:t>
      </w:r>
    </w:p>
    <w:p w:rsidR="008A26E0" w:rsidRDefault="008A26E0" w:rsidP="008A26E0">
      <w:pPr>
        <w:rPr>
          <w:rtl/>
          <w:lang w:bidi="ar-EG"/>
        </w:rPr>
      </w:pPr>
      <w:proofErr w:type="gramStart"/>
      <w:r>
        <w:t>12</w:t>
      </w:r>
      <w:r>
        <w:rPr>
          <w:rtl/>
          <w:lang w:bidi="ar-EG"/>
        </w:rPr>
        <w:tab/>
      </w:r>
      <w:r>
        <w:rPr>
          <w:rFonts w:hint="cs"/>
          <w:rtl/>
          <w:lang w:bidi="ar-EG"/>
        </w:rPr>
        <w:t>خلصت</w:t>
      </w:r>
      <w:proofErr w:type="gramEnd"/>
      <w:r>
        <w:rPr>
          <w:rFonts w:hint="cs"/>
          <w:rtl/>
          <w:lang w:bidi="ar-EG"/>
        </w:rPr>
        <w:t xml:space="preserve"> وحدة المراجعة الداخلية إلى الاستنتاجات التالية وهي مسائل ذات أولوية عالية:</w:t>
      </w:r>
    </w:p>
    <w:p w:rsidR="008A26E0" w:rsidRPr="00726AA8" w:rsidRDefault="008A26E0" w:rsidP="00171323">
      <w:pPr>
        <w:pStyle w:val="enumlev1"/>
        <w:rPr>
          <w:rtl/>
        </w:rPr>
      </w:pPr>
      <w:r>
        <w:sym w:font="Symbol" w:char="F0B7"/>
      </w:r>
      <w:r w:rsidRPr="00294638">
        <w:tab/>
      </w:r>
      <w:r>
        <w:rPr>
          <w:rFonts w:hint="cs"/>
          <w:rtl/>
        </w:rPr>
        <w:t>عدم وجود إجراءات وإرشادات وتدريبات لإدارة الفترات التي يثقل فيها عبء العمل، مما</w:t>
      </w:r>
      <w:r w:rsidR="00171323">
        <w:rPr>
          <w:rFonts w:hint="eastAsia"/>
          <w:rtl/>
        </w:rPr>
        <w:t> </w:t>
      </w:r>
      <w:r>
        <w:rPr>
          <w:rFonts w:hint="cs"/>
          <w:rtl/>
        </w:rPr>
        <w:t>يؤد</w:t>
      </w:r>
      <w:r w:rsidR="00171323">
        <w:rPr>
          <w:rFonts w:hint="cs"/>
          <w:rtl/>
        </w:rPr>
        <w:t xml:space="preserve">ي إلى </w:t>
      </w:r>
      <w:r>
        <w:rPr>
          <w:rFonts w:hint="cs"/>
          <w:rtl/>
        </w:rPr>
        <w:t>استخدام الموارد اللازمة لأنشطة العمل الإضافي بشكل لا</w:t>
      </w:r>
      <w:r w:rsidR="00171323">
        <w:rPr>
          <w:rFonts w:hint="eastAsia"/>
          <w:rtl/>
        </w:rPr>
        <w:t> </w:t>
      </w:r>
      <w:r>
        <w:rPr>
          <w:rFonts w:hint="cs"/>
          <w:rtl/>
        </w:rPr>
        <w:t>يتسم بالاقتصاد والكفاءة. وأوصي بتقديم استعراض ربع سنوي لمخططات ساعات العمل الإضافية إلى المديرين، بحيث يمكنهم أيضاً الاسترشاد به فيما</w:t>
      </w:r>
      <w:r w:rsidR="00171323">
        <w:rPr>
          <w:rFonts w:hint="eastAsia"/>
          <w:rtl/>
        </w:rPr>
        <w:t> </w:t>
      </w:r>
      <w:r>
        <w:rPr>
          <w:rFonts w:hint="cs"/>
          <w:rtl/>
        </w:rPr>
        <w:t>يتعلق بحالة العمل الإضافي في</w:t>
      </w:r>
      <w:r w:rsidR="00171323">
        <w:rPr>
          <w:rFonts w:hint="eastAsia"/>
          <w:rtl/>
        </w:rPr>
        <w:t> </w:t>
      </w:r>
      <w:r w:rsidR="00171323">
        <w:rPr>
          <w:rFonts w:hint="cs"/>
          <w:rtl/>
        </w:rPr>
        <w:t>الوحدات/الإدارات الخاصة بهم.</w:t>
      </w:r>
    </w:p>
    <w:p w:rsidR="008A26E0" w:rsidRPr="0056523A" w:rsidRDefault="008A26E0" w:rsidP="00733C9E">
      <w:pPr>
        <w:pStyle w:val="enumlev1"/>
        <w:rPr>
          <w:rtl/>
          <w:lang w:bidi="ar-EG"/>
        </w:rPr>
      </w:pPr>
      <w:r>
        <w:sym w:font="Symbol" w:char="F0B7"/>
      </w:r>
      <w:r w:rsidRPr="00294638">
        <w:tab/>
      </w:r>
      <w:r>
        <w:rPr>
          <w:rFonts w:hint="cs"/>
          <w:rtl/>
        </w:rPr>
        <w:t>علاوةً على ذلك، استُخلص أن السياسة التي تنص على أربعين ساعة كحد أقصى لساعات العمل الإضافية خلال شهر و</w:t>
      </w:r>
      <w:r>
        <w:t>12</w:t>
      </w:r>
      <w:r>
        <w:rPr>
          <w:rFonts w:hint="cs"/>
          <w:rtl/>
          <w:lang w:bidi="ar-EG"/>
        </w:rPr>
        <w:t xml:space="preserve"> ساعة في مدة </w:t>
      </w:r>
      <w:r>
        <w:rPr>
          <w:lang w:bidi="ar-EG"/>
        </w:rPr>
        <w:t>24</w:t>
      </w:r>
      <w:r w:rsidR="00733C9E">
        <w:rPr>
          <w:rFonts w:hint="eastAsia"/>
          <w:rtl/>
          <w:lang w:bidi="ar-EG"/>
        </w:rPr>
        <w:t> </w:t>
      </w:r>
      <w:r>
        <w:rPr>
          <w:rFonts w:hint="cs"/>
          <w:rtl/>
          <w:lang w:bidi="ar-EG"/>
        </w:rPr>
        <w:t>ساعة لا</w:t>
      </w:r>
      <w:r w:rsidR="00733C9E">
        <w:rPr>
          <w:rFonts w:hint="eastAsia"/>
          <w:rtl/>
          <w:lang w:bidi="ar-EG"/>
        </w:rPr>
        <w:t> </w:t>
      </w:r>
      <w:r>
        <w:rPr>
          <w:rFonts w:hint="cs"/>
          <w:rtl/>
          <w:lang w:bidi="ar-EG"/>
        </w:rPr>
        <w:t xml:space="preserve">يُمتثل لها دائماً. ومفهوم الظروف الاستثنائية للخروج عن هذه السياسة غير محدد بشكل واضح ويؤدي بالتالي إلى عدم الامتثال للسياسات والإجراءات. وأوصي بإنفاذ الحدود المبينة أعلاه، </w:t>
      </w:r>
      <w:r w:rsidR="00733C9E">
        <w:rPr>
          <w:rFonts w:hint="cs"/>
          <w:rtl/>
          <w:lang w:bidi="ar-EG"/>
        </w:rPr>
        <w:t>مراعاةً لصحة الموظفين وسلامتهم.</w:t>
      </w:r>
    </w:p>
    <w:p w:rsidR="008A26E0" w:rsidRPr="000E67D6" w:rsidRDefault="008A26E0" w:rsidP="008A26E0">
      <w:pPr>
        <w:pStyle w:val="enumlev1"/>
        <w:rPr>
          <w:rtl/>
          <w:lang w:bidi="ar-EG"/>
        </w:rPr>
      </w:pPr>
      <w:r>
        <w:rPr>
          <w:rFonts w:hint="cs"/>
          <w:rtl/>
          <w:lang w:bidi="ar-EG"/>
        </w:rPr>
        <w:t>وقبلت إدارة دائرة إدارة الموارد البشرية ها</w:t>
      </w:r>
      <w:r w:rsidR="00733C9E">
        <w:rPr>
          <w:rFonts w:hint="cs"/>
          <w:rtl/>
          <w:lang w:bidi="ar-EG"/>
        </w:rPr>
        <w:t>تين التوصيتين.</w:t>
      </w:r>
    </w:p>
    <w:p w:rsidR="008A26E0" w:rsidRPr="00E6352B" w:rsidRDefault="008A26E0" w:rsidP="00EE570E">
      <w:pPr>
        <w:rPr>
          <w:spacing w:val="4"/>
          <w:rtl/>
          <w:lang w:bidi="ar-EG"/>
        </w:rPr>
      </w:pPr>
      <w:proofErr w:type="gramStart"/>
      <w:r w:rsidRPr="00C51DF4">
        <w:rPr>
          <w:spacing w:val="4"/>
        </w:rPr>
        <w:t>13</w:t>
      </w:r>
      <w:r w:rsidRPr="00C51DF4">
        <w:rPr>
          <w:spacing w:val="4"/>
          <w:rtl/>
          <w:lang w:bidi="ar-EG"/>
        </w:rPr>
        <w:tab/>
      </w:r>
      <w:r w:rsidRPr="00C51DF4">
        <w:rPr>
          <w:spacing w:val="4"/>
          <w:rtl/>
        </w:rPr>
        <w:t>وإجمالا</w:t>
      </w:r>
      <w:proofErr w:type="gramEnd"/>
      <w:r w:rsidRPr="00C51DF4">
        <w:rPr>
          <w:spacing w:val="4"/>
          <w:rtl/>
        </w:rPr>
        <w:t xml:space="preserve">ً، </w:t>
      </w:r>
      <w:r w:rsidRPr="00C51DF4">
        <w:rPr>
          <w:rFonts w:hint="cs"/>
          <w:spacing w:val="4"/>
          <w:rtl/>
          <w:lang w:bidi="ar-EG"/>
        </w:rPr>
        <w:t xml:space="preserve">ترى وحدة المراجعة الداخلية أن </w:t>
      </w:r>
      <w:r>
        <w:rPr>
          <w:rFonts w:hint="cs"/>
          <w:spacing w:val="4"/>
          <w:rtl/>
          <w:lang w:bidi="ar-EG"/>
        </w:rPr>
        <w:t>عمليات إدارة ساعات العمل الإضافية قديمة وأن الضوابط ليست مناسبة بالقدر الكافي. وفيما</w:t>
      </w:r>
      <w:r w:rsidR="00EE570E">
        <w:rPr>
          <w:rFonts w:hint="eastAsia"/>
          <w:spacing w:val="4"/>
          <w:rtl/>
          <w:lang w:bidi="ar-EG"/>
        </w:rPr>
        <w:t> </w:t>
      </w:r>
      <w:r>
        <w:rPr>
          <w:rFonts w:hint="cs"/>
          <w:spacing w:val="4"/>
          <w:rtl/>
          <w:lang w:bidi="ar-EG"/>
        </w:rPr>
        <w:t>يتعلق بإدارة المخاطر، ترى وحدة المراجعة الداخلية أن الموارد لا</w:t>
      </w:r>
      <w:r w:rsidR="00EE570E">
        <w:rPr>
          <w:rFonts w:hint="eastAsia"/>
          <w:spacing w:val="4"/>
          <w:rtl/>
          <w:lang w:bidi="ar-EG"/>
        </w:rPr>
        <w:t> </w:t>
      </w:r>
      <w:r>
        <w:rPr>
          <w:rFonts w:hint="cs"/>
          <w:spacing w:val="4"/>
          <w:rtl/>
          <w:lang w:bidi="ar-EG"/>
        </w:rPr>
        <w:t xml:space="preserve">تُستخدم بشكل يتسم بالكفاءة والاقتصاد. وبالتالي فإن </w:t>
      </w:r>
      <w:r w:rsidRPr="00C51DF4">
        <w:rPr>
          <w:rFonts w:hint="cs"/>
          <w:spacing w:val="4"/>
          <w:rtl/>
        </w:rPr>
        <w:t xml:space="preserve">التحسين مطلوب </w:t>
      </w:r>
      <w:r>
        <w:rPr>
          <w:rFonts w:hint="cs"/>
          <w:spacing w:val="4"/>
          <w:rtl/>
        </w:rPr>
        <w:t xml:space="preserve">في </w:t>
      </w:r>
      <w:r w:rsidRPr="00C51DF4">
        <w:rPr>
          <w:rFonts w:hint="cs"/>
          <w:spacing w:val="4"/>
          <w:rtl/>
        </w:rPr>
        <w:t>هذه المجالات</w:t>
      </w:r>
      <w:r>
        <w:rPr>
          <w:rFonts w:hint="cs"/>
          <w:spacing w:val="4"/>
          <w:rtl/>
        </w:rPr>
        <w:t xml:space="preserve"> من أجل</w:t>
      </w:r>
      <w:r w:rsidRPr="00C51DF4">
        <w:rPr>
          <w:spacing w:val="4"/>
          <w:rtl/>
          <w:lang w:bidi="ar-EG"/>
        </w:rPr>
        <w:t xml:space="preserve"> </w:t>
      </w:r>
      <w:r w:rsidRPr="00C51DF4">
        <w:rPr>
          <w:rFonts w:hint="eastAsia"/>
          <w:spacing w:val="4"/>
          <w:rtl/>
          <w:lang w:bidi="ar-EG"/>
        </w:rPr>
        <w:t>تزويد</w:t>
      </w:r>
      <w:r w:rsidRPr="00C51DF4">
        <w:rPr>
          <w:spacing w:val="4"/>
          <w:rtl/>
          <w:lang w:bidi="ar-EG"/>
        </w:rPr>
        <w:t xml:space="preserve"> </w:t>
      </w:r>
      <w:r w:rsidRPr="00C51DF4">
        <w:rPr>
          <w:rFonts w:hint="eastAsia"/>
          <w:spacing w:val="4"/>
          <w:rtl/>
          <w:lang w:bidi="ar-EG"/>
        </w:rPr>
        <w:t>الأمين</w:t>
      </w:r>
      <w:r w:rsidRPr="00C51DF4">
        <w:rPr>
          <w:spacing w:val="4"/>
          <w:rtl/>
          <w:lang w:bidi="ar-EG"/>
        </w:rPr>
        <w:t xml:space="preserve"> </w:t>
      </w:r>
      <w:r w:rsidRPr="00C51DF4">
        <w:rPr>
          <w:rFonts w:hint="eastAsia"/>
          <w:spacing w:val="4"/>
          <w:rtl/>
          <w:lang w:bidi="ar-EG"/>
        </w:rPr>
        <w:t>العام</w:t>
      </w:r>
      <w:r w:rsidRPr="00C51DF4">
        <w:rPr>
          <w:spacing w:val="4"/>
          <w:rtl/>
          <w:lang w:bidi="ar-EG"/>
        </w:rPr>
        <w:t xml:space="preserve"> </w:t>
      </w:r>
      <w:r w:rsidRPr="00C51DF4">
        <w:rPr>
          <w:rFonts w:hint="eastAsia"/>
          <w:spacing w:val="4"/>
          <w:rtl/>
          <w:lang w:bidi="ar-EG"/>
        </w:rPr>
        <w:t>بتأكيد</w:t>
      </w:r>
      <w:r w:rsidRPr="00C51DF4">
        <w:rPr>
          <w:rFonts w:hint="cs"/>
          <w:spacing w:val="4"/>
          <w:rtl/>
          <w:lang w:bidi="ar-EG"/>
        </w:rPr>
        <w:t>ات</w:t>
      </w:r>
      <w:r w:rsidRPr="00C51DF4">
        <w:rPr>
          <w:spacing w:val="4"/>
          <w:rtl/>
          <w:lang w:bidi="ar-EG"/>
        </w:rPr>
        <w:t xml:space="preserve"> </w:t>
      </w:r>
      <w:r w:rsidRPr="00C51DF4">
        <w:rPr>
          <w:rFonts w:hint="eastAsia"/>
          <w:spacing w:val="4"/>
          <w:rtl/>
          <w:lang w:bidi="ar-EG"/>
        </w:rPr>
        <w:t>معقول</w:t>
      </w:r>
      <w:r w:rsidRPr="00C51DF4">
        <w:rPr>
          <w:rFonts w:hint="cs"/>
          <w:spacing w:val="4"/>
          <w:rtl/>
          <w:lang w:bidi="ar-EG"/>
        </w:rPr>
        <w:t xml:space="preserve">ة </w:t>
      </w:r>
      <w:r w:rsidRPr="00C51DF4">
        <w:rPr>
          <w:spacing w:val="4"/>
          <w:rtl/>
        </w:rPr>
        <w:t>تفيد بأن هناك إدارة وإدارة للمخاطر كافيتين</w:t>
      </w:r>
      <w:r>
        <w:rPr>
          <w:rFonts w:hint="cs"/>
          <w:spacing w:val="4"/>
          <w:rtl/>
        </w:rPr>
        <w:t>،</w:t>
      </w:r>
      <w:r w:rsidRPr="00C51DF4">
        <w:rPr>
          <w:spacing w:val="4"/>
          <w:rtl/>
        </w:rPr>
        <w:t xml:space="preserve"> </w:t>
      </w:r>
      <w:r w:rsidRPr="00C51DF4">
        <w:rPr>
          <w:rFonts w:hint="eastAsia"/>
          <w:spacing w:val="4"/>
          <w:rtl/>
          <w:lang w:bidi="ar-EG"/>
        </w:rPr>
        <w:t>فيما</w:t>
      </w:r>
      <w:r w:rsidR="00EE570E">
        <w:rPr>
          <w:rFonts w:hint="cs"/>
          <w:spacing w:val="4"/>
          <w:rtl/>
          <w:lang w:bidi="ar-EG"/>
        </w:rPr>
        <w:t> </w:t>
      </w:r>
      <w:r w:rsidRPr="00C51DF4">
        <w:rPr>
          <w:rFonts w:hint="eastAsia"/>
          <w:spacing w:val="4"/>
          <w:rtl/>
          <w:lang w:bidi="ar-EG"/>
        </w:rPr>
        <w:t>يتعلق</w:t>
      </w:r>
      <w:r w:rsidRPr="00C51DF4">
        <w:rPr>
          <w:spacing w:val="4"/>
          <w:rtl/>
          <w:lang w:bidi="ar-EG"/>
        </w:rPr>
        <w:t xml:space="preserve"> </w:t>
      </w:r>
      <w:r>
        <w:rPr>
          <w:rFonts w:hint="cs"/>
          <w:spacing w:val="4"/>
          <w:rtl/>
          <w:lang w:bidi="ar-EG"/>
        </w:rPr>
        <w:t>بالترتيبات الخاصة بساعات العمل الإضافية،</w:t>
      </w:r>
      <w:r w:rsidRPr="00C51DF4">
        <w:rPr>
          <w:spacing w:val="4"/>
          <w:rtl/>
          <w:lang w:bidi="ar-EG"/>
        </w:rPr>
        <w:t xml:space="preserve"> </w:t>
      </w:r>
      <w:r w:rsidRPr="00C51DF4">
        <w:rPr>
          <w:rFonts w:hint="eastAsia"/>
          <w:spacing w:val="4"/>
          <w:rtl/>
          <w:lang w:bidi="ar-EG"/>
        </w:rPr>
        <w:t>وأن</w:t>
      </w:r>
      <w:r w:rsidRPr="00C51DF4">
        <w:rPr>
          <w:spacing w:val="4"/>
          <w:rtl/>
          <w:lang w:bidi="ar-EG"/>
        </w:rPr>
        <w:t xml:space="preserve"> </w:t>
      </w:r>
      <w:r w:rsidRPr="00C51DF4">
        <w:rPr>
          <w:rFonts w:hint="eastAsia"/>
          <w:spacing w:val="4"/>
          <w:rtl/>
          <w:lang w:bidi="ar-EG"/>
        </w:rPr>
        <w:t>الضوابط</w:t>
      </w:r>
      <w:r w:rsidRPr="00C51DF4">
        <w:rPr>
          <w:spacing w:val="4"/>
          <w:rtl/>
          <w:lang w:bidi="ar-EG"/>
        </w:rPr>
        <w:t xml:space="preserve"> </w:t>
      </w:r>
      <w:r w:rsidRPr="00C51DF4">
        <w:rPr>
          <w:rFonts w:hint="eastAsia"/>
          <w:spacing w:val="4"/>
          <w:rtl/>
          <w:lang w:bidi="ar-EG"/>
        </w:rPr>
        <w:t>فع</w:t>
      </w:r>
      <w:r w:rsidRPr="00C51DF4">
        <w:rPr>
          <w:rFonts w:hint="cs"/>
          <w:spacing w:val="4"/>
          <w:rtl/>
          <w:lang w:bidi="ar-EG"/>
        </w:rPr>
        <w:t>ّ</w:t>
      </w:r>
      <w:r w:rsidRPr="00C51DF4">
        <w:rPr>
          <w:rFonts w:hint="eastAsia"/>
          <w:spacing w:val="4"/>
          <w:rtl/>
          <w:lang w:bidi="ar-EG"/>
        </w:rPr>
        <w:t>الة</w:t>
      </w:r>
      <w:r w:rsidRPr="00C51DF4">
        <w:rPr>
          <w:rFonts w:hint="cs"/>
          <w:spacing w:val="4"/>
          <w:rtl/>
          <w:lang w:bidi="ar-EG"/>
        </w:rPr>
        <w:t>.</w:t>
      </w:r>
    </w:p>
    <w:p w:rsidR="008A26E0" w:rsidRPr="00726AA8" w:rsidRDefault="008A26E0" w:rsidP="008A26E0">
      <w:pPr>
        <w:pStyle w:val="Headingbitalic"/>
        <w:rPr>
          <w:spacing w:val="4"/>
          <w:rtl/>
        </w:rPr>
      </w:pPr>
      <w:r w:rsidRPr="004605CC">
        <w:rPr>
          <w:rFonts w:hint="cs"/>
          <w:rtl/>
        </w:rPr>
        <w:lastRenderedPageBreak/>
        <w:t>جيم -</w:t>
      </w:r>
      <w:r w:rsidRPr="004605CC">
        <w:rPr>
          <w:rtl/>
        </w:rPr>
        <w:tab/>
      </w:r>
      <w:r>
        <w:rPr>
          <w:rFonts w:hint="cs"/>
          <w:rtl/>
        </w:rPr>
        <w:t>فحص</w:t>
      </w:r>
      <w:r w:rsidRPr="00215883">
        <w:rPr>
          <w:rFonts w:hint="cs"/>
          <w:rtl/>
        </w:rPr>
        <w:t xml:space="preserve"> أوراق اعتماد الموظفين</w:t>
      </w:r>
    </w:p>
    <w:p w:rsidR="008A26E0" w:rsidRDefault="008A26E0" w:rsidP="00EE570E">
      <w:pPr>
        <w:rPr>
          <w:spacing w:val="4"/>
          <w:rtl/>
          <w:lang w:bidi="ar-EG"/>
        </w:rPr>
      </w:pPr>
      <w:proofErr w:type="gramStart"/>
      <w:r>
        <w:rPr>
          <w:spacing w:val="4"/>
          <w:lang w:bidi="ar-EG"/>
        </w:rPr>
        <w:t>14</w:t>
      </w:r>
      <w:r>
        <w:rPr>
          <w:spacing w:val="4"/>
          <w:lang w:bidi="ar-EG"/>
        </w:rPr>
        <w:tab/>
      </w:r>
      <w:r>
        <w:rPr>
          <w:rFonts w:hint="cs"/>
          <w:spacing w:val="4"/>
          <w:rtl/>
          <w:lang w:bidi="ar-EG"/>
        </w:rPr>
        <w:t>أجرت</w:t>
      </w:r>
      <w:proofErr w:type="gramEnd"/>
      <w:r>
        <w:rPr>
          <w:rFonts w:hint="cs"/>
          <w:spacing w:val="4"/>
          <w:rtl/>
          <w:lang w:bidi="ar-EG"/>
        </w:rPr>
        <w:t xml:space="preserve"> وحدة المراجعة الداخلية فحصاً لأوراق اعتماد الموظفين في الاتحاد غطى الفترة من يناير</w:t>
      </w:r>
      <w:r w:rsidR="00EE570E">
        <w:rPr>
          <w:rFonts w:hint="eastAsia"/>
          <w:spacing w:val="4"/>
          <w:rtl/>
          <w:lang w:bidi="ar-EG"/>
        </w:rPr>
        <w:t> </w:t>
      </w:r>
      <w:r>
        <w:rPr>
          <w:spacing w:val="4"/>
          <w:lang w:bidi="ar-EG"/>
        </w:rPr>
        <w:t>2015</w:t>
      </w:r>
      <w:r>
        <w:rPr>
          <w:rFonts w:hint="cs"/>
          <w:spacing w:val="4"/>
          <w:rtl/>
          <w:lang w:bidi="ar-EG"/>
        </w:rPr>
        <w:t xml:space="preserve"> إلى سبتمبر</w:t>
      </w:r>
      <w:r w:rsidR="00EE570E">
        <w:rPr>
          <w:rFonts w:hint="eastAsia"/>
          <w:spacing w:val="4"/>
          <w:rtl/>
          <w:lang w:bidi="ar-EG"/>
        </w:rPr>
        <w:t> </w:t>
      </w:r>
      <w:r>
        <w:rPr>
          <w:spacing w:val="4"/>
          <w:lang w:bidi="ar-EG"/>
        </w:rPr>
        <w:t>2018</w:t>
      </w:r>
      <w:r>
        <w:rPr>
          <w:rFonts w:hint="cs"/>
          <w:spacing w:val="4"/>
          <w:rtl/>
          <w:lang w:bidi="ar-EG"/>
        </w:rPr>
        <w:t xml:space="preserve">. واستعرض هذا الفحص المعلومات والوثائق المتعلقة بالمؤهلات الأكاديمية اللازمة </w:t>
      </w:r>
      <w:r w:rsidR="00EE570E">
        <w:rPr>
          <w:rFonts w:hint="cs"/>
          <w:spacing w:val="4"/>
          <w:rtl/>
          <w:lang w:bidi="ar-EG"/>
        </w:rPr>
        <w:t>لتعيين/ترقية الموظفين.</w:t>
      </w:r>
    </w:p>
    <w:p w:rsidR="008A26E0" w:rsidRDefault="008A26E0" w:rsidP="008A26E0">
      <w:pPr>
        <w:rPr>
          <w:spacing w:val="4"/>
          <w:rtl/>
          <w:lang w:bidi="ar-EG"/>
        </w:rPr>
      </w:pPr>
      <w:proofErr w:type="gramStart"/>
      <w:r>
        <w:rPr>
          <w:spacing w:val="4"/>
          <w:lang w:bidi="ar-EG"/>
        </w:rPr>
        <w:t>15</w:t>
      </w:r>
      <w:r>
        <w:rPr>
          <w:rFonts w:hint="cs"/>
          <w:spacing w:val="4"/>
          <w:rtl/>
          <w:lang w:bidi="ar-EG"/>
        </w:rPr>
        <w:tab/>
        <w:t>خلصت</w:t>
      </w:r>
      <w:proofErr w:type="gramEnd"/>
      <w:r>
        <w:rPr>
          <w:rFonts w:hint="cs"/>
          <w:spacing w:val="4"/>
          <w:rtl/>
          <w:lang w:bidi="ar-EG"/>
        </w:rPr>
        <w:t xml:space="preserve"> وحدة المراجعة الداخلية إلى مسألة ذات أولوية عالية، وهي أن الضوابط الداخلية المتصلة بالاعتراف بأوراق اعتماد الموظفين والمرشحين كافية جزئياً. وأوصي بإيلاء الاعتبار لتنفيذ التدابير الرامية إلى: ’</w:t>
      </w:r>
      <w:proofErr w:type="gramStart"/>
      <w:r>
        <w:rPr>
          <w:spacing w:val="4"/>
          <w:lang w:bidi="ar-EG"/>
        </w:rPr>
        <w:t>1</w:t>
      </w:r>
      <w:r>
        <w:rPr>
          <w:rFonts w:hint="cs"/>
          <w:spacing w:val="4"/>
          <w:rtl/>
          <w:lang w:bidi="ar-EG"/>
        </w:rPr>
        <w:t>‘ ضمان</w:t>
      </w:r>
      <w:proofErr w:type="gramEnd"/>
      <w:r>
        <w:rPr>
          <w:rFonts w:hint="cs"/>
          <w:spacing w:val="4"/>
          <w:rtl/>
          <w:lang w:bidi="ar-EG"/>
        </w:rPr>
        <w:t xml:space="preserve"> المساواة والإنصاف خلال عملية الفرز المسبق؛ ’</w:t>
      </w:r>
      <w:r>
        <w:rPr>
          <w:spacing w:val="4"/>
          <w:lang w:bidi="ar-EG"/>
        </w:rPr>
        <w:t>2</w:t>
      </w:r>
      <w:r>
        <w:rPr>
          <w:rFonts w:hint="cs"/>
          <w:spacing w:val="4"/>
          <w:rtl/>
          <w:lang w:bidi="ar-EG"/>
        </w:rPr>
        <w:t>‘ توثيق عملية تقييم (الاعتراف والتحقق) أوراق الاعتماد الأكاديمية في جميع حالات التعيين؛ ’</w:t>
      </w:r>
      <w:r>
        <w:rPr>
          <w:spacing w:val="4"/>
          <w:lang w:bidi="ar-EG"/>
        </w:rPr>
        <w:t>3</w:t>
      </w:r>
      <w:r>
        <w:rPr>
          <w:rFonts w:hint="cs"/>
          <w:spacing w:val="4"/>
          <w:rtl/>
          <w:lang w:bidi="ar-EG"/>
        </w:rPr>
        <w:t>‘ التحق</w:t>
      </w:r>
      <w:r w:rsidR="00EE570E">
        <w:rPr>
          <w:rFonts w:hint="cs"/>
          <w:spacing w:val="4"/>
          <w:rtl/>
          <w:lang w:bidi="ar-EG"/>
        </w:rPr>
        <w:t>ّ</w:t>
      </w:r>
      <w:r>
        <w:rPr>
          <w:rFonts w:hint="cs"/>
          <w:spacing w:val="4"/>
          <w:rtl/>
          <w:lang w:bidi="ar-EG"/>
        </w:rPr>
        <w:t xml:space="preserve">ق من أن أوراق الاعتماد أصلية. وقبلت </w:t>
      </w:r>
      <w:r w:rsidRPr="0065074E">
        <w:rPr>
          <w:rFonts w:hint="cs"/>
          <w:spacing w:val="4"/>
          <w:rtl/>
          <w:lang w:bidi="ar-EG"/>
        </w:rPr>
        <w:t>إدارة دائرة إدارة الموارد البشرية</w:t>
      </w:r>
      <w:r>
        <w:rPr>
          <w:rFonts w:hint="cs"/>
          <w:spacing w:val="4"/>
          <w:rtl/>
          <w:lang w:bidi="ar-EG"/>
        </w:rPr>
        <w:t xml:space="preserve"> التوصيات المقدمة بشأن جميع المسائل (ذات الأولوية العالية والمتوسطة)</w:t>
      </w:r>
      <w:r w:rsidR="00EE570E">
        <w:rPr>
          <w:rFonts w:hint="cs"/>
          <w:spacing w:val="4"/>
          <w:rtl/>
          <w:lang w:bidi="ar-EG"/>
        </w:rPr>
        <w:t>.</w:t>
      </w:r>
    </w:p>
    <w:p w:rsidR="008A26E0" w:rsidRPr="002A46E6" w:rsidRDefault="008A26E0" w:rsidP="00EE570E">
      <w:pPr>
        <w:rPr>
          <w:rtl/>
          <w:lang w:bidi="ar-EG"/>
        </w:rPr>
      </w:pPr>
      <w:proofErr w:type="gramStart"/>
      <w:r w:rsidRPr="002A46E6">
        <w:rPr>
          <w:lang w:bidi="ar-EG"/>
        </w:rPr>
        <w:t>16</w:t>
      </w:r>
      <w:r w:rsidRPr="002A46E6">
        <w:rPr>
          <w:rtl/>
          <w:lang w:bidi="ar-EG"/>
        </w:rPr>
        <w:tab/>
      </w:r>
      <w:r w:rsidRPr="002A46E6">
        <w:rPr>
          <w:rFonts w:hint="cs"/>
          <w:rtl/>
          <w:lang w:bidi="ar-EG"/>
        </w:rPr>
        <w:t>وإجمالا</w:t>
      </w:r>
      <w:proofErr w:type="gramEnd"/>
      <w:r w:rsidRPr="002A46E6">
        <w:rPr>
          <w:rFonts w:hint="cs"/>
          <w:rtl/>
          <w:lang w:bidi="ar-EG"/>
        </w:rPr>
        <w:t>ً،</w:t>
      </w:r>
      <w:r w:rsidRPr="002A46E6">
        <w:rPr>
          <w:rFonts w:hint="cs"/>
          <w:rtl/>
        </w:rPr>
        <w:t xml:space="preserve"> ترى وحدة المراجعة الداخلية أن عمليات الإدارة المتصلة بأوراق اعتماد الموظفين كافية جزئياً. ولئن كانت عملية الإدارة كافية بدرجة معقولة، فإن إدارة المخاطر وفعالية الضوابط كافية جزئياً فقط. وبالتالي فإن التحسين مطلوب في هذين المجالين من أجل تزويد الأمين العام بتأكيدات معقولة تفيد بأن هناك إدارة وإدارة للمخاطر كافيتين، فيما</w:t>
      </w:r>
      <w:r w:rsidR="00EE570E" w:rsidRPr="002A46E6">
        <w:rPr>
          <w:rFonts w:hint="eastAsia"/>
          <w:rtl/>
        </w:rPr>
        <w:t> </w:t>
      </w:r>
      <w:r w:rsidRPr="002A46E6">
        <w:rPr>
          <w:rFonts w:hint="cs"/>
          <w:rtl/>
        </w:rPr>
        <w:t>يتعلق بأوراق اعتماد الموظفين، وأن الضوابط فعّالة</w:t>
      </w:r>
      <w:r w:rsidR="00EE570E" w:rsidRPr="002A46E6">
        <w:rPr>
          <w:rFonts w:hint="cs"/>
          <w:rtl/>
        </w:rPr>
        <w:t>.</w:t>
      </w:r>
    </w:p>
    <w:p w:rsidR="008A26E0" w:rsidRDefault="008A26E0" w:rsidP="008A26E0">
      <w:pPr>
        <w:pStyle w:val="Heading1"/>
        <w:rPr>
          <w:rtl/>
        </w:rPr>
      </w:pPr>
      <w:r>
        <w:rPr>
          <w:rFonts w:hint="cs"/>
          <w:rtl/>
        </w:rPr>
        <w:t>التحقيقات التي اضطلعت بها وحدة المراجعة الداخلية</w:t>
      </w:r>
    </w:p>
    <w:p w:rsidR="008A26E0" w:rsidRDefault="008A26E0" w:rsidP="00733B8E">
      <w:pPr>
        <w:rPr>
          <w:spacing w:val="4"/>
          <w:rtl/>
        </w:rPr>
      </w:pPr>
      <w:proofErr w:type="gramStart"/>
      <w:r>
        <w:rPr>
          <w:spacing w:val="4"/>
          <w:lang w:bidi="ar-EG"/>
        </w:rPr>
        <w:t>17</w:t>
      </w:r>
      <w:r>
        <w:rPr>
          <w:rFonts w:hint="cs"/>
          <w:spacing w:val="4"/>
          <w:rtl/>
          <w:lang w:bidi="ar-EG"/>
        </w:rPr>
        <w:tab/>
        <w:t>أجرت</w:t>
      </w:r>
      <w:proofErr w:type="gramEnd"/>
      <w:r>
        <w:rPr>
          <w:rFonts w:hint="cs"/>
          <w:spacing w:val="4"/>
          <w:rtl/>
          <w:lang w:bidi="ar-EG"/>
        </w:rPr>
        <w:t xml:space="preserve"> وحدة المراجعة الداخلية، في إطار صلاحيات التحقيق المخولة لها، تحقيقاً واحداً واستعراضيْن أولييْن. وت</w:t>
      </w:r>
      <w:r w:rsidR="00E6685D">
        <w:rPr>
          <w:rFonts w:hint="cs"/>
          <w:spacing w:val="4"/>
          <w:rtl/>
          <w:lang w:bidi="ar-EG"/>
        </w:rPr>
        <w:t>ّ</w:t>
      </w:r>
      <w:r>
        <w:rPr>
          <w:rFonts w:hint="cs"/>
          <w:spacing w:val="4"/>
          <w:rtl/>
          <w:lang w:bidi="ar-EG"/>
        </w:rPr>
        <w:t>علق التحقيق بافتراض حالة احتيال من أحد الموظفين في المكتب الإقليمي للاتحاد لمنطقة آسيا والمحيط الهادئ. وتتضمن الوثيقة</w:t>
      </w:r>
      <w:r w:rsidR="00733B8E">
        <w:rPr>
          <w:rFonts w:hint="eastAsia"/>
          <w:spacing w:val="4"/>
          <w:rtl/>
          <w:lang w:bidi="ar-EG"/>
        </w:rPr>
        <w:t> </w:t>
      </w:r>
      <w:hyperlink r:id="rId10" w:history="1">
        <w:r w:rsidR="00E6685D" w:rsidRPr="00E6685D">
          <w:rPr>
            <w:rStyle w:val="Hyperlink"/>
            <w:rFonts w:asciiTheme="minorHAnsi" w:hAnsiTheme="minorHAnsi" w:cstheme="minorHAnsi"/>
            <w:szCs w:val="22"/>
          </w:rPr>
          <w:t>C19/INF/14</w:t>
        </w:r>
      </w:hyperlink>
      <w:r w:rsidRPr="003B6789">
        <w:rPr>
          <w:rFonts w:hint="cs"/>
          <w:spacing w:val="4"/>
          <w:rtl/>
          <w:lang w:bidi="ar-EG"/>
        </w:rPr>
        <w:t xml:space="preserve"> عرضاً </w:t>
      </w:r>
      <w:r>
        <w:rPr>
          <w:rFonts w:hint="cs"/>
          <w:spacing w:val="4"/>
          <w:rtl/>
          <w:lang w:bidi="ar-EG"/>
        </w:rPr>
        <w:t>عاماً للوقائع والإجرا</w:t>
      </w:r>
      <w:r w:rsidR="00E6685D">
        <w:rPr>
          <w:rFonts w:hint="cs"/>
          <w:spacing w:val="4"/>
          <w:rtl/>
          <w:lang w:bidi="ar-EG"/>
        </w:rPr>
        <w:t>ءات التصحيحية المتخذة حتى الآن.</w:t>
      </w:r>
    </w:p>
    <w:p w:rsidR="008A26E0" w:rsidRDefault="008A26E0" w:rsidP="00E6685D">
      <w:pPr>
        <w:rPr>
          <w:spacing w:val="4"/>
          <w:rtl/>
          <w:lang w:bidi="ar-EG"/>
        </w:rPr>
      </w:pPr>
      <w:r>
        <w:rPr>
          <w:rFonts w:hint="cs"/>
          <w:spacing w:val="4"/>
          <w:rtl/>
          <w:lang w:bidi="ar-EG"/>
        </w:rPr>
        <w:t>وأجرت وحدة المراجعة الداخلية الاستعراضين الأوليين دون حضور موظف للأخلاقيات، ولم</w:t>
      </w:r>
      <w:r w:rsidR="00E6685D">
        <w:rPr>
          <w:rFonts w:hint="eastAsia"/>
          <w:spacing w:val="4"/>
          <w:rtl/>
          <w:lang w:bidi="ar-EG"/>
        </w:rPr>
        <w:t> </w:t>
      </w:r>
      <w:r>
        <w:rPr>
          <w:rFonts w:hint="cs"/>
          <w:spacing w:val="4"/>
          <w:rtl/>
          <w:lang w:bidi="ar-EG"/>
        </w:rPr>
        <w:t>يكن هناك أي رابط بين الحالتين. فقد تعل</w:t>
      </w:r>
      <w:r w:rsidR="00E6685D">
        <w:rPr>
          <w:rFonts w:hint="cs"/>
          <w:spacing w:val="4"/>
          <w:rtl/>
          <w:lang w:bidi="ar-EG"/>
        </w:rPr>
        <w:t>ّ</w:t>
      </w:r>
      <w:r>
        <w:rPr>
          <w:rFonts w:hint="cs"/>
          <w:spacing w:val="4"/>
          <w:rtl/>
          <w:lang w:bidi="ar-EG"/>
        </w:rPr>
        <w:t>قت إحداهما بادعاءات بشأن موظف من فئة الخدمات العامة متورط في مجموعة من السلوكيات التي تشمل التسلط والإهانة والتهديد والترهيب في مكان العمل، وتعل</w:t>
      </w:r>
      <w:r w:rsidR="00E6685D">
        <w:rPr>
          <w:rFonts w:hint="cs"/>
          <w:spacing w:val="4"/>
          <w:rtl/>
          <w:lang w:bidi="ar-EG"/>
        </w:rPr>
        <w:t>ّ</w:t>
      </w:r>
      <w:r>
        <w:rPr>
          <w:rFonts w:hint="cs"/>
          <w:spacing w:val="4"/>
          <w:rtl/>
          <w:lang w:bidi="ar-EG"/>
        </w:rPr>
        <w:t xml:space="preserve">قت الأخرى بموظف من الفئة الفنية يُفترض تورطه في مجموعة من السلوكيات التي تشمل التحرش الجنسي </w:t>
      </w:r>
      <w:r w:rsidR="00E6685D">
        <w:rPr>
          <w:rFonts w:hint="cs"/>
          <w:spacing w:val="4"/>
          <w:rtl/>
          <w:lang w:bidi="ar-EG"/>
        </w:rPr>
        <w:t>والترهيب والتسلط في مكان العمل.</w:t>
      </w:r>
    </w:p>
    <w:p w:rsidR="008A26E0" w:rsidRDefault="008A26E0" w:rsidP="008A26E0">
      <w:pPr>
        <w:rPr>
          <w:spacing w:val="4"/>
          <w:rtl/>
          <w:lang w:bidi="ar-EG"/>
        </w:rPr>
      </w:pPr>
      <w:r>
        <w:rPr>
          <w:rFonts w:hint="cs"/>
          <w:spacing w:val="4"/>
          <w:rtl/>
          <w:lang w:bidi="ar-EG"/>
        </w:rPr>
        <w:t>ووفقاً لإجراءات الاتحاد، قدمت وحدة المراجعة الداخلية تقريرها السري إلى الأمين العام، بعد انتهائها من التحقيق الوحيد ومن الاستعراضيْن الأولييْن الاثنين</w:t>
      </w:r>
      <w:r w:rsidR="00E6685D">
        <w:rPr>
          <w:rFonts w:hint="cs"/>
          <w:spacing w:val="4"/>
          <w:rtl/>
          <w:lang w:bidi="ar-EG"/>
        </w:rPr>
        <w:t>.</w:t>
      </w:r>
    </w:p>
    <w:p w:rsidR="008A26E0" w:rsidRPr="00294638" w:rsidRDefault="008A26E0" w:rsidP="008A26E0">
      <w:pPr>
        <w:pStyle w:val="Heading1"/>
        <w:rPr>
          <w:rtl/>
        </w:rPr>
      </w:pPr>
      <w:r w:rsidRPr="00294638">
        <w:rPr>
          <w:rFonts w:hint="cs"/>
          <w:rtl/>
        </w:rPr>
        <w:t>الخدمات الاستشارية لوحدة المراجعة الداخلية</w:t>
      </w:r>
    </w:p>
    <w:p w:rsidR="008A26E0" w:rsidRPr="008A2A55" w:rsidRDefault="008A26E0" w:rsidP="008A2A55">
      <w:pPr>
        <w:pStyle w:val="Headingb"/>
        <w:rPr>
          <w:i/>
          <w:iCs/>
          <w:rtl/>
        </w:rPr>
      </w:pPr>
      <w:r w:rsidRPr="008A2A55">
        <w:rPr>
          <w:rFonts w:hint="cs"/>
          <w:i/>
          <w:iCs/>
          <w:rtl/>
        </w:rPr>
        <w:t>عملية اختيار المراجع الخارجي للاتحاد</w:t>
      </w:r>
    </w:p>
    <w:p w:rsidR="008A26E0" w:rsidRPr="00383E6B" w:rsidRDefault="008A26E0" w:rsidP="00962118">
      <w:pPr>
        <w:rPr>
          <w:spacing w:val="4"/>
          <w:rtl/>
          <w:lang w:bidi="ar-EG"/>
        </w:rPr>
      </w:pPr>
      <w:proofErr w:type="gramStart"/>
      <w:r>
        <w:rPr>
          <w:spacing w:val="-2"/>
        </w:rPr>
        <w:t>18</w:t>
      </w:r>
      <w:r>
        <w:rPr>
          <w:spacing w:val="-2"/>
          <w:rtl/>
        </w:rPr>
        <w:tab/>
      </w:r>
      <w:r>
        <w:rPr>
          <w:rFonts w:hint="cs"/>
          <w:spacing w:val="4"/>
          <w:rtl/>
          <w:lang w:bidi="ar-EG"/>
        </w:rPr>
        <w:t>بتوصية</w:t>
      </w:r>
      <w:proofErr w:type="gramEnd"/>
      <w:r>
        <w:rPr>
          <w:rFonts w:hint="cs"/>
          <w:spacing w:val="4"/>
          <w:rtl/>
          <w:lang w:bidi="ar-EG"/>
        </w:rPr>
        <w:t xml:space="preserve"> من </w:t>
      </w:r>
      <w:r w:rsidRPr="00813B86">
        <w:rPr>
          <w:rtl/>
        </w:rPr>
        <w:t>الل</w:t>
      </w:r>
      <w:r>
        <w:rPr>
          <w:rtl/>
        </w:rPr>
        <w:t>جنة الاستشارية المستقلة للإدارة</w:t>
      </w:r>
      <w:r>
        <w:rPr>
          <w:rFonts w:hint="cs"/>
          <w:rtl/>
        </w:rPr>
        <w:t>، طلب الأمين العام من وحدة المراجعة الداخلية أن تقود عملية اختيار مراجع خارجي جديد للحسابات في الأمانة. وعيّن المجلس في دورته لعام</w:t>
      </w:r>
      <w:r w:rsidR="00962118">
        <w:rPr>
          <w:rFonts w:hint="eastAsia"/>
          <w:rtl/>
        </w:rPr>
        <w:t> </w:t>
      </w:r>
      <w:r>
        <w:t>2018</w:t>
      </w:r>
      <w:r>
        <w:rPr>
          <w:rFonts w:hint="cs"/>
          <w:rtl/>
          <w:lang w:bidi="ar-EG"/>
        </w:rPr>
        <w:t xml:space="preserve"> الأفراد الذين أوصت بهم المنظمات الإقليمية الست للاتصالات للعمل كأعضاء في لجنة التقييم وتقديم تقرير عن نتائج عملها إلى المجلس في دورته لعام</w:t>
      </w:r>
      <w:r w:rsidR="00962118">
        <w:rPr>
          <w:rFonts w:hint="eastAsia"/>
          <w:rtl/>
          <w:lang w:bidi="ar-EG"/>
        </w:rPr>
        <w:t> </w:t>
      </w:r>
      <w:r>
        <w:rPr>
          <w:lang w:bidi="ar-EG"/>
        </w:rPr>
        <w:t>2019</w:t>
      </w:r>
      <w:r w:rsidR="00962118">
        <w:rPr>
          <w:rFonts w:hint="cs"/>
          <w:rtl/>
          <w:lang w:bidi="ar-EG"/>
        </w:rPr>
        <w:t>.</w:t>
      </w:r>
    </w:p>
    <w:p w:rsidR="008A26E0" w:rsidRPr="00F04518" w:rsidRDefault="008A26E0" w:rsidP="008A26E0">
      <w:pPr>
        <w:rPr>
          <w:spacing w:val="-2"/>
          <w:rtl/>
          <w:lang w:bidi="ar-EG"/>
        </w:rPr>
      </w:pPr>
      <w:proofErr w:type="gramStart"/>
      <w:r w:rsidRPr="00383E6B">
        <w:rPr>
          <w:spacing w:val="-2"/>
          <w:lang w:bidi="ar-EG"/>
        </w:rPr>
        <w:t>19</w:t>
      </w:r>
      <w:r w:rsidRPr="00383E6B">
        <w:rPr>
          <w:spacing w:val="-2"/>
          <w:rtl/>
          <w:lang w:bidi="ar-EG"/>
        </w:rPr>
        <w:tab/>
      </w:r>
      <w:r w:rsidRPr="00383E6B">
        <w:rPr>
          <w:rFonts w:hint="cs"/>
          <w:rtl/>
        </w:rPr>
        <w:t>وبدعم</w:t>
      </w:r>
      <w:proofErr w:type="gramEnd"/>
      <w:r w:rsidRPr="00383E6B">
        <w:rPr>
          <w:rFonts w:hint="cs"/>
          <w:rtl/>
        </w:rPr>
        <w:t xml:space="preserve"> من أمانة الاتحاد، بدأت لجنة التقييم عملها المتعلق بعملية طلب تقديم عروض من أجل تحديد مؤسسة عليا للمراجعة</w:t>
      </w:r>
      <w:r w:rsidRPr="00383E6B">
        <w:rPr>
          <w:rFonts w:hint="eastAsia"/>
          <w:rtl/>
        </w:rPr>
        <w:t> </w:t>
      </w:r>
      <w:r w:rsidRPr="00383E6B">
        <w:rPr>
          <w:lang w:bidi="ar-SY"/>
        </w:rPr>
        <w:t>(SAI)</w:t>
      </w:r>
      <w:r w:rsidRPr="00383E6B">
        <w:rPr>
          <w:rFonts w:hint="cs"/>
          <w:rtl/>
        </w:rPr>
        <w:t xml:space="preserve"> من إحدى الدول الأعضاء في الاتحاد تستوفي على أفضل نحو المعايير المحددة في طلب تقديم اقتراح</w:t>
      </w:r>
      <w:r w:rsidRPr="00383E6B">
        <w:rPr>
          <w:rFonts w:hint="eastAsia"/>
          <w:rtl/>
        </w:rPr>
        <w:t> </w:t>
      </w:r>
      <w:r w:rsidRPr="00383E6B">
        <w:rPr>
          <w:lang w:bidi="ar-SY"/>
        </w:rPr>
        <w:t>(</w:t>
      </w:r>
      <w:r w:rsidR="00962118" w:rsidRPr="00383E6B">
        <w:rPr>
          <w:lang w:bidi="ar-SY"/>
        </w:rPr>
        <w:t>RFP</w:t>
      </w:r>
      <w:r w:rsidRPr="00383E6B">
        <w:rPr>
          <w:lang w:bidi="ar-SY"/>
        </w:rPr>
        <w:t>)</w:t>
      </w:r>
      <w:r w:rsidRPr="00383E6B">
        <w:rPr>
          <w:rFonts w:hint="cs"/>
          <w:rtl/>
        </w:rPr>
        <w:t xml:space="preserve"> بشأن مراجعة حسابات الاتحاد</w:t>
      </w:r>
      <w:r>
        <w:rPr>
          <w:rFonts w:hint="cs"/>
          <w:rtl/>
        </w:rPr>
        <w:t>.</w:t>
      </w:r>
    </w:p>
    <w:p w:rsidR="008A26E0" w:rsidRPr="00412563" w:rsidRDefault="008A26E0" w:rsidP="00733B8E">
      <w:pPr>
        <w:rPr>
          <w:rtl/>
          <w:lang w:bidi="ar-EG"/>
        </w:rPr>
      </w:pPr>
      <w:proofErr w:type="gramStart"/>
      <w:r>
        <w:rPr>
          <w:lang w:bidi="ar-EG"/>
        </w:rPr>
        <w:t>20</w:t>
      </w:r>
      <w:r>
        <w:rPr>
          <w:rtl/>
          <w:lang w:bidi="ar-EG"/>
        </w:rPr>
        <w:tab/>
      </w:r>
      <w:r>
        <w:rPr>
          <w:rFonts w:hint="cs"/>
          <w:rtl/>
          <w:lang w:bidi="ar-EG"/>
        </w:rPr>
        <w:t>واستمرت</w:t>
      </w:r>
      <w:proofErr w:type="gramEnd"/>
      <w:r>
        <w:rPr>
          <w:rFonts w:hint="cs"/>
          <w:rtl/>
          <w:lang w:bidi="ar-EG"/>
        </w:rPr>
        <w:t xml:space="preserve"> وحدة المراجعة الداخلية طوال العملية في مساعدة أعضاء لجنة التقييم على القيام بعملهم وقدمت إرشادات بشأن المسائل الإجرائية والمسائل التقنية للمراجعة، حسب الاقتضاء. ويقدَّم تقرير عن عمل لجنة التقييم بشكل</w:t>
      </w:r>
      <w:r w:rsidR="00962118">
        <w:rPr>
          <w:rFonts w:hint="cs"/>
          <w:rtl/>
          <w:lang w:bidi="ar-EG"/>
        </w:rPr>
        <w:t xml:space="preserve"> منفصل إلى المجلس للنظر</w:t>
      </w:r>
      <w:r w:rsidR="00733B8E">
        <w:rPr>
          <w:rFonts w:hint="eastAsia"/>
          <w:rtl/>
          <w:lang w:bidi="ar-EG"/>
        </w:rPr>
        <w:t> </w:t>
      </w:r>
      <w:r w:rsidR="00962118">
        <w:rPr>
          <w:rFonts w:hint="cs"/>
          <w:rtl/>
          <w:lang w:bidi="ar-EG"/>
        </w:rPr>
        <w:t>فيه.</w:t>
      </w:r>
    </w:p>
    <w:p w:rsidR="008A26E0" w:rsidRPr="00813B86" w:rsidRDefault="008A26E0" w:rsidP="001E0878">
      <w:pPr>
        <w:pStyle w:val="Heading1"/>
        <w:rPr>
          <w:rtl/>
        </w:rPr>
      </w:pPr>
      <w:r w:rsidRPr="00655FD5">
        <w:rPr>
          <w:rtl/>
        </w:rPr>
        <w:lastRenderedPageBreak/>
        <w:t xml:space="preserve">متابعة تنفيذ </w:t>
      </w:r>
      <w:r w:rsidR="00655FD5" w:rsidRPr="00655FD5">
        <w:rPr>
          <w:rFonts w:hint="cs"/>
          <w:rtl/>
        </w:rPr>
        <w:t>توصيات وحدة المراجعة الداخلية</w:t>
      </w:r>
    </w:p>
    <w:p w:rsidR="008A26E0" w:rsidRDefault="008A26E0" w:rsidP="00332040">
      <w:pPr>
        <w:spacing w:after="240"/>
        <w:rPr>
          <w:rtl/>
        </w:rPr>
      </w:pPr>
      <w:proofErr w:type="gramStart"/>
      <w:r>
        <w:t>21</w:t>
      </w:r>
      <w:r w:rsidRPr="00813B86">
        <w:rPr>
          <w:rtl/>
        </w:rPr>
        <w:tab/>
        <w:t>واصل</w:t>
      </w:r>
      <w:r w:rsidRPr="00813B86">
        <w:rPr>
          <w:rFonts w:hint="cs"/>
          <w:rtl/>
        </w:rPr>
        <w:t>ت</w:t>
      </w:r>
      <w:proofErr w:type="gramEnd"/>
      <w:r w:rsidRPr="00813B86">
        <w:rPr>
          <w:rtl/>
        </w:rPr>
        <w:t xml:space="preserve"> </w:t>
      </w:r>
      <w:r w:rsidRPr="00813B86">
        <w:rPr>
          <w:rFonts w:hint="cs"/>
          <w:rtl/>
        </w:rPr>
        <w:t>وحدة</w:t>
      </w:r>
      <w:r w:rsidRPr="00813B86">
        <w:rPr>
          <w:rtl/>
        </w:rPr>
        <w:t xml:space="preserve"> المراجعة الداخلية طيلة الفترة المشمولة بهذا التقرير متابعة تنفيذ التوصيات التي ق</w:t>
      </w:r>
      <w:r>
        <w:rPr>
          <w:rFonts w:hint="cs"/>
          <w:rtl/>
        </w:rPr>
        <w:t>ُ</w:t>
      </w:r>
      <w:r w:rsidRPr="00813B86">
        <w:rPr>
          <w:rtl/>
        </w:rPr>
        <w:t>دمت في</w:t>
      </w:r>
      <w:r>
        <w:rPr>
          <w:rFonts w:hint="cs"/>
          <w:rtl/>
        </w:rPr>
        <w:t> </w:t>
      </w:r>
      <w:r w:rsidRPr="00813B86">
        <w:rPr>
          <w:rtl/>
        </w:rPr>
        <w:t xml:space="preserve">تقارير المراجعة السابقة، وذلك طبقاً للمعيار </w:t>
      </w:r>
      <w:r w:rsidRPr="00813B86">
        <w:t>2500</w:t>
      </w:r>
      <w:r w:rsidRPr="00813B86">
        <w:rPr>
          <w:rtl/>
        </w:rPr>
        <w:t xml:space="preserve"> لمعهد المراجعين الداخليين</w:t>
      </w:r>
      <w:r w:rsidRPr="00813B86">
        <w:rPr>
          <w:rStyle w:val="FootnoteReference"/>
          <w:rtl/>
        </w:rPr>
        <w:footnoteReference w:id="4"/>
      </w:r>
      <w:r w:rsidRPr="00813B86">
        <w:rPr>
          <w:rtl/>
        </w:rPr>
        <w:t xml:space="preserve">. وقد لوحظ أنه تحقق على مدى الاثني عشر شهراً الأخيرة مزيد من التقدم، </w:t>
      </w:r>
      <w:r w:rsidRPr="00813B86">
        <w:rPr>
          <w:rFonts w:hint="cs"/>
          <w:rtl/>
        </w:rPr>
        <w:t>و</w:t>
      </w:r>
      <w:r w:rsidRPr="00813B86">
        <w:rPr>
          <w:rtl/>
        </w:rPr>
        <w:t xml:space="preserve">ترد فيما يلي الإحصاءات المتعلقة </w:t>
      </w:r>
      <w:r w:rsidRPr="008851C2">
        <w:rPr>
          <w:rtl/>
        </w:rPr>
        <w:t>به</w:t>
      </w:r>
      <w:r w:rsidRPr="008851C2">
        <w:rPr>
          <w:rFonts w:hint="cs"/>
          <w:rtl/>
        </w:rPr>
        <w:t xml:space="preserve"> (في </w:t>
      </w:r>
      <w:r w:rsidRPr="008851C2">
        <w:rPr>
          <w:lang w:val="en-CA"/>
        </w:rPr>
        <w:t>15</w:t>
      </w:r>
      <w:r w:rsidRPr="008851C2">
        <w:rPr>
          <w:rFonts w:hint="cs"/>
          <w:rtl/>
          <w:lang w:val="en-CA" w:bidi="ar-EG"/>
        </w:rPr>
        <w:t xml:space="preserve"> </w:t>
      </w:r>
      <w:r w:rsidRPr="008851C2">
        <w:rPr>
          <w:rFonts w:hint="cs"/>
          <w:rtl/>
        </w:rPr>
        <w:t xml:space="preserve">مايو </w:t>
      </w:r>
      <w:r w:rsidRPr="008851C2">
        <w:t>2019</w:t>
      </w:r>
      <w:r w:rsidRPr="008851C2">
        <w:rPr>
          <w:rFonts w:hint="cs"/>
          <w:rtl/>
          <w:lang w:bidi="ar-EG"/>
        </w:rPr>
        <w:t>)</w:t>
      </w:r>
      <w:r w:rsidRPr="008851C2">
        <w:rPr>
          <w:rtl/>
        </w:rPr>
        <w:t>:</w:t>
      </w:r>
    </w:p>
    <w:tbl>
      <w:tblPr>
        <w:tblpPr w:leftFromText="180" w:rightFromText="180" w:vertAnchor="text" w:tblpXSpec="center" w:tblpY="1"/>
        <w:tblOverlap w:val="never"/>
        <w:bidiVisual/>
        <w:tblW w:w="5000" w:type="pct"/>
        <w:tblLook w:val="04A0" w:firstRow="1" w:lastRow="0" w:firstColumn="1" w:lastColumn="0" w:noHBand="0" w:noVBand="1"/>
      </w:tblPr>
      <w:tblGrid>
        <w:gridCol w:w="2943"/>
        <w:gridCol w:w="628"/>
        <w:gridCol w:w="629"/>
        <w:gridCol w:w="629"/>
        <w:gridCol w:w="629"/>
        <w:gridCol w:w="629"/>
        <w:gridCol w:w="629"/>
        <w:gridCol w:w="622"/>
        <w:gridCol w:w="622"/>
        <w:gridCol w:w="846"/>
        <w:gridCol w:w="813"/>
      </w:tblGrid>
      <w:tr w:rsidR="008A26E0" w:rsidRPr="00B52E14" w:rsidTr="00332040">
        <w:trPr>
          <w:trHeight w:val="315"/>
        </w:trPr>
        <w:tc>
          <w:tcPr>
            <w:tcW w:w="1393" w:type="pct"/>
            <w:tcBorders>
              <w:top w:val="single" w:sz="8" w:space="0" w:color="auto"/>
              <w:left w:val="single" w:sz="8" w:space="0" w:color="auto"/>
              <w:bottom w:val="nil"/>
              <w:right w:val="nil"/>
            </w:tcBorders>
            <w:shd w:val="clear" w:color="000000" w:fill="000000"/>
            <w:noWrap/>
            <w:vAlign w:val="bottom"/>
            <w:hideMark/>
          </w:tcPr>
          <w:p w:rsidR="008A26E0" w:rsidRPr="008851C2" w:rsidRDefault="008A26E0" w:rsidP="006D2FFB">
            <w:pPr>
              <w:keepNext/>
              <w:keepLines/>
              <w:spacing w:before="60" w:after="60" w:line="260" w:lineRule="exact"/>
              <w:rPr>
                <w:b/>
                <w:bCs/>
                <w:color w:val="FFFFFF"/>
                <w:sz w:val="20"/>
                <w:szCs w:val="26"/>
              </w:rPr>
            </w:pPr>
            <w:r w:rsidRPr="008851C2">
              <w:rPr>
                <w:b/>
                <w:bCs/>
                <w:sz w:val="20"/>
                <w:szCs w:val="26"/>
                <w:rtl/>
              </w:rPr>
              <w:t>السنة</w:t>
            </w:r>
          </w:p>
        </w:tc>
        <w:tc>
          <w:tcPr>
            <w:tcW w:w="377" w:type="pct"/>
            <w:tcBorders>
              <w:top w:val="single" w:sz="8" w:space="0" w:color="auto"/>
              <w:left w:val="nil"/>
              <w:bottom w:val="nil"/>
              <w:right w:val="nil"/>
            </w:tcBorders>
            <w:shd w:val="clear" w:color="000000" w:fill="000000"/>
            <w:noWrap/>
            <w:vAlign w:val="bottom"/>
            <w:hideMark/>
          </w:tcPr>
          <w:p w:rsidR="008A26E0" w:rsidRPr="008851C2" w:rsidRDefault="008A26E0" w:rsidP="006D2FFB">
            <w:pPr>
              <w:keepNext/>
              <w:keepLines/>
              <w:spacing w:before="60" w:after="60" w:line="260" w:lineRule="exact"/>
              <w:jc w:val="center"/>
              <w:rPr>
                <w:b/>
                <w:bCs/>
                <w:color w:val="FFFFFF"/>
                <w:sz w:val="20"/>
                <w:szCs w:val="26"/>
              </w:rPr>
            </w:pPr>
            <w:r w:rsidRPr="008851C2">
              <w:rPr>
                <w:b/>
                <w:bCs/>
                <w:color w:val="FFFFFF"/>
                <w:sz w:val="20"/>
                <w:szCs w:val="26"/>
              </w:rPr>
              <w:t>2011</w:t>
            </w:r>
          </w:p>
        </w:tc>
        <w:tc>
          <w:tcPr>
            <w:tcW w:w="377" w:type="pct"/>
            <w:tcBorders>
              <w:top w:val="single" w:sz="8" w:space="0" w:color="auto"/>
              <w:left w:val="nil"/>
              <w:bottom w:val="nil"/>
              <w:right w:val="nil"/>
            </w:tcBorders>
            <w:shd w:val="clear" w:color="000000" w:fill="000000"/>
            <w:noWrap/>
            <w:vAlign w:val="bottom"/>
            <w:hideMark/>
          </w:tcPr>
          <w:p w:rsidR="008A26E0" w:rsidRPr="008851C2" w:rsidRDefault="008A26E0" w:rsidP="006D2FFB">
            <w:pPr>
              <w:keepNext/>
              <w:keepLines/>
              <w:spacing w:before="60" w:after="60" w:line="260" w:lineRule="exact"/>
              <w:jc w:val="center"/>
              <w:rPr>
                <w:b/>
                <w:bCs/>
                <w:color w:val="FFFFFF"/>
                <w:sz w:val="20"/>
                <w:szCs w:val="26"/>
              </w:rPr>
            </w:pPr>
            <w:r w:rsidRPr="008851C2">
              <w:rPr>
                <w:b/>
                <w:bCs/>
                <w:color w:val="FFFFFF"/>
                <w:sz w:val="20"/>
                <w:szCs w:val="26"/>
              </w:rPr>
              <w:t>2012</w:t>
            </w:r>
          </w:p>
        </w:tc>
        <w:tc>
          <w:tcPr>
            <w:tcW w:w="377" w:type="pct"/>
            <w:tcBorders>
              <w:top w:val="single" w:sz="8" w:space="0" w:color="auto"/>
              <w:left w:val="nil"/>
              <w:bottom w:val="nil"/>
              <w:right w:val="nil"/>
            </w:tcBorders>
            <w:shd w:val="clear" w:color="000000" w:fill="000000"/>
            <w:noWrap/>
            <w:vAlign w:val="bottom"/>
            <w:hideMark/>
          </w:tcPr>
          <w:p w:rsidR="008A26E0" w:rsidRPr="008851C2" w:rsidRDefault="008A26E0" w:rsidP="006D2FFB">
            <w:pPr>
              <w:keepNext/>
              <w:keepLines/>
              <w:spacing w:before="60" w:after="60" w:line="260" w:lineRule="exact"/>
              <w:jc w:val="center"/>
              <w:rPr>
                <w:b/>
                <w:bCs/>
                <w:color w:val="FFFFFF"/>
                <w:sz w:val="20"/>
                <w:szCs w:val="26"/>
              </w:rPr>
            </w:pPr>
            <w:r w:rsidRPr="008851C2">
              <w:rPr>
                <w:b/>
                <w:bCs/>
                <w:color w:val="FFFFFF"/>
                <w:sz w:val="20"/>
                <w:szCs w:val="26"/>
              </w:rPr>
              <w:t>2013</w:t>
            </w:r>
          </w:p>
        </w:tc>
        <w:tc>
          <w:tcPr>
            <w:tcW w:w="377" w:type="pct"/>
            <w:tcBorders>
              <w:top w:val="single" w:sz="8" w:space="0" w:color="auto"/>
              <w:left w:val="nil"/>
              <w:bottom w:val="nil"/>
              <w:right w:val="nil"/>
            </w:tcBorders>
            <w:shd w:val="clear" w:color="000000" w:fill="000000"/>
            <w:noWrap/>
            <w:vAlign w:val="bottom"/>
            <w:hideMark/>
          </w:tcPr>
          <w:p w:rsidR="008A26E0" w:rsidRPr="008851C2" w:rsidRDefault="008A26E0" w:rsidP="006D2FFB">
            <w:pPr>
              <w:keepNext/>
              <w:keepLines/>
              <w:spacing w:before="60" w:after="60" w:line="260" w:lineRule="exact"/>
              <w:jc w:val="center"/>
              <w:rPr>
                <w:b/>
                <w:bCs/>
                <w:color w:val="FFFFFF"/>
                <w:sz w:val="20"/>
                <w:szCs w:val="26"/>
              </w:rPr>
            </w:pPr>
            <w:r w:rsidRPr="008851C2">
              <w:rPr>
                <w:b/>
                <w:bCs/>
                <w:color w:val="FFFFFF"/>
                <w:sz w:val="20"/>
                <w:szCs w:val="26"/>
              </w:rPr>
              <w:t>2014</w:t>
            </w:r>
          </w:p>
        </w:tc>
        <w:tc>
          <w:tcPr>
            <w:tcW w:w="377" w:type="pct"/>
            <w:tcBorders>
              <w:top w:val="single" w:sz="8" w:space="0" w:color="auto"/>
              <w:left w:val="nil"/>
              <w:bottom w:val="nil"/>
              <w:right w:val="nil"/>
            </w:tcBorders>
            <w:shd w:val="clear" w:color="000000" w:fill="000000"/>
            <w:noWrap/>
            <w:vAlign w:val="bottom"/>
            <w:hideMark/>
          </w:tcPr>
          <w:p w:rsidR="008A26E0" w:rsidRPr="008851C2" w:rsidRDefault="008A26E0" w:rsidP="006D2FFB">
            <w:pPr>
              <w:keepNext/>
              <w:keepLines/>
              <w:spacing w:before="60" w:after="60" w:line="260" w:lineRule="exact"/>
              <w:jc w:val="center"/>
              <w:rPr>
                <w:b/>
                <w:bCs/>
                <w:color w:val="FFFFFF"/>
                <w:sz w:val="20"/>
                <w:szCs w:val="26"/>
              </w:rPr>
            </w:pPr>
            <w:r w:rsidRPr="008851C2">
              <w:rPr>
                <w:b/>
                <w:bCs/>
                <w:color w:val="FFFFFF"/>
                <w:sz w:val="20"/>
                <w:szCs w:val="26"/>
              </w:rPr>
              <w:t>2015</w:t>
            </w:r>
          </w:p>
        </w:tc>
        <w:tc>
          <w:tcPr>
            <w:tcW w:w="377" w:type="pct"/>
            <w:tcBorders>
              <w:top w:val="single" w:sz="8" w:space="0" w:color="auto"/>
              <w:left w:val="nil"/>
              <w:bottom w:val="nil"/>
              <w:right w:val="nil"/>
            </w:tcBorders>
            <w:shd w:val="clear" w:color="000000" w:fill="000000"/>
            <w:noWrap/>
            <w:vAlign w:val="bottom"/>
            <w:hideMark/>
          </w:tcPr>
          <w:p w:rsidR="008A26E0" w:rsidRPr="008851C2" w:rsidRDefault="008A26E0" w:rsidP="006D2FFB">
            <w:pPr>
              <w:keepNext/>
              <w:keepLines/>
              <w:spacing w:before="60" w:after="60" w:line="260" w:lineRule="exact"/>
              <w:jc w:val="center"/>
              <w:rPr>
                <w:b/>
                <w:bCs/>
                <w:color w:val="FFFFFF"/>
                <w:sz w:val="20"/>
                <w:szCs w:val="26"/>
              </w:rPr>
            </w:pPr>
            <w:r w:rsidRPr="008851C2">
              <w:rPr>
                <w:b/>
                <w:bCs/>
                <w:color w:val="FFFFFF"/>
                <w:sz w:val="20"/>
                <w:szCs w:val="26"/>
              </w:rPr>
              <w:t>2016</w:t>
            </w:r>
          </w:p>
        </w:tc>
        <w:tc>
          <w:tcPr>
            <w:tcW w:w="288" w:type="pct"/>
            <w:tcBorders>
              <w:top w:val="single" w:sz="8" w:space="0" w:color="auto"/>
              <w:left w:val="nil"/>
              <w:bottom w:val="nil"/>
              <w:right w:val="nil"/>
            </w:tcBorders>
            <w:shd w:val="clear" w:color="000000" w:fill="000000"/>
            <w:noWrap/>
            <w:vAlign w:val="bottom"/>
            <w:hideMark/>
          </w:tcPr>
          <w:p w:rsidR="008A26E0" w:rsidRPr="008851C2" w:rsidRDefault="008A26E0" w:rsidP="006D2FFB">
            <w:pPr>
              <w:keepNext/>
              <w:keepLines/>
              <w:spacing w:before="60" w:after="60" w:line="260" w:lineRule="exact"/>
              <w:jc w:val="center"/>
              <w:rPr>
                <w:b/>
                <w:bCs/>
                <w:color w:val="FFFFFF"/>
                <w:sz w:val="20"/>
                <w:szCs w:val="26"/>
              </w:rPr>
            </w:pPr>
            <w:r w:rsidRPr="008851C2">
              <w:rPr>
                <w:b/>
                <w:bCs/>
                <w:color w:val="FFFFFF"/>
                <w:sz w:val="20"/>
                <w:szCs w:val="26"/>
              </w:rPr>
              <w:t>2017</w:t>
            </w:r>
          </w:p>
        </w:tc>
        <w:tc>
          <w:tcPr>
            <w:tcW w:w="288" w:type="pct"/>
            <w:tcBorders>
              <w:top w:val="single" w:sz="8" w:space="0" w:color="auto"/>
              <w:left w:val="nil"/>
              <w:bottom w:val="single" w:sz="8" w:space="0" w:color="auto"/>
              <w:right w:val="nil"/>
            </w:tcBorders>
            <w:shd w:val="clear" w:color="000000" w:fill="000000"/>
          </w:tcPr>
          <w:p w:rsidR="008A26E0" w:rsidRPr="008851C2" w:rsidRDefault="008A26E0" w:rsidP="006D2FFB">
            <w:pPr>
              <w:keepNext/>
              <w:keepLines/>
              <w:spacing w:before="60" w:after="60" w:line="260" w:lineRule="exact"/>
              <w:jc w:val="center"/>
              <w:rPr>
                <w:b/>
                <w:bCs/>
                <w:color w:val="FFFFFF"/>
                <w:spacing w:val="-4"/>
                <w:sz w:val="20"/>
                <w:szCs w:val="26"/>
                <w:rtl/>
              </w:rPr>
            </w:pPr>
            <w:r w:rsidRPr="008851C2">
              <w:rPr>
                <w:b/>
                <w:bCs/>
                <w:color w:val="FFFFFF"/>
                <w:sz w:val="20"/>
                <w:szCs w:val="26"/>
              </w:rPr>
              <w:t>2018</w:t>
            </w:r>
          </w:p>
        </w:tc>
        <w:tc>
          <w:tcPr>
            <w:tcW w:w="392" w:type="pct"/>
            <w:tcBorders>
              <w:top w:val="single" w:sz="8" w:space="0" w:color="auto"/>
              <w:left w:val="nil"/>
              <w:bottom w:val="single" w:sz="8" w:space="0" w:color="auto"/>
              <w:right w:val="nil"/>
            </w:tcBorders>
            <w:shd w:val="clear" w:color="000000" w:fill="000000"/>
          </w:tcPr>
          <w:p w:rsidR="008A26E0" w:rsidRPr="008851C2" w:rsidRDefault="008A26E0" w:rsidP="006D2FFB">
            <w:pPr>
              <w:keepNext/>
              <w:keepLines/>
              <w:spacing w:before="60" w:after="60" w:line="260" w:lineRule="exact"/>
              <w:jc w:val="center"/>
              <w:rPr>
                <w:b/>
                <w:bCs/>
                <w:color w:val="FFFFFF"/>
                <w:spacing w:val="-4"/>
                <w:sz w:val="20"/>
                <w:szCs w:val="26"/>
                <w:rtl/>
              </w:rPr>
            </w:pPr>
            <w:r w:rsidRPr="008851C2">
              <w:rPr>
                <w:b/>
                <w:bCs/>
                <w:color w:val="FFFFFF"/>
                <w:sz w:val="20"/>
                <w:szCs w:val="26"/>
              </w:rPr>
              <w:t>(*)2019</w:t>
            </w:r>
          </w:p>
        </w:tc>
        <w:tc>
          <w:tcPr>
            <w:tcW w:w="377" w:type="pct"/>
            <w:tcBorders>
              <w:top w:val="single" w:sz="8" w:space="0" w:color="auto"/>
              <w:left w:val="nil"/>
              <w:bottom w:val="nil"/>
              <w:right w:val="single" w:sz="8" w:space="0" w:color="auto"/>
            </w:tcBorders>
            <w:shd w:val="clear" w:color="000000" w:fill="000000"/>
            <w:noWrap/>
            <w:vAlign w:val="bottom"/>
            <w:hideMark/>
          </w:tcPr>
          <w:p w:rsidR="008A26E0" w:rsidRPr="008851C2" w:rsidRDefault="008A26E0" w:rsidP="006D2FFB">
            <w:pPr>
              <w:keepNext/>
              <w:keepLines/>
              <w:spacing w:before="60" w:after="60" w:line="260" w:lineRule="exact"/>
              <w:jc w:val="center"/>
              <w:rPr>
                <w:b/>
                <w:bCs/>
                <w:color w:val="FFFFFF"/>
                <w:spacing w:val="-4"/>
                <w:sz w:val="20"/>
                <w:szCs w:val="26"/>
              </w:rPr>
            </w:pPr>
            <w:r w:rsidRPr="008851C2">
              <w:rPr>
                <w:rFonts w:hint="cs"/>
                <w:b/>
                <w:bCs/>
                <w:color w:val="FFFFFF"/>
                <w:spacing w:val="-4"/>
                <w:sz w:val="20"/>
                <w:szCs w:val="26"/>
                <w:rtl/>
              </w:rPr>
              <w:t>المجموع</w:t>
            </w:r>
          </w:p>
        </w:tc>
      </w:tr>
      <w:tr w:rsidR="008A26E0" w:rsidRPr="00B52E14" w:rsidTr="00332040">
        <w:trPr>
          <w:trHeight w:val="300"/>
        </w:trPr>
        <w:tc>
          <w:tcPr>
            <w:tcW w:w="1393" w:type="pct"/>
            <w:tcBorders>
              <w:top w:val="single" w:sz="8" w:space="0" w:color="auto"/>
              <w:left w:val="single" w:sz="8" w:space="0" w:color="auto"/>
              <w:bottom w:val="single" w:sz="4" w:space="0" w:color="auto"/>
              <w:right w:val="single" w:sz="4" w:space="0" w:color="auto"/>
            </w:tcBorders>
            <w:shd w:val="clear" w:color="auto" w:fill="auto"/>
            <w:noWrap/>
            <w:hideMark/>
          </w:tcPr>
          <w:p w:rsidR="008A26E0" w:rsidRPr="00B52E14" w:rsidRDefault="008A26E0" w:rsidP="006D2FFB">
            <w:pPr>
              <w:pStyle w:val="Tabletexte"/>
              <w:keepNext/>
              <w:keepLines/>
              <w:rPr>
                <w:highlight w:val="cyan"/>
              </w:rPr>
            </w:pPr>
            <w:r w:rsidRPr="002E2FD1">
              <w:rPr>
                <w:rtl/>
              </w:rPr>
              <w:t>عدد تقارير المراجعة</w:t>
            </w:r>
          </w:p>
        </w:tc>
        <w:tc>
          <w:tcPr>
            <w:tcW w:w="377" w:type="pct"/>
            <w:tcBorders>
              <w:top w:val="single" w:sz="8" w:space="0" w:color="auto"/>
              <w:left w:val="nil"/>
              <w:bottom w:val="single" w:sz="4" w:space="0" w:color="auto"/>
              <w:right w:val="single" w:sz="4" w:space="0" w:color="auto"/>
            </w:tcBorders>
            <w:shd w:val="clear" w:color="auto" w:fill="auto"/>
            <w:noWrap/>
            <w:vAlign w:val="bottom"/>
            <w:hideMark/>
          </w:tcPr>
          <w:p w:rsidR="008A26E0" w:rsidRPr="002E2FD1" w:rsidRDefault="008A26E0" w:rsidP="006D2FFB">
            <w:pPr>
              <w:keepNext/>
              <w:keepLines/>
              <w:spacing w:before="60" w:after="60" w:line="260" w:lineRule="exact"/>
              <w:jc w:val="center"/>
              <w:rPr>
                <w:color w:val="000000"/>
                <w:sz w:val="20"/>
                <w:szCs w:val="26"/>
              </w:rPr>
            </w:pPr>
            <w:r w:rsidRPr="002E2FD1">
              <w:rPr>
                <w:color w:val="000000"/>
                <w:sz w:val="20"/>
                <w:szCs w:val="26"/>
              </w:rPr>
              <w:t>2</w:t>
            </w:r>
          </w:p>
        </w:tc>
        <w:tc>
          <w:tcPr>
            <w:tcW w:w="377" w:type="pct"/>
            <w:tcBorders>
              <w:top w:val="single" w:sz="8" w:space="0" w:color="auto"/>
              <w:left w:val="nil"/>
              <w:bottom w:val="single" w:sz="4" w:space="0" w:color="auto"/>
              <w:right w:val="single" w:sz="4" w:space="0" w:color="auto"/>
            </w:tcBorders>
            <w:shd w:val="clear" w:color="auto" w:fill="auto"/>
            <w:noWrap/>
            <w:vAlign w:val="bottom"/>
            <w:hideMark/>
          </w:tcPr>
          <w:p w:rsidR="008A26E0" w:rsidRPr="002E2FD1" w:rsidRDefault="008A26E0" w:rsidP="006D2FFB">
            <w:pPr>
              <w:keepNext/>
              <w:keepLines/>
              <w:spacing w:before="60" w:after="60" w:line="260" w:lineRule="exact"/>
              <w:jc w:val="center"/>
              <w:rPr>
                <w:color w:val="000000"/>
                <w:sz w:val="20"/>
                <w:szCs w:val="26"/>
              </w:rPr>
            </w:pPr>
            <w:r w:rsidRPr="002E2FD1">
              <w:rPr>
                <w:color w:val="000000"/>
                <w:sz w:val="20"/>
                <w:szCs w:val="26"/>
              </w:rPr>
              <w:t>0</w:t>
            </w:r>
          </w:p>
        </w:tc>
        <w:tc>
          <w:tcPr>
            <w:tcW w:w="377" w:type="pct"/>
            <w:tcBorders>
              <w:top w:val="single" w:sz="8" w:space="0" w:color="auto"/>
              <w:left w:val="nil"/>
              <w:bottom w:val="single" w:sz="4" w:space="0" w:color="auto"/>
              <w:right w:val="single" w:sz="4" w:space="0" w:color="auto"/>
            </w:tcBorders>
            <w:shd w:val="clear" w:color="000000" w:fill="FFFFFF"/>
            <w:noWrap/>
            <w:vAlign w:val="bottom"/>
            <w:hideMark/>
          </w:tcPr>
          <w:p w:rsidR="008A26E0" w:rsidRPr="002E2FD1" w:rsidRDefault="008A26E0" w:rsidP="006D2FFB">
            <w:pPr>
              <w:keepNext/>
              <w:keepLines/>
              <w:spacing w:before="60" w:after="60" w:line="260" w:lineRule="exact"/>
              <w:jc w:val="center"/>
              <w:rPr>
                <w:color w:val="000000"/>
                <w:sz w:val="20"/>
                <w:szCs w:val="26"/>
              </w:rPr>
            </w:pPr>
            <w:r w:rsidRPr="002E2FD1">
              <w:rPr>
                <w:color w:val="000000"/>
                <w:sz w:val="20"/>
                <w:szCs w:val="26"/>
              </w:rPr>
              <w:t>4</w:t>
            </w:r>
          </w:p>
        </w:tc>
        <w:tc>
          <w:tcPr>
            <w:tcW w:w="377" w:type="pct"/>
            <w:tcBorders>
              <w:top w:val="single" w:sz="8" w:space="0" w:color="auto"/>
              <w:left w:val="nil"/>
              <w:bottom w:val="single" w:sz="4" w:space="0" w:color="auto"/>
              <w:right w:val="nil"/>
            </w:tcBorders>
            <w:shd w:val="clear" w:color="000000" w:fill="FFFFFF"/>
            <w:noWrap/>
            <w:vAlign w:val="bottom"/>
            <w:hideMark/>
          </w:tcPr>
          <w:p w:rsidR="008A26E0" w:rsidRPr="002E2FD1" w:rsidRDefault="008A26E0" w:rsidP="006D2FFB">
            <w:pPr>
              <w:keepNext/>
              <w:keepLines/>
              <w:spacing w:before="60" w:after="60" w:line="260" w:lineRule="exact"/>
              <w:jc w:val="center"/>
              <w:rPr>
                <w:color w:val="000000"/>
                <w:sz w:val="20"/>
                <w:szCs w:val="26"/>
              </w:rPr>
            </w:pPr>
            <w:r w:rsidRPr="002E2FD1">
              <w:rPr>
                <w:color w:val="000000"/>
                <w:sz w:val="20"/>
                <w:szCs w:val="26"/>
              </w:rPr>
              <w:t>4</w:t>
            </w:r>
          </w:p>
        </w:tc>
        <w:tc>
          <w:tcPr>
            <w:tcW w:w="377" w:type="pct"/>
            <w:tcBorders>
              <w:top w:val="single" w:sz="8" w:space="0" w:color="auto"/>
              <w:left w:val="single" w:sz="4" w:space="0" w:color="auto"/>
              <w:bottom w:val="single" w:sz="4" w:space="0" w:color="auto"/>
              <w:right w:val="nil"/>
            </w:tcBorders>
            <w:shd w:val="clear" w:color="000000" w:fill="FFFFFF"/>
            <w:noWrap/>
            <w:vAlign w:val="bottom"/>
            <w:hideMark/>
          </w:tcPr>
          <w:p w:rsidR="008A26E0" w:rsidRPr="002E2FD1" w:rsidRDefault="008A26E0" w:rsidP="006D2FFB">
            <w:pPr>
              <w:keepNext/>
              <w:keepLines/>
              <w:spacing w:before="60" w:after="60" w:line="260" w:lineRule="exact"/>
              <w:jc w:val="center"/>
              <w:rPr>
                <w:color w:val="000000"/>
                <w:sz w:val="20"/>
                <w:szCs w:val="26"/>
              </w:rPr>
            </w:pPr>
            <w:r w:rsidRPr="002E2FD1">
              <w:rPr>
                <w:color w:val="000000"/>
                <w:sz w:val="20"/>
                <w:szCs w:val="26"/>
              </w:rPr>
              <w:t>7</w:t>
            </w:r>
          </w:p>
        </w:tc>
        <w:tc>
          <w:tcPr>
            <w:tcW w:w="377" w:type="pct"/>
            <w:tcBorders>
              <w:top w:val="single" w:sz="8" w:space="0" w:color="auto"/>
              <w:left w:val="single" w:sz="4" w:space="0" w:color="auto"/>
              <w:bottom w:val="single" w:sz="4" w:space="0" w:color="auto"/>
              <w:right w:val="nil"/>
            </w:tcBorders>
            <w:shd w:val="clear" w:color="000000" w:fill="FFFFFF"/>
            <w:noWrap/>
            <w:vAlign w:val="bottom"/>
            <w:hideMark/>
          </w:tcPr>
          <w:p w:rsidR="008A26E0" w:rsidRPr="002E2FD1" w:rsidRDefault="008A26E0" w:rsidP="006D2FFB">
            <w:pPr>
              <w:keepNext/>
              <w:keepLines/>
              <w:spacing w:before="60" w:after="60" w:line="260" w:lineRule="exact"/>
              <w:jc w:val="center"/>
              <w:rPr>
                <w:color w:val="000000"/>
                <w:sz w:val="20"/>
                <w:szCs w:val="26"/>
              </w:rPr>
            </w:pPr>
            <w:r w:rsidRPr="002E2FD1">
              <w:rPr>
                <w:color w:val="000000"/>
                <w:sz w:val="20"/>
                <w:szCs w:val="26"/>
              </w:rPr>
              <w:t>4</w:t>
            </w:r>
          </w:p>
        </w:tc>
        <w:tc>
          <w:tcPr>
            <w:tcW w:w="288" w:type="pct"/>
            <w:tcBorders>
              <w:top w:val="single" w:sz="8" w:space="0" w:color="auto"/>
              <w:left w:val="single" w:sz="4" w:space="0" w:color="auto"/>
              <w:bottom w:val="single" w:sz="4" w:space="0" w:color="auto"/>
              <w:right w:val="nil"/>
            </w:tcBorders>
            <w:shd w:val="clear" w:color="000000" w:fill="FFFFFF"/>
            <w:noWrap/>
            <w:vAlign w:val="bottom"/>
            <w:hideMark/>
          </w:tcPr>
          <w:p w:rsidR="008A26E0" w:rsidRPr="002E2FD1" w:rsidRDefault="008A26E0" w:rsidP="006D2FFB">
            <w:pPr>
              <w:keepNext/>
              <w:keepLines/>
              <w:spacing w:before="60" w:after="60" w:line="260" w:lineRule="exact"/>
              <w:jc w:val="center"/>
              <w:rPr>
                <w:color w:val="000000"/>
                <w:sz w:val="20"/>
                <w:szCs w:val="26"/>
              </w:rPr>
            </w:pPr>
            <w:r>
              <w:rPr>
                <w:color w:val="000000"/>
                <w:sz w:val="20"/>
                <w:szCs w:val="26"/>
              </w:rPr>
              <w:t>5</w:t>
            </w:r>
          </w:p>
        </w:tc>
        <w:tc>
          <w:tcPr>
            <w:tcW w:w="288" w:type="pct"/>
            <w:tcBorders>
              <w:top w:val="single" w:sz="8" w:space="0" w:color="auto"/>
              <w:left w:val="single" w:sz="4" w:space="0" w:color="auto"/>
              <w:bottom w:val="single" w:sz="4" w:space="0" w:color="auto"/>
              <w:right w:val="single" w:sz="4" w:space="0" w:color="auto"/>
            </w:tcBorders>
            <w:shd w:val="clear" w:color="auto" w:fill="auto"/>
          </w:tcPr>
          <w:p w:rsidR="008A26E0" w:rsidRPr="002E2FD1" w:rsidRDefault="008A26E0" w:rsidP="006D2FFB">
            <w:pPr>
              <w:keepNext/>
              <w:keepLines/>
              <w:spacing w:before="60" w:after="60" w:line="260" w:lineRule="exact"/>
              <w:jc w:val="center"/>
              <w:rPr>
                <w:sz w:val="20"/>
                <w:szCs w:val="26"/>
              </w:rPr>
            </w:pPr>
            <w:r w:rsidRPr="002E2FD1">
              <w:rPr>
                <w:sz w:val="20"/>
                <w:szCs w:val="26"/>
              </w:rPr>
              <w:t>4</w:t>
            </w:r>
          </w:p>
        </w:tc>
        <w:tc>
          <w:tcPr>
            <w:tcW w:w="392" w:type="pct"/>
            <w:tcBorders>
              <w:top w:val="single" w:sz="8" w:space="0" w:color="auto"/>
              <w:left w:val="single" w:sz="4" w:space="0" w:color="auto"/>
              <w:bottom w:val="single" w:sz="4" w:space="0" w:color="auto"/>
              <w:right w:val="single" w:sz="4" w:space="0" w:color="auto"/>
            </w:tcBorders>
            <w:shd w:val="clear" w:color="auto" w:fill="auto"/>
          </w:tcPr>
          <w:p w:rsidR="008A26E0" w:rsidRPr="002E2FD1" w:rsidRDefault="008A26E0" w:rsidP="006D2FFB">
            <w:pPr>
              <w:keepNext/>
              <w:keepLines/>
              <w:spacing w:before="60" w:after="60" w:line="260" w:lineRule="exact"/>
              <w:jc w:val="center"/>
              <w:rPr>
                <w:sz w:val="20"/>
                <w:szCs w:val="26"/>
              </w:rPr>
            </w:pPr>
            <w:r w:rsidRPr="002E2FD1">
              <w:rPr>
                <w:sz w:val="20"/>
                <w:szCs w:val="26"/>
              </w:rPr>
              <w:t>2</w:t>
            </w:r>
          </w:p>
        </w:tc>
        <w:tc>
          <w:tcPr>
            <w:tcW w:w="377" w:type="pct"/>
            <w:tcBorders>
              <w:top w:val="single" w:sz="8" w:space="0" w:color="auto"/>
              <w:left w:val="single" w:sz="4" w:space="0" w:color="auto"/>
              <w:bottom w:val="single" w:sz="4" w:space="0" w:color="auto"/>
              <w:right w:val="single" w:sz="8" w:space="0" w:color="auto"/>
            </w:tcBorders>
            <w:shd w:val="clear" w:color="000000" w:fill="AEAAAA"/>
            <w:noWrap/>
            <w:vAlign w:val="bottom"/>
            <w:hideMark/>
          </w:tcPr>
          <w:p w:rsidR="008A26E0" w:rsidRPr="002E2FD1" w:rsidRDefault="008A26E0" w:rsidP="006D2FFB">
            <w:pPr>
              <w:keepNext/>
              <w:keepLines/>
              <w:spacing w:before="60" w:after="60" w:line="260" w:lineRule="exact"/>
              <w:jc w:val="center"/>
              <w:rPr>
                <w:b/>
                <w:bCs/>
                <w:sz w:val="20"/>
                <w:szCs w:val="26"/>
              </w:rPr>
            </w:pPr>
            <w:r w:rsidRPr="002E2FD1">
              <w:rPr>
                <w:b/>
                <w:bCs/>
                <w:sz w:val="20"/>
                <w:szCs w:val="26"/>
              </w:rPr>
              <w:t>32</w:t>
            </w:r>
          </w:p>
        </w:tc>
      </w:tr>
      <w:tr w:rsidR="008A26E0" w:rsidRPr="00B52E14" w:rsidTr="00332040">
        <w:trPr>
          <w:trHeight w:val="300"/>
        </w:trPr>
        <w:tc>
          <w:tcPr>
            <w:tcW w:w="1393" w:type="pct"/>
            <w:tcBorders>
              <w:top w:val="nil"/>
              <w:left w:val="single" w:sz="8" w:space="0" w:color="auto"/>
              <w:bottom w:val="single" w:sz="4" w:space="0" w:color="auto"/>
              <w:right w:val="single" w:sz="4" w:space="0" w:color="auto"/>
            </w:tcBorders>
            <w:shd w:val="clear" w:color="auto" w:fill="auto"/>
            <w:noWrap/>
            <w:hideMark/>
          </w:tcPr>
          <w:p w:rsidR="008A26E0" w:rsidRPr="00B52E14" w:rsidRDefault="008A26E0" w:rsidP="006D2FFB">
            <w:pPr>
              <w:pStyle w:val="Tabletexte"/>
              <w:keepNext/>
              <w:keepLines/>
              <w:rPr>
                <w:highlight w:val="cyan"/>
              </w:rPr>
            </w:pPr>
            <w:r w:rsidRPr="002E2FD1">
              <w:rPr>
                <w:rtl/>
              </w:rPr>
              <w:t xml:space="preserve">التوصيات </w:t>
            </w:r>
            <w:proofErr w:type="gramStart"/>
            <w:r w:rsidRPr="002E2FD1">
              <w:rPr>
                <w:rtl/>
              </w:rPr>
              <w:t>- المجموع</w:t>
            </w:r>
            <w:proofErr w:type="gramEnd"/>
          </w:p>
        </w:tc>
        <w:tc>
          <w:tcPr>
            <w:tcW w:w="377" w:type="pct"/>
            <w:tcBorders>
              <w:top w:val="nil"/>
              <w:left w:val="nil"/>
              <w:bottom w:val="single" w:sz="4"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17</w:t>
            </w:r>
          </w:p>
        </w:tc>
        <w:tc>
          <w:tcPr>
            <w:tcW w:w="377" w:type="pct"/>
            <w:tcBorders>
              <w:top w:val="nil"/>
              <w:left w:val="nil"/>
              <w:bottom w:val="single" w:sz="4"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rFonts w:hint="cs"/>
                <w:color w:val="000000"/>
                <w:sz w:val="20"/>
                <w:szCs w:val="26"/>
                <w:rtl/>
              </w:rPr>
              <w:t>-</w:t>
            </w:r>
          </w:p>
        </w:tc>
        <w:tc>
          <w:tcPr>
            <w:tcW w:w="377" w:type="pct"/>
            <w:tcBorders>
              <w:top w:val="nil"/>
              <w:left w:val="nil"/>
              <w:bottom w:val="single" w:sz="4" w:space="0" w:color="auto"/>
              <w:right w:val="single" w:sz="4" w:space="0" w:color="auto"/>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113</w:t>
            </w:r>
          </w:p>
        </w:tc>
        <w:tc>
          <w:tcPr>
            <w:tcW w:w="377" w:type="pct"/>
            <w:tcBorders>
              <w:top w:val="nil"/>
              <w:left w:val="nil"/>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55</w:t>
            </w:r>
          </w:p>
        </w:tc>
        <w:tc>
          <w:tcPr>
            <w:tcW w:w="377" w:type="pct"/>
            <w:tcBorders>
              <w:top w:val="nil"/>
              <w:left w:val="single" w:sz="4" w:space="0" w:color="auto"/>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34</w:t>
            </w:r>
          </w:p>
        </w:tc>
        <w:tc>
          <w:tcPr>
            <w:tcW w:w="377" w:type="pct"/>
            <w:tcBorders>
              <w:top w:val="nil"/>
              <w:left w:val="single" w:sz="4" w:space="0" w:color="auto"/>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22</w:t>
            </w:r>
          </w:p>
        </w:tc>
        <w:tc>
          <w:tcPr>
            <w:tcW w:w="288" w:type="pct"/>
            <w:tcBorders>
              <w:top w:val="nil"/>
              <w:left w:val="single" w:sz="4" w:space="0" w:color="auto"/>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Pr>
                <w:color w:val="000000"/>
                <w:sz w:val="20"/>
                <w:szCs w:val="26"/>
              </w:rPr>
              <w:t>30</w:t>
            </w:r>
          </w:p>
        </w:tc>
        <w:tc>
          <w:tcPr>
            <w:tcW w:w="288" w:type="pct"/>
            <w:tcBorders>
              <w:top w:val="nil"/>
              <w:left w:val="single" w:sz="4" w:space="0" w:color="auto"/>
              <w:bottom w:val="single" w:sz="4" w:space="0" w:color="auto"/>
              <w:right w:val="single" w:sz="4" w:space="0" w:color="auto"/>
            </w:tcBorders>
            <w:shd w:val="clear" w:color="auto" w:fill="auto"/>
          </w:tcPr>
          <w:p w:rsidR="008A26E0" w:rsidRPr="002E2FD1" w:rsidRDefault="008A26E0" w:rsidP="006D2FFB">
            <w:pPr>
              <w:spacing w:before="60" w:after="60" w:line="260" w:lineRule="exact"/>
              <w:jc w:val="center"/>
              <w:rPr>
                <w:sz w:val="20"/>
                <w:szCs w:val="26"/>
              </w:rPr>
            </w:pPr>
            <w:r w:rsidRPr="002E2FD1">
              <w:rPr>
                <w:sz w:val="20"/>
                <w:szCs w:val="26"/>
              </w:rPr>
              <w:t>26</w:t>
            </w:r>
          </w:p>
        </w:tc>
        <w:tc>
          <w:tcPr>
            <w:tcW w:w="392" w:type="pct"/>
            <w:tcBorders>
              <w:top w:val="nil"/>
              <w:left w:val="single" w:sz="4" w:space="0" w:color="auto"/>
              <w:bottom w:val="single" w:sz="4" w:space="0" w:color="auto"/>
              <w:right w:val="single" w:sz="4" w:space="0" w:color="auto"/>
            </w:tcBorders>
            <w:shd w:val="clear" w:color="auto" w:fill="auto"/>
          </w:tcPr>
          <w:p w:rsidR="008A26E0" w:rsidRPr="002E2FD1" w:rsidRDefault="008A26E0" w:rsidP="006D2FFB">
            <w:pPr>
              <w:spacing w:before="60" w:after="60" w:line="260" w:lineRule="exact"/>
              <w:jc w:val="center"/>
              <w:rPr>
                <w:sz w:val="20"/>
                <w:szCs w:val="26"/>
              </w:rPr>
            </w:pPr>
            <w:r w:rsidRPr="002E2FD1">
              <w:rPr>
                <w:sz w:val="20"/>
                <w:szCs w:val="26"/>
              </w:rPr>
              <w:t>15</w:t>
            </w:r>
          </w:p>
        </w:tc>
        <w:tc>
          <w:tcPr>
            <w:tcW w:w="377" w:type="pct"/>
            <w:tcBorders>
              <w:top w:val="nil"/>
              <w:left w:val="single" w:sz="4" w:space="0" w:color="auto"/>
              <w:bottom w:val="single" w:sz="4" w:space="0" w:color="auto"/>
              <w:right w:val="single" w:sz="8" w:space="0" w:color="auto"/>
            </w:tcBorders>
            <w:shd w:val="clear" w:color="000000" w:fill="AEAAAA"/>
            <w:noWrap/>
            <w:vAlign w:val="bottom"/>
            <w:hideMark/>
          </w:tcPr>
          <w:p w:rsidR="008A26E0" w:rsidRPr="002E2FD1" w:rsidRDefault="008A26E0" w:rsidP="006D2FFB">
            <w:pPr>
              <w:spacing w:before="60" w:after="60" w:line="260" w:lineRule="exact"/>
              <w:jc w:val="center"/>
              <w:rPr>
                <w:b/>
                <w:bCs/>
                <w:sz w:val="20"/>
                <w:szCs w:val="26"/>
              </w:rPr>
            </w:pPr>
            <w:r w:rsidRPr="002E2FD1">
              <w:rPr>
                <w:b/>
                <w:bCs/>
                <w:sz w:val="20"/>
                <w:szCs w:val="26"/>
              </w:rPr>
              <w:t>312</w:t>
            </w:r>
          </w:p>
        </w:tc>
      </w:tr>
      <w:tr w:rsidR="008A26E0" w:rsidRPr="00B52E14" w:rsidTr="00332040">
        <w:trPr>
          <w:trHeight w:val="300"/>
        </w:trPr>
        <w:tc>
          <w:tcPr>
            <w:tcW w:w="1393" w:type="pct"/>
            <w:tcBorders>
              <w:top w:val="nil"/>
              <w:left w:val="single" w:sz="8" w:space="0" w:color="auto"/>
              <w:bottom w:val="single" w:sz="4" w:space="0" w:color="auto"/>
              <w:right w:val="single" w:sz="4" w:space="0" w:color="auto"/>
            </w:tcBorders>
            <w:shd w:val="clear" w:color="auto" w:fill="auto"/>
            <w:noWrap/>
            <w:hideMark/>
          </w:tcPr>
          <w:p w:rsidR="008A26E0" w:rsidRPr="00B52E14" w:rsidRDefault="008A26E0" w:rsidP="00655FD5">
            <w:pPr>
              <w:pStyle w:val="Tabletexte"/>
              <w:keepNext/>
              <w:keepLines/>
              <w:ind w:left="284"/>
              <w:rPr>
                <w:highlight w:val="cyan"/>
              </w:rPr>
            </w:pPr>
            <w:r w:rsidRPr="002E2FD1">
              <w:rPr>
                <w:rtl/>
              </w:rPr>
              <w:t>التوصيات الجاري تنفيذها</w:t>
            </w:r>
          </w:p>
        </w:tc>
        <w:tc>
          <w:tcPr>
            <w:tcW w:w="377" w:type="pct"/>
            <w:tcBorders>
              <w:top w:val="nil"/>
              <w:left w:val="nil"/>
              <w:bottom w:val="single" w:sz="4" w:space="0" w:color="auto"/>
              <w:right w:val="single" w:sz="4" w:space="0" w:color="auto"/>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0</w:t>
            </w:r>
          </w:p>
        </w:tc>
        <w:tc>
          <w:tcPr>
            <w:tcW w:w="377" w:type="pct"/>
            <w:tcBorders>
              <w:top w:val="nil"/>
              <w:left w:val="nil"/>
              <w:bottom w:val="single" w:sz="4"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rFonts w:hint="cs"/>
                <w:color w:val="000000"/>
                <w:sz w:val="20"/>
                <w:szCs w:val="26"/>
                <w:rtl/>
              </w:rPr>
              <w:t>-</w:t>
            </w:r>
          </w:p>
        </w:tc>
        <w:tc>
          <w:tcPr>
            <w:tcW w:w="377" w:type="pct"/>
            <w:tcBorders>
              <w:top w:val="nil"/>
              <w:left w:val="nil"/>
              <w:bottom w:val="single" w:sz="4" w:space="0" w:color="auto"/>
              <w:right w:val="single" w:sz="4" w:space="0" w:color="auto"/>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Pr>
                <w:color w:val="000000"/>
                <w:sz w:val="20"/>
                <w:szCs w:val="26"/>
              </w:rPr>
              <w:t>5</w:t>
            </w:r>
          </w:p>
        </w:tc>
        <w:tc>
          <w:tcPr>
            <w:tcW w:w="377" w:type="pct"/>
            <w:tcBorders>
              <w:top w:val="nil"/>
              <w:left w:val="nil"/>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Pr>
                <w:color w:val="000000"/>
                <w:sz w:val="20"/>
                <w:szCs w:val="26"/>
              </w:rPr>
              <w:t>2</w:t>
            </w:r>
          </w:p>
        </w:tc>
        <w:tc>
          <w:tcPr>
            <w:tcW w:w="377" w:type="pct"/>
            <w:tcBorders>
              <w:top w:val="nil"/>
              <w:left w:val="single" w:sz="4" w:space="0" w:color="auto"/>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Pr>
                <w:color w:val="000000"/>
                <w:sz w:val="20"/>
                <w:szCs w:val="26"/>
              </w:rPr>
              <w:t>4</w:t>
            </w:r>
          </w:p>
        </w:tc>
        <w:tc>
          <w:tcPr>
            <w:tcW w:w="377" w:type="pct"/>
            <w:tcBorders>
              <w:top w:val="nil"/>
              <w:left w:val="single" w:sz="4" w:space="0" w:color="auto"/>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Pr>
                <w:color w:val="000000"/>
                <w:sz w:val="20"/>
                <w:szCs w:val="26"/>
              </w:rPr>
              <w:t>8</w:t>
            </w:r>
          </w:p>
        </w:tc>
        <w:tc>
          <w:tcPr>
            <w:tcW w:w="288" w:type="pct"/>
            <w:tcBorders>
              <w:top w:val="nil"/>
              <w:left w:val="single" w:sz="4" w:space="0" w:color="auto"/>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Pr>
                <w:color w:val="000000"/>
                <w:sz w:val="20"/>
                <w:szCs w:val="26"/>
              </w:rPr>
              <w:t>18</w:t>
            </w:r>
          </w:p>
        </w:tc>
        <w:tc>
          <w:tcPr>
            <w:tcW w:w="288" w:type="pct"/>
            <w:tcBorders>
              <w:top w:val="nil"/>
              <w:left w:val="single" w:sz="4" w:space="0" w:color="auto"/>
              <w:bottom w:val="single" w:sz="4" w:space="0" w:color="auto"/>
              <w:right w:val="single" w:sz="4" w:space="0" w:color="auto"/>
            </w:tcBorders>
            <w:shd w:val="clear" w:color="auto" w:fill="auto"/>
          </w:tcPr>
          <w:p w:rsidR="008A26E0" w:rsidRPr="002E2FD1" w:rsidRDefault="008A26E0" w:rsidP="006D2FFB">
            <w:pPr>
              <w:spacing w:before="60" w:after="60" w:line="260" w:lineRule="exact"/>
              <w:jc w:val="center"/>
              <w:rPr>
                <w:sz w:val="20"/>
                <w:szCs w:val="26"/>
              </w:rPr>
            </w:pPr>
            <w:r w:rsidRPr="002E2FD1">
              <w:rPr>
                <w:sz w:val="20"/>
                <w:szCs w:val="26"/>
              </w:rPr>
              <w:t>19</w:t>
            </w:r>
          </w:p>
        </w:tc>
        <w:tc>
          <w:tcPr>
            <w:tcW w:w="392" w:type="pct"/>
            <w:tcBorders>
              <w:top w:val="nil"/>
              <w:left w:val="single" w:sz="4" w:space="0" w:color="auto"/>
              <w:bottom w:val="single" w:sz="4" w:space="0" w:color="auto"/>
              <w:right w:val="single" w:sz="4" w:space="0" w:color="auto"/>
            </w:tcBorders>
            <w:shd w:val="clear" w:color="auto" w:fill="auto"/>
          </w:tcPr>
          <w:p w:rsidR="008A26E0" w:rsidRPr="002E2FD1" w:rsidRDefault="008A26E0" w:rsidP="006D2FFB">
            <w:pPr>
              <w:spacing w:before="60" w:after="60" w:line="260" w:lineRule="exact"/>
              <w:jc w:val="center"/>
              <w:rPr>
                <w:sz w:val="20"/>
                <w:szCs w:val="26"/>
              </w:rPr>
            </w:pPr>
            <w:r w:rsidRPr="002E2FD1">
              <w:rPr>
                <w:sz w:val="20"/>
                <w:szCs w:val="26"/>
              </w:rPr>
              <w:t>15</w:t>
            </w:r>
          </w:p>
        </w:tc>
        <w:tc>
          <w:tcPr>
            <w:tcW w:w="377" w:type="pct"/>
            <w:tcBorders>
              <w:top w:val="nil"/>
              <w:left w:val="single" w:sz="4" w:space="0" w:color="auto"/>
              <w:bottom w:val="single" w:sz="4" w:space="0" w:color="auto"/>
              <w:right w:val="single" w:sz="8" w:space="0" w:color="auto"/>
            </w:tcBorders>
            <w:shd w:val="clear" w:color="000000" w:fill="AEAAAA"/>
            <w:noWrap/>
            <w:vAlign w:val="bottom"/>
            <w:hideMark/>
          </w:tcPr>
          <w:p w:rsidR="008A26E0" w:rsidRPr="002E2FD1" w:rsidRDefault="008A26E0" w:rsidP="006D2FFB">
            <w:pPr>
              <w:spacing w:before="60" w:after="60" w:line="260" w:lineRule="exact"/>
              <w:jc w:val="center"/>
              <w:rPr>
                <w:b/>
                <w:bCs/>
                <w:sz w:val="20"/>
                <w:szCs w:val="26"/>
              </w:rPr>
            </w:pPr>
            <w:r w:rsidRPr="002E2FD1">
              <w:rPr>
                <w:b/>
                <w:bCs/>
                <w:sz w:val="20"/>
                <w:szCs w:val="26"/>
              </w:rPr>
              <w:t>71</w:t>
            </w:r>
          </w:p>
        </w:tc>
      </w:tr>
      <w:tr w:rsidR="008A26E0" w:rsidRPr="00B52E14" w:rsidTr="00332040">
        <w:trPr>
          <w:trHeight w:val="300"/>
        </w:trPr>
        <w:tc>
          <w:tcPr>
            <w:tcW w:w="1393" w:type="pct"/>
            <w:tcBorders>
              <w:top w:val="nil"/>
              <w:left w:val="single" w:sz="8" w:space="0" w:color="auto"/>
              <w:bottom w:val="single" w:sz="4" w:space="0" w:color="auto"/>
              <w:right w:val="single" w:sz="4" w:space="0" w:color="auto"/>
            </w:tcBorders>
            <w:shd w:val="clear" w:color="auto" w:fill="auto"/>
            <w:noWrap/>
            <w:hideMark/>
          </w:tcPr>
          <w:p w:rsidR="008A26E0" w:rsidRPr="00B52E14" w:rsidRDefault="008A26E0" w:rsidP="00655FD5">
            <w:pPr>
              <w:pStyle w:val="Tabletexte"/>
              <w:keepNext/>
              <w:keepLines/>
              <w:ind w:left="284"/>
              <w:rPr>
                <w:highlight w:val="cyan"/>
              </w:rPr>
            </w:pPr>
            <w:r w:rsidRPr="002E2FD1">
              <w:rPr>
                <w:rtl/>
              </w:rPr>
              <w:t>التوصيات المتأخَر في تنفيذها</w:t>
            </w:r>
          </w:p>
        </w:tc>
        <w:tc>
          <w:tcPr>
            <w:tcW w:w="377" w:type="pct"/>
            <w:tcBorders>
              <w:top w:val="nil"/>
              <w:left w:val="nil"/>
              <w:bottom w:val="single" w:sz="4" w:space="0" w:color="auto"/>
              <w:right w:val="single" w:sz="4" w:space="0" w:color="auto"/>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3</w:t>
            </w:r>
          </w:p>
        </w:tc>
        <w:tc>
          <w:tcPr>
            <w:tcW w:w="377" w:type="pct"/>
            <w:tcBorders>
              <w:top w:val="nil"/>
              <w:left w:val="nil"/>
              <w:bottom w:val="single" w:sz="4"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rFonts w:hint="cs"/>
                <w:color w:val="000000"/>
                <w:sz w:val="20"/>
                <w:szCs w:val="26"/>
                <w:rtl/>
              </w:rPr>
              <w:t>-</w:t>
            </w:r>
          </w:p>
        </w:tc>
        <w:tc>
          <w:tcPr>
            <w:tcW w:w="377" w:type="pct"/>
            <w:tcBorders>
              <w:top w:val="nil"/>
              <w:left w:val="nil"/>
              <w:bottom w:val="single" w:sz="4" w:space="0" w:color="auto"/>
              <w:right w:val="single" w:sz="4" w:space="0" w:color="auto"/>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0</w:t>
            </w:r>
          </w:p>
        </w:tc>
        <w:tc>
          <w:tcPr>
            <w:tcW w:w="377" w:type="pct"/>
            <w:tcBorders>
              <w:top w:val="nil"/>
              <w:left w:val="nil"/>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0</w:t>
            </w:r>
          </w:p>
        </w:tc>
        <w:tc>
          <w:tcPr>
            <w:tcW w:w="377" w:type="pct"/>
            <w:tcBorders>
              <w:top w:val="nil"/>
              <w:left w:val="single" w:sz="4" w:space="0" w:color="auto"/>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0</w:t>
            </w:r>
          </w:p>
        </w:tc>
        <w:tc>
          <w:tcPr>
            <w:tcW w:w="377" w:type="pct"/>
            <w:tcBorders>
              <w:top w:val="nil"/>
              <w:left w:val="single" w:sz="4" w:space="0" w:color="auto"/>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0</w:t>
            </w:r>
          </w:p>
        </w:tc>
        <w:tc>
          <w:tcPr>
            <w:tcW w:w="288" w:type="pct"/>
            <w:tcBorders>
              <w:top w:val="nil"/>
              <w:left w:val="single" w:sz="4" w:space="0" w:color="auto"/>
              <w:bottom w:val="single" w:sz="4"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0</w:t>
            </w:r>
          </w:p>
        </w:tc>
        <w:tc>
          <w:tcPr>
            <w:tcW w:w="288" w:type="pct"/>
            <w:tcBorders>
              <w:top w:val="nil"/>
              <w:left w:val="single" w:sz="4" w:space="0" w:color="auto"/>
              <w:bottom w:val="single" w:sz="4" w:space="0" w:color="auto"/>
              <w:right w:val="single" w:sz="4" w:space="0" w:color="auto"/>
            </w:tcBorders>
            <w:shd w:val="clear" w:color="auto" w:fill="auto"/>
          </w:tcPr>
          <w:p w:rsidR="008A26E0" w:rsidRPr="002E2FD1" w:rsidRDefault="008A26E0" w:rsidP="006D2FFB">
            <w:pPr>
              <w:spacing w:before="60" w:after="60" w:line="260" w:lineRule="exact"/>
              <w:jc w:val="center"/>
              <w:rPr>
                <w:sz w:val="20"/>
                <w:szCs w:val="26"/>
              </w:rPr>
            </w:pPr>
            <w:r w:rsidRPr="002E2FD1">
              <w:rPr>
                <w:sz w:val="20"/>
                <w:szCs w:val="26"/>
              </w:rPr>
              <w:t>1</w:t>
            </w:r>
          </w:p>
        </w:tc>
        <w:tc>
          <w:tcPr>
            <w:tcW w:w="392" w:type="pct"/>
            <w:tcBorders>
              <w:top w:val="nil"/>
              <w:left w:val="single" w:sz="4" w:space="0" w:color="auto"/>
              <w:bottom w:val="single" w:sz="4" w:space="0" w:color="auto"/>
              <w:right w:val="single" w:sz="4" w:space="0" w:color="auto"/>
            </w:tcBorders>
            <w:shd w:val="clear" w:color="auto" w:fill="auto"/>
          </w:tcPr>
          <w:p w:rsidR="008A26E0" w:rsidRPr="002E2FD1" w:rsidRDefault="008A26E0" w:rsidP="006D2FFB">
            <w:pPr>
              <w:spacing w:before="60" w:after="60" w:line="260" w:lineRule="exact"/>
              <w:jc w:val="center"/>
              <w:rPr>
                <w:sz w:val="20"/>
                <w:szCs w:val="26"/>
              </w:rPr>
            </w:pPr>
            <w:r w:rsidRPr="002E2FD1">
              <w:rPr>
                <w:sz w:val="20"/>
                <w:szCs w:val="26"/>
              </w:rPr>
              <w:t>0</w:t>
            </w:r>
          </w:p>
        </w:tc>
        <w:tc>
          <w:tcPr>
            <w:tcW w:w="377" w:type="pct"/>
            <w:tcBorders>
              <w:top w:val="nil"/>
              <w:left w:val="single" w:sz="4" w:space="0" w:color="auto"/>
              <w:bottom w:val="single" w:sz="4" w:space="0" w:color="auto"/>
              <w:right w:val="single" w:sz="8" w:space="0" w:color="auto"/>
            </w:tcBorders>
            <w:shd w:val="clear" w:color="000000" w:fill="AEAAAA"/>
            <w:noWrap/>
            <w:vAlign w:val="bottom"/>
            <w:hideMark/>
          </w:tcPr>
          <w:p w:rsidR="008A26E0" w:rsidRPr="002E2FD1" w:rsidRDefault="008A26E0" w:rsidP="006D2FFB">
            <w:pPr>
              <w:spacing w:before="60" w:after="60" w:line="260" w:lineRule="exact"/>
              <w:jc w:val="center"/>
              <w:rPr>
                <w:b/>
                <w:bCs/>
                <w:sz w:val="20"/>
                <w:szCs w:val="26"/>
              </w:rPr>
            </w:pPr>
            <w:r w:rsidRPr="002E2FD1">
              <w:rPr>
                <w:b/>
                <w:bCs/>
                <w:sz w:val="20"/>
                <w:szCs w:val="26"/>
              </w:rPr>
              <w:t>4</w:t>
            </w:r>
          </w:p>
        </w:tc>
      </w:tr>
      <w:tr w:rsidR="008A26E0" w:rsidRPr="00B52E14" w:rsidTr="00332040">
        <w:trPr>
          <w:trHeight w:val="315"/>
        </w:trPr>
        <w:tc>
          <w:tcPr>
            <w:tcW w:w="1393" w:type="pct"/>
            <w:tcBorders>
              <w:top w:val="nil"/>
              <w:left w:val="single" w:sz="8" w:space="0" w:color="auto"/>
              <w:bottom w:val="single" w:sz="8" w:space="0" w:color="auto"/>
              <w:right w:val="single" w:sz="4" w:space="0" w:color="auto"/>
            </w:tcBorders>
            <w:shd w:val="clear" w:color="auto" w:fill="auto"/>
            <w:noWrap/>
            <w:hideMark/>
          </w:tcPr>
          <w:p w:rsidR="008A26E0" w:rsidRPr="002E2FD1" w:rsidRDefault="008A26E0" w:rsidP="00655FD5">
            <w:pPr>
              <w:pStyle w:val="Tabletexte"/>
              <w:keepNext/>
              <w:keepLines/>
              <w:tabs>
                <w:tab w:val="right" w:pos="2792"/>
              </w:tabs>
              <w:ind w:left="284"/>
            </w:pPr>
            <w:r w:rsidRPr="002E2FD1">
              <w:rPr>
                <w:rtl/>
              </w:rPr>
              <w:t>التوصيات التي أُقفل</w:t>
            </w:r>
            <w:r w:rsidR="001E0878">
              <w:rPr>
                <w:rFonts w:hint="cs"/>
                <w:rtl/>
              </w:rPr>
              <w:t xml:space="preserve"> ملفها</w:t>
            </w:r>
          </w:p>
        </w:tc>
        <w:tc>
          <w:tcPr>
            <w:tcW w:w="377" w:type="pct"/>
            <w:tcBorders>
              <w:top w:val="nil"/>
              <w:left w:val="nil"/>
              <w:bottom w:val="single" w:sz="8" w:space="0" w:color="auto"/>
              <w:right w:val="single" w:sz="4" w:space="0" w:color="auto"/>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14</w:t>
            </w:r>
          </w:p>
        </w:tc>
        <w:tc>
          <w:tcPr>
            <w:tcW w:w="377" w:type="pct"/>
            <w:tcBorders>
              <w:top w:val="nil"/>
              <w:left w:val="nil"/>
              <w:bottom w:val="single" w:sz="8"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rFonts w:hint="cs"/>
                <w:color w:val="000000"/>
                <w:sz w:val="20"/>
                <w:szCs w:val="26"/>
                <w:rtl/>
              </w:rPr>
              <w:t>-</w:t>
            </w:r>
          </w:p>
        </w:tc>
        <w:tc>
          <w:tcPr>
            <w:tcW w:w="377" w:type="pct"/>
            <w:tcBorders>
              <w:top w:val="nil"/>
              <w:left w:val="nil"/>
              <w:bottom w:val="single" w:sz="8" w:space="0" w:color="auto"/>
              <w:right w:val="single" w:sz="4" w:space="0" w:color="auto"/>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Pr>
                <w:color w:val="000000"/>
                <w:sz w:val="20"/>
                <w:szCs w:val="26"/>
              </w:rPr>
              <w:t>108</w:t>
            </w:r>
          </w:p>
        </w:tc>
        <w:tc>
          <w:tcPr>
            <w:tcW w:w="377" w:type="pct"/>
            <w:tcBorders>
              <w:top w:val="nil"/>
              <w:left w:val="nil"/>
              <w:bottom w:val="single" w:sz="8"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Pr>
                <w:color w:val="000000"/>
                <w:sz w:val="20"/>
                <w:szCs w:val="26"/>
              </w:rPr>
              <w:t>53</w:t>
            </w:r>
          </w:p>
        </w:tc>
        <w:tc>
          <w:tcPr>
            <w:tcW w:w="377" w:type="pct"/>
            <w:tcBorders>
              <w:top w:val="nil"/>
              <w:left w:val="single" w:sz="4" w:space="0" w:color="auto"/>
              <w:bottom w:val="single" w:sz="8"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Pr>
                <w:color w:val="000000"/>
                <w:sz w:val="20"/>
                <w:szCs w:val="26"/>
              </w:rPr>
              <w:t>30</w:t>
            </w:r>
          </w:p>
        </w:tc>
        <w:tc>
          <w:tcPr>
            <w:tcW w:w="377" w:type="pct"/>
            <w:tcBorders>
              <w:top w:val="nil"/>
              <w:left w:val="single" w:sz="4" w:space="0" w:color="auto"/>
              <w:bottom w:val="single" w:sz="8"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Pr>
                <w:color w:val="000000"/>
                <w:sz w:val="20"/>
                <w:szCs w:val="26"/>
              </w:rPr>
              <w:t>14</w:t>
            </w:r>
          </w:p>
        </w:tc>
        <w:tc>
          <w:tcPr>
            <w:tcW w:w="288" w:type="pct"/>
            <w:tcBorders>
              <w:top w:val="nil"/>
              <w:left w:val="single" w:sz="4" w:space="0" w:color="auto"/>
              <w:bottom w:val="single" w:sz="8" w:space="0" w:color="auto"/>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Pr>
                <w:color w:val="000000"/>
                <w:sz w:val="20"/>
                <w:szCs w:val="26"/>
              </w:rPr>
              <w:t>12</w:t>
            </w:r>
          </w:p>
        </w:tc>
        <w:tc>
          <w:tcPr>
            <w:tcW w:w="288" w:type="pct"/>
            <w:tcBorders>
              <w:top w:val="nil"/>
              <w:left w:val="single" w:sz="4" w:space="0" w:color="auto"/>
              <w:bottom w:val="single" w:sz="8" w:space="0" w:color="auto"/>
              <w:right w:val="single" w:sz="4" w:space="0" w:color="auto"/>
            </w:tcBorders>
            <w:shd w:val="clear" w:color="auto" w:fill="auto"/>
          </w:tcPr>
          <w:p w:rsidR="008A26E0" w:rsidRPr="002E2FD1" w:rsidRDefault="008A26E0" w:rsidP="006D2FFB">
            <w:pPr>
              <w:spacing w:before="60" w:after="60" w:line="260" w:lineRule="exact"/>
              <w:jc w:val="center"/>
              <w:rPr>
                <w:sz w:val="20"/>
                <w:szCs w:val="26"/>
              </w:rPr>
            </w:pPr>
            <w:r w:rsidRPr="002E2FD1">
              <w:rPr>
                <w:sz w:val="20"/>
                <w:szCs w:val="26"/>
              </w:rPr>
              <w:t>6</w:t>
            </w:r>
          </w:p>
        </w:tc>
        <w:tc>
          <w:tcPr>
            <w:tcW w:w="392" w:type="pct"/>
            <w:tcBorders>
              <w:top w:val="nil"/>
              <w:left w:val="single" w:sz="4" w:space="0" w:color="auto"/>
              <w:bottom w:val="single" w:sz="8" w:space="0" w:color="auto"/>
              <w:right w:val="single" w:sz="4" w:space="0" w:color="auto"/>
            </w:tcBorders>
            <w:shd w:val="clear" w:color="auto" w:fill="auto"/>
          </w:tcPr>
          <w:p w:rsidR="008A26E0" w:rsidRPr="002E2FD1" w:rsidRDefault="008A26E0" w:rsidP="006D2FFB">
            <w:pPr>
              <w:spacing w:before="60" w:after="60" w:line="260" w:lineRule="exact"/>
              <w:jc w:val="center"/>
              <w:rPr>
                <w:sz w:val="20"/>
                <w:szCs w:val="26"/>
              </w:rPr>
            </w:pPr>
            <w:r w:rsidRPr="002E2FD1">
              <w:rPr>
                <w:sz w:val="20"/>
                <w:szCs w:val="26"/>
              </w:rPr>
              <w:t>0</w:t>
            </w:r>
          </w:p>
        </w:tc>
        <w:tc>
          <w:tcPr>
            <w:tcW w:w="377" w:type="pct"/>
            <w:tcBorders>
              <w:top w:val="nil"/>
              <w:left w:val="single" w:sz="4" w:space="0" w:color="auto"/>
              <w:bottom w:val="single" w:sz="8" w:space="0" w:color="auto"/>
              <w:right w:val="single" w:sz="8" w:space="0" w:color="auto"/>
            </w:tcBorders>
            <w:shd w:val="clear" w:color="000000" w:fill="AEAAAA"/>
            <w:noWrap/>
            <w:vAlign w:val="bottom"/>
            <w:hideMark/>
          </w:tcPr>
          <w:p w:rsidR="008A26E0" w:rsidRPr="002E2FD1" w:rsidRDefault="008A26E0" w:rsidP="006D2FFB">
            <w:pPr>
              <w:spacing w:before="60" w:after="60" w:line="260" w:lineRule="exact"/>
              <w:jc w:val="center"/>
              <w:rPr>
                <w:b/>
                <w:bCs/>
                <w:sz w:val="20"/>
                <w:szCs w:val="26"/>
              </w:rPr>
            </w:pPr>
            <w:r w:rsidRPr="002E2FD1">
              <w:rPr>
                <w:b/>
                <w:bCs/>
                <w:sz w:val="20"/>
                <w:szCs w:val="26"/>
              </w:rPr>
              <w:t>237</w:t>
            </w:r>
          </w:p>
        </w:tc>
      </w:tr>
      <w:tr w:rsidR="008A26E0" w:rsidRPr="00B52E14" w:rsidTr="00332040">
        <w:trPr>
          <w:trHeight w:val="105"/>
        </w:trPr>
        <w:tc>
          <w:tcPr>
            <w:tcW w:w="1393" w:type="pct"/>
            <w:tcBorders>
              <w:top w:val="nil"/>
              <w:left w:val="single" w:sz="8" w:space="0" w:color="auto"/>
              <w:bottom w:val="nil"/>
              <w:right w:val="nil"/>
            </w:tcBorders>
            <w:shd w:val="clear" w:color="auto" w:fill="auto"/>
            <w:noWrap/>
            <w:hideMark/>
          </w:tcPr>
          <w:p w:rsidR="008A26E0" w:rsidRPr="002E2FD1" w:rsidRDefault="008A26E0" w:rsidP="006D2FFB">
            <w:pPr>
              <w:pStyle w:val="Tabletexte"/>
              <w:keepNext/>
              <w:keepLines/>
            </w:pPr>
          </w:p>
        </w:tc>
        <w:tc>
          <w:tcPr>
            <w:tcW w:w="377" w:type="pct"/>
            <w:tcBorders>
              <w:top w:val="nil"/>
              <w:left w:val="nil"/>
              <w:bottom w:val="nil"/>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 </w:t>
            </w:r>
          </w:p>
        </w:tc>
        <w:tc>
          <w:tcPr>
            <w:tcW w:w="377" w:type="pct"/>
            <w:tcBorders>
              <w:top w:val="nil"/>
              <w:left w:val="nil"/>
              <w:bottom w:val="nil"/>
              <w:right w:val="nil"/>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p>
        </w:tc>
        <w:tc>
          <w:tcPr>
            <w:tcW w:w="377" w:type="pct"/>
            <w:tcBorders>
              <w:top w:val="nil"/>
              <w:left w:val="nil"/>
              <w:bottom w:val="nil"/>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 </w:t>
            </w:r>
          </w:p>
        </w:tc>
        <w:tc>
          <w:tcPr>
            <w:tcW w:w="377" w:type="pct"/>
            <w:tcBorders>
              <w:top w:val="nil"/>
              <w:left w:val="nil"/>
              <w:bottom w:val="nil"/>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 </w:t>
            </w:r>
          </w:p>
        </w:tc>
        <w:tc>
          <w:tcPr>
            <w:tcW w:w="377" w:type="pct"/>
            <w:tcBorders>
              <w:top w:val="nil"/>
              <w:left w:val="nil"/>
              <w:bottom w:val="nil"/>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 </w:t>
            </w:r>
          </w:p>
        </w:tc>
        <w:tc>
          <w:tcPr>
            <w:tcW w:w="377" w:type="pct"/>
            <w:tcBorders>
              <w:top w:val="nil"/>
              <w:left w:val="nil"/>
              <w:bottom w:val="nil"/>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 </w:t>
            </w:r>
          </w:p>
        </w:tc>
        <w:tc>
          <w:tcPr>
            <w:tcW w:w="288" w:type="pct"/>
            <w:tcBorders>
              <w:top w:val="nil"/>
              <w:left w:val="nil"/>
              <w:bottom w:val="nil"/>
              <w:right w:val="nil"/>
            </w:tcBorders>
            <w:shd w:val="clear" w:color="000000" w:fill="FFFFFF"/>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 </w:t>
            </w:r>
          </w:p>
        </w:tc>
        <w:tc>
          <w:tcPr>
            <w:tcW w:w="288" w:type="pct"/>
            <w:tcBorders>
              <w:top w:val="nil"/>
              <w:left w:val="nil"/>
              <w:bottom w:val="nil"/>
              <w:right w:val="nil"/>
            </w:tcBorders>
            <w:shd w:val="clear" w:color="auto" w:fill="auto"/>
          </w:tcPr>
          <w:p w:rsidR="008A26E0" w:rsidRPr="002E2FD1" w:rsidRDefault="008A26E0" w:rsidP="006D2FFB">
            <w:pPr>
              <w:spacing w:before="60" w:after="60" w:line="260" w:lineRule="exact"/>
              <w:jc w:val="center"/>
              <w:rPr>
                <w:b/>
                <w:bCs/>
                <w:sz w:val="20"/>
                <w:szCs w:val="26"/>
              </w:rPr>
            </w:pPr>
          </w:p>
        </w:tc>
        <w:tc>
          <w:tcPr>
            <w:tcW w:w="392" w:type="pct"/>
            <w:tcBorders>
              <w:top w:val="nil"/>
              <w:left w:val="nil"/>
              <w:bottom w:val="nil"/>
              <w:right w:val="nil"/>
            </w:tcBorders>
            <w:shd w:val="clear" w:color="auto" w:fill="auto"/>
          </w:tcPr>
          <w:p w:rsidR="008A26E0" w:rsidRPr="002E2FD1" w:rsidRDefault="008A26E0" w:rsidP="006D2FFB">
            <w:pPr>
              <w:spacing w:before="60" w:after="60" w:line="260" w:lineRule="exact"/>
              <w:jc w:val="center"/>
              <w:rPr>
                <w:b/>
                <w:bCs/>
                <w:sz w:val="20"/>
                <w:szCs w:val="26"/>
              </w:rPr>
            </w:pPr>
          </w:p>
        </w:tc>
        <w:tc>
          <w:tcPr>
            <w:tcW w:w="377" w:type="pct"/>
            <w:tcBorders>
              <w:top w:val="nil"/>
              <w:left w:val="nil"/>
              <w:bottom w:val="nil"/>
              <w:right w:val="single" w:sz="8" w:space="0" w:color="auto"/>
            </w:tcBorders>
            <w:shd w:val="clear" w:color="000000" w:fill="FFFFFF"/>
            <w:noWrap/>
            <w:vAlign w:val="bottom"/>
            <w:hideMark/>
          </w:tcPr>
          <w:p w:rsidR="008A26E0" w:rsidRPr="002E2FD1" w:rsidRDefault="008A26E0" w:rsidP="006D2FFB">
            <w:pPr>
              <w:spacing w:before="60" w:after="60" w:line="260" w:lineRule="exact"/>
              <w:jc w:val="center"/>
              <w:rPr>
                <w:b/>
                <w:bCs/>
                <w:sz w:val="20"/>
                <w:szCs w:val="26"/>
              </w:rPr>
            </w:pPr>
            <w:r w:rsidRPr="002E2FD1">
              <w:rPr>
                <w:b/>
                <w:bCs/>
                <w:sz w:val="20"/>
                <w:szCs w:val="26"/>
              </w:rPr>
              <w:t> </w:t>
            </w:r>
          </w:p>
        </w:tc>
      </w:tr>
      <w:tr w:rsidR="008A26E0" w:rsidRPr="00B52E14" w:rsidTr="00332040">
        <w:trPr>
          <w:trHeight w:val="315"/>
        </w:trPr>
        <w:tc>
          <w:tcPr>
            <w:tcW w:w="1393" w:type="pct"/>
            <w:tcBorders>
              <w:top w:val="single" w:sz="8" w:space="0" w:color="auto"/>
              <w:left w:val="single" w:sz="8" w:space="0" w:color="auto"/>
              <w:bottom w:val="single" w:sz="8" w:space="0" w:color="auto"/>
              <w:right w:val="single" w:sz="4" w:space="0" w:color="auto"/>
            </w:tcBorders>
            <w:shd w:val="clear" w:color="auto" w:fill="auto"/>
            <w:noWrap/>
            <w:hideMark/>
          </w:tcPr>
          <w:p w:rsidR="008A26E0" w:rsidRPr="00655FD5" w:rsidRDefault="008A26E0" w:rsidP="006D2FFB">
            <w:pPr>
              <w:pStyle w:val="Tabletexte"/>
              <w:keepNext/>
              <w:keepLines/>
            </w:pPr>
            <w:r w:rsidRPr="00655FD5">
              <w:rPr>
                <w:rtl/>
              </w:rPr>
              <w:t>النسبة المئوية للتوصيات الجاري تنفيذها</w:t>
            </w:r>
          </w:p>
        </w:tc>
        <w:tc>
          <w:tcPr>
            <w:tcW w:w="377" w:type="pct"/>
            <w:tcBorders>
              <w:top w:val="single" w:sz="8" w:space="0" w:color="auto"/>
              <w:left w:val="nil"/>
              <w:bottom w:val="single" w:sz="8" w:space="0" w:color="auto"/>
              <w:right w:val="single" w:sz="4" w:space="0" w:color="auto"/>
            </w:tcBorders>
            <w:shd w:val="clear" w:color="auto" w:fill="auto"/>
            <w:noWrap/>
            <w:vAlign w:val="bottom"/>
            <w:hideMark/>
          </w:tcPr>
          <w:p w:rsidR="008A26E0" w:rsidRPr="002E2FD1" w:rsidRDefault="008A26E0" w:rsidP="006D2FFB">
            <w:pPr>
              <w:snapToGrid w:val="0"/>
              <w:spacing w:before="60" w:after="60" w:line="260" w:lineRule="exact"/>
              <w:jc w:val="center"/>
              <w:rPr>
                <w:color w:val="000000"/>
                <w:sz w:val="20"/>
                <w:szCs w:val="26"/>
              </w:rPr>
            </w:pPr>
            <w:r w:rsidRPr="002E2FD1">
              <w:rPr>
                <w:color w:val="000000"/>
                <w:sz w:val="20"/>
                <w:szCs w:val="26"/>
              </w:rPr>
              <w:t>%0</w:t>
            </w:r>
          </w:p>
        </w:tc>
        <w:tc>
          <w:tcPr>
            <w:tcW w:w="377" w:type="pct"/>
            <w:tcBorders>
              <w:top w:val="single" w:sz="8" w:space="0" w:color="auto"/>
              <w:left w:val="nil"/>
              <w:bottom w:val="single" w:sz="8"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rFonts w:hint="cs"/>
                <w:color w:val="000000"/>
                <w:sz w:val="20"/>
                <w:szCs w:val="26"/>
                <w:rtl/>
              </w:rPr>
              <w:t>-</w:t>
            </w:r>
          </w:p>
        </w:tc>
        <w:tc>
          <w:tcPr>
            <w:tcW w:w="377" w:type="pct"/>
            <w:tcBorders>
              <w:top w:val="single" w:sz="8" w:space="0" w:color="auto"/>
              <w:left w:val="nil"/>
              <w:bottom w:val="single" w:sz="8"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w:t>
            </w:r>
            <w:r>
              <w:rPr>
                <w:color w:val="000000"/>
                <w:sz w:val="20"/>
                <w:szCs w:val="26"/>
              </w:rPr>
              <w:t>4</w:t>
            </w:r>
          </w:p>
        </w:tc>
        <w:tc>
          <w:tcPr>
            <w:tcW w:w="377" w:type="pct"/>
            <w:tcBorders>
              <w:top w:val="single" w:sz="8" w:space="0" w:color="auto"/>
              <w:left w:val="nil"/>
              <w:bottom w:val="single" w:sz="8" w:space="0" w:color="auto"/>
              <w:right w:val="single" w:sz="4" w:space="0" w:color="auto"/>
            </w:tcBorders>
            <w:shd w:val="clear" w:color="auto" w:fill="auto"/>
            <w:noWrap/>
            <w:vAlign w:val="bottom"/>
            <w:hideMark/>
          </w:tcPr>
          <w:p w:rsidR="008A26E0" w:rsidRPr="002E2FD1" w:rsidRDefault="008A26E0" w:rsidP="006D2FFB">
            <w:pPr>
              <w:snapToGrid w:val="0"/>
              <w:spacing w:before="60" w:after="60" w:line="260" w:lineRule="exact"/>
              <w:jc w:val="center"/>
              <w:rPr>
                <w:color w:val="000000"/>
                <w:sz w:val="20"/>
                <w:szCs w:val="26"/>
              </w:rPr>
            </w:pPr>
            <w:r w:rsidRPr="002E2FD1">
              <w:rPr>
                <w:color w:val="000000"/>
                <w:sz w:val="20"/>
                <w:szCs w:val="26"/>
              </w:rPr>
              <w:t>%</w:t>
            </w:r>
            <w:r>
              <w:rPr>
                <w:color w:val="000000"/>
                <w:sz w:val="20"/>
                <w:szCs w:val="26"/>
              </w:rPr>
              <w:t>4</w:t>
            </w:r>
          </w:p>
        </w:tc>
        <w:tc>
          <w:tcPr>
            <w:tcW w:w="377" w:type="pct"/>
            <w:tcBorders>
              <w:top w:val="single" w:sz="8" w:space="0" w:color="auto"/>
              <w:left w:val="nil"/>
              <w:bottom w:val="single" w:sz="8" w:space="0" w:color="auto"/>
              <w:right w:val="single" w:sz="4" w:space="0" w:color="auto"/>
            </w:tcBorders>
            <w:shd w:val="clear" w:color="auto" w:fill="auto"/>
            <w:noWrap/>
            <w:vAlign w:val="bottom"/>
            <w:hideMark/>
          </w:tcPr>
          <w:p w:rsidR="008A26E0" w:rsidRPr="002E2FD1" w:rsidRDefault="008A26E0" w:rsidP="006D2FFB">
            <w:pPr>
              <w:snapToGrid w:val="0"/>
              <w:spacing w:before="60" w:after="60" w:line="260" w:lineRule="exact"/>
              <w:jc w:val="center"/>
              <w:rPr>
                <w:color w:val="000000"/>
                <w:sz w:val="20"/>
                <w:szCs w:val="26"/>
              </w:rPr>
            </w:pPr>
            <w:r w:rsidRPr="002E2FD1">
              <w:rPr>
                <w:color w:val="000000"/>
                <w:sz w:val="20"/>
                <w:szCs w:val="26"/>
              </w:rPr>
              <w:t>%</w:t>
            </w:r>
            <w:r>
              <w:rPr>
                <w:color w:val="000000"/>
                <w:sz w:val="20"/>
                <w:szCs w:val="26"/>
              </w:rPr>
              <w:t>12</w:t>
            </w:r>
          </w:p>
        </w:tc>
        <w:tc>
          <w:tcPr>
            <w:tcW w:w="377" w:type="pct"/>
            <w:tcBorders>
              <w:top w:val="single" w:sz="8" w:space="0" w:color="auto"/>
              <w:left w:val="nil"/>
              <w:bottom w:val="single" w:sz="8"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w:t>
            </w:r>
            <w:r>
              <w:rPr>
                <w:color w:val="000000"/>
                <w:sz w:val="20"/>
                <w:szCs w:val="26"/>
              </w:rPr>
              <w:t>36</w:t>
            </w:r>
          </w:p>
        </w:tc>
        <w:tc>
          <w:tcPr>
            <w:tcW w:w="288" w:type="pct"/>
            <w:tcBorders>
              <w:top w:val="single" w:sz="8" w:space="0" w:color="auto"/>
              <w:left w:val="nil"/>
              <w:bottom w:val="single" w:sz="8" w:space="0" w:color="auto"/>
              <w:right w:val="nil"/>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w:t>
            </w:r>
            <w:r>
              <w:rPr>
                <w:color w:val="000000"/>
                <w:sz w:val="20"/>
                <w:szCs w:val="26"/>
              </w:rPr>
              <w:t>60</w:t>
            </w:r>
          </w:p>
        </w:tc>
        <w:tc>
          <w:tcPr>
            <w:tcW w:w="288" w:type="pct"/>
            <w:tcBorders>
              <w:top w:val="single" w:sz="8" w:space="0" w:color="auto"/>
              <w:left w:val="single" w:sz="4" w:space="0" w:color="auto"/>
              <w:bottom w:val="single" w:sz="8" w:space="0" w:color="auto"/>
              <w:right w:val="single" w:sz="4" w:space="0" w:color="auto"/>
            </w:tcBorders>
            <w:shd w:val="clear" w:color="auto" w:fill="auto"/>
          </w:tcPr>
          <w:p w:rsidR="008A26E0" w:rsidRPr="002E2FD1" w:rsidRDefault="008A26E0" w:rsidP="006D2FFB">
            <w:pPr>
              <w:spacing w:before="60" w:after="60" w:line="260" w:lineRule="exact"/>
              <w:jc w:val="center"/>
              <w:rPr>
                <w:b/>
                <w:bCs/>
                <w:color w:val="000000"/>
                <w:sz w:val="20"/>
                <w:szCs w:val="26"/>
              </w:rPr>
            </w:pPr>
            <w:r w:rsidRPr="002E2FD1">
              <w:rPr>
                <w:color w:val="000000"/>
                <w:sz w:val="20"/>
                <w:szCs w:val="26"/>
              </w:rPr>
              <w:t>%73</w:t>
            </w:r>
          </w:p>
        </w:tc>
        <w:tc>
          <w:tcPr>
            <w:tcW w:w="392" w:type="pct"/>
            <w:tcBorders>
              <w:top w:val="single" w:sz="8" w:space="0" w:color="auto"/>
              <w:left w:val="single" w:sz="4" w:space="0" w:color="auto"/>
              <w:bottom w:val="single" w:sz="8" w:space="0" w:color="auto"/>
              <w:right w:val="single" w:sz="4" w:space="0" w:color="auto"/>
            </w:tcBorders>
            <w:shd w:val="clear" w:color="auto" w:fill="auto"/>
          </w:tcPr>
          <w:p w:rsidR="008A26E0" w:rsidRPr="002E2FD1" w:rsidRDefault="008A26E0" w:rsidP="006D2FFB">
            <w:pPr>
              <w:spacing w:before="60" w:after="60" w:line="260" w:lineRule="exact"/>
              <w:jc w:val="center"/>
              <w:rPr>
                <w:b/>
                <w:bCs/>
                <w:color w:val="000000"/>
                <w:sz w:val="20"/>
                <w:szCs w:val="26"/>
              </w:rPr>
            </w:pPr>
            <w:r w:rsidRPr="002E2FD1">
              <w:rPr>
                <w:color w:val="000000"/>
                <w:sz w:val="20"/>
                <w:szCs w:val="26"/>
              </w:rPr>
              <w:t>%100</w:t>
            </w:r>
          </w:p>
        </w:tc>
        <w:tc>
          <w:tcPr>
            <w:tcW w:w="377" w:type="pct"/>
            <w:tcBorders>
              <w:top w:val="single" w:sz="8" w:space="0" w:color="auto"/>
              <w:left w:val="single" w:sz="4" w:space="0" w:color="auto"/>
              <w:bottom w:val="single" w:sz="8" w:space="0" w:color="auto"/>
              <w:right w:val="single" w:sz="8" w:space="0" w:color="auto"/>
            </w:tcBorders>
            <w:shd w:val="clear" w:color="000000" w:fill="AEAAAA"/>
            <w:noWrap/>
            <w:vAlign w:val="bottom"/>
            <w:hideMark/>
          </w:tcPr>
          <w:p w:rsidR="008A26E0" w:rsidRPr="002E2FD1" w:rsidRDefault="008A26E0" w:rsidP="006D2FFB">
            <w:pPr>
              <w:spacing w:before="60" w:after="60" w:line="260" w:lineRule="exact"/>
              <w:jc w:val="center"/>
              <w:rPr>
                <w:b/>
                <w:bCs/>
                <w:sz w:val="20"/>
                <w:szCs w:val="26"/>
              </w:rPr>
            </w:pPr>
            <w:r w:rsidRPr="002E2FD1">
              <w:rPr>
                <w:b/>
                <w:bCs/>
                <w:color w:val="000000"/>
                <w:sz w:val="20"/>
                <w:szCs w:val="26"/>
              </w:rPr>
              <w:t>%</w:t>
            </w:r>
            <w:r w:rsidRPr="002E2FD1">
              <w:rPr>
                <w:b/>
                <w:bCs/>
                <w:sz w:val="20"/>
                <w:szCs w:val="26"/>
              </w:rPr>
              <w:t>23</w:t>
            </w:r>
          </w:p>
        </w:tc>
      </w:tr>
      <w:tr w:rsidR="008A26E0" w:rsidRPr="00B52E14" w:rsidTr="00332040">
        <w:trPr>
          <w:trHeight w:val="315"/>
        </w:trPr>
        <w:tc>
          <w:tcPr>
            <w:tcW w:w="1393" w:type="pct"/>
            <w:tcBorders>
              <w:top w:val="nil"/>
              <w:left w:val="single" w:sz="8" w:space="0" w:color="auto"/>
              <w:bottom w:val="single" w:sz="8" w:space="0" w:color="auto"/>
              <w:right w:val="single" w:sz="4" w:space="0" w:color="auto"/>
            </w:tcBorders>
            <w:shd w:val="clear" w:color="auto" w:fill="auto"/>
            <w:noWrap/>
            <w:hideMark/>
          </w:tcPr>
          <w:p w:rsidR="008A26E0" w:rsidRPr="00655FD5" w:rsidRDefault="008A26E0" w:rsidP="006D2FFB">
            <w:pPr>
              <w:pStyle w:val="Tabletexte"/>
              <w:keepNext/>
              <w:keepLines/>
            </w:pPr>
            <w:r w:rsidRPr="00655FD5">
              <w:rPr>
                <w:rtl/>
              </w:rPr>
              <w:t>النسبة المئوية للتوصيات المتأخَر في تنفيذها</w:t>
            </w:r>
          </w:p>
        </w:tc>
        <w:tc>
          <w:tcPr>
            <w:tcW w:w="377" w:type="pct"/>
            <w:tcBorders>
              <w:top w:val="nil"/>
              <w:left w:val="nil"/>
              <w:bottom w:val="single" w:sz="8" w:space="0" w:color="auto"/>
              <w:right w:val="single" w:sz="4" w:space="0" w:color="auto"/>
            </w:tcBorders>
            <w:shd w:val="clear" w:color="auto" w:fill="auto"/>
            <w:noWrap/>
            <w:vAlign w:val="bottom"/>
            <w:hideMark/>
          </w:tcPr>
          <w:p w:rsidR="008A26E0" w:rsidRPr="002E2FD1" w:rsidRDefault="008A26E0" w:rsidP="006D2FFB">
            <w:pPr>
              <w:snapToGrid w:val="0"/>
              <w:spacing w:before="60" w:after="60" w:line="260" w:lineRule="exact"/>
              <w:jc w:val="center"/>
              <w:rPr>
                <w:color w:val="000000"/>
                <w:sz w:val="20"/>
                <w:szCs w:val="26"/>
              </w:rPr>
            </w:pPr>
            <w:r w:rsidRPr="002E2FD1">
              <w:rPr>
                <w:color w:val="000000"/>
                <w:sz w:val="20"/>
                <w:szCs w:val="26"/>
              </w:rPr>
              <w:t>%18</w:t>
            </w:r>
          </w:p>
        </w:tc>
        <w:tc>
          <w:tcPr>
            <w:tcW w:w="377" w:type="pct"/>
            <w:tcBorders>
              <w:top w:val="nil"/>
              <w:left w:val="nil"/>
              <w:bottom w:val="single" w:sz="8"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rFonts w:hint="cs"/>
                <w:color w:val="000000"/>
                <w:sz w:val="20"/>
                <w:szCs w:val="26"/>
                <w:rtl/>
              </w:rPr>
              <w:t>-</w:t>
            </w:r>
          </w:p>
        </w:tc>
        <w:tc>
          <w:tcPr>
            <w:tcW w:w="377" w:type="pct"/>
            <w:tcBorders>
              <w:top w:val="nil"/>
              <w:left w:val="nil"/>
              <w:bottom w:val="single" w:sz="8" w:space="0" w:color="auto"/>
              <w:right w:val="single" w:sz="4" w:space="0" w:color="auto"/>
            </w:tcBorders>
            <w:shd w:val="clear" w:color="000000" w:fill="FFFFFF"/>
            <w:noWrap/>
            <w:vAlign w:val="bottom"/>
            <w:hideMark/>
          </w:tcPr>
          <w:p w:rsidR="008A26E0" w:rsidRPr="002E2FD1" w:rsidRDefault="008A26E0" w:rsidP="006D2FFB">
            <w:pPr>
              <w:spacing w:before="60" w:after="60" w:line="260" w:lineRule="exact"/>
              <w:jc w:val="center"/>
              <w:rPr>
                <w:sz w:val="20"/>
                <w:szCs w:val="26"/>
              </w:rPr>
            </w:pPr>
            <w:r w:rsidRPr="002E2FD1">
              <w:rPr>
                <w:color w:val="000000"/>
                <w:sz w:val="20"/>
                <w:szCs w:val="26"/>
              </w:rPr>
              <w:t>%</w:t>
            </w:r>
            <w:r w:rsidRPr="002E2FD1">
              <w:rPr>
                <w:sz w:val="20"/>
                <w:szCs w:val="26"/>
              </w:rPr>
              <w:t>0</w:t>
            </w:r>
          </w:p>
        </w:tc>
        <w:tc>
          <w:tcPr>
            <w:tcW w:w="377" w:type="pct"/>
            <w:tcBorders>
              <w:top w:val="nil"/>
              <w:left w:val="nil"/>
              <w:bottom w:val="single" w:sz="8" w:space="0" w:color="auto"/>
              <w:right w:val="single" w:sz="4" w:space="0" w:color="auto"/>
            </w:tcBorders>
            <w:shd w:val="clear" w:color="000000" w:fill="FFFFFF"/>
            <w:noWrap/>
            <w:vAlign w:val="bottom"/>
            <w:hideMark/>
          </w:tcPr>
          <w:p w:rsidR="008A26E0" w:rsidRPr="002E2FD1" w:rsidRDefault="008A26E0" w:rsidP="006D2FFB">
            <w:pPr>
              <w:snapToGrid w:val="0"/>
              <w:spacing w:before="60" w:after="60" w:line="260" w:lineRule="exact"/>
              <w:jc w:val="center"/>
              <w:rPr>
                <w:sz w:val="20"/>
                <w:szCs w:val="26"/>
              </w:rPr>
            </w:pPr>
            <w:r w:rsidRPr="002E2FD1">
              <w:rPr>
                <w:sz w:val="20"/>
                <w:szCs w:val="26"/>
              </w:rPr>
              <w:t>%0</w:t>
            </w:r>
          </w:p>
        </w:tc>
        <w:tc>
          <w:tcPr>
            <w:tcW w:w="377" w:type="pct"/>
            <w:tcBorders>
              <w:top w:val="nil"/>
              <w:left w:val="nil"/>
              <w:bottom w:val="single" w:sz="8" w:space="0" w:color="auto"/>
              <w:right w:val="single" w:sz="4" w:space="0" w:color="auto"/>
            </w:tcBorders>
            <w:shd w:val="clear" w:color="auto" w:fill="auto"/>
            <w:noWrap/>
            <w:vAlign w:val="bottom"/>
            <w:hideMark/>
          </w:tcPr>
          <w:p w:rsidR="008A26E0" w:rsidRPr="002E2FD1" w:rsidRDefault="008A26E0" w:rsidP="006D2FFB">
            <w:pPr>
              <w:snapToGrid w:val="0"/>
              <w:spacing w:before="60" w:after="60" w:line="260" w:lineRule="exact"/>
              <w:jc w:val="center"/>
              <w:rPr>
                <w:color w:val="000000"/>
                <w:sz w:val="20"/>
                <w:szCs w:val="26"/>
              </w:rPr>
            </w:pPr>
            <w:r w:rsidRPr="002E2FD1">
              <w:rPr>
                <w:color w:val="000000"/>
                <w:sz w:val="20"/>
                <w:szCs w:val="26"/>
              </w:rPr>
              <w:t>%0</w:t>
            </w:r>
          </w:p>
        </w:tc>
        <w:tc>
          <w:tcPr>
            <w:tcW w:w="377" w:type="pct"/>
            <w:tcBorders>
              <w:top w:val="nil"/>
              <w:left w:val="nil"/>
              <w:bottom w:val="single" w:sz="8"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%0</w:t>
            </w:r>
          </w:p>
        </w:tc>
        <w:tc>
          <w:tcPr>
            <w:tcW w:w="288" w:type="pct"/>
            <w:tcBorders>
              <w:top w:val="nil"/>
              <w:left w:val="nil"/>
              <w:bottom w:val="single" w:sz="8" w:space="0" w:color="auto"/>
              <w:right w:val="nil"/>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%0</w:t>
            </w:r>
          </w:p>
        </w:tc>
        <w:tc>
          <w:tcPr>
            <w:tcW w:w="288" w:type="pct"/>
            <w:tcBorders>
              <w:top w:val="nil"/>
              <w:left w:val="single" w:sz="4" w:space="0" w:color="auto"/>
              <w:bottom w:val="single" w:sz="8" w:space="0" w:color="auto"/>
              <w:right w:val="single" w:sz="4" w:space="0" w:color="auto"/>
            </w:tcBorders>
            <w:shd w:val="clear" w:color="auto" w:fill="auto"/>
          </w:tcPr>
          <w:p w:rsidR="008A26E0" w:rsidRPr="002E2FD1" w:rsidRDefault="008A26E0" w:rsidP="006D2FFB">
            <w:pPr>
              <w:spacing w:before="60" w:after="60" w:line="260" w:lineRule="exact"/>
              <w:jc w:val="center"/>
              <w:rPr>
                <w:b/>
                <w:bCs/>
                <w:color w:val="000000"/>
                <w:sz w:val="20"/>
                <w:szCs w:val="26"/>
              </w:rPr>
            </w:pPr>
            <w:r w:rsidRPr="002E2FD1">
              <w:rPr>
                <w:color w:val="000000"/>
                <w:sz w:val="20"/>
                <w:szCs w:val="26"/>
              </w:rPr>
              <w:t>%4</w:t>
            </w:r>
          </w:p>
        </w:tc>
        <w:tc>
          <w:tcPr>
            <w:tcW w:w="392" w:type="pct"/>
            <w:tcBorders>
              <w:top w:val="nil"/>
              <w:left w:val="single" w:sz="4" w:space="0" w:color="auto"/>
              <w:bottom w:val="single" w:sz="8" w:space="0" w:color="auto"/>
              <w:right w:val="single" w:sz="4" w:space="0" w:color="auto"/>
            </w:tcBorders>
            <w:shd w:val="clear" w:color="auto" w:fill="auto"/>
          </w:tcPr>
          <w:p w:rsidR="008A26E0" w:rsidRPr="002E2FD1" w:rsidRDefault="008A26E0" w:rsidP="006D2FFB">
            <w:pPr>
              <w:spacing w:before="60" w:after="60" w:line="260" w:lineRule="exact"/>
              <w:jc w:val="center"/>
              <w:rPr>
                <w:b/>
                <w:bCs/>
                <w:color w:val="000000"/>
                <w:sz w:val="20"/>
                <w:szCs w:val="26"/>
              </w:rPr>
            </w:pPr>
            <w:r w:rsidRPr="002E2FD1">
              <w:rPr>
                <w:color w:val="000000"/>
                <w:sz w:val="20"/>
                <w:szCs w:val="26"/>
              </w:rPr>
              <w:t>%0</w:t>
            </w:r>
          </w:p>
        </w:tc>
        <w:tc>
          <w:tcPr>
            <w:tcW w:w="377" w:type="pct"/>
            <w:tcBorders>
              <w:top w:val="nil"/>
              <w:left w:val="single" w:sz="4" w:space="0" w:color="auto"/>
              <w:bottom w:val="single" w:sz="8" w:space="0" w:color="auto"/>
              <w:right w:val="single" w:sz="8" w:space="0" w:color="auto"/>
            </w:tcBorders>
            <w:shd w:val="clear" w:color="000000" w:fill="AEAAAA"/>
            <w:noWrap/>
            <w:vAlign w:val="bottom"/>
            <w:hideMark/>
          </w:tcPr>
          <w:p w:rsidR="008A26E0" w:rsidRPr="002E2FD1" w:rsidRDefault="008A26E0" w:rsidP="006D2FFB">
            <w:pPr>
              <w:spacing w:before="60" w:after="60" w:line="260" w:lineRule="exact"/>
              <w:jc w:val="center"/>
              <w:rPr>
                <w:b/>
                <w:bCs/>
                <w:sz w:val="20"/>
                <w:szCs w:val="26"/>
              </w:rPr>
            </w:pPr>
            <w:r w:rsidRPr="002E2FD1">
              <w:rPr>
                <w:b/>
                <w:bCs/>
                <w:color w:val="000000"/>
                <w:sz w:val="20"/>
                <w:szCs w:val="26"/>
              </w:rPr>
              <w:t>%</w:t>
            </w:r>
            <w:r w:rsidRPr="002E2FD1">
              <w:rPr>
                <w:b/>
                <w:bCs/>
                <w:sz w:val="20"/>
                <w:szCs w:val="26"/>
              </w:rPr>
              <w:t>1</w:t>
            </w:r>
          </w:p>
        </w:tc>
      </w:tr>
      <w:tr w:rsidR="008A26E0" w:rsidRPr="00FF49CC" w:rsidTr="00733B8E">
        <w:trPr>
          <w:trHeight w:val="315"/>
        </w:trPr>
        <w:tc>
          <w:tcPr>
            <w:tcW w:w="1393" w:type="pct"/>
            <w:tcBorders>
              <w:top w:val="nil"/>
              <w:left w:val="single" w:sz="8" w:space="0" w:color="auto"/>
              <w:bottom w:val="single" w:sz="8" w:space="0" w:color="auto"/>
              <w:right w:val="single" w:sz="4" w:space="0" w:color="auto"/>
            </w:tcBorders>
            <w:shd w:val="clear" w:color="auto" w:fill="auto"/>
            <w:noWrap/>
            <w:hideMark/>
          </w:tcPr>
          <w:p w:rsidR="008A26E0" w:rsidRPr="00655FD5" w:rsidRDefault="008A26E0" w:rsidP="006D2FFB">
            <w:pPr>
              <w:pStyle w:val="Tabletexte"/>
            </w:pPr>
            <w:r w:rsidRPr="00655FD5">
              <w:rPr>
                <w:rtl/>
              </w:rPr>
              <w:t>النسبة المئوية للتوصيات التي أُقفل ملفها</w:t>
            </w:r>
          </w:p>
        </w:tc>
        <w:tc>
          <w:tcPr>
            <w:tcW w:w="377" w:type="pct"/>
            <w:tcBorders>
              <w:top w:val="nil"/>
              <w:left w:val="nil"/>
              <w:bottom w:val="single" w:sz="8" w:space="0" w:color="auto"/>
              <w:right w:val="single" w:sz="4" w:space="0" w:color="auto"/>
            </w:tcBorders>
            <w:shd w:val="clear" w:color="auto" w:fill="auto"/>
            <w:noWrap/>
            <w:vAlign w:val="bottom"/>
            <w:hideMark/>
          </w:tcPr>
          <w:p w:rsidR="008A26E0" w:rsidRPr="002E2FD1" w:rsidRDefault="008A26E0" w:rsidP="006D2FFB">
            <w:pPr>
              <w:snapToGrid w:val="0"/>
              <w:spacing w:before="60" w:after="60" w:line="260" w:lineRule="exact"/>
              <w:jc w:val="center"/>
              <w:rPr>
                <w:color w:val="000000"/>
                <w:sz w:val="20"/>
                <w:szCs w:val="26"/>
              </w:rPr>
            </w:pPr>
            <w:r w:rsidRPr="002E2FD1">
              <w:rPr>
                <w:color w:val="000000"/>
                <w:sz w:val="20"/>
                <w:szCs w:val="26"/>
              </w:rPr>
              <w:t>%82</w:t>
            </w:r>
          </w:p>
        </w:tc>
        <w:tc>
          <w:tcPr>
            <w:tcW w:w="377" w:type="pct"/>
            <w:tcBorders>
              <w:top w:val="nil"/>
              <w:left w:val="nil"/>
              <w:bottom w:val="single" w:sz="8"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sz w:val="20"/>
                <w:szCs w:val="26"/>
              </w:rPr>
            </w:pPr>
            <w:r w:rsidRPr="002E2FD1">
              <w:rPr>
                <w:rFonts w:hint="cs"/>
                <w:color w:val="000000"/>
                <w:sz w:val="20"/>
                <w:szCs w:val="26"/>
                <w:rtl/>
              </w:rPr>
              <w:t>-</w:t>
            </w:r>
          </w:p>
        </w:tc>
        <w:tc>
          <w:tcPr>
            <w:tcW w:w="377" w:type="pct"/>
            <w:tcBorders>
              <w:top w:val="nil"/>
              <w:left w:val="nil"/>
              <w:bottom w:val="single" w:sz="8"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%9</w:t>
            </w:r>
            <w:r>
              <w:rPr>
                <w:color w:val="000000"/>
                <w:sz w:val="20"/>
                <w:szCs w:val="26"/>
              </w:rPr>
              <w:t>6</w:t>
            </w:r>
          </w:p>
        </w:tc>
        <w:tc>
          <w:tcPr>
            <w:tcW w:w="377" w:type="pct"/>
            <w:tcBorders>
              <w:top w:val="nil"/>
              <w:left w:val="nil"/>
              <w:bottom w:val="single" w:sz="8" w:space="0" w:color="auto"/>
              <w:right w:val="single" w:sz="4" w:space="0" w:color="auto"/>
            </w:tcBorders>
            <w:shd w:val="clear" w:color="auto" w:fill="auto"/>
            <w:noWrap/>
            <w:vAlign w:val="bottom"/>
            <w:hideMark/>
          </w:tcPr>
          <w:p w:rsidR="008A26E0" w:rsidRPr="002E2FD1" w:rsidRDefault="008A26E0" w:rsidP="006D2FFB">
            <w:pPr>
              <w:snapToGrid w:val="0"/>
              <w:spacing w:before="60" w:after="60" w:line="260" w:lineRule="exact"/>
              <w:jc w:val="center"/>
              <w:rPr>
                <w:color w:val="000000"/>
                <w:sz w:val="20"/>
                <w:szCs w:val="26"/>
              </w:rPr>
            </w:pPr>
            <w:r w:rsidRPr="002E2FD1">
              <w:rPr>
                <w:color w:val="000000"/>
                <w:sz w:val="20"/>
                <w:szCs w:val="26"/>
              </w:rPr>
              <w:t>%9</w:t>
            </w:r>
            <w:r>
              <w:rPr>
                <w:color w:val="000000"/>
                <w:sz w:val="20"/>
                <w:szCs w:val="26"/>
              </w:rPr>
              <w:t>6</w:t>
            </w:r>
          </w:p>
        </w:tc>
        <w:tc>
          <w:tcPr>
            <w:tcW w:w="377" w:type="pct"/>
            <w:tcBorders>
              <w:top w:val="nil"/>
              <w:left w:val="nil"/>
              <w:bottom w:val="single" w:sz="8" w:space="0" w:color="auto"/>
              <w:right w:val="single" w:sz="4" w:space="0" w:color="auto"/>
            </w:tcBorders>
            <w:shd w:val="clear" w:color="auto" w:fill="auto"/>
            <w:noWrap/>
            <w:vAlign w:val="bottom"/>
            <w:hideMark/>
          </w:tcPr>
          <w:p w:rsidR="008A26E0" w:rsidRPr="002E2FD1" w:rsidRDefault="008A26E0" w:rsidP="006D2FFB">
            <w:pPr>
              <w:snapToGrid w:val="0"/>
              <w:spacing w:before="60" w:after="60" w:line="260" w:lineRule="exact"/>
              <w:jc w:val="center"/>
              <w:rPr>
                <w:color w:val="000000"/>
                <w:sz w:val="20"/>
                <w:szCs w:val="26"/>
              </w:rPr>
            </w:pPr>
            <w:r w:rsidRPr="002E2FD1">
              <w:rPr>
                <w:color w:val="000000"/>
                <w:sz w:val="20"/>
                <w:szCs w:val="26"/>
              </w:rPr>
              <w:t>%</w:t>
            </w:r>
            <w:r>
              <w:rPr>
                <w:color w:val="000000"/>
                <w:sz w:val="20"/>
                <w:szCs w:val="26"/>
              </w:rPr>
              <w:t>88</w:t>
            </w:r>
          </w:p>
        </w:tc>
        <w:tc>
          <w:tcPr>
            <w:tcW w:w="377" w:type="pct"/>
            <w:tcBorders>
              <w:top w:val="nil"/>
              <w:left w:val="nil"/>
              <w:bottom w:val="single" w:sz="8" w:space="0" w:color="auto"/>
              <w:right w:val="single" w:sz="4" w:space="0" w:color="auto"/>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w:t>
            </w:r>
            <w:r>
              <w:rPr>
                <w:color w:val="000000"/>
                <w:sz w:val="20"/>
                <w:szCs w:val="26"/>
              </w:rPr>
              <w:t>64</w:t>
            </w:r>
          </w:p>
        </w:tc>
        <w:tc>
          <w:tcPr>
            <w:tcW w:w="288" w:type="pct"/>
            <w:tcBorders>
              <w:top w:val="nil"/>
              <w:left w:val="nil"/>
              <w:bottom w:val="single" w:sz="8" w:space="0" w:color="auto"/>
              <w:right w:val="nil"/>
            </w:tcBorders>
            <w:shd w:val="clear" w:color="auto" w:fill="auto"/>
            <w:noWrap/>
            <w:vAlign w:val="bottom"/>
            <w:hideMark/>
          </w:tcPr>
          <w:p w:rsidR="008A26E0" w:rsidRPr="002E2FD1" w:rsidRDefault="008A26E0" w:rsidP="006D2FFB">
            <w:pPr>
              <w:spacing w:before="60" w:after="60" w:line="260" w:lineRule="exact"/>
              <w:jc w:val="center"/>
              <w:rPr>
                <w:color w:val="000000"/>
                <w:sz w:val="20"/>
                <w:szCs w:val="26"/>
              </w:rPr>
            </w:pPr>
            <w:r w:rsidRPr="002E2FD1">
              <w:rPr>
                <w:color w:val="000000"/>
                <w:sz w:val="20"/>
                <w:szCs w:val="26"/>
              </w:rPr>
              <w:t>%</w:t>
            </w:r>
            <w:r>
              <w:rPr>
                <w:color w:val="000000"/>
                <w:sz w:val="20"/>
                <w:szCs w:val="26"/>
              </w:rPr>
              <w:t>40</w:t>
            </w:r>
          </w:p>
        </w:tc>
        <w:tc>
          <w:tcPr>
            <w:tcW w:w="288" w:type="pct"/>
            <w:tcBorders>
              <w:top w:val="nil"/>
              <w:left w:val="single" w:sz="4" w:space="0" w:color="auto"/>
              <w:bottom w:val="single" w:sz="8" w:space="0" w:color="auto"/>
              <w:right w:val="single" w:sz="4" w:space="0" w:color="auto"/>
            </w:tcBorders>
            <w:shd w:val="clear" w:color="auto" w:fill="auto"/>
          </w:tcPr>
          <w:p w:rsidR="008A26E0" w:rsidRPr="002E2FD1" w:rsidRDefault="008A26E0" w:rsidP="006D2FFB">
            <w:pPr>
              <w:spacing w:before="60" w:after="60" w:line="260" w:lineRule="exact"/>
              <w:jc w:val="center"/>
              <w:rPr>
                <w:b/>
                <w:bCs/>
                <w:color w:val="000000"/>
                <w:sz w:val="20"/>
                <w:szCs w:val="26"/>
              </w:rPr>
            </w:pPr>
            <w:r w:rsidRPr="002E2FD1">
              <w:rPr>
                <w:color w:val="000000"/>
                <w:sz w:val="20"/>
                <w:szCs w:val="26"/>
              </w:rPr>
              <w:t>%23</w:t>
            </w:r>
          </w:p>
        </w:tc>
        <w:tc>
          <w:tcPr>
            <w:tcW w:w="392" w:type="pct"/>
            <w:tcBorders>
              <w:top w:val="nil"/>
              <w:left w:val="single" w:sz="4" w:space="0" w:color="auto"/>
              <w:bottom w:val="single" w:sz="8" w:space="0" w:color="auto"/>
              <w:right w:val="single" w:sz="4" w:space="0" w:color="auto"/>
            </w:tcBorders>
            <w:shd w:val="clear" w:color="auto" w:fill="auto"/>
          </w:tcPr>
          <w:p w:rsidR="008A26E0" w:rsidRPr="002E2FD1" w:rsidRDefault="008A26E0" w:rsidP="006D2FFB">
            <w:pPr>
              <w:spacing w:before="60" w:after="60" w:line="260" w:lineRule="exact"/>
              <w:jc w:val="center"/>
              <w:rPr>
                <w:b/>
                <w:bCs/>
                <w:color w:val="000000"/>
                <w:sz w:val="20"/>
                <w:szCs w:val="26"/>
              </w:rPr>
            </w:pPr>
            <w:r w:rsidRPr="002E2FD1">
              <w:rPr>
                <w:color w:val="000000"/>
                <w:sz w:val="20"/>
                <w:szCs w:val="26"/>
              </w:rPr>
              <w:t>%0</w:t>
            </w:r>
          </w:p>
        </w:tc>
        <w:tc>
          <w:tcPr>
            <w:tcW w:w="377" w:type="pct"/>
            <w:tcBorders>
              <w:top w:val="nil"/>
              <w:left w:val="single" w:sz="4" w:space="0" w:color="auto"/>
              <w:bottom w:val="single" w:sz="8" w:space="0" w:color="auto"/>
              <w:right w:val="single" w:sz="8" w:space="0" w:color="auto"/>
            </w:tcBorders>
            <w:shd w:val="clear" w:color="000000" w:fill="AEAAAA"/>
            <w:noWrap/>
            <w:vAlign w:val="bottom"/>
            <w:hideMark/>
          </w:tcPr>
          <w:p w:rsidR="008A26E0" w:rsidRPr="002E2FD1" w:rsidRDefault="008A26E0" w:rsidP="006D2FFB">
            <w:pPr>
              <w:spacing w:before="60" w:after="60" w:line="260" w:lineRule="exact"/>
              <w:jc w:val="center"/>
              <w:rPr>
                <w:b/>
                <w:bCs/>
                <w:sz w:val="20"/>
                <w:szCs w:val="26"/>
              </w:rPr>
            </w:pPr>
            <w:r w:rsidRPr="002E2FD1">
              <w:rPr>
                <w:b/>
                <w:bCs/>
                <w:color w:val="000000"/>
                <w:sz w:val="20"/>
                <w:szCs w:val="26"/>
              </w:rPr>
              <w:t>%</w:t>
            </w:r>
            <w:r w:rsidRPr="002E2FD1">
              <w:rPr>
                <w:b/>
                <w:bCs/>
                <w:sz w:val="20"/>
                <w:szCs w:val="26"/>
              </w:rPr>
              <w:t>76</w:t>
            </w:r>
          </w:p>
        </w:tc>
      </w:tr>
      <w:tr w:rsidR="00075548" w:rsidRPr="00FF49CC" w:rsidTr="00733B8E">
        <w:trPr>
          <w:trHeight w:val="315"/>
        </w:trPr>
        <w:tc>
          <w:tcPr>
            <w:tcW w:w="1393" w:type="pct"/>
            <w:tcBorders>
              <w:top w:val="single" w:sz="8" w:space="0" w:color="auto"/>
            </w:tcBorders>
            <w:shd w:val="clear" w:color="auto" w:fill="auto"/>
            <w:noWrap/>
          </w:tcPr>
          <w:p w:rsidR="00075548" w:rsidRPr="00655FD5" w:rsidRDefault="00075548" w:rsidP="00075548">
            <w:pPr>
              <w:pStyle w:val="Tabletexte"/>
              <w:rPr>
                <w:rtl/>
              </w:rPr>
            </w:pPr>
            <w:r w:rsidRPr="00D04AAA">
              <w:rPr>
                <w:lang w:bidi="ar-EG"/>
              </w:rPr>
              <w:t>(</w:t>
            </w:r>
            <w:r>
              <w:rPr>
                <w:rFonts w:cs="Calibri"/>
                <w:lang w:bidi="ar-EG"/>
              </w:rPr>
              <w:t>*</w:t>
            </w:r>
            <w:r w:rsidRPr="00D04AAA">
              <w:rPr>
                <w:lang w:bidi="ar-EG"/>
              </w:rPr>
              <w:t>)</w:t>
            </w:r>
            <w:r w:rsidRPr="00D04AAA">
              <w:rPr>
                <w:rFonts w:hint="cs"/>
                <w:rtl/>
                <w:lang w:bidi="ar-EG"/>
              </w:rPr>
              <w:t xml:space="preserve"> حتى </w:t>
            </w:r>
            <w:r>
              <w:rPr>
                <w:rFonts w:hint="cs"/>
                <w:rtl/>
                <w:lang w:bidi="ar-EG"/>
              </w:rPr>
              <w:t>الآن</w:t>
            </w:r>
          </w:p>
        </w:tc>
        <w:tc>
          <w:tcPr>
            <w:tcW w:w="377" w:type="pct"/>
            <w:tcBorders>
              <w:top w:val="single" w:sz="8" w:space="0" w:color="auto"/>
            </w:tcBorders>
            <w:shd w:val="clear" w:color="auto" w:fill="auto"/>
            <w:noWrap/>
            <w:vAlign w:val="bottom"/>
          </w:tcPr>
          <w:p w:rsidR="00075548" w:rsidRPr="002E2FD1" w:rsidRDefault="00075548" w:rsidP="006D2FFB">
            <w:pPr>
              <w:snapToGrid w:val="0"/>
              <w:spacing w:before="60" w:after="60" w:line="260" w:lineRule="exact"/>
              <w:jc w:val="center"/>
              <w:rPr>
                <w:color w:val="000000"/>
                <w:sz w:val="20"/>
                <w:szCs w:val="26"/>
              </w:rPr>
            </w:pPr>
          </w:p>
        </w:tc>
        <w:tc>
          <w:tcPr>
            <w:tcW w:w="377" w:type="pct"/>
            <w:tcBorders>
              <w:top w:val="single" w:sz="8" w:space="0" w:color="auto"/>
            </w:tcBorders>
            <w:shd w:val="clear" w:color="auto" w:fill="auto"/>
            <w:noWrap/>
            <w:vAlign w:val="bottom"/>
          </w:tcPr>
          <w:p w:rsidR="00075548" w:rsidRPr="002E2FD1" w:rsidRDefault="00075548" w:rsidP="006D2FFB">
            <w:pPr>
              <w:spacing w:before="60" w:after="60" w:line="260" w:lineRule="exact"/>
              <w:jc w:val="center"/>
              <w:rPr>
                <w:color w:val="000000"/>
                <w:sz w:val="20"/>
                <w:szCs w:val="26"/>
                <w:rtl/>
              </w:rPr>
            </w:pPr>
          </w:p>
        </w:tc>
        <w:tc>
          <w:tcPr>
            <w:tcW w:w="377" w:type="pct"/>
            <w:tcBorders>
              <w:top w:val="single" w:sz="8" w:space="0" w:color="auto"/>
            </w:tcBorders>
            <w:shd w:val="clear" w:color="auto" w:fill="auto"/>
            <w:noWrap/>
            <w:vAlign w:val="bottom"/>
          </w:tcPr>
          <w:p w:rsidR="00075548" w:rsidRPr="002E2FD1" w:rsidRDefault="00075548" w:rsidP="006D2FFB">
            <w:pPr>
              <w:spacing w:before="60" w:after="60" w:line="260" w:lineRule="exact"/>
              <w:jc w:val="center"/>
              <w:rPr>
                <w:color w:val="000000"/>
                <w:sz w:val="20"/>
                <w:szCs w:val="26"/>
              </w:rPr>
            </w:pPr>
          </w:p>
        </w:tc>
        <w:tc>
          <w:tcPr>
            <w:tcW w:w="377" w:type="pct"/>
            <w:tcBorders>
              <w:top w:val="single" w:sz="8" w:space="0" w:color="auto"/>
            </w:tcBorders>
            <w:shd w:val="clear" w:color="auto" w:fill="auto"/>
            <w:noWrap/>
            <w:vAlign w:val="bottom"/>
          </w:tcPr>
          <w:p w:rsidR="00075548" w:rsidRPr="002E2FD1" w:rsidRDefault="00075548" w:rsidP="006D2FFB">
            <w:pPr>
              <w:snapToGrid w:val="0"/>
              <w:spacing w:before="60" w:after="60" w:line="260" w:lineRule="exact"/>
              <w:jc w:val="center"/>
              <w:rPr>
                <w:color w:val="000000"/>
                <w:sz w:val="20"/>
                <w:szCs w:val="26"/>
              </w:rPr>
            </w:pPr>
          </w:p>
        </w:tc>
        <w:tc>
          <w:tcPr>
            <w:tcW w:w="377" w:type="pct"/>
            <w:tcBorders>
              <w:top w:val="single" w:sz="8" w:space="0" w:color="auto"/>
            </w:tcBorders>
            <w:shd w:val="clear" w:color="auto" w:fill="auto"/>
            <w:noWrap/>
            <w:vAlign w:val="bottom"/>
          </w:tcPr>
          <w:p w:rsidR="00075548" w:rsidRPr="002E2FD1" w:rsidRDefault="00075548" w:rsidP="006D2FFB">
            <w:pPr>
              <w:snapToGrid w:val="0"/>
              <w:spacing w:before="60" w:after="60" w:line="260" w:lineRule="exact"/>
              <w:jc w:val="center"/>
              <w:rPr>
                <w:color w:val="000000"/>
                <w:sz w:val="20"/>
                <w:szCs w:val="26"/>
              </w:rPr>
            </w:pPr>
          </w:p>
        </w:tc>
        <w:tc>
          <w:tcPr>
            <w:tcW w:w="377" w:type="pct"/>
            <w:tcBorders>
              <w:top w:val="single" w:sz="8" w:space="0" w:color="auto"/>
            </w:tcBorders>
            <w:shd w:val="clear" w:color="auto" w:fill="auto"/>
            <w:noWrap/>
            <w:vAlign w:val="bottom"/>
          </w:tcPr>
          <w:p w:rsidR="00075548" w:rsidRPr="002E2FD1" w:rsidRDefault="00075548" w:rsidP="006D2FFB">
            <w:pPr>
              <w:spacing w:before="60" w:after="60" w:line="260" w:lineRule="exact"/>
              <w:jc w:val="center"/>
              <w:rPr>
                <w:color w:val="000000"/>
                <w:sz w:val="20"/>
                <w:szCs w:val="26"/>
              </w:rPr>
            </w:pPr>
          </w:p>
        </w:tc>
        <w:tc>
          <w:tcPr>
            <w:tcW w:w="288" w:type="pct"/>
            <w:tcBorders>
              <w:top w:val="single" w:sz="8" w:space="0" w:color="auto"/>
            </w:tcBorders>
            <w:shd w:val="clear" w:color="auto" w:fill="auto"/>
            <w:noWrap/>
            <w:vAlign w:val="bottom"/>
          </w:tcPr>
          <w:p w:rsidR="00075548" w:rsidRPr="002E2FD1" w:rsidRDefault="00075548" w:rsidP="006D2FFB">
            <w:pPr>
              <w:spacing w:before="60" w:after="60" w:line="260" w:lineRule="exact"/>
              <w:jc w:val="center"/>
              <w:rPr>
                <w:color w:val="000000"/>
                <w:sz w:val="20"/>
                <w:szCs w:val="26"/>
              </w:rPr>
            </w:pPr>
          </w:p>
        </w:tc>
        <w:tc>
          <w:tcPr>
            <w:tcW w:w="288" w:type="pct"/>
            <w:tcBorders>
              <w:top w:val="single" w:sz="8" w:space="0" w:color="auto"/>
            </w:tcBorders>
            <w:shd w:val="clear" w:color="auto" w:fill="auto"/>
          </w:tcPr>
          <w:p w:rsidR="00075548" w:rsidRPr="002E2FD1" w:rsidRDefault="00075548" w:rsidP="006D2FFB">
            <w:pPr>
              <w:spacing w:before="60" w:after="60" w:line="260" w:lineRule="exact"/>
              <w:jc w:val="center"/>
              <w:rPr>
                <w:color w:val="000000"/>
                <w:sz w:val="20"/>
                <w:szCs w:val="26"/>
              </w:rPr>
            </w:pPr>
          </w:p>
        </w:tc>
        <w:tc>
          <w:tcPr>
            <w:tcW w:w="392" w:type="pct"/>
            <w:tcBorders>
              <w:top w:val="single" w:sz="8" w:space="0" w:color="auto"/>
            </w:tcBorders>
            <w:shd w:val="clear" w:color="auto" w:fill="auto"/>
          </w:tcPr>
          <w:p w:rsidR="00075548" w:rsidRPr="002E2FD1" w:rsidRDefault="00075548" w:rsidP="006D2FFB">
            <w:pPr>
              <w:spacing w:before="60" w:after="60" w:line="260" w:lineRule="exact"/>
              <w:jc w:val="center"/>
              <w:rPr>
                <w:color w:val="000000"/>
                <w:sz w:val="20"/>
                <w:szCs w:val="26"/>
              </w:rPr>
            </w:pPr>
          </w:p>
        </w:tc>
        <w:tc>
          <w:tcPr>
            <w:tcW w:w="377" w:type="pct"/>
            <w:tcBorders>
              <w:top w:val="single" w:sz="8" w:space="0" w:color="auto"/>
            </w:tcBorders>
            <w:shd w:val="clear" w:color="auto" w:fill="auto"/>
            <w:noWrap/>
            <w:vAlign w:val="bottom"/>
          </w:tcPr>
          <w:p w:rsidR="00075548" w:rsidRPr="002E2FD1" w:rsidRDefault="00075548" w:rsidP="006D2FFB">
            <w:pPr>
              <w:spacing w:before="60" w:after="60" w:line="260" w:lineRule="exact"/>
              <w:jc w:val="center"/>
              <w:rPr>
                <w:b/>
                <w:bCs/>
                <w:color w:val="000000"/>
                <w:sz w:val="20"/>
                <w:szCs w:val="26"/>
              </w:rPr>
            </w:pPr>
          </w:p>
        </w:tc>
      </w:tr>
    </w:tbl>
    <w:p w:rsidR="008A26E0" w:rsidRDefault="008A26E0" w:rsidP="00332040">
      <w:pPr>
        <w:spacing w:after="240"/>
        <w:rPr>
          <w:rtl/>
        </w:rPr>
      </w:pPr>
      <w:proofErr w:type="gramStart"/>
      <w:r w:rsidRPr="00D04AAA">
        <w:t>22</w:t>
      </w:r>
      <w:r w:rsidRPr="00D04AAA">
        <w:rPr>
          <w:rtl/>
        </w:rPr>
        <w:tab/>
      </w:r>
      <w:r w:rsidRPr="00D04AAA">
        <w:rPr>
          <w:rFonts w:hint="cs"/>
          <w:rtl/>
        </w:rPr>
        <w:t>و</w:t>
      </w:r>
      <w:r>
        <w:rPr>
          <w:rFonts w:hint="cs"/>
          <w:rtl/>
        </w:rPr>
        <w:t>بناء</w:t>
      </w:r>
      <w:proofErr w:type="gramEnd"/>
      <w:r>
        <w:rPr>
          <w:rFonts w:hint="cs"/>
          <w:rtl/>
        </w:rPr>
        <w:t>ً على طلب مقدم من أحد أعضاء المجلس في العام الماضي، ضمَّنت وحدة المراجعة الداخلية تقرير هذا العام أيضاً لمحة عامة عن مدى أهمية التوصيات التي لا</w:t>
      </w:r>
      <w:r w:rsidR="00332040">
        <w:rPr>
          <w:rFonts w:hint="eastAsia"/>
          <w:rtl/>
          <w:lang w:bidi="ar-EG"/>
        </w:rPr>
        <w:t> </w:t>
      </w:r>
      <w:r>
        <w:rPr>
          <w:rFonts w:hint="cs"/>
          <w:rtl/>
        </w:rPr>
        <w:t>يزال تنفيذها جارياً</w:t>
      </w:r>
      <w:r w:rsidRPr="00655FD5">
        <w:rPr>
          <w:rFonts w:hint="cs"/>
          <w:rtl/>
        </w:rPr>
        <w:t>:</w:t>
      </w:r>
    </w:p>
    <w:p w:rsidR="008A26E0" w:rsidRDefault="000205A9" w:rsidP="008A26E0">
      <w:pPr>
        <w:pStyle w:val="ListParagraph"/>
        <w:tabs>
          <w:tab w:val="clear" w:pos="794"/>
        </w:tabs>
        <w:adjustRightInd w:val="0"/>
        <w:snapToGrid w:val="0"/>
        <w:spacing w:line="240" w:lineRule="auto"/>
        <w:ind w:left="0"/>
        <w:contextualSpacing w:val="0"/>
        <w:jc w:val="center"/>
        <w:rPr>
          <w:rFonts w:asciiTheme="minorHAnsi" w:hAnsiTheme="minorHAnsi" w:cstheme="minorHAnsi"/>
          <w:sz w:val="24"/>
          <w:szCs w:val="24"/>
          <w:lang w:val="en-CA"/>
        </w:rPr>
      </w:pPr>
      <w:r>
        <w:rPr>
          <w:noProof/>
        </w:rPr>
        <mc:AlternateContent>
          <mc:Choice Requires="wpg">
            <w:drawing>
              <wp:anchor distT="0" distB="0" distL="114300" distR="114300" simplePos="0" relativeHeight="251665408" behindDoc="0" locked="0" layoutInCell="1" allowOverlap="1">
                <wp:simplePos x="0" y="0"/>
                <wp:positionH relativeFrom="column">
                  <wp:posOffset>2269639</wp:posOffset>
                </wp:positionH>
                <wp:positionV relativeFrom="paragraph">
                  <wp:posOffset>1740498</wp:posOffset>
                </wp:positionV>
                <wp:extent cx="1837765" cy="242047"/>
                <wp:effectExtent l="0" t="0" r="10160" b="24765"/>
                <wp:wrapNone/>
                <wp:docPr id="8" name="Group 8"/>
                <wp:cNvGraphicFramePr/>
                <a:graphic xmlns:a="http://schemas.openxmlformats.org/drawingml/2006/main">
                  <a:graphicData uri="http://schemas.microsoft.com/office/word/2010/wordprocessingGroup">
                    <wpg:wgp>
                      <wpg:cNvGrpSpPr/>
                      <wpg:grpSpPr>
                        <a:xfrm>
                          <a:off x="0" y="0"/>
                          <a:ext cx="1837765" cy="242047"/>
                          <a:chOff x="0" y="0"/>
                          <a:chExt cx="1837765" cy="242047"/>
                        </a:xfrm>
                      </wpg:grpSpPr>
                      <wps:wsp>
                        <wps:cNvPr id="1" name="Text Box 1"/>
                        <wps:cNvSpPr txBox="1"/>
                        <wps:spPr>
                          <a:xfrm>
                            <a:off x="0" y="0"/>
                            <a:ext cx="398929" cy="2420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F0052" w:rsidRPr="00CF0052" w:rsidRDefault="00E958F3" w:rsidP="00CF0052">
                              <w:pPr>
                                <w:rPr>
                                  <w:sz w:val="16"/>
                                  <w:szCs w:val="16"/>
                                </w:rPr>
                              </w:pPr>
                              <w:r w:rsidRPr="006F793D">
                                <w:rPr>
                                  <w:rFonts w:hint="cs"/>
                                  <w:spacing w:val="2"/>
                                  <w:sz w:val="16"/>
                                  <w:szCs w:val="16"/>
                                  <w:rtl/>
                                  <w:lang w:bidi="ar-EG"/>
                                </w:rPr>
                                <w:t>بالغة</w:t>
                              </w:r>
                              <w:r w:rsidR="00CF0052" w:rsidRPr="00CF0052">
                                <w:rPr>
                                  <w:rFonts w:hint="cs"/>
                                  <w:spacing w:val="2"/>
                                  <w:sz w:val="16"/>
                                  <w:szCs w:val="16"/>
                                  <w:rtl/>
                                  <w:lang w:bidi="ar-EG"/>
                                </w:rPr>
                                <w:t xml:space="preserve"> الأهمية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502024" y="0"/>
                            <a:ext cx="331694" cy="2420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F0052" w:rsidRPr="00CF0052" w:rsidRDefault="00CF0052" w:rsidP="00CF0052">
                              <w:pPr>
                                <w:rPr>
                                  <w:sz w:val="16"/>
                                  <w:szCs w:val="16"/>
                                </w:rPr>
                              </w:pPr>
                              <w:r>
                                <w:rPr>
                                  <w:rFonts w:hint="cs"/>
                                  <w:spacing w:val="2"/>
                                  <w:sz w:val="16"/>
                                  <w:szCs w:val="16"/>
                                  <w:rtl/>
                                  <w:lang w:bidi="ar-EG"/>
                                </w:rPr>
                                <w:t>كبيرة</w:t>
                              </w:r>
                              <w:r w:rsidRPr="00CF0052">
                                <w:rPr>
                                  <w:rFonts w:hint="cs"/>
                                  <w:spacing w:val="2"/>
                                  <w:sz w:val="16"/>
                                  <w:szCs w:val="16"/>
                                  <w:rtl/>
                                  <w:lang w:bidi="ar-EG"/>
                                </w:rPr>
                                <w:t xml:space="preserve"> الأهمية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41295" y="0"/>
                            <a:ext cx="412376" cy="2420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F0052" w:rsidRPr="00CF0052" w:rsidRDefault="00CF0052" w:rsidP="00CF0052">
                              <w:pPr>
                                <w:rPr>
                                  <w:sz w:val="16"/>
                                  <w:szCs w:val="16"/>
                                </w:rPr>
                              </w:pPr>
                              <w:r w:rsidRPr="00CF0052">
                                <w:rPr>
                                  <w:rFonts w:hint="cs"/>
                                  <w:spacing w:val="2"/>
                                  <w:sz w:val="16"/>
                                  <w:szCs w:val="16"/>
                                  <w:rtl/>
                                  <w:lang w:bidi="ar-EG"/>
                                </w:rPr>
                                <w:t>متوسطة الأهمية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1506071" y="0"/>
                            <a:ext cx="331694" cy="2420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F0052" w:rsidRPr="00CF0052" w:rsidRDefault="00CF0052" w:rsidP="00CF0052">
                              <w:pPr>
                                <w:rPr>
                                  <w:sz w:val="16"/>
                                  <w:szCs w:val="16"/>
                                </w:rPr>
                              </w:pPr>
                              <w:r>
                                <w:rPr>
                                  <w:rFonts w:hint="cs"/>
                                  <w:spacing w:val="2"/>
                                  <w:sz w:val="16"/>
                                  <w:szCs w:val="16"/>
                                  <w:rtl/>
                                  <w:lang w:bidi="ar-EG"/>
                                </w:rPr>
                                <w:t>قليلة</w:t>
                              </w:r>
                              <w:r w:rsidRPr="00CF0052">
                                <w:rPr>
                                  <w:rFonts w:hint="cs"/>
                                  <w:spacing w:val="2"/>
                                  <w:sz w:val="16"/>
                                  <w:szCs w:val="16"/>
                                  <w:rtl/>
                                  <w:lang w:bidi="ar-EG"/>
                                </w:rPr>
                                <w:t xml:space="preserve"> الأهمية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8" o:spid="_x0000_s1026" style="position:absolute;left:0;text-align:left;margin-left:178.7pt;margin-top:137.05pt;width:144.7pt;height:19.05pt;z-index:251665408" coordsize="18377,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">
                <v:shapetype id="_x0000_t202" coordsize="21600,21600" o:spt="202" path="m,l,21600r21600,l21600,xe">
                  <v:stroke joinstyle="miter"/>
                  <v:path gradientshapeok="t" o:connecttype="rect"/>
                </v:shapetype>
                <v:shape id="Text Box 1" o:spid="_x0000_s1027" type="#_x0000_t202" style="position:absolute;width:3989;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YncAA&#10;AADaAAAADwAAAGRycy9kb3ducmV2LnhtbERP24rCMBB9F/Yfwiz4pun6oFJNi3QVhcUHLx8wNNML&#10;NpPSxLb79xthwafhcK6zTUfTiJ46V1tW8DWPQBDnVtdcKrjfDrM1COeRNTaWScEvOUiTj8kWY20H&#10;vlB/9aUIIexiVFB538ZSurwig25uW+LAFbYz6APsSqk7HEK4aeQiipbSYM2hocKWsoryx/VpFJxW&#10;x+IcZff9ITv+DMXKLr/rHpWafo67DQhPo3+L/90nHebD65XXlc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OYncAAAADaAAAADwAAAAAAAAAAAAAAAACYAgAAZHJzL2Rvd25y&#10;ZXYueG1sUEsFBgAAAAAEAAQA9QAAAIUDAAAAAA==&#10;" fillcolor="white [3201]" strokecolor="white [3212]" strokeweight=".5pt">
                  <v:textbox inset="0,0,0,0">
                    <w:txbxContent>
                      <w:p w:rsidR="00CF0052" w:rsidRPr="00CF0052" w:rsidRDefault="00E958F3" w:rsidP="00CF0052">
                        <w:pPr>
                          <w:rPr>
                            <w:sz w:val="16"/>
                            <w:szCs w:val="16"/>
                          </w:rPr>
                        </w:pPr>
                        <w:r w:rsidRPr="006F793D">
                          <w:rPr>
                            <w:rFonts w:hint="cs"/>
                            <w:spacing w:val="2"/>
                            <w:sz w:val="16"/>
                            <w:szCs w:val="16"/>
                            <w:rtl/>
                            <w:lang w:bidi="ar-EG"/>
                          </w:rPr>
                          <w:t>بالغة</w:t>
                        </w:r>
                        <w:r w:rsidR="00CF0052" w:rsidRPr="00CF0052">
                          <w:rPr>
                            <w:rFonts w:hint="cs"/>
                            <w:spacing w:val="2"/>
                            <w:sz w:val="16"/>
                            <w:szCs w:val="16"/>
                            <w:rtl/>
                            <w:lang w:bidi="ar-EG"/>
                          </w:rPr>
                          <w:t xml:space="preserve"> الأهمية</w:t>
                        </w:r>
                      </w:p>
                    </w:txbxContent>
                  </v:textbox>
                </v:shape>
                <v:shape id="Text Box 3" o:spid="_x0000_s1028" type="#_x0000_t202" style="position:absolute;left:5020;width:3317;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2jccMA&#10;AADaAAAADwAAAGRycy9kb3ducmV2LnhtbESPzWrDMBCE74G+g9hCb7HcFOziRgnFbUig5FDXD7BY&#10;6x9qrYyl2O7bR4FCjsPMfMNs94vpxUSj6ywreI5iEMSV1R03Csqfw/oVhPPIGnvLpOCPHOx3D6st&#10;ZtrO/E1T4RsRIOwyVNB6P2RSuqolgy6yA3Hwajsa9EGOjdQjzgFuermJ40Qa7DgstDhQ3lL1W1yM&#10;glN6rM9xXn4e8uPXXKc2+egmVOrpcXl/A+Fp8ffwf/ukFbzA7Uq4AXJ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2jccMAAADaAAAADwAAAAAAAAAAAAAAAACYAgAAZHJzL2Rv&#10;d25yZXYueG1sUEsFBgAAAAAEAAQA9QAAAIgDAAAAAA==&#10;" fillcolor="white [3201]" strokecolor="white [3212]" strokeweight=".5pt">
                  <v:textbox inset="0,0,0,0">
                    <w:txbxContent>
                      <w:p w:rsidR="00CF0052" w:rsidRPr="00CF0052" w:rsidRDefault="00CF0052" w:rsidP="00CF0052">
                        <w:pPr>
                          <w:rPr>
                            <w:sz w:val="16"/>
                            <w:szCs w:val="16"/>
                          </w:rPr>
                        </w:pPr>
                        <w:r>
                          <w:rPr>
                            <w:rFonts w:hint="cs"/>
                            <w:spacing w:val="2"/>
                            <w:sz w:val="16"/>
                            <w:szCs w:val="16"/>
                            <w:rtl/>
                            <w:lang w:bidi="ar-EG"/>
                          </w:rPr>
                          <w:t>كبيرة</w:t>
                        </w:r>
                        <w:r w:rsidRPr="00CF0052">
                          <w:rPr>
                            <w:rFonts w:hint="cs"/>
                            <w:spacing w:val="2"/>
                            <w:sz w:val="16"/>
                            <w:szCs w:val="16"/>
                            <w:rtl/>
                            <w:lang w:bidi="ar-EG"/>
                          </w:rPr>
                          <w:t xml:space="preserve"> الأهمية</w:t>
                        </w:r>
                      </w:p>
                    </w:txbxContent>
                  </v:textbox>
                </v:shape>
                <v:shape id="Text Box 6" o:spid="_x0000_s1029" type="#_x0000_t202" style="position:absolute;left:9412;width:4124;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A6cIA&#10;AADaAAAADwAAAGRycy9kb3ducmV2LnhtbESPzYrCQBCE74LvMLSwN524hyhZR5HsioJ4MPoATabz&#10;w2Z6QmY2yb69Iwgei6r6itrsRtOInjpXW1awXEQgiHOray4V3G+H+RqE88gaG8uk4J8c7LbTyQYT&#10;bQe+Up/5UgQIuwQVVN63iZQur8igW9iWOHiF7Qz6ILtS6g6HADeN/IyiWBqsOSxU2FJaUf6b/RkF&#10;p9WxuETp/eeQHs9DsbLxd92jUh+zcf8FwtPo3+FX+6QVxPC8Em6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gDpwgAAANoAAAAPAAAAAAAAAAAAAAAAAJgCAABkcnMvZG93&#10;bnJldi54bWxQSwUGAAAAAAQABAD1AAAAhwMAAAAA&#10;" fillcolor="white [3201]" strokecolor="white [3212]" strokeweight=".5pt">
                  <v:textbox inset="0,0,0,0">
                    <w:txbxContent>
                      <w:p w:rsidR="00CF0052" w:rsidRPr="00CF0052" w:rsidRDefault="00CF0052" w:rsidP="00CF0052">
                        <w:pPr>
                          <w:rPr>
                            <w:sz w:val="16"/>
                            <w:szCs w:val="16"/>
                          </w:rPr>
                        </w:pPr>
                        <w:r w:rsidRPr="00CF0052">
                          <w:rPr>
                            <w:rFonts w:hint="cs"/>
                            <w:spacing w:val="2"/>
                            <w:sz w:val="16"/>
                            <w:szCs w:val="16"/>
                            <w:rtl/>
                            <w:lang w:bidi="ar-EG"/>
                          </w:rPr>
                          <w:t>متوسطة الأهمية</w:t>
                        </w:r>
                      </w:p>
                    </w:txbxContent>
                  </v:textbox>
                </v:shape>
                <v:shape id="Text Box 7" o:spid="_x0000_s1030" type="#_x0000_t202" style="position:absolute;left:15060;width:3317;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lcsIA&#10;AADaAAAADwAAAGRycy9kb3ducmV2LnhtbESPzYrCQBCE78K+w9ALe9OJHoxkHUWyKwriwegDNJnO&#10;D5vpCZkxyb69Iwgei6r6ilpvR9OInjpXW1Ywn0UgiHOray4V3K776QqE88gaG8uk4J8cbDcfkzUm&#10;2g58oT7zpQgQdgkqqLxvEyldXpFBN7MtcfAK2xn0QXal1B0OAW4auYiipTRYc1iosKW0ovwvuxsF&#10;x/hQnKP09rtPD6ehiO3yp+5Rqa/PcfcNwtPo3+FX+6gVxPC8E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qVywgAAANoAAAAPAAAAAAAAAAAAAAAAAJgCAABkcnMvZG93&#10;bnJldi54bWxQSwUGAAAAAAQABAD1AAAAhwMAAAAA&#10;" fillcolor="white [3201]" strokecolor="white [3212]" strokeweight=".5pt">
                  <v:textbox inset="0,0,0,0">
                    <w:txbxContent>
                      <w:p w:rsidR="00CF0052" w:rsidRPr="00CF0052" w:rsidRDefault="00CF0052" w:rsidP="00CF0052">
                        <w:pPr>
                          <w:rPr>
                            <w:sz w:val="16"/>
                            <w:szCs w:val="16"/>
                          </w:rPr>
                        </w:pPr>
                        <w:r>
                          <w:rPr>
                            <w:rFonts w:hint="cs"/>
                            <w:spacing w:val="2"/>
                            <w:sz w:val="16"/>
                            <w:szCs w:val="16"/>
                            <w:rtl/>
                            <w:lang w:bidi="ar-EG"/>
                          </w:rPr>
                          <w:t>قليلة</w:t>
                        </w:r>
                        <w:r w:rsidRPr="00CF0052">
                          <w:rPr>
                            <w:rFonts w:hint="cs"/>
                            <w:spacing w:val="2"/>
                            <w:sz w:val="16"/>
                            <w:szCs w:val="16"/>
                            <w:rtl/>
                            <w:lang w:bidi="ar-EG"/>
                          </w:rPr>
                          <w:t xml:space="preserve"> الأهمية</w:t>
                        </w:r>
                      </w:p>
                    </w:txbxContent>
                  </v:textbox>
                </v:shape>
              </v:group>
            </w:pict>
          </mc:Fallback>
        </mc:AlternateContent>
      </w:r>
      <w:r w:rsidR="008A26E0">
        <w:rPr>
          <w:noProof/>
        </w:rPr>
        <w:drawing>
          <wp:inline distT="0" distB="0" distL="0" distR="0" wp14:anchorId="47491CE5" wp14:editId="5AE65B3A">
            <wp:extent cx="5095875" cy="1990725"/>
            <wp:effectExtent l="0" t="0" r="9525" b="9525"/>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26E0" w:rsidRPr="00451689" w:rsidRDefault="008A26E0" w:rsidP="00E958F3">
      <w:pPr>
        <w:spacing w:before="240"/>
        <w:rPr>
          <w:spacing w:val="2"/>
          <w:rtl/>
          <w:lang w:bidi="ar-EG"/>
        </w:rPr>
      </w:pPr>
      <w:proofErr w:type="gramStart"/>
      <w:r>
        <w:rPr>
          <w:spacing w:val="2"/>
          <w:lang w:val="en-CA" w:bidi="ar-EG"/>
        </w:rPr>
        <w:t>23</w:t>
      </w:r>
      <w:r>
        <w:rPr>
          <w:spacing w:val="2"/>
          <w:lang w:val="en-CA" w:bidi="ar-EG"/>
        </w:rPr>
        <w:tab/>
      </w:r>
      <w:r>
        <w:rPr>
          <w:rFonts w:hint="cs"/>
          <w:spacing w:val="2"/>
          <w:rtl/>
          <w:lang w:val="en-CA" w:bidi="ar-EG"/>
        </w:rPr>
        <w:t>تنبثق</w:t>
      </w:r>
      <w:proofErr w:type="gramEnd"/>
      <w:r>
        <w:rPr>
          <w:rFonts w:hint="cs"/>
          <w:spacing w:val="2"/>
          <w:rtl/>
          <w:lang w:val="en-CA" w:bidi="ar-EG"/>
        </w:rPr>
        <w:t xml:space="preserve"> التوصيات </w:t>
      </w:r>
      <w:r w:rsidR="00E958F3">
        <w:rPr>
          <w:rFonts w:hint="cs"/>
          <w:spacing w:val="2"/>
          <w:rtl/>
          <w:lang w:val="en-CA" w:bidi="ar-EG"/>
        </w:rPr>
        <w:t>بالغة</w:t>
      </w:r>
      <w:r>
        <w:rPr>
          <w:rFonts w:hint="cs"/>
          <w:spacing w:val="2"/>
          <w:rtl/>
          <w:lang w:val="en-CA" w:bidi="ar-EG"/>
        </w:rPr>
        <w:t xml:space="preserve"> الأهمية لعام</w:t>
      </w:r>
      <w:r w:rsidR="000205A9">
        <w:rPr>
          <w:rFonts w:hint="eastAsia"/>
          <w:spacing w:val="2"/>
          <w:rtl/>
          <w:lang w:val="en-CA" w:bidi="ar-EG"/>
        </w:rPr>
        <w:t> </w:t>
      </w:r>
      <w:r>
        <w:rPr>
          <w:spacing w:val="2"/>
          <w:lang w:bidi="ar-EG"/>
        </w:rPr>
        <w:t>2019</w:t>
      </w:r>
      <w:r>
        <w:rPr>
          <w:rFonts w:hint="cs"/>
          <w:spacing w:val="2"/>
          <w:rtl/>
          <w:lang w:bidi="ar-EG"/>
        </w:rPr>
        <w:t xml:space="preserve"> من الرسالة الإدارية الصادرة عن وحدة المراجعة الداخلية، عقب التحقيق في</w:t>
      </w:r>
      <w:r w:rsidR="00E958F3">
        <w:rPr>
          <w:rFonts w:hint="eastAsia"/>
          <w:spacing w:val="2"/>
          <w:rtl/>
          <w:lang w:bidi="ar-EG"/>
        </w:rPr>
        <w:t> </w:t>
      </w:r>
      <w:r>
        <w:rPr>
          <w:rFonts w:hint="cs"/>
          <w:spacing w:val="2"/>
          <w:rtl/>
          <w:lang w:bidi="ar-EG"/>
        </w:rPr>
        <w:t xml:space="preserve">حالة الاحتيال </w:t>
      </w:r>
      <w:r>
        <w:rPr>
          <w:rFonts w:hint="cs"/>
          <w:spacing w:val="2"/>
          <w:rtl/>
          <w:lang w:val="en-CA" w:bidi="ar-EG"/>
        </w:rPr>
        <w:t xml:space="preserve">(انظر الفقرة أعلاه بشأن </w:t>
      </w:r>
      <w:r w:rsidRPr="00D152EF">
        <w:rPr>
          <w:rFonts w:hint="cs"/>
          <w:i/>
          <w:iCs/>
          <w:spacing w:val="2"/>
          <w:rtl/>
          <w:lang w:val="en-CA" w:bidi="ar-EG"/>
        </w:rPr>
        <w:t>التحقيقات</w:t>
      </w:r>
      <w:r>
        <w:rPr>
          <w:rFonts w:hint="cs"/>
          <w:spacing w:val="2"/>
          <w:rtl/>
          <w:lang w:val="en-CA" w:bidi="ar-EG"/>
        </w:rPr>
        <w:t>). وتتعل</w:t>
      </w:r>
      <w:r w:rsidR="000205A9">
        <w:rPr>
          <w:rFonts w:hint="cs"/>
          <w:spacing w:val="2"/>
          <w:rtl/>
          <w:lang w:val="en-CA" w:bidi="ar-EG"/>
        </w:rPr>
        <w:t>ّ</w:t>
      </w:r>
      <w:r>
        <w:rPr>
          <w:rFonts w:hint="cs"/>
          <w:spacing w:val="2"/>
          <w:rtl/>
          <w:lang w:val="en-CA" w:bidi="ar-EG"/>
        </w:rPr>
        <w:t>ق أساساً بالحاجة إلى تعزيز الضوابط المتعلقة بالمشتريات وإجراءات الإشراف والمراقبة في المكاتب الإقليمية/مكاتب المناطق، فيما</w:t>
      </w:r>
      <w:r w:rsidR="000205A9">
        <w:rPr>
          <w:rFonts w:hint="eastAsia"/>
          <w:spacing w:val="2"/>
          <w:rtl/>
          <w:lang w:val="en-CA" w:bidi="ar-EG"/>
        </w:rPr>
        <w:t> </w:t>
      </w:r>
      <w:r>
        <w:rPr>
          <w:rFonts w:hint="cs"/>
          <w:spacing w:val="2"/>
          <w:rtl/>
          <w:lang w:val="en-CA" w:bidi="ar-EG"/>
        </w:rPr>
        <w:t>يتعلق بتوظيف خبراء خارجيين (بموجب اتفاقات الخدمة الخاصة). وبالنسبة لعام</w:t>
      </w:r>
      <w:r w:rsidR="000205A9">
        <w:rPr>
          <w:rFonts w:hint="eastAsia"/>
          <w:spacing w:val="2"/>
          <w:rtl/>
          <w:lang w:val="en-CA" w:bidi="ar-EG"/>
        </w:rPr>
        <w:t> </w:t>
      </w:r>
      <w:r>
        <w:rPr>
          <w:spacing w:val="2"/>
          <w:lang w:bidi="ar-EG"/>
        </w:rPr>
        <w:t>2018</w:t>
      </w:r>
      <w:r>
        <w:rPr>
          <w:rFonts w:hint="cs"/>
          <w:spacing w:val="2"/>
          <w:rtl/>
          <w:lang w:bidi="ar-EG"/>
        </w:rPr>
        <w:t>، تعل</w:t>
      </w:r>
      <w:r w:rsidR="000205A9">
        <w:rPr>
          <w:rFonts w:hint="cs"/>
          <w:spacing w:val="2"/>
          <w:rtl/>
          <w:lang w:bidi="ar-EG"/>
        </w:rPr>
        <w:t>ّ</w:t>
      </w:r>
      <w:r>
        <w:rPr>
          <w:rFonts w:hint="cs"/>
          <w:spacing w:val="2"/>
          <w:rtl/>
          <w:lang w:bidi="ar-EG"/>
        </w:rPr>
        <w:t>قت التوص</w:t>
      </w:r>
      <w:bookmarkStart w:id="1" w:name="_GoBack"/>
      <w:bookmarkEnd w:id="1"/>
      <w:r>
        <w:rPr>
          <w:rFonts w:hint="cs"/>
          <w:spacing w:val="2"/>
          <w:rtl/>
          <w:lang w:bidi="ar-EG"/>
        </w:rPr>
        <w:t xml:space="preserve">ية </w:t>
      </w:r>
      <w:r w:rsidR="00E958F3">
        <w:rPr>
          <w:rFonts w:hint="cs"/>
          <w:spacing w:val="2"/>
          <w:rtl/>
          <w:lang w:bidi="ar-EG"/>
        </w:rPr>
        <w:t>بالغة</w:t>
      </w:r>
      <w:r>
        <w:rPr>
          <w:rFonts w:hint="cs"/>
          <w:spacing w:val="2"/>
          <w:rtl/>
          <w:lang w:bidi="ar-EG"/>
        </w:rPr>
        <w:t xml:space="preserve"> الأهمية بالحاجة إلى إصدار كتيب للمشتريات (من شأنه تعزيز الضوابط في هذا المجال). وفيما</w:t>
      </w:r>
      <w:r w:rsidR="000205A9">
        <w:rPr>
          <w:rFonts w:hint="eastAsia"/>
          <w:spacing w:val="2"/>
          <w:rtl/>
          <w:lang w:bidi="ar-EG"/>
        </w:rPr>
        <w:t> </w:t>
      </w:r>
      <w:r>
        <w:rPr>
          <w:rFonts w:hint="cs"/>
          <w:spacing w:val="2"/>
          <w:rtl/>
          <w:lang w:bidi="ar-EG"/>
        </w:rPr>
        <w:t>يتعلق بالتوصيات المقدمة سابقاً، فقد واظبت الإدارة على إبلاغ وحدة المراجعة الداخلية (و</w:t>
      </w:r>
      <w:r w:rsidRPr="00813B86">
        <w:rPr>
          <w:rtl/>
        </w:rPr>
        <w:t>الل</w:t>
      </w:r>
      <w:r>
        <w:rPr>
          <w:rtl/>
        </w:rPr>
        <w:t>جنة الاستشارية المستقلة للإدارة</w:t>
      </w:r>
      <w:r>
        <w:rPr>
          <w:rFonts w:hint="cs"/>
          <w:spacing w:val="2"/>
          <w:rtl/>
          <w:lang w:bidi="ar-EG"/>
        </w:rPr>
        <w:t>)</w:t>
      </w:r>
      <w:r w:rsidR="000205A9">
        <w:rPr>
          <w:rFonts w:hint="cs"/>
          <w:spacing w:val="2"/>
          <w:rtl/>
          <w:lang w:bidi="ar-EG"/>
        </w:rPr>
        <w:t xml:space="preserve"> بالتقدم المحرز بشأنها.</w:t>
      </w:r>
    </w:p>
    <w:p w:rsidR="008A26E0" w:rsidRPr="00294638" w:rsidRDefault="008A26E0" w:rsidP="000205A9">
      <w:pPr>
        <w:pStyle w:val="Heading1"/>
        <w:rPr>
          <w:rtl/>
        </w:rPr>
      </w:pPr>
      <w:r w:rsidRPr="00294638">
        <w:rPr>
          <w:rtl/>
        </w:rPr>
        <w:lastRenderedPageBreak/>
        <w:t>الجوانب المتصلة بمنهجية المراجعة</w:t>
      </w:r>
    </w:p>
    <w:p w:rsidR="008A26E0" w:rsidRDefault="008A26E0" w:rsidP="00332040">
      <w:pPr>
        <w:rPr>
          <w:rtl/>
          <w:lang w:bidi="ar-EG"/>
        </w:rPr>
      </w:pPr>
      <w:proofErr w:type="gramStart"/>
      <w:r>
        <w:t>24</w:t>
      </w:r>
      <w:r w:rsidRPr="00813B86">
        <w:rPr>
          <w:rtl/>
        </w:rPr>
        <w:tab/>
        <w:t>منذ</w:t>
      </w:r>
      <w:proofErr w:type="gramEnd"/>
      <w:r w:rsidRPr="00813B86">
        <w:rPr>
          <w:rtl/>
        </w:rPr>
        <w:t xml:space="preserve"> عام</w:t>
      </w:r>
      <w:r w:rsidR="000205A9">
        <w:rPr>
          <w:rFonts w:hint="cs"/>
          <w:rtl/>
        </w:rPr>
        <w:t> </w:t>
      </w:r>
      <w:r w:rsidRPr="00813B86">
        <w:t>2013</w:t>
      </w:r>
      <w:r w:rsidRPr="00813B86">
        <w:rPr>
          <w:rtl/>
        </w:rPr>
        <w:t xml:space="preserve"> كان</w:t>
      </w:r>
      <w:r w:rsidRPr="00813B86">
        <w:rPr>
          <w:rFonts w:hint="cs"/>
          <w:rtl/>
          <w:lang w:bidi="ar-EG"/>
        </w:rPr>
        <w:t>ت</w:t>
      </w:r>
      <w:r w:rsidRPr="00813B86">
        <w:rPr>
          <w:rtl/>
        </w:rPr>
        <w:t xml:space="preserve"> </w:t>
      </w:r>
      <w:r w:rsidRPr="00813B86">
        <w:rPr>
          <w:rFonts w:hint="cs"/>
          <w:rtl/>
        </w:rPr>
        <w:t>وحدة</w:t>
      </w:r>
      <w:r w:rsidRPr="00813B86">
        <w:rPr>
          <w:rtl/>
        </w:rPr>
        <w:t xml:space="preserve"> المراجعة الداخلية قد شرع</w:t>
      </w:r>
      <w:r w:rsidRPr="00813B86">
        <w:rPr>
          <w:rFonts w:hint="cs"/>
          <w:rtl/>
        </w:rPr>
        <w:t>ت</w:t>
      </w:r>
      <w:r w:rsidRPr="00813B86">
        <w:rPr>
          <w:rtl/>
        </w:rPr>
        <w:t xml:space="preserve"> في استعمال </w:t>
      </w:r>
      <w:r w:rsidRPr="00813B86">
        <w:rPr>
          <w:i/>
          <w:iCs/>
          <w:rtl/>
        </w:rPr>
        <w:t>استبيانات عن فعالية المراجعة</w:t>
      </w:r>
      <w:r w:rsidRPr="00813B86">
        <w:rPr>
          <w:rtl/>
        </w:rPr>
        <w:t xml:space="preserve"> أُرسلت</w:t>
      </w:r>
      <w:r>
        <w:rPr>
          <w:rFonts w:hint="cs"/>
          <w:rtl/>
        </w:rPr>
        <w:t> </w:t>
      </w:r>
      <w:r w:rsidRPr="00813B86">
        <w:rPr>
          <w:rtl/>
        </w:rPr>
        <w:t>إلى المديرين المسؤولين عن العمليات والكيانات الخاضعة للمراجعة، بغية تقييم فعالية أعمال المراجعة واستبانة المتّسع المتوفر للتحسين. واستمرت هذه الممارسة في الفترة المشمولة بالتقرير الوارد</w:t>
      </w:r>
      <w:r w:rsidRPr="00813B86">
        <w:rPr>
          <w:rFonts w:hint="cs"/>
          <w:rtl/>
        </w:rPr>
        <w:t>ة</w:t>
      </w:r>
      <w:r w:rsidRPr="00813B86">
        <w:rPr>
          <w:rtl/>
        </w:rPr>
        <w:t xml:space="preserve"> في هذه الوثيقة. وي</w:t>
      </w:r>
      <w:r w:rsidR="000205A9">
        <w:rPr>
          <w:rFonts w:hint="cs"/>
          <w:rtl/>
        </w:rPr>
        <w:t>ُ</w:t>
      </w:r>
      <w:r w:rsidRPr="00813B86">
        <w:rPr>
          <w:rtl/>
        </w:rPr>
        <w:t xml:space="preserve">شار إلى أن التعقيبات </w:t>
      </w:r>
      <w:r w:rsidRPr="00813B86">
        <w:rPr>
          <w:rFonts w:hint="cs"/>
          <w:rtl/>
        </w:rPr>
        <w:t>التي وردت إلى وحدة المراجعة الداخلية</w:t>
      </w:r>
      <w:r w:rsidRPr="00813B86">
        <w:rPr>
          <w:rtl/>
        </w:rPr>
        <w:t xml:space="preserve"> في</w:t>
      </w:r>
      <w:r w:rsidRPr="00813B86">
        <w:rPr>
          <w:rFonts w:hint="cs"/>
          <w:rtl/>
        </w:rPr>
        <w:t> </w:t>
      </w:r>
      <w:r w:rsidRPr="00813B86">
        <w:rPr>
          <w:rtl/>
        </w:rPr>
        <w:t>عام</w:t>
      </w:r>
      <w:r>
        <w:rPr>
          <w:rFonts w:hint="cs"/>
          <w:rtl/>
        </w:rPr>
        <w:t>ي</w:t>
      </w:r>
      <w:r w:rsidRPr="00813B86">
        <w:rPr>
          <w:rFonts w:hint="cs"/>
          <w:rtl/>
        </w:rPr>
        <w:t> </w:t>
      </w:r>
      <w:r>
        <w:t>2019/2018</w:t>
      </w:r>
      <w:r w:rsidRPr="00813B86">
        <w:rPr>
          <w:rtl/>
        </w:rPr>
        <w:t xml:space="preserve"> </w:t>
      </w:r>
      <w:r w:rsidRPr="00813B86">
        <w:rPr>
          <w:rFonts w:hint="cs"/>
          <w:rtl/>
        </w:rPr>
        <w:t xml:space="preserve">على </w:t>
      </w:r>
      <w:r w:rsidRPr="00813B86">
        <w:rPr>
          <w:rFonts w:hint="cs"/>
          <w:i/>
          <w:iCs/>
          <w:rtl/>
        </w:rPr>
        <w:t>الاستبيانات</w:t>
      </w:r>
      <w:r w:rsidRPr="00813B86">
        <w:rPr>
          <w:rFonts w:hint="cs"/>
          <w:rtl/>
        </w:rPr>
        <w:t xml:space="preserve"> </w:t>
      </w:r>
      <w:r w:rsidRPr="00451689">
        <w:rPr>
          <w:rFonts w:hint="cs"/>
          <w:rtl/>
          <w:lang w:bidi="ar-EG"/>
        </w:rPr>
        <w:t>الستة</w:t>
      </w:r>
      <w:r w:rsidRPr="00813B86">
        <w:rPr>
          <w:rFonts w:hint="cs"/>
          <w:rtl/>
        </w:rPr>
        <w:t xml:space="preserve"> </w:t>
      </w:r>
      <w:r w:rsidRPr="00813B86">
        <w:rPr>
          <w:rtl/>
        </w:rPr>
        <w:t xml:space="preserve">كانت إيجابية جداً (بلغ متوسط درجة التقييم </w:t>
      </w:r>
      <w:r w:rsidRPr="00451689">
        <w:t>4</w:t>
      </w:r>
      <w:r w:rsidR="00332040">
        <w:t>,</w:t>
      </w:r>
      <w:r w:rsidRPr="00451689">
        <w:t>2</w:t>
      </w:r>
      <w:r w:rsidRPr="00813B86">
        <w:rPr>
          <w:rtl/>
        </w:rPr>
        <w:t xml:space="preserve"> على سلَّم يتدرَّج من</w:t>
      </w:r>
      <w:r w:rsidRPr="00813B86">
        <w:rPr>
          <w:rFonts w:hint="cs"/>
          <w:rtl/>
        </w:rPr>
        <w:t> </w:t>
      </w:r>
      <w:r w:rsidRPr="00813B86">
        <w:t>1</w:t>
      </w:r>
      <w:r w:rsidRPr="00813B86">
        <w:rPr>
          <w:rtl/>
        </w:rPr>
        <w:t xml:space="preserve"> إلى</w:t>
      </w:r>
      <w:r w:rsidRPr="00813B86">
        <w:rPr>
          <w:rFonts w:hint="cs"/>
          <w:rtl/>
        </w:rPr>
        <w:t> </w:t>
      </w:r>
      <w:r w:rsidRPr="00813B86">
        <w:t>5</w:t>
      </w:r>
      <w:r w:rsidRPr="00813B86">
        <w:rPr>
          <w:rtl/>
        </w:rPr>
        <w:t>).</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CC9" w:rsidRDefault="00A21CC9" w:rsidP="006C3242">
      <w:pPr>
        <w:spacing w:before="0" w:line="240" w:lineRule="auto"/>
      </w:pPr>
      <w:r>
        <w:separator/>
      </w:r>
    </w:p>
  </w:endnote>
  <w:endnote w:type="continuationSeparator" w:id="0">
    <w:p w:rsidR="00A21CC9" w:rsidRDefault="00A21CC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8A26E0">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075548">
      <w:rPr>
        <w:rFonts w:ascii="Calibri" w:hAnsi="Calibri" w:cs="Calibri"/>
        <w:noProof/>
        <w:sz w:val="16"/>
        <w:szCs w:val="16"/>
        <w:lang w:val="fr-FR"/>
      </w:rPr>
      <w:t>P:\ARA\SG\CONSEIL\C19\000\044A.docx</w:t>
    </w:r>
    <w:r w:rsidRPr="006C3242">
      <w:rPr>
        <w:rFonts w:ascii="Calibri" w:hAnsi="Calibri" w:cs="Calibri"/>
        <w:sz w:val="16"/>
        <w:szCs w:val="16"/>
      </w:rPr>
      <w:fldChar w:fldCharType="end"/>
    </w:r>
    <w:r w:rsidRPr="008A26E0">
      <w:rPr>
        <w:rFonts w:ascii="Calibri" w:hAnsi="Calibri" w:cs="Calibri"/>
        <w:sz w:val="16"/>
        <w:szCs w:val="16"/>
        <w:lang w:val="fr-CH"/>
      </w:rPr>
      <w:t xml:space="preserve">  </w:t>
    </w:r>
    <w:r w:rsidRPr="006C3242">
      <w:rPr>
        <w:rFonts w:ascii="Calibri" w:hAnsi="Calibri" w:cs="Calibri"/>
        <w:sz w:val="16"/>
        <w:szCs w:val="16"/>
        <w:lang w:val="fr-FR"/>
      </w:rPr>
      <w:t xml:space="preserve"> (</w:t>
    </w:r>
    <w:r w:rsidR="008A26E0">
      <w:rPr>
        <w:rFonts w:ascii="Calibri" w:hAnsi="Calibri" w:cs="Calibri"/>
        <w:sz w:val="16"/>
        <w:szCs w:val="16"/>
        <w:lang w:val="fr-FR"/>
      </w:rPr>
      <w:t>450266</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6E76A1">
      <w:rPr>
        <w:rFonts w:ascii="Calibri" w:hAnsi="Calibri" w:cs="Calibri"/>
        <w:noProof/>
        <w:sz w:val="16"/>
        <w:szCs w:val="16"/>
        <w:lang w:val="fr-FR"/>
      </w:rPr>
      <w:t>11.06.19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075548">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CC9" w:rsidRDefault="00A21CC9" w:rsidP="006C3242">
      <w:pPr>
        <w:spacing w:before="0" w:line="240" w:lineRule="auto"/>
      </w:pPr>
      <w:r>
        <w:separator/>
      </w:r>
    </w:p>
  </w:footnote>
  <w:footnote w:type="continuationSeparator" w:id="0">
    <w:p w:rsidR="00A21CC9" w:rsidRDefault="00A21CC9" w:rsidP="006C3242">
      <w:pPr>
        <w:spacing w:before="0" w:line="240" w:lineRule="auto"/>
      </w:pPr>
      <w:r>
        <w:continuationSeparator/>
      </w:r>
    </w:p>
  </w:footnote>
  <w:footnote w:id="1">
    <w:p w:rsidR="008A26E0" w:rsidRDefault="008A26E0" w:rsidP="00655FD5">
      <w:pPr>
        <w:pStyle w:val="Footnotetexte"/>
        <w:rPr>
          <w:szCs w:val="20"/>
        </w:rPr>
      </w:pPr>
      <w:r>
        <w:rPr>
          <w:rStyle w:val="FootnoteReference"/>
        </w:rPr>
        <w:footnoteRef/>
      </w:r>
      <w:r>
        <w:rPr>
          <w:rtl/>
        </w:rPr>
        <w:t xml:space="preserve"> </w:t>
      </w:r>
      <w:r>
        <w:rPr>
          <w:rtl/>
        </w:rPr>
        <w:tab/>
        <w:t xml:space="preserve">الأمر الإداري </w:t>
      </w:r>
      <w:r>
        <w:t>13/09</w:t>
      </w:r>
      <w:r>
        <w:rPr>
          <w:rtl/>
        </w:rPr>
        <w:t xml:space="preserve">، </w:t>
      </w:r>
      <w:r>
        <w:rPr>
          <w:rFonts w:hint="cs"/>
          <w:rtl/>
        </w:rPr>
        <w:t>الصادر عن</w:t>
      </w:r>
      <w:r>
        <w:rPr>
          <w:rtl/>
        </w:rPr>
        <w:t xml:space="preserve"> الأمين العام في</w:t>
      </w:r>
      <w:r w:rsidR="00655FD5">
        <w:rPr>
          <w:rFonts w:hint="cs"/>
          <w:rtl/>
        </w:rPr>
        <w:t> </w:t>
      </w:r>
      <w:r>
        <w:t>27</w:t>
      </w:r>
      <w:r w:rsidR="00655FD5">
        <w:rPr>
          <w:rFonts w:hint="cs"/>
          <w:rtl/>
        </w:rPr>
        <w:t> </w:t>
      </w:r>
      <w:r>
        <w:rPr>
          <w:rtl/>
        </w:rPr>
        <w:t>يونيو</w:t>
      </w:r>
      <w:r w:rsidR="00655FD5">
        <w:rPr>
          <w:rFonts w:hint="cs"/>
          <w:rtl/>
        </w:rPr>
        <w:t> </w:t>
      </w:r>
      <w:r>
        <w:t>2013</w:t>
      </w:r>
      <w:r>
        <w:rPr>
          <w:rtl/>
        </w:rPr>
        <w:t>.</w:t>
      </w:r>
    </w:p>
  </w:footnote>
  <w:footnote w:id="2">
    <w:p w:rsidR="008A26E0" w:rsidRDefault="008A26E0" w:rsidP="008A26E0">
      <w:pPr>
        <w:pStyle w:val="Footnotetexte"/>
        <w:rPr>
          <w:rtl/>
        </w:rPr>
      </w:pPr>
      <w:r>
        <w:rPr>
          <w:rStyle w:val="FootnoteReference"/>
        </w:rPr>
        <w:footnoteRef/>
      </w:r>
      <w:r>
        <w:tab/>
      </w:r>
      <w:r w:rsidRPr="001A27E6">
        <w:rPr>
          <w:rtl/>
        </w:rPr>
        <w:t xml:space="preserve">معهد مراجعي الحسابات الداخليين، </w:t>
      </w:r>
      <w:hyperlink r:id="rId1" w:history="1">
        <w:r w:rsidRPr="001A27E6">
          <w:rPr>
            <w:rStyle w:val="Hyperlink"/>
          </w:rPr>
          <w:t>www.theiia.org</w:t>
        </w:r>
      </w:hyperlink>
      <w:r w:rsidRPr="001A27E6">
        <w:rPr>
          <w:rtl/>
        </w:rPr>
        <w:t>.</w:t>
      </w:r>
    </w:p>
  </w:footnote>
  <w:footnote w:id="3">
    <w:p w:rsidR="008A26E0" w:rsidRDefault="008A26E0" w:rsidP="00473A7A">
      <w:pPr>
        <w:pStyle w:val="Footnotetexte"/>
      </w:pPr>
      <w:r>
        <w:rPr>
          <w:rStyle w:val="FootnoteReference"/>
        </w:rPr>
        <w:footnoteRef/>
      </w:r>
      <w:r>
        <w:rPr>
          <w:rtl/>
        </w:rPr>
        <w:tab/>
        <w:t xml:space="preserve">الأمر الإداري ذو الرقم </w:t>
      </w:r>
      <w:r>
        <w:t>13/09</w:t>
      </w:r>
      <w:r>
        <w:rPr>
          <w:rtl/>
        </w:rPr>
        <w:t xml:space="preserve">، الذي اعتمده الأمين العام في </w:t>
      </w:r>
      <w:r>
        <w:t>27</w:t>
      </w:r>
      <w:r w:rsidR="00473A7A">
        <w:rPr>
          <w:rFonts w:hint="cs"/>
          <w:rtl/>
        </w:rPr>
        <w:t> </w:t>
      </w:r>
      <w:r>
        <w:rPr>
          <w:rtl/>
        </w:rPr>
        <w:t>يونيو</w:t>
      </w:r>
      <w:r w:rsidR="00473A7A">
        <w:rPr>
          <w:rFonts w:hint="cs"/>
          <w:rtl/>
        </w:rPr>
        <w:t> </w:t>
      </w:r>
      <w:r>
        <w:t>2013</w:t>
      </w:r>
      <w:r>
        <w:rPr>
          <w:rtl/>
        </w:rPr>
        <w:t>.</w:t>
      </w:r>
    </w:p>
  </w:footnote>
  <w:footnote w:id="4">
    <w:p w:rsidR="008A26E0" w:rsidRDefault="008A26E0" w:rsidP="008A26E0">
      <w:pPr>
        <w:pStyle w:val="Footnotetexte"/>
        <w:rPr>
          <w:rtl/>
        </w:rPr>
      </w:pPr>
      <w:r>
        <w:rPr>
          <w:rStyle w:val="FootnoteReference"/>
        </w:rPr>
        <w:footnoteRef/>
      </w:r>
      <w:r>
        <w:rPr>
          <w:rtl/>
        </w:rPr>
        <w:tab/>
        <w:t xml:space="preserve">معهد المراجعين الداخليين، </w:t>
      </w:r>
      <w:hyperlink r:id="rId2" w:history="1">
        <w:r w:rsidRPr="00576533">
          <w:rPr>
            <w:rStyle w:val="Hyperlink"/>
            <w:szCs w:val="20"/>
          </w:rPr>
          <w:t>www.theiia.org</w:t>
        </w:r>
      </w:hyperlink>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6F793D" w:rsidP="008A26E0">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6</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8A26E0">
          <w:rPr>
            <w:rFonts w:cs="Calibri"/>
            <w:noProof/>
            <w:sz w:val="20"/>
            <w:szCs w:val="20"/>
          </w:rPr>
          <w:t>44</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C9"/>
    <w:rsid w:val="000205A9"/>
    <w:rsid w:val="00075548"/>
    <w:rsid w:val="00090574"/>
    <w:rsid w:val="00093E27"/>
    <w:rsid w:val="000C1C0E"/>
    <w:rsid w:val="000C548A"/>
    <w:rsid w:val="00171323"/>
    <w:rsid w:val="001C0169"/>
    <w:rsid w:val="001D1D50"/>
    <w:rsid w:val="001D6745"/>
    <w:rsid w:val="001E0878"/>
    <w:rsid w:val="001E446E"/>
    <w:rsid w:val="002154EE"/>
    <w:rsid w:val="002276D2"/>
    <w:rsid w:val="0023283D"/>
    <w:rsid w:val="0023459E"/>
    <w:rsid w:val="00271C43"/>
    <w:rsid w:val="00290728"/>
    <w:rsid w:val="002978F4"/>
    <w:rsid w:val="002A46E6"/>
    <w:rsid w:val="002B028D"/>
    <w:rsid w:val="002E6541"/>
    <w:rsid w:val="00332040"/>
    <w:rsid w:val="00334924"/>
    <w:rsid w:val="003409BC"/>
    <w:rsid w:val="00357185"/>
    <w:rsid w:val="00383829"/>
    <w:rsid w:val="003F4B29"/>
    <w:rsid w:val="0042686F"/>
    <w:rsid w:val="004317D8"/>
    <w:rsid w:val="00434183"/>
    <w:rsid w:val="00443869"/>
    <w:rsid w:val="00447F32"/>
    <w:rsid w:val="00473A7A"/>
    <w:rsid w:val="004E11DC"/>
    <w:rsid w:val="005409AC"/>
    <w:rsid w:val="0055516A"/>
    <w:rsid w:val="0058491B"/>
    <w:rsid w:val="00592EA5"/>
    <w:rsid w:val="005A3170"/>
    <w:rsid w:val="00651D09"/>
    <w:rsid w:val="00655FD5"/>
    <w:rsid w:val="00677396"/>
    <w:rsid w:val="0069200F"/>
    <w:rsid w:val="006A65CB"/>
    <w:rsid w:val="006C3242"/>
    <w:rsid w:val="006C7CC0"/>
    <w:rsid w:val="006E76A1"/>
    <w:rsid w:val="006F63F7"/>
    <w:rsid w:val="006F793D"/>
    <w:rsid w:val="007025C7"/>
    <w:rsid w:val="00706D7A"/>
    <w:rsid w:val="00722F0D"/>
    <w:rsid w:val="00733B8E"/>
    <w:rsid w:val="00733C9E"/>
    <w:rsid w:val="0074420E"/>
    <w:rsid w:val="00783E26"/>
    <w:rsid w:val="007C3BC7"/>
    <w:rsid w:val="007D4ACF"/>
    <w:rsid w:val="007F0787"/>
    <w:rsid w:val="00810B7B"/>
    <w:rsid w:val="0082358A"/>
    <w:rsid w:val="008235CD"/>
    <w:rsid w:val="008247DE"/>
    <w:rsid w:val="00840B10"/>
    <w:rsid w:val="008513CB"/>
    <w:rsid w:val="008A26E0"/>
    <w:rsid w:val="008A2A55"/>
    <w:rsid w:val="008A7F84"/>
    <w:rsid w:val="0091702E"/>
    <w:rsid w:val="00923B0C"/>
    <w:rsid w:val="0094021C"/>
    <w:rsid w:val="00952F86"/>
    <w:rsid w:val="00962118"/>
    <w:rsid w:val="00982B28"/>
    <w:rsid w:val="009D313F"/>
    <w:rsid w:val="009F6701"/>
    <w:rsid w:val="00A21CC9"/>
    <w:rsid w:val="00A47A5A"/>
    <w:rsid w:val="00A6683B"/>
    <w:rsid w:val="00A97F94"/>
    <w:rsid w:val="00AC1F71"/>
    <w:rsid w:val="00B05BC8"/>
    <w:rsid w:val="00B64B47"/>
    <w:rsid w:val="00C002DE"/>
    <w:rsid w:val="00C53BF8"/>
    <w:rsid w:val="00C66157"/>
    <w:rsid w:val="00C674FE"/>
    <w:rsid w:val="00C67501"/>
    <w:rsid w:val="00C75633"/>
    <w:rsid w:val="00C968B9"/>
    <w:rsid w:val="00CE2395"/>
    <w:rsid w:val="00CE2EE1"/>
    <w:rsid w:val="00CE3349"/>
    <w:rsid w:val="00CF0052"/>
    <w:rsid w:val="00CF3FFD"/>
    <w:rsid w:val="00D10CCF"/>
    <w:rsid w:val="00D77D0F"/>
    <w:rsid w:val="00DA1CF0"/>
    <w:rsid w:val="00DC1E02"/>
    <w:rsid w:val="00DC24B4"/>
    <w:rsid w:val="00DC5FB0"/>
    <w:rsid w:val="00DF16DC"/>
    <w:rsid w:val="00E45211"/>
    <w:rsid w:val="00E6685D"/>
    <w:rsid w:val="00E92863"/>
    <w:rsid w:val="00E958F3"/>
    <w:rsid w:val="00EB796D"/>
    <w:rsid w:val="00EE570E"/>
    <w:rsid w:val="00F058DC"/>
    <w:rsid w:val="00F118C1"/>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3CCF16-2488-4941-8FE1-C2C7C59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Headingbitalic">
    <w:name w:val="Heading b italic"/>
    <w:basedOn w:val="Headingb"/>
    <w:qFormat/>
    <w:rsid w:val="008A26E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hanging="794"/>
    </w:pPr>
    <w:rPr>
      <w:rFonts w:eastAsia="SimSun"/>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9-CL-INF-0014/en" TargetMode="External"/><Relationship Id="rId4" Type="http://schemas.openxmlformats.org/officeDocument/2006/relationships/settings" Target="settings.xml"/><Relationship Id="rId9" Type="http://schemas.openxmlformats.org/officeDocument/2006/relationships/hyperlink" Target="https://www.itu.int/en/council/Documents/Financial-Regulations/S-GEN-REG_RGTFIN-2018-PDF-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file:///C:\Users\khalil\Desktop\Doc_TRAD\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SG\PA_Council_20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aditional Arabic" panose="02020603050405020304" pitchFamily="18" charset="-78"/>
                <a:ea typeface="+mn-ea"/>
                <a:cs typeface="Traditional Arabic" panose="02020603050405020304" pitchFamily="18" charset="-78"/>
              </a:defRPr>
            </a:pPr>
            <a:r>
              <a:rPr lang="ar-EG" sz="2000">
                <a:latin typeface="Traditional Arabic" panose="02020603050405020304" pitchFamily="18" charset="-78"/>
                <a:cs typeface="Traditional Arabic" panose="02020603050405020304" pitchFamily="18" charset="-78"/>
              </a:rPr>
              <a:t>مدى أهمية التوصيات الجاري</a:t>
            </a:r>
            <a:r>
              <a:rPr lang="ar-EG" sz="2000" baseline="0">
                <a:latin typeface="Traditional Arabic" panose="02020603050405020304" pitchFamily="18" charset="-78"/>
                <a:cs typeface="Traditional Arabic" panose="02020603050405020304" pitchFamily="18" charset="-78"/>
              </a:rPr>
              <a:t> تنفيذها/المتأخَّر في تنفيذها</a:t>
            </a:r>
            <a:endParaRPr lang="en-US" sz="2000">
              <a:latin typeface="Traditional Arabic" panose="02020603050405020304" pitchFamily="18" charset="-78"/>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aditional Arabic" panose="02020603050405020304" pitchFamily="18" charset="-78"/>
              <a:ea typeface="+mn-ea"/>
              <a:cs typeface="Traditional Arabic" panose="02020603050405020304" pitchFamily="18" charset="-78"/>
            </a:defRPr>
          </a:pPr>
          <a:endParaRPr lang="en-US"/>
        </a:p>
      </c:txPr>
    </c:title>
    <c:autoTitleDeleted val="0"/>
    <c:plotArea>
      <c:layout/>
      <c:barChart>
        <c:barDir val="col"/>
        <c:grouping val="clustered"/>
        <c:varyColors val="0"/>
        <c:ser>
          <c:idx val="0"/>
          <c:order val="0"/>
          <c:tx>
            <c:strRef>
              <c:f>Statistics!$R$38</c:f>
              <c:strCache>
                <c:ptCount val="1"/>
                <c:pt idx="0">
                  <c:v>Critical</c:v>
                </c:pt>
              </c:strCache>
            </c:strRef>
          </c:tx>
          <c:spPr>
            <a:solidFill>
              <a:srgbClr val="FF0000"/>
            </a:solidFill>
            <a:ln>
              <a:noFill/>
            </a:ln>
            <a:effectLst/>
          </c:spPr>
          <c:invertIfNegative val="0"/>
          <c:cat>
            <c:numRef>
              <c:f>Statistics!$Q$39:$Q$47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Statistics!$R$39:$R$47</c:f>
              <c:numCache>
                <c:formatCode>General</c:formatCode>
                <c:ptCount val="9"/>
                <c:pt idx="4">
                  <c:v>0</c:v>
                </c:pt>
                <c:pt idx="7">
                  <c:v>1</c:v>
                </c:pt>
                <c:pt idx="8">
                  <c:v>6</c:v>
                </c:pt>
              </c:numCache>
            </c:numRef>
          </c:val>
          <c:extLst xmlns:c16r2="http://schemas.microsoft.com/office/drawing/2015/06/chart">
            <c:ext xmlns:c16="http://schemas.microsoft.com/office/drawing/2014/chart" uri="{C3380CC4-5D6E-409C-BE32-E72D297353CC}">
              <c16:uniqueId val="{00000000-374F-44A8-AE88-71EB94767125}"/>
            </c:ext>
          </c:extLst>
        </c:ser>
        <c:ser>
          <c:idx val="1"/>
          <c:order val="1"/>
          <c:tx>
            <c:strRef>
              <c:f>Statistics!$S$38</c:f>
              <c:strCache>
                <c:ptCount val="1"/>
                <c:pt idx="0">
                  <c:v>High </c:v>
                </c:pt>
              </c:strCache>
            </c:strRef>
          </c:tx>
          <c:spPr>
            <a:solidFill>
              <a:srgbClr val="FFC000"/>
            </a:solidFill>
            <a:ln>
              <a:noFill/>
            </a:ln>
            <a:effectLst/>
          </c:spPr>
          <c:invertIfNegative val="0"/>
          <c:cat>
            <c:numRef>
              <c:f>Statistics!$Q$39:$Q$47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Statistics!$S$39:$S$47</c:f>
              <c:numCache>
                <c:formatCode>General</c:formatCode>
                <c:ptCount val="9"/>
                <c:pt idx="0">
                  <c:v>0</c:v>
                </c:pt>
                <c:pt idx="2">
                  <c:v>2</c:v>
                </c:pt>
                <c:pt idx="3">
                  <c:v>2</c:v>
                </c:pt>
                <c:pt idx="4">
                  <c:v>2</c:v>
                </c:pt>
                <c:pt idx="5">
                  <c:v>6</c:v>
                </c:pt>
                <c:pt idx="6">
                  <c:v>8</c:v>
                </c:pt>
                <c:pt idx="7">
                  <c:v>8</c:v>
                </c:pt>
                <c:pt idx="8">
                  <c:v>7</c:v>
                </c:pt>
              </c:numCache>
            </c:numRef>
          </c:val>
          <c:extLst xmlns:c16r2="http://schemas.microsoft.com/office/drawing/2015/06/chart">
            <c:ext xmlns:c16="http://schemas.microsoft.com/office/drawing/2014/chart" uri="{C3380CC4-5D6E-409C-BE32-E72D297353CC}">
              <c16:uniqueId val="{00000001-374F-44A8-AE88-71EB94767125}"/>
            </c:ext>
          </c:extLst>
        </c:ser>
        <c:ser>
          <c:idx val="2"/>
          <c:order val="2"/>
          <c:tx>
            <c:strRef>
              <c:f>Statistics!$T$38</c:f>
              <c:strCache>
                <c:ptCount val="1"/>
                <c:pt idx="0">
                  <c:v>Medium</c:v>
                </c:pt>
              </c:strCache>
            </c:strRef>
          </c:tx>
          <c:spPr>
            <a:solidFill>
              <a:srgbClr val="FFFF00"/>
            </a:solidFill>
            <a:ln>
              <a:noFill/>
            </a:ln>
            <a:effectLst/>
          </c:spPr>
          <c:invertIfNegative val="0"/>
          <c:cat>
            <c:numRef>
              <c:f>Statistics!$Q$39:$Q$47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Statistics!$T$39:$T$47</c:f>
              <c:numCache>
                <c:formatCode>General</c:formatCode>
                <c:ptCount val="9"/>
                <c:pt idx="0">
                  <c:v>2</c:v>
                </c:pt>
                <c:pt idx="2">
                  <c:v>3</c:v>
                </c:pt>
                <c:pt idx="3">
                  <c:v>0</c:v>
                </c:pt>
                <c:pt idx="4">
                  <c:v>2</c:v>
                </c:pt>
                <c:pt idx="5">
                  <c:v>2</c:v>
                </c:pt>
                <c:pt idx="6">
                  <c:v>10</c:v>
                </c:pt>
                <c:pt idx="7">
                  <c:v>9</c:v>
                </c:pt>
                <c:pt idx="8">
                  <c:v>2</c:v>
                </c:pt>
              </c:numCache>
            </c:numRef>
          </c:val>
          <c:extLst xmlns:c16r2="http://schemas.microsoft.com/office/drawing/2015/06/chart">
            <c:ext xmlns:c16="http://schemas.microsoft.com/office/drawing/2014/chart" uri="{C3380CC4-5D6E-409C-BE32-E72D297353CC}">
              <c16:uniqueId val="{00000002-374F-44A8-AE88-71EB94767125}"/>
            </c:ext>
          </c:extLst>
        </c:ser>
        <c:ser>
          <c:idx val="3"/>
          <c:order val="3"/>
          <c:tx>
            <c:strRef>
              <c:f>Statistics!$U$38</c:f>
              <c:strCache>
                <c:ptCount val="1"/>
                <c:pt idx="0">
                  <c:v>Low</c:v>
                </c:pt>
              </c:strCache>
            </c:strRef>
          </c:tx>
          <c:spPr>
            <a:solidFill>
              <a:srgbClr val="00B050"/>
            </a:solidFill>
            <a:ln>
              <a:noFill/>
            </a:ln>
            <a:effectLst/>
          </c:spPr>
          <c:invertIfNegative val="0"/>
          <c:cat>
            <c:numRef>
              <c:f>Statistics!$Q$39:$Q$47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Statistics!$U$39:$U$47</c:f>
              <c:numCache>
                <c:formatCode>General</c:formatCode>
                <c:ptCount val="9"/>
                <c:pt idx="0">
                  <c:v>1</c:v>
                </c:pt>
                <c:pt idx="2">
                  <c:v>0</c:v>
                </c:pt>
                <c:pt idx="5">
                  <c:v>0</c:v>
                </c:pt>
                <c:pt idx="7">
                  <c:v>2</c:v>
                </c:pt>
              </c:numCache>
            </c:numRef>
          </c:val>
          <c:extLst xmlns:c16r2="http://schemas.microsoft.com/office/drawing/2015/06/chart">
            <c:ext xmlns:c16="http://schemas.microsoft.com/office/drawing/2014/chart" uri="{C3380CC4-5D6E-409C-BE32-E72D297353CC}">
              <c16:uniqueId val="{00000003-374F-44A8-AE88-71EB94767125}"/>
            </c:ext>
          </c:extLst>
        </c:ser>
        <c:dLbls>
          <c:showLegendKey val="0"/>
          <c:showVal val="0"/>
          <c:showCatName val="0"/>
          <c:showSerName val="0"/>
          <c:showPercent val="0"/>
          <c:showBubbleSize val="0"/>
        </c:dLbls>
        <c:gapWidth val="219"/>
        <c:overlap val="-27"/>
        <c:axId val="2043568432"/>
        <c:axId val="2043570608"/>
      </c:barChart>
      <c:catAx>
        <c:axId val="204356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3570608"/>
        <c:crosses val="autoZero"/>
        <c:auto val="1"/>
        <c:lblAlgn val="ctr"/>
        <c:lblOffset val="100"/>
        <c:noMultiLvlLbl val="0"/>
      </c:catAx>
      <c:valAx>
        <c:axId val="204357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3568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2457A-E675-4FB2-87D7-5FA1D9A9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83</TotalTime>
  <Pages>6</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Awad, Samy</cp:lastModifiedBy>
  <cp:revision>24</cp:revision>
  <dcterms:created xsi:type="dcterms:W3CDTF">2019-06-11T10:48:00Z</dcterms:created>
  <dcterms:modified xsi:type="dcterms:W3CDTF">2019-06-11T13:01:00Z</dcterms:modified>
</cp:coreProperties>
</file>