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42" w:tblpY="-675"/>
        <w:tblW w:w="9889" w:type="dxa"/>
        <w:tblLayout w:type="fixed"/>
        <w:tblLook w:val="0000" w:firstRow="0" w:lastRow="0" w:firstColumn="0" w:lastColumn="0" w:noHBand="0" w:noVBand="0"/>
      </w:tblPr>
      <w:tblGrid>
        <w:gridCol w:w="6769"/>
        <w:gridCol w:w="3120"/>
      </w:tblGrid>
      <w:tr w:rsidR="00AE02CB" w:rsidRPr="00813E5E" w:rsidTr="00AE02CB">
        <w:trPr>
          <w:cantSplit/>
        </w:trPr>
        <w:tc>
          <w:tcPr>
            <w:tcW w:w="6769" w:type="dxa"/>
          </w:tcPr>
          <w:p w:rsidR="00AE02CB" w:rsidRPr="00813E5E" w:rsidRDefault="00AE02CB" w:rsidP="009F5BEE">
            <w:pPr>
              <w:spacing w:before="360" w:after="48" w:line="240" w:lineRule="atLeast"/>
              <w:rPr>
                <w:position w:val="6"/>
              </w:rPr>
            </w:pPr>
            <w:bookmarkStart w:id="0" w:name="dc06"/>
            <w:bookmarkEnd w:id="0"/>
            <w:r w:rsidRPr="009A18FC">
              <w:rPr>
                <w:b/>
                <w:bCs/>
                <w:position w:val="6"/>
                <w:sz w:val="30"/>
                <w:szCs w:val="30"/>
                <w:lang w:val="en-US"/>
              </w:rPr>
              <w:t>Council 201</w:t>
            </w:r>
            <w:r w:rsidR="009F5BEE">
              <w:rPr>
                <w:b/>
                <w:bCs/>
                <w:position w:val="6"/>
                <w:sz w:val="30"/>
                <w:szCs w:val="30"/>
                <w:lang w:val="en-US"/>
              </w:rPr>
              <w:t>9</w:t>
            </w:r>
            <w:r w:rsidRPr="00E85629">
              <w:rPr>
                <w:rFonts w:cs="Times"/>
                <w:b/>
                <w:position w:val="6"/>
                <w:sz w:val="26"/>
                <w:szCs w:val="26"/>
                <w:lang w:val="en-US"/>
              </w:rPr>
              <w:br/>
            </w:r>
            <w:r w:rsidR="009F5BEE">
              <w:rPr>
                <w:b/>
                <w:bCs/>
                <w:position w:val="6"/>
                <w:szCs w:val="24"/>
                <w:lang w:val="en-US"/>
              </w:rPr>
              <w:t>Geneva</w:t>
            </w:r>
            <w:r w:rsidR="009A18FC" w:rsidRPr="009A18FC">
              <w:rPr>
                <w:b/>
                <w:bCs/>
                <w:position w:val="6"/>
                <w:szCs w:val="24"/>
                <w:lang w:val="en-US"/>
              </w:rPr>
              <w:t xml:space="preserve">, </w:t>
            </w:r>
            <w:r w:rsidR="009F5BEE">
              <w:rPr>
                <w:b/>
                <w:bCs/>
                <w:position w:val="6"/>
                <w:szCs w:val="24"/>
                <w:lang w:val="en-US"/>
              </w:rPr>
              <w:t>10-20 June</w:t>
            </w:r>
            <w:r w:rsidR="009A18FC" w:rsidRPr="009A18FC">
              <w:rPr>
                <w:b/>
                <w:bCs/>
                <w:position w:val="6"/>
                <w:szCs w:val="24"/>
                <w:lang w:val="en-US"/>
              </w:rPr>
              <w:t xml:space="preserve"> </w:t>
            </w:r>
            <w:r w:rsidRPr="009A18FC">
              <w:rPr>
                <w:b/>
                <w:bCs/>
                <w:position w:val="6"/>
                <w:szCs w:val="24"/>
                <w:lang w:val="en-US"/>
              </w:rPr>
              <w:t>201</w:t>
            </w:r>
            <w:r w:rsidR="009F5BEE">
              <w:rPr>
                <w:b/>
                <w:bCs/>
                <w:position w:val="6"/>
                <w:szCs w:val="24"/>
                <w:lang w:val="en-US"/>
              </w:rPr>
              <w:t>9</w:t>
            </w:r>
          </w:p>
        </w:tc>
        <w:tc>
          <w:tcPr>
            <w:tcW w:w="3120" w:type="dxa"/>
          </w:tcPr>
          <w:p w:rsidR="00AE02CB" w:rsidRPr="00813E5E" w:rsidRDefault="00AE02CB" w:rsidP="00AE02CB">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28732120" wp14:editId="63CA9640">
                  <wp:extent cx="1765300" cy="7429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AE02CB" w:rsidRPr="00813E5E" w:rsidTr="00AE02CB">
        <w:trPr>
          <w:cantSplit/>
        </w:trPr>
        <w:tc>
          <w:tcPr>
            <w:tcW w:w="6769" w:type="dxa"/>
            <w:tcBorders>
              <w:bottom w:val="single" w:sz="12" w:space="0" w:color="auto"/>
            </w:tcBorders>
          </w:tcPr>
          <w:p w:rsidR="00AE02CB" w:rsidRPr="00813E5E" w:rsidRDefault="00AE02CB" w:rsidP="00AE02CB">
            <w:pPr>
              <w:spacing w:before="0" w:after="48" w:line="240" w:lineRule="atLeast"/>
              <w:rPr>
                <w:b/>
                <w:smallCaps/>
                <w:szCs w:val="24"/>
              </w:rPr>
            </w:pPr>
          </w:p>
        </w:tc>
        <w:tc>
          <w:tcPr>
            <w:tcW w:w="3120" w:type="dxa"/>
            <w:tcBorders>
              <w:bottom w:val="single" w:sz="12" w:space="0" w:color="auto"/>
            </w:tcBorders>
          </w:tcPr>
          <w:p w:rsidR="00AE02CB" w:rsidRPr="00813E5E" w:rsidRDefault="00AE02CB" w:rsidP="00AE02CB">
            <w:pPr>
              <w:spacing w:before="0" w:line="240" w:lineRule="atLeast"/>
              <w:rPr>
                <w:szCs w:val="24"/>
              </w:rPr>
            </w:pPr>
          </w:p>
        </w:tc>
      </w:tr>
      <w:tr w:rsidR="00AE02CB" w:rsidRPr="00813E5E" w:rsidTr="00AE02CB">
        <w:trPr>
          <w:cantSplit/>
        </w:trPr>
        <w:tc>
          <w:tcPr>
            <w:tcW w:w="6769" w:type="dxa"/>
            <w:tcBorders>
              <w:top w:val="single" w:sz="12" w:space="0" w:color="auto"/>
            </w:tcBorders>
          </w:tcPr>
          <w:p w:rsidR="00AE02CB" w:rsidRPr="00813E5E" w:rsidRDefault="00AE02CB" w:rsidP="00AE02CB">
            <w:pPr>
              <w:spacing w:before="0" w:after="48" w:line="240" w:lineRule="atLeast"/>
              <w:rPr>
                <w:b/>
                <w:smallCaps/>
                <w:szCs w:val="24"/>
              </w:rPr>
            </w:pPr>
          </w:p>
        </w:tc>
        <w:tc>
          <w:tcPr>
            <w:tcW w:w="3120" w:type="dxa"/>
            <w:tcBorders>
              <w:top w:val="single" w:sz="12" w:space="0" w:color="auto"/>
            </w:tcBorders>
          </w:tcPr>
          <w:p w:rsidR="00AE02CB" w:rsidRPr="00813E5E" w:rsidRDefault="00AE02CB" w:rsidP="00521DA3">
            <w:pPr>
              <w:snapToGrid w:val="0"/>
              <w:spacing w:before="0"/>
              <w:rPr>
                <w:szCs w:val="24"/>
              </w:rPr>
            </w:pPr>
          </w:p>
        </w:tc>
      </w:tr>
      <w:tr w:rsidR="00AE02CB" w:rsidRPr="00813E5E" w:rsidTr="00AE02CB">
        <w:trPr>
          <w:cantSplit/>
          <w:trHeight w:val="23"/>
        </w:trPr>
        <w:tc>
          <w:tcPr>
            <w:tcW w:w="6769" w:type="dxa"/>
            <w:vMerge w:val="restart"/>
          </w:tcPr>
          <w:p w:rsidR="00AE02CB" w:rsidRPr="001C6CE6" w:rsidRDefault="00BE7792" w:rsidP="007C640D">
            <w:pPr>
              <w:tabs>
                <w:tab w:val="left" w:pos="851"/>
              </w:tabs>
              <w:spacing w:before="0"/>
              <w:rPr>
                <w:b/>
              </w:rPr>
            </w:pPr>
            <w:bookmarkStart w:id="2" w:name="dmeeting" w:colFirst="0" w:colLast="0"/>
            <w:bookmarkStart w:id="3" w:name="dnum" w:colFirst="1" w:colLast="1"/>
            <w:r w:rsidRPr="001C6CE6">
              <w:rPr>
                <w:b/>
              </w:rPr>
              <w:t>Agenda item: ADM 1</w:t>
            </w:r>
            <w:r w:rsidR="004A15A2" w:rsidRPr="001C6CE6">
              <w:rPr>
                <w:b/>
              </w:rPr>
              <w:t>3</w:t>
            </w:r>
          </w:p>
        </w:tc>
        <w:tc>
          <w:tcPr>
            <w:tcW w:w="3120" w:type="dxa"/>
          </w:tcPr>
          <w:p w:rsidR="00AE02CB" w:rsidRPr="001C6CE6" w:rsidRDefault="00AE02CB" w:rsidP="009F5BEE">
            <w:pPr>
              <w:tabs>
                <w:tab w:val="left" w:pos="851"/>
              </w:tabs>
              <w:snapToGrid w:val="0"/>
              <w:spacing w:before="0"/>
              <w:rPr>
                <w:b/>
              </w:rPr>
            </w:pPr>
            <w:r w:rsidRPr="001C6CE6">
              <w:rPr>
                <w:b/>
              </w:rPr>
              <w:t>Document C1</w:t>
            </w:r>
            <w:r w:rsidR="009F5BEE" w:rsidRPr="001C6CE6">
              <w:rPr>
                <w:b/>
              </w:rPr>
              <w:t>9</w:t>
            </w:r>
            <w:r w:rsidRPr="001C6CE6">
              <w:rPr>
                <w:b/>
              </w:rPr>
              <w:t>/</w:t>
            </w:r>
            <w:r w:rsidR="006527FB" w:rsidRPr="001C6CE6">
              <w:rPr>
                <w:b/>
              </w:rPr>
              <w:t>4</w:t>
            </w:r>
            <w:r w:rsidR="009F5BEE" w:rsidRPr="001C6CE6">
              <w:rPr>
                <w:b/>
              </w:rPr>
              <w:t>2</w:t>
            </w:r>
            <w:r w:rsidRPr="001C6CE6">
              <w:rPr>
                <w:b/>
              </w:rPr>
              <w:t>-E</w:t>
            </w:r>
          </w:p>
        </w:tc>
      </w:tr>
      <w:tr w:rsidR="00AE02CB" w:rsidRPr="00813E5E" w:rsidTr="00AE02CB">
        <w:trPr>
          <w:cantSplit/>
          <w:trHeight w:val="23"/>
        </w:trPr>
        <w:tc>
          <w:tcPr>
            <w:tcW w:w="6769" w:type="dxa"/>
            <w:vMerge/>
          </w:tcPr>
          <w:p w:rsidR="00AE02CB" w:rsidRPr="001C6CE6" w:rsidRDefault="00AE02CB" w:rsidP="00AE02CB">
            <w:pPr>
              <w:tabs>
                <w:tab w:val="left" w:pos="851"/>
              </w:tabs>
              <w:spacing w:line="240" w:lineRule="atLeast"/>
              <w:rPr>
                <w:b/>
              </w:rPr>
            </w:pPr>
            <w:bookmarkStart w:id="4" w:name="ddate" w:colFirst="1" w:colLast="1"/>
            <w:bookmarkEnd w:id="2"/>
            <w:bookmarkEnd w:id="3"/>
          </w:p>
        </w:tc>
        <w:tc>
          <w:tcPr>
            <w:tcW w:w="3120" w:type="dxa"/>
          </w:tcPr>
          <w:p w:rsidR="00AE02CB" w:rsidRPr="001C6CE6" w:rsidRDefault="001C2F60" w:rsidP="001C2F60">
            <w:pPr>
              <w:tabs>
                <w:tab w:val="left" w:pos="993"/>
              </w:tabs>
              <w:snapToGrid w:val="0"/>
              <w:spacing w:before="0"/>
              <w:rPr>
                <w:rFonts w:cs="Calibri"/>
                <w:b/>
              </w:rPr>
            </w:pPr>
            <w:r w:rsidRPr="001C6CE6">
              <w:rPr>
                <w:rFonts w:cs="Calibri"/>
                <w:b/>
              </w:rPr>
              <w:t>28</w:t>
            </w:r>
            <w:r w:rsidR="008C63E7" w:rsidRPr="001C6CE6">
              <w:rPr>
                <w:rFonts w:cs="Calibri"/>
                <w:b/>
              </w:rPr>
              <w:t xml:space="preserve"> May 2019</w:t>
            </w:r>
          </w:p>
        </w:tc>
      </w:tr>
      <w:tr w:rsidR="00AE02CB" w:rsidRPr="00813E5E" w:rsidTr="00AE02CB">
        <w:trPr>
          <w:cantSplit/>
          <w:trHeight w:val="23"/>
        </w:trPr>
        <w:tc>
          <w:tcPr>
            <w:tcW w:w="6769" w:type="dxa"/>
            <w:vMerge/>
          </w:tcPr>
          <w:p w:rsidR="00AE02CB" w:rsidRPr="00813E5E" w:rsidRDefault="00AE02CB" w:rsidP="00AE02CB">
            <w:pPr>
              <w:tabs>
                <w:tab w:val="left" w:pos="851"/>
              </w:tabs>
              <w:spacing w:line="240" w:lineRule="atLeast"/>
              <w:rPr>
                <w:b/>
              </w:rPr>
            </w:pPr>
            <w:bookmarkStart w:id="5" w:name="dorlang" w:colFirst="1" w:colLast="1"/>
            <w:bookmarkEnd w:id="4"/>
          </w:p>
        </w:tc>
        <w:tc>
          <w:tcPr>
            <w:tcW w:w="3120" w:type="dxa"/>
          </w:tcPr>
          <w:p w:rsidR="00AE02CB" w:rsidRPr="003E61B9" w:rsidRDefault="00AE02CB" w:rsidP="007C640D">
            <w:pPr>
              <w:tabs>
                <w:tab w:val="left" w:pos="993"/>
              </w:tabs>
              <w:snapToGrid w:val="0"/>
              <w:spacing w:before="0"/>
              <w:rPr>
                <w:rFonts w:cs="Calibri"/>
                <w:b/>
              </w:rPr>
            </w:pPr>
            <w:r>
              <w:rPr>
                <w:b/>
              </w:rPr>
              <w:t>Original: English</w:t>
            </w:r>
          </w:p>
        </w:tc>
      </w:tr>
      <w:tr w:rsidR="001D3DC0" w:rsidRPr="00813E5E" w:rsidTr="00AE02CB">
        <w:trPr>
          <w:cantSplit/>
        </w:trPr>
        <w:tc>
          <w:tcPr>
            <w:tcW w:w="9889" w:type="dxa"/>
            <w:gridSpan w:val="2"/>
          </w:tcPr>
          <w:p w:rsidR="001D3DC0" w:rsidRPr="00813E5E" w:rsidRDefault="001D3DC0" w:rsidP="00AE02CB">
            <w:pPr>
              <w:pStyle w:val="Source"/>
            </w:pPr>
            <w:bookmarkStart w:id="6" w:name="dsource" w:colFirst="0" w:colLast="0"/>
            <w:bookmarkEnd w:id="5"/>
            <w:r>
              <w:t>Report by the Secretary-General</w:t>
            </w:r>
          </w:p>
        </w:tc>
      </w:tr>
      <w:tr w:rsidR="001D3DC0" w:rsidRPr="00813E5E" w:rsidTr="00AE02CB">
        <w:trPr>
          <w:cantSplit/>
        </w:trPr>
        <w:tc>
          <w:tcPr>
            <w:tcW w:w="9889" w:type="dxa"/>
            <w:gridSpan w:val="2"/>
          </w:tcPr>
          <w:p w:rsidR="001D3DC0" w:rsidRPr="00813E5E" w:rsidRDefault="001D3DC0" w:rsidP="007F5A01">
            <w:pPr>
              <w:pStyle w:val="Title1"/>
              <w:spacing w:after="360"/>
            </w:pPr>
            <w:bookmarkStart w:id="7" w:name="dtitle1" w:colFirst="0" w:colLast="0"/>
            <w:bookmarkEnd w:id="6"/>
            <w:r w:rsidRPr="001C2A98">
              <w:rPr>
                <w:szCs w:val="28"/>
                <w:lang w:val="en-US"/>
              </w:rPr>
              <w:t>financial operating report</w:t>
            </w:r>
            <w:r>
              <w:rPr>
                <w:szCs w:val="28"/>
                <w:lang w:val="en-US"/>
              </w:rPr>
              <w:br/>
            </w:r>
            <w:r w:rsidRPr="001C2A98">
              <w:rPr>
                <w:szCs w:val="28"/>
                <w:lang w:val="en-US"/>
              </w:rPr>
              <w:t xml:space="preserve">for </w:t>
            </w:r>
            <w:r>
              <w:rPr>
                <w:szCs w:val="28"/>
                <w:lang w:val="en-US"/>
              </w:rPr>
              <w:t xml:space="preserve">the </w:t>
            </w:r>
            <w:r w:rsidRPr="001C2A98">
              <w:rPr>
                <w:szCs w:val="28"/>
                <w:lang w:val="en-US"/>
              </w:rPr>
              <w:t>financial year 201</w:t>
            </w:r>
            <w:r w:rsidR="007F5A01">
              <w:rPr>
                <w:szCs w:val="28"/>
                <w:lang w:val="en-US"/>
              </w:rPr>
              <w:t>8</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D3DC0" w:rsidRPr="001C2A98" w:rsidTr="0076062A">
        <w:trPr>
          <w:trHeight w:val="3372"/>
        </w:trPr>
        <w:tc>
          <w:tcPr>
            <w:tcW w:w="8080" w:type="dxa"/>
            <w:tcBorders>
              <w:top w:val="single" w:sz="12" w:space="0" w:color="auto"/>
              <w:left w:val="single" w:sz="12" w:space="0" w:color="auto"/>
              <w:bottom w:val="single" w:sz="12" w:space="0" w:color="auto"/>
              <w:right w:val="single" w:sz="12" w:space="0" w:color="auto"/>
            </w:tcBorders>
          </w:tcPr>
          <w:p w:rsidR="001D3DC0" w:rsidRPr="001C2A98" w:rsidRDefault="001D3DC0" w:rsidP="006C5847">
            <w:pPr>
              <w:pStyle w:val="Headingb"/>
              <w:snapToGrid w:val="0"/>
              <w:spacing w:before="120" w:after="120"/>
              <w:rPr>
                <w:lang w:val="en-US"/>
              </w:rPr>
            </w:pPr>
            <w:bookmarkStart w:id="8" w:name="_Toc305764050"/>
            <w:bookmarkEnd w:id="7"/>
            <w:r w:rsidRPr="001C2A98">
              <w:rPr>
                <w:lang w:val="en-US"/>
              </w:rPr>
              <w:t>Summary</w:t>
            </w:r>
            <w:bookmarkEnd w:id="8"/>
          </w:p>
          <w:p w:rsidR="001D3DC0" w:rsidRPr="00D128FC" w:rsidRDefault="001D3DC0" w:rsidP="006C5847">
            <w:pPr>
              <w:tabs>
                <w:tab w:val="left" w:pos="851"/>
                <w:tab w:val="left" w:pos="1418"/>
              </w:tabs>
              <w:snapToGrid w:val="0"/>
              <w:spacing w:after="120"/>
              <w:rPr>
                <w:rFonts w:cs="Calibri"/>
                <w:lang w:val="en-US"/>
              </w:rPr>
            </w:pPr>
            <w:r w:rsidRPr="00D128FC">
              <w:rPr>
                <w:rFonts w:cs="Calibri"/>
                <w:lang w:val="en-US"/>
              </w:rPr>
              <w:t>Under No. 101 of the Convention of the International Telecommunication Union and Article 30 of the Financial Regulations of the Union, the Secretary-General is requested to submit a financial operating report each year to the Council.</w:t>
            </w:r>
          </w:p>
          <w:p w:rsidR="001D3DC0" w:rsidRPr="00D128FC" w:rsidRDefault="001D3DC0" w:rsidP="007F5A01">
            <w:pPr>
              <w:tabs>
                <w:tab w:val="left" w:pos="851"/>
                <w:tab w:val="left" w:pos="1418"/>
              </w:tabs>
              <w:snapToGrid w:val="0"/>
              <w:spacing w:after="120"/>
              <w:rPr>
                <w:rFonts w:cs="Calibri"/>
                <w:lang w:val="en-US"/>
              </w:rPr>
            </w:pPr>
            <w:r w:rsidRPr="00D128FC">
              <w:rPr>
                <w:rFonts w:cs="Calibri"/>
                <w:lang w:val="en-US"/>
              </w:rPr>
              <w:t xml:space="preserve">The </w:t>
            </w:r>
            <w:r>
              <w:rPr>
                <w:rFonts w:cs="Calibri"/>
                <w:lang w:val="en-US"/>
              </w:rPr>
              <w:t>F</w:t>
            </w:r>
            <w:r w:rsidRPr="00D128FC">
              <w:rPr>
                <w:rFonts w:cs="Calibri"/>
                <w:lang w:val="en-US"/>
              </w:rPr>
              <w:t>inanci</w:t>
            </w:r>
            <w:r>
              <w:rPr>
                <w:rFonts w:cs="Calibri"/>
                <w:lang w:val="en-US"/>
              </w:rPr>
              <w:t>al Operating Report for the 201</w:t>
            </w:r>
            <w:r w:rsidR="007F5A01">
              <w:rPr>
                <w:rFonts w:cs="Calibri"/>
                <w:lang w:val="en-US"/>
              </w:rPr>
              <w:t>8</w:t>
            </w:r>
            <w:r w:rsidRPr="00D128FC">
              <w:rPr>
                <w:rFonts w:cs="Calibri"/>
                <w:lang w:val="en-US"/>
              </w:rPr>
              <w:t xml:space="preserve"> financial year covers:</w:t>
            </w:r>
          </w:p>
          <w:p w:rsidR="001D3DC0" w:rsidRPr="00D128FC" w:rsidRDefault="001D3DC0" w:rsidP="007F5A01">
            <w:pPr>
              <w:tabs>
                <w:tab w:val="left" w:pos="851"/>
                <w:tab w:val="left" w:pos="1418"/>
              </w:tabs>
              <w:snapToGrid w:val="0"/>
              <w:spacing w:after="60"/>
              <w:ind w:left="567" w:hanging="533"/>
              <w:jc w:val="both"/>
              <w:rPr>
                <w:rFonts w:cs="Calibri"/>
                <w:lang w:val="en-US"/>
              </w:rPr>
            </w:pPr>
            <w:r w:rsidRPr="00D128FC">
              <w:rPr>
                <w:rFonts w:cs="Calibri"/>
                <w:lang w:val="en-US"/>
              </w:rPr>
              <w:t>•</w:t>
            </w:r>
            <w:r w:rsidRPr="00D128FC">
              <w:rPr>
                <w:rFonts w:cs="Calibri"/>
                <w:lang w:val="en-US"/>
              </w:rPr>
              <w:tab/>
              <w:t>T</w:t>
            </w:r>
            <w:r>
              <w:rPr>
                <w:rFonts w:cs="Calibri"/>
                <w:lang w:val="en-US"/>
              </w:rPr>
              <w:t xml:space="preserve">he </w:t>
            </w:r>
            <w:r w:rsidR="00632BC4">
              <w:rPr>
                <w:rFonts w:cs="Calibri"/>
                <w:lang w:val="en-US"/>
              </w:rPr>
              <w:t xml:space="preserve">audited </w:t>
            </w:r>
            <w:r>
              <w:rPr>
                <w:rFonts w:cs="Calibri"/>
                <w:lang w:val="en-US"/>
              </w:rPr>
              <w:t>accounts for the 201</w:t>
            </w:r>
            <w:r w:rsidR="007F5A01">
              <w:rPr>
                <w:rFonts w:cs="Calibri"/>
                <w:lang w:val="en-US"/>
              </w:rPr>
              <w:t>8</w:t>
            </w:r>
            <w:r w:rsidRPr="00D128FC">
              <w:rPr>
                <w:rFonts w:cs="Calibri"/>
                <w:lang w:val="en-US"/>
              </w:rPr>
              <w:t xml:space="preserve"> financial year of the budget of the Union.</w:t>
            </w:r>
          </w:p>
          <w:p w:rsidR="001D3DC0" w:rsidRDefault="001D3DC0" w:rsidP="007F5A01">
            <w:pPr>
              <w:tabs>
                <w:tab w:val="left" w:pos="601"/>
                <w:tab w:val="left" w:pos="794"/>
                <w:tab w:val="left" w:pos="1191"/>
                <w:tab w:val="left" w:pos="1588"/>
                <w:tab w:val="left" w:pos="1985"/>
                <w:tab w:val="center" w:pos="8789"/>
              </w:tabs>
              <w:snapToGrid w:val="0"/>
              <w:spacing w:before="60" w:after="60"/>
              <w:ind w:left="601" w:hanging="601"/>
              <w:jc w:val="both"/>
              <w:rPr>
                <w:rFonts w:cs="Calibri"/>
                <w:bCs/>
                <w:lang w:val="en-US"/>
              </w:rPr>
            </w:pPr>
            <w:r>
              <w:rPr>
                <w:rFonts w:cs="Calibri"/>
                <w:bCs/>
                <w:lang w:val="en-US"/>
              </w:rPr>
              <w:t>•</w:t>
            </w:r>
            <w:r>
              <w:rPr>
                <w:rFonts w:cs="Calibri"/>
                <w:bCs/>
                <w:lang w:val="en-US"/>
              </w:rPr>
              <w:tab/>
              <w:t>The audited accounts for 201</w:t>
            </w:r>
            <w:r w:rsidR="007F5A01">
              <w:rPr>
                <w:rFonts w:cs="Calibri"/>
                <w:bCs/>
                <w:lang w:val="en-US"/>
              </w:rPr>
              <w:t>8</w:t>
            </w:r>
            <w:r w:rsidRPr="00D128FC">
              <w:rPr>
                <w:rFonts w:cs="Calibri"/>
                <w:bCs/>
                <w:lang w:val="en-US"/>
              </w:rPr>
              <w:t xml:space="preserve"> for technical cooperation projects, voluntary contributions and the ITU Staff Superannuation and Benevolent Funds.</w:t>
            </w:r>
          </w:p>
          <w:p w:rsidR="001D3DC0" w:rsidRPr="00D128FC" w:rsidRDefault="001D3DC0" w:rsidP="007F5A01">
            <w:pPr>
              <w:tabs>
                <w:tab w:val="left" w:pos="601"/>
                <w:tab w:val="left" w:pos="794"/>
                <w:tab w:val="left" w:pos="1191"/>
                <w:tab w:val="left" w:pos="1588"/>
                <w:tab w:val="left" w:pos="1985"/>
                <w:tab w:val="center" w:pos="8789"/>
              </w:tabs>
              <w:snapToGrid w:val="0"/>
              <w:spacing w:before="60" w:after="120"/>
              <w:ind w:left="601" w:hanging="601"/>
              <w:rPr>
                <w:rFonts w:cs="Calibri"/>
                <w:bCs/>
                <w:lang w:val="en-US"/>
              </w:rPr>
            </w:pPr>
            <w:r>
              <w:rPr>
                <w:rFonts w:cs="Calibri"/>
                <w:bCs/>
                <w:lang w:val="en-US"/>
              </w:rPr>
              <w:t>•</w:t>
            </w:r>
            <w:r>
              <w:rPr>
                <w:rFonts w:cs="Calibri"/>
                <w:bCs/>
                <w:lang w:val="en-US"/>
              </w:rPr>
              <w:tab/>
            </w:r>
            <w:r w:rsidRPr="00B230A1">
              <w:rPr>
                <w:rFonts w:cs="Calibri"/>
                <w:bCs/>
                <w:lang w:val="en-US"/>
              </w:rPr>
              <w:t xml:space="preserve">The </w:t>
            </w:r>
            <w:r w:rsidR="00632BC4">
              <w:rPr>
                <w:rFonts w:cs="Calibri"/>
                <w:bCs/>
                <w:lang w:val="en-US"/>
              </w:rPr>
              <w:t>a</w:t>
            </w:r>
            <w:r w:rsidR="00CE5346">
              <w:rPr>
                <w:rFonts w:cs="Calibri"/>
                <w:bCs/>
                <w:lang w:val="en-US"/>
              </w:rPr>
              <w:t xml:space="preserve">udited </w:t>
            </w:r>
            <w:r w:rsidRPr="00B230A1">
              <w:rPr>
                <w:rFonts w:cs="Calibri"/>
                <w:bCs/>
                <w:lang w:val="en-US"/>
              </w:rPr>
              <w:t>ITU TELECOM World 201</w:t>
            </w:r>
            <w:r w:rsidR="007F5A01">
              <w:rPr>
                <w:rFonts w:cs="Calibri"/>
                <w:bCs/>
                <w:lang w:val="en-US"/>
              </w:rPr>
              <w:t>8</w:t>
            </w:r>
            <w:r w:rsidRPr="00B230A1">
              <w:rPr>
                <w:rFonts w:cs="Calibri"/>
                <w:bCs/>
                <w:lang w:val="en-US"/>
              </w:rPr>
              <w:t xml:space="preserve"> event.</w:t>
            </w:r>
          </w:p>
          <w:p w:rsidR="0087761F" w:rsidRPr="006F47A2" w:rsidRDefault="0087761F" w:rsidP="006C5847">
            <w:pPr>
              <w:pStyle w:val="Headingb"/>
              <w:snapToGrid w:val="0"/>
              <w:spacing w:before="120" w:after="120"/>
              <w:rPr>
                <w:lang w:val="en-US"/>
              </w:rPr>
            </w:pPr>
            <w:bookmarkStart w:id="9" w:name="_Toc305764051"/>
            <w:r w:rsidRPr="006F47A2">
              <w:rPr>
                <w:lang w:val="en-US"/>
              </w:rPr>
              <w:t>Action required</w:t>
            </w:r>
            <w:bookmarkEnd w:id="9"/>
          </w:p>
          <w:p w:rsidR="00632BC4" w:rsidRPr="00632BC4" w:rsidRDefault="00632BC4" w:rsidP="006C5847">
            <w:pPr>
              <w:snapToGrid w:val="0"/>
              <w:spacing w:after="120"/>
              <w:rPr>
                <w:b/>
                <w:bCs/>
                <w:lang w:val="en-US"/>
              </w:rPr>
            </w:pPr>
            <w:r w:rsidRPr="00632BC4">
              <w:rPr>
                <w:lang w:val="en-US"/>
              </w:rPr>
              <w:t xml:space="preserve">The financial operating report on the audited accounts and the draft resolution in Annex </w:t>
            </w:r>
            <w:proofErr w:type="gramStart"/>
            <w:r w:rsidRPr="00632BC4">
              <w:rPr>
                <w:lang w:val="en-US"/>
              </w:rPr>
              <w:t>A</w:t>
            </w:r>
            <w:proofErr w:type="gramEnd"/>
            <w:r w:rsidRPr="00632BC4">
              <w:rPr>
                <w:lang w:val="en-US"/>
              </w:rPr>
              <w:t xml:space="preserve"> are submitted to the Council for </w:t>
            </w:r>
            <w:r w:rsidRPr="00632BC4">
              <w:rPr>
                <w:b/>
                <w:bCs/>
                <w:lang w:val="en-US"/>
              </w:rPr>
              <w:t xml:space="preserve">consideration </w:t>
            </w:r>
            <w:r w:rsidRPr="00632BC4">
              <w:rPr>
                <w:lang w:val="en-US"/>
              </w:rPr>
              <w:t xml:space="preserve">and </w:t>
            </w:r>
            <w:r w:rsidRPr="00632BC4">
              <w:rPr>
                <w:b/>
                <w:bCs/>
                <w:lang w:val="en-US"/>
              </w:rPr>
              <w:t>approval</w:t>
            </w:r>
            <w:r w:rsidRPr="00632BC4">
              <w:rPr>
                <w:lang w:val="en-US"/>
              </w:rPr>
              <w:t>.</w:t>
            </w:r>
          </w:p>
          <w:p w:rsidR="0087761F" w:rsidRPr="008C516C" w:rsidRDefault="00632BC4" w:rsidP="006C5847">
            <w:pPr>
              <w:snapToGrid w:val="0"/>
              <w:spacing w:after="120"/>
            </w:pPr>
            <w:r w:rsidRPr="00632BC4">
              <w:rPr>
                <w:lang w:val="en-US"/>
              </w:rPr>
              <w:t>Once examined and approved by the Council, the report will be communicated to the Member States and Sector Members.</w:t>
            </w:r>
          </w:p>
          <w:p w:rsidR="001D3DC0" w:rsidRPr="001C2A98" w:rsidRDefault="001D3DC0" w:rsidP="006C5847">
            <w:pPr>
              <w:pStyle w:val="Table"/>
              <w:keepNext w:val="0"/>
              <w:snapToGrid w:val="0"/>
              <w:spacing w:before="120"/>
              <w:rPr>
                <w:rFonts w:ascii="Calibri" w:hAnsi="Calibri"/>
                <w:caps w:val="0"/>
                <w:sz w:val="22"/>
                <w:lang w:val="en-US"/>
              </w:rPr>
            </w:pPr>
            <w:r w:rsidRPr="001C2A98">
              <w:rPr>
                <w:rFonts w:ascii="Calibri" w:hAnsi="Calibri"/>
                <w:caps w:val="0"/>
                <w:sz w:val="22"/>
                <w:lang w:val="en-US"/>
              </w:rPr>
              <w:t>____________</w:t>
            </w:r>
          </w:p>
          <w:p w:rsidR="001D3DC0" w:rsidRPr="001C2A98" w:rsidRDefault="001D3DC0" w:rsidP="006C5847">
            <w:pPr>
              <w:pStyle w:val="Headingb"/>
              <w:snapToGrid w:val="0"/>
              <w:spacing w:before="120" w:after="120"/>
              <w:rPr>
                <w:lang w:val="en-US"/>
              </w:rPr>
            </w:pPr>
            <w:bookmarkStart w:id="10" w:name="_Toc305764052"/>
            <w:r w:rsidRPr="001C2A98">
              <w:rPr>
                <w:lang w:val="en-US"/>
              </w:rPr>
              <w:t>References</w:t>
            </w:r>
            <w:bookmarkEnd w:id="10"/>
          </w:p>
          <w:p w:rsidR="006C5847" w:rsidRPr="001C6CE6" w:rsidRDefault="001D3DC0" w:rsidP="006C5847">
            <w:pPr>
              <w:tabs>
                <w:tab w:val="left" w:pos="794"/>
                <w:tab w:val="left" w:pos="1191"/>
                <w:tab w:val="left" w:pos="1588"/>
                <w:tab w:val="left" w:pos="1985"/>
              </w:tabs>
              <w:snapToGrid w:val="0"/>
              <w:spacing w:before="0"/>
              <w:rPr>
                <w:rFonts w:cs="Calibri"/>
                <w:i/>
                <w:iCs/>
                <w:color w:val="0000FF"/>
                <w:u w:val="single"/>
                <w:lang w:val="en-US"/>
              </w:rPr>
            </w:pPr>
            <w:r w:rsidRPr="00D128FC">
              <w:rPr>
                <w:rFonts w:cs="Calibri"/>
                <w:i/>
                <w:iCs/>
                <w:lang w:val="en-US"/>
              </w:rPr>
              <w:t>Convention: N</w:t>
            </w:r>
            <w:r w:rsidRPr="001C6CE6">
              <w:rPr>
                <w:rFonts w:cs="Calibri"/>
                <w:i/>
                <w:iCs/>
                <w:lang w:val="en-US"/>
              </w:rPr>
              <w:t xml:space="preserve">o. </w:t>
            </w:r>
            <w:hyperlink r:id="rId9" w:history="1">
              <w:r w:rsidRPr="001C6CE6">
                <w:rPr>
                  <w:rFonts w:cs="Calibri"/>
                  <w:i/>
                  <w:iCs/>
                  <w:color w:val="0000FF"/>
                  <w:u w:val="single"/>
                  <w:lang w:val="en-US"/>
                </w:rPr>
                <w:t>101</w:t>
              </w:r>
            </w:hyperlink>
          </w:p>
          <w:p w:rsidR="001D3DC0" w:rsidRPr="001C2A98" w:rsidRDefault="001D3DC0" w:rsidP="006C5847">
            <w:pPr>
              <w:tabs>
                <w:tab w:val="left" w:pos="794"/>
                <w:tab w:val="left" w:pos="1191"/>
                <w:tab w:val="left" w:pos="1588"/>
                <w:tab w:val="left" w:pos="1985"/>
              </w:tabs>
              <w:snapToGrid w:val="0"/>
              <w:spacing w:before="0" w:after="120"/>
              <w:rPr>
                <w:i/>
                <w:iCs/>
                <w:lang w:val="en-US"/>
              </w:rPr>
            </w:pPr>
            <w:r w:rsidRPr="001C6CE6">
              <w:rPr>
                <w:rFonts w:cs="Calibri"/>
                <w:i/>
                <w:iCs/>
                <w:lang w:val="en-US"/>
              </w:rPr>
              <w:t xml:space="preserve">Financial Regulations of the Union: </w:t>
            </w:r>
            <w:hyperlink r:id="rId10" w:history="1">
              <w:r w:rsidRPr="001C6CE6">
                <w:rPr>
                  <w:rFonts w:cs="Calibri"/>
                  <w:i/>
                  <w:iCs/>
                  <w:color w:val="0000FF"/>
                  <w:u w:val="single"/>
                  <w:lang w:val="en-US"/>
                </w:rPr>
                <w:t>Article 30</w:t>
              </w:r>
            </w:hyperlink>
          </w:p>
        </w:tc>
      </w:tr>
    </w:tbl>
    <w:p w:rsidR="006C5847" w:rsidRDefault="001D3DC0" w:rsidP="006C5847">
      <w:pPr>
        <w:spacing w:before="2160"/>
        <w:rPr>
          <w:lang w:val="en-US"/>
        </w:rPr>
      </w:pPr>
      <w:r w:rsidRPr="001C2A98">
        <w:rPr>
          <w:b/>
          <w:bCs/>
          <w:lang w:val="en-US"/>
        </w:rPr>
        <w:t>Annexes:</w:t>
      </w:r>
      <w:r>
        <w:rPr>
          <w:b/>
          <w:bCs/>
          <w:lang w:val="en-US"/>
        </w:rPr>
        <w:t xml:space="preserve">  </w:t>
      </w:r>
      <w:r w:rsidRPr="00BA312F">
        <w:rPr>
          <w:lang w:val="en-US"/>
        </w:rPr>
        <w:t>1</w:t>
      </w:r>
      <w:r w:rsidR="00EF17C4">
        <w:rPr>
          <w:lang w:val="en-US"/>
        </w:rPr>
        <w:t>2</w:t>
      </w:r>
    </w:p>
    <w:p w:rsidR="006C5847" w:rsidRDefault="006C5847">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1D3DC0" w:rsidRPr="000853C6" w:rsidRDefault="001D3DC0" w:rsidP="000853C6">
      <w:pPr>
        <w:spacing w:before="0"/>
        <w:rPr>
          <w:sz w:val="16"/>
          <w:szCs w:val="16"/>
          <w:lang w:val="en-US"/>
        </w:rPr>
      </w:pPr>
    </w:p>
    <w:p w:rsidR="000853C6" w:rsidRPr="000853C6" w:rsidRDefault="000853C6" w:rsidP="000853C6">
      <w:pPr>
        <w:pStyle w:val="Annexref"/>
        <w:spacing w:before="0"/>
        <w:rPr>
          <w:rFonts w:cs="Calibri"/>
          <w:b/>
          <w:szCs w:val="24"/>
          <w:lang w:val="en-US"/>
        </w:rPr>
      </w:pPr>
      <w:r>
        <w:rPr>
          <w:noProof/>
          <w:lang w:eastAsia="zh-CN"/>
        </w:rPr>
        <w:drawing>
          <wp:inline distT="0" distB="0" distL="0" distR="0" wp14:anchorId="28987E2C" wp14:editId="7D2D18CD">
            <wp:extent cx="684000" cy="738000"/>
            <wp:effectExtent l="0" t="0" r="1905" b="508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rsidR="0022373A" w:rsidRPr="00D128FC" w:rsidRDefault="0022373A" w:rsidP="000853C6">
      <w:pPr>
        <w:pStyle w:val="Annexref"/>
        <w:spacing w:before="480"/>
        <w:rPr>
          <w:rFonts w:cs="Calibri"/>
          <w:b/>
          <w:sz w:val="36"/>
          <w:szCs w:val="36"/>
          <w:lang w:val="en-US"/>
        </w:rPr>
      </w:pPr>
      <w:r w:rsidRPr="00D128FC">
        <w:rPr>
          <w:rFonts w:cs="Calibri"/>
          <w:b/>
          <w:sz w:val="36"/>
          <w:szCs w:val="36"/>
          <w:lang w:val="en-US"/>
        </w:rPr>
        <w:t>Financial operating report</w:t>
      </w:r>
    </w:p>
    <w:p w:rsidR="000267BA" w:rsidRDefault="0022373A" w:rsidP="007F5A01">
      <w:pPr>
        <w:jc w:val="both"/>
        <w:rPr>
          <w:lang w:val="en-US"/>
        </w:rPr>
      </w:pPr>
      <w:r w:rsidRPr="001C2A98">
        <w:rPr>
          <w:lang w:val="en-US"/>
        </w:rPr>
        <w:t>In accordance with Article 30 of the Financial Regulations of the Union</w:t>
      </w:r>
      <w:r w:rsidR="000267BA">
        <w:rPr>
          <w:lang w:val="en-US"/>
        </w:rPr>
        <w:t xml:space="preserve"> </w:t>
      </w:r>
      <w:r w:rsidR="000267BA" w:rsidRPr="00B7401A">
        <w:rPr>
          <w:lang w:val="en-US" w:eastAsia="fr-FR"/>
        </w:rPr>
        <w:sym w:font="Symbol" w:char="F02D"/>
      </w:r>
      <w:r w:rsidR="000267BA" w:rsidRPr="00B7401A">
        <w:rPr>
          <w:lang w:val="en-US" w:eastAsia="fr-FR"/>
        </w:rPr>
        <w:t xml:space="preserve"> </w:t>
      </w:r>
      <w:r w:rsidR="000267BA">
        <w:rPr>
          <w:lang w:val="en-US" w:eastAsia="fr-FR"/>
        </w:rPr>
        <w:t>E</w:t>
      </w:r>
      <w:r w:rsidR="000267BA" w:rsidRPr="00B7401A">
        <w:rPr>
          <w:lang w:val="en-US" w:eastAsia="fr-FR"/>
        </w:rPr>
        <w:t>dition</w:t>
      </w:r>
      <w:r w:rsidR="004353B0">
        <w:rPr>
          <w:lang w:val="en-US" w:eastAsia="fr-FR"/>
        </w:rPr>
        <w:t xml:space="preserve"> 2010</w:t>
      </w:r>
      <w:r w:rsidRPr="001C2A98">
        <w:rPr>
          <w:lang w:val="en-US"/>
        </w:rPr>
        <w:t>, this financial operating report on the</w:t>
      </w:r>
      <w:r w:rsidR="00EA6CD7">
        <w:rPr>
          <w:lang w:val="en-US"/>
        </w:rPr>
        <w:t xml:space="preserve"> </w:t>
      </w:r>
      <w:r w:rsidRPr="001C2A98">
        <w:rPr>
          <w:lang w:val="en-US"/>
        </w:rPr>
        <w:t>audited accounts gives the finan</w:t>
      </w:r>
      <w:r w:rsidR="00D05A51">
        <w:rPr>
          <w:lang w:val="en-US"/>
        </w:rPr>
        <w:t xml:space="preserve">cial results at 31 December </w:t>
      </w:r>
      <w:r w:rsidR="00111BDD">
        <w:rPr>
          <w:lang w:val="en-US"/>
        </w:rPr>
        <w:t>201</w:t>
      </w:r>
      <w:r w:rsidR="007F5A01">
        <w:rPr>
          <w:lang w:val="en-US"/>
        </w:rPr>
        <w:t>8</w:t>
      </w:r>
      <w:r w:rsidRPr="001C2A98">
        <w:rPr>
          <w:lang w:val="en-US"/>
        </w:rPr>
        <w:t xml:space="preserve"> for accounts held by the Internationa</w:t>
      </w:r>
      <w:r w:rsidR="00585034">
        <w:rPr>
          <w:lang w:val="en-US"/>
        </w:rPr>
        <w:t>l Telecommunication Union (ITU</w:t>
      </w:r>
      <w:r w:rsidR="00585034" w:rsidRPr="000267BA">
        <w:rPr>
          <w:lang w:val="en-US"/>
        </w:rPr>
        <w:t>).</w:t>
      </w:r>
    </w:p>
    <w:p w:rsidR="0022373A" w:rsidRDefault="00585034" w:rsidP="007F5A01">
      <w:pPr>
        <w:spacing w:after="480"/>
        <w:jc w:val="both"/>
        <w:rPr>
          <w:lang w:val="en-US"/>
        </w:rPr>
      </w:pPr>
      <w:r w:rsidRPr="000267BA">
        <w:rPr>
          <w:lang w:val="en-US"/>
        </w:rPr>
        <w:t>The 201</w:t>
      </w:r>
      <w:r w:rsidR="007F5A01">
        <w:rPr>
          <w:lang w:val="en-US"/>
        </w:rPr>
        <w:t>8</w:t>
      </w:r>
      <w:r w:rsidR="00F653D4">
        <w:rPr>
          <w:lang w:val="en-US"/>
        </w:rPr>
        <w:t xml:space="preserve"> </w:t>
      </w:r>
      <w:r w:rsidRPr="000267BA">
        <w:rPr>
          <w:lang w:val="en-US"/>
        </w:rPr>
        <w:t>Financial Statements have been prepared in accordance with the International Public Sector Accounting Standards (IPSAS). The 201</w:t>
      </w:r>
      <w:r w:rsidR="007F5A01">
        <w:rPr>
          <w:lang w:val="en-US"/>
        </w:rPr>
        <w:t>8</w:t>
      </w:r>
      <w:r w:rsidRPr="000267BA">
        <w:rPr>
          <w:lang w:val="en-US"/>
        </w:rPr>
        <w:t xml:space="preserve"> Financial Statements constitute the </w:t>
      </w:r>
      <w:r w:rsidR="007F5A01">
        <w:rPr>
          <w:lang w:val="en-US"/>
        </w:rPr>
        <w:t>tenth</w:t>
      </w:r>
      <w:r w:rsidR="00F653D4" w:rsidRPr="00784558">
        <w:rPr>
          <w:lang w:val="en-US"/>
        </w:rPr>
        <w:t xml:space="preserve"> </w:t>
      </w:r>
      <w:r w:rsidRPr="00784558">
        <w:rPr>
          <w:lang w:val="en-US"/>
        </w:rPr>
        <w:t>set of</w:t>
      </w:r>
      <w:r w:rsidRPr="000267BA">
        <w:rPr>
          <w:lang w:val="en-US"/>
        </w:rPr>
        <w:t xml:space="preserve"> financial statements to have been prepared in accordance with IPSAS</w:t>
      </w:r>
      <w:r w:rsidRPr="00585034">
        <w:rPr>
          <w:lang w:val="en-US"/>
        </w:rPr>
        <w:t xml:space="preserve"> </w:t>
      </w:r>
      <w:r w:rsidR="0022373A" w:rsidRPr="001C2A98">
        <w:rPr>
          <w:lang w:val="en-US"/>
        </w:rPr>
        <w:t>and cover the following:</w:t>
      </w:r>
    </w:p>
    <w:p w:rsidR="0022373A" w:rsidRPr="001C2A98" w:rsidRDefault="00320DDE" w:rsidP="007F5A01">
      <w:pPr>
        <w:pStyle w:val="enumlev1"/>
        <w:rPr>
          <w:lang w:val="en-US"/>
        </w:rPr>
      </w:pPr>
      <w:r>
        <w:rPr>
          <w:lang w:val="en-US"/>
        </w:rPr>
        <w:t>–</w:t>
      </w:r>
      <w:r>
        <w:rPr>
          <w:lang w:val="en-US"/>
        </w:rPr>
        <w:tab/>
      </w:r>
      <w:proofErr w:type="gramStart"/>
      <w:r w:rsidR="0022373A" w:rsidRPr="001C2A98">
        <w:rPr>
          <w:lang w:val="en-US"/>
        </w:rPr>
        <w:t>the</w:t>
      </w:r>
      <w:proofErr w:type="gramEnd"/>
      <w:r w:rsidR="0022373A" w:rsidRPr="001C2A98">
        <w:rPr>
          <w:lang w:val="en-US"/>
        </w:rPr>
        <w:t xml:space="preserve"> Union</w:t>
      </w:r>
      <w:r w:rsidR="007A552E">
        <w:rPr>
          <w:lang w:val="en-US"/>
        </w:rPr>
        <w:t>’</w:t>
      </w:r>
      <w:r w:rsidR="00102375">
        <w:rPr>
          <w:lang w:val="en-US"/>
        </w:rPr>
        <w:t xml:space="preserve">s financial year </w:t>
      </w:r>
      <w:r w:rsidR="003A03B8">
        <w:rPr>
          <w:lang w:val="en-US"/>
        </w:rPr>
        <w:t>201</w:t>
      </w:r>
      <w:r w:rsidR="007F5A01">
        <w:rPr>
          <w:lang w:val="en-US"/>
        </w:rPr>
        <w:t>8</w:t>
      </w:r>
    </w:p>
    <w:p w:rsidR="0022373A" w:rsidRPr="001C2A98" w:rsidRDefault="00320DDE" w:rsidP="007F5A01">
      <w:pPr>
        <w:pStyle w:val="enumlev1"/>
        <w:rPr>
          <w:lang w:val="en-US"/>
        </w:rPr>
      </w:pPr>
      <w:r>
        <w:rPr>
          <w:lang w:val="en-US"/>
        </w:rPr>
        <w:t>–</w:t>
      </w:r>
      <w:r>
        <w:rPr>
          <w:lang w:val="en-US"/>
        </w:rPr>
        <w:tab/>
      </w:r>
      <w:proofErr w:type="gramStart"/>
      <w:r w:rsidR="0022373A" w:rsidRPr="001C2A98">
        <w:rPr>
          <w:lang w:val="en-US"/>
        </w:rPr>
        <w:t>the</w:t>
      </w:r>
      <w:proofErr w:type="gramEnd"/>
      <w:r w:rsidR="0022373A" w:rsidRPr="001C2A98">
        <w:rPr>
          <w:lang w:val="en-US"/>
        </w:rPr>
        <w:t xml:space="preserve"> ITU Staff Superannuati</w:t>
      </w:r>
      <w:r w:rsidR="00102375">
        <w:rPr>
          <w:lang w:val="en-US"/>
        </w:rPr>
        <w:t xml:space="preserve">on and Benevolent Funds for </w:t>
      </w:r>
      <w:r w:rsidR="003A03B8">
        <w:rPr>
          <w:lang w:val="en-US"/>
        </w:rPr>
        <w:t>201</w:t>
      </w:r>
      <w:r w:rsidR="007F5A01">
        <w:rPr>
          <w:lang w:val="en-US"/>
        </w:rPr>
        <w:t>8</w:t>
      </w:r>
    </w:p>
    <w:p w:rsidR="0022373A" w:rsidRPr="001C2A98" w:rsidRDefault="00320DDE" w:rsidP="007F5A01">
      <w:pPr>
        <w:pStyle w:val="enumlev1"/>
        <w:rPr>
          <w:lang w:val="en-US"/>
        </w:rPr>
      </w:pPr>
      <w:r>
        <w:rPr>
          <w:lang w:val="en-US"/>
        </w:rPr>
        <w:t>–</w:t>
      </w:r>
      <w:r>
        <w:rPr>
          <w:lang w:val="en-US"/>
        </w:rPr>
        <w:tab/>
      </w:r>
      <w:proofErr w:type="gramStart"/>
      <w:r w:rsidR="0022373A" w:rsidRPr="001C2A98">
        <w:rPr>
          <w:lang w:val="en-US"/>
        </w:rPr>
        <w:t>the</w:t>
      </w:r>
      <w:proofErr w:type="gramEnd"/>
      <w:r w:rsidR="0022373A" w:rsidRPr="001C2A98">
        <w:rPr>
          <w:lang w:val="en-US"/>
        </w:rPr>
        <w:t xml:space="preserve"> United Nations J</w:t>
      </w:r>
      <w:r w:rsidR="00102375">
        <w:rPr>
          <w:lang w:val="en-US"/>
        </w:rPr>
        <w:t xml:space="preserve">oint Staff Pension Fund for </w:t>
      </w:r>
      <w:r w:rsidR="003A03B8">
        <w:rPr>
          <w:lang w:val="en-US"/>
        </w:rPr>
        <w:t>201</w:t>
      </w:r>
      <w:r w:rsidR="007F5A01">
        <w:rPr>
          <w:lang w:val="en-US"/>
        </w:rPr>
        <w:t>8</w:t>
      </w:r>
    </w:p>
    <w:p w:rsidR="0022373A" w:rsidRPr="001C2A98" w:rsidRDefault="00320DDE" w:rsidP="007F5A01">
      <w:pPr>
        <w:pStyle w:val="enumlev1"/>
        <w:rPr>
          <w:lang w:val="en-US"/>
        </w:rPr>
      </w:pPr>
      <w:r>
        <w:rPr>
          <w:lang w:val="en-US"/>
        </w:rPr>
        <w:t>–</w:t>
      </w:r>
      <w:r>
        <w:rPr>
          <w:lang w:val="en-US"/>
        </w:rPr>
        <w:tab/>
      </w:r>
      <w:proofErr w:type="gramStart"/>
      <w:r w:rsidR="0022373A" w:rsidRPr="001C2A98">
        <w:rPr>
          <w:lang w:val="en-US"/>
        </w:rPr>
        <w:t>technical</w:t>
      </w:r>
      <w:proofErr w:type="gramEnd"/>
      <w:r w:rsidR="0022373A" w:rsidRPr="001C2A98">
        <w:rPr>
          <w:lang w:val="en-US"/>
        </w:rPr>
        <w:t xml:space="preserve"> cooperation projects funded by the United Nations Devel</w:t>
      </w:r>
      <w:r w:rsidR="00102375">
        <w:rPr>
          <w:lang w:val="en-US"/>
        </w:rPr>
        <w:t xml:space="preserve">opment </w:t>
      </w:r>
      <w:proofErr w:type="spellStart"/>
      <w:r w:rsidR="00472919">
        <w:rPr>
          <w:lang w:val="en-US"/>
        </w:rPr>
        <w:t>Program</w:t>
      </w:r>
      <w:r w:rsidR="00AC4F1A">
        <w:rPr>
          <w:lang w:val="en-US"/>
        </w:rPr>
        <w:t>me</w:t>
      </w:r>
      <w:proofErr w:type="spellEnd"/>
      <w:r w:rsidR="00472919">
        <w:rPr>
          <w:lang w:val="en-US"/>
        </w:rPr>
        <w:t xml:space="preserve"> </w:t>
      </w:r>
      <w:r w:rsidR="00102375">
        <w:rPr>
          <w:lang w:val="en-US"/>
        </w:rPr>
        <w:t xml:space="preserve">(UNDP) for </w:t>
      </w:r>
      <w:r w:rsidR="003A03B8">
        <w:rPr>
          <w:lang w:val="en-US"/>
        </w:rPr>
        <w:t>201</w:t>
      </w:r>
      <w:r w:rsidR="007F5A01">
        <w:rPr>
          <w:lang w:val="en-US"/>
        </w:rPr>
        <w:t>8</w:t>
      </w:r>
    </w:p>
    <w:p w:rsidR="0022373A" w:rsidRPr="001C2A98" w:rsidRDefault="00320DDE" w:rsidP="007F5A01">
      <w:pPr>
        <w:pStyle w:val="enumlev1"/>
        <w:rPr>
          <w:lang w:val="en-US"/>
        </w:rPr>
      </w:pPr>
      <w:r>
        <w:rPr>
          <w:lang w:val="en-US"/>
        </w:rPr>
        <w:t>–</w:t>
      </w:r>
      <w:r>
        <w:rPr>
          <w:lang w:val="en-US"/>
        </w:rPr>
        <w:tab/>
      </w:r>
      <w:proofErr w:type="gramStart"/>
      <w:r w:rsidR="00102375">
        <w:rPr>
          <w:lang w:val="en-US"/>
        </w:rPr>
        <w:t>trust</w:t>
      </w:r>
      <w:proofErr w:type="gramEnd"/>
      <w:r w:rsidR="00102375">
        <w:rPr>
          <w:lang w:val="en-US"/>
        </w:rPr>
        <w:t xml:space="preserve"> funds for </w:t>
      </w:r>
      <w:r w:rsidR="003A03B8">
        <w:rPr>
          <w:lang w:val="en-US"/>
        </w:rPr>
        <w:t>201</w:t>
      </w:r>
      <w:r w:rsidR="007F5A01">
        <w:rPr>
          <w:lang w:val="en-US"/>
        </w:rPr>
        <w:t>8</w:t>
      </w:r>
    </w:p>
    <w:p w:rsidR="0022373A" w:rsidRDefault="00320DDE" w:rsidP="007F5A01">
      <w:pPr>
        <w:pStyle w:val="enumlev1"/>
        <w:rPr>
          <w:lang w:val="en-US"/>
        </w:rPr>
      </w:pPr>
      <w:r>
        <w:rPr>
          <w:lang w:val="en-US"/>
        </w:rPr>
        <w:t>–</w:t>
      </w:r>
      <w:r>
        <w:rPr>
          <w:lang w:val="en-US"/>
        </w:rPr>
        <w:tab/>
      </w:r>
      <w:proofErr w:type="gramStart"/>
      <w:r w:rsidR="0022373A" w:rsidRPr="001C2A98">
        <w:rPr>
          <w:lang w:val="en-US"/>
        </w:rPr>
        <w:t>voluntary</w:t>
      </w:r>
      <w:proofErr w:type="gramEnd"/>
      <w:r w:rsidR="0022373A" w:rsidRPr="001C2A98">
        <w:rPr>
          <w:lang w:val="en-US"/>
        </w:rPr>
        <w:t xml:space="preserve"> contri</w:t>
      </w:r>
      <w:r w:rsidR="00970740">
        <w:rPr>
          <w:lang w:val="en-US"/>
        </w:rPr>
        <w:t>butions</w:t>
      </w:r>
      <w:r w:rsidR="00102375">
        <w:rPr>
          <w:lang w:val="en-US"/>
        </w:rPr>
        <w:t xml:space="preserve"> for </w:t>
      </w:r>
      <w:r w:rsidR="003A03B8">
        <w:rPr>
          <w:lang w:val="en-US"/>
        </w:rPr>
        <w:t>201</w:t>
      </w:r>
      <w:r w:rsidR="007F5A01">
        <w:rPr>
          <w:lang w:val="en-US"/>
        </w:rPr>
        <w:t>8</w:t>
      </w:r>
    </w:p>
    <w:p w:rsidR="00472919" w:rsidRPr="001C2A98" w:rsidRDefault="00472919" w:rsidP="007F5A01">
      <w:pPr>
        <w:pStyle w:val="enumlev1"/>
        <w:rPr>
          <w:lang w:val="en-US"/>
        </w:rPr>
      </w:pPr>
      <w:r>
        <w:rPr>
          <w:lang w:val="en-US"/>
        </w:rPr>
        <w:t>–</w:t>
      </w:r>
      <w:r>
        <w:rPr>
          <w:lang w:val="en-US"/>
        </w:rPr>
        <w:tab/>
      </w:r>
      <w:proofErr w:type="gramStart"/>
      <w:r w:rsidRPr="001C2A98">
        <w:rPr>
          <w:lang w:val="en-US"/>
        </w:rPr>
        <w:t>t</w:t>
      </w:r>
      <w:r>
        <w:rPr>
          <w:lang w:val="en-US"/>
        </w:rPr>
        <w:t>he</w:t>
      </w:r>
      <w:proofErr w:type="gramEnd"/>
      <w:r>
        <w:rPr>
          <w:lang w:val="en-US"/>
        </w:rPr>
        <w:t xml:space="preserve"> ICT Development Fund for </w:t>
      </w:r>
      <w:r w:rsidR="003A03B8">
        <w:rPr>
          <w:lang w:val="en-US"/>
        </w:rPr>
        <w:t>20</w:t>
      </w:r>
      <w:r w:rsidR="007F5A01">
        <w:rPr>
          <w:lang w:val="en-US"/>
        </w:rPr>
        <w:t>18</w:t>
      </w:r>
    </w:p>
    <w:p w:rsidR="00472919" w:rsidRDefault="00320DDE" w:rsidP="007F5A01">
      <w:pPr>
        <w:pStyle w:val="enumlev1"/>
        <w:ind w:left="0" w:firstLine="0"/>
        <w:rPr>
          <w:lang w:val="en-US"/>
        </w:rPr>
      </w:pPr>
      <w:r>
        <w:rPr>
          <w:lang w:val="en-US"/>
        </w:rPr>
        <w:t>–</w:t>
      </w:r>
      <w:r>
        <w:rPr>
          <w:lang w:val="en-US"/>
        </w:rPr>
        <w:tab/>
      </w:r>
      <w:proofErr w:type="gramStart"/>
      <w:r w:rsidR="00302A22">
        <w:rPr>
          <w:lang w:val="en-US"/>
        </w:rPr>
        <w:t>t</w:t>
      </w:r>
      <w:r w:rsidR="00472919" w:rsidRPr="004037B0">
        <w:rPr>
          <w:lang w:val="en-US"/>
        </w:rPr>
        <w:t>he</w:t>
      </w:r>
      <w:proofErr w:type="gramEnd"/>
      <w:r w:rsidR="00472919" w:rsidRPr="004037B0">
        <w:rPr>
          <w:lang w:val="en-US"/>
        </w:rPr>
        <w:t xml:space="preserve"> ITU TELECOM World </w:t>
      </w:r>
      <w:r w:rsidR="003A03B8">
        <w:rPr>
          <w:lang w:val="en-US"/>
        </w:rPr>
        <w:t>201</w:t>
      </w:r>
      <w:r w:rsidR="007F5A01">
        <w:rPr>
          <w:lang w:val="en-US"/>
        </w:rPr>
        <w:t>8</w:t>
      </w:r>
      <w:r w:rsidR="003930B3">
        <w:rPr>
          <w:lang w:val="en-US"/>
        </w:rPr>
        <w:t xml:space="preserve"> </w:t>
      </w:r>
      <w:r w:rsidR="00472919" w:rsidRPr="004037B0">
        <w:rPr>
          <w:lang w:val="en-US"/>
        </w:rPr>
        <w:t>event</w:t>
      </w:r>
    </w:p>
    <w:p w:rsidR="00C66BAD" w:rsidRDefault="00C66BAD" w:rsidP="00CF1C2C">
      <w:pPr>
        <w:pStyle w:val="enumlev1"/>
        <w:ind w:left="0" w:firstLine="0"/>
        <w:rPr>
          <w:lang w:val="en-US"/>
        </w:rPr>
      </w:pPr>
      <w:r>
        <w:rPr>
          <w:lang w:val="en-US"/>
        </w:rPr>
        <w:t>–</w:t>
      </w:r>
      <w:r>
        <w:rPr>
          <w:lang w:val="en-US"/>
        </w:rPr>
        <w:tab/>
      </w:r>
      <w:proofErr w:type="gramStart"/>
      <w:r w:rsidR="00302A22">
        <w:rPr>
          <w:lang w:val="en-US"/>
        </w:rPr>
        <w:t>t</w:t>
      </w:r>
      <w:r w:rsidRPr="004037B0">
        <w:rPr>
          <w:lang w:val="en-US"/>
        </w:rPr>
        <w:t>he</w:t>
      </w:r>
      <w:proofErr w:type="gramEnd"/>
      <w:r w:rsidRPr="004037B0">
        <w:rPr>
          <w:lang w:val="en-US"/>
        </w:rPr>
        <w:t xml:space="preserve"> </w:t>
      </w:r>
      <w:r>
        <w:rPr>
          <w:lang w:val="en-US"/>
        </w:rPr>
        <w:t xml:space="preserve">new building </w:t>
      </w:r>
      <w:r w:rsidR="00CF1C2C">
        <w:rPr>
          <w:lang w:val="en-US"/>
        </w:rPr>
        <w:t>p</w:t>
      </w:r>
      <w:r>
        <w:rPr>
          <w:lang w:val="en-US"/>
        </w:rPr>
        <w:t>roject</w:t>
      </w:r>
    </w:p>
    <w:p w:rsidR="0022373A" w:rsidRPr="00D128FC" w:rsidRDefault="0022373A" w:rsidP="005D3458">
      <w:pPr>
        <w:spacing w:after="200"/>
        <w:rPr>
          <w:sz w:val="23"/>
          <w:szCs w:val="23"/>
          <w:lang w:val="en-US"/>
        </w:rPr>
      </w:pPr>
      <w:r w:rsidRPr="00D128FC">
        <w:rPr>
          <w:sz w:val="23"/>
          <w:szCs w:val="23"/>
          <w:lang w:val="en-US"/>
        </w:rPr>
        <w:br w:type="page"/>
      </w:r>
    </w:p>
    <w:p w:rsidR="00D525D5" w:rsidRPr="00D525D5" w:rsidRDefault="00D525D5" w:rsidP="00D525D5">
      <w:pPr>
        <w:snapToGrid w:val="0"/>
        <w:spacing w:before="0"/>
        <w:jc w:val="center"/>
        <w:rPr>
          <w:rFonts w:cs="Palatino Linotype"/>
          <w:w w:val="105"/>
          <w:sz w:val="16"/>
          <w:szCs w:val="16"/>
          <w:lang w:val="en-US"/>
        </w:rPr>
      </w:pPr>
    </w:p>
    <w:p w:rsidR="0022373A" w:rsidRPr="00D128FC" w:rsidRDefault="0022373A" w:rsidP="00D525D5">
      <w:pPr>
        <w:snapToGrid w:val="0"/>
        <w:spacing w:before="0" w:after="360"/>
        <w:jc w:val="center"/>
        <w:rPr>
          <w:rFonts w:cs="Palatino Linotype"/>
          <w:w w:val="105"/>
          <w:sz w:val="28"/>
          <w:szCs w:val="28"/>
          <w:lang w:val="en-US"/>
        </w:rPr>
      </w:pPr>
      <w:r w:rsidRPr="00D128FC">
        <w:rPr>
          <w:rFonts w:cs="Palatino Linotype"/>
          <w:w w:val="105"/>
          <w:sz w:val="28"/>
          <w:szCs w:val="28"/>
          <w:lang w:val="en-US"/>
        </w:rPr>
        <w:t>TABLE OF CONTENTS</w:t>
      </w:r>
    </w:p>
    <w:p w:rsidR="0022373A" w:rsidRPr="00A858C8" w:rsidRDefault="0022373A" w:rsidP="00D525D5">
      <w:pPr>
        <w:tabs>
          <w:tab w:val="left" w:pos="851"/>
          <w:tab w:val="left" w:pos="8647"/>
        </w:tabs>
        <w:snapToGrid w:val="0"/>
        <w:spacing w:before="240"/>
        <w:ind w:right="709"/>
        <w:jc w:val="right"/>
        <w:rPr>
          <w:rFonts w:cs="Palatino Linotype"/>
          <w:b/>
          <w:bCs/>
          <w:w w:val="105"/>
          <w:lang w:val="en-US"/>
        </w:rPr>
      </w:pPr>
      <w:r w:rsidRPr="00A858C8">
        <w:rPr>
          <w:rFonts w:cs="Palatino Linotype"/>
          <w:b/>
          <w:bCs/>
          <w:w w:val="105"/>
          <w:lang w:val="en-US"/>
        </w:rPr>
        <w:t>Page</w:t>
      </w:r>
    </w:p>
    <w:p w:rsidR="00323967" w:rsidRPr="00A858C8" w:rsidRDefault="0022373A" w:rsidP="00D525D5">
      <w:pPr>
        <w:pStyle w:val="TOC1"/>
        <w:spacing w:before="200"/>
        <w:rPr>
          <w:rFonts w:eastAsia="SimSun" w:cs="Arial"/>
          <w:noProof/>
          <w:sz w:val="22"/>
          <w:szCs w:val="22"/>
          <w:lang w:val="en-US" w:eastAsia="zh-CN"/>
        </w:rPr>
      </w:pPr>
      <w:r w:rsidRPr="00A858C8">
        <w:rPr>
          <w:rFonts w:cs="Palatino Linotype"/>
          <w:w w:val="105"/>
          <w:lang w:val="en-US"/>
        </w:rPr>
        <w:fldChar w:fldCharType="begin"/>
      </w:r>
      <w:r w:rsidRPr="00A858C8">
        <w:rPr>
          <w:rFonts w:cs="Palatino Linotype"/>
          <w:w w:val="105"/>
          <w:lang w:val="en-US"/>
        </w:rPr>
        <w:instrText xml:space="preserve"> TOC \h \z \u \t "Heading 9;1" </w:instrText>
      </w:r>
      <w:r w:rsidRPr="00A858C8">
        <w:rPr>
          <w:rFonts w:cs="Palatino Linotype"/>
          <w:w w:val="105"/>
          <w:lang w:val="en-US"/>
        </w:rPr>
        <w:fldChar w:fldCharType="separate"/>
      </w:r>
      <w:hyperlink w:anchor="_Toc357005994" w:history="1">
        <w:r w:rsidR="00323967" w:rsidRPr="00A858C8">
          <w:rPr>
            <w:rStyle w:val="Hyperlink"/>
            <w:noProof/>
            <w:w w:val="105"/>
            <w:lang w:val="en-US"/>
          </w:rPr>
          <w:t>Foreword by the Secretary-General</w:t>
        </w:r>
        <w:r w:rsidR="00323967" w:rsidRPr="00A858C8">
          <w:rPr>
            <w:noProof/>
            <w:webHidden/>
          </w:rPr>
          <w:tab/>
        </w:r>
        <w:r w:rsidR="00CE3541">
          <w:rPr>
            <w:noProof/>
            <w:webHidden/>
          </w:rPr>
          <w:t>4</w:t>
        </w:r>
      </w:hyperlink>
    </w:p>
    <w:p w:rsidR="00323967" w:rsidRPr="00A858C8" w:rsidRDefault="007C640D" w:rsidP="004133DB">
      <w:pPr>
        <w:pStyle w:val="TOC1"/>
        <w:spacing w:before="200"/>
        <w:rPr>
          <w:rStyle w:val="Hyperlink"/>
          <w:noProof/>
          <w:color w:val="auto"/>
        </w:rPr>
      </w:pPr>
      <w:hyperlink w:anchor="_Toc357005995" w:history="1">
        <w:r w:rsidR="00323967" w:rsidRPr="00A858C8">
          <w:rPr>
            <w:rStyle w:val="Hyperlink"/>
            <w:noProof/>
            <w:w w:val="105"/>
            <w:lang w:val="en-US"/>
          </w:rPr>
          <w:t xml:space="preserve">Management Report </w:t>
        </w:r>
        <w:r w:rsidR="00111BDD">
          <w:rPr>
            <w:rStyle w:val="Hyperlink"/>
            <w:noProof/>
            <w:w w:val="105"/>
            <w:lang w:val="en-US"/>
          </w:rPr>
          <w:t>201</w:t>
        </w:r>
        <w:r w:rsidR="004133DB">
          <w:rPr>
            <w:rStyle w:val="Hyperlink"/>
            <w:noProof/>
            <w:w w:val="105"/>
            <w:lang w:val="en-US"/>
          </w:rPr>
          <w:t>8</w:t>
        </w:r>
        <w:r w:rsidR="00323967" w:rsidRPr="00A858C8">
          <w:rPr>
            <w:noProof/>
            <w:webHidden/>
          </w:rPr>
          <w:tab/>
        </w:r>
        <w:r w:rsidR="00E343E7">
          <w:rPr>
            <w:noProof/>
            <w:webHidden/>
          </w:rPr>
          <w:t>1</w:t>
        </w:r>
        <w:r w:rsidR="00A45CE6">
          <w:rPr>
            <w:noProof/>
            <w:webHidden/>
          </w:rPr>
          <w:t>4</w:t>
        </w:r>
      </w:hyperlink>
    </w:p>
    <w:p w:rsidR="00790ECF" w:rsidRDefault="00790ECF" w:rsidP="004133DB">
      <w:pPr>
        <w:pStyle w:val="TOC1"/>
        <w:spacing w:before="200"/>
        <w:rPr>
          <w:rStyle w:val="Hyperlink"/>
          <w:noProof/>
          <w:color w:val="auto"/>
          <w:u w:val="none"/>
        </w:rPr>
      </w:pPr>
      <w:r w:rsidRPr="00326677">
        <w:rPr>
          <w:rStyle w:val="Hyperlink"/>
          <w:noProof/>
          <w:color w:val="auto"/>
          <w:u w:val="none"/>
        </w:rPr>
        <w:t>Statement o</w:t>
      </w:r>
      <w:r w:rsidR="00D64E99">
        <w:rPr>
          <w:rStyle w:val="Hyperlink"/>
          <w:noProof/>
          <w:color w:val="auto"/>
          <w:u w:val="none"/>
        </w:rPr>
        <w:t>n</w:t>
      </w:r>
      <w:r w:rsidRPr="00326677">
        <w:rPr>
          <w:rStyle w:val="Hyperlink"/>
          <w:noProof/>
          <w:color w:val="auto"/>
          <w:u w:val="none"/>
        </w:rPr>
        <w:t xml:space="preserve"> Internal Control for </w:t>
      </w:r>
      <w:r w:rsidR="00111BDD">
        <w:rPr>
          <w:rStyle w:val="Hyperlink"/>
          <w:noProof/>
          <w:color w:val="auto"/>
          <w:u w:val="none"/>
        </w:rPr>
        <w:t>201</w:t>
      </w:r>
      <w:r w:rsidR="004133DB">
        <w:rPr>
          <w:rStyle w:val="Hyperlink"/>
          <w:noProof/>
          <w:color w:val="auto"/>
          <w:u w:val="none"/>
        </w:rPr>
        <w:t>8</w:t>
      </w:r>
      <w:r w:rsidRPr="00A858C8">
        <w:rPr>
          <w:rStyle w:val="Hyperlink"/>
          <w:noProof/>
          <w:color w:val="auto"/>
          <w:u w:val="none"/>
        </w:rPr>
        <w:tab/>
      </w:r>
      <w:r w:rsidR="00CE3541">
        <w:rPr>
          <w:rStyle w:val="Hyperlink"/>
          <w:noProof/>
          <w:color w:val="auto"/>
          <w:u w:val="none"/>
        </w:rPr>
        <w:t>1</w:t>
      </w:r>
      <w:r w:rsidR="00A45CE6">
        <w:rPr>
          <w:rStyle w:val="Hyperlink"/>
          <w:noProof/>
          <w:color w:val="auto"/>
          <w:u w:val="none"/>
        </w:rPr>
        <w:t>6</w:t>
      </w:r>
    </w:p>
    <w:p w:rsidR="00432B3E" w:rsidRPr="00A858C8" w:rsidRDefault="00432B3E" w:rsidP="004133DB">
      <w:pPr>
        <w:pStyle w:val="TOC1"/>
        <w:spacing w:before="200"/>
        <w:rPr>
          <w:rFonts w:eastAsia="SimSun" w:cs="Arial"/>
          <w:noProof/>
          <w:sz w:val="22"/>
          <w:szCs w:val="22"/>
          <w:lang w:val="en-US" w:eastAsia="zh-CN"/>
        </w:rPr>
      </w:pPr>
      <w:r w:rsidRPr="00E44B6A">
        <w:rPr>
          <w:rStyle w:val="Hyperlink"/>
          <w:noProof/>
          <w:color w:val="auto"/>
          <w:u w:val="none"/>
        </w:rPr>
        <w:t>Certification of the financial statements for the year ended 31 December 201</w:t>
      </w:r>
      <w:r w:rsidR="004133DB">
        <w:rPr>
          <w:rStyle w:val="Hyperlink"/>
          <w:noProof/>
          <w:color w:val="auto"/>
          <w:u w:val="none"/>
        </w:rPr>
        <w:t>8</w:t>
      </w:r>
      <w:r w:rsidRPr="00E44B6A">
        <w:rPr>
          <w:rStyle w:val="Hyperlink"/>
          <w:noProof/>
          <w:color w:val="auto"/>
          <w:u w:val="none"/>
        </w:rPr>
        <w:tab/>
      </w:r>
      <w:r w:rsidR="00A45CE6">
        <w:rPr>
          <w:rStyle w:val="Hyperlink"/>
          <w:noProof/>
          <w:color w:val="auto"/>
          <w:u w:val="none"/>
        </w:rPr>
        <w:t>20</w:t>
      </w:r>
    </w:p>
    <w:p w:rsidR="00323967" w:rsidRPr="00A858C8" w:rsidRDefault="007C640D" w:rsidP="007C640D">
      <w:pPr>
        <w:pStyle w:val="TOC1"/>
        <w:spacing w:before="200"/>
        <w:rPr>
          <w:rFonts w:eastAsia="SimSun" w:cs="Arial"/>
          <w:noProof/>
          <w:sz w:val="22"/>
          <w:szCs w:val="22"/>
          <w:lang w:val="en-US" w:eastAsia="zh-CN"/>
        </w:rPr>
      </w:pPr>
      <w:hyperlink w:anchor="_Toc357005996" w:history="1">
        <w:r w:rsidR="00323967" w:rsidRPr="00A858C8">
          <w:rPr>
            <w:rStyle w:val="Hyperlink"/>
            <w:noProof/>
            <w:w w:val="105"/>
            <w:lang w:val="en-US"/>
          </w:rPr>
          <w:t>FINANCIAL STATEMENTS</w:t>
        </w:r>
        <w:r w:rsidR="00323967" w:rsidRPr="00A858C8">
          <w:rPr>
            <w:noProof/>
            <w:webHidden/>
          </w:rPr>
          <w:tab/>
        </w:r>
        <w:r w:rsidR="00323967" w:rsidRPr="00A858C8">
          <w:rPr>
            <w:noProof/>
            <w:webHidden/>
          </w:rPr>
          <w:fldChar w:fldCharType="begin"/>
        </w:r>
        <w:r w:rsidR="00323967" w:rsidRPr="00A858C8">
          <w:rPr>
            <w:noProof/>
            <w:webHidden/>
          </w:rPr>
          <w:instrText xml:space="preserve"> PAGEREF _Toc357005996 \h </w:instrText>
        </w:r>
        <w:r w:rsidR="00323967" w:rsidRPr="00A858C8">
          <w:rPr>
            <w:noProof/>
            <w:webHidden/>
          </w:rPr>
        </w:r>
        <w:r w:rsidR="00323967" w:rsidRPr="00A858C8">
          <w:rPr>
            <w:noProof/>
            <w:webHidden/>
          </w:rPr>
          <w:fldChar w:fldCharType="separate"/>
        </w:r>
        <w:r w:rsidR="0032741D">
          <w:rPr>
            <w:noProof/>
            <w:webHidden/>
          </w:rPr>
          <w:t>21</w:t>
        </w:r>
        <w:r w:rsidR="00323967" w:rsidRPr="00A858C8">
          <w:rPr>
            <w:noProof/>
            <w:webHidden/>
          </w:rPr>
          <w:fldChar w:fldCharType="end"/>
        </w:r>
      </w:hyperlink>
    </w:p>
    <w:p w:rsidR="00323967" w:rsidRDefault="007C640D" w:rsidP="007C640D">
      <w:pPr>
        <w:pStyle w:val="TOC1"/>
        <w:spacing w:before="200"/>
        <w:rPr>
          <w:noProof/>
        </w:rPr>
      </w:pPr>
      <w:hyperlink w:anchor="_Toc357005997" w:history="1">
        <w:r w:rsidR="00323967" w:rsidRPr="00A858C8">
          <w:rPr>
            <w:rStyle w:val="Hyperlink"/>
            <w:noProof/>
            <w:w w:val="105"/>
            <w:lang w:val="en-US"/>
          </w:rPr>
          <w:t>I</w:t>
        </w:r>
        <w:r w:rsidR="00323967" w:rsidRPr="00A858C8">
          <w:rPr>
            <w:rFonts w:eastAsia="SimSun" w:cs="Arial"/>
            <w:noProof/>
            <w:sz w:val="22"/>
            <w:szCs w:val="22"/>
            <w:lang w:val="en-US" w:eastAsia="zh-CN"/>
          </w:rPr>
          <w:tab/>
        </w:r>
        <w:r w:rsidR="00323967" w:rsidRPr="00A858C8">
          <w:rPr>
            <w:rStyle w:val="Hyperlink"/>
            <w:noProof/>
            <w:w w:val="105"/>
            <w:lang w:val="en-US"/>
          </w:rPr>
          <w:t xml:space="preserve">REGULAR BUDGET </w:t>
        </w:r>
        <w:r w:rsidR="004037B0" w:rsidRPr="004037B0">
          <w:rPr>
            <w:rStyle w:val="Hyperlink"/>
            <w:noProof/>
            <w:w w:val="105"/>
            <w:lang w:val="en-US"/>
          </w:rPr>
          <w:t xml:space="preserve">(ANNEX </w:t>
        </w:r>
        <w:r w:rsidR="007273C8">
          <w:rPr>
            <w:rStyle w:val="Hyperlink"/>
            <w:noProof/>
            <w:w w:val="105"/>
            <w:lang w:val="en-US"/>
          </w:rPr>
          <w:t>B</w:t>
        </w:r>
        <w:r w:rsidR="004037B0" w:rsidRPr="004037B0">
          <w:rPr>
            <w:rStyle w:val="Hyperlink"/>
            <w:noProof/>
            <w:w w:val="105"/>
            <w:lang w:val="en-US"/>
          </w:rPr>
          <w:t>1)</w:t>
        </w:r>
        <w:r w:rsidR="00323967" w:rsidRPr="00A858C8">
          <w:rPr>
            <w:noProof/>
            <w:webHidden/>
          </w:rPr>
          <w:tab/>
        </w:r>
      </w:hyperlink>
      <w:r w:rsidR="006C6698">
        <w:rPr>
          <w:noProof/>
        </w:rPr>
        <w:t>7</w:t>
      </w:r>
      <w:r>
        <w:rPr>
          <w:noProof/>
        </w:rPr>
        <w:t>0</w:t>
      </w:r>
    </w:p>
    <w:p w:rsidR="009C1B6C" w:rsidRPr="00A858C8" w:rsidRDefault="009C1B6C" w:rsidP="007C640D">
      <w:pPr>
        <w:pStyle w:val="TOC1"/>
        <w:spacing w:before="200"/>
        <w:rPr>
          <w:rFonts w:eastAsia="SimSun" w:cs="Arial"/>
          <w:noProof/>
          <w:sz w:val="22"/>
          <w:szCs w:val="22"/>
          <w:lang w:val="en-US" w:eastAsia="zh-CN"/>
        </w:rPr>
      </w:pPr>
      <w:r>
        <w:rPr>
          <w:noProof/>
        </w:rPr>
        <w:t>II</w:t>
      </w:r>
      <w:r>
        <w:rPr>
          <w:noProof/>
        </w:rPr>
        <w:tab/>
        <w:t xml:space="preserve">NEW HEADQUARTERS PREMISES (ANNEX </w:t>
      </w:r>
      <w:r w:rsidR="007273C8">
        <w:rPr>
          <w:noProof/>
        </w:rPr>
        <w:t>B</w:t>
      </w:r>
      <w:r>
        <w:rPr>
          <w:noProof/>
        </w:rPr>
        <w:t>2)</w:t>
      </w:r>
      <w:r>
        <w:rPr>
          <w:noProof/>
        </w:rPr>
        <w:tab/>
      </w:r>
      <w:r w:rsidR="00AD7FAD">
        <w:rPr>
          <w:noProof/>
        </w:rPr>
        <w:t>7</w:t>
      </w:r>
      <w:r w:rsidR="007C640D">
        <w:rPr>
          <w:noProof/>
        </w:rPr>
        <w:t>4</w:t>
      </w:r>
    </w:p>
    <w:p w:rsidR="00323967" w:rsidRPr="00A858C8" w:rsidRDefault="007C640D" w:rsidP="007C640D">
      <w:pPr>
        <w:pStyle w:val="TOC1"/>
        <w:spacing w:before="200"/>
        <w:rPr>
          <w:rFonts w:eastAsia="SimSun" w:cs="Arial"/>
          <w:noProof/>
          <w:sz w:val="22"/>
          <w:szCs w:val="22"/>
          <w:lang w:val="en-US" w:eastAsia="zh-CN"/>
        </w:rPr>
      </w:pPr>
      <w:hyperlink w:anchor="_Toc357005998" w:history="1">
        <w:r w:rsidR="00323967" w:rsidRPr="00A858C8">
          <w:rPr>
            <w:rStyle w:val="Hyperlink"/>
            <w:noProof/>
            <w:w w:val="105"/>
            <w:lang w:val="en-US"/>
          </w:rPr>
          <w:t>II</w:t>
        </w:r>
        <w:r w:rsidR="00C74288">
          <w:rPr>
            <w:rStyle w:val="Hyperlink"/>
            <w:noProof/>
            <w:w w:val="105"/>
            <w:lang w:val="en-US"/>
          </w:rPr>
          <w:t>I</w:t>
        </w:r>
        <w:r w:rsidR="00323967" w:rsidRPr="00A858C8">
          <w:rPr>
            <w:rFonts w:eastAsia="SimSun" w:cs="Arial"/>
            <w:noProof/>
            <w:sz w:val="22"/>
            <w:szCs w:val="22"/>
            <w:lang w:val="en-US" w:eastAsia="zh-CN"/>
          </w:rPr>
          <w:tab/>
        </w:r>
        <w:r w:rsidR="00323967" w:rsidRPr="00A858C8">
          <w:rPr>
            <w:rStyle w:val="Hyperlink"/>
            <w:noProof/>
            <w:w w:val="105"/>
            <w:lang w:val="en-US"/>
          </w:rPr>
          <w:t xml:space="preserve">STAFF SUPERANNUATION AND BENEVOLENT FUNDS (ANNEX </w:t>
        </w:r>
        <w:r w:rsidR="007273C8">
          <w:rPr>
            <w:rStyle w:val="Hyperlink"/>
            <w:noProof/>
            <w:w w:val="105"/>
            <w:lang w:val="en-US"/>
          </w:rPr>
          <w:t>B</w:t>
        </w:r>
        <w:r w:rsidR="00C74288">
          <w:rPr>
            <w:rStyle w:val="Hyperlink"/>
            <w:noProof/>
            <w:w w:val="105"/>
            <w:lang w:val="en-US"/>
          </w:rPr>
          <w:t>3</w:t>
        </w:r>
        <w:r w:rsidR="00323967" w:rsidRPr="00A858C8">
          <w:rPr>
            <w:rStyle w:val="Hyperlink"/>
            <w:noProof/>
            <w:w w:val="105"/>
            <w:lang w:val="en-US"/>
          </w:rPr>
          <w:t>)</w:t>
        </w:r>
        <w:r w:rsidR="00323967" w:rsidRPr="00A858C8">
          <w:rPr>
            <w:noProof/>
            <w:webHidden/>
          </w:rPr>
          <w:tab/>
        </w:r>
      </w:hyperlink>
      <w:r w:rsidR="00A45CE6">
        <w:rPr>
          <w:noProof/>
        </w:rPr>
        <w:t>7</w:t>
      </w:r>
      <w:r>
        <w:rPr>
          <w:noProof/>
        </w:rPr>
        <w:t>4</w:t>
      </w:r>
    </w:p>
    <w:p w:rsidR="00323967" w:rsidRPr="00A858C8" w:rsidRDefault="007C640D" w:rsidP="007C640D">
      <w:pPr>
        <w:pStyle w:val="TOC1"/>
        <w:spacing w:before="200"/>
        <w:rPr>
          <w:rFonts w:eastAsia="SimSun" w:cs="Arial"/>
          <w:noProof/>
          <w:sz w:val="22"/>
          <w:szCs w:val="22"/>
          <w:lang w:val="en-US" w:eastAsia="zh-CN"/>
        </w:rPr>
      </w:pPr>
      <w:hyperlink w:anchor="_Toc357005999" w:history="1">
        <w:r w:rsidR="00821A48">
          <w:rPr>
            <w:rStyle w:val="Hyperlink"/>
            <w:noProof/>
            <w:w w:val="105"/>
            <w:lang w:val="en-US"/>
          </w:rPr>
          <w:t>IV</w:t>
        </w:r>
        <w:r w:rsidR="00323967" w:rsidRPr="00A858C8">
          <w:rPr>
            <w:rFonts w:eastAsia="SimSun" w:cs="Arial"/>
            <w:noProof/>
            <w:sz w:val="22"/>
            <w:szCs w:val="22"/>
            <w:lang w:val="en-US" w:eastAsia="zh-CN"/>
          </w:rPr>
          <w:tab/>
        </w:r>
        <w:r w:rsidR="001B42C1" w:rsidRPr="001B42C1">
          <w:rPr>
            <w:rStyle w:val="Hyperlink"/>
            <w:noProof/>
            <w:w w:val="105"/>
            <w:lang w:val="en-US"/>
          </w:rPr>
          <w:t>UNITED NATIONS DEVELOPMENT PROGRAMME (ANNEX </w:t>
        </w:r>
        <w:r w:rsidR="007273C8">
          <w:rPr>
            <w:rStyle w:val="Hyperlink"/>
            <w:noProof/>
            <w:w w:val="105"/>
            <w:lang w:val="en-US"/>
          </w:rPr>
          <w:t>B</w:t>
        </w:r>
        <w:r w:rsidR="00C74288">
          <w:rPr>
            <w:rStyle w:val="Hyperlink"/>
            <w:noProof/>
            <w:w w:val="105"/>
            <w:lang w:val="en-US"/>
          </w:rPr>
          <w:t>4</w:t>
        </w:r>
        <w:r w:rsidR="001B42C1" w:rsidRPr="001B42C1">
          <w:rPr>
            <w:rStyle w:val="Hyperlink"/>
            <w:noProof/>
            <w:w w:val="105"/>
            <w:lang w:val="en-US"/>
          </w:rPr>
          <w:t>)</w:t>
        </w:r>
        <w:r w:rsidR="00323967" w:rsidRPr="00A858C8">
          <w:rPr>
            <w:noProof/>
            <w:webHidden/>
          </w:rPr>
          <w:tab/>
        </w:r>
      </w:hyperlink>
      <w:r w:rsidR="00A45CE6">
        <w:rPr>
          <w:noProof/>
        </w:rPr>
        <w:t>7</w:t>
      </w:r>
      <w:r>
        <w:rPr>
          <w:noProof/>
        </w:rPr>
        <w:t>5</w:t>
      </w:r>
    </w:p>
    <w:p w:rsidR="00323967" w:rsidRPr="00A858C8" w:rsidRDefault="007C640D" w:rsidP="007C640D">
      <w:pPr>
        <w:pStyle w:val="TOC1"/>
        <w:tabs>
          <w:tab w:val="clear" w:pos="9639"/>
          <w:tab w:val="right" w:pos="9781"/>
        </w:tabs>
        <w:spacing w:before="200"/>
        <w:rPr>
          <w:rFonts w:eastAsia="SimSun" w:cs="Arial"/>
          <w:noProof/>
          <w:sz w:val="22"/>
          <w:szCs w:val="22"/>
          <w:lang w:val="en-US" w:eastAsia="zh-CN"/>
        </w:rPr>
      </w:pPr>
      <w:hyperlink w:anchor="_Toc357006000" w:history="1">
        <w:r w:rsidR="00323967" w:rsidRPr="00A858C8">
          <w:rPr>
            <w:rStyle w:val="Hyperlink"/>
            <w:noProof/>
            <w:w w:val="105"/>
            <w:lang w:val="en-US"/>
          </w:rPr>
          <w:t>V</w:t>
        </w:r>
        <w:r w:rsidR="00323967" w:rsidRPr="00A858C8">
          <w:rPr>
            <w:rFonts w:eastAsia="SimSun" w:cs="Arial"/>
            <w:noProof/>
            <w:sz w:val="22"/>
            <w:szCs w:val="22"/>
            <w:lang w:val="en-US" w:eastAsia="zh-CN"/>
          </w:rPr>
          <w:tab/>
        </w:r>
        <w:r w:rsidR="001B42C1" w:rsidRPr="001B42C1">
          <w:rPr>
            <w:rStyle w:val="Hyperlink"/>
            <w:noProof/>
            <w:w w:val="105"/>
            <w:lang w:val="en-US"/>
          </w:rPr>
          <w:t xml:space="preserve">TRUST FUNDS (ANNEX </w:t>
        </w:r>
        <w:r w:rsidR="007273C8">
          <w:rPr>
            <w:rStyle w:val="Hyperlink"/>
            <w:noProof/>
            <w:w w:val="105"/>
            <w:lang w:val="en-US"/>
          </w:rPr>
          <w:t>B</w:t>
        </w:r>
        <w:r w:rsidR="00C74288">
          <w:rPr>
            <w:rStyle w:val="Hyperlink"/>
            <w:noProof/>
            <w:w w:val="105"/>
            <w:lang w:val="en-US"/>
          </w:rPr>
          <w:t>5</w:t>
        </w:r>
        <w:r w:rsidR="00323967" w:rsidRPr="00A858C8">
          <w:rPr>
            <w:rStyle w:val="Hyperlink"/>
            <w:noProof/>
            <w:w w:val="105"/>
            <w:lang w:val="en-US"/>
          </w:rPr>
          <w:t>)</w:t>
        </w:r>
        <w:r w:rsidR="00323967" w:rsidRPr="00A858C8">
          <w:rPr>
            <w:noProof/>
            <w:webHidden/>
          </w:rPr>
          <w:tab/>
        </w:r>
      </w:hyperlink>
      <w:r w:rsidR="00A45CE6">
        <w:rPr>
          <w:noProof/>
        </w:rPr>
        <w:t>7</w:t>
      </w:r>
      <w:r>
        <w:rPr>
          <w:noProof/>
        </w:rPr>
        <w:t>5</w:t>
      </w:r>
    </w:p>
    <w:p w:rsidR="000A12B9" w:rsidRDefault="007C640D" w:rsidP="007C640D">
      <w:pPr>
        <w:pStyle w:val="TOC1"/>
        <w:spacing w:before="200"/>
        <w:rPr>
          <w:noProof/>
        </w:rPr>
      </w:pPr>
      <w:hyperlink w:anchor="_Toc357006001" w:history="1">
        <w:r w:rsidR="00323967" w:rsidRPr="00A858C8">
          <w:rPr>
            <w:rStyle w:val="Hyperlink"/>
            <w:noProof/>
            <w:w w:val="105"/>
            <w:lang w:val="en-US"/>
          </w:rPr>
          <w:t>V</w:t>
        </w:r>
        <w:r w:rsidR="00821A48">
          <w:rPr>
            <w:rStyle w:val="Hyperlink"/>
            <w:noProof/>
            <w:w w:val="105"/>
            <w:lang w:val="en-US"/>
          </w:rPr>
          <w:t>I</w:t>
        </w:r>
        <w:r w:rsidR="00323967" w:rsidRPr="00A858C8">
          <w:rPr>
            <w:rFonts w:eastAsia="SimSun" w:cs="Arial"/>
            <w:noProof/>
            <w:sz w:val="22"/>
            <w:szCs w:val="22"/>
            <w:lang w:val="en-US" w:eastAsia="zh-CN"/>
          </w:rPr>
          <w:tab/>
        </w:r>
        <w:r w:rsidR="001B42C1" w:rsidRPr="001B42C1">
          <w:rPr>
            <w:rStyle w:val="Hyperlink"/>
            <w:noProof/>
            <w:w w:val="105"/>
            <w:lang w:val="en-US"/>
          </w:rPr>
          <w:t xml:space="preserve">VOLUNTARY CONTRIBUTIONS (ANNEX </w:t>
        </w:r>
        <w:r w:rsidR="007273C8">
          <w:rPr>
            <w:rStyle w:val="Hyperlink"/>
            <w:noProof/>
            <w:w w:val="105"/>
            <w:lang w:val="en-US"/>
          </w:rPr>
          <w:t>B</w:t>
        </w:r>
        <w:r w:rsidR="00C74288">
          <w:rPr>
            <w:rStyle w:val="Hyperlink"/>
            <w:noProof/>
            <w:w w:val="105"/>
            <w:lang w:val="en-US"/>
          </w:rPr>
          <w:t>6</w:t>
        </w:r>
        <w:r w:rsidR="001B42C1" w:rsidRPr="001B42C1">
          <w:rPr>
            <w:rStyle w:val="Hyperlink"/>
            <w:noProof/>
            <w:w w:val="105"/>
            <w:lang w:val="en-US"/>
          </w:rPr>
          <w:t>)</w:t>
        </w:r>
        <w:r w:rsidR="00323967" w:rsidRPr="00A858C8">
          <w:rPr>
            <w:noProof/>
            <w:webHidden/>
          </w:rPr>
          <w:tab/>
        </w:r>
      </w:hyperlink>
      <w:r w:rsidR="00CE3541">
        <w:rPr>
          <w:noProof/>
        </w:rPr>
        <w:t>7</w:t>
      </w:r>
      <w:r>
        <w:rPr>
          <w:noProof/>
        </w:rPr>
        <w:t>6</w:t>
      </w:r>
    </w:p>
    <w:p w:rsidR="006C6698" w:rsidRDefault="007C640D" w:rsidP="00845FE2">
      <w:pPr>
        <w:pStyle w:val="TOC1"/>
        <w:spacing w:before="200"/>
        <w:rPr>
          <w:noProof/>
        </w:rPr>
      </w:pPr>
      <w:hyperlink w:anchor="_Toc357006003" w:history="1">
        <w:r w:rsidR="00323967" w:rsidRPr="00A858C8">
          <w:rPr>
            <w:rStyle w:val="Hyperlink"/>
            <w:noProof/>
            <w:w w:val="105"/>
            <w:lang w:val="en-US"/>
          </w:rPr>
          <w:t>VI</w:t>
        </w:r>
        <w:r w:rsidR="00821A48">
          <w:rPr>
            <w:rStyle w:val="Hyperlink"/>
            <w:noProof/>
            <w:w w:val="105"/>
            <w:lang w:val="en-US"/>
          </w:rPr>
          <w:t>I</w:t>
        </w:r>
        <w:r w:rsidR="00323967" w:rsidRPr="00A858C8">
          <w:rPr>
            <w:rFonts w:eastAsia="SimSun" w:cs="Arial"/>
            <w:noProof/>
            <w:sz w:val="22"/>
            <w:szCs w:val="22"/>
            <w:lang w:val="en-US" w:eastAsia="zh-CN"/>
          </w:rPr>
          <w:tab/>
        </w:r>
        <w:r w:rsidR="00323967" w:rsidRPr="00A858C8">
          <w:rPr>
            <w:rStyle w:val="Hyperlink"/>
            <w:noProof/>
            <w:w w:val="105"/>
            <w:lang w:val="en-US"/>
          </w:rPr>
          <w:t xml:space="preserve">ICT DEVELOPMENT FUND (ANNEX </w:t>
        </w:r>
        <w:r w:rsidR="007273C8">
          <w:rPr>
            <w:rStyle w:val="Hyperlink"/>
            <w:noProof/>
            <w:w w:val="105"/>
            <w:lang w:val="en-US"/>
          </w:rPr>
          <w:t>B</w:t>
        </w:r>
        <w:r w:rsidR="00C74288">
          <w:rPr>
            <w:rStyle w:val="Hyperlink"/>
            <w:noProof/>
            <w:w w:val="105"/>
            <w:lang w:val="en-US"/>
          </w:rPr>
          <w:t>7</w:t>
        </w:r>
        <w:r w:rsidR="00323967" w:rsidRPr="00A858C8">
          <w:rPr>
            <w:rStyle w:val="Hyperlink"/>
            <w:noProof/>
            <w:w w:val="105"/>
            <w:lang w:val="en-US"/>
          </w:rPr>
          <w:t>)</w:t>
        </w:r>
        <w:r w:rsidR="00323967" w:rsidRPr="00A858C8">
          <w:rPr>
            <w:noProof/>
            <w:webHidden/>
          </w:rPr>
          <w:tab/>
        </w:r>
      </w:hyperlink>
      <w:r w:rsidR="000A12B9">
        <w:rPr>
          <w:noProof/>
        </w:rPr>
        <w:t>7</w:t>
      </w:r>
      <w:r w:rsidR="00845FE2">
        <w:rPr>
          <w:noProof/>
        </w:rPr>
        <w:t>6</w:t>
      </w:r>
    </w:p>
    <w:p w:rsidR="00983DD0" w:rsidRDefault="00983DD0" w:rsidP="00845FE2">
      <w:pPr>
        <w:pStyle w:val="TOC1"/>
        <w:spacing w:before="200"/>
        <w:rPr>
          <w:noProof/>
        </w:rPr>
      </w:pPr>
      <w:r>
        <w:rPr>
          <w:noProof/>
        </w:rPr>
        <w:t>VII</w:t>
      </w:r>
      <w:r w:rsidR="00821A48">
        <w:rPr>
          <w:noProof/>
        </w:rPr>
        <w:t>I</w:t>
      </w:r>
      <w:r>
        <w:rPr>
          <w:noProof/>
        </w:rPr>
        <w:tab/>
        <w:t>ITU TELECOM</w:t>
      </w:r>
      <w:r w:rsidR="00F67C49">
        <w:rPr>
          <w:noProof/>
        </w:rPr>
        <w:t xml:space="preserve"> </w:t>
      </w:r>
      <w:r w:rsidR="000A4004">
        <w:rPr>
          <w:noProof/>
        </w:rPr>
        <w:t>WORLD 201</w:t>
      </w:r>
      <w:r w:rsidR="008541AB">
        <w:rPr>
          <w:noProof/>
        </w:rPr>
        <w:t>8</w:t>
      </w:r>
      <w:r w:rsidR="000A4004">
        <w:rPr>
          <w:noProof/>
        </w:rPr>
        <w:t xml:space="preserve"> </w:t>
      </w:r>
      <w:r w:rsidR="00F67C49" w:rsidRPr="004037B0">
        <w:rPr>
          <w:noProof/>
        </w:rPr>
        <w:t xml:space="preserve">(ANNEX </w:t>
      </w:r>
      <w:r w:rsidR="007273C8">
        <w:rPr>
          <w:noProof/>
        </w:rPr>
        <w:t>B</w:t>
      </w:r>
      <w:r w:rsidR="000A4004">
        <w:rPr>
          <w:noProof/>
        </w:rPr>
        <w:t>8</w:t>
      </w:r>
      <w:r w:rsidR="00CF3D11">
        <w:rPr>
          <w:noProof/>
        </w:rPr>
        <w:t>)</w:t>
      </w:r>
      <w:r w:rsidR="00D525D5" w:rsidRPr="00D525D5">
        <w:rPr>
          <w:rStyle w:val="Hyperlink"/>
          <w:noProof/>
          <w:color w:val="auto"/>
          <w:u w:val="none"/>
          <w:lang w:val="en-US"/>
        </w:rPr>
        <w:t xml:space="preserve"> </w:t>
      </w:r>
      <w:r w:rsidR="00D525D5" w:rsidRPr="00D525D5">
        <w:rPr>
          <w:rStyle w:val="Hyperlink"/>
          <w:noProof/>
          <w:color w:val="auto"/>
          <w:u w:val="none"/>
          <w:lang w:val="en-US"/>
        </w:rPr>
        <w:tab/>
      </w:r>
      <w:r w:rsidR="00E343E7">
        <w:rPr>
          <w:noProof/>
        </w:rPr>
        <w:t>7</w:t>
      </w:r>
      <w:r w:rsidR="00845FE2">
        <w:rPr>
          <w:noProof/>
        </w:rPr>
        <w:t>6</w:t>
      </w:r>
    </w:p>
    <w:p w:rsidR="00CF77B2" w:rsidRPr="00A858C8" w:rsidRDefault="00CF77B2" w:rsidP="00845FE2">
      <w:pPr>
        <w:pStyle w:val="TOC1"/>
        <w:spacing w:before="200"/>
        <w:rPr>
          <w:rFonts w:eastAsia="SimSun" w:cs="Arial"/>
          <w:noProof/>
          <w:sz w:val="22"/>
          <w:szCs w:val="22"/>
          <w:lang w:val="en-US" w:eastAsia="zh-CN"/>
        </w:rPr>
      </w:pPr>
      <w:r>
        <w:rPr>
          <w:noProof/>
        </w:rPr>
        <w:t>IX</w:t>
      </w:r>
      <w:r>
        <w:rPr>
          <w:noProof/>
        </w:rPr>
        <w:tab/>
        <w:t>EXTERNAL AUDIT OF THE UNION'S ACCOUNTS</w:t>
      </w:r>
      <w:r>
        <w:rPr>
          <w:noProof/>
        </w:rPr>
        <w:tab/>
        <w:t>7</w:t>
      </w:r>
      <w:r w:rsidR="00845FE2">
        <w:rPr>
          <w:noProof/>
        </w:rPr>
        <w:t>7</w:t>
      </w:r>
    </w:p>
    <w:p w:rsidR="007273C8" w:rsidRPr="006C7AC9" w:rsidRDefault="007C640D" w:rsidP="00845FE2">
      <w:pPr>
        <w:pStyle w:val="TOC1"/>
        <w:spacing w:before="200"/>
        <w:rPr>
          <w:rFonts w:eastAsia="SimSun" w:cs="Arial"/>
          <w:noProof/>
          <w:sz w:val="22"/>
          <w:szCs w:val="22"/>
          <w:lang w:val="fr-CH" w:eastAsia="zh-CN"/>
        </w:rPr>
      </w:pPr>
      <w:hyperlink w:anchor="_Toc357006005" w:history="1">
        <w:r w:rsidR="007273C8" w:rsidRPr="006C7AC9">
          <w:rPr>
            <w:rStyle w:val="Hyperlink"/>
            <w:bCs/>
            <w:noProof/>
            <w:w w:val="105"/>
            <w:lang w:val="fr-CH"/>
          </w:rPr>
          <w:t>ANNEX A  Draft resolution</w:t>
        </w:r>
        <w:r w:rsidR="007273C8" w:rsidRPr="006C7AC9">
          <w:rPr>
            <w:rStyle w:val="Hyperlink"/>
            <w:bCs/>
            <w:noProof/>
            <w:w w:val="105"/>
            <w:lang w:val="fr-CH"/>
          </w:rPr>
          <w:tab/>
        </w:r>
      </w:hyperlink>
      <w:r w:rsidR="006C6698" w:rsidRPr="006C6698">
        <w:rPr>
          <w:lang w:val="fr-CH"/>
        </w:rPr>
        <w:t>7</w:t>
      </w:r>
      <w:r w:rsidR="00845FE2">
        <w:rPr>
          <w:lang w:val="fr-CH"/>
        </w:rPr>
        <w:t>8</w:t>
      </w:r>
    </w:p>
    <w:p w:rsidR="00323967" w:rsidRPr="006C7AC9" w:rsidRDefault="007C640D" w:rsidP="00845FE2">
      <w:pPr>
        <w:pStyle w:val="TOC1"/>
        <w:spacing w:before="200"/>
        <w:rPr>
          <w:rFonts w:eastAsia="SimSun" w:cs="Arial"/>
          <w:noProof/>
          <w:sz w:val="22"/>
          <w:szCs w:val="22"/>
          <w:lang w:val="fr-CH" w:eastAsia="zh-CN"/>
        </w:rPr>
      </w:pPr>
      <w:hyperlink w:anchor="_Toc357006005" w:history="1">
        <w:r w:rsidR="00323967" w:rsidRPr="006C7AC9">
          <w:rPr>
            <w:rStyle w:val="Hyperlink"/>
            <w:bCs/>
            <w:noProof/>
            <w:w w:val="105"/>
            <w:lang w:val="fr-CH"/>
          </w:rPr>
          <w:t xml:space="preserve">ANNEX </w:t>
        </w:r>
        <w:r w:rsidR="00F047CD" w:rsidRPr="006C7AC9">
          <w:rPr>
            <w:rStyle w:val="Hyperlink"/>
            <w:bCs/>
            <w:noProof/>
            <w:w w:val="105"/>
            <w:lang w:val="fr-CH"/>
          </w:rPr>
          <w:t>B</w:t>
        </w:r>
        <w:r w:rsidR="008A0BF3" w:rsidRPr="006C7AC9">
          <w:rPr>
            <w:rStyle w:val="Hyperlink"/>
            <w:bCs/>
            <w:noProof/>
            <w:w w:val="105"/>
            <w:lang w:val="fr-CH"/>
          </w:rPr>
          <w:t>1</w:t>
        </w:r>
        <w:r w:rsidR="00323967" w:rsidRPr="006C7AC9">
          <w:rPr>
            <w:rStyle w:val="Hyperlink"/>
            <w:bCs/>
            <w:noProof/>
            <w:w w:val="105"/>
            <w:lang w:val="fr-CH"/>
          </w:rPr>
          <w:tab/>
        </w:r>
      </w:hyperlink>
      <w:r w:rsidR="00845FE2">
        <w:rPr>
          <w:rStyle w:val="Hyperlink"/>
          <w:bCs/>
          <w:noProof/>
          <w:color w:val="auto"/>
          <w:w w:val="105"/>
          <w:u w:val="none"/>
          <w:lang w:val="fr-CH"/>
        </w:rPr>
        <w:t>79</w:t>
      </w:r>
    </w:p>
    <w:p w:rsidR="00323967" w:rsidRPr="006C7AC9" w:rsidRDefault="007C640D" w:rsidP="00845FE2">
      <w:pPr>
        <w:pStyle w:val="TOC1"/>
        <w:spacing w:before="200"/>
        <w:rPr>
          <w:rFonts w:eastAsia="SimSun" w:cs="Arial"/>
          <w:noProof/>
          <w:sz w:val="22"/>
          <w:szCs w:val="22"/>
          <w:lang w:val="fr-CH" w:eastAsia="zh-CN"/>
        </w:rPr>
      </w:pPr>
      <w:hyperlink w:anchor="_Toc357006006" w:history="1">
        <w:r w:rsidR="00323967" w:rsidRPr="006C7AC9">
          <w:rPr>
            <w:rStyle w:val="Hyperlink"/>
            <w:bCs/>
            <w:noProof/>
            <w:w w:val="105"/>
            <w:lang w:val="fr-CH"/>
          </w:rPr>
          <w:t xml:space="preserve">ANNEX </w:t>
        </w:r>
        <w:r w:rsidR="00F047CD" w:rsidRPr="006C7AC9">
          <w:rPr>
            <w:rStyle w:val="Hyperlink"/>
            <w:bCs/>
            <w:noProof/>
            <w:w w:val="105"/>
            <w:lang w:val="fr-CH"/>
          </w:rPr>
          <w:t>B</w:t>
        </w:r>
        <w:r w:rsidR="000B1C1D" w:rsidRPr="006C7AC9">
          <w:rPr>
            <w:rStyle w:val="Hyperlink"/>
            <w:bCs/>
            <w:noProof/>
            <w:w w:val="105"/>
            <w:lang w:val="fr-CH"/>
          </w:rPr>
          <w:t>2</w:t>
        </w:r>
        <w:r w:rsidR="00323967" w:rsidRPr="006C7AC9">
          <w:rPr>
            <w:noProof/>
            <w:webHidden/>
            <w:lang w:val="fr-CH"/>
          </w:rPr>
          <w:tab/>
        </w:r>
      </w:hyperlink>
      <w:r w:rsidR="00FB5FC7" w:rsidRPr="006C7AC9">
        <w:rPr>
          <w:noProof/>
          <w:lang w:val="fr-CH"/>
        </w:rPr>
        <w:t>8</w:t>
      </w:r>
      <w:r w:rsidR="00845FE2">
        <w:rPr>
          <w:noProof/>
          <w:lang w:val="fr-CH"/>
        </w:rPr>
        <w:t>0</w:t>
      </w:r>
    </w:p>
    <w:p w:rsidR="00323967" w:rsidRPr="006C7AC9" w:rsidRDefault="007C640D" w:rsidP="00845FE2">
      <w:pPr>
        <w:pStyle w:val="TOC1"/>
        <w:spacing w:before="200"/>
        <w:rPr>
          <w:rFonts w:eastAsia="SimSun" w:cs="Arial"/>
          <w:noProof/>
          <w:sz w:val="22"/>
          <w:szCs w:val="22"/>
          <w:lang w:val="fr-CH" w:eastAsia="zh-CN"/>
        </w:rPr>
      </w:pPr>
      <w:hyperlink w:anchor="_Toc357006007" w:history="1">
        <w:r w:rsidR="00323967" w:rsidRPr="006C7AC9">
          <w:rPr>
            <w:rStyle w:val="Hyperlink"/>
            <w:bCs/>
            <w:noProof/>
            <w:w w:val="105"/>
            <w:lang w:val="fr-CH"/>
          </w:rPr>
          <w:t xml:space="preserve">ANNEX </w:t>
        </w:r>
        <w:r w:rsidR="00F047CD" w:rsidRPr="006C7AC9">
          <w:rPr>
            <w:rStyle w:val="Hyperlink"/>
            <w:bCs/>
            <w:noProof/>
            <w:w w:val="105"/>
            <w:lang w:val="fr-CH"/>
          </w:rPr>
          <w:t>B</w:t>
        </w:r>
        <w:r w:rsidR="008A0BF3" w:rsidRPr="006C7AC9">
          <w:rPr>
            <w:rStyle w:val="Hyperlink"/>
            <w:bCs/>
            <w:noProof/>
            <w:w w:val="105"/>
            <w:lang w:val="fr-CH"/>
          </w:rPr>
          <w:t>3</w:t>
        </w:r>
        <w:r w:rsidR="00323967" w:rsidRPr="006C7AC9">
          <w:rPr>
            <w:noProof/>
            <w:webHidden/>
            <w:lang w:val="fr-CH"/>
          </w:rPr>
          <w:tab/>
        </w:r>
      </w:hyperlink>
      <w:r w:rsidR="006C7AC9" w:rsidRPr="006C7AC9">
        <w:rPr>
          <w:noProof/>
          <w:lang w:val="fr-CH"/>
        </w:rPr>
        <w:t>8</w:t>
      </w:r>
      <w:r w:rsidR="00845FE2">
        <w:rPr>
          <w:noProof/>
          <w:lang w:val="fr-CH"/>
        </w:rPr>
        <w:t>1</w:t>
      </w:r>
    </w:p>
    <w:p w:rsidR="00323967" w:rsidRPr="006C7AC9" w:rsidRDefault="007C640D" w:rsidP="00845FE2">
      <w:pPr>
        <w:pStyle w:val="TOC1"/>
        <w:spacing w:before="200"/>
        <w:rPr>
          <w:rFonts w:eastAsia="SimSun" w:cs="Arial"/>
          <w:noProof/>
          <w:sz w:val="22"/>
          <w:szCs w:val="22"/>
          <w:lang w:val="fr-CH" w:eastAsia="zh-CN"/>
        </w:rPr>
      </w:pPr>
      <w:hyperlink w:anchor="_Toc357006008" w:history="1">
        <w:r w:rsidR="00323967" w:rsidRPr="006C7AC9">
          <w:rPr>
            <w:rStyle w:val="Hyperlink"/>
            <w:bCs/>
            <w:noProof/>
            <w:w w:val="105"/>
            <w:lang w:val="fr-CH"/>
          </w:rPr>
          <w:t xml:space="preserve">ANNEX </w:t>
        </w:r>
        <w:r w:rsidR="00F047CD" w:rsidRPr="006C7AC9">
          <w:rPr>
            <w:rStyle w:val="Hyperlink"/>
            <w:bCs/>
            <w:noProof/>
            <w:w w:val="105"/>
            <w:lang w:val="fr-CH"/>
          </w:rPr>
          <w:t>B</w:t>
        </w:r>
        <w:r w:rsidR="008A0BF3" w:rsidRPr="006C7AC9">
          <w:rPr>
            <w:rStyle w:val="Hyperlink"/>
            <w:bCs/>
            <w:noProof/>
            <w:w w:val="105"/>
            <w:lang w:val="fr-CH"/>
          </w:rPr>
          <w:t>4</w:t>
        </w:r>
        <w:r w:rsidR="00323967" w:rsidRPr="006C7AC9">
          <w:rPr>
            <w:noProof/>
            <w:webHidden/>
            <w:lang w:val="fr-CH"/>
          </w:rPr>
          <w:tab/>
        </w:r>
        <w:r w:rsidR="000A12B9" w:rsidRPr="006C7AC9">
          <w:rPr>
            <w:noProof/>
            <w:webHidden/>
            <w:lang w:val="fr-CH"/>
          </w:rPr>
          <w:t>8</w:t>
        </w:r>
      </w:hyperlink>
      <w:r w:rsidR="00845FE2">
        <w:rPr>
          <w:noProof/>
          <w:lang w:val="fr-CH"/>
        </w:rPr>
        <w:t>2</w:t>
      </w:r>
    </w:p>
    <w:p w:rsidR="00323967" w:rsidRPr="006C7AC9" w:rsidRDefault="007C640D" w:rsidP="00845FE2">
      <w:pPr>
        <w:pStyle w:val="TOC1"/>
        <w:spacing w:before="200"/>
        <w:rPr>
          <w:rFonts w:eastAsia="SimSun" w:cs="Arial"/>
          <w:noProof/>
          <w:sz w:val="22"/>
          <w:szCs w:val="22"/>
          <w:lang w:val="fr-CH" w:eastAsia="zh-CN"/>
        </w:rPr>
      </w:pPr>
      <w:hyperlink w:anchor="_Toc357006009" w:history="1">
        <w:r w:rsidR="00323967" w:rsidRPr="006C7AC9">
          <w:rPr>
            <w:rStyle w:val="Hyperlink"/>
            <w:bCs/>
            <w:noProof/>
            <w:w w:val="105"/>
            <w:lang w:val="fr-CH"/>
          </w:rPr>
          <w:t xml:space="preserve">ANNEX </w:t>
        </w:r>
        <w:r w:rsidR="00F047CD" w:rsidRPr="006C7AC9">
          <w:rPr>
            <w:rStyle w:val="Hyperlink"/>
            <w:bCs/>
            <w:noProof/>
            <w:w w:val="105"/>
            <w:lang w:val="fr-CH"/>
          </w:rPr>
          <w:t>B</w:t>
        </w:r>
        <w:r w:rsidR="008A0BF3" w:rsidRPr="006C7AC9">
          <w:rPr>
            <w:rStyle w:val="Hyperlink"/>
            <w:bCs/>
            <w:noProof/>
            <w:w w:val="105"/>
            <w:lang w:val="fr-CH"/>
          </w:rPr>
          <w:t>5</w:t>
        </w:r>
        <w:r w:rsidR="00323967" w:rsidRPr="006C7AC9">
          <w:rPr>
            <w:noProof/>
            <w:webHidden/>
            <w:lang w:val="fr-CH"/>
          </w:rPr>
          <w:tab/>
        </w:r>
      </w:hyperlink>
      <w:r w:rsidR="00FB5FC7" w:rsidRPr="006C7AC9">
        <w:rPr>
          <w:noProof/>
          <w:lang w:val="fr-CH"/>
        </w:rPr>
        <w:t>8</w:t>
      </w:r>
      <w:r w:rsidR="00845FE2">
        <w:rPr>
          <w:noProof/>
          <w:lang w:val="fr-CH"/>
        </w:rPr>
        <w:t>3</w:t>
      </w:r>
    </w:p>
    <w:p w:rsidR="00323967" w:rsidRPr="006C7AC9" w:rsidRDefault="007C640D" w:rsidP="00845FE2">
      <w:pPr>
        <w:pStyle w:val="TOC1"/>
        <w:spacing w:before="200"/>
        <w:rPr>
          <w:noProof/>
          <w:lang w:val="fr-CH"/>
        </w:rPr>
      </w:pPr>
      <w:hyperlink w:anchor="_Toc357006011" w:history="1">
        <w:r w:rsidR="00323967" w:rsidRPr="006C7AC9">
          <w:rPr>
            <w:rStyle w:val="Hyperlink"/>
            <w:bCs/>
            <w:noProof/>
            <w:w w:val="105"/>
            <w:lang w:val="fr-CH"/>
          </w:rPr>
          <w:t xml:space="preserve">ANNEX </w:t>
        </w:r>
        <w:r w:rsidR="00F047CD" w:rsidRPr="006C7AC9">
          <w:rPr>
            <w:rStyle w:val="Hyperlink"/>
            <w:bCs/>
            <w:noProof/>
            <w:w w:val="105"/>
            <w:lang w:val="fr-CH"/>
          </w:rPr>
          <w:t>B</w:t>
        </w:r>
        <w:r w:rsidR="004037B0" w:rsidRPr="006C7AC9">
          <w:rPr>
            <w:rStyle w:val="Hyperlink"/>
            <w:bCs/>
            <w:noProof/>
            <w:w w:val="105"/>
            <w:lang w:val="fr-CH"/>
          </w:rPr>
          <w:t>6</w:t>
        </w:r>
        <w:r w:rsidR="008A0BF3" w:rsidRPr="006C7AC9">
          <w:rPr>
            <w:rStyle w:val="Hyperlink"/>
            <w:bCs/>
            <w:noProof/>
            <w:w w:val="105"/>
            <w:lang w:val="fr-CH"/>
          </w:rPr>
          <w:tab/>
        </w:r>
      </w:hyperlink>
      <w:r w:rsidR="00845FE2">
        <w:rPr>
          <w:rStyle w:val="Hyperlink"/>
          <w:bCs/>
          <w:noProof/>
          <w:color w:val="auto"/>
          <w:w w:val="105"/>
          <w:u w:val="none"/>
          <w:lang w:val="fr-CH"/>
        </w:rPr>
        <w:t>89</w:t>
      </w:r>
    </w:p>
    <w:p w:rsidR="00323967" w:rsidRPr="006C7AC9" w:rsidRDefault="007C640D" w:rsidP="00845FE2">
      <w:pPr>
        <w:pStyle w:val="TOC1"/>
        <w:spacing w:before="200"/>
        <w:rPr>
          <w:rStyle w:val="Hyperlink"/>
          <w:noProof/>
          <w:color w:val="auto"/>
          <w:u w:val="none"/>
          <w:lang w:val="fr-CH"/>
        </w:rPr>
      </w:pPr>
      <w:hyperlink w:anchor="_Toc357006012" w:history="1">
        <w:r w:rsidR="00323967" w:rsidRPr="006C7AC9">
          <w:rPr>
            <w:rStyle w:val="Hyperlink"/>
            <w:noProof/>
            <w:lang w:val="fr-CH"/>
          </w:rPr>
          <w:t>ANNEX</w:t>
        </w:r>
        <w:r w:rsidR="00B75881" w:rsidRPr="006C7AC9">
          <w:rPr>
            <w:rStyle w:val="Hyperlink"/>
            <w:noProof/>
            <w:lang w:val="fr-CH"/>
          </w:rPr>
          <w:t xml:space="preserve"> </w:t>
        </w:r>
        <w:r w:rsidR="00F047CD" w:rsidRPr="006C7AC9">
          <w:rPr>
            <w:rStyle w:val="Hyperlink"/>
            <w:noProof/>
            <w:lang w:val="fr-CH"/>
          </w:rPr>
          <w:t>B</w:t>
        </w:r>
        <w:r w:rsidR="004037B0" w:rsidRPr="006C7AC9">
          <w:rPr>
            <w:rStyle w:val="Hyperlink"/>
            <w:noProof/>
            <w:lang w:val="fr-CH"/>
          </w:rPr>
          <w:t>7</w:t>
        </w:r>
        <w:r w:rsidR="00B75881" w:rsidRPr="006C7AC9">
          <w:rPr>
            <w:rStyle w:val="Hyperlink"/>
            <w:noProof/>
            <w:lang w:val="fr-CH"/>
          </w:rPr>
          <w:tab/>
        </w:r>
      </w:hyperlink>
      <w:r w:rsidR="00845FE2">
        <w:rPr>
          <w:rStyle w:val="Hyperlink"/>
          <w:noProof/>
          <w:color w:val="auto"/>
          <w:u w:val="none"/>
          <w:lang w:val="fr-CH"/>
        </w:rPr>
        <w:t>93</w:t>
      </w:r>
    </w:p>
    <w:p w:rsidR="00807EA7" w:rsidRPr="00F047CD" w:rsidRDefault="00807EA7" w:rsidP="00845FE2">
      <w:pPr>
        <w:pStyle w:val="TOC1"/>
        <w:spacing w:before="200"/>
        <w:rPr>
          <w:rStyle w:val="Hyperlink"/>
          <w:noProof/>
          <w:color w:val="auto"/>
          <w:u w:val="none"/>
          <w:lang w:val="fr-CH"/>
        </w:rPr>
      </w:pPr>
      <w:r w:rsidRPr="00F047CD">
        <w:rPr>
          <w:rStyle w:val="Hyperlink"/>
          <w:noProof/>
          <w:color w:val="auto"/>
          <w:u w:val="none"/>
          <w:lang w:val="fr-CH"/>
        </w:rPr>
        <w:t xml:space="preserve">ANNEX </w:t>
      </w:r>
      <w:r w:rsidR="00F047CD" w:rsidRPr="00F047CD">
        <w:rPr>
          <w:rStyle w:val="Hyperlink"/>
          <w:noProof/>
          <w:color w:val="auto"/>
          <w:u w:val="none"/>
          <w:lang w:val="fr-CH"/>
        </w:rPr>
        <w:t>B</w:t>
      </w:r>
      <w:r w:rsidRPr="00F047CD">
        <w:rPr>
          <w:rStyle w:val="Hyperlink"/>
          <w:noProof/>
          <w:color w:val="auto"/>
          <w:u w:val="none"/>
          <w:lang w:val="fr-CH"/>
        </w:rPr>
        <w:t>8</w:t>
      </w:r>
      <w:r w:rsidRPr="00F047CD">
        <w:rPr>
          <w:rStyle w:val="Hyperlink"/>
          <w:noProof/>
          <w:color w:val="auto"/>
          <w:u w:val="none"/>
          <w:lang w:val="fr-CH"/>
        </w:rPr>
        <w:tab/>
      </w:r>
      <w:r w:rsidR="00845FE2">
        <w:rPr>
          <w:rStyle w:val="Hyperlink"/>
          <w:noProof/>
          <w:color w:val="auto"/>
          <w:u w:val="none"/>
          <w:lang w:val="fr-CH"/>
        </w:rPr>
        <w:t>94</w:t>
      </w:r>
    </w:p>
    <w:p w:rsidR="00E53A79" w:rsidRPr="00F047CD" w:rsidRDefault="00E53A79" w:rsidP="00845FE2">
      <w:pPr>
        <w:pStyle w:val="TOC1"/>
        <w:spacing w:before="200"/>
        <w:rPr>
          <w:rStyle w:val="Hyperlink"/>
          <w:noProof/>
          <w:color w:val="auto"/>
          <w:u w:val="none"/>
          <w:lang w:val="fr-CH"/>
        </w:rPr>
      </w:pPr>
      <w:r w:rsidRPr="00F047CD">
        <w:rPr>
          <w:rStyle w:val="Hyperlink"/>
          <w:noProof/>
          <w:color w:val="auto"/>
          <w:u w:val="none"/>
          <w:lang w:val="fr-CH"/>
        </w:rPr>
        <w:t xml:space="preserve">ANNEX </w:t>
      </w:r>
      <w:r w:rsidR="00F047CD" w:rsidRPr="00F047CD">
        <w:rPr>
          <w:rStyle w:val="Hyperlink"/>
          <w:noProof/>
          <w:color w:val="auto"/>
          <w:u w:val="none"/>
          <w:lang w:val="fr-CH"/>
        </w:rPr>
        <w:t>C</w:t>
      </w:r>
      <w:r w:rsidR="00D525D5" w:rsidRPr="00F047CD">
        <w:rPr>
          <w:rStyle w:val="Hyperlink"/>
          <w:noProof/>
          <w:color w:val="auto"/>
          <w:u w:val="none"/>
          <w:lang w:val="fr-CH"/>
        </w:rPr>
        <w:tab/>
      </w:r>
      <w:r w:rsidR="00D525D5">
        <w:rPr>
          <w:rStyle w:val="Hyperlink"/>
          <w:noProof/>
          <w:color w:val="auto"/>
          <w:u w:val="none"/>
          <w:lang w:val="fr-CH"/>
        </w:rPr>
        <w:tab/>
      </w:r>
      <w:r w:rsidR="00845FE2">
        <w:rPr>
          <w:rStyle w:val="Hyperlink"/>
          <w:noProof/>
          <w:color w:val="auto"/>
          <w:u w:val="none"/>
          <w:lang w:val="fr-CH"/>
        </w:rPr>
        <w:t>95</w:t>
      </w:r>
    </w:p>
    <w:p w:rsidR="00E53A79" w:rsidRPr="003A3104" w:rsidRDefault="00E53A79" w:rsidP="00845FE2">
      <w:pPr>
        <w:pStyle w:val="TOC1"/>
        <w:spacing w:before="200"/>
        <w:rPr>
          <w:rStyle w:val="Hyperlink"/>
          <w:noProof/>
          <w:color w:val="auto"/>
          <w:u w:val="none"/>
          <w:lang w:val="fr-CH"/>
        </w:rPr>
      </w:pPr>
      <w:r w:rsidRPr="003A3104">
        <w:rPr>
          <w:rStyle w:val="Hyperlink"/>
          <w:noProof/>
          <w:color w:val="auto"/>
          <w:u w:val="none"/>
          <w:lang w:val="fr-CH"/>
        </w:rPr>
        <w:t xml:space="preserve">ANNEX </w:t>
      </w:r>
      <w:r w:rsidR="00F047CD" w:rsidRPr="003A3104">
        <w:rPr>
          <w:rStyle w:val="Hyperlink"/>
          <w:noProof/>
          <w:color w:val="auto"/>
          <w:u w:val="none"/>
          <w:lang w:val="fr-CH"/>
        </w:rPr>
        <w:t>D</w:t>
      </w:r>
      <w:r w:rsidR="00D525D5" w:rsidRPr="003A3104">
        <w:rPr>
          <w:rStyle w:val="Hyperlink"/>
          <w:noProof/>
          <w:color w:val="auto"/>
          <w:u w:val="none"/>
          <w:lang w:val="fr-CH"/>
        </w:rPr>
        <w:tab/>
      </w:r>
      <w:r w:rsidR="00D525D5" w:rsidRPr="003A3104">
        <w:rPr>
          <w:rStyle w:val="Hyperlink"/>
          <w:noProof/>
          <w:color w:val="auto"/>
          <w:u w:val="none"/>
          <w:lang w:val="fr-CH"/>
        </w:rPr>
        <w:tab/>
      </w:r>
      <w:r w:rsidRPr="003A3104">
        <w:rPr>
          <w:rStyle w:val="Hyperlink"/>
          <w:noProof/>
          <w:color w:val="auto"/>
          <w:u w:val="none"/>
          <w:lang w:val="fr-CH"/>
        </w:rPr>
        <w:t>10</w:t>
      </w:r>
      <w:r w:rsidR="00845FE2">
        <w:rPr>
          <w:rStyle w:val="Hyperlink"/>
          <w:noProof/>
          <w:color w:val="auto"/>
          <w:u w:val="none"/>
          <w:lang w:val="fr-CH"/>
        </w:rPr>
        <w:t>7</w:t>
      </w:r>
    </w:p>
    <w:p w:rsidR="004037B0" w:rsidRPr="003A3104" w:rsidRDefault="004037B0" w:rsidP="00845FE2">
      <w:pPr>
        <w:pStyle w:val="TOC1"/>
        <w:spacing w:before="200"/>
        <w:rPr>
          <w:rStyle w:val="Hyperlink"/>
          <w:noProof/>
          <w:color w:val="auto"/>
          <w:u w:val="none"/>
          <w:lang w:val="fr-CH"/>
        </w:rPr>
      </w:pPr>
      <w:r w:rsidRPr="003A3104">
        <w:rPr>
          <w:rStyle w:val="Hyperlink"/>
          <w:noProof/>
          <w:color w:val="auto"/>
          <w:u w:val="none"/>
          <w:lang w:val="fr-CH"/>
        </w:rPr>
        <w:t xml:space="preserve">ANNEX </w:t>
      </w:r>
      <w:r w:rsidR="00F047CD" w:rsidRPr="003A3104">
        <w:rPr>
          <w:rStyle w:val="Hyperlink"/>
          <w:noProof/>
          <w:color w:val="auto"/>
          <w:u w:val="none"/>
          <w:lang w:val="fr-CH"/>
        </w:rPr>
        <w:t>E</w:t>
      </w:r>
      <w:r w:rsidR="00D525D5" w:rsidRPr="00F047CD">
        <w:rPr>
          <w:rStyle w:val="Hyperlink"/>
          <w:noProof/>
          <w:color w:val="auto"/>
          <w:u w:val="none"/>
          <w:lang w:val="fr-CH"/>
        </w:rPr>
        <w:tab/>
      </w:r>
      <w:r w:rsidR="00D525D5">
        <w:rPr>
          <w:rStyle w:val="Hyperlink"/>
          <w:noProof/>
          <w:color w:val="auto"/>
          <w:u w:val="none"/>
          <w:lang w:val="fr-CH"/>
        </w:rPr>
        <w:tab/>
      </w:r>
      <w:r w:rsidRPr="003A3104">
        <w:rPr>
          <w:rStyle w:val="Hyperlink"/>
          <w:noProof/>
          <w:color w:val="auto"/>
          <w:u w:val="none"/>
          <w:lang w:val="fr-CH"/>
        </w:rPr>
        <w:t>1</w:t>
      </w:r>
      <w:r w:rsidR="006C7AC9" w:rsidRPr="003A3104">
        <w:rPr>
          <w:rStyle w:val="Hyperlink"/>
          <w:noProof/>
          <w:color w:val="auto"/>
          <w:u w:val="none"/>
          <w:lang w:val="fr-CH"/>
        </w:rPr>
        <w:t>1</w:t>
      </w:r>
      <w:r w:rsidR="00845FE2">
        <w:rPr>
          <w:rStyle w:val="Hyperlink"/>
          <w:noProof/>
          <w:color w:val="auto"/>
          <w:u w:val="none"/>
          <w:lang w:val="fr-CH"/>
        </w:rPr>
        <w:t>0</w:t>
      </w:r>
    </w:p>
    <w:p w:rsidR="00E1539E" w:rsidRPr="003A3104" w:rsidRDefault="00E1539E" w:rsidP="00D525D5">
      <w:pPr>
        <w:tabs>
          <w:tab w:val="clear" w:pos="567"/>
          <w:tab w:val="clear" w:pos="1134"/>
          <w:tab w:val="clear" w:pos="1701"/>
          <w:tab w:val="clear" w:pos="2268"/>
          <w:tab w:val="clear" w:pos="2835"/>
        </w:tabs>
        <w:overflowPunct/>
        <w:autoSpaceDE/>
        <w:autoSpaceDN/>
        <w:adjustRightInd/>
        <w:spacing w:before="200"/>
        <w:textAlignment w:val="auto"/>
        <w:rPr>
          <w:rStyle w:val="Hyperlink"/>
          <w:noProof/>
          <w:color w:val="auto"/>
          <w:sz w:val="16"/>
          <w:szCs w:val="16"/>
          <w:u w:val="none"/>
          <w:lang w:val="fr-CH"/>
        </w:rPr>
      </w:pPr>
      <w:r w:rsidRPr="003A3104">
        <w:rPr>
          <w:rStyle w:val="Hyperlink"/>
          <w:noProof/>
          <w:color w:val="auto"/>
          <w:sz w:val="16"/>
          <w:szCs w:val="16"/>
          <w:u w:val="none"/>
          <w:lang w:val="fr-CH"/>
        </w:rPr>
        <w:br w:type="page"/>
      </w:r>
    </w:p>
    <w:p w:rsidR="00D525D5" w:rsidRPr="003A3104" w:rsidRDefault="0022373A" w:rsidP="00EF2493">
      <w:pPr>
        <w:pStyle w:val="TOC1"/>
        <w:snapToGrid w:val="0"/>
        <w:spacing w:before="0"/>
        <w:rPr>
          <w:rFonts w:cs="Palatino Linotype"/>
          <w:w w:val="105"/>
          <w:sz w:val="16"/>
          <w:szCs w:val="16"/>
          <w:lang w:val="fr-CH"/>
        </w:rPr>
      </w:pPr>
      <w:r w:rsidRPr="00A858C8">
        <w:rPr>
          <w:rFonts w:cs="Palatino Linotype"/>
          <w:w w:val="105"/>
          <w:lang w:val="en-US"/>
        </w:rPr>
        <w:fldChar w:fldCharType="end"/>
      </w:r>
      <w:bookmarkStart w:id="11" w:name="_Toc357005994"/>
    </w:p>
    <w:p w:rsidR="0022373A" w:rsidRDefault="0022373A" w:rsidP="00EF2493">
      <w:pPr>
        <w:pStyle w:val="TOC1"/>
        <w:snapToGrid w:val="0"/>
        <w:spacing w:before="0"/>
        <w:rPr>
          <w:w w:val="105"/>
          <w:sz w:val="28"/>
          <w:szCs w:val="28"/>
          <w:lang w:val="en-US"/>
        </w:rPr>
      </w:pPr>
      <w:r w:rsidRPr="001C2A98">
        <w:rPr>
          <w:w w:val="105"/>
          <w:sz w:val="28"/>
          <w:szCs w:val="28"/>
          <w:lang w:val="en-US"/>
        </w:rPr>
        <w:t>Foreword by the Secretary-General</w:t>
      </w:r>
      <w:bookmarkEnd w:id="11"/>
    </w:p>
    <w:p w:rsidR="00AA4485" w:rsidRPr="004B707A" w:rsidRDefault="00AA4485" w:rsidP="002762FD">
      <w:pPr>
        <w:pStyle w:val="TOC1"/>
        <w:snapToGrid w:val="0"/>
        <w:spacing w:before="0"/>
        <w:rPr>
          <w:szCs w:val="24"/>
          <w:lang w:val="en-US"/>
        </w:rPr>
      </w:pPr>
    </w:p>
    <w:p w:rsidR="0022373A" w:rsidRDefault="0022373A" w:rsidP="007F5A01">
      <w:pPr>
        <w:pStyle w:val="ListParagraph"/>
        <w:numPr>
          <w:ilvl w:val="0"/>
          <w:numId w:val="6"/>
        </w:numPr>
        <w:tabs>
          <w:tab w:val="left" w:pos="709"/>
        </w:tabs>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 xml:space="preserve">I have the </w:t>
      </w:r>
      <w:r w:rsidR="000267BA" w:rsidRPr="00ED1CDA">
        <w:rPr>
          <w:rFonts w:ascii="Calibri" w:eastAsia="Times New Roman" w:hAnsi="Calibri"/>
          <w:szCs w:val="20"/>
          <w:lang w:eastAsia="en-US"/>
        </w:rPr>
        <w:t>honor</w:t>
      </w:r>
      <w:r w:rsidRPr="00ED1CDA">
        <w:rPr>
          <w:rFonts w:ascii="Calibri" w:eastAsia="Times New Roman" w:hAnsi="Calibri"/>
          <w:szCs w:val="20"/>
          <w:lang w:eastAsia="en-US"/>
        </w:rPr>
        <w:t xml:space="preserve"> to present to the Council for </w:t>
      </w:r>
      <w:r w:rsidR="00FA34A4">
        <w:rPr>
          <w:rFonts w:ascii="Calibri" w:eastAsia="Times New Roman" w:hAnsi="Calibri"/>
          <w:szCs w:val="20"/>
          <w:lang w:eastAsia="en-US"/>
        </w:rPr>
        <w:t>examination</w:t>
      </w:r>
      <w:r w:rsidRPr="00ED1CDA">
        <w:rPr>
          <w:rFonts w:ascii="Calibri" w:eastAsia="Times New Roman" w:hAnsi="Calibri"/>
          <w:szCs w:val="20"/>
          <w:lang w:eastAsia="en-US"/>
        </w:rPr>
        <w:t>, in accordance with Article 30 of the Financial Regulations of the Union</w:t>
      </w:r>
      <w:r w:rsidR="000267BA" w:rsidRPr="00ED1CDA">
        <w:rPr>
          <w:rFonts w:ascii="Calibri" w:eastAsia="Times New Roman" w:hAnsi="Calibri"/>
          <w:szCs w:val="20"/>
          <w:lang w:eastAsia="en-US"/>
        </w:rPr>
        <w:t xml:space="preserve"> </w:t>
      </w:r>
      <w:r w:rsidR="000267BA" w:rsidRPr="00ED1CDA">
        <w:rPr>
          <w:rFonts w:ascii="Calibri" w:eastAsia="Times New Roman" w:hAnsi="Calibri"/>
          <w:szCs w:val="20"/>
          <w:lang w:eastAsia="en-US"/>
        </w:rPr>
        <w:sym w:font="Symbol" w:char="F02D"/>
      </w:r>
      <w:r w:rsidR="000267BA" w:rsidRPr="00ED1CDA">
        <w:rPr>
          <w:rFonts w:ascii="Calibri" w:eastAsia="Times New Roman" w:hAnsi="Calibri"/>
          <w:szCs w:val="20"/>
          <w:lang w:eastAsia="en-US"/>
        </w:rPr>
        <w:t xml:space="preserve"> </w:t>
      </w:r>
      <w:r w:rsidR="008C6139">
        <w:rPr>
          <w:rFonts w:ascii="Calibri" w:eastAsia="Times New Roman" w:hAnsi="Calibri"/>
          <w:szCs w:val="20"/>
          <w:lang w:eastAsia="en-US"/>
        </w:rPr>
        <w:t>Edition 2010, t</w:t>
      </w:r>
      <w:r w:rsidR="000267BA" w:rsidRPr="00ED1CDA">
        <w:rPr>
          <w:rFonts w:ascii="Calibri" w:eastAsia="Times New Roman" w:hAnsi="Calibri"/>
          <w:szCs w:val="20"/>
          <w:lang w:eastAsia="en-US"/>
        </w:rPr>
        <w:t>he</w:t>
      </w:r>
      <w:r w:rsidRPr="00ED1CDA">
        <w:rPr>
          <w:rFonts w:ascii="Calibri" w:eastAsia="Times New Roman" w:hAnsi="Calibri"/>
          <w:szCs w:val="20"/>
          <w:lang w:eastAsia="en-US"/>
        </w:rPr>
        <w:t xml:space="preserve"> </w:t>
      </w:r>
      <w:r w:rsidR="00EA6CD7">
        <w:rPr>
          <w:rFonts w:ascii="Calibri" w:eastAsia="Times New Roman" w:hAnsi="Calibri"/>
          <w:szCs w:val="20"/>
          <w:lang w:eastAsia="en-US"/>
        </w:rPr>
        <w:t xml:space="preserve">unaudited </w:t>
      </w:r>
      <w:r w:rsidRPr="00ED1CDA">
        <w:rPr>
          <w:rFonts w:ascii="Calibri" w:eastAsia="Times New Roman" w:hAnsi="Calibri"/>
          <w:szCs w:val="20"/>
          <w:lang w:eastAsia="en-US"/>
        </w:rPr>
        <w:t xml:space="preserve">financial statements for the financial year </w:t>
      </w:r>
      <w:r w:rsidR="00102375" w:rsidRPr="00ED1CDA">
        <w:rPr>
          <w:rFonts w:ascii="Calibri" w:eastAsia="Times New Roman" w:hAnsi="Calibri"/>
          <w:szCs w:val="20"/>
          <w:lang w:eastAsia="en-US"/>
        </w:rPr>
        <w:t xml:space="preserve">which closed on 31 December </w:t>
      </w:r>
      <w:r w:rsidR="00111BDD" w:rsidRPr="00ED1CDA">
        <w:rPr>
          <w:rFonts w:ascii="Calibri" w:eastAsia="Times New Roman" w:hAnsi="Calibri"/>
          <w:szCs w:val="20"/>
          <w:lang w:eastAsia="en-US"/>
        </w:rPr>
        <w:t>201</w:t>
      </w:r>
      <w:r w:rsidR="007F5A01">
        <w:rPr>
          <w:rFonts w:ascii="Calibri" w:eastAsia="Times New Roman" w:hAnsi="Calibri"/>
          <w:szCs w:val="20"/>
          <w:lang w:eastAsia="en-US"/>
        </w:rPr>
        <w:t>8</w:t>
      </w:r>
      <w:r w:rsidRPr="00ED1CDA">
        <w:rPr>
          <w:rFonts w:ascii="Calibri" w:eastAsia="Times New Roman" w:hAnsi="Calibri"/>
          <w:szCs w:val="20"/>
          <w:lang w:eastAsia="en-US"/>
        </w:rPr>
        <w:t>.</w:t>
      </w:r>
    </w:p>
    <w:p w:rsidR="00F443CC" w:rsidRDefault="00F443CC" w:rsidP="00C841E9">
      <w:pPr>
        <w:pStyle w:val="ListParagraph"/>
        <w:tabs>
          <w:tab w:val="left" w:pos="851"/>
        </w:tabs>
        <w:snapToGrid w:val="0"/>
        <w:ind w:left="0"/>
        <w:contextualSpacing w:val="0"/>
        <w:jc w:val="both"/>
        <w:rPr>
          <w:rFonts w:ascii="Calibri" w:eastAsia="Times New Roman" w:hAnsi="Calibri"/>
          <w:szCs w:val="20"/>
          <w:lang w:eastAsia="en-US"/>
        </w:rPr>
      </w:pPr>
    </w:p>
    <w:p w:rsidR="0022373A" w:rsidRPr="00966288" w:rsidRDefault="0022373A" w:rsidP="007F5A01">
      <w:pPr>
        <w:pStyle w:val="ListParagraph"/>
        <w:numPr>
          <w:ilvl w:val="0"/>
          <w:numId w:val="6"/>
        </w:numPr>
        <w:tabs>
          <w:tab w:val="left" w:pos="709"/>
        </w:tabs>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The Report of the External Auditor on the financ</w:t>
      </w:r>
      <w:r w:rsidR="00102375" w:rsidRPr="00ED1CDA">
        <w:rPr>
          <w:rFonts w:ascii="Calibri" w:eastAsia="Times New Roman" w:hAnsi="Calibri"/>
          <w:szCs w:val="20"/>
          <w:lang w:eastAsia="en-US"/>
        </w:rPr>
        <w:t xml:space="preserve">ial statements for </w:t>
      </w:r>
      <w:r w:rsidR="00111BDD" w:rsidRPr="00ED1CDA">
        <w:rPr>
          <w:rFonts w:ascii="Calibri" w:eastAsia="Times New Roman" w:hAnsi="Calibri"/>
          <w:szCs w:val="20"/>
          <w:lang w:eastAsia="en-US"/>
        </w:rPr>
        <w:t>201</w:t>
      </w:r>
      <w:r w:rsidR="007F5A01">
        <w:rPr>
          <w:rFonts w:ascii="Calibri" w:eastAsia="Times New Roman" w:hAnsi="Calibri"/>
          <w:szCs w:val="20"/>
          <w:lang w:eastAsia="en-US"/>
        </w:rPr>
        <w:t>8</w:t>
      </w:r>
      <w:r w:rsidRPr="00ED1CDA">
        <w:rPr>
          <w:rFonts w:ascii="Calibri" w:eastAsia="Times New Roman" w:hAnsi="Calibri"/>
          <w:szCs w:val="20"/>
          <w:lang w:eastAsia="en-US"/>
        </w:rPr>
        <w:t xml:space="preserve">, as well as his opinion on the financial statements, as required by Article 28 of, and Annex 1 to, the Financial Regulations of the Union, </w:t>
      </w:r>
      <w:r w:rsidR="007F5A01" w:rsidRPr="00ED1CDA">
        <w:rPr>
          <w:rFonts w:ascii="Calibri" w:eastAsia="Times New Roman" w:hAnsi="Calibri"/>
          <w:szCs w:val="20"/>
          <w:lang w:eastAsia="en-US"/>
        </w:rPr>
        <w:t>will also be submitted to the Council in a separate document</w:t>
      </w:r>
      <w:r w:rsidR="007F5A01">
        <w:rPr>
          <w:rFonts w:ascii="Calibri" w:eastAsia="Times New Roman" w:hAnsi="Calibri"/>
          <w:szCs w:val="20"/>
          <w:lang w:eastAsia="en-US"/>
        </w:rPr>
        <w:t>.</w:t>
      </w:r>
    </w:p>
    <w:p w:rsidR="00F443CC" w:rsidRPr="00ED1CDA" w:rsidRDefault="00F443CC" w:rsidP="00C841E9">
      <w:pPr>
        <w:pStyle w:val="ListParagraph"/>
        <w:tabs>
          <w:tab w:val="left" w:pos="851"/>
        </w:tabs>
        <w:snapToGrid w:val="0"/>
        <w:ind w:left="0"/>
        <w:contextualSpacing w:val="0"/>
        <w:jc w:val="both"/>
        <w:rPr>
          <w:rFonts w:ascii="Calibri" w:eastAsia="Times New Roman" w:hAnsi="Calibri"/>
          <w:szCs w:val="20"/>
          <w:lang w:eastAsia="en-US"/>
        </w:rPr>
      </w:pPr>
    </w:p>
    <w:p w:rsidR="00F443CC" w:rsidRDefault="000267BA" w:rsidP="007F5A01">
      <w:pPr>
        <w:pStyle w:val="ListParagraph"/>
        <w:numPr>
          <w:ilvl w:val="0"/>
          <w:numId w:val="6"/>
        </w:numPr>
        <w:tabs>
          <w:tab w:val="left" w:pos="709"/>
        </w:tabs>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The 201</w:t>
      </w:r>
      <w:r w:rsidR="007F5A01">
        <w:rPr>
          <w:rFonts w:ascii="Calibri" w:eastAsia="Times New Roman" w:hAnsi="Calibri"/>
          <w:szCs w:val="20"/>
          <w:lang w:eastAsia="en-US"/>
        </w:rPr>
        <w:t>8</w:t>
      </w:r>
      <w:r w:rsidRPr="00ED1CDA">
        <w:rPr>
          <w:rFonts w:ascii="Calibri" w:eastAsia="Times New Roman" w:hAnsi="Calibri"/>
          <w:szCs w:val="20"/>
          <w:lang w:eastAsia="en-US"/>
        </w:rPr>
        <w:t xml:space="preserve"> Financial Statements have been prepared in accordance with the International Public Sector Accounting Standards (IPSAS). The Financial Regulations </w:t>
      </w:r>
      <w:r w:rsidR="004B707A">
        <w:rPr>
          <w:rFonts w:ascii="Calibri" w:eastAsia="Times New Roman" w:hAnsi="Calibri"/>
          <w:szCs w:val="20"/>
          <w:lang w:eastAsia="en-US"/>
        </w:rPr>
        <w:t xml:space="preserve">stipulate </w:t>
      </w:r>
      <w:r w:rsidRPr="00ED1CDA">
        <w:rPr>
          <w:rFonts w:ascii="Calibri" w:eastAsia="Times New Roman" w:hAnsi="Calibri"/>
          <w:szCs w:val="20"/>
          <w:lang w:eastAsia="en-US"/>
        </w:rPr>
        <w:t xml:space="preserve">a biennial </w:t>
      </w:r>
      <w:r w:rsidR="0062532D">
        <w:rPr>
          <w:rFonts w:ascii="Calibri" w:eastAsia="Times New Roman" w:hAnsi="Calibri"/>
          <w:szCs w:val="20"/>
          <w:lang w:eastAsia="en-US"/>
        </w:rPr>
        <w:t>budgetary</w:t>
      </w:r>
      <w:r w:rsidRPr="00ED1CDA">
        <w:rPr>
          <w:rFonts w:ascii="Calibri" w:eastAsia="Times New Roman" w:hAnsi="Calibri"/>
          <w:szCs w:val="20"/>
          <w:lang w:eastAsia="en-US"/>
        </w:rPr>
        <w:t xml:space="preserve"> period; however for </w:t>
      </w:r>
      <w:r w:rsidR="00DC44AD">
        <w:rPr>
          <w:rFonts w:ascii="Calibri" w:eastAsia="Times New Roman" w:hAnsi="Calibri"/>
          <w:szCs w:val="20"/>
          <w:lang w:eastAsia="en-US"/>
        </w:rPr>
        <w:t>a full implementation of the IPSAS</w:t>
      </w:r>
      <w:r w:rsidRPr="00ED1CDA">
        <w:rPr>
          <w:rFonts w:ascii="Calibri" w:eastAsia="Times New Roman" w:hAnsi="Calibri"/>
          <w:szCs w:val="20"/>
          <w:lang w:eastAsia="en-US"/>
        </w:rPr>
        <w:t xml:space="preserve">, </w:t>
      </w:r>
      <w:r w:rsidR="00DC44AD">
        <w:rPr>
          <w:rFonts w:ascii="Calibri" w:eastAsia="Times New Roman" w:hAnsi="Calibri"/>
          <w:szCs w:val="20"/>
          <w:lang w:eastAsia="en-US"/>
        </w:rPr>
        <w:t>the</w:t>
      </w:r>
      <w:r w:rsidR="00DC44AD" w:rsidRPr="00ED1CDA">
        <w:rPr>
          <w:rFonts w:ascii="Calibri" w:eastAsia="Times New Roman" w:hAnsi="Calibri"/>
          <w:szCs w:val="20"/>
          <w:lang w:eastAsia="en-US"/>
        </w:rPr>
        <w:t xml:space="preserve"> </w:t>
      </w:r>
      <w:r w:rsidRPr="00ED1CDA">
        <w:rPr>
          <w:rFonts w:ascii="Calibri" w:eastAsia="Times New Roman" w:hAnsi="Calibri"/>
          <w:szCs w:val="20"/>
          <w:lang w:eastAsia="en-US"/>
        </w:rPr>
        <w:t xml:space="preserve">financial statements are </w:t>
      </w:r>
      <w:r w:rsidR="000B1E0A" w:rsidRPr="00ED1CDA">
        <w:rPr>
          <w:rFonts w:ascii="Calibri" w:eastAsia="Times New Roman" w:hAnsi="Calibri"/>
          <w:szCs w:val="20"/>
          <w:lang w:eastAsia="en-US"/>
        </w:rPr>
        <w:t>p</w:t>
      </w:r>
      <w:r w:rsidRPr="00ED1CDA">
        <w:rPr>
          <w:rFonts w:ascii="Calibri" w:eastAsia="Times New Roman" w:hAnsi="Calibri"/>
          <w:szCs w:val="20"/>
          <w:lang w:eastAsia="en-US"/>
        </w:rPr>
        <w:t>resented</w:t>
      </w:r>
      <w:r w:rsidR="00DC44AD">
        <w:rPr>
          <w:rFonts w:ascii="Calibri" w:eastAsia="Times New Roman" w:hAnsi="Calibri"/>
          <w:szCs w:val="20"/>
          <w:lang w:eastAsia="en-US"/>
        </w:rPr>
        <w:t xml:space="preserve"> on </w:t>
      </w:r>
      <w:r w:rsidR="008C6139">
        <w:rPr>
          <w:rFonts w:ascii="Calibri" w:eastAsia="Times New Roman" w:hAnsi="Calibri"/>
          <w:szCs w:val="20"/>
          <w:lang w:eastAsia="en-US"/>
        </w:rPr>
        <w:t xml:space="preserve">an </w:t>
      </w:r>
      <w:r w:rsidR="00DC44AD">
        <w:rPr>
          <w:rFonts w:ascii="Calibri" w:eastAsia="Times New Roman" w:hAnsi="Calibri"/>
          <w:szCs w:val="20"/>
          <w:lang w:eastAsia="en-US"/>
        </w:rPr>
        <w:t>annual basis.</w:t>
      </w:r>
    </w:p>
    <w:p w:rsidR="00DC44AD" w:rsidRPr="004B707A" w:rsidRDefault="00DC44AD" w:rsidP="00C841E9">
      <w:pPr>
        <w:tabs>
          <w:tab w:val="left" w:pos="851"/>
        </w:tabs>
        <w:snapToGrid w:val="0"/>
        <w:spacing w:before="0"/>
        <w:rPr>
          <w:lang w:val="en-US"/>
        </w:rPr>
      </w:pPr>
    </w:p>
    <w:p w:rsidR="00451977" w:rsidRPr="00451977" w:rsidRDefault="00DC44AD" w:rsidP="00086335">
      <w:pPr>
        <w:pStyle w:val="ListParagraph"/>
        <w:numPr>
          <w:ilvl w:val="0"/>
          <w:numId w:val="6"/>
        </w:numPr>
        <w:tabs>
          <w:tab w:val="left" w:pos="709"/>
        </w:tabs>
        <w:snapToGrid w:val="0"/>
        <w:ind w:left="0" w:firstLine="0"/>
        <w:contextualSpacing w:val="0"/>
        <w:jc w:val="both"/>
        <w:rPr>
          <w:rFonts w:ascii="Calibri" w:eastAsia="Times New Roman" w:hAnsi="Calibri"/>
          <w:szCs w:val="20"/>
          <w:lang w:eastAsia="en-US"/>
        </w:rPr>
      </w:pPr>
      <w:r w:rsidRPr="00DC44AD">
        <w:rPr>
          <w:rFonts w:ascii="Calibri" w:eastAsia="Times New Roman" w:hAnsi="Calibri"/>
          <w:szCs w:val="20"/>
          <w:lang w:eastAsia="en-US"/>
        </w:rPr>
        <w:t>The 201</w:t>
      </w:r>
      <w:r w:rsidR="007F5A01">
        <w:rPr>
          <w:rFonts w:ascii="Calibri" w:eastAsia="Times New Roman" w:hAnsi="Calibri"/>
          <w:szCs w:val="20"/>
          <w:lang w:eastAsia="en-US"/>
        </w:rPr>
        <w:t>8</w:t>
      </w:r>
      <w:r w:rsidRPr="00DC44AD">
        <w:rPr>
          <w:rFonts w:ascii="Calibri" w:eastAsia="Times New Roman" w:hAnsi="Calibri"/>
          <w:szCs w:val="20"/>
          <w:lang w:eastAsia="en-US"/>
        </w:rPr>
        <w:t xml:space="preserve"> Financial Statements constitute the</w:t>
      </w:r>
      <w:r w:rsidR="00C6572F">
        <w:rPr>
          <w:rFonts w:ascii="Calibri" w:eastAsia="Times New Roman" w:hAnsi="Calibri"/>
          <w:szCs w:val="20"/>
          <w:lang w:eastAsia="en-US"/>
        </w:rPr>
        <w:t xml:space="preserve"> </w:t>
      </w:r>
      <w:r w:rsidR="007F5A01">
        <w:rPr>
          <w:rFonts w:ascii="Calibri" w:eastAsia="Times New Roman" w:hAnsi="Calibri"/>
          <w:szCs w:val="20"/>
          <w:lang w:eastAsia="en-US"/>
        </w:rPr>
        <w:t>tenth</w:t>
      </w:r>
      <w:r w:rsidRPr="00DC44AD">
        <w:rPr>
          <w:rFonts w:ascii="Calibri" w:eastAsia="Times New Roman" w:hAnsi="Calibri"/>
          <w:szCs w:val="20"/>
          <w:lang w:eastAsia="en-US"/>
        </w:rPr>
        <w:t xml:space="preserve"> set of financial statements to have been prepared in accordance with IPSAS.</w:t>
      </w:r>
      <w:r w:rsidR="00925335">
        <w:rPr>
          <w:rFonts w:ascii="Calibri" w:eastAsia="Times New Roman" w:hAnsi="Calibri"/>
          <w:szCs w:val="20"/>
          <w:lang w:eastAsia="en-US"/>
        </w:rPr>
        <w:t xml:space="preserve"> </w:t>
      </w:r>
      <w:r w:rsidR="00451977" w:rsidRPr="00451977">
        <w:rPr>
          <w:rFonts w:ascii="Calibri" w:eastAsia="Times New Roman" w:hAnsi="Calibri"/>
          <w:szCs w:val="20"/>
          <w:lang w:eastAsia="en-US"/>
        </w:rPr>
        <w:t>ITU has applied the IPSAS standards in force at 1 January 201</w:t>
      </w:r>
      <w:r w:rsidR="00086335">
        <w:rPr>
          <w:rFonts w:ascii="Calibri" w:eastAsia="Times New Roman" w:hAnsi="Calibri"/>
          <w:szCs w:val="20"/>
          <w:lang w:eastAsia="en-US"/>
        </w:rPr>
        <w:t>8</w:t>
      </w:r>
      <w:r w:rsidR="00451977" w:rsidRPr="00451977">
        <w:rPr>
          <w:rFonts w:ascii="Calibri" w:eastAsia="Times New Roman" w:hAnsi="Calibri"/>
          <w:szCs w:val="20"/>
          <w:lang w:eastAsia="en-US"/>
        </w:rPr>
        <w:t xml:space="preserve">, and the accounting principles applied are described in Note 2. The only derogation made in the financial statements presented is the non-capitalization of direct </w:t>
      </w:r>
      <w:r w:rsidR="00FA34A4" w:rsidRPr="00451977">
        <w:rPr>
          <w:rFonts w:ascii="Calibri" w:eastAsia="Times New Roman" w:hAnsi="Calibri"/>
          <w:szCs w:val="20"/>
          <w:lang w:eastAsia="en-US"/>
        </w:rPr>
        <w:t>la</w:t>
      </w:r>
      <w:r w:rsidR="00FA34A4">
        <w:rPr>
          <w:rFonts w:ascii="Calibri" w:eastAsia="Times New Roman" w:hAnsi="Calibri"/>
          <w:szCs w:val="20"/>
          <w:lang w:eastAsia="en-US"/>
        </w:rPr>
        <w:t>b</w:t>
      </w:r>
      <w:r w:rsidR="00FA34A4" w:rsidRPr="00451977">
        <w:rPr>
          <w:rFonts w:ascii="Calibri" w:eastAsia="Times New Roman" w:hAnsi="Calibri"/>
          <w:szCs w:val="20"/>
          <w:lang w:eastAsia="en-US"/>
        </w:rPr>
        <w:t>or</w:t>
      </w:r>
      <w:r w:rsidR="00451977" w:rsidRPr="00451977">
        <w:rPr>
          <w:rFonts w:ascii="Calibri" w:eastAsia="Times New Roman" w:hAnsi="Calibri"/>
          <w:szCs w:val="20"/>
          <w:lang w:eastAsia="en-US"/>
        </w:rPr>
        <w:t xml:space="preserve"> costs in the valuation of publication, contrary to the requirements of IPSAS 12. The capitalization of </w:t>
      </w:r>
      <w:r w:rsidR="00FA34A4" w:rsidRPr="00451977">
        <w:rPr>
          <w:rFonts w:ascii="Calibri" w:eastAsia="Times New Roman" w:hAnsi="Calibri"/>
          <w:szCs w:val="20"/>
          <w:lang w:eastAsia="en-US"/>
        </w:rPr>
        <w:t>labor</w:t>
      </w:r>
      <w:r w:rsidR="00451977" w:rsidRPr="00451977">
        <w:rPr>
          <w:rFonts w:ascii="Calibri" w:eastAsia="Times New Roman" w:hAnsi="Calibri"/>
          <w:szCs w:val="20"/>
          <w:lang w:eastAsia="en-US"/>
        </w:rPr>
        <w:t xml:space="preserve"> costs might result in a valuation of publications significantly above net realizable value based on current publication pricing and thus in an impairment to apply the lower of cost or net realizable value, respectively current replacement cost.</w:t>
      </w:r>
    </w:p>
    <w:p w:rsidR="00F443CC" w:rsidRPr="00F443CC" w:rsidRDefault="00F443CC" w:rsidP="00C841E9">
      <w:pPr>
        <w:pStyle w:val="ListParagraph"/>
        <w:tabs>
          <w:tab w:val="left" w:pos="851"/>
        </w:tabs>
        <w:snapToGrid w:val="0"/>
        <w:ind w:left="0"/>
        <w:contextualSpacing w:val="0"/>
        <w:jc w:val="both"/>
        <w:rPr>
          <w:rFonts w:ascii="Calibri" w:eastAsia="Times New Roman" w:hAnsi="Calibri"/>
          <w:szCs w:val="20"/>
          <w:lang w:eastAsia="en-US"/>
        </w:rPr>
      </w:pPr>
    </w:p>
    <w:p w:rsidR="00F443CC" w:rsidRDefault="006C0DBF" w:rsidP="00AC5E61">
      <w:pPr>
        <w:pStyle w:val="ListParagraph"/>
        <w:numPr>
          <w:ilvl w:val="0"/>
          <w:numId w:val="6"/>
        </w:numPr>
        <w:tabs>
          <w:tab w:val="left" w:pos="709"/>
        </w:tabs>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Document C11/INF/9 sets out the definitions of several key financial terms that will facilitate the readers’ use and understanding of the financial statement</w:t>
      </w:r>
      <w:r w:rsidR="005D05E8">
        <w:rPr>
          <w:rFonts w:ascii="Calibri" w:eastAsia="Times New Roman" w:hAnsi="Calibri"/>
          <w:szCs w:val="20"/>
          <w:lang w:eastAsia="en-US"/>
        </w:rPr>
        <w:t>s</w:t>
      </w:r>
      <w:r w:rsidR="00F443CC">
        <w:rPr>
          <w:rFonts w:ascii="Calibri" w:eastAsia="Times New Roman" w:hAnsi="Calibri"/>
          <w:szCs w:val="20"/>
          <w:lang w:eastAsia="en-US"/>
        </w:rPr>
        <w:t>.</w:t>
      </w:r>
    </w:p>
    <w:p w:rsidR="0022373A" w:rsidRPr="00ED1CDA" w:rsidRDefault="0022373A" w:rsidP="00C841E9">
      <w:pPr>
        <w:pStyle w:val="ListParagraph"/>
        <w:tabs>
          <w:tab w:val="left" w:pos="851"/>
        </w:tabs>
        <w:adjustRightInd w:val="0"/>
        <w:snapToGrid w:val="0"/>
        <w:ind w:left="0"/>
        <w:contextualSpacing w:val="0"/>
        <w:jc w:val="both"/>
        <w:rPr>
          <w:rFonts w:ascii="Calibri" w:eastAsia="Times New Roman" w:hAnsi="Calibri"/>
          <w:szCs w:val="20"/>
          <w:lang w:eastAsia="en-US"/>
        </w:rPr>
      </w:pPr>
    </w:p>
    <w:p w:rsidR="0022373A" w:rsidRDefault="00102375" w:rsidP="007F5A01">
      <w:pPr>
        <w:pStyle w:val="Headingb"/>
        <w:snapToGrid w:val="0"/>
        <w:spacing w:before="0"/>
        <w:ind w:left="0" w:firstLine="0"/>
        <w:jc w:val="both"/>
        <w:rPr>
          <w:bCs/>
          <w:lang w:val="en-US"/>
        </w:rPr>
      </w:pPr>
      <w:bookmarkStart w:id="12" w:name="_Toc305764054"/>
      <w:r w:rsidRPr="00ED1CDA">
        <w:rPr>
          <w:bCs/>
          <w:lang w:val="en-US"/>
        </w:rPr>
        <w:t xml:space="preserve">Key events during the </w:t>
      </w:r>
      <w:r w:rsidR="00111BDD" w:rsidRPr="00ED1CDA">
        <w:rPr>
          <w:bCs/>
          <w:lang w:val="en-US"/>
        </w:rPr>
        <w:t>201</w:t>
      </w:r>
      <w:r w:rsidR="007F5A01">
        <w:rPr>
          <w:bCs/>
          <w:lang w:val="en-US"/>
        </w:rPr>
        <w:t>8</w:t>
      </w:r>
      <w:r w:rsidR="0022373A" w:rsidRPr="00ED1CDA">
        <w:rPr>
          <w:bCs/>
          <w:lang w:val="en-US"/>
        </w:rPr>
        <w:t xml:space="preserve"> financial period</w:t>
      </w:r>
      <w:bookmarkEnd w:id="12"/>
    </w:p>
    <w:p w:rsidR="00AA4485" w:rsidRPr="00AA4485" w:rsidRDefault="00AA4485" w:rsidP="00C841E9">
      <w:pPr>
        <w:tabs>
          <w:tab w:val="left" w:pos="851"/>
        </w:tabs>
        <w:snapToGrid w:val="0"/>
        <w:spacing w:before="0"/>
        <w:rPr>
          <w:lang w:val="en-US"/>
        </w:rPr>
      </w:pPr>
    </w:p>
    <w:p w:rsidR="00004716" w:rsidRDefault="0022373A" w:rsidP="007F5A01">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 xml:space="preserve">The </w:t>
      </w:r>
      <w:proofErr w:type="spellStart"/>
      <w:r w:rsidRPr="00ED1CDA">
        <w:rPr>
          <w:rFonts w:ascii="Calibri" w:eastAsia="Times New Roman" w:hAnsi="Calibri"/>
          <w:szCs w:val="20"/>
          <w:lang w:eastAsia="en-US"/>
        </w:rPr>
        <w:t>programme</w:t>
      </w:r>
      <w:proofErr w:type="spellEnd"/>
      <w:r w:rsidRPr="00ED1CDA">
        <w:rPr>
          <w:rFonts w:ascii="Calibri" w:eastAsia="Times New Roman" w:hAnsi="Calibri"/>
          <w:szCs w:val="20"/>
          <w:lang w:eastAsia="en-US"/>
        </w:rPr>
        <w:t xml:space="preserve"> of activities </w:t>
      </w:r>
      <w:r w:rsidR="005A587B" w:rsidRPr="00ED1CDA">
        <w:rPr>
          <w:rFonts w:ascii="Calibri" w:eastAsia="Times New Roman" w:hAnsi="Calibri"/>
          <w:szCs w:val="20"/>
          <w:lang w:eastAsia="en-US"/>
        </w:rPr>
        <w:t xml:space="preserve">carried out by the Union in </w:t>
      </w:r>
      <w:r w:rsidR="00111BDD" w:rsidRPr="00ED1CDA">
        <w:rPr>
          <w:rFonts w:ascii="Calibri" w:eastAsia="Times New Roman" w:hAnsi="Calibri"/>
          <w:szCs w:val="20"/>
          <w:lang w:eastAsia="en-US"/>
        </w:rPr>
        <w:t>201</w:t>
      </w:r>
      <w:r w:rsidR="007F5A01">
        <w:rPr>
          <w:rFonts w:ascii="Calibri" w:eastAsia="Times New Roman" w:hAnsi="Calibri"/>
          <w:szCs w:val="20"/>
          <w:lang w:eastAsia="en-US"/>
        </w:rPr>
        <w:t>8</w:t>
      </w:r>
      <w:r w:rsidRPr="00ED1CDA">
        <w:rPr>
          <w:rFonts w:ascii="Calibri" w:eastAsia="Times New Roman" w:hAnsi="Calibri"/>
          <w:szCs w:val="20"/>
          <w:lang w:eastAsia="en-US"/>
        </w:rPr>
        <w:t xml:space="preserve"> </w:t>
      </w:r>
      <w:r w:rsidR="006A5BA7" w:rsidRPr="00ED1CDA">
        <w:rPr>
          <w:rFonts w:ascii="Calibri" w:eastAsia="Times New Roman" w:hAnsi="Calibri"/>
          <w:szCs w:val="20"/>
          <w:lang w:eastAsia="en-US"/>
        </w:rPr>
        <w:t>included</w:t>
      </w:r>
      <w:r w:rsidRPr="00ED1CDA">
        <w:rPr>
          <w:rFonts w:ascii="Calibri" w:eastAsia="Times New Roman" w:hAnsi="Calibri"/>
          <w:szCs w:val="20"/>
          <w:lang w:eastAsia="en-US"/>
        </w:rPr>
        <w:t xml:space="preserve"> </w:t>
      </w:r>
      <w:r w:rsidR="00B36EF5" w:rsidRPr="00ED1CDA">
        <w:rPr>
          <w:rFonts w:ascii="Calibri" w:eastAsia="Times New Roman" w:hAnsi="Calibri"/>
          <w:szCs w:val="20"/>
          <w:lang w:eastAsia="en-US"/>
        </w:rPr>
        <w:t xml:space="preserve">among </w:t>
      </w:r>
      <w:r w:rsidRPr="00ED1CDA">
        <w:rPr>
          <w:rFonts w:ascii="Calibri" w:eastAsia="Times New Roman" w:hAnsi="Calibri"/>
          <w:szCs w:val="20"/>
          <w:lang w:eastAsia="en-US"/>
        </w:rPr>
        <w:t>numerous</w:t>
      </w:r>
      <w:r w:rsidR="00E77549">
        <w:rPr>
          <w:rFonts w:ascii="Calibri" w:eastAsia="Times New Roman" w:hAnsi="Calibri"/>
          <w:szCs w:val="20"/>
          <w:lang w:eastAsia="en-US"/>
        </w:rPr>
        <w:t xml:space="preserve"> </w:t>
      </w:r>
      <w:r w:rsidRPr="00ED1CDA">
        <w:rPr>
          <w:rFonts w:ascii="Calibri" w:eastAsia="Times New Roman" w:hAnsi="Calibri"/>
          <w:szCs w:val="20"/>
          <w:lang w:eastAsia="en-US"/>
        </w:rPr>
        <w:t xml:space="preserve">meetings and conferences, </w:t>
      </w:r>
      <w:r w:rsidR="008060D0" w:rsidRPr="00ED1CDA">
        <w:rPr>
          <w:rFonts w:ascii="Calibri" w:eastAsia="Times New Roman" w:hAnsi="Calibri"/>
          <w:szCs w:val="20"/>
          <w:lang w:eastAsia="en-US"/>
        </w:rPr>
        <w:t>the following main events:</w:t>
      </w:r>
    </w:p>
    <w:p w:rsidR="000F01E2" w:rsidRDefault="000F01E2" w:rsidP="00F409FC">
      <w:pPr>
        <w:pStyle w:val="ListParagraph"/>
        <w:tabs>
          <w:tab w:val="left" w:pos="709"/>
        </w:tabs>
        <w:adjustRightInd w:val="0"/>
        <w:snapToGrid w:val="0"/>
        <w:ind w:left="0"/>
        <w:contextualSpacing w:val="0"/>
        <w:jc w:val="both"/>
        <w:rPr>
          <w:rFonts w:ascii="Calibri" w:eastAsia="Times New Roman" w:hAnsi="Calibri"/>
          <w:szCs w:val="20"/>
          <w:lang w:eastAsia="en-US"/>
        </w:rPr>
      </w:pPr>
    </w:p>
    <w:p w:rsidR="009B1B15" w:rsidRDefault="000F01E2" w:rsidP="00F409FC">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DD32F4">
        <w:rPr>
          <w:rFonts w:ascii="Calibri" w:eastAsia="Times New Roman" w:hAnsi="Calibri"/>
          <w:szCs w:val="20"/>
          <w:lang w:eastAsia="en-US"/>
        </w:rPr>
        <w:t>The WSIS Forum 201</w:t>
      </w:r>
      <w:r>
        <w:rPr>
          <w:rFonts w:ascii="Calibri" w:eastAsia="Times New Roman" w:hAnsi="Calibri"/>
          <w:szCs w:val="20"/>
          <w:lang w:eastAsia="en-US"/>
        </w:rPr>
        <w:t>8</w:t>
      </w:r>
      <w:r w:rsidRPr="00DD32F4">
        <w:rPr>
          <w:rFonts w:ascii="Calibri" w:eastAsia="Times New Roman" w:hAnsi="Calibri"/>
          <w:szCs w:val="20"/>
          <w:lang w:eastAsia="en-US"/>
        </w:rPr>
        <w:t xml:space="preserve"> was held from 1</w:t>
      </w:r>
      <w:r>
        <w:rPr>
          <w:rFonts w:ascii="Calibri" w:eastAsia="Times New Roman" w:hAnsi="Calibri"/>
          <w:szCs w:val="20"/>
          <w:lang w:eastAsia="en-US"/>
        </w:rPr>
        <w:t>9 to 23 March 2018 in Geneva.</w:t>
      </w:r>
      <w:r w:rsidRPr="00DD32F4">
        <w:rPr>
          <w:rFonts w:ascii="Calibri" w:eastAsia="Times New Roman" w:hAnsi="Calibri"/>
          <w:szCs w:val="20"/>
          <w:lang w:eastAsia="en-US"/>
        </w:rPr>
        <w:t xml:space="preserve"> </w:t>
      </w:r>
      <w:r w:rsidRPr="000F01E2">
        <w:rPr>
          <w:rFonts w:ascii="Calibri" w:eastAsia="Times New Roman" w:hAnsi="Calibri"/>
          <w:szCs w:val="20"/>
          <w:lang w:eastAsia="en-US"/>
        </w:rPr>
        <w:t>More than 2500 information and communication technology (ICT) experts and implementation actors contributed to and participated in the recent World Summit on the Information Society (WSIS) Forum 2018 to foster partnerships, showcase innovation, exchange best practices and announce new tools and initiatives to use ICTs to advance the United Nations' Sustainable Development Goals (SDGs).</w:t>
      </w:r>
      <w:r w:rsidR="00D251AF">
        <w:rPr>
          <w:rFonts w:ascii="Calibri" w:eastAsia="Times New Roman" w:hAnsi="Calibri"/>
          <w:szCs w:val="20"/>
          <w:lang w:eastAsia="en-US"/>
        </w:rPr>
        <w:t xml:space="preserve"> </w:t>
      </w:r>
    </w:p>
    <w:p w:rsidR="00D251AF" w:rsidRPr="001E66E2" w:rsidRDefault="00D251AF" w:rsidP="00F409FC">
      <w:pPr>
        <w:spacing w:before="0"/>
      </w:pPr>
    </w:p>
    <w:p w:rsidR="00D251AF" w:rsidRDefault="00D251AF" w:rsidP="00F409FC">
      <w:pPr>
        <w:pStyle w:val="ListParagraph"/>
        <w:numPr>
          <w:ilvl w:val="0"/>
          <w:numId w:val="6"/>
        </w:numPr>
        <w:tabs>
          <w:tab w:val="left" w:pos="709"/>
        </w:tabs>
        <w:adjustRightInd w:val="0"/>
        <w:snapToGrid w:val="0"/>
        <w:ind w:left="0" w:firstLine="0"/>
        <w:contextualSpacing w:val="0"/>
        <w:jc w:val="both"/>
        <w:rPr>
          <w:rFonts w:ascii="Calibri" w:eastAsia="Times New Roman" w:hAnsi="Calibri"/>
          <w:lang w:eastAsia="en-US"/>
        </w:rPr>
      </w:pPr>
      <w:r w:rsidRPr="00D251AF">
        <w:rPr>
          <w:rFonts w:ascii="Calibri" w:eastAsia="Times New Roman" w:hAnsi="Calibri"/>
          <w:lang w:eastAsia="en-US"/>
        </w:rPr>
        <w:t>The 2nd edition</w:t>
      </w:r>
      <w:r w:rsidRPr="00D251AF">
        <w:rPr>
          <w:rFonts w:ascii="Calibri" w:eastAsia="Times New Roman" w:hAnsi="Calibri"/>
          <w:b/>
          <w:bCs/>
          <w:lang w:eastAsia="en-US"/>
        </w:rPr>
        <w:t xml:space="preserve"> </w:t>
      </w:r>
      <w:r w:rsidRPr="00D251AF">
        <w:rPr>
          <w:rFonts w:ascii="Calibri" w:eastAsia="Times New Roman" w:hAnsi="Calibri"/>
          <w:lang w:eastAsia="en-US"/>
        </w:rPr>
        <w:t>of the</w:t>
      </w:r>
      <w:r w:rsidRPr="00D251AF">
        <w:rPr>
          <w:rFonts w:ascii="Calibri" w:eastAsia="Times New Roman" w:hAnsi="Calibri"/>
          <w:b/>
          <w:bCs/>
          <w:lang w:eastAsia="en-US"/>
        </w:rPr>
        <w:t xml:space="preserve"> </w:t>
      </w:r>
      <w:r w:rsidRPr="00D251AF">
        <w:rPr>
          <w:rFonts w:ascii="Calibri" w:eastAsia="Times New Roman" w:hAnsi="Calibri"/>
          <w:lang w:eastAsia="en-US"/>
        </w:rPr>
        <w:t>AI for Good Global Summit was organized by ITU in Geneva on</w:t>
      </w:r>
      <w:r w:rsidR="009A325E">
        <w:rPr>
          <w:rFonts w:ascii="Calibri" w:eastAsia="Times New Roman" w:hAnsi="Calibri"/>
          <w:lang w:eastAsia="en-US"/>
        </w:rPr>
        <w:br/>
      </w:r>
      <w:r w:rsidRPr="00D251AF">
        <w:rPr>
          <w:rFonts w:ascii="Calibri" w:eastAsia="Times New Roman" w:hAnsi="Calibri"/>
          <w:lang w:eastAsia="en-US"/>
        </w:rPr>
        <w:t>15-17</w:t>
      </w:r>
      <w:r w:rsidR="00535630">
        <w:rPr>
          <w:rFonts w:ascii="Calibri" w:eastAsia="Times New Roman" w:hAnsi="Calibri"/>
          <w:lang w:eastAsia="en-US"/>
        </w:rPr>
        <w:t> </w:t>
      </w:r>
      <w:r w:rsidRPr="00D251AF">
        <w:rPr>
          <w:rFonts w:ascii="Calibri" w:eastAsia="Times New Roman" w:hAnsi="Calibri"/>
          <w:lang w:eastAsia="en-US"/>
        </w:rPr>
        <w:t>May 2018, in partnership with </w:t>
      </w:r>
      <w:hyperlink r:id="rId12" w:history="1">
        <w:r w:rsidRPr="00D251AF">
          <w:rPr>
            <w:rFonts w:ascii="Calibri" w:eastAsia="Times New Roman" w:hAnsi="Calibri"/>
            <w:lang w:eastAsia="en-US"/>
          </w:rPr>
          <w:t>XPRIZE Foundation</w:t>
        </w:r>
      </w:hyperlink>
      <w:r w:rsidRPr="00D251AF">
        <w:rPr>
          <w:rFonts w:ascii="Calibri" w:eastAsia="Times New Roman" w:hAnsi="Calibri"/>
          <w:lang w:eastAsia="en-US"/>
        </w:rPr>
        <w:t xml:space="preserve">, the global leader in incentivized prize competitions, the </w:t>
      </w:r>
      <w:hyperlink r:id="rId13" w:history="1">
        <w:r w:rsidRPr="00D251AF">
          <w:rPr>
            <w:rFonts w:ascii="Calibri" w:eastAsia="Times New Roman" w:hAnsi="Calibri"/>
            <w:lang w:eastAsia="en-US"/>
          </w:rPr>
          <w:t>Association for Computing Machinery (ACM)</w:t>
        </w:r>
      </w:hyperlink>
      <w:r w:rsidRPr="00D251AF">
        <w:rPr>
          <w:rFonts w:ascii="Calibri" w:eastAsia="Times New Roman" w:hAnsi="Calibri"/>
          <w:lang w:eastAsia="en-US"/>
        </w:rPr>
        <w:t xml:space="preserve"> and sister United Nations agencies</w:t>
      </w:r>
      <w:r>
        <w:rPr>
          <w:rFonts w:ascii="Calibri" w:eastAsia="Times New Roman" w:hAnsi="Calibri"/>
          <w:lang w:eastAsia="en-US"/>
        </w:rPr>
        <w:t>.</w:t>
      </w:r>
      <w:r w:rsidRPr="00D251AF">
        <w:rPr>
          <w:rFonts w:ascii="Segoe UI" w:hAnsi="Segoe UI" w:cs="Segoe UI"/>
          <w:color w:val="000000"/>
          <w:sz w:val="20"/>
          <w:szCs w:val="20"/>
        </w:rPr>
        <w:t xml:space="preserve"> </w:t>
      </w:r>
      <w:r w:rsidRPr="00D251AF">
        <w:rPr>
          <w:rFonts w:ascii="Calibri" w:eastAsia="Times New Roman" w:hAnsi="Calibri"/>
          <w:lang w:eastAsia="en-US"/>
        </w:rPr>
        <w:t>The AI for Good series is the leading United Nations platform for dialogue on AI. The action-oriented 2018 summit identified practical applications of AI and supporting strategies to improve the quality and sustainability of life on our planet. The summit continued to formulate strategies to ensure trusted, safe and inclusive development of AI technologies and equitable access to their benefits.</w:t>
      </w:r>
    </w:p>
    <w:p w:rsidR="00D251AF" w:rsidRPr="00F409FC" w:rsidRDefault="00D251AF" w:rsidP="00F409FC">
      <w:pPr>
        <w:spacing w:before="0"/>
      </w:pPr>
    </w:p>
    <w:p w:rsidR="00D251AF" w:rsidRPr="00196BE1" w:rsidRDefault="00196BE1" w:rsidP="00F409FC">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196BE1">
        <w:rPr>
          <w:rFonts w:ascii="Calibri" w:eastAsia="Times New Roman" w:hAnsi="Calibri"/>
          <w:lang w:eastAsia="en-US"/>
        </w:rPr>
        <w:t>In July 2018, the Global Symposium for regulators took place in Geneva</w:t>
      </w:r>
      <w:r>
        <w:rPr>
          <w:rFonts w:ascii="Calibri" w:eastAsia="Times New Roman" w:hAnsi="Calibri"/>
          <w:lang w:eastAsia="en-US"/>
        </w:rPr>
        <w:t>, u</w:t>
      </w:r>
      <w:r w:rsidRPr="00196BE1">
        <w:rPr>
          <w:rFonts w:ascii="Calibri" w:eastAsia="Times New Roman" w:hAnsi="Calibri"/>
          <w:lang w:eastAsia="en-US"/>
        </w:rPr>
        <w:t xml:space="preserve">nder the central theme of "Global Dialogue on AI, </w:t>
      </w:r>
      <w:proofErr w:type="spellStart"/>
      <w:r w:rsidRPr="00196BE1">
        <w:rPr>
          <w:rFonts w:ascii="Calibri" w:eastAsia="Times New Roman" w:hAnsi="Calibri"/>
          <w:lang w:eastAsia="en-US"/>
        </w:rPr>
        <w:t>IoT</w:t>
      </w:r>
      <w:proofErr w:type="spellEnd"/>
      <w:r w:rsidRPr="00196BE1">
        <w:rPr>
          <w:rFonts w:ascii="Calibri" w:eastAsia="Times New Roman" w:hAnsi="Calibri"/>
          <w:lang w:eastAsia="en-US"/>
        </w:rPr>
        <w:t xml:space="preserve"> and Cybersecurity – Policy and regulatory challenges and opportunities”</w:t>
      </w:r>
      <w:r>
        <w:rPr>
          <w:rFonts w:ascii="Calibri" w:eastAsia="Times New Roman" w:hAnsi="Calibri"/>
          <w:lang w:eastAsia="en-US"/>
        </w:rPr>
        <w:t>.</w:t>
      </w:r>
    </w:p>
    <w:p w:rsidR="00196BE1" w:rsidRPr="0070000E" w:rsidRDefault="00196BE1" w:rsidP="0070000E">
      <w:pPr>
        <w:jc w:val="both"/>
      </w:pPr>
    </w:p>
    <w:p w:rsidR="00373677" w:rsidRDefault="00196BE1" w:rsidP="00EF2493">
      <w:pPr>
        <w:pStyle w:val="ListParagraph"/>
        <w:numPr>
          <w:ilvl w:val="0"/>
          <w:numId w:val="6"/>
        </w:numPr>
        <w:tabs>
          <w:tab w:val="left" w:pos="709"/>
        </w:tabs>
        <w:adjustRightInd w:val="0"/>
        <w:snapToGrid w:val="0"/>
        <w:ind w:left="0" w:firstLine="0"/>
        <w:contextualSpacing w:val="0"/>
        <w:jc w:val="both"/>
        <w:rPr>
          <w:rFonts w:ascii="Calibri" w:hAnsi="Calibri" w:cs="FoundryMonoline-Medium"/>
        </w:rPr>
      </w:pPr>
      <w:r w:rsidRPr="0070000E">
        <w:rPr>
          <w:rFonts w:ascii="Calibri" w:eastAsia="Times New Roman" w:hAnsi="Calibri"/>
          <w:lang w:eastAsia="en-US"/>
        </w:rPr>
        <w:t>ITU Telecom World 2018 took place from 10 - 13 September in Durban, South Africa, on the theme of "Innovation for smarter digital development", bringing together governments, corporates and tech SMEs to exhibit innovative solutions, network, share knowledge and debate with experts</w:t>
      </w:r>
      <w:r w:rsidR="004F7CE1" w:rsidRPr="0070000E">
        <w:rPr>
          <w:rFonts w:ascii="Calibri" w:eastAsia="Times New Roman" w:hAnsi="Calibri"/>
          <w:lang w:eastAsia="en-US"/>
        </w:rPr>
        <w:t xml:space="preserve">. </w:t>
      </w:r>
      <w:r w:rsidR="0070000E" w:rsidRPr="0070000E">
        <w:rPr>
          <w:rFonts w:ascii="Calibri" w:eastAsia="Times New Roman" w:hAnsi="Calibri"/>
          <w:lang w:eastAsia="en-US"/>
        </w:rPr>
        <w:t xml:space="preserve"> </w:t>
      </w:r>
      <w:r w:rsidR="004F7CE1" w:rsidRPr="0070000E">
        <w:rPr>
          <w:rFonts w:ascii="Calibri" w:hAnsi="Calibri"/>
        </w:rPr>
        <w:t>Approximately 300 exhibitors, sponsors and partners from 32 countries including National Pavilions, Thematic Pavilions, world famous tech brands and SMEs joined the event, demonstrating innovation, talent and investment opportunities from around the world. Technologies on show included e-health, e-agriculture, e-education, digital government services, digital finance, smart city solutions and more</w:t>
      </w:r>
      <w:r w:rsidR="004F7CE1" w:rsidRPr="0070000E">
        <w:rPr>
          <w:rFonts w:ascii="Calibri" w:hAnsi="Calibri" w:cs="FoundryMonoline-Medium"/>
        </w:rPr>
        <w:t>.</w:t>
      </w:r>
    </w:p>
    <w:p w:rsidR="00F409FC" w:rsidRPr="00F409FC" w:rsidRDefault="00F409FC" w:rsidP="000F6431">
      <w:pPr>
        <w:pStyle w:val="ListParagraph"/>
        <w:ind w:left="0"/>
        <w:rPr>
          <w:rFonts w:ascii="Calibri" w:hAnsi="Calibri" w:cs="Calibri"/>
        </w:rPr>
      </w:pPr>
    </w:p>
    <w:p w:rsidR="00F409FC" w:rsidRPr="00F409FC" w:rsidRDefault="00826526" w:rsidP="000F6431">
      <w:pPr>
        <w:pStyle w:val="ListParagraph"/>
        <w:numPr>
          <w:ilvl w:val="0"/>
          <w:numId w:val="6"/>
        </w:numPr>
        <w:ind w:left="0" w:firstLine="0"/>
        <w:jc w:val="both"/>
        <w:rPr>
          <w:rFonts w:ascii="Calibri" w:hAnsi="Calibri" w:cs="Calibri"/>
          <w:color w:val="000000"/>
        </w:rPr>
      </w:pPr>
      <w:r>
        <w:rPr>
          <w:rFonts w:ascii="Calibri" w:hAnsi="Calibri" w:cs="Calibri"/>
        </w:rPr>
        <w:t xml:space="preserve">The </w:t>
      </w:r>
      <w:r w:rsidR="00F409FC" w:rsidRPr="00F409FC">
        <w:rPr>
          <w:rFonts w:ascii="Calibri" w:hAnsi="Calibri" w:cs="Calibri"/>
        </w:rPr>
        <w:t>ITU Plenipotentiary Conference was held in Dubai</w:t>
      </w:r>
      <w:r>
        <w:rPr>
          <w:rFonts w:ascii="Calibri" w:hAnsi="Calibri" w:cs="Calibri"/>
        </w:rPr>
        <w:t xml:space="preserve"> f</w:t>
      </w:r>
      <w:r w:rsidRPr="00F409FC">
        <w:rPr>
          <w:rFonts w:ascii="Calibri" w:hAnsi="Calibri" w:cs="Calibri"/>
        </w:rPr>
        <w:t>rom 29</w:t>
      </w:r>
      <w:r>
        <w:rPr>
          <w:rFonts w:ascii="Calibri" w:hAnsi="Calibri" w:cs="Calibri"/>
        </w:rPr>
        <w:t> </w:t>
      </w:r>
      <w:r w:rsidRPr="00F409FC">
        <w:rPr>
          <w:rFonts w:ascii="Calibri" w:hAnsi="Calibri" w:cs="Calibri"/>
        </w:rPr>
        <w:t>October to 16</w:t>
      </w:r>
      <w:r>
        <w:rPr>
          <w:rFonts w:ascii="Calibri" w:hAnsi="Calibri" w:cs="Calibri"/>
        </w:rPr>
        <w:t> </w:t>
      </w:r>
      <w:r w:rsidRPr="00F409FC">
        <w:rPr>
          <w:rFonts w:ascii="Calibri" w:hAnsi="Calibri" w:cs="Calibri"/>
        </w:rPr>
        <w:t>November</w:t>
      </w:r>
      <w:r>
        <w:rPr>
          <w:rFonts w:ascii="Calibri" w:hAnsi="Calibri" w:cs="Calibri"/>
        </w:rPr>
        <w:t> </w:t>
      </w:r>
      <w:r w:rsidRPr="00F409FC">
        <w:rPr>
          <w:rFonts w:ascii="Calibri" w:hAnsi="Calibri" w:cs="Calibri"/>
        </w:rPr>
        <w:t>2018</w:t>
      </w:r>
      <w:r w:rsidR="00F409FC" w:rsidRPr="00F409FC">
        <w:rPr>
          <w:rFonts w:ascii="Calibri" w:hAnsi="Calibri" w:cs="Calibri"/>
        </w:rPr>
        <w:t xml:space="preserve">, hosted by the United Arab Emirates. </w:t>
      </w:r>
      <w:r w:rsidR="00F409FC" w:rsidRPr="00F409FC">
        <w:rPr>
          <w:rFonts w:ascii="Calibri" w:hAnsi="Calibri" w:cs="Calibri"/>
          <w:shd w:val="clear" w:color="auto" w:fill="FFFFFF"/>
        </w:rPr>
        <w:t xml:space="preserve">The </w:t>
      </w:r>
      <w:r>
        <w:rPr>
          <w:rFonts w:ascii="Calibri" w:hAnsi="Calibri" w:cs="Calibri"/>
          <w:shd w:val="clear" w:color="auto" w:fill="FFFFFF"/>
        </w:rPr>
        <w:t>p</w:t>
      </w:r>
      <w:r w:rsidR="00F409FC" w:rsidRPr="00F409FC">
        <w:rPr>
          <w:rFonts w:ascii="Calibri" w:hAnsi="Calibri" w:cs="Calibri"/>
          <w:shd w:val="clear" w:color="auto" w:fill="FFFFFF"/>
        </w:rPr>
        <w:t xml:space="preserve">lenipotentiary </w:t>
      </w:r>
      <w:r>
        <w:rPr>
          <w:rFonts w:ascii="Calibri" w:hAnsi="Calibri" w:cs="Calibri"/>
          <w:shd w:val="clear" w:color="auto" w:fill="FFFFFF"/>
        </w:rPr>
        <w:t>c</w:t>
      </w:r>
      <w:r w:rsidR="00F409FC" w:rsidRPr="00F409FC">
        <w:rPr>
          <w:rFonts w:ascii="Calibri" w:hAnsi="Calibri" w:cs="Calibri"/>
          <w:shd w:val="clear" w:color="auto" w:fill="FFFFFF"/>
        </w:rPr>
        <w:t xml:space="preserve">onference is the highest decision-making body of ITU, the United Nations specialized agency for ICTs. Held every four years, the </w:t>
      </w:r>
      <w:r>
        <w:rPr>
          <w:rFonts w:ascii="Calibri" w:hAnsi="Calibri" w:cs="Calibri"/>
          <w:shd w:val="clear" w:color="auto" w:fill="FFFFFF"/>
        </w:rPr>
        <w:t>c</w:t>
      </w:r>
      <w:r w:rsidR="00F409FC" w:rsidRPr="00F409FC">
        <w:rPr>
          <w:rFonts w:ascii="Calibri" w:hAnsi="Calibri" w:cs="Calibri"/>
          <w:shd w:val="clear" w:color="auto" w:fill="FFFFFF"/>
        </w:rPr>
        <w:t>onference is the key event at which ITU Member States build consensus on key international ICT issues, elect leaders for the Union's top posts, and decide on a roadmap for ITU's work over the next four-year period, including strategic and financial plans</w:t>
      </w:r>
      <w:r w:rsidR="00F409FC" w:rsidRPr="00F409FC">
        <w:rPr>
          <w:rFonts w:ascii="Calibri" w:hAnsi="Calibri" w:cs="Calibri"/>
          <w:color w:val="000000"/>
        </w:rPr>
        <w:t xml:space="preserve">. A total of 2,363 participants representing 180 Member States and 75 observer organizations attended PP-18. </w:t>
      </w:r>
      <w:r w:rsidR="00076D29">
        <w:rPr>
          <w:rFonts w:ascii="Calibri" w:hAnsi="Calibri" w:cs="Calibri"/>
          <w:color w:val="000000"/>
        </w:rPr>
        <w:t xml:space="preserve"> </w:t>
      </w:r>
      <w:r w:rsidR="00F409FC" w:rsidRPr="00F409FC">
        <w:rPr>
          <w:rFonts w:ascii="Calibri" w:hAnsi="Calibri" w:cs="Calibri"/>
          <w:color w:val="000000"/>
        </w:rPr>
        <w:t xml:space="preserve">A full report on PP-18 is available in </w:t>
      </w:r>
      <w:r w:rsidR="00F409FC" w:rsidRPr="00F409FC">
        <w:rPr>
          <w:rFonts w:ascii="Calibri" w:hAnsi="Calibri" w:cs="Calibri"/>
        </w:rPr>
        <w:t>Document</w:t>
      </w:r>
      <w:r w:rsidR="00076D29">
        <w:rPr>
          <w:rFonts w:ascii="Calibri" w:hAnsi="Calibri" w:cs="Calibri"/>
        </w:rPr>
        <w:t> </w:t>
      </w:r>
      <w:r w:rsidR="00F409FC" w:rsidRPr="00F409FC">
        <w:rPr>
          <w:rFonts w:ascii="Calibri" w:hAnsi="Calibri" w:cs="Calibri"/>
        </w:rPr>
        <w:t>C19/4.</w:t>
      </w:r>
    </w:p>
    <w:p w:rsidR="00F409FC" w:rsidRPr="0070000E" w:rsidRDefault="00F409FC" w:rsidP="000F6431">
      <w:pPr>
        <w:tabs>
          <w:tab w:val="left" w:pos="851"/>
        </w:tabs>
        <w:snapToGrid w:val="0"/>
        <w:spacing w:before="0"/>
        <w:rPr>
          <w:lang w:val="en-US"/>
        </w:rPr>
      </w:pPr>
    </w:p>
    <w:p w:rsidR="00AE0341" w:rsidRDefault="00AE0341" w:rsidP="000F6431">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These achievements and implementations have been possible thanks to consistent and optimum management of the Union’s financial resources.</w:t>
      </w:r>
    </w:p>
    <w:p w:rsidR="00985154" w:rsidRPr="00BD321E" w:rsidRDefault="00985154" w:rsidP="000F6431">
      <w:pPr>
        <w:tabs>
          <w:tab w:val="left" w:pos="851"/>
        </w:tabs>
        <w:snapToGrid w:val="0"/>
        <w:spacing w:before="0"/>
      </w:pPr>
    </w:p>
    <w:p w:rsidR="00985154" w:rsidRPr="00D37833" w:rsidRDefault="00985154" w:rsidP="002525A7">
      <w:pPr>
        <w:pStyle w:val="ListParagraph"/>
        <w:numPr>
          <w:ilvl w:val="0"/>
          <w:numId w:val="6"/>
        </w:numPr>
        <w:adjustRightInd w:val="0"/>
        <w:snapToGrid w:val="0"/>
        <w:ind w:left="0" w:firstLine="0"/>
        <w:contextualSpacing w:val="0"/>
        <w:jc w:val="both"/>
        <w:rPr>
          <w:rFonts w:ascii="Calibri" w:eastAsia="Times New Roman" w:hAnsi="Calibri"/>
          <w:szCs w:val="20"/>
          <w:lang w:eastAsia="en-US"/>
        </w:rPr>
      </w:pPr>
      <w:r w:rsidRPr="00D37833">
        <w:rPr>
          <w:rFonts w:ascii="Calibri" w:eastAsia="Times New Roman" w:hAnsi="Calibri"/>
          <w:szCs w:val="20"/>
          <w:lang w:eastAsia="en-US"/>
        </w:rPr>
        <w:t>During 201</w:t>
      </w:r>
      <w:r w:rsidR="000B600F">
        <w:rPr>
          <w:rFonts w:ascii="Calibri" w:eastAsia="Times New Roman" w:hAnsi="Calibri"/>
          <w:szCs w:val="20"/>
          <w:lang w:eastAsia="en-US"/>
        </w:rPr>
        <w:t>8</w:t>
      </w:r>
      <w:r w:rsidRPr="00D37833">
        <w:rPr>
          <w:rFonts w:ascii="Calibri" w:eastAsia="Times New Roman" w:hAnsi="Calibri"/>
          <w:szCs w:val="20"/>
          <w:lang w:eastAsia="en-US"/>
        </w:rPr>
        <w:t xml:space="preserve">, the Union continued its coordinated process improvements and cost saving efforts as requested </w:t>
      </w:r>
      <w:r w:rsidR="00BD321E">
        <w:rPr>
          <w:rFonts w:ascii="Calibri" w:eastAsia="Times New Roman" w:hAnsi="Calibri"/>
          <w:szCs w:val="20"/>
          <w:lang w:eastAsia="en-US"/>
        </w:rPr>
        <w:t xml:space="preserve">by </w:t>
      </w:r>
      <w:r w:rsidRPr="00D37833">
        <w:rPr>
          <w:rFonts w:ascii="Calibri" w:eastAsia="Times New Roman" w:hAnsi="Calibri"/>
          <w:szCs w:val="20"/>
          <w:lang w:eastAsia="en-US"/>
        </w:rPr>
        <w:t xml:space="preserve">Decision </w:t>
      </w:r>
      <w:r w:rsidR="00BD321E">
        <w:rPr>
          <w:rFonts w:ascii="Calibri" w:eastAsia="Times New Roman" w:hAnsi="Calibri"/>
          <w:szCs w:val="20"/>
          <w:lang w:eastAsia="en-US"/>
        </w:rPr>
        <w:t xml:space="preserve">5, Annex 2 </w:t>
      </w:r>
      <w:r w:rsidRPr="00D37833">
        <w:rPr>
          <w:rFonts w:ascii="Calibri" w:eastAsia="Times New Roman" w:hAnsi="Calibri"/>
          <w:szCs w:val="20"/>
          <w:lang w:eastAsia="en-US"/>
        </w:rPr>
        <w:t xml:space="preserve">(Rev. </w:t>
      </w:r>
      <w:r w:rsidR="0070000E">
        <w:rPr>
          <w:rFonts w:ascii="Calibri" w:eastAsia="Times New Roman" w:hAnsi="Calibri"/>
          <w:szCs w:val="20"/>
          <w:lang w:eastAsia="en-US"/>
        </w:rPr>
        <w:t xml:space="preserve">Dubai, </w:t>
      </w:r>
      <w:r w:rsidRPr="00D37833">
        <w:rPr>
          <w:rFonts w:ascii="Calibri" w:eastAsia="Times New Roman" w:hAnsi="Calibri"/>
          <w:szCs w:val="20"/>
          <w:lang w:eastAsia="en-US"/>
        </w:rPr>
        <w:t>201</w:t>
      </w:r>
      <w:r w:rsidR="0070000E">
        <w:rPr>
          <w:rFonts w:ascii="Calibri" w:eastAsia="Times New Roman" w:hAnsi="Calibri"/>
          <w:szCs w:val="20"/>
          <w:lang w:eastAsia="en-US"/>
        </w:rPr>
        <w:t>8</w:t>
      </w:r>
      <w:r w:rsidRPr="00D37833">
        <w:rPr>
          <w:rFonts w:ascii="Calibri" w:eastAsia="Times New Roman" w:hAnsi="Calibri"/>
          <w:szCs w:val="20"/>
          <w:lang w:eastAsia="en-US"/>
        </w:rPr>
        <w:t>).</w:t>
      </w:r>
    </w:p>
    <w:p w:rsidR="00985154" w:rsidRPr="00BD321E" w:rsidRDefault="00985154" w:rsidP="000F6431">
      <w:pPr>
        <w:tabs>
          <w:tab w:val="left" w:pos="851"/>
        </w:tabs>
        <w:snapToGrid w:val="0"/>
        <w:spacing w:before="0"/>
        <w:rPr>
          <w:lang w:val="en-US"/>
        </w:rPr>
      </w:pPr>
    </w:p>
    <w:p w:rsidR="00985154" w:rsidRDefault="00985154" w:rsidP="000F6431">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ED1CDA">
        <w:rPr>
          <w:rFonts w:ascii="Calibri" w:eastAsia="Times New Roman" w:hAnsi="Calibri"/>
          <w:szCs w:val="20"/>
          <w:lang w:eastAsia="en-US"/>
        </w:rPr>
        <w:t>ITU is an active participant in the United Nations Jointly Financed Activities. Recent initiatives have resulted in cost reductions for participating entities, i.e. lower costs for electricity, office supplies, fuel and postal services, and negotiated prices with airline companies</w:t>
      </w:r>
      <w:r>
        <w:rPr>
          <w:rFonts w:ascii="Calibri" w:eastAsia="Times New Roman" w:hAnsi="Calibri"/>
          <w:szCs w:val="20"/>
          <w:lang w:eastAsia="en-US"/>
        </w:rPr>
        <w:t>.</w:t>
      </w:r>
    </w:p>
    <w:p w:rsidR="00AE0341" w:rsidRPr="008F5DD6" w:rsidRDefault="00AE0341" w:rsidP="00AC5E61">
      <w:pPr>
        <w:tabs>
          <w:tab w:val="left" w:pos="709"/>
        </w:tabs>
        <w:snapToGrid w:val="0"/>
        <w:spacing w:before="0"/>
        <w:jc w:val="both"/>
      </w:pPr>
    </w:p>
    <w:p w:rsidR="00985154" w:rsidRPr="00AD540D" w:rsidRDefault="00985154" w:rsidP="00AC5E61">
      <w:pPr>
        <w:pStyle w:val="Headingb"/>
        <w:tabs>
          <w:tab w:val="left" w:pos="709"/>
        </w:tabs>
        <w:snapToGrid w:val="0"/>
        <w:spacing w:before="0"/>
        <w:jc w:val="both"/>
        <w:rPr>
          <w:spacing w:val="-6"/>
          <w:w w:val="105"/>
          <w:lang w:val="en-US"/>
        </w:rPr>
      </w:pPr>
      <w:r w:rsidRPr="00D37833">
        <w:rPr>
          <w:w w:val="105"/>
          <w:lang w:val="en-US"/>
        </w:rPr>
        <w:t xml:space="preserve">Financial </w:t>
      </w:r>
      <w:r w:rsidR="00BD46C5">
        <w:rPr>
          <w:w w:val="105"/>
          <w:lang w:val="en-US"/>
        </w:rPr>
        <w:t>o</w:t>
      </w:r>
      <w:r w:rsidRPr="00D37833">
        <w:rPr>
          <w:w w:val="105"/>
          <w:lang w:val="en-US"/>
        </w:rPr>
        <w:t>perating report highlights</w:t>
      </w:r>
    </w:p>
    <w:p w:rsidR="00985154" w:rsidRPr="008F5DD6" w:rsidRDefault="00985154" w:rsidP="00AC5E61">
      <w:pPr>
        <w:tabs>
          <w:tab w:val="left" w:pos="709"/>
        </w:tabs>
        <w:snapToGrid w:val="0"/>
        <w:spacing w:before="0"/>
        <w:jc w:val="both"/>
      </w:pPr>
    </w:p>
    <w:p w:rsidR="00985154" w:rsidRDefault="00985154" w:rsidP="000536EE">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D37833">
        <w:rPr>
          <w:rFonts w:ascii="Calibri" w:eastAsia="Times New Roman" w:hAnsi="Calibri"/>
          <w:szCs w:val="20"/>
          <w:lang w:eastAsia="en-US"/>
        </w:rPr>
        <w:t xml:space="preserve">The Union’s accounts are kept in Swiss </w:t>
      </w:r>
      <w:r w:rsidR="000536EE">
        <w:rPr>
          <w:rFonts w:ascii="Calibri" w:eastAsia="Times New Roman" w:hAnsi="Calibri"/>
          <w:szCs w:val="20"/>
          <w:lang w:eastAsia="en-US"/>
        </w:rPr>
        <w:t>F</w:t>
      </w:r>
      <w:r w:rsidRPr="00D37833">
        <w:rPr>
          <w:rFonts w:ascii="Calibri" w:eastAsia="Times New Roman" w:hAnsi="Calibri"/>
          <w:szCs w:val="20"/>
          <w:lang w:eastAsia="en-US"/>
        </w:rPr>
        <w:t>rancs. The financial statements presented include the Extra-budgetary activities of the Union.</w:t>
      </w:r>
    </w:p>
    <w:p w:rsidR="00985154" w:rsidRPr="00D37833" w:rsidRDefault="00985154" w:rsidP="000F144A">
      <w:pPr>
        <w:pStyle w:val="ListParagraph"/>
        <w:tabs>
          <w:tab w:val="left" w:pos="709"/>
        </w:tabs>
        <w:adjustRightInd w:val="0"/>
        <w:snapToGrid w:val="0"/>
        <w:ind w:left="0"/>
        <w:contextualSpacing w:val="0"/>
        <w:jc w:val="both"/>
        <w:rPr>
          <w:rFonts w:ascii="Calibri" w:eastAsia="Times New Roman" w:hAnsi="Calibri"/>
          <w:szCs w:val="20"/>
          <w:lang w:eastAsia="en-US"/>
        </w:rPr>
      </w:pPr>
    </w:p>
    <w:p w:rsidR="001427DD" w:rsidRDefault="00985154" w:rsidP="000F144A">
      <w:pPr>
        <w:pStyle w:val="ListParagraph"/>
        <w:numPr>
          <w:ilvl w:val="0"/>
          <w:numId w:val="6"/>
        </w:numPr>
        <w:tabs>
          <w:tab w:val="left" w:pos="709"/>
        </w:tabs>
        <w:adjustRightInd w:val="0"/>
        <w:snapToGrid w:val="0"/>
        <w:ind w:left="0" w:firstLine="0"/>
        <w:contextualSpacing w:val="0"/>
        <w:jc w:val="both"/>
        <w:rPr>
          <w:rFonts w:ascii="Calibri" w:eastAsia="Times New Roman" w:hAnsi="Calibri"/>
          <w:szCs w:val="20"/>
          <w:lang w:eastAsia="en-US"/>
        </w:rPr>
      </w:pPr>
      <w:r w:rsidRPr="00BE797B">
        <w:rPr>
          <w:rFonts w:ascii="Calibri" w:eastAsia="Times New Roman" w:hAnsi="Calibri"/>
          <w:szCs w:val="20"/>
          <w:lang w:eastAsia="en-US"/>
        </w:rPr>
        <w:t>The table below summarizes the financial situation of the ITU in 201</w:t>
      </w:r>
      <w:r w:rsidR="000B600F">
        <w:rPr>
          <w:rFonts w:ascii="Calibri" w:eastAsia="Times New Roman" w:hAnsi="Calibri"/>
          <w:szCs w:val="20"/>
          <w:lang w:eastAsia="en-US"/>
        </w:rPr>
        <w:t>8</w:t>
      </w:r>
      <w:r w:rsidRPr="00BE797B">
        <w:rPr>
          <w:rFonts w:ascii="Calibri" w:eastAsia="Times New Roman" w:hAnsi="Calibri"/>
          <w:szCs w:val="20"/>
          <w:lang w:eastAsia="en-US"/>
        </w:rPr>
        <w:t xml:space="preserve"> as compared to 201</w:t>
      </w:r>
      <w:r w:rsidR="000B600F">
        <w:rPr>
          <w:rFonts w:ascii="Calibri" w:eastAsia="Times New Roman" w:hAnsi="Calibri"/>
          <w:szCs w:val="20"/>
          <w:lang w:eastAsia="en-US"/>
        </w:rPr>
        <w:t>7</w:t>
      </w:r>
      <w:r w:rsidRPr="00BE797B">
        <w:rPr>
          <w:rFonts w:ascii="Calibri" w:eastAsia="Times New Roman" w:hAnsi="Calibri"/>
          <w:szCs w:val="20"/>
          <w:lang w:eastAsia="en-US"/>
        </w:rPr>
        <w:t>.</w:t>
      </w:r>
    </w:p>
    <w:p w:rsidR="000F144A" w:rsidRPr="000F144A" w:rsidRDefault="000F144A" w:rsidP="000F144A">
      <w:pPr>
        <w:spacing w:before="0"/>
      </w:pPr>
    </w:p>
    <w:tbl>
      <w:tblPr>
        <w:tblW w:w="8051" w:type="dxa"/>
        <w:jc w:val="center"/>
        <w:tblLook w:val="04A0" w:firstRow="1" w:lastRow="0" w:firstColumn="1" w:lastColumn="0" w:noHBand="0" w:noVBand="1"/>
      </w:tblPr>
      <w:tblGrid>
        <w:gridCol w:w="1128"/>
        <w:gridCol w:w="2387"/>
        <w:gridCol w:w="2268"/>
        <w:gridCol w:w="2268"/>
      </w:tblGrid>
      <w:tr w:rsidR="008463F3" w:rsidRPr="008463F3" w:rsidTr="000F144A">
        <w:trPr>
          <w:trHeight w:val="510"/>
          <w:jc w:val="center"/>
        </w:trPr>
        <w:tc>
          <w:tcPr>
            <w:tcW w:w="1128" w:type="dxa"/>
            <w:tcBorders>
              <w:top w:val="single" w:sz="8" w:space="0" w:color="auto"/>
              <w:left w:val="single" w:sz="8" w:space="0" w:color="auto"/>
              <w:bottom w:val="single" w:sz="8" w:space="0" w:color="auto"/>
              <w:right w:val="nil"/>
            </w:tcBorders>
            <w:shd w:val="clear" w:color="auto" w:fill="auto"/>
            <w:noWrap/>
            <w:vAlign w:val="center"/>
            <w:hideMark/>
          </w:tcPr>
          <w:p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KCHF</w:t>
            </w:r>
          </w:p>
        </w:tc>
        <w:tc>
          <w:tcPr>
            <w:tcW w:w="2387" w:type="dxa"/>
            <w:tcBorders>
              <w:top w:val="single" w:sz="8" w:space="0" w:color="auto"/>
              <w:left w:val="nil"/>
              <w:bottom w:val="single" w:sz="8" w:space="0" w:color="auto"/>
              <w:right w:val="nil"/>
            </w:tcBorders>
            <w:shd w:val="clear" w:color="auto" w:fill="auto"/>
            <w:noWrap/>
            <w:vAlign w:val="center"/>
            <w:hideMark/>
          </w:tcPr>
          <w:p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 </w:t>
            </w:r>
          </w:p>
        </w:tc>
        <w:tc>
          <w:tcPr>
            <w:tcW w:w="2268" w:type="dxa"/>
            <w:tcBorders>
              <w:top w:val="single" w:sz="8" w:space="0" w:color="auto"/>
              <w:left w:val="nil"/>
              <w:bottom w:val="single" w:sz="8" w:space="0" w:color="auto"/>
              <w:right w:val="nil"/>
            </w:tcBorders>
            <w:shd w:val="clear" w:color="auto" w:fill="auto"/>
            <w:noWrap/>
            <w:vAlign w:val="center"/>
            <w:hideMark/>
          </w:tcPr>
          <w:p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2018</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2017</w:t>
            </w:r>
          </w:p>
        </w:tc>
      </w:tr>
      <w:tr w:rsidR="008463F3" w:rsidRPr="008463F3" w:rsidTr="000F144A">
        <w:trPr>
          <w:trHeight w:val="255"/>
          <w:jc w:val="center"/>
        </w:trPr>
        <w:tc>
          <w:tcPr>
            <w:tcW w:w="1128" w:type="dxa"/>
            <w:tcBorders>
              <w:top w:val="nil"/>
              <w:left w:val="single" w:sz="8" w:space="0" w:color="auto"/>
              <w:bottom w:val="nil"/>
              <w:right w:val="nil"/>
            </w:tcBorders>
            <w:shd w:val="clear" w:color="auto" w:fill="auto"/>
            <w:noWrap/>
            <w:vAlign w:val="bottom"/>
            <w:hideMark/>
          </w:tcPr>
          <w:p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Revenue</w:t>
            </w:r>
          </w:p>
        </w:tc>
        <w:tc>
          <w:tcPr>
            <w:tcW w:w="2387" w:type="dxa"/>
            <w:tcBorders>
              <w:top w:val="nil"/>
              <w:left w:val="nil"/>
              <w:bottom w:val="nil"/>
              <w:right w:val="nil"/>
            </w:tcBorders>
            <w:shd w:val="clear" w:color="auto" w:fill="auto"/>
            <w:noWrap/>
            <w:vAlign w:val="bottom"/>
            <w:hideMark/>
          </w:tcPr>
          <w:p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Cs w:val="24"/>
                <w:lang w:val="en-US" w:eastAsia="zh-CN"/>
              </w:rPr>
            </w:pPr>
          </w:p>
        </w:tc>
        <w:tc>
          <w:tcPr>
            <w:tcW w:w="2268" w:type="dxa"/>
            <w:tcBorders>
              <w:top w:val="nil"/>
              <w:left w:val="nil"/>
              <w:bottom w:val="nil"/>
              <w:right w:val="nil"/>
            </w:tcBorders>
            <w:shd w:val="clear" w:color="auto" w:fill="auto"/>
            <w:noWrap/>
            <w:vAlign w:val="bottom"/>
            <w:hideMark/>
          </w:tcPr>
          <w:p w:rsidR="008463F3" w:rsidRPr="00DC182C" w:rsidRDefault="008463F3" w:rsidP="007679D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17</w:t>
            </w:r>
            <w:r w:rsidR="007679D3">
              <w:rPr>
                <w:rFonts w:asciiTheme="minorHAnsi" w:hAnsiTheme="minorHAnsi" w:cs="Arial"/>
                <w:color w:val="000000"/>
                <w:szCs w:val="24"/>
                <w:lang w:val="en-US" w:eastAsia="zh-CN"/>
              </w:rPr>
              <w:t>6</w:t>
            </w:r>
            <w:r w:rsidRPr="00DC182C">
              <w:rPr>
                <w:rFonts w:asciiTheme="minorHAnsi" w:hAnsiTheme="minorHAnsi" w:cs="Arial"/>
                <w:color w:val="000000"/>
                <w:szCs w:val="24"/>
                <w:lang w:val="en-US" w:eastAsia="zh-CN"/>
              </w:rPr>
              <w:t>,</w:t>
            </w:r>
            <w:r w:rsidR="007679D3">
              <w:rPr>
                <w:rFonts w:asciiTheme="minorHAnsi" w:hAnsiTheme="minorHAnsi" w:cs="Arial"/>
                <w:color w:val="000000"/>
                <w:szCs w:val="24"/>
                <w:lang w:val="en-US" w:eastAsia="zh-CN"/>
              </w:rPr>
              <w:t>389</w:t>
            </w:r>
          </w:p>
        </w:tc>
        <w:tc>
          <w:tcPr>
            <w:tcW w:w="2268" w:type="dxa"/>
            <w:tcBorders>
              <w:top w:val="nil"/>
              <w:left w:val="nil"/>
              <w:bottom w:val="nil"/>
              <w:right w:val="single" w:sz="8" w:space="0" w:color="auto"/>
            </w:tcBorders>
            <w:shd w:val="clear" w:color="auto" w:fill="auto"/>
            <w:noWrap/>
            <w:vAlign w:val="bottom"/>
            <w:hideMark/>
          </w:tcPr>
          <w:p w:rsidR="008463F3" w:rsidRPr="00DC182C" w:rsidRDefault="008463F3" w:rsidP="0008633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178,537</w:t>
            </w:r>
          </w:p>
        </w:tc>
      </w:tr>
      <w:tr w:rsidR="008463F3" w:rsidRPr="008463F3" w:rsidTr="000F144A">
        <w:trPr>
          <w:trHeight w:val="255"/>
          <w:jc w:val="center"/>
        </w:trPr>
        <w:tc>
          <w:tcPr>
            <w:tcW w:w="1128" w:type="dxa"/>
            <w:tcBorders>
              <w:top w:val="nil"/>
              <w:left w:val="single" w:sz="8" w:space="0" w:color="auto"/>
              <w:bottom w:val="nil"/>
              <w:right w:val="nil"/>
            </w:tcBorders>
            <w:shd w:val="clear" w:color="auto" w:fill="auto"/>
            <w:noWrap/>
            <w:vAlign w:val="bottom"/>
            <w:hideMark/>
          </w:tcPr>
          <w:p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Expenses</w:t>
            </w:r>
          </w:p>
        </w:tc>
        <w:tc>
          <w:tcPr>
            <w:tcW w:w="2387" w:type="dxa"/>
            <w:tcBorders>
              <w:top w:val="nil"/>
              <w:left w:val="nil"/>
              <w:bottom w:val="nil"/>
              <w:right w:val="nil"/>
            </w:tcBorders>
            <w:shd w:val="clear" w:color="auto" w:fill="auto"/>
            <w:noWrap/>
            <w:vAlign w:val="bottom"/>
            <w:hideMark/>
          </w:tcPr>
          <w:p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Cs w:val="24"/>
                <w:lang w:val="en-US" w:eastAsia="zh-CN"/>
              </w:rPr>
            </w:pPr>
          </w:p>
        </w:tc>
        <w:tc>
          <w:tcPr>
            <w:tcW w:w="2268" w:type="dxa"/>
            <w:tcBorders>
              <w:top w:val="nil"/>
              <w:left w:val="nil"/>
              <w:bottom w:val="nil"/>
              <w:right w:val="nil"/>
            </w:tcBorders>
            <w:shd w:val="clear" w:color="auto" w:fill="auto"/>
            <w:noWrap/>
            <w:vAlign w:val="bottom"/>
            <w:hideMark/>
          </w:tcPr>
          <w:p w:rsidR="008463F3" w:rsidRPr="00DC182C" w:rsidRDefault="008463F3" w:rsidP="007679D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18</w:t>
            </w:r>
            <w:r w:rsidR="007679D3">
              <w:rPr>
                <w:rFonts w:asciiTheme="minorHAnsi" w:hAnsiTheme="minorHAnsi" w:cs="Arial"/>
                <w:color w:val="000000"/>
                <w:szCs w:val="24"/>
                <w:lang w:val="en-US" w:eastAsia="zh-CN"/>
              </w:rPr>
              <w:t>4</w:t>
            </w:r>
            <w:r w:rsidRPr="00DC182C">
              <w:rPr>
                <w:rFonts w:asciiTheme="minorHAnsi" w:hAnsiTheme="minorHAnsi" w:cs="Arial"/>
                <w:color w:val="000000"/>
                <w:szCs w:val="24"/>
                <w:lang w:val="en-US" w:eastAsia="zh-CN"/>
              </w:rPr>
              <w:t>,</w:t>
            </w:r>
            <w:r w:rsidR="007679D3">
              <w:rPr>
                <w:rFonts w:asciiTheme="minorHAnsi" w:hAnsiTheme="minorHAnsi" w:cs="Arial"/>
                <w:color w:val="000000"/>
                <w:szCs w:val="24"/>
                <w:lang w:val="en-US" w:eastAsia="zh-CN"/>
              </w:rPr>
              <w:t>365</w:t>
            </w:r>
          </w:p>
        </w:tc>
        <w:tc>
          <w:tcPr>
            <w:tcW w:w="2268" w:type="dxa"/>
            <w:tcBorders>
              <w:top w:val="nil"/>
              <w:left w:val="nil"/>
              <w:bottom w:val="nil"/>
              <w:right w:val="single" w:sz="8" w:space="0" w:color="auto"/>
            </w:tcBorders>
            <w:shd w:val="clear" w:color="auto" w:fill="auto"/>
            <w:noWrap/>
            <w:vAlign w:val="bottom"/>
            <w:hideMark/>
          </w:tcPr>
          <w:p w:rsidR="008463F3" w:rsidRPr="00DC182C" w:rsidRDefault="008463F3" w:rsidP="0008633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195,615</w:t>
            </w:r>
          </w:p>
        </w:tc>
      </w:tr>
      <w:tr w:rsidR="008463F3" w:rsidRPr="008463F3" w:rsidTr="000F144A">
        <w:trPr>
          <w:trHeight w:val="270"/>
          <w:jc w:val="center"/>
        </w:trPr>
        <w:tc>
          <w:tcPr>
            <w:tcW w:w="1128" w:type="dxa"/>
            <w:tcBorders>
              <w:top w:val="single" w:sz="8" w:space="0" w:color="auto"/>
              <w:left w:val="single" w:sz="8" w:space="0" w:color="auto"/>
              <w:bottom w:val="single" w:sz="8" w:space="0" w:color="auto"/>
              <w:right w:val="nil"/>
            </w:tcBorders>
            <w:shd w:val="clear" w:color="auto" w:fill="auto"/>
            <w:noWrap/>
            <w:vAlign w:val="bottom"/>
            <w:hideMark/>
          </w:tcPr>
          <w:p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Cs w:val="24"/>
                <w:lang w:val="en-US" w:eastAsia="zh-CN"/>
              </w:rPr>
            </w:pPr>
            <w:r w:rsidRPr="00DC182C">
              <w:rPr>
                <w:rFonts w:asciiTheme="minorHAnsi" w:hAnsiTheme="minorHAnsi" w:cs="Arial"/>
                <w:b/>
                <w:bCs/>
                <w:color w:val="000000"/>
                <w:szCs w:val="24"/>
                <w:lang w:val="en-US" w:eastAsia="zh-CN"/>
              </w:rPr>
              <w:t>Surplus (Deficit)</w:t>
            </w:r>
          </w:p>
        </w:tc>
        <w:tc>
          <w:tcPr>
            <w:tcW w:w="2387" w:type="dxa"/>
            <w:tcBorders>
              <w:top w:val="single" w:sz="8" w:space="0" w:color="auto"/>
              <w:left w:val="nil"/>
              <w:bottom w:val="single" w:sz="8" w:space="0" w:color="auto"/>
              <w:right w:val="nil"/>
            </w:tcBorders>
            <w:shd w:val="clear" w:color="auto" w:fill="auto"/>
            <w:noWrap/>
            <w:vAlign w:val="bottom"/>
            <w:hideMark/>
          </w:tcPr>
          <w:p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Cs w:val="24"/>
                <w:lang w:val="en-US" w:eastAsia="zh-CN"/>
              </w:rPr>
            </w:pPr>
            <w:r w:rsidRPr="00DC182C">
              <w:rPr>
                <w:rFonts w:asciiTheme="minorHAnsi" w:hAnsiTheme="minorHAnsi" w:cs="Arial"/>
                <w:b/>
                <w:bCs/>
                <w:color w:val="000000"/>
                <w:szCs w:val="24"/>
                <w:lang w:val="en-US" w:eastAsia="zh-CN"/>
              </w:rPr>
              <w:t> </w:t>
            </w:r>
          </w:p>
        </w:tc>
        <w:tc>
          <w:tcPr>
            <w:tcW w:w="2268" w:type="dxa"/>
            <w:tcBorders>
              <w:top w:val="single" w:sz="8" w:space="0" w:color="auto"/>
              <w:left w:val="nil"/>
              <w:bottom w:val="single" w:sz="8" w:space="0" w:color="auto"/>
              <w:right w:val="nil"/>
            </w:tcBorders>
            <w:shd w:val="clear" w:color="auto" w:fill="auto"/>
            <w:noWrap/>
            <w:vAlign w:val="center"/>
            <w:hideMark/>
          </w:tcPr>
          <w:p w:rsidR="008463F3" w:rsidRPr="00DC182C" w:rsidRDefault="008463F3" w:rsidP="0008633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Cs w:val="24"/>
                <w:lang w:val="en-US" w:eastAsia="zh-CN"/>
              </w:rPr>
            </w:pPr>
            <w:r w:rsidRPr="00DC182C">
              <w:rPr>
                <w:rFonts w:asciiTheme="minorHAnsi" w:hAnsiTheme="minorHAnsi" w:cs="Arial"/>
                <w:b/>
                <w:bCs/>
                <w:color w:val="000000"/>
                <w:szCs w:val="24"/>
                <w:lang w:val="en-US" w:eastAsia="zh-CN"/>
              </w:rPr>
              <w:t>-7,976</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8463F3" w:rsidRPr="00DC182C" w:rsidRDefault="008463F3" w:rsidP="0008633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Cs w:val="24"/>
                <w:lang w:val="en-US" w:eastAsia="zh-CN"/>
              </w:rPr>
            </w:pPr>
            <w:r w:rsidRPr="00DC182C">
              <w:rPr>
                <w:rFonts w:asciiTheme="minorHAnsi" w:hAnsiTheme="minorHAnsi" w:cs="Arial"/>
                <w:b/>
                <w:bCs/>
                <w:color w:val="000000"/>
                <w:szCs w:val="24"/>
                <w:lang w:val="en-US" w:eastAsia="zh-CN"/>
              </w:rPr>
              <w:t>-17,078</w:t>
            </w:r>
          </w:p>
        </w:tc>
      </w:tr>
      <w:tr w:rsidR="008463F3" w:rsidRPr="008463F3" w:rsidTr="000F144A">
        <w:trPr>
          <w:trHeight w:val="255"/>
          <w:jc w:val="center"/>
        </w:trPr>
        <w:tc>
          <w:tcPr>
            <w:tcW w:w="1128" w:type="dxa"/>
            <w:tcBorders>
              <w:top w:val="nil"/>
              <w:left w:val="single" w:sz="8" w:space="0" w:color="auto"/>
              <w:bottom w:val="nil"/>
              <w:right w:val="nil"/>
            </w:tcBorders>
            <w:shd w:val="clear" w:color="auto" w:fill="auto"/>
            <w:noWrap/>
            <w:vAlign w:val="bottom"/>
            <w:hideMark/>
          </w:tcPr>
          <w:p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Asset</w:t>
            </w:r>
          </w:p>
        </w:tc>
        <w:tc>
          <w:tcPr>
            <w:tcW w:w="2387" w:type="dxa"/>
            <w:tcBorders>
              <w:top w:val="nil"/>
              <w:left w:val="nil"/>
              <w:bottom w:val="nil"/>
              <w:right w:val="nil"/>
            </w:tcBorders>
            <w:shd w:val="clear" w:color="auto" w:fill="auto"/>
            <w:noWrap/>
            <w:vAlign w:val="bottom"/>
            <w:hideMark/>
          </w:tcPr>
          <w:p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Cs w:val="24"/>
                <w:lang w:val="en-US" w:eastAsia="zh-CN"/>
              </w:rPr>
            </w:pPr>
          </w:p>
        </w:tc>
        <w:tc>
          <w:tcPr>
            <w:tcW w:w="2268" w:type="dxa"/>
            <w:tcBorders>
              <w:top w:val="nil"/>
              <w:left w:val="nil"/>
              <w:bottom w:val="nil"/>
              <w:right w:val="nil"/>
            </w:tcBorders>
            <w:shd w:val="clear" w:color="auto" w:fill="auto"/>
            <w:noWrap/>
            <w:vAlign w:val="bottom"/>
            <w:hideMark/>
          </w:tcPr>
          <w:p w:rsidR="008463F3" w:rsidRPr="00DC182C" w:rsidRDefault="008463F3" w:rsidP="007679D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 xml:space="preserve">                       4</w:t>
            </w:r>
            <w:r w:rsidR="007679D3">
              <w:rPr>
                <w:rFonts w:asciiTheme="minorHAnsi" w:hAnsiTheme="minorHAnsi" w:cs="Arial"/>
                <w:color w:val="000000"/>
                <w:szCs w:val="24"/>
                <w:lang w:val="en-US" w:eastAsia="zh-CN"/>
              </w:rPr>
              <w:t>10</w:t>
            </w:r>
            <w:r w:rsidRPr="00DC182C">
              <w:rPr>
                <w:rFonts w:asciiTheme="minorHAnsi" w:hAnsiTheme="minorHAnsi" w:cs="Arial"/>
                <w:color w:val="000000"/>
                <w:szCs w:val="24"/>
                <w:lang w:val="en-US" w:eastAsia="zh-CN"/>
              </w:rPr>
              <w:t>,</w:t>
            </w:r>
            <w:r w:rsidR="007679D3">
              <w:rPr>
                <w:rFonts w:asciiTheme="minorHAnsi" w:hAnsiTheme="minorHAnsi" w:cs="Arial"/>
                <w:color w:val="000000"/>
                <w:szCs w:val="24"/>
                <w:lang w:val="en-US" w:eastAsia="zh-CN"/>
              </w:rPr>
              <w:t>645</w:t>
            </w:r>
          </w:p>
        </w:tc>
        <w:tc>
          <w:tcPr>
            <w:tcW w:w="2268" w:type="dxa"/>
            <w:tcBorders>
              <w:top w:val="nil"/>
              <w:left w:val="nil"/>
              <w:bottom w:val="nil"/>
              <w:right w:val="single" w:sz="8" w:space="0" w:color="auto"/>
            </w:tcBorders>
            <w:shd w:val="clear" w:color="auto" w:fill="auto"/>
            <w:noWrap/>
            <w:vAlign w:val="bottom"/>
            <w:hideMark/>
          </w:tcPr>
          <w:p w:rsidR="008463F3" w:rsidRPr="00DC182C" w:rsidRDefault="008463F3" w:rsidP="0008633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 xml:space="preserve">                       372,774 </w:t>
            </w:r>
          </w:p>
        </w:tc>
      </w:tr>
      <w:tr w:rsidR="008463F3" w:rsidRPr="008463F3" w:rsidTr="000F144A">
        <w:trPr>
          <w:trHeight w:val="255"/>
          <w:jc w:val="center"/>
        </w:trPr>
        <w:tc>
          <w:tcPr>
            <w:tcW w:w="1128" w:type="dxa"/>
            <w:tcBorders>
              <w:top w:val="nil"/>
              <w:left w:val="single" w:sz="8" w:space="0" w:color="auto"/>
              <w:bottom w:val="nil"/>
              <w:right w:val="nil"/>
            </w:tcBorders>
            <w:shd w:val="clear" w:color="auto" w:fill="auto"/>
            <w:noWrap/>
            <w:vAlign w:val="bottom"/>
            <w:hideMark/>
          </w:tcPr>
          <w:p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Liabilities</w:t>
            </w:r>
          </w:p>
        </w:tc>
        <w:tc>
          <w:tcPr>
            <w:tcW w:w="2387" w:type="dxa"/>
            <w:tcBorders>
              <w:top w:val="nil"/>
              <w:left w:val="nil"/>
              <w:bottom w:val="nil"/>
              <w:right w:val="nil"/>
            </w:tcBorders>
            <w:shd w:val="clear" w:color="auto" w:fill="auto"/>
            <w:noWrap/>
            <w:vAlign w:val="bottom"/>
            <w:hideMark/>
          </w:tcPr>
          <w:p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Cs w:val="24"/>
                <w:lang w:val="en-US" w:eastAsia="zh-CN"/>
              </w:rPr>
            </w:pPr>
          </w:p>
        </w:tc>
        <w:tc>
          <w:tcPr>
            <w:tcW w:w="2268" w:type="dxa"/>
            <w:tcBorders>
              <w:top w:val="nil"/>
              <w:left w:val="nil"/>
              <w:bottom w:val="nil"/>
              <w:right w:val="nil"/>
            </w:tcBorders>
            <w:shd w:val="clear" w:color="auto" w:fill="auto"/>
            <w:noWrap/>
            <w:vAlign w:val="bottom"/>
            <w:hideMark/>
          </w:tcPr>
          <w:p w:rsidR="008463F3" w:rsidRPr="00DC182C" w:rsidRDefault="008463F3" w:rsidP="007679D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 xml:space="preserve">                       80</w:t>
            </w:r>
            <w:r w:rsidR="007679D3">
              <w:rPr>
                <w:rFonts w:asciiTheme="minorHAnsi" w:hAnsiTheme="minorHAnsi" w:cs="Arial"/>
                <w:color w:val="000000"/>
                <w:szCs w:val="24"/>
                <w:lang w:val="en-US" w:eastAsia="zh-CN"/>
              </w:rPr>
              <w:t>5</w:t>
            </w:r>
            <w:r w:rsidRPr="00DC182C">
              <w:rPr>
                <w:rFonts w:asciiTheme="minorHAnsi" w:hAnsiTheme="minorHAnsi" w:cs="Arial"/>
                <w:color w:val="000000"/>
                <w:szCs w:val="24"/>
                <w:lang w:val="en-US" w:eastAsia="zh-CN"/>
              </w:rPr>
              <w:t>,</w:t>
            </w:r>
            <w:r w:rsidR="007679D3">
              <w:rPr>
                <w:rFonts w:asciiTheme="minorHAnsi" w:hAnsiTheme="minorHAnsi" w:cs="Arial"/>
                <w:color w:val="000000"/>
                <w:szCs w:val="24"/>
                <w:lang w:val="en-US" w:eastAsia="zh-CN"/>
              </w:rPr>
              <w:t>823</w:t>
            </w:r>
            <w:r w:rsidRPr="00DC182C">
              <w:rPr>
                <w:rFonts w:asciiTheme="minorHAnsi" w:hAnsiTheme="minorHAnsi" w:cs="Arial"/>
                <w:color w:val="000000"/>
                <w:szCs w:val="24"/>
                <w:lang w:val="en-US" w:eastAsia="zh-CN"/>
              </w:rPr>
              <w:t xml:space="preserve"> </w:t>
            </w:r>
          </w:p>
        </w:tc>
        <w:tc>
          <w:tcPr>
            <w:tcW w:w="2268" w:type="dxa"/>
            <w:tcBorders>
              <w:top w:val="nil"/>
              <w:left w:val="nil"/>
              <w:bottom w:val="nil"/>
              <w:right w:val="single" w:sz="8" w:space="0" w:color="auto"/>
            </w:tcBorders>
            <w:shd w:val="clear" w:color="auto" w:fill="auto"/>
            <w:noWrap/>
            <w:vAlign w:val="bottom"/>
            <w:hideMark/>
          </w:tcPr>
          <w:p w:rsidR="008463F3" w:rsidRPr="00DC182C" w:rsidRDefault="008463F3" w:rsidP="006D215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Cs w:val="24"/>
                <w:lang w:val="en-US" w:eastAsia="zh-CN"/>
              </w:rPr>
            </w:pPr>
            <w:r w:rsidRPr="00DC182C">
              <w:rPr>
                <w:rFonts w:asciiTheme="minorHAnsi" w:hAnsiTheme="minorHAnsi" w:cs="Arial"/>
                <w:color w:val="000000"/>
                <w:szCs w:val="24"/>
                <w:lang w:val="en-US" w:eastAsia="zh-CN"/>
              </w:rPr>
              <w:t xml:space="preserve">                       855,29</w:t>
            </w:r>
            <w:r w:rsidR="006D2152">
              <w:rPr>
                <w:rFonts w:asciiTheme="minorHAnsi" w:hAnsiTheme="minorHAnsi" w:cs="Arial"/>
                <w:color w:val="000000"/>
                <w:szCs w:val="24"/>
                <w:lang w:val="en-US" w:eastAsia="zh-CN"/>
              </w:rPr>
              <w:t>7</w:t>
            </w:r>
            <w:r w:rsidRPr="00DC182C">
              <w:rPr>
                <w:rFonts w:asciiTheme="minorHAnsi" w:hAnsiTheme="minorHAnsi" w:cs="Arial"/>
                <w:color w:val="000000"/>
                <w:szCs w:val="24"/>
                <w:lang w:val="en-US" w:eastAsia="zh-CN"/>
              </w:rPr>
              <w:t xml:space="preserve"> </w:t>
            </w:r>
          </w:p>
        </w:tc>
      </w:tr>
      <w:tr w:rsidR="008463F3" w:rsidRPr="008463F3" w:rsidTr="000F144A">
        <w:trPr>
          <w:trHeight w:val="270"/>
          <w:jc w:val="center"/>
        </w:trPr>
        <w:tc>
          <w:tcPr>
            <w:tcW w:w="1128" w:type="dxa"/>
            <w:tcBorders>
              <w:top w:val="single" w:sz="8" w:space="0" w:color="auto"/>
              <w:left w:val="single" w:sz="8" w:space="0" w:color="auto"/>
              <w:bottom w:val="single" w:sz="8" w:space="0" w:color="auto"/>
              <w:right w:val="nil"/>
            </w:tcBorders>
            <w:shd w:val="clear" w:color="auto" w:fill="auto"/>
            <w:noWrap/>
            <w:vAlign w:val="bottom"/>
            <w:hideMark/>
          </w:tcPr>
          <w:p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Cs w:val="24"/>
                <w:lang w:val="en-US" w:eastAsia="zh-CN"/>
              </w:rPr>
            </w:pPr>
            <w:r w:rsidRPr="00DC182C">
              <w:rPr>
                <w:rFonts w:asciiTheme="minorHAnsi" w:hAnsiTheme="minorHAnsi" w:cs="Arial"/>
                <w:b/>
                <w:bCs/>
                <w:color w:val="000000"/>
                <w:szCs w:val="24"/>
                <w:lang w:val="en-US" w:eastAsia="zh-CN"/>
              </w:rPr>
              <w:t>Net assets</w:t>
            </w:r>
          </w:p>
        </w:tc>
        <w:tc>
          <w:tcPr>
            <w:tcW w:w="2387" w:type="dxa"/>
            <w:tcBorders>
              <w:top w:val="single" w:sz="8" w:space="0" w:color="auto"/>
              <w:left w:val="nil"/>
              <w:bottom w:val="single" w:sz="8" w:space="0" w:color="auto"/>
              <w:right w:val="nil"/>
            </w:tcBorders>
            <w:shd w:val="clear" w:color="auto" w:fill="auto"/>
            <w:noWrap/>
            <w:vAlign w:val="bottom"/>
            <w:hideMark/>
          </w:tcPr>
          <w:p w:rsidR="008463F3" w:rsidRPr="00DC182C" w:rsidRDefault="008463F3" w:rsidP="008463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Cs w:val="24"/>
                <w:lang w:val="en-US" w:eastAsia="zh-CN"/>
              </w:rPr>
            </w:pPr>
            <w:r w:rsidRPr="00DC182C">
              <w:rPr>
                <w:rFonts w:asciiTheme="minorHAnsi" w:hAnsiTheme="minorHAnsi" w:cs="Arial"/>
                <w:b/>
                <w:bCs/>
                <w:color w:val="000000"/>
                <w:szCs w:val="24"/>
                <w:lang w:val="en-US" w:eastAsia="zh-CN"/>
              </w:rPr>
              <w:t> </w:t>
            </w:r>
          </w:p>
        </w:tc>
        <w:tc>
          <w:tcPr>
            <w:tcW w:w="2268" w:type="dxa"/>
            <w:tcBorders>
              <w:top w:val="single" w:sz="8" w:space="0" w:color="auto"/>
              <w:left w:val="nil"/>
              <w:bottom w:val="single" w:sz="8" w:space="0" w:color="auto"/>
              <w:right w:val="nil"/>
            </w:tcBorders>
            <w:shd w:val="clear" w:color="auto" w:fill="auto"/>
            <w:noWrap/>
            <w:vAlign w:val="center"/>
            <w:hideMark/>
          </w:tcPr>
          <w:p w:rsidR="008463F3" w:rsidRPr="00DC182C" w:rsidRDefault="008463F3" w:rsidP="0008633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Cs w:val="24"/>
                <w:lang w:val="en-US" w:eastAsia="zh-CN"/>
              </w:rPr>
            </w:pPr>
            <w:r w:rsidRPr="00DC182C">
              <w:rPr>
                <w:rFonts w:asciiTheme="minorHAnsi" w:hAnsiTheme="minorHAnsi" w:cs="Arial"/>
                <w:b/>
                <w:bCs/>
                <w:color w:val="000000"/>
                <w:szCs w:val="24"/>
                <w:lang w:val="en-US" w:eastAsia="zh-CN"/>
              </w:rPr>
              <w:t xml:space="preserve">                       395,178 </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8463F3" w:rsidRPr="00DC182C" w:rsidRDefault="008463F3" w:rsidP="006D215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Cs w:val="24"/>
                <w:lang w:val="en-US" w:eastAsia="zh-CN"/>
              </w:rPr>
            </w:pPr>
            <w:r w:rsidRPr="00DC182C">
              <w:rPr>
                <w:rFonts w:asciiTheme="minorHAnsi" w:hAnsiTheme="minorHAnsi" w:cs="Arial"/>
                <w:b/>
                <w:bCs/>
                <w:color w:val="000000"/>
                <w:szCs w:val="24"/>
                <w:lang w:val="en-US" w:eastAsia="zh-CN"/>
              </w:rPr>
              <w:t xml:space="preserve">                       482,52</w:t>
            </w:r>
            <w:r w:rsidR="006D2152">
              <w:rPr>
                <w:rFonts w:asciiTheme="minorHAnsi" w:hAnsiTheme="minorHAnsi" w:cs="Arial"/>
                <w:b/>
                <w:bCs/>
                <w:color w:val="000000"/>
                <w:szCs w:val="24"/>
                <w:lang w:val="en-US" w:eastAsia="zh-CN"/>
              </w:rPr>
              <w:t>4</w:t>
            </w:r>
            <w:r w:rsidRPr="00DC182C">
              <w:rPr>
                <w:rFonts w:asciiTheme="minorHAnsi" w:hAnsiTheme="minorHAnsi" w:cs="Arial"/>
                <w:b/>
                <w:bCs/>
                <w:color w:val="000000"/>
                <w:szCs w:val="24"/>
                <w:lang w:val="en-US" w:eastAsia="zh-CN"/>
              </w:rPr>
              <w:t xml:space="preserve"> </w:t>
            </w:r>
          </w:p>
        </w:tc>
      </w:tr>
    </w:tbl>
    <w:p w:rsidR="00985154" w:rsidRDefault="00985154" w:rsidP="00DF5DD9">
      <w:pPr>
        <w:snapToGrid w:val="0"/>
        <w:spacing w:before="0"/>
      </w:pPr>
    </w:p>
    <w:p w:rsidR="000F144A" w:rsidRPr="006F5C39" w:rsidRDefault="000F144A" w:rsidP="000F144A">
      <w:pPr>
        <w:pStyle w:val="ListParagraph"/>
        <w:numPr>
          <w:ilvl w:val="0"/>
          <w:numId w:val="6"/>
        </w:numPr>
        <w:tabs>
          <w:tab w:val="left" w:pos="709"/>
        </w:tabs>
        <w:adjustRightInd w:val="0"/>
        <w:snapToGrid w:val="0"/>
        <w:ind w:left="0" w:firstLine="0"/>
        <w:contextualSpacing w:val="0"/>
        <w:jc w:val="both"/>
        <w:rPr>
          <w:rFonts w:ascii="Calibri" w:eastAsia="Times New Roman" w:hAnsi="Calibri" w:cs="Calibri"/>
          <w:szCs w:val="20"/>
          <w:lang w:eastAsia="en-US"/>
        </w:rPr>
      </w:pPr>
      <w:r w:rsidRPr="000F144A">
        <w:rPr>
          <w:rFonts w:ascii="Calibri" w:hAnsi="Calibri" w:cs="Calibri"/>
        </w:rPr>
        <w:t>The financial results shown in the table above include some non-budgeted items such as Depreciation and Adjustment of the ASHI provision. As per the requirement of IPSAS 24, the comparison of budgeted amounts and actuals amounts on a comparable basis is presented in Table V of the financial statements.</w:t>
      </w:r>
    </w:p>
    <w:p w:rsidR="006F5C39" w:rsidRPr="006F5C39" w:rsidRDefault="006F5C39" w:rsidP="006F5C39">
      <w:pPr>
        <w:pStyle w:val="ListParagraph"/>
        <w:adjustRightInd w:val="0"/>
        <w:snapToGrid w:val="0"/>
        <w:ind w:left="0"/>
        <w:contextualSpacing w:val="0"/>
        <w:jc w:val="both"/>
        <w:rPr>
          <w:rFonts w:ascii="Calibri" w:eastAsia="Times New Roman" w:hAnsi="Calibri" w:cs="Calibri"/>
          <w:szCs w:val="20"/>
          <w:lang w:eastAsia="en-US"/>
        </w:rPr>
      </w:pPr>
    </w:p>
    <w:p w:rsidR="006F5C39" w:rsidRDefault="006F5C39" w:rsidP="0071503D">
      <w:pPr>
        <w:pStyle w:val="ListParagraph"/>
        <w:numPr>
          <w:ilvl w:val="0"/>
          <w:numId w:val="6"/>
        </w:numPr>
        <w:snapToGrid w:val="0"/>
        <w:ind w:left="0" w:firstLine="0"/>
        <w:jc w:val="both"/>
        <w:rPr>
          <w:rFonts w:ascii="Calibri" w:hAnsi="Calibri" w:cs="Calibri"/>
        </w:rPr>
      </w:pPr>
      <w:r w:rsidRPr="006F5C39">
        <w:rPr>
          <w:rFonts w:ascii="Calibri" w:hAnsi="Calibri" w:cs="Calibri"/>
        </w:rPr>
        <w:t>On a budgetary basis, the Union presents a CHF 11.07 million surplus for the year 2018. In accordance with the Financial Regulations and Financial Rules, Article 10, paragraph 5 and Article 12 paragraph 4, the Secretary-General authorized and proposed the following allocations of the 2018 budgetary surplus. CHF 2.369 million paid as per Resolution 1387, CHF 6 million paid to the new Building Reserve fund, CHF 1 million to the ASHI fund, CHF 1 million for the enhancement of the security and KCHF 200 for investigations. After the allocations were made, CHF 507.9 million were paid into the Reserve Account. At 31 December 2018, the Reserve Account shows a balance of CHF 27.4 million, corresponding to 17.1 per cent of the budget for 2018 (CHF 27.7 million for 2017).</w:t>
      </w:r>
    </w:p>
    <w:p w:rsidR="00273504" w:rsidRPr="001573DA" w:rsidRDefault="00273504" w:rsidP="00AC5E61">
      <w:pPr>
        <w:tabs>
          <w:tab w:val="left" w:pos="709"/>
        </w:tabs>
        <w:snapToGrid w:val="0"/>
        <w:spacing w:before="0"/>
        <w:jc w:val="both"/>
        <w:rPr>
          <w:lang w:val="en-US"/>
        </w:rPr>
      </w:pPr>
    </w:p>
    <w:p w:rsidR="00F94F61" w:rsidRPr="005C6F65" w:rsidRDefault="00044652" w:rsidP="001A030C">
      <w:pPr>
        <w:tabs>
          <w:tab w:val="clear" w:pos="567"/>
          <w:tab w:val="left" w:pos="709"/>
        </w:tabs>
        <w:snapToGrid w:val="0"/>
        <w:spacing w:before="0"/>
        <w:jc w:val="both"/>
      </w:pPr>
      <w:r>
        <w:t>19</w:t>
      </w:r>
      <w:r w:rsidR="00F94F61" w:rsidRPr="001573DA">
        <w:tab/>
        <w:t>In 201</w:t>
      </w:r>
      <w:r w:rsidR="000B600F" w:rsidRPr="001573DA">
        <w:t>8</w:t>
      </w:r>
      <w:r w:rsidR="00F94F61" w:rsidRPr="001573DA">
        <w:t>, the ITU revenues amounted to KCHF 17</w:t>
      </w:r>
      <w:r w:rsidR="001A030C">
        <w:t>6</w:t>
      </w:r>
      <w:r w:rsidR="00F94F61" w:rsidRPr="001573DA">
        <w:t>’</w:t>
      </w:r>
      <w:r w:rsidR="001A030C">
        <w:t>389</w:t>
      </w:r>
      <w:r w:rsidR="00F94F61" w:rsidRPr="001573DA">
        <w:t xml:space="preserve"> (KCHF 17</w:t>
      </w:r>
      <w:r w:rsidR="008463F3" w:rsidRPr="001573DA">
        <w:t>8</w:t>
      </w:r>
      <w:r w:rsidR="00F94F61" w:rsidRPr="001573DA">
        <w:t>’</w:t>
      </w:r>
      <w:r w:rsidR="008463F3" w:rsidRPr="001573DA">
        <w:t>537</w:t>
      </w:r>
      <w:r w:rsidR="00F94F61" w:rsidRPr="001573DA">
        <w:t xml:space="preserve"> in 201</w:t>
      </w:r>
      <w:r w:rsidR="008463F3" w:rsidRPr="001573DA">
        <w:t>7</w:t>
      </w:r>
      <w:r w:rsidR="00F94F61" w:rsidRPr="001573DA">
        <w:t>) reflected as follows:</w:t>
      </w:r>
    </w:p>
    <w:p w:rsidR="00B66ED1" w:rsidRDefault="009C5A8C" w:rsidP="00AB5D27">
      <w:pPr>
        <w:snapToGrid w:val="0"/>
        <w:spacing w:after="120"/>
        <w:jc w:val="center"/>
      </w:pPr>
      <w:r>
        <w:rPr>
          <w:noProof/>
          <w:lang w:eastAsia="zh-CN"/>
        </w:rPr>
        <w:drawing>
          <wp:inline distT="0" distB="0" distL="0" distR="0" wp14:anchorId="434928CE" wp14:editId="27A42F43">
            <wp:extent cx="48006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5DD6" w:rsidRDefault="008F5DD6" w:rsidP="00C94915">
      <w:pPr>
        <w:tabs>
          <w:tab w:val="clear" w:pos="567"/>
          <w:tab w:val="clear" w:pos="1134"/>
          <w:tab w:val="clear" w:pos="1701"/>
          <w:tab w:val="clear" w:pos="2268"/>
          <w:tab w:val="clear" w:pos="2835"/>
          <w:tab w:val="left" w:pos="851"/>
        </w:tabs>
        <w:snapToGrid w:val="0"/>
        <w:spacing w:before="0"/>
        <w:jc w:val="both"/>
      </w:pPr>
    </w:p>
    <w:p w:rsidR="00F94F61" w:rsidRDefault="0071503D" w:rsidP="00044652">
      <w:pPr>
        <w:tabs>
          <w:tab w:val="clear" w:pos="567"/>
          <w:tab w:val="clear" w:pos="1134"/>
          <w:tab w:val="clear" w:pos="1701"/>
          <w:tab w:val="clear" w:pos="2268"/>
          <w:tab w:val="clear" w:pos="2835"/>
          <w:tab w:val="left" w:pos="709"/>
        </w:tabs>
        <w:snapToGrid w:val="0"/>
        <w:spacing w:before="0"/>
        <w:jc w:val="both"/>
      </w:pPr>
      <w:r>
        <w:t>2</w:t>
      </w:r>
      <w:r w:rsidR="00044652">
        <w:t>0</w:t>
      </w:r>
      <w:r w:rsidR="00F94F61">
        <w:tab/>
      </w:r>
      <w:r w:rsidR="00B66ED1" w:rsidRPr="00F94F61">
        <w:t xml:space="preserve">The main source of revenue </w:t>
      </w:r>
      <w:r w:rsidR="00134657" w:rsidRPr="00F94F61">
        <w:t xml:space="preserve">comes from </w:t>
      </w:r>
      <w:r w:rsidR="00B66ED1" w:rsidRPr="00F94F61">
        <w:t>assessed contribution</w:t>
      </w:r>
      <w:r w:rsidR="00134657" w:rsidRPr="00F94F61">
        <w:t>s</w:t>
      </w:r>
      <w:r w:rsidR="00B66ED1" w:rsidRPr="00F94F61">
        <w:t xml:space="preserve"> represent</w:t>
      </w:r>
      <w:r w:rsidR="00134657" w:rsidRPr="00F94F61">
        <w:t>ing</w:t>
      </w:r>
      <w:r w:rsidR="00B66ED1" w:rsidRPr="00F94F61">
        <w:t xml:space="preserve"> </w:t>
      </w:r>
      <w:r w:rsidR="00B66ED1" w:rsidRPr="008463F3">
        <w:t>7</w:t>
      </w:r>
      <w:r w:rsidR="008463F3" w:rsidRPr="008463F3">
        <w:t>2</w:t>
      </w:r>
      <w:r w:rsidR="00B4202F" w:rsidRPr="008463F3">
        <w:t> per cent</w:t>
      </w:r>
      <w:r w:rsidR="00B66ED1" w:rsidRPr="008463F3">
        <w:t xml:space="preserve"> in </w:t>
      </w:r>
      <w:r w:rsidR="00966288" w:rsidRPr="008463F3">
        <w:t>201</w:t>
      </w:r>
      <w:r w:rsidR="000B600F" w:rsidRPr="008463F3">
        <w:t>8</w:t>
      </w:r>
      <w:r w:rsidR="00966288" w:rsidRPr="008463F3">
        <w:t xml:space="preserve"> </w:t>
      </w:r>
      <w:r w:rsidR="00F94F61" w:rsidRPr="008463F3">
        <w:t xml:space="preserve">which </w:t>
      </w:r>
      <w:r w:rsidR="008463F3" w:rsidRPr="008463F3">
        <w:t>has slightly increased c</w:t>
      </w:r>
      <w:r w:rsidR="00F94F61" w:rsidRPr="008463F3">
        <w:t xml:space="preserve">ompared </w:t>
      </w:r>
      <w:r w:rsidR="008463F3" w:rsidRPr="008463F3">
        <w:t>to</w:t>
      </w:r>
      <w:r w:rsidR="00F94F61" w:rsidRPr="008463F3">
        <w:t xml:space="preserve"> 201</w:t>
      </w:r>
      <w:r w:rsidR="000B600F" w:rsidRPr="008463F3">
        <w:t>7</w:t>
      </w:r>
      <w:r w:rsidR="00B66ED1" w:rsidRPr="008463F3">
        <w:t xml:space="preserve">, followed by the operating revenue </w:t>
      </w:r>
      <w:r w:rsidR="00134657" w:rsidRPr="008463F3">
        <w:t xml:space="preserve">representing </w:t>
      </w:r>
      <w:r w:rsidR="00F94F61" w:rsidRPr="008463F3">
        <w:t>2</w:t>
      </w:r>
      <w:r w:rsidR="008463F3" w:rsidRPr="008463F3">
        <w:t>3</w:t>
      </w:r>
      <w:r w:rsidR="00B4202F" w:rsidRPr="008463F3">
        <w:t> per cent</w:t>
      </w:r>
      <w:r w:rsidR="00B66ED1" w:rsidRPr="008463F3">
        <w:t xml:space="preserve"> which included mainly the sales of publication</w:t>
      </w:r>
      <w:r w:rsidR="00134657" w:rsidRPr="008463F3">
        <w:t>s</w:t>
      </w:r>
      <w:r w:rsidR="00B66ED1" w:rsidRPr="008463F3">
        <w:t xml:space="preserve"> and the satellite network filing</w:t>
      </w:r>
      <w:r w:rsidR="00134657" w:rsidRPr="008463F3">
        <w:t>s</w:t>
      </w:r>
      <w:r w:rsidR="00B66ED1" w:rsidRPr="00F94F61">
        <w:t>.</w:t>
      </w:r>
    </w:p>
    <w:p w:rsidR="00F94F61" w:rsidRDefault="007E7031" w:rsidP="00E926FF">
      <w:pPr>
        <w:pStyle w:val="ListParagraph"/>
        <w:tabs>
          <w:tab w:val="left" w:pos="851"/>
        </w:tabs>
        <w:snapToGrid w:val="0"/>
        <w:spacing w:after="120"/>
        <w:jc w:val="both"/>
      </w:pPr>
      <w:r>
        <w:rPr>
          <w:noProof/>
          <w:lang w:val="en-GB"/>
        </w:rPr>
        <w:drawing>
          <wp:inline distT="0" distB="0" distL="0" distR="0" wp14:anchorId="0884ECB0" wp14:editId="2D82F29E">
            <wp:extent cx="5353050" cy="4414934"/>
            <wp:effectExtent l="0" t="0" r="0" b="508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6ED1" w:rsidRPr="0013363C" w:rsidRDefault="00B66ED1" w:rsidP="009F0E44">
      <w:pPr>
        <w:snapToGrid w:val="0"/>
        <w:spacing w:before="0"/>
      </w:pPr>
    </w:p>
    <w:p w:rsidR="008F5DD6" w:rsidRDefault="00F94F61" w:rsidP="00CD1303">
      <w:pPr>
        <w:tabs>
          <w:tab w:val="clear" w:pos="567"/>
          <w:tab w:val="clear" w:pos="1134"/>
          <w:tab w:val="clear" w:pos="1701"/>
          <w:tab w:val="clear" w:pos="2268"/>
          <w:tab w:val="clear" w:pos="2835"/>
          <w:tab w:val="left" w:pos="709"/>
        </w:tabs>
        <w:snapToGrid w:val="0"/>
        <w:spacing w:before="0"/>
      </w:pPr>
      <w:r>
        <w:t>2</w:t>
      </w:r>
      <w:r w:rsidR="00044652">
        <w:t>1</w:t>
      </w:r>
      <w:r>
        <w:tab/>
      </w:r>
      <w:r w:rsidR="00B66ED1" w:rsidRPr="00F94F61">
        <w:t>In 201</w:t>
      </w:r>
      <w:r w:rsidR="00BD5D98">
        <w:t>8</w:t>
      </w:r>
      <w:r w:rsidR="00134657" w:rsidRPr="00F94F61">
        <w:t>,</w:t>
      </w:r>
      <w:r w:rsidR="00B66ED1" w:rsidRPr="00F94F61">
        <w:t xml:space="preserve"> the ITU expenses amounted </w:t>
      </w:r>
      <w:r w:rsidR="00134657" w:rsidRPr="00F94F61">
        <w:t xml:space="preserve">to </w:t>
      </w:r>
      <w:r w:rsidR="00B66ED1" w:rsidRPr="00BE3CC2">
        <w:t>KCHF 1</w:t>
      </w:r>
      <w:r w:rsidR="00BE3CC2" w:rsidRPr="00BE3CC2">
        <w:t>8</w:t>
      </w:r>
      <w:r w:rsidR="00CD1303">
        <w:t>4</w:t>
      </w:r>
      <w:r w:rsidR="00B66ED1" w:rsidRPr="00BE3CC2">
        <w:t>’</w:t>
      </w:r>
      <w:r w:rsidR="00CD1303">
        <w:t>365</w:t>
      </w:r>
      <w:r w:rsidR="00B66ED1" w:rsidRPr="00BE3CC2">
        <w:t xml:space="preserve"> (KCHF</w:t>
      </w:r>
      <w:r w:rsidR="0014314E" w:rsidRPr="00BE3CC2">
        <w:t> </w:t>
      </w:r>
      <w:r w:rsidR="00BE3CC2" w:rsidRPr="00BE3CC2">
        <w:t>195</w:t>
      </w:r>
      <w:r w:rsidR="00B66ED1" w:rsidRPr="00BE3CC2">
        <w:t>’</w:t>
      </w:r>
      <w:r w:rsidR="00BE3CC2" w:rsidRPr="00BE3CC2">
        <w:t>615</w:t>
      </w:r>
      <w:r w:rsidR="00B66ED1" w:rsidRPr="00BE3CC2">
        <w:t xml:space="preserve"> in 201</w:t>
      </w:r>
      <w:r w:rsidR="00BE3CC2" w:rsidRPr="00BE3CC2">
        <w:t>7</w:t>
      </w:r>
      <w:r w:rsidR="00B66ED1" w:rsidRPr="00BE3CC2">
        <w:t xml:space="preserve">) </w:t>
      </w:r>
      <w:r w:rsidR="00134657" w:rsidRPr="00BE3CC2">
        <w:t xml:space="preserve">reflected as </w:t>
      </w:r>
      <w:r w:rsidR="00B66ED1" w:rsidRPr="00BE3CC2">
        <w:t>follows:</w:t>
      </w:r>
    </w:p>
    <w:p w:rsidR="008F5DD6" w:rsidRDefault="008F5DD6" w:rsidP="009F0E44">
      <w:pPr>
        <w:tabs>
          <w:tab w:val="left" w:pos="851"/>
        </w:tabs>
        <w:snapToGrid w:val="0"/>
        <w:spacing w:before="0"/>
      </w:pPr>
    </w:p>
    <w:p w:rsidR="00EA4F85" w:rsidRPr="00EA4F85" w:rsidRDefault="00BE3CC2" w:rsidP="008F5DD6">
      <w:pPr>
        <w:tabs>
          <w:tab w:val="left" w:pos="851"/>
        </w:tabs>
        <w:snapToGrid w:val="0"/>
        <w:spacing w:after="120"/>
        <w:rPr>
          <w:sz w:val="20"/>
        </w:rPr>
      </w:pPr>
      <w:r>
        <w:rPr>
          <w:noProof/>
          <w:lang w:eastAsia="zh-CN"/>
        </w:rPr>
        <w:drawing>
          <wp:inline distT="0" distB="0" distL="0" distR="0" wp14:anchorId="436DB273" wp14:editId="29743432">
            <wp:extent cx="6210935" cy="3500755"/>
            <wp:effectExtent l="0" t="0" r="18415"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43133" w:rsidRDefault="004A254E" w:rsidP="00044652">
      <w:pPr>
        <w:tabs>
          <w:tab w:val="clear" w:pos="567"/>
          <w:tab w:val="clear" w:pos="1134"/>
          <w:tab w:val="clear" w:pos="1701"/>
          <w:tab w:val="clear" w:pos="2268"/>
          <w:tab w:val="clear" w:pos="2835"/>
          <w:tab w:val="left" w:pos="709"/>
        </w:tabs>
        <w:overflowPunct/>
        <w:autoSpaceDE/>
        <w:autoSpaceDN/>
        <w:adjustRightInd/>
        <w:spacing w:before="0"/>
        <w:textAlignment w:val="auto"/>
      </w:pPr>
      <w:r>
        <w:t>2</w:t>
      </w:r>
      <w:r w:rsidR="00044652">
        <w:t>2</w:t>
      </w:r>
      <w:r>
        <w:tab/>
      </w:r>
      <w:r w:rsidR="000A4959">
        <w:t>I</w:t>
      </w:r>
      <w:r w:rsidR="00C00D84">
        <w:t xml:space="preserve">n 2018, </w:t>
      </w:r>
      <w:r w:rsidR="001D7052">
        <w:t>a strict monitoring of the budget and a decrease of the debtors leaded to a global decrease of 6.5% of the expenses. T</w:t>
      </w:r>
      <w:r w:rsidR="00B869D5">
        <w:t xml:space="preserve">he </w:t>
      </w:r>
      <w:r w:rsidR="001D7052">
        <w:t xml:space="preserve">employee </w:t>
      </w:r>
      <w:r w:rsidR="00B66ED1">
        <w:t xml:space="preserve">expenses </w:t>
      </w:r>
      <w:r w:rsidR="001D7052">
        <w:t xml:space="preserve">remained the main expenses </w:t>
      </w:r>
      <w:r w:rsidR="00B66ED1">
        <w:t>represent</w:t>
      </w:r>
      <w:r w:rsidR="00B869D5">
        <w:t>ing</w:t>
      </w:r>
      <w:r w:rsidR="00B66ED1">
        <w:t xml:space="preserve"> </w:t>
      </w:r>
      <w:r w:rsidR="007E7031">
        <w:t>82</w:t>
      </w:r>
      <w:r w:rsidR="00695AF2">
        <w:t> per cent</w:t>
      </w:r>
      <w:r w:rsidR="00B66ED1">
        <w:t xml:space="preserve"> in 201</w:t>
      </w:r>
      <w:r w:rsidR="007E7031">
        <w:t>8</w:t>
      </w:r>
      <w:r w:rsidR="00B66ED1">
        <w:t>.</w:t>
      </w:r>
    </w:p>
    <w:p w:rsidR="001C63B9" w:rsidRPr="00A01021" w:rsidRDefault="001C63B9" w:rsidP="00373677">
      <w:pPr>
        <w:pStyle w:val="ListParagraph"/>
        <w:tabs>
          <w:tab w:val="left" w:pos="851"/>
        </w:tabs>
        <w:adjustRightInd w:val="0"/>
        <w:snapToGrid w:val="0"/>
        <w:ind w:left="0"/>
        <w:contextualSpacing w:val="0"/>
        <w:jc w:val="both"/>
        <w:rPr>
          <w:rFonts w:ascii="Calibri" w:eastAsia="Times New Roman" w:hAnsi="Calibri"/>
          <w:szCs w:val="20"/>
          <w:lang w:val="en-GB" w:eastAsia="en-US"/>
        </w:rPr>
      </w:pPr>
    </w:p>
    <w:p w:rsidR="007C5F44" w:rsidRPr="007C5F44" w:rsidRDefault="001C63B9" w:rsidP="00BD5D98">
      <w:pPr>
        <w:pStyle w:val="ListParagraph"/>
        <w:tabs>
          <w:tab w:val="left" w:pos="-76"/>
          <w:tab w:val="left" w:pos="851"/>
        </w:tabs>
        <w:adjustRightInd w:val="0"/>
        <w:snapToGrid w:val="0"/>
        <w:ind w:left="0"/>
        <w:contextualSpacing w:val="0"/>
        <w:jc w:val="both"/>
        <w:rPr>
          <w:rFonts w:ascii="Calibri" w:hAnsi="Calibri"/>
          <w:b/>
          <w:bCs/>
          <w:sz w:val="28"/>
          <w:szCs w:val="28"/>
          <w:u w:val="single"/>
        </w:rPr>
      </w:pPr>
      <w:r w:rsidRPr="007C5F44">
        <w:rPr>
          <w:rFonts w:ascii="Calibri" w:hAnsi="Calibri"/>
          <w:b/>
          <w:bCs/>
          <w:sz w:val="28"/>
          <w:szCs w:val="28"/>
          <w:u w:val="single"/>
        </w:rPr>
        <w:t xml:space="preserve">Financial position: </w:t>
      </w:r>
      <w:r w:rsidR="00A01021" w:rsidRPr="007C5F44">
        <w:rPr>
          <w:rFonts w:ascii="Calibri" w:hAnsi="Calibri"/>
          <w:b/>
          <w:bCs/>
          <w:sz w:val="28"/>
          <w:szCs w:val="28"/>
          <w:u w:val="single"/>
        </w:rPr>
        <w:t xml:space="preserve"> </w:t>
      </w:r>
      <w:r w:rsidR="009F60E1" w:rsidRPr="007C5F44">
        <w:rPr>
          <w:rFonts w:ascii="Calibri" w:hAnsi="Calibri"/>
          <w:b/>
          <w:bCs/>
          <w:sz w:val="28"/>
          <w:szCs w:val="28"/>
          <w:u w:val="single"/>
        </w:rPr>
        <w:t>Asset representation for 201</w:t>
      </w:r>
      <w:r w:rsidR="00BD5D98">
        <w:rPr>
          <w:rFonts w:ascii="Calibri" w:hAnsi="Calibri"/>
          <w:b/>
          <w:bCs/>
          <w:sz w:val="28"/>
          <w:szCs w:val="28"/>
          <w:u w:val="single"/>
        </w:rPr>
        <w:t>8</w:t>
      </w:r>
    </w:p>
    <w:p w:rsidR="00352D54" w:rsidRDefault="00352D54" w:rsidP="00373677">
      <w:pPr>
        <w:pStyle w:val="ListParagraph"/>
        <w:tabs>
          <w:tab w:val="left" w:pos="851"/>
        </w:tabs>
        <w:adjustRightInd w:val="0"/>
        <w:snapToGrid w:val="0"/>
        <w:ind w:left="0"/>
        <w:contextualSpacing w:val="0"/>
        <w:rPr>
          <w:rFonts w:ascii="Calibri" w:eastAsia="Times New Roman" w:hAnsi="Calibri"/>
          <w:szCs w:val="20"/>
          <w:lang w:eastAsia="en-US"/>
        </w:rPr>
      </w:pPr>
    </w:p>
    <w:p w:rsidR="009F60E1" w:rsidRDefault="007E7031" w:rsidP="007E7031">
      <w:pPr>
        <w:pStyle w:val="ListParagraph"/>
        <w:snapToGrid w:val="0"/>
        <w:spacing w:after="120"/>
        <w:ind w:left="854"/>
        <w:rPr>
          <w:rFonts w:ascii="Calibri" w:eastAsia="Times New Roman" w:hAnsi="Calibri"/>
          <w:szCs w:val="20"/>
          <w:lang w:eastAsia="en-US"/>
        </w:rPr>
      </w:pPr>
      <w:r>
        <w:rPr>
          <w:noProof/>
          <w:lang w:val="en-GB"/>
        </w:rPr>
        <w:drawing>
          <wp:inline distT="0" distB="0" distL="0" distR="0" wp14:anchorId="62258093" wp14:editId="4063D535">
            <wp:extent cx="4876800" cy="3481388"/>
            <wp:effectExtent l="0" t="0" r="0" b="50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C5F44" w:rsidRPr="00373677" w:rsidRDefault="007C5F44" w:rsidP="00373677">
      <w:pPr>
        <w:pStyle w:val="ListParagraph"/>
        <w:tabs>
          <w:tab w:val="left" w:pos="-76"/>
          <w:tab w:val="left" w:pos="851"/>
        </w:tabs>
        <w:adjustRightInd w:val="0"/>
        <w:snapToGrid w:val="0"/>
        <w:ind w:left="0"/>
        <w:contextualSpacing w:val="0"/>
        <w:jc w:val="both"/>
        <w:rPr>
          <w:rFonts w:ascii="Calibri" w:hAnsi="Calibri"/>
          <w:b/>
          <w:bCs/>
          <w:u w:val="single"/>
        </w:rPr>
      </w:pPr>
    </w:p>
    <w:p w:rsidR="00A03BF5" w:rsidRDefault="00A03BF5" w:rsidP="00BD5D98">
      <w:pPr>
        <w:pStyle w:val="ListParagraph"/>
        <w:tabs>
          <w:tab w:val="left" w:pos="-76"/>
          <w:tab w:val="left" w:pos="851"/>
        </w:tabs>
        <w:adjustRightInd w:val="0"/>
        <w:snapToGrid w:val="0"/>
        <w:ind w:left="0"/>
        <w:contextualSpacing w:val="0"/>
        <w:jc w:val="both"/>
        <w:rPr>
          <w:rFonts w:ascii="Calibri" w:hAnsi="Calibri"/>
          <w:b/>
          <w:bCs/>
          <w:sz w:val="28"/>
          <w:szCs w:val="28"/>
          <w:u w:val="single"/>
        </w:rPr>
      </w:pPr>
    </w:p>
    <w:p w:rsidR="00CF43D8" w:rsidRPr="007C5F44" w:rsidRDefault="00044F18" w:rsidP="00BD5D98">
      <w:pPr>
        <w:pStyle w:val="ListParagraph"/>
        <w:tabs>
          <w:tab w:val="left" w:pos="-76"/>
          <w:tab w:val="left" w:pos="851"/>
        </w:tabs>
        <w:adjustRightInd w:val="0"/>
        <w:snapToGrid w:val="0"/>
        <w:ind w:left="0"/>
        <w:contextualSpacing w:val="0"/>
        <w:jc w:val="both"/>
        <w:rPr>
          <w:rFonts w:ascii="Calibri" w:hAnsi="Calibri"/>
          <w:b/>
          <w:bCs/>
          <w:sz w:val="28"/>
          <w:szCs w:val="28"/>
          <w:u w:val="single"/>
        </w:rPr>
      </w:pPr>
      <w:r w:rsidRPr="007C5F44">
        <w:rPr>
          <w:rFonts w:ascii="Calibri" w:hAnsi="Calibri"/>
          <w:b/>
          <w:bCs/>
          <w:sz w:val="28"/>
          <w:szCs w:val="28"/>
          <w:u w:val="single"/>
        </w:rPr>
        <w:t>F</w:t>
      </w:r>
      <w:r w:rsidR="006B5EB0" w:rsidRPr="007C5F44">
        <w:rPr>
          <w:rFonts w:ascii="Calibri" w:hAnsi="Calibri"/>
          <w:b/>
          <w:bCs/>
          <w:sz w:val="28"/>
          <w:szCs w:val="28"/>
          <w:u w:val="single"/>
        </w:rPr>
        <w:t xml:space="preserve">inancial position: </w:t>
      </w:r>
      <w:r w:rsidR="00682949" w:rsidRPr="007C5F44">
        <w:rPr>
          <w:rFonts w:ascii="Calibri" w:hAnsi="Calibri"/>
          <w:b/>
          <w:bCs/>
          <w:sz w:val="28"/>
          <w:szCs w:val="28"/>
          <w:u w:val="single"/>
        </w:rPr>
        <w:t xml:space="preserve"> </w:t>
      </w:r>
      <w:r w:rsidR="006B5EB0" w:rsidRPr="007C5F44">
        <w:rPr>
          <w:rFonts w:ascii="Calibri" w:hAnsi="Calibri"/>
          <w:b/>
          <w:bCs/>
          <w:sz w:val="28"/>
          <w:szCs w:val="28"/>
          <w:u w:val="single"/>
        </w:rPr>
        <w:t>Asset comparison between 201</w:t>
      </w:r>
      <w:r w:rsidR="00BD5D98">
        <w:rPr>
          <w:rFonts w:ascii="Calibri" w:hAnsi="Calibri"/>
          <w:b/>
          <w:bCs/>
          <w:sz w:val="28"/>
          <w:szCs w:val="28"/>
          <w:u w:val="single"/>
        </w:rPr>
        <w:t>8</w:t>
      </w:r>
      <w:r w:rsidR="006B5EB0" w:rsidRPr="007C5F44">
        <w:rPr>
          <w:rFonts w:ascii="Calibri" w:hAnsi="Calibri"/>
          <w:b/>
          <w:bCs/>
          <w:sz w:val="28"/>
          <w:szCs w:val="28"/>
          <w:u w:val="single"/>
        </w:rPr>
        <w:t xml:space="preserve"> and 201</w:t>
      </w:r>
      <w:r w:rsidR="00BD5D98">
        <w:rPr>
          <w:rFonts w:ascii="Calibri" w:hAnsi="Calibri"/>
          <w:b/>
          <w:bCs/>
          <w:sz w:val="28"/>
          <w:szCs w:val="28"/>
          <w:u w:val="single"/>
        </w:rPr>
        <w:t>7</w:t>
      </w:r>
    </w:p>
    <w:p w:rsidR="003656A7" w:rsidRDefault="003656A7" w:rsidP="00373677">
      <w:pPr>
        <w:snapToGrid w:val="0"/>
        <w:spacing w:before="0"/>
        <w:jc w:val="both"/>
      </w:pPr>
    </w:p>
    <w:p w:rsidR="007E7031" w:rsidRPr="007E7031" w:rsidRDefault="007E7031" w:rsidP="007E703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szCs w:val="24"/>
          <w:lang w:val="en-US" w:eastAsia="zh-CN"/>
        </w:rPr>
      </w:pPr>
    </w:p>
    <w:p w:rsidR="003656A7" w:rsidRDefault="007679D3" w:rsidP="007E7031">
      <w:pPr>
        <w:snapToGrid w:val="0"/>
        <w:spacing w:after="120"/>
        <w:jc w:val="center"/>
      </w:pPr>
      <w:r>
        <w:rPr>
          <w:noProof/>
          <w:lang w:eastAsia="zh-CN"/>
        </w:rPr>
        <w:drawing>
          <wp:inline distT="0" distB="0" distL="0" distR="0" wp14:anchorId="5879CBDC" wp14:editId="30FDB195">
            <wp:extent cx="4705350" cy="3033712"/>
            <wp:effectExtent l="0" t="0" r="0"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656A7" w:rsidRDefault="003656A7" w:rsidP="003656A7">
      <w:pPr>
        <w:snapToGrid w:val="0"/>
        <w:spacing w:after="120"/>
        <w:jc w:val="both"/>
      </w:pPr>
    </w:p>
    <w:p w:rsidR="003656A7" w:rsidRDefault="00464B16" w:rsidP="00044652">
      <w:pPr>
        <w:tabs>
          <w:tab w:val="clear" w:pos="567"/>
          <w:tab w:val="clear" w:pos="1134"/>
          <w:tab w:val="clear" w:pos="1701"/>
          <w:tab w:val="clear" w:pos="2268"/>
          <w:tab w:val="clear" w:pos="2835"/>
          <w:tab w:val="left" w:pos="709"/>
        </w:tabs>
        <w:snapToGrid w:val="0"/>
        <w:spacing w:before="0"/>
        <w:jc w:val="both"/>
      </w:pPr>
      <w:r>
        <w:t>2</w:t>
      </w:r>
      <w:r w:rsidR="00044652">
        <w:t>3</w:t>
      </w:r>
      <w:r>
        <w:tab/>
      </w:r>
      <w:r w:rsidR="003656A7" w:rsidRPr="006B5EB0">
        <w:t>The asset comparison show</w:t>
      </w:r>
      <w:r w:rsidR="003656A7">
        <w:t>s</w:t>
      </w:r>
      <w:r w:rsidR="003656A7" w:rsidRPr="006B5EB0">
        <w:t xml:space="preserve"> a </w:t>
      </w:r>
      <w:r w:rsidR="00A03BF5">
        <w:t xml:space="preserve">stable picture. Since 2015 and the introduction of the negative interest on </w:t>
      </w:r>
      <w:r w:rsidR="000A4959">
        <w:t xml:space="preserve">the </w:t>
      </w:r>
      <w:r w:rsidR="00A03BF5">
        <w:t xml:space="preserve">Swiss Francs and </w:t>
      </w:r>
      <w:r w:rsidR="000A4959">
        <w:t xml:space="preserve">the </w:t>
      </w:r>
      <w:r w:rsidR="00A03BF5">
        <w:t xml:space="preserve">Euros, </w:t>
      </w:r>
      <w:r w:rsidR="003656A7" w:rsidRPr="006B5EB0">
        <w:t>the ITU had to reorganize the treasury</w:t>
      </w:r>
      <w:r w:rsidR="00A03BF5">
        <w:t xml:space="preserve">. The situation on the financial market remained </w:t>
      </w:r>
      <w:r w:rsidR="00491360">
        <w:t>the same in 2018 which explains the low level of investment</w:t>
      </w:r>
      <w:r w:rsidR="000A4959">
        <w:t>s</w:t>
      </w:r>
      <w:r w:rsidR="00491360">
        <w:t xml:space="preserve"> compared to the cash </w:t>
      </w:r>
      <w:r w:rsidR="00705167">
        <w:t>and cash</w:t>
      </w:r>
      <w:r w:rsidR="00491360">
        <w:t xml:space="preserve"> equivalent. The investment</w:t>
      </w:r>
      <w:r w:rsidR="000A4959">
        <w:t>s</w:t>
      </w:r>
      <w:r w:rsidR="00491360">
        <w:t xml:space="preserve"> are mainly composed of short term deposit</w:t>
      </w:r>
      <w:r w:rsidR="000A4959">
        <w:t>s</w:t>
      </w:r>
      <w:r w:rsidR="00491360">
        <w:t xml:space="preserve"> in USD.</w:t>
      </w:r>
    </w:p>
    <w:p w:rsidR="003656A7" w:rsidRPr="00790802" w:rsidRDefault="003656A7" w:rsidP="00464B16">
      <w:pPr>
        <w:tabs>
          <w:tab w:val="left" w:pos="851"/>
        </w:tabs>
        <w:snapToGrid w:val="0"/>
        <w:spacing w:before="0"/>
        <w:jc w:val="both"/>
      </w:pPr>
    </w:p>
    <w:p w:rsidR="003656A7" w:rsidRPr="00D701F7" w:rsidRDefault="003656A7" w:rsidP="00BD5D98">
      <w:pPr>
        <w:pStyle w:val="ListParagraph"/>
        <w:tabs>
          <w:tab w:val="left" w:pos="851"/>
        </w:tabs>
        <w:snapToGrid w:val="0"/>
        <w:ind w:left="0"/>
        <w:jc w:val="both"/>
        <w:rPr>
          <w:rFonts w:ascii="Calibri" w:hAnsi="Calibri"/>
          <w:b/>
          <w:bCs/>
          <w:sz w:val="28"/>
          <w:szCs w:val="28"/>
          <w:u w:val="single"/>
        </w:rPr>
      </w:pPr>
      <w:r w:rsidRPr="00D701F7">
        <w:rPr>
          <w:rFonts w:ascii="Calibri" w:hAnsi="Calibri"/>
          <w:b/>
          <w:bCs/>
          <w:sz w:val="28"/>
          <w:szCs w:val="28"/>
          <w:u w:val="single"/>
        </w:rPr>
        <w:t xml:space="preserve">Financial position: </w:t>
      </w:r>
      <w:r w:rsidR="00682949" w:rsidRPr="00D701F7">
        <w:rPr>
          <w:rFonts w:ascii="Calibri" w:hAnsi="Calibri"/>
          <w:b/>
          <w:bCs/>
          <w:sz w:val="28"/>
          <w:szCs w:val="28"/>
          <w:u w:val="single"/>
        </w:rPr>
        <w:t xml:space="preserve"> </w:t>
      </w:r>
      <w:r w:rsidR="00120C62" w:rsidRPr="00D701F7">
        <w:rPr>
          <w:rFonts w:ascii="Calibri" w:hAnsi="Calibri"/>
          <w:b/>
          <w:bCs/>
          <w:sz w:val="28"/>
          <w:szCs w:val="28"/>
          <w:u w:val="single"/>
        </w:rPr>
        <w:t xml:space="preserve">liabilities </w:t>
      </w:r>
      <w:r w:rsidRPr="00D701F7">
        <w:rPr>
          <w:rFonts w:ascii="Calibri" w:hAnsi="Calibri"/>
          <w:b/>
          <w:bCs/>
          <w:sz w:val="28"/>
          <w:szCs w:val="28"/>
          <w:u w:val="single"/>
        </w:rPr>
        <w:t>representation for 201</w:t>
      </w:r>
      <w:r w:rsidR="00BD5D98">
        <w:rPr>
          <w:rFonts w:ascii="Calibri" w:hAnsi="Calibri"/>
          <w:b/>
          <w:bCs/>
          <w:sz w:val="28"/>
          <w:szCs w:val="28"/>
          <w:u w:val="single"/>
        </w:rPr>
        <w:t>8</w:t>
      </w:r>
    </w:p>
    <w:p w:rsidR="00CF43D8" w:rsidRDefault="00CF43D8" w:rsidP="00464B16">
      <w:pPr>
        <w:tabs>
          <w:tab w:val="left" w:pos="851"/>
        </w:tabs>
        <w:snapToGrid w:val="0"/>
        <w:spacing w:before="0"/>
        <w:jc w:val="both"/>
      </w:pPr>
    </w:p>
    <w:p w:rsidR="00CF43D8" w:rsidRDefault="007679D3" w:rsidP="0062532D">
      <w:pPr>
        <w:snapToGrid w:val="0"/>
        <w:spacing w:after="120"/>
        <w:jc w:val="center"/>
      </w:pPr>
      <w:r>
        <w:rPr>
          <w:noProof/>
          <w:lang w:eastAsia="zh-CN"/>
        </w:rPr>
        <w:drawing>
          <wp:inline distT="0" distB="0" distL="0" distR="0" wp14:anchorId="157356F8" wp14:editId="32370947">
            <wp:extent cx="4572000" cy="2852737"/>
            <wp:effectExtent l="0" t="0" r="0" b="50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D6475" w:rsidRPr="00CF43D8" w:rsidRDefault="006D6475" w:rsidP="00373677">
      <w:pPr>
        <w:snapToGrid w:val="0"/>
        <w:spacing w:before="0"/>
        <w:jc w:val="both"/>
      </w:pPr>
    </w:p>
    <w:p w:rsidR="00705167" w:rsidRDefault="00705167" w:rsidP="007E7031">
      <w:pPr>
        <w:pStyle w:val="ListParagraph"/>
        <w:tabs>
          <w:tab w:val="left" w:pos="851"/>
        </w:tabs>
        <w:adjustRightInd w:val="0"/>
        <w:snapToGrid w:val="0"/>
        <w:ind w:left="0"/>
        <w:contextualSpacing w:val="0"/>
        <w:rPr>
          <w:rFonts w:ascii="Calibri" w:hAnsi="Calibri"/>
          <w:b/>
          <w:bCs/>
          <w:sz w:val="28"/>
          <w:szCs w:val="28"/>
          <w:u w:val="single"/>
        </w:rPr>
      </w:pPr>
    </w:p>
    <w:p w:rsidR="00CF43D8" w:rsidRPr="00DF5DD9" w:rsidRDefault="00CF43D8" w:rsidP="00CD1303">
      <w:pPr>
        <w:pStyle w:val="ListParagraph"/>
        <w:tabs>
          <w:tab w:val="left" w:pos="851"/>
        </w:tabs>
        <w:adjustRightInd w:val="0"/>
        <w:snapToGrid w:val="0"/>
        <w:ind w:left="0"/>
        <w:contextualSpacing w:val="0"/>
        <w:rPr>
          <w:rFonts w:ascii="Calibri" w:hAnsi="Calibri"/>
        </w:rPr>
      </w:pPr>
      <w:r w:rsidRPr="007E7031">
        <w:rPr>
          <w:rFonts w:ascii="Calibri" w:hAnsi="Calibri"/>
          <w:b/>
          <w:bCs/>
          <w:sz w:val="28"/>
          <w:szCs w:val="28"/>
          <w:u w:val="single"/>
        </w:rPr>
        <w:t xml:space="preserve">Liabilities </w:t>
      </w:r>
      <w:r w:rsidR="0081414D" w:rsidRPr="007E7031">
        <w:rPr>
          <w:rFonts w:ascii="Calibri" w:hAnsi="Calibri"/>
          <w:b/>
          <w:bCs/>
          <w:sz w:val="28"/>
          <w:szCs w:val="28"/>
          <w:u w:val="single"/>
        </w:rPr>
        <w:t>comparison:</w:t>
      </w:r>
      <w:r w:rsidR="001C63B9" w:rsidRPr="007E7031">
        <w:rPr>
          <w:rFonts w:ascii="Calibri" w:hAnsi="Calibri"/>
          <w:b/>
          <w:bCs/>
          <w:sz w:val="28"/>
          <w:szCs w:val="28"/>
          <w:u w:val="single"/>
        </w:rPr>
        <w:t xml:space="preserve"> The liabilities </w:t>
      </w:r>
      <w:r w:rsidR="00D007B2" w:rsidRPr="007E7031">
        <w:rPr>
          <w:rFonts w:ascii="Calibri" w:hAnsi="Calibri"/>
          <w:b/>
          <w:bCs/>
          <w:sz w:val="28"/>
          <w:szCs w:val="28"/>
          <w:u w:val="single"/>
        </w:rPr>
        <w:t>at</w:t>
      </w:r>
      <w:r w:rsidR="001C63B9" w:rsidRPr="007E7031">
        <w:rPr>
          <w:rFonts w:ascii="Calibri" w:hAnsi="Calibri"/>
          <w:b/>
          <w:bCs/>
          <w:sz w:val="28"/>
          <w:szCs w:val="28"/>
          <w:u w:val="single"/>
        </w:rPr>
        <w:t xml:space="preserve"> 31</w:t>
      </w:r>
      <w:r w:rsidR="00D007B2" w:rsidRPr="007E7031">
        <w:rPr>
          <w:rFonts w:ascii="Calibri" w:hAnsi="Calibri"/>
          <w:b/>
          <w:bCs/>
          <w:sz w:val="28"/>
          <w:szCs w:val="28"/>
          <w:u w:val="single"/>
        </w:rPr>
        <w:t xml:space="preserve"> December </w:t>
      </w:r>
      <w:r w:rsidR="001C63B9" w:rsidRPr="007E7031">
        <w:rPr>
          <w:rFonts w:ascii="Calibri" w:hAnsi="Calibri"/>
          <w:b/>
          <w:bCs/>
          <w:sz w:val="28"/>
          <w:szCs w:val="28"/>
          <w:u w:val="single"/>
        </w:rPr>
        <w:t>201</w:t>
      </w:r>
      <w:r w:rsidR="007E7031" w:rsidRPr="007E7031">
        <w:rPr>
          <w:rFonts w:ascii="Calibri" w:hAnsi="Calibri"/>
          <w:b/>
          <w:bCs/>
          <w:sz w:val="28"/>
          <w:szCs w:val="28"/>
          <w:u w:val="single"/>
        </w:rPr>
        <w:t>8</w:t>
      </w:r>
      <w:r w:rsidR="001C63B9" w:rsidRPr="007E7031">
        <w:rPr>
          <w:rFonts w:ascii="Calibri" w:hAnsi="Calibri"/>
          <w:b/>
          <w:bCs/>
          <w:sz w:val="28"/>
          <w:szCs w:val="28"/>
          <w:u w:val="single"/>
        </w:rPr>
        <w:t xml:space="preserve"> </w:t>
      </w:r>
      <w:r w:rsidR="0081414D" w:rsidRPr="007E7031">
        <w:rPr>
          <w:rFonts w:ascii="Calibri" w:hAnsi="Calibri"/>
          <w:b/>
          <w:bCs/>
          <w:sz w:val="28"/>
          <w:szCs w:val="28"/>
          <w:u w:val="single"/>
        </w:rPr>
        <w:t>tota</w:t>
      </w:r>
      <w:r w:rsidR="00D007B2" w:rsidRPr="007E7031">
        <w:rPr>
          <w:rFonts w:ascii="Calibri" w:hAnsi="Calibri"/>
          <w:b/>
          <w:bCs/>
          <w:sz w:val="28"/>
          <w:szCs w:val="28"/>
          <w:u w:val="single"/>
        </w:rPr>
        <w:t>l</w:t>
      </w:r>
      <w:r w:rsidR="0081414D" w:rsidRPr="007E7031">
        <w:rPr>
          <w:rFonts w:ascii="Calibri" w:hAnsi="Calibri"/>
          <w:b/>
          <w:bCs/>
          <w:sz w:val="28"/>
          <w:szCs w:val="28"/>
          <w:u w:val="single"/>
        </w:rPr>
        <w:t>ed</w:t>
      </w:r>
      <w:r w:rsidR="001C63B9" w:rsidRPr="007E7031">
        <w:rPr>
          <w:rFonts w:ascii="Calibri" w:hAnsi="Calibri"/>
          <w:b/>
          <w:bCs/>
          <w:sz w:val="28"/>
          <w:szCs w:val="28"/>
          <w:u w:val="single"/>
        </w:rPr>
        <w:t xml:space="preserve"> CHF</w:t>
      </w:r>
      <w:r w:rsidR="00D007B2" w:rsidRPr="007E7031">
        <w:rPr>
          <w:rFonts w:ascii="Calibri" w:hAnsi="Calibri"/>
          <w:b/>
          <w:bCs/>
          <w:sz w:val="28"/>
          <w:szCs w:val="28"/>
          <w:u w:val="single"/>
        </w:rPr>
        <w:t> </w:t>
      </w:r>
      <w:r w:rsidR="00731496" w:rsidRPr="007E7031">
        <w:rPr>
          <w:rFonts w:ascii="Calibri" w:hAnsi="Calibri"/>
          <w:b/>
          <w:bCs/>
          <w:sz w:val="28"/>
          <w:szCs w:val="28"/>
          <w:u w:val="single"/>
        </w:rPr>
        <w:t>8</w:t>
      </w:r>
      <w:r w:rsidR="007E7031" w:rsidRPr="007E7031">
        <w:rPr>
          <w:rFonts w:ascii="Calibri" w:hAnsi="Calibri"/>
          <w:b/>
          <w:bCs/>
          <w:sz w:val="28"/>
          <w:szCs w:val="28"/>
          <w:u w:val="single"/>
        </w:rPr>
        <w:t>0</w:t>
      </w:r>
      <w:r w:rsidR="00CD1303">
        <w:rPr>
          <w:rFonts w:ascii="Calibri" w:hAnsi="Calibri"/>
          <w:b/>
          <w:bCs/>
          <w:sz w:val="28"/>
          <w:szCs w:val="28"/>
          <w:u w:val="single"/>
        </w:rPr>
        <w:t>5</w:t>
      </w:r>
      <w:r w:rsidR="00731496" w:rsidRPr="007E7031">
        <w:rPr>
          <w:rFonts w:ascii="Calibri" w:hAnsi="Calibri"/>
          <w:b/>
          <w:bCs/>
          <w:sz w:val="28"/>
          <w:szCs w:val="28"/>
          <w:u w:val="single"/>
        </w:rPr>
        <w:t>,</w:t>
      </w:r>
      <w:r w:rsidR="00CD1303">
        <w:rPr>
          <w:rFonts w:ascii="Calibri" w:hAnsi="Calibri"/>
          <w:b/>
          <w:bCs/>
          <w:sz w:val="28"/>
          <w:szCs w:val="28"/>
          <w:u w:val="single"/>
        </w:rPr>
        <w:t>823</w:t>
      </w:r>
    </w:p>
    <w:p w:rsidR="0062532D" w:rsidRPr="00D007B2" w:rsidRDefault="0062532D" w:rsidP="00373677">
      <w:pPr>
        <w:snapToGrid w:val="0"/>
        <w:spacing w:before="0"/>
        <w:jc w:val="both"/>
        <w:rPr>
          <w:lang w:val="en-US"/>
        </w:rPr>
      </w:pPr>
    </w:p>
    <w:p w:rsidR="0062532D" w:rsidRPr="0062532D" w:rsidRDefault="0067567A" w:rsidP="0062532D">
      <w:pPr>
        <w:snapToGrid w:val="0"/>
        <w:spacing w:after="120"/>
        <w:jc w:val="center"/>
      </w:pPr>
      <w:r>
        <w:rPr>
          <w:noProof/>
          <w:lang w:eastAsia="zh-CN"/>
        </w:rPr>
        <w:drawing>
          <wp:inline distT="0" distB="0" distL="0" distR="0" wp14:anchorId="36C49A14" wp14:editId="539C7010">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2532D" w:rsidRPr="00900CB3" w:rsidRDefault="0062532D" w:rsidP="00AD2E81">
      <w:pPr>
        <w:tabs>
          <w:tab w:val="clear" w:pos="567"/>
          <w:tab w:val="clear" w:pos="1134"/>
          <w:tab w:val="left" w:pos="851"/>
        </w:tabs>
        <w:snapToGrid w:val="0"/>
        <w:spacing w:before="0"/>
        <w:jc w:val="both"/>
        <w:rPr>
          <w:sz w:val="23"/>
          <w:szCs w:val="23"/>
        </w:rPr>
      </w:pPr>
    </w:p>
    <w:p w:rsidR="0062532D" w:rsidRDefault="00DF5DD9" w:rsidP="00AD2E81">
      <w:pPr>
        <w:pStyle w:val="ListParagraph"/>
        <w:tabs>
          <w:tab w:val="left" w:pos="709"/>
        </w:tabs>
        <w:adjustRightInd w:val="0"/>
        <w:snapToGrid w:val="0"/>
        <w:ind w:left="0"/>
        <w:contextualSpacing w:val="0"/>
        <w:jc w:val="both"/>
        <w:rPr>
          <w:rFonts w:ascii="Calibri" w:eastAsia="Times New Roman" w:hAnsi="Calibri"/>
          <w:szCs w:val="20"/>
          <w:lang w:eastAsia="en-US"/>
        </w:rPr>
      </w:pPr>
      <w:r>
        <w:rPr>
          <w:rFonts w:ascii="Calibri" w:eastAsia="Times New Roman" w:hAnsi="Calibri"/>
          <w:szCs w:val="20"/>
          <w:lang w:eastAsia="en-US"/>
        </w:rPr>
        <w:t>2</w:t>
      </w:r>
      <w:r w:rsidR="00044652">
        <w:rPr>
          <w:rFonts w:ascii="Calibri" w:eastAsia="Times New Roman" w:hAnsi="Calibri"/>
          <w:szCs w:val="20"/>
          <w:lang w:eastAsia="en-US"/>
        </w:rPr>
        <w:t>4</w:t>
      </w:r>
      <w:r w:rsidR="006C259C">
        <w:rPr>
          <w:rFonts w:ascii="Calibri" w:eastAsia="Times New Roman" w:hAnsi="Calibri"/>
          <w:szCs w:val="20"/>
          <w:lang w:eastAsia="en-US"/>
        </w:rPr>
        <w:tab/>
      </w:r>
      <w:r w:rsidR="0062532D" w:rsidRPr="0062532D">
        <w:rPr>
          <w:rFonts w:ascii="Calibri" w:eastAsia="Times New Roman" w:hAnsi="Calibri"/>
          <w:szCs w:val="20"/>
          <w:lang w:eastAsia="en-US"/>
        </w:rPr>
        <w:t>The most significant liabilities were the future employee benefits accrued by staff members and retirees.</w:t>
      </w:r>
      <w:r w:rsidR="00695AF2">
        <w:rPr>
          <w:rFonts w:ascii="Calibri" w:eastAsia="Times New Roman" w:hAnsi="Calibri"/>
          <w:szCs w:val="20"/>
          <w:lang w:eastAsia="en-US"/>
        </w:rPr>
        <w:t xml:space="preserve"> </w:t>
      </w:r>
      <w:r w:rsidR="0062532D" w:rsidRPr="0062532D">
        <w:rPr>
          <w:rFonts w:ascii="Calibri" w:eastAsia="Times New Roman" w:hAnsi="Calibri"/>
          <w:szCs w:val="20"/>
          <w:lang w:eastAsia="en-US"/>
        </w:rPr>
        <w:t xml:space="preserve">These represented </w:t>
      </w:r>
      <w:r w:rsidR="0062532D" w:rsidRPr="00C43BE9">
        <w:rPr>
          <w:rFonts w:ascii="Calibri" w:eastAsia="Times New Roman" w:hAnsi="Calibri"/>
          <w:szCs w:val="20"/>
          <w:lang w:eastAsia="en-US"/>
        </w:rPr>
        <w:t>7</w:t>
      </w:r>
      <w:r w:rsidR="00836A61">
        <w:rPr>
          <w:rFonts w:ascii="Calibri" w:eastAsia="Times New Roman" w:hAnsi="Calibri"/>
          <w:szCs w:val="20"/>
          <w:lang w:eastAsia="en-US"/>
        </w:rPr>
        <w:t>1</w:t>
      </w:r>
      <w:r w:rsidR="0062532D" w:rsidRPr="0062532D">
        <w:rPr>
          <w:rFonts w:ascii="Calibri" w:eastAsia="Times New Roman" w:hAnsi="Calibri"/>
          <w:szCs w:val="20"/>
          <w:lang w:eastAsia="en-US"/>
        </w:rPr>
        <w:t xml:space="preserve"> per cent of the ITU’s total liabilities as at 31 December 201</w:t>
      </w:r>
      <w:r w:rsidR="00836A61">
        <w:rPr>
          <w:rFonts w:ascii="Calibri" w:eastAsia="Times New Roman" w:hAnsi="Calibri"/>
          <w:szCs w:val="20"/>
          <w:lang w:eastAsia="en-US"/>
        </w:rPr>
        <w:t>8</w:t>
      </w:r>
      <w:r w:rsidR="00352D54">
        <w:rPr>
          <w:rFonts w:ascii="Calibri" w:eastAsia="Times New Roman" w:hAnsi="Calibri"/>
          <w:szCs w:val="20"/>
          <w:lang w:eastAsia="en-US"/>
        </w:rPr>
        <w:t>.</w:t>
      </w:r>
    </w:p>
    <w:p w:rsidR="008D4953" w:rsidRDefault="008D4953" w:rsidP="00AD2E81">
      <w:pPr>
        <w:tabs>
          <w:tab w:val="clear" w:pos="567"/>
          <w:tab w:val="clear" w:pos="1134"/>
          <w:tab w:val="clear" w:pos="1701"/>
          <w:tab w:val="clear" w:pos="2268"/>
          <w:tab w:val="clear" w:pos="2835"/>
          <w:tab w:val="left" w:pos="709"/>
        </w:tabs>
        <w:overflowPunct/>
        <w:autoSpaceDE/>
        <w:autoSpaceDN/>
        <w:snapToGrid w:val="0"/>
        <w:spacing w:before="0"/>
        <w:jc w:val="both"/>
        <w:textAlignment w:val="auto"/>
        <w:rPr>
          <w:lang w:val="en-US"/>
        </w:rPr>
      </w:pPr>
    </w:p>
    <w:p w:rsidR="0062532D" w:rsidRDefault="00DF5DD9" w:rsidP="00AD2E81">
      <w:pPr>
        <w:tabs>
          <w:tab w:val="clear" w:pos="567"/>
          <w:tab w:val="left" w:pos="709"/>
        </w:tabs>
        <w:spacing w:before="0"/>
        <w:jc w:val="both"/>
      </w:pPr>
      <w:r>
        <w:t>2</w:t>
      </w:r>
      <w:r w:rsidR="00044652">
        <w:t>5</w:t>
      </w:r>
      <w:r w:rsidR="00341817">
        <w:tab/>
      </w:r>
      <w:r w:rsidR="00B943FA" w:rsidRPr="00352D54">
        <w:t>The ASHI liability represent</w:t>
      </w:r>
      <w:r w:rsidR="001C63B9">
        <w:t xml:space="preserve">ed </w:t>
      </w:r>
      <w:r w:rsidR="00B943FA" w:rsidRPr="00764773">
        <w:t>9</w:t>
      </w:r>
      <w:r w:rsidR="00836A61">
        <w:t>6</w:t>
      </w:r>
      <w:r w:rsidR="008E33CE">
        <w:t> per cent</w:t>
      </w:r>
      <w:r w:rsidR="00B943FA" w:rsidRPr="00352D54">
        <w:t xml:space="preserve"> of the total employee benefits’ liability</w:t>
      </w:r>
      <w:r w:rsidR="008E33CE">
        <w:t xml:space="preserve"> and i</w:t>
      </w:r>
      <w:r w:rsidR="001C63B9">
        <w:t>n 201</w:t>
      </w:r>
      <w:r w:rsidR="00836A61">
        <w:t>8</w:t>
      </w:r>
      <w:r w:rsidR="001C63B9">
        <w:t xml:space="preserve"> showed a </w:t>
      </w:r>
      <w:r w:rsidR="00836A61">
        <w:t>decrease</w:t>
      </w:r>
      <w:r w:rsidR="001C63B9">
        <w:t xml:space="preserve"> </w:t>
      </w:r>
      <w:r w:rsidR="00764773">
        <w:t xml:space="preserve">mainly </w:t>
      </w:r>
      <w:r w:rsidR="001C63B9">
        <w:t xml:space="preserve">due </w:t>
      </w:r>
      <w:r w:rsidR="00836A61">
        <w:t xml:space="preserve">to the assumption change gain including the new medical claims table reflecting the good claims experience in the recent past and an increase in the discount rate to 1.2% </w:t>
      </w:r>
      <w:r w:rsidR="007604B9">
        <w:t xml:space="preserve">(against </w:t>
      </w:r>
      <w:r w:rsidR="00F27718">
        <w:t>0.9</w:t>
      </w:r>
      <w:r w:rsidR="00836A61">
        <w:t>0</w:t>
      </w:r>
      <w:r w:rsidR="00383470">
        <w:t> </w:t>
      </w:r>
      <w:r w:rsidR="008E33CE">
        <w:t>per cent</w:t>
      </w:r>
      <w:r w:rsidR="001C63B9">
        <w:t xml:space="preserve"> </w:t>
      </w:r>
      <w:r w:rsidR="00D34A54">
        <w:t>in</w:t>
      </w:r>
      <w:r w:rsidR="001C63B9">
        <w:t xml:space="preserve"> 201</w:t>
      </w:r>
      <w:r w:rsidR="00836A61">
        <w:t>7</w:t>
      </w:r>
      <w:r w:rsidR="001C63B9">
        <w:t>)</w:t>
      </w:r>
      <w:r w:rsidR="00764773">
        <w:t>.</w:t>
      </w:r>
    </w:p>
    <w:p w:rsidR="00352D54" w:rsidRPr="00341817" w:rsidRDefault="00352D54" w:rsidP="00AD2E81">
      <w:pPr>
        <w:pStyle w:val="ListParagraph"/>
        <w:tabs>
          <w:tab w:val="left" w:pos="0"/>
          <w:tab w:val="left" w:pos="709"/>
        </w:tabs>
        <w:adjustRightInd w:val="0"/>
        <w:snapToGrid w:val="0"/>
        <w:ind w:left="0"/>
        <w:contextualSpacing w:val="0"/>
        <w:jc w:val="both"/>
        <w:rPr>
          <w:rFonts w:ascii="Calibri" w:eastAsia="Times New Roman" w:hAnsi="Calibri"/>
          <w:szCs w:val="20"/>
          <w:lang w:eastAsia="en-US"/>
        </w:rPr>
      </w:pPr>
    </w:p>
    <w:p w:rsidR="00352D54" w:rsidRDefault="00044652" w:rsidP="00AD2E81">
      <w:pPr>
        <w:tabs>
          <w:tab w:val="clear" w:pos="567"/>
          <w:tab w:val="left" w:pos="0"/>
          <w:tab w:val="left" w:pos="709"/>
        </w:tabs>
        <w:snapToGrid w:val="0"/>
        <w:spacing w:before="0"/>
        <w:jc w:val="both"/>
      </w:pPr>
      <w:r>
        <w:rPr>
          <w:lang w:val="en-US"/>
        </w:rPr>
        <w:t>26</w:t>
      </w:r>
      <w:r>
        <w:rPr>
          <w:lang w:val="en-US"/>
        </w:rPr>
        <w:tab/>
      </w:r>
      <w:r w:rsidR="00352D54" w:rsidRPr="00044652">
        <w:t>The 201</w:t>
      </w:r>
      <w:r w:rsidR="00E10953" w:rsidRPr="00044652">
        <w:t>8</w:t>
      </w:r>
      <w:r w:rsidR="00352D54" w:rsidRPr="00044652">
        <w:t xml:space="preserve"> budgetary surplus was achieved through the continuous rigorous management of ITU resources, which also enabled to proceed with a limited number of early separation packages, on a case-by-case basis with the non-replacement of the position held by the staff, when beneficial for the Union.</w:t>
      </w:r>
    </w:p>
    <w:p w:rsidR="00AD2E81" w:rsidRDefault="00AD2E81" w:rsidP="00AD2E81">
      <w:pPr>
        <w:tabs>
          <w:tab w:val="clear" w:pos="567"/>
          <w:tab w:val="left" w:pos="0"/>
          <w:tab w:val="left" w:pos="709"/>
        </w:tabs>
        <w:snapToGrid w:val="0"/>
        <w:spacing w:before="0"/>
        <w:jc w:val="both"/>
      </w:pPr>
    </w:p>
    <w:p w:rsidR="00352D54" w:rsidRDefault="00044652" w:rsidP="00AD2E81">
      <w:pPr>
        <w:tabs>
          <w:tab w:val="clear" w:pos="567"/>
          <w:tab w:val="left" w:pos="0"/>
          <w:tab w:val="left" w:pos="709"/>
        </w:tabs>
        <w:snapToGrid w:val="0"/>
        <w:spacing w:before="0"/>
        <w:jc w:val="both"/>
      </w:pPr>
      <w:r>
        <w:t>27</w:t>
      </w:r>
      <w:r>
        <w:tab/>
      </w:r>
      <w:r w:rsidR="00352D54" w:rsidRPr="00044652">
        <w:t xml:space="preserve">It is to be noted that certain expenses were not budgeted. These include </w:t>
      </w:r>
      <w:r w:rsidR="008E33CE" w:rsidRPr="00044652">
        <w:t xml:space="preserve">mainly </w:t>
      </w:r>
      <w:r w:rsidR="00352D54" w:rsidRPr="00044652">
        <w:t xml:space="preserve">depreciation, unrealized exchange-rate losses and gains, and an adjustment of the provision for After-Service Health Insurance (ASHI). These expenses are mostly statistical and do not represent cash-outflows during the year. </w:t>
      </w:r>
      <w:r w:rsidR="008E33CE" w:rsidRPr="00044652">
        <w:t xml:space="preserve"> </w:t>
      </w:r>
      <w:r w:rsidR="00352D54" w:rsidRPr="00044652">
        <w:t>An overview of these positions is provided in Table V of this document - Comparison of budgeted amounts and actual amounts for the 201</w:t>
      </w:r>
      <w:r w:rsidR="00E10953" w:rsidRPr="00044652">
        <w:t>8</w:t>
      </w:r>
      <w:r w:rsidR="00352D54" w:rsidRPr="00044652">
        <w:t xml:space="preserve"> financial period.</w:t>
      </w:r>
    </w:p>
    <w:p w:rsidR="00A93635" w:rsidRPr="00044652" w:rsidRDefault="00A93635" w:rsidP="00AD2E81">
      <w:pPr>
        <w:pStyle w:val="ListParagraph"/>
        <w:tabs>
          <w:tab w:val="left" w:pos="0"/>
        </w:tabs>
        <w:adjustRightInd w:val="0"/>
        <w:snapToGrid w:val="0"/>
        <w:ind w:left="0"/>
        <w:contextualSpacing w:val="0"/>
        <w:jc w:val="both"/>
        <w:rPr>
          <w:rFonts w:ascii="Calibri" w:eastAsia="Times New Roman" w:hAnsi="Calibri" w:cs="Calibri"/>
          <w:szCs w:val="20"/>
          <w:lang w:eastAsia="en-US"/>
        </w:rPr>
      </w:pPr>
    </w:p>
    <w:p w:rsidR="00A93635" w:rsidRDefault="00172E99" w:rsidP="00AD2E81">
      <w:pPr>
        <w:pStyle w:val="ListParagraph"/>
        <w:numPr>
          <w:ilvl w:val="0"/>
          <w:numId w:val="32"/>
        </w:numPr>
        <w:tabs>
          <w:tab w:val="left" w:pos="0"/>
        </w:tabs>
        <w:snapToGrid w:val="0"/>
        <w:ind w:left="0" w:firstLine="0"/>
        <w:jc w:val="both"/>
        <w:rPr>
          <w:rFonts w:ascii="Calibri" w:hAnsi="Calibri" w:cs="Calibri"/>
        </w:rPr>
      </w:pPr>
      <w:r w:rsidRPr="00044652">
        <w:rPr>
          <w:rFonts w:ascii="Calibri" w:hAnsi="Calibri" w:cs="Calibri"/>
        </w:rPr>
        <w:t>Cash contributions received for trust funds amounted to CHF </w:t>
      </w:r>
      <w:r w:rsidR="0046383E" w:rsidRPr="00044652">
        <w:rPr>
          <w:rFonts w:ascii="Calibri" w:hAnsi="Calibri" w:cs="Calibri"/>
        </w:rPr>
        <w:t>12</w:t>
      </w:r>
      <w:r w:rsidR="00CC36C4" w:rsidRPr="00044652">
        <w:rPr>
          <w:rFonts w:ascii="Calibri" w:hAnsi="Calibri" w:cs="Calibri"/>
        </w:rPr>
        <w:t xml:space="preserve"> mi</w:t>
      </w:r>
      <w:r w:rsidRPr="00044652">
        <w:rPr>
          <w:rFonts w:ascii="Calibri" w:hAnsi="Calibri" w:cs="Calibri"/>
        </w:rPr>
        <w:t>llion in 201</w:t>
      </w:r>
      <w:r w:rsidR="00E10953" w:rsidRPr="00044652">
        <w:rPr>
          <w:rFonts w:ascii="Calibri" w:hAnsi="Calibri" w:cs="Calibri"/>
        </w:rPr>
        <w:t>8</w:t>
      </w:r>
      <w:r w:rsidRPr="00044652">
        <w:rPr>
          <w:rFonts w:ascii="Calibri" w:hAnsi="Calibri" w:cs="Calibri"/>
        </w:rPr>
        <w:t xml:space="preserve"> (CHF </w:t>
      </w:r>
      <w:r w:rsidR="0046383E" w:rsidRPr="00044652">
        <w:rPr>
          <w:rFonts w:ascii="Calibri" w:hAnsi="Calibri" w:cs="Calibri"/>
        </w:rPr>
        <w:t>9.8</w:t>
      </w:r>
      <w:r w:rsidRPr="00044652">
        <w:rPr>
          <w:rFonts w:ascii="Calibri" w:hAnsi="Calibri" w:cs="Calibri"/>
        </w:rPr>
        <w:t> million in 201</w:t>
      </w:r>
      <w:r w:rsidR="0046383E" w:rsidRPr="00044652">
        <w:rPr>
          <w:rFonts w:ascii="Calibri" w:hAnsi="Calibri" w:cs="Calibri"/>
        </w:rPr>
        <w:t>7</w:t>
      </w:r>
      <w:r w:rsidRPr="00044652">
        <w:rPr>
          <w:rFonts w:ascii="Calibri" w:hAnsi="Calibri" w:cs="Calibri"/>
        </w:rPr>
        <w:t>).</w:t>
      </w:r>
    </w:p>
    <w:p w:rsidR="00030A07" w:rsidRDefault="00030A07" w:rsidP="00AD2E81">
      <w:pPr>
        <w:pStyle w:val="ListParagraph"/>
        <w:tabs>
          <w:tab w:val="left" w:pos="0"/>
        </w:tabs>
        <w:snapToGrid w:val="0"/>
        <w:ind w:left="0"/>
        <w:jc w:val="both"/>
        <w:rPr>
          <w:rFonts w:ascii="Calibri" w:hAnsi="Calibri" w:cs="Calibri"/>
        </w:rPr>
      </w:pPr>
    </w:p>
    <w:p w:rsidR="00030A07" w:rsidRPr="00030A07" w:rsidRDefault="00030A07" w:rsidP="00AD2E81">
      <w:pPr>
        <w:pStyle w:val="ListParagraph"/>
        <w:numPr>
          <w:ilvl w:val="0"/>
          <w:numId w:val="32"/>
        </w:numPr>
        <w:tabs>
          <w:tab w:val="left" w:pos="0"/>
        </w:tabs>
        <w:snapToGrid w:val="0"/>
        <w:ind w:left="0" w:firstLine="0"/>
        <w:jc w:val="both"/>
        <w:rPr>
          <w:rFonts w:ascii="Calibri" w:hAnsi="Calibri" w:cs="Calibri"/>
        </w:rPr>
      </w:pPr>
      <w:r w:rsidRPr="002214BA">
        <w:rPr>
          <w:rFonts w:ascii="Calibri" w:eastAsia="Times New Roman" w:hAnsi="Calibri"/>
          <w:szCs w:val="20"/>
          <w:lang w:eastAsia="en-US"/>
        </w:rPr>
        <w:t xml:space="preserve">Voluntary cash contributions received for the various activities amounted to </w:t>
      </w:r>
      <w:r w:rsidRPr="0046383E">
        <w:rPr>
          <w:rFonts w:ascii="Calibri" w:eastAsia="Times New Roman" w:hAnsi="Calibri"/>
          <w:szCs w:val="20"/>
          <w:lang w:eastAsia="en-US"/>
        </w:rPr>
        <w:t>CHF 1.8 million</w:t>
      </w:r>
      <w:r w:rsidRPr="002214BA">
        <w:rPr>
          <w:rFonts w:ascii="Calibri" w:eastAsia="Times New Roman" w:hAnsi="Calibri"/>
          <w:szCs w:val="20"/>
          <w:lang w:eastAsia="en-US"/>
        </w:rPr>
        <w:t xml:space="preserve"> in 201</w:t>
      </w:r>
      <w:r>
        <w:rPr>
          <w:rFonts w:ascii="Calibri" w:eastAsia="Times New Roman" w:hAnsi="Calibri"/>
          <w:szCs w:val="20"/>
          <w:lang w:eastAsia="en-US"/>
        </w:rPr>
        <w:t>8</w:t>
      </w:r>
      <w:r w:rsidRPr="002214BA">
        <w:rPr>
          <w:rFonts w:ascii="Calibri" w:hAnsi="Calibri"/>
        </w:rPr>
        <w:t xml:space="preserve"> (CHF </w:t>
      </w:r>
      <w:r>
        <w:rPr>
          <w:rFonts w:ascii="Calibri" w:hAnsi="Calibri"/>
        </w:rPr>
        <w:t>1.3</w:t>
      </w:r>
      <w:r w:rsidRPr="002214BA">
        <w:rPr>
          <w:rFonts w:ascii="Calibri" w:hAnsi="Calibri"/>
        </w:rPr>
        <w:t xml:space="preserve"> million in 201</w:t>
      </w:r>
      <w:r>
        <w:rPr>
          <w:rFonts w:ascii="Calibri" w:hAnsi="Calibri"/>
        </w:rPr>
        <w:t>7</w:t>
      </w:r>
      <w:r w:rsidRPr="002214BA">
        <w:rPr>
          <w:rFonts w:ascii="Calibri" w:hAnsi="Calibri"/>
        </w:rPr>
        <w:t>).</w:t>
      </w:r>
    </w:p>
    <w:p w:rsidR="00030A07" w:rsidRPr="00030A07" w:rsidRDefault="00030A07" w:rsidP="00AD2E81">
      <w:pPr>
        <w:spacing w:before="0"/>
        <w:jc w:val="both"/>
        <w:rPr>
          <w:rFonts w:cs="Calibri"/>
        </w:rPr>
      </w:pPr>
    </w:p>
    <w:p w:rsidR="00030A07" w:rsidRPr="00030A07" w:rsidRDefault="00030A07" w:rsidP="00AD2E81">
      <w:pPr>
        <w:tabs>
          <w:tab w:val="clear" w:pos="567"/>
          <w:tab w:val="left" w:pos="0"/>
          <w:tab w:val="left" w:pos="709"/>
          <w:tab w:val="left" w:pos="851"/>
        </w:tabs>
        <w:snapToGrid w:val="0"/>
        <w:spacing w:before="0"/>
        <w:jc w:val="both"/>
        <w:rPr>
          <w:rFonts w:cs="Calibri"/>
        </w:rPr>
      </w:pPr>
      <w:r>
        <w:rPr>
          <w:rFonts w:cs="Calibri"/>
        </w:rPr>
        <w:t>30</w:t>
      </w:r>
      <w:r>
        <w:rPr>
          <w:rFonts w:cs="Calibri"/>
        </w:rPr>
        <w:tab/>
      </w:r>
      <w:r w:rsidRPr="00030A07">
        <w:rPr>
          <w:rFonts w:cs="Calibri"/>
        </w:rPr>
        <w:t>The balance of the ICT Development Fund stood at CHF 4.3 million at 31 December 2018 (CHF 4.4 million at 31 December 2017).</w:t>
      </w:r>
    </w:p>
    <w:p w:rsidR="00A93635" w:rsidRPr="00C322B1" w:rsidRDefault="00A93635" w:rsidP="00AD2E81">
      <w:pPr>
        <w:pStyle w:val="ListParagraph"/>
        <w:tabs>
          <w:tab w:val="left" w:pos="709"/>
          <w:tab w:val="left" w:pos="851"/>
        </w:tabs>
        <w:adjustRightInd w:val="0"/>
        <w:snapToGrid w:val="0"/>
        <w:ind w:left="0"/>
        <w:contextualSpacing w:val="0"/>
        <w:jc w:val="both"/>
        <w:rPr>
          <w:rFonts w:ascii="Calibri" w:eastAsia="Times New Roman" w:hAnsi="Calibri"/>
          <w:szCs w:val="20"/>
          <w:lang w:eastAsia="en-US"/>
        </w:rPr>
      </w:pPr>
    </w:p>
    <w:p w:rsidR="00A93635" w:rsidRPr="00AD2E81" w:rsidRDefault="00AD2E81" w:rsidP="00AD2E81">
      <w:pPr>
        <w:tabs>
          <w:tab w:val="clear" w:pos="567"/>
          <w:tab w:val="clear" w:pos="1134"/>
          <w:tab w:val="clear" w:pos="1701"/>
          <w:tab w:val="clear" w:pos="2268"/>
          <w:tab w:val="clear" w:pos="2835"/>
        </w:tabs>
        <w:snapToGrid w:val="0"/>
        <w:spacing w:before="0"/>
        <w:jc w:val="both"/>
      </w:pPr>
      <w:r>
        <w:t>31</w:t>
      </w:r>
      <w:r>
        <w:tab/>
      </w:r>
      <w:r w:rsidR="00A93635" w:rsidRPr="00AD2E81">
        <w:t>In 201</w:t>
      </w:r>
      <w:r w:rsidR="00E10953" w:rsidRPr="00AD2E81">
        <w:t>8</w:t>
      </w:r>
      <w:r w:rsidR="00A93635" w:rsidRPr="00AD2E81">
        <w:t xml:space="preserve">, total expenses for trust funds </w:t>
      </w:r>
      <w:r w:rsidR="00DE0907" w:rsidRPr="00AD2E81">
        <w:t xml:space="preserve">amounted </w:t>
      </w:r>
      <w:r w:rsidR="00A93635" w:rsidRPr="00AD2E81">
        <w:t>to CHF </w:t>
      </w:r>
      <w:r w:rsidR="0067628C" w:rsidRPr="00AD2E81">
        <w:t xml:space="preserve">6.5 million </w:t>
      </w:r>
      <w:r w:rsidR="00A93635" w:rsidRPr="00AD2E81">
        <w:t>generating CHF 0.</w:t>
      </w:r>
      <w:r w:rsidR="00C322B1" w:rsidRPr="00AD2E81">
        <w:t>42</w:t>
      </w:r>
      <w:r w:rsidR="00383470" w:rsidRPr="00AD2E81">
        <w:t> </w:t>
      </w:r>
      <w:r w:rsidR="00A93635" w:rsidRPr="00AD2E81">
        <w:t>million of project support revenue.</w:t>
      </w:r>
    </w:p>
    <w:p w:rsidR="00A93635" w:rsidRPr="00A93635" w:rsidRDefault="00A93635" w:rsidP="00AD2E81">
      <w:pPr>
        <w:pStyle w:val="ListParagraph"/>
        <w:tabs>
          <w:tab w:val="left" w:pos="709"/>
          <w:tab w:val="left" w:pos="851"/>
        </w:tabs>
        <w:adjustRightInd w:val="0"/>
        <w:snapToGrid w:val="0"/>
        <w:ind w:left="0"/>
        <w:contextualSpacing w:val="0"/>
        <w:jc w:val="both"/>
        <w:rPr>
          <w:rFonts w:ascii="Calibri" w:eastAsia="Times New Roman" w:hAnsi="Calibri"/>
          <w:szCs w:val="20"/>
          <w:lang w:eastAsia="en-US"/>
        </w:rPr>
      </w:pPr>
    </w:p>
    <w:p w:rsidR="009D4DBC" w:rsidRDefault="00AD2E81" w:rsidP="00AD2E81">
      <w:pPr>
        <w:tabs>
          <w:tab w:val="clear" w:pos="567"/>
          <w:tab w:val="clear" w:pos="1134"/>
          <w:tab w:val="clear" w:pos="1701"/>
          <w:tab w:val="clear" w:pos="2268"/>
          <w:tab w:val="clear" w:pos="2835"/>
        </w:tabs>
        <w:snapToGrid w:val="0"/>
        <w:spacing w:before="0"/>
        <w:jc w:val="both"/>
      </w:pPr>
      <w:r>
        <w:t>32</w:t>
      </w:r>
      <w:r>
        <w:tab/>
      </w:r>
      <w:r w:rsidR="00884F50" w:rsidRPr="00AD2E81">
        <w:t>The ITU TELECOM World 201</w:t>
      </w:r>
      <w:r w:rsidR="00E10953" w:rsidRPr="00AD2E81">
        <w:t>8</w:t>
      </w:r>
      <w:r w:rsidR="00884F50" w:rsidRPr="00AD2E81">
        <w:t xml:space="preserve"> closed the event with a surplus of KCHF </w:t>
      </w:r>
      <w:r w:rsidR="009D4DBC" w:rsidRPr="00AD2E81">
        <w:t>254</w:t>
      </w:r>
      <w:r w:rsidR="00884F50" w:rsidRPr="00AD2E81">
        <w:t xml:space="preserve"> </w:t>
      </w:r>
      <w:r w:rsidR="00F60CD2" w:rsidRPr="00AD2E81">
        <w:t>which</w:t>
      </w:r>
      <w:r w:rsidR="00884F50" w:rsidRPr="00AD2E81">
        <w:t xml:space="preserve"> was paid to the Exhibition Working Capital Fund. </w:t>
      </w:r>
      <w:r w:rsidR="00A93635" w:rsidRPr="00AD2E81">
        <w:t>The balance of the Exhibition Working Capital Fund stood at CHF</w:t>
      </w:r>
      <w:r w:rsidR="00AE0A92" w:rsidRPr="00AD2E81">
        <w:t> </w:t>
      </w:r>
      <w:r w:rsidR="009D4DBC" w:rsidRPr="00AD2E81">
        <w:t>7.95</w:t>
      </w:r>
      <w:r w:rsidR="00A93635" w:rsidRPr="00AD2E81">
        <w:t xml:space="preserve"> million at 31 December 201</w:t>
      </w:r>
      <w:r w:rsidR="009D4DBC" w:rsidRPr="00AD2E81">
        <w:t>8</w:t>
      </w:r>
      <w:r w:rsidR="00A93635" w:rsidRPr="00AD2E81">
        <w:t xml:space="preserve"> (CHF </w:t>
      </w:r>
      <w:r w:rsidR="009D4DBC" w:rsidRPr="00AD2E81">
        <w:t>8</w:t>
      </w:r>
      <w:r w:rsidR="00F27718" w:rsidRPr="00AD2E81">
        <w:t>.1</w:t>
      </w:r>
      <w:r w:rsidR="00A93635" w:rsidRPr="00AD2E81">
        <w:t> million at 31 December 201</w:t>
      </w:r>
      <w:r w:rsidR="009D4DBC" w:rsidRPr="00AD2E81">
        <w:t>7</w:t>
      </w:r>
      <w:r w:rsidR="00A93635" w:rsidRPr="00AD2E81">
        <w:t>).</w:t>
      </w:r>
      <w:r w:rsidR="00F27718" w:rsidRPr="00AD2E81">
        <w:t xml:space="preserve"> </w:t>
      </w:r>
    </w:p>
    <w:p w:rsidR="00AD2E81" w:rsidRDefault="00AD2E81" w:rsidP="00AD2E81">
      <w:pPr>
        <w:tabs>
          <w:tab w:val="clear" w:pos="567"/>
          <w:tab w:val="clear" w:pos="1134"/>
          <w:tab w:val="clear" w:pos="1701"/>
          <w:tab w:val="clear" w:pos="2268"/>
          <w:tab w:val="clear" w:pos="2835"/>
          <w:tab w:val="left" w:pos="851"/>
        </w:tabs>
        <w:snapToGrid w:val="0"/>
        <w:spacing w:before="0"/>
        <w:jc w:val="both"/>
      </w:pPr>
    </w:p>
    <w:p w:rsidR="00A93635" w:rsidRPr="00AD2E81" w:rsidRDefault="00AD2E81" w:rsidP="00AD2E81">
      <w:pPr>
        <w:tabs>
          <w:tab w:val="clear" w:pos="567"/>
          <w:tab w:val="clear" w:pos="1134"/>
          <w:tab w:val="clear" w:pos="1701"/>
          <w:tab w:val="clear" w:pos="2268"/>
          <w:tab w:val="clear" w:pos="2835"/>
          <w:tab w:val="left" w:pos="709"/>
        </w:tabs>
        <w:snapToGrid w:val="0"/>
        <w:spacing w:before="0"/>
        <w:jc w:val="both"/>
      </w:pPr>
      <w:r>
        <w:t>33</w:t>
      </w:r>
      <w:r>
        <w:tab/>
      </w:r>
      <w:r w:rsidR="00A93635" w:rsidRPr="00AD2E81">
        <w:t>A</w:t>
      </w:r>
      <w:r w:rsidR="00F60CD2" w:rsidRPr="00AD2E81">
        <w:t xml:space="preserve">nnex </w:t>
      </w:r>
      <w:r w:rsidR="00C00D84" w:rsidRPr="00AD2E81">
        <w:t>D</w:t>
      </w:r>
      <w:r w:rsidR="00A93635" w:rsidRPr="00AD2E81">
        <w:t xml:space="preserve"> hereto shows changes in arrears with respect to TELECOM events.</w:t>
      </w:r>
    </w:p>
    <w:p w:rsidR="007D7C26" w:rsidRPr="00CA49D4" w:rsidRDefault="007D7C26" w:rsidP="00AD2E81">
      <w:pPr>
        <w:pStyle w:val="ListParagraph"/>
        <w:tabs>
          <w:tab w:val="left" w:pos="709"/>
          <w:tab w:val="left" w:pos="851"/>
        </w:tabs>
        <w:adjustRightInd w:val="0"/>
        <w:snapToGrid w:val="0"/>
        <w:ind w:left="0"/>
        <w:contextualSpacing w:val="0"/>
        <w:jc w:val="both"/>
        <w:rPr>
          <w:rFonts w:ascii="Calibri" w:eastAsia="Times New Roman" w:hAnsi="Calibri"/>
          <w:szCs w:val="20"/>
          <w:lang w:eastAsia="en-US"/>
        </w:rPr>
      </w:pPr>
    </w:p>
    <w:p w:rsidR="007D7C26" w:rsidRDefault="00AD2E81" w:rsidP="00AD2E81">
      <w:pPr>
        <w:pStyle w:val="ListParagraph"/>
        <w:tabs>
          <w:tab w:val="left" w:pos="709"/>
        </w:tabs>
        <w:adjustRightInd w:val="0"/>
        <w:snapToGrid w:val="0"/>
        <w:ind w:left="0"/>
        <w:contextualSpacing w:val="0"/>
        <w:jc w:val="both"/>
        <w:rPr>
          <w:rFonts w:ascii="Calibri" w:eastAsia="Times New Roman" w:hAnsi="Calibri"/>
          <w:szCs w:val="20"/>
          <w:lang w:eastAsia="en-US"/>
        </w:rPr>
      </w:pPr>
      <w:r>
        <w:rPr>
          <w:rFonts w:ascii="Calibri" w:eastAsia="Times New Roman" w:hAnsi="Calibri"/>
          <w:szCs w:val="20"/>
          <w:lang w:eastAsia="en-US"/>
        </w:rPr>
        <w:t>34</w:t>
      </w:r>
      <w:r>
        <w:rPr>
          <w:rFonts w:ascii="Calibri" w:eastAsia="Times New Roman" w:hAnsi="Calibri"/>
          <w:szCs w:val="20"/>
          <w:lang w:eastAsia="en-US"/>
        </w:rPr>
        <w:tab/>
      </w:r>
      <w:r w:rsidR="007D7C26">
        <w:rPr>
          <w:rFonts w:ascii="Calibri" w:eastAsia="Times New Roman" w:hAnsi="Calibri"/>
          <w:szCs w:val="20"/>
          <w:lang w:eastAsia="en-US"/>
        </w:rPr>
        <w:t xml:space="preserve">The </w:t>
      </w:r>
      <w:r w:rsidR="007D7C26" w:rsidRPr="00B87176">
        <w:rPr>
          <w:rFonts w:ascii="Calibri" w:eastAsia="Times New Roman" w:hAnsi="Calibri"/>
          <w:szCs w:val="20"/>
          <w:lang w:eastAsia="en-US"/>
        </w:rPr>
        <w:t xml:space="preserve">accompanying notes to the financial statements provide relevant information on financial aspects pertaining to the </w:t>
      </w:r>
      <w:r w:rsidR="007D7C26" w:rsidRPr="00C370FC">
        <w:rPr>
          <w:rFonts w:ascii="Calibri" w:eastAsia="Times New Roman" w:hAnsi="Calibri"/>
          <w:szCs w:val="20"/>
          <w:lang w:eastAsia="en-US"/>
        </w:rPr>
        <w:t>201</w:t>
      </w:r>
      <w:r w:rsidR="00E10953">
        <w:rPr>
          <w:rFonts w:ascii="Calibri" w:eastAsia="Times New Roman" w:hAnsi="Calibri"/>
          <w:szCs w:val="20"/>
          <w:lang w:eastAsia="en-US"/>
        </w:rPr>
        <w:t>8</w:t>
      </w:r>
      <w:r w:rsidR="007D7C26" w:rsidRPr="00C370FC">
        <w:rPr>
          <w:rFonts w:ascii="Calibri" w:eastAsia="Times New Roman" w:hAnsi="Calibri"/>
          <w:szCs w:val="20"/>
          <w:lang w:eastAsia="en-US"/>
        </w:rPr>
        <w:t xml:space="preserve"> period</w:t>
      </w:r>
      <w:r w:rsidR="00C370FC">
        <w:rPr>
          <w:rFonts w:ascii="Calibri" w:eastAsia="Times New Roman" w:hAnsi="Calibri"/>
          <w:szCs w:val="20"/>
          <w:lang w:eastAsia="en-US"/>
        </w:rPr>
        <w:t>.</w:t>
      </w:r>
    </w:p>
    <w:p w:rsidR="001509C2" w:rsidRPr="00645C3C" w:rsidRDefault="001509C2" w:rsidP="00AD2E81">
      <w:pPr>
        <w:pStyle w:val="ListParagraph"/>
        <w:tabs>
          <w:tab w:val="left" w:pos="851"/>
        </w:tabs>
        <w:adjustRightInd w:val="0"/>
        <w:snapToGrid w:val="0"/>
        <w:ind w:left="0"/>
        <w:contextualSpacing w:val="0"/>
        <w:jc w:val="both"/>
        <w:rPr>
          <w:rFonts w:ascii="Calibri" w:eastAsia="Times New Roman" w:hAnsi="Calibri"/>
          <w:szCs w:val="20"/>
          <w:lang w:eastAsia="en-US"/>
        </w:rPr>
      </w:pPr>
    </w:p>
    <w:p w:rsidR="001509C2" w:rsidRPr="00645C3C" w:rsidRDefault="001509C2" w:rsidP="00AD2E81">
      <w:pPr>
        <w:pStyle w:val="ListParagraph"/>
        <w:tabs>
          <w:tab w:val="left" w:pos="851"/>
        </w:tabs>
        <w:adjustRightInd w:val="0"/>
        <w:snapToGrid w:val="0"/>
        <w:ind w:left="0"/>
        <w:contextualSpacing w:val="0"/>
        <w:jc w:val="both"/>
        <w:rPr>
          <w:rFonts w:ascii="Calibri" w:hAnsi="Calibri"/>
          <w:b/>
          <w:bCs/>
        </w:rPr>
      </w:pPr>
      <w:r w:rsidRPr="00CB39B4">
        <w:rPr>
          <w:rFonts w:ascii="Calibri" w:hAnsi="Calibri"/>
          <w:b/>
          <w:bCs/>
        </w:rPr>
        <w:t>Financial key indicators</w:t>
      </w:r>
    </w:p>
    <w:p w:rsidR="001509C2" w:rsidRPr="00645C3C" w:rsidRDefault="001509C2" w:rsidP="00AD2E81">
      <w:pPr>
        <w:pStyle w:val="ListParagraph"/>
        <w:tabs>
          <w:tab w:val="left" w:pos="851"/>
        </w:tabs>
        <w:adjustRightInd w:val="0"/>
        <w:snapToGrid w:val="0"/>
        <w:ind w:left="0"/>
        <w:contextualSpacing w:val="0"/>
        <w:jc w:val="both"/>
        <w:rPr>
          <w:rFonts w:ascii="Calibri" w:eastAsia="Times New Roman" w:hAnsi="Calibri"/>
          <w:szCs w:val="20"/>
          <w:lang w:eastAsia="en-US"/>
        </w:rPr>
      </w:pPr>
    </w:p>
    <w:p w:rsidR="00C40BCA" w:rsidRPr="00645C3C" w:rsidRDefault="00AD2E81" w:rsidP="00AD2E81">
      <w:pPr>
        <w:pStyle w:val="ListParagraph"/>
        <w:tabs>
          <w:tab w:val="left" w:pos="709"/>
        </w:tabs>
        <w:adjustRightInd w:val="0"/>
        <w:snapToGrid w:val="0"/>
        <w:ind w:left="0"/>
        <w:contextualSpacing w:val="0"/>
        <w:jc w:val="both"/>
        <w:rPr>
          <w:rFonts w:ascii="Calibri" w:eastAsia="Times New Roman" w:hAnsi="Calibri"/>
          <w:szCs w:val="20"/>
          <w:lang w:eastAsia="en-US"/>
        </w:rPr>
      </w:pPr>
      <w:r>
        <w:rPr>
          <w:rFonts w:ascii="Calibri" w:eastAsia="Times New Roman" w:hAnsi="Calibri"/>
          <w:szCs w:val="20"/>
          <w:lang w:eastAsia="en-US"/>
        </w:rPr>
        <w:t>35</w:t>
      </w:r>
      <w:r>
        <w:rPr>
          <w:rFonts w:ascii="Calibri" w:eastAsia="Times New Roman" w:hAnsi="Calibri"/>
          <w:szCs w:val="20"/>
          <w:lang w:eastAsia="en-US"/>
        </w:rPr>
        <w:tab/>
      </w:r>
      <w:r w:rsidR="007D7C26" w:rsidRPr="00645C3C">
        <w:rPr>
          <w:rFonts w:ascii="Calibri" w:eastAsia="Times New Roman" w:hAnsi="Calibri"/>
          <w:szCs w:val="20"/>
          <w:lang w:eastAsia="en-US"/>
        </w:rPr>
        <w:t>Following a recommendation made by the Council Working Group on Financial and Human Resources, ITU introduced in 2015 the presentation of Key indicators which is a useful tool in understanding the evolution of the financial situation of an organization and is of high importance in a results-based budgeting and results-based management framework</w:t>
      </w:r>
      <w:r w:rsidR="00CA49D4" w:rsidRPr="00645C3C">
        <w:rPr>
          <w:rFonts w:ascii="Calibri" w:eastAsia="Times New Roman" w:hAnsi="Calibri"/>
          <w:szCs w:val="20"/>
          <w:lang w:eastAsia="en-US"/>
        </w:rPr>
        <w:t>.</w:t>
      </w:r>
    </w:p>
    <w:p w:rsidR="00CA49D4" w:rsidRPr="00645C3C" w:rsidRDefault="00CA49D4" w:rsidP="00AD2E81">
      <w:pPr>
        <w:pStyle w:val="ListParagraph"/>
        <w:tabs>
          <w:tab w:val="left" w:pos="709"/>
        </w:tabs>
        <w:adjustRightInd w:val="0"/>
        <w:snapToGrid w:val="0"/>
        <w:ind w:left="0"/>
        <w:contextualSpacing w:val="0"/>
        <w:jc w:val="both"/>
        <w:rPr>
          <w:rFonts w:ascii="Calibri" w:eastAsia="Times New Roman" w:hAnsi="Calibri"/>
          <w:szCs w:val="20"/>
          <w:lang w:eastAsia="en-US"/>
        </w:rPr>
      </w:pPr>
    </w:p>
    <w:p w:rsidR="00AE2BDB" w:rsidRPr="00085B3E" w:rsidRDefault="00AD2E81" w:rsidP="00AD2E81">
      <w:pPr>
        <w:pStyle w:val="ListParagraph"/>
        <w:tabs>
          <w:tab w:val="left" w:pos="709"/>
          <w:tab w:val="left" w:pos="851"/>
        </w:tabs>
        <w:adjustRightInd w:val="0"/>
        <w:snapToGrid w:val="0"/>
        <w:ind w:left="0"/>
        <w:contextualSpacing w:val="0"/>
        <w:jc w:val="both"/>
      </w:pPr>
      <w:r>
        <w:rPr>
          <w:rFonts w:ascii="Calibri" w:eastAsia="Times New Roman" w:hAnsi="Calibri"/>
          <w:szCs w:val="20"/>
          <w:lang w:eastAsia="en-US"/>
        </w:rPr>
        <w:t>36</w:t>
      </w:r>
      <w:r>
        <w:rPr>
          <w:rFonts w:ascii="Calibri" w:eastAsia="Times New Roman" w:hAnsi="Calibri"/>
          <w:szCs w:val="20"/>
          <w:lang w:eastAsia="en-US"/>
        </w:rPr>
        <w:tab/>
      </w:r>
      <w:r w:rsidR="00C40BCA" w:rsidRPr="00645C3C">
        <w:rPr>
          <w:rFonts w:ascii="Calibri" w:eastAsia="Times New Roman" w:hAnsi="Calibri"/>
          <w:szCs w:val="20"/>
          <w:lang w:eastAsia="en-US"/>
        </w:rPr>
        <w:t>Careful interpretation of the results of the indicators is necessary in order to obtain meaningful comparison with other United Nations organizations and specialized agencies</w:t>
      </w:r>
      <w:r w:rsidR="006C259C">
        <w:rPr>
          <w:rFonts w:ascii="Calibri" w:eastAsia="Times New Roman" w:hAnsi="Calibri"/>
          <w:szCs w:val="20"/>
          <w:lang w:eastAsia="en-US"/>
        </w:rPr>
        <w:t>.</w:t>
      </w:r>
    </w:p>
    <w:p w:rsidR="00AD2E81" w:rsidRDefault="00AD2E81">
      <w:pPr>
        <w:tabs>
          <w:tab w:val="clear" w:pos="567"/>
          <w:tab w:val="clear" w:pos="1134"/>
          <w:tab w:val="clear" w:pos="1701"/>
          <w:tab w:val="clear" w:pos="2268"/>
          <w:tab w:val="clear" w:pos="2835"/>
        </w:tabs>
        <w:overflowPunct/>
        <w:autoSpaceDE/>
        <w:autoSpaceDN/>
        <w:adjustRightInd/>
        <w:spacing w:before="0"/>
        <w:textAlignment w:val="auto"/>
        <w:rPr>
          <w:rFonts w:eastAsia="SimSun"/>
          <w:szCs w:val="24"/>
          <w:lang w:val="en-US" w:eastAsia="zh-CN"/>
        </w:rPr>
      </w:pPr>
      <w:r>
        <w:br w:type="page"/>
      </w:r>
    </w:p>
    <w:p w:rsidR="001509C2" w:rsidRPr="00645C3C" w:rsidRDefault="001509C2" w:rsidP="00B06A9A">
      <w:pPr>
        <w:pStyle w:val="ListParagraph"/>
        <w:adjustRightInd w:val="0"/>
        <w:snapToGrid w:val="0"/>
        <w:ind w:left="0"/>
        <w:contextualSpacing w:val="0"/>
        <w:rPr>
          <w:rFonts w:ascii="Calibri" w:hAnsi="Calibri"/>
        </w:rPr>
      </w:pPr>
    </w:p>
    <w:p w:rsidR="004950D1" w:rsidRPr="0082007B" w:rsidRDefault="004950D1" w:rsidP="00CA49D4">
      <w:pPr>
        <w:tabs>
          <w:tab w:val="left" w:pos="851"/>
          <w:tab w:val="left" w:pos="3052"/>
        </w:tabs>
        <w:snapToGrid w:val="0"/>
        <w:spacing w:after="120"/>
        <w:jc w:val="both"/>
        <w:rPr>
          <w:rFonts w:asciiTheme="minorHAnsi" w:hAnsiTheme="minorHAnsi"/>
          <w:b/>
          <w:bCs/>
          <w:sz w:val="28"/>
          <w:szCs w:val="28"/>
          <w:u w:val="single"/>
        </w:rPr>
      </w:pPr>
      <w:r w:rsidRPr="0082007B">
        <w:rPr>
          <w:rFonts w:asciiTheme="minorHAnsi" w:hAnsiTheme="minorHAnsi"/>
          <w:b/>
          <w:bCs/>
          <w:sz w:val="28"/>
          <w:szCs w:val="28"/>
          <w:u w:val="single"/>
        </w:rPr>
        <w:t>Financial Stability and Safety / Risk</w:t>
      </w:r>
    </w:p>
    <w:p w:rsidR="004950D1" w:rsidRPr="0082007B" w:rsidRDefault="00D86993" w:rsidP="004950D1">
      <w:pPr>
        <w:rPr>
          <w:lang w:val="en-US"/>
        </w:rPr>
      </w:pPr>
      <w:r>
        <w:rPr>
          <w:noProof/>
          <w:lang w:eastAsia="zh-CN"/>
        </w:rPr>
        <w:drawing>
          <wp:inline distT="0" distB="0" distL="0" distR="0" wp14:anchorId="75823C50" wp14:editId="38317D42">
            <wp:extent cx="6210935" cy="17011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10935" cy="1701165"/>
                    </a:xfrm>
                    <a:prstGeom prst="rect">
                      <a:avLst/>
                    </a:prstGeom>
                  </pic:spPr>
                </pic:pic>
              </a:graphicData>
            </a:graphic>
          </wp:inline>
        </w:drawing>
      </w:r>
    </w:p>
    <w:p w:rsidR="004950D1" w:rsidRPr="0082007B" w:rsidRDefault="004950D1" w:rsidP="001870B6">
      <w:pPr>
        <w:snapToGrid w:val="0"/>
        <w:spacing w:after="120"/>
        <w:rPr>
          <w:rFonts w:asciiTheme="minorHAnsi" w:hAnsiTheme="minorHAnsi"/>
          <w:b/>
          <w:bCs/>
          <w:sz w:val="28"/>
          <w:szCs w:val="28"/>
          <w:u w:val="single"/>
        </w:rPr>
      </w:pPr>
      <w:r w:rsidRPr="0082007B">
        <w:rPr>
          <w:rFonts w:asciiTheme="minorHAnsi" w:hAnsiTheme="minorHAnsi"/>
          <w:b/>
          <w:bCs/>
          <w:sz w:val="28"/>
          <w:szCs w:val="28"/>
          <w:u w:val="single"/>
        </w:rPr>
        <w:t>Reserve of Equity and Cash</w:t>
      </w:r>
    </w:p>
    <w:p w:rsidR="004950D1" w:rsidRDefault="00CD1303" w:rsidP="0019503C">
      <w:pPr>
        <w:snapToGrid w:val="0"/>
        <w:rPr>
          <w:b/>
          <w:bCs/>
          <w:u w:val="single"/>
          <w:lang w:val="en-US"/>
        </w:rPr>
      </w:pPr>
      <w:r>
        <w:rPr>
          <w:noProof/>
          <w:lang w:eastAsia="zh-CN"/>
        </w:rPr>
        <w:drawing>
          <wp:inline distT="0" distB="0" distL="0" distR="0" wp14:anchorId="7C6EF540" wp14:editId="3046DEC5">
            <wp:extent cx="6210935" cy="17456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10935" cy="1745615"/>
                    </a:xfrm>
                    <a:prstGeom prst="rect">
                      <a:avLst/>
                    </a:prstGeom>
                  </pic:spPr>
                </pic:pic>
              </a:graphicData>
            </a:graphic>
          </wp:inline>
        </w:drawing>
      </w:r>
    </w:p>
    <w:p w:rsidR="004950D1" w:rsidRDefault="00E90727" w:rsidP="00AD2E81">
      <w:pPr>
        <w:tabs>
          <w:tab w:val="clear" w:pos="567"/>
          <w:tab w:val="clear" w:pos="1134"/>
          <w:tab w:val="clear" w:pos="1701"/>
          <w:tab w:val="clear" w:pos="2268"/>
          <w:tab w:val="clear" w:pos="2835"/>
          <w:tab w:val="left" w:pos="709"/>
        </w:tabs>
        <w:spacing w:before="0"/>
        <w:jc w:val="both"/>
        <w:rPr>
          <w:rFonts w:asciiTheme="minorHAnsi" w:hAnsiTheme="minorHAnsi"/>
          <w:szCs w:val="24"/>
        </w:rPr>
      </w:pPr>
      <w:r>
        <w:rPr>
          <w:rFonts w:asciiTheme="minorHAnsi" w:hAnsiTheme="minorHAnsi"/>
          <w:szCs w:val="24"/>
          <w:lang w:val="en-US"/>
        </w:rPr>
        <w:t>3</w:t>
      </w:r>
      <w:r w:rsidR="00AD2E81">
        <w:rPr>
          <w:rFonts w:asciiTheme="minorHAnsi" w:hAnsiTheme="minorHAnsi"/>
          <w:szCs w:val="24"/>
          <w:lang w:val="en-US"/>
        </w:rPr>
        <w:t>7</w:t>
      </w:r>
      <w:r w:rsidR="009A779C">
        <w:rPr>
          <w:rFonts w:asciiTheme="minorHAnsi" w:hAnsiTheme="minorHAnsi"/>
          <w:szCs w:val="24"/>
          <w:lang w:val="en-US"/>
        </w:rPr>
        <w:tab/>
      </w:r>
      <w:r w:rsidR="004950D1" w:rsidRPr="00DB2906">
        <w:rPr>
          <w:rFonts w:asciiTheme="minorHAnsi" w:hAnsiTheme="minorHAnsi"/>
          <w:szCs w:val="24"/>
        </w:rPr>
        <w:t>The evaluation of the Cash Reserve is expressed in a number of months and reflects a stability over the years. It has to be noted that part of the cash has not an immediate availability and therefore require to be monitored carefully to cover the monthly needs.</w:t>
      </w:r>
    </w:p>
    <w:p w:rsidR="00B15B5D" w:rsidRDefault="004950D1" w:rsidP="001870B6">
      <w:pPr>
        <w:snapToGrid w:val="0"/>
        <w:spacing w:after="120"/>
        <w:rPr>
          <w:noProof/>
          <w:lang w:val="en-US" w:eastAsia="zh-CN"/>
        </w:rPr>
      </w:pPr>
      <w:r w:rsidRPr="0082007B">
        <w:rPr>
          <w:rFonts w:asciiTheme="minorHAnsi" w:hAnsiTheme="minorHAnsi"/>
          <w:b/>
          <w:bCs/>
          <w:sz w:val="28"/>
          <w:szCs w:val="28"/>
          <w:u w:val="single"/>
        </w:rPr>
        <w:t>Short-term solvency</w:t>
      </w:r>
    </w:p>
    <w:p w:rsidR="001E0019" w:rsidRDefault="00CD1303" w:rsidP="00320B21">
      <w:pPr>
        <w:spacing w:before="0"/>
        <w:rPr>
          <w:rFonts w:asciiTheme="minorHAnsi" w:hAnsiTheme="minorHAnsi"/>
          <w:sz w:val="28"/>
          <w:szCs w:val="28"/>
          <w:u w:val="single"/>
        </w:rPr>
      </w:pPr>
      <w:r>
        <w:rPr>
          <w:noProof/>
          <w:lang w:eastAsia="zh-CN"/>
        </w:rPr>
        <w:drawing>
          <wp:inline distT="0" distB="0" distL="0" distR="0" wp14:anchorId="23E2D69D" wp14:editId="2FE65A03">
            <wp:extent cx="6210935" cy="18630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10935" cy="1863090"/>
                    </a:xfrm>
                    <a:prstGeom prst="rect">
                      <a:avLst/>
                    </a:prstGeom>
                  </pic:spPr>
                </pic:pic>
              </a:graphicData>
            </a:graphic>
          </wp:inline>
        </w:drawing>
      </w:r>
    </w:p>
    <w:p w:rsidR="00F82142" w:rsidRPr="00F82142" w:rsidRDefault="00CD1303" w:rsidP="00320B21">
      <w:pPr>
        <w:spacing w:before="0"/>
        <w:rPr>
          <w:rFonts w:asciiTheme="minorHAnsi" w:hAnsiTheme="minorHAnsi"/>
          <w:sz w:val="28"/>
          <w:szCs w:val="28"/>
          <w:u w:val="single"/>
        </w:rPr>
      </w:pPr>
      <w:r>
        <w:rPr>
          <w:noProof/>
          <w:lang w:eastAsia="zh-CN"/>
        </w:rPr>
        <w:drawing>
          <wp:inline distT="0" distB="0" distL="0" distR="0" wp14:anchorId="2D6CFB52" wp14:editId="5C1B6C01">
            <wp:extent cx="6210935" cy="1904365"/>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10935" cy="1904365"/>
                    </a:xfrm>
                    <a:prstGeom prst="rect">
                      <a:avLst/>
                    </a:prstGeom>
                  </pic:spPr>
                </pic:pic>
              </a:graphicData>
            </a:graphic>
          </wp:inline>
        </w:drawing>
      </w:r>
    </w:p>
    <w:p w:rsidR="0050773A" w:rsidRDefault="00CF70D5" w:rsidP="00845FE2">
      <w:pPr>
        <w:keepNext/>
        <w:snapToGrid w:val="0"/>
        <w:spacing w:before="240"/>
        <w:rPr>
          <w:rFonts w:asciiTheme="minorHAnsi" w:hAnsiTheme="minorHAnsi"/>
          <w:sz w:val="22"/>
          <w:szCs w:val="22"/>
        </w:rPr>
      </w:pPr>
      <w:r>
        <w:rPr>
          <w:rFonts w:asciiTheme="minorHAnsi" w:hAnsiTheme="minorHAnsi"/>
          <w:szCs w:val="24"/>
        </w:rPr>
        <w:t>3</w:t>
      </w:r>
      <w:r w:rsidR="00AD2E81">
        <w:rPr>
          <w:rFonts w:asciiTheme="minorHAnsi" w:hAnsiTheme="minorHAnsi"/>
          <w:szCs w:val="24"/>
        </w:rPr>
        <w:t>8</w:t>
      </w:r>
      <w:r>
        <w:rPr>
          <w:rFonts w:asciiTheme="minorHAnsi" w:hAnsiTheme="minorHAnsi"/>
          <w:szCs w:val="24"/>
        </w:rPr>
        <w:tab/>
      </w:r>
      <w:r w:rsidRPr="0070333A">
        <w:rPr>
          <w:rFonts w:asciiTheme="minorHAnsi" w:hAnsiTheme="minorHAnsi"/>
          <w:szCs w:val="24"/>
        </w:rPr>
        <w:t>The solvency ratio helps to see the financial health of the ITU on a short term basis. The high</w:t>
      </w:r>
    </w:p>
    <w:p w:rsidR="00320B21" w:rsidRPr="0070333A" w:rsidRDefault="00320B21" w:rsidP="00845FE2">
      <w:pPr>
        <w:keepNext/>
        <w:tabs>
          <w:tab w:val="clear" w:pos="567"/>
          <w:tab w:val="left" w:pos="709"/>
        </w:tabs>
        <w:snapToGrid w:val="0"/>
        <w:spacing w:before="0" w:after="120"/>
        <w:jc w:val="both"/>
        <w:rPr>
          <w:rFonts w:asciiTheme="minorHAnsi" w:hAnsiTheme="minorHAnsi"/>
          <w:szCs w:val="24"/>
        </w:rPr>
      </w:pPr>
      <w:proofErr w:type="gramStart"/>
      <w:r w:rsidRPr="0070333A">
        <w:rPr>
          <w:rFonts w:asciiTheme="minorHAnsi" w:hAnsiTheme="minorHAnsi"/>
          <w:szCs w:val="24"/>
        </w:rPr>
        <w:t>result</w:t>
      </w:r>
      <w:proofErr w:type="gramEnd"/>
      <w:r w:rsidRPr="0070333A">
        <w:rPr>
          <w:rFonts w:asciiTheme="minorHAnsi" w:hAnsiTheme="minorHAnsi"/>
          <w:szCs w:val="24"/>
        </w:rPr>
        <w:t xml:space="preserve"> respectively 1</w:t>
      </w:r>
      <w:r w:rsidR="00F82142">
        <w:rPr>
          <w:rFonts w:asciiTheme="minorHAnsi" w:hAnsiTheme="minorHAnsi"/>
          <w:szCs w:val="24"/>
        </w:rPr>
        <w:t>9</w:t>
      </w:r>
      <w:r w:rsidR="00C9510E">
        <w:rPr>
          <w:rFonts w:asciiTheme="minorHAnsi" w:hAnsiTheme="minorHAnsi"/>
          <w:szCs w:val="24"/>
        </w:rPr>
        <w:t>8</w:t>
      </w:r>
      <w:r w:rsidR="0070333A">
        <w:rPr>
          <w:rFonts w:asciiTheme="minorHAnsi" w:hAnsiTheme="minorHAnsi"/>
          <w:szCs w:val="24"/>
        </w:rPr>
        <w:t> per cent</w:t>
      </w:r>
      <w:r w:rsidRPr="0070333A">
        <w:rPr>
          <w:rFonts w:asciiTheme="minorHAnsi" w:hAnsiTheme="minorHAnsi"/>
          <w:szCs w:val="24"/>
        </w:rPr>
        <w:t xml:space="preserve"> and 1</w:t>
      </w:r>
      <w:r w:rsidR="00F82142">
        <w:rPr>
          <w:rFonts w:asciiTheme="minorHAnsi" w:hAnsiTheme="minorHAnsi"/>
          <w:szCs w:val="24"/>
        </w:rPr>
        <w:t>3</w:t>
      </w:r>
      <w:r w:rsidR="00C9510E">
        <w:rPr>
          <w:rFonts w:asciiTheme="minorHAnsi" w:hAnsiTheme="minorHAnsi"/>
          <w:szCs w:val="24"/>
        </w:rPr>
        <w:t>4</w:t>
      </w:r>
      <w:r w:rsidR="0070333A">
        <w:rPr>
          <w:rFonts w:asciiTheme="minorHAnsi" w:hAnsiTheme="minorHAnsi"/>
          <w:szCs w:val="24"/>
        </w:rPr>
        <w:t> per cent</w:t>
      </w:r>
      <w:r w:rsidRPr="0070333A">
        <w:rPr>
          <w:rFonts w:asciiTheme="minorHAnsi" w:hAnsiTheme="minorHAnsi"/>
          <w:szCs w:val="24"/>
        </w:rPr>
        <w:t xml:space="preserve"> of these </w:t>
      </w:r>
      <w:r w:rsidR="0070333A">
        <w:rPr>
          <w:rFonts w:asciiTheme="minorHAnsi" w:hAnsiTheme="minorHAnsi"/>
          <w:szCs w:val="24"/>
        </w:rPr>
        <w:t>two</w:t>
      </w:r>
      <w:r w:rsidRPr="0070333A">
        <w:rPr>
          <w:rFonts w:asciiTheme="minorHAnsi" w:hAnsiTheme="minorHAnsi"/>
          <w:szCs w:val="24"/>
        </w:rPr>
        <w:t xml:space="preserve"> ratios confirm the good situation of the Union and its ability to fulfil the short term obligations.</w:t>
      </w:r>
    </w:p>
    <w:p w:rsidR="004950D1" w:rsidRPr="0082007B" w:rsidRDefault="004950D1" w:rsidP="001B6D51">
      <w:pPr>
        <w:snapToGrid w:val="0"/>
        <w:spacing w:before="240" w:after="120"/>
        <w:rPr>
          <w:b/>
          <w:bCs/>
          <w:u w:val="single"/>
          <w:lang w:val="en-US"/>
        </w:rPr>
      </w:pPr>
      <w:r w:rsidRPr="0082007B">
        <w:rPr>
          <w:rFonts w:asciiTheme="minorHAnsi" w:hAnsiTheme="minorHAnsi"/>
          <w:b/>
          <w:bCs/>
          <w:sz w:val="28"/>
          <w:szCs w:val="28"/>
          <w:u w:val="single"/>
        </w:rPr>
        <w:t>Financial Performance</w:t>
      </w:r>
    </w:p>
    <w:p w:rsidR="00D736EA" w:rsidRPr="0070333A" w:rsidRDefault="00E90727" w:rsidP="00845FE2">
      <w:pPr>
        <w:tabs>
          <w:tab w:val="clear" w:pos="567"/>
          <w:tab w:val="left" w:pos="709"/>
        </w:tabs>
        <w:snapToGrid w:val="0"/>
        <w:spacing w:after="240"/>
        <w:rPr>
          <w:szCs w:val="24"/>
          <w:lang w:val="en-US"/>
        </w:rPr>
      </w:pPr>
      <w:r>
        <w:rPr>
          <w:szCs w:val="24"/>
          <w:lang w:val="en-US"/>
        </w:rPr>
        <w:t>3</w:t>
      </w:r>
      <w:r w:rsidR="00AD2E81">
        <w:rPr>
          <w:szCs w:val="24"/>
          <w:lang w:val="en-US"/>
        </w:rPr>
        <w:t>9</w:t>
      </w:r>
      <w:r w:rsidR="00A916FF">
        <w:rPr>
          <w:szCs w:val="24"/>
          <w:lang w:val="en-US"/>
        </w:rPr>
        <w:tab/>
      </w:r>
      <w:r w:rsidR="00D736EA" w:rsidRPr="0070333A">
        <w:rPr>
          <w:szCs w:val="24"/>
          <w:lang w:val="en-US"/>
        </w:rPr>
        <w:t>This ratio represents the financial performance for the regular budget approved and is based on the budget results.</w:t>
      </w:r>
    </w:p>
    <w:p w:rsidR="00320B21" w:rsidRDefault="00C9510E" w:rsidP="004B1FF5">
      <w:pPr>
        <w:tabs>
          <w:tab w:val="clear" w:pos="567"/>
          <w:tab w:val="clear" w:pos="1134"/>
          <w:tab w:val="clear" w:pos="1701"/>
          <w:tab w:val="clear" w:pos="2268"/>
          <w:tab w:val="clear" w:pos="2835"/>
        </w:tabs>
        <w:overflowPunct/>
        <w:autoSpaceDE/>
        <w:autoSpaceDN/>
        <w:adjustRightInd/>
        <w:spacing w:before="0"/>
        <w:textAlignment w:val="auto"/>
        <w:rPr>
          <w:sz w:val="22"/>
          <w:szCs w:val="18"/>
          <w:lang w:val="en-US"/>
        </w:rPr>
      </w:pPr>
      <w:r>
        <w:rPr>
          <w:noProof/>
          <w:lang w:eastAsia="zh-CN"/>
        </w:rPr>
        <w:drawing>
          <wp:inline distT="0" distB="0" distL="0" distR="0" wp14:anchorId="054F8946" wp14:editId="40D6FB6B">
            <wp:extent cx="6210935" cy="2014220"/>
            <wp:effectExtent l="0" t="0" r="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10935" cy="2014220"/>
                    </a:xfrm>
                    <a:prstGeom prst="rect">
                      <a:avLst/>
                    </a:prstGeom>
                  </pic:spPr>
                </pic:pic>
              </a:graphicData>
            </a:graphic>
          </wp:inline>
        </w:drawing>
      </w:r>
    </w:p>
    <w:p w:rsidR="00F82142" w:rsidRDefault="00C9510E" w:rsidP="00DF0997">
      <w:pPr>
        <w:snapToGrid w:val="0"/>
        <w:spacing w:before="240"/>
        <w:ind w:left="142"/>
        <w:rPr>
          <w:sz w:val="22"/>
          <w:szCs w:val="18"/>
          <w:lang w:val="en-US"/>
        </w:rPr>
      </w:pPr>
      <w:r>
        <w:rPr>
          <w:noProof/>
          <w:lang w:eastAsia="zh-CN"/>
        </w:rPr>
        <w:drawing>
          <wp:inline distT="0" distB="0" distL="0" distR="0" wp14:anchorId="0102DA0A" wp14:editId="6EBF2E51">
            <wp:extent cx="6210935" cy="193929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10935" cy="1939290"/>
                    </a:xfrm>
                    <a:prstGeom prst="rect">
                      <a:avLst/>
                    </a:prstGeom>
                  </pic:spPr>
                </pic:pic>
              </a:graphicData>
            </a:graphic>
          </wp:inline>
        </w:drawing>
      </w:r>
    </w:p>
    <w:p w:rsidR="00F82142" w:rsidRDefault="00F82142" w:rsidP="00CF70D5">
      <w:pPr>
        <w:snapToGrid w:val="0"/>
        <w:spacing w:before="240"/>
        <w:rPr>
          <w:sz w:val="22"/>
          <w:szCs w:val="18"/>
          <w:lang w:val="en-US"/>
        </w:rPr>
      </w:pPr>
    </w:p>
    <w:p w:rsidR="004950D1" w:rsidRPr="0070333A" w:rsidRDefault="00AD2E81" w:rsidP="00C9510E">
      <w:pPr>
        <w:tabs>
          <w:tab w:val="clear" w:pos="567"/>
          <w:tab w:val="left" w:pos="709"/>
        </w:tabs>
        <w:snapToGrid w:val="0"/>
        <w:spacing w:before="0"/>
        <w:rPr>
          <w:szCs w:val="24"/>
          <w:lang w:val="en-US"/>
        </w:rPr>
      </w:pPr>
      <w:r>
        <w:rPr>
          <w:szCs w:val="24"/>
          <w:lang w:val="en-US"/>
        </w:rPr>
        <w:t>40</w:t>
      </w:r>
      <w:r w:rsidR="00A916FF">
        <w:rPr>
          <w:szCs w:val="24"/>
          <w:lang w:val="en-US"/>
        </w:rPr>
        <w:tab/>
      </w:r>
      <w:r w:rsidR="004950D1" w:rsidRPr="0070333A">
        <w:rPr>
          <w:szCs w:val="24"/>
          <w:lang w:val="en-US"/>
        </w:rPr>
        <w:t>The evolution of the ratio related to staff cost</w:t>
      </w:r>
      <w:r w:rsidR="0070333A">
        <w:rPr>
          <w:szCs w:val="24"/>
          <w:lang w:val="en-US"/>
        </w:rPr>
        <w:t>s</w:t>
      </w:r>
      <w:r w:rsidR="004950D1" w:rsidRPr="0070333A">
        <w:rPr>
          <w:szCs w:val="24"/>
          <w:lang w:val="en-US"/>
        </w:rPr>
        <w:t xml:space="preserve"> has been relatively stable over the last four years. The major part of the revenue (8</w:t>
      </w:r>
      <w:r w:rsidR="00C9510E">
        <w:rPr>
          <w:szCs w:val="24"/>
          <w:lang w:val="en-US"/>
        </w:rPr>
        <w:t>1</w:t>
      </w:r>
      <w:r w:rsidR="0070333A">
        <w:rPr>
          <w:szCs w:val="24"/>
          <w:lang w:val="en-US"/>
        </w:rPr>
        <w:t> per cent</w:t>
      </w:r>
      <w:r w:rsidR="004950D1" w:rsidRPr="0070333A">
        <w:rPr>
          <w:szCs w:val="24"/>
          <w:lang w:val="en-US"/>
        </w:rPr>
        <w:t xml:space="preserve"> in 201</w:t>
      </w:r>
      <w:r w:rsidR="00F82142">
        <w:rPr>
          <w:szCs w:val="24"/>
          <w:lang w:val="en-US"/>
        </w:rPr>
        <w:t>8</w:t>
      </w:r>
      <w:r w:rsidR="004950D1" w:rsidRPr="0070333A">
        <w:rPr>
          <w:szCs w:val="24"/>
          <w:lang w:val="en-US"/>
        </w:rPr>
        <w:t xml:space="preserve">) is allocated to staff costs, allowing the ITU to fulfill the implementation of the </w:t>
      </w:r>
      <w:proofErr w:type="spellStart"/>
      <w:r w:rsidR="004950D1" w:rsidRPr="0070333A">
        <w:rPr>
          <w:szCs w:val="24"/>
          <w:lang w:val="en-US"/>
        </w:rPr>
        <w:t>programme</w:t>
      </w:r>
      <w:proofErr w:type="spellEnd"/>
      <w:r w:rsidR="004950D1" w:rsidRPr="0070333A">
        <w:rPr>
          <w:szCs w:val="24"/>
          <w:lang w:val="en-US"/>
        </w:rPr>
        <w:t xml:space="preserve"> of activities as decided in the operational plan during PP-14.</w:t>
      </w:r>
    </w:p>
    <w:p w:rsidR="004E3325" w:rsidRPr="0082007B" w:rsidRDefault="004E3325" w:rsidP="001B6571">
      <w:pPr>
        <w:tabs>
          <w:tab w:val="left" w:pos="709"/>
        </w:tabs>
        <w:snapToGrid w:val="0"/>
        <w:spacing w:before="0"/>
        <w:rPr>
          <w:sz w:val="22"/>
          <w:szCs w:val="18"/>
          <w:lang w:val="en-US"/>
        </w:rPr>
      </w:pPr>
    </w:p>
    <w:p w:rsidR="0022373A" w:rsidRDefault="0022373A" w:rsidP="001B6571">
      <w:pPr>
        <w:pStyle w:val="Headingb"/>
        <w:tabs>
          <w:tab w:val="left" w:pos="709"/>
        </w:tabs>
        <w:snapToGrid w:val="0"/>
        <w:spacing w:before="0"/>
        <w:jc w:val="both"/>
        <w:rPr>
          <w:lang w:val="en-US"/>
        </w:rPr>
      </w:pPr>
      <w:r w:rsidRPr="0082007B">
        <w:rPr>
          <w:lang w:val="en-US"/>
        </w:rPr>
        <w:t>Going concern</w:t>
      </w:r>
    </w:p>
    <w:p w:rsidR="0041376E" w:rsidRPr="0041376E" w:rsidRDefault="0041376E" w:rsidP="001B6571">
      <w:pPr>
        <w:tabs>
          <w:tab w:val="left" w:pos="709"/>
        </w:tabs>
        <w:spacing w:before="0"/>
        <w:rPr>
          <w:lang w:val="en-US"/>
        </w:rPr>
      </w:pPr>
    </w:p>
    <w:p w:rsidR="0022373A" w:rsidRPr="00AD2E81" w:rsidRDefault="00AD2E81" w:rsidP="001B6571">
      <w:pPr>
        <w:tabs>
          <w:tab w:val="clear" w:pos="567"/>
          <w:tab w:val="left" w:pos="709"/>
        </w:tabs>
        <w:snapToGrid w:val="0"/>
        <w:spacing w:before="0"/>
        <w:jc w:val="both"/>
      </w:pPr>
      <w:r>
        <w:t>41</w:t>
      </w:r>
      <w:r>
        <w:tab/>
      </w:r>
      <w:r w:rsidR="0022373A" w:rsidRPr="00AD2E81">
        <w:t>I have assessed the implications of any potential fall in contributions stemming from global economic and financial crises and have looked into whether this would result in a cutback in the Union</w:t>
      </w:r>
      <w:r w:rsidR="007A552E" w:rsidRPr="00AD2E81">
        <w:t>’</w:t>
      </w:r>
      <w:r w:rsidR="0022373A" w:rsidRPr="00AD2E81">
        <w:t>s activities. Having regard to projected activities and the associated risks, I can affirm that the Union has adequate resources to maintain its operations in the medium term. We shall therefore continue to draw up the Union</w:t>
      </w:r>
      <w:r w:rsidR="007A552E" w:rsidRPr="00AD2E81">
        <w:t>’</w:t>
      </w:r>
      <w:r w:rsidR="0022373A" w:rsidRPr="00AD2E81">
        <w:t>s financial statements on the basis of the going concern principle.</w:t>
      </w:r>
    </w:p>
    <w:p w:rsidR="00F80DFB" w:rsidRPr="002762FD" w:rsidRDefault="00F80DFB" w:rsidP="00AC5E61">
      <w:pPr>
        <w:pStyle w:val="ListParagraph"/>
        <w:tabs>
          <w:tab w:val="left" w:pos="709"/>
        </w:tabs>
        <w:snapToGrid w:val="0"/>
        <w:ind w:left="0"/>
        <w:jc w:val="both"/>
        <w:rPr>
          <w:rFonts w:ascii="Calibri" w:eastAsia="Times New Roman" w:hAnsi="Calibri"/>
          <w:sz w:val="22"/>
          <w:szCs w:val="18"/>
          <w:lang w:eastAsia="en-US"/>
        </w:rPr>
      </w:pPr>
    </w:p>
    <w:p w:rsidR="005507A6" w:rsidRPr="00DE6D95" w:rsidRDefault="005507A6" w:rsidP="008E19E9">
      <w:pPr>
        <w:pStyle w:val="ListParagraph"/>
        <w:numPr>
          <w:ilvl w:val="0"/>
          <w:numId w:val="35"/>
        </w:numPr>
        <w:snapToGrid w:val="0"/>
        <w:ind w:left="0" w:firstLine="0"/>
        <w:jc w:val="both"/>
        <w:rPr>
          <w:rFonts w:ascii="Calibri" w:hAnsi="Calibri"/>
        </w:rPr>
      </w:pPr>
      <w:r w:rsidRPr="00DE6D95">
        <w:rPr>
          <w:rFonts w:ascii="Calibri" w:hAnsi="Calibri"/>
        </w:rPr>
        <w:t>I am aware of my responsibility with regard to the transparency and accessibility to the public</w:t>
      </w:r>
      <w:r w:rsidR="004F7FBF" w:rsidRPr="00DE6D95">
        <w:rPr>
          <w:rFonts w:ascii="Calibri" w:hAnsi="Calibri"/>
        </w:rPr>
        <w:t>,</w:t>
      </w:r>
      <w:r w:rsidRPr="00DE6D95">
        <w:rPr>
          <w:rFonts w:ascii="Calibri" w:hAnsi="Calibri"/>
        </w:rPr>
        <w:t xml:space="preserve"> after the approval by Council</w:t>
      </w:r>
      <w:r w:rsidR="004F7FBF" w:rsidRPr="00DE6D95">
        <w:rPr>
          <w:rFonts w:ascii="Calibri" w:hAnsi="Calibri"/>
        </w:rPr>
        <w:t>,</w:t>
      </w:r>
      <w:r w:rsidRPr="00DE6D95">
        <w:rPr>
          <w:rFonts w:ascii="Calibri" w:hAnsi="Calibri"/>
        </w:rPr>
        <w:t xml:space="preserve"> </w:t>
      </w:r>
      <w:r w:rsidR="009D5D37" w:rsidRPr="00DE6D95">
        <w:rPr>
          <w:rFonts w:ascii="Calibri" w:hAnsi="Calibri"/>
        </w:rPr>
        <w:t xml:space="preserve">of the </w:t>
      </w:r>
      <w:r w:rsidRPr="00DE6D95">
        <w:rPr>
          <w:rFonts w:ascii="Calibri" w:hAnsi="Calibri"/>
        </w:rPr>
        <w:t>IMAC annual report</w:t>
      </w:r>
      <w:r w:rsidR="009D5D37" w:rsidRPr="00DE6D95">
        <w:rPr>
          <w:rFonts w:ascii="Calibri" w:hAnsi="Calibri"/>
        </w:rPr>
        <w:t>, the e</w:t>
      </w:r>
      <w:r w:rsidRPr="00DE6D95">
        <w:rPr>
          <w:rFonts w:ascii="Calibri" w:hAnsi="Calibri"/>
        </w:rPr>
        <w:t xml:space="preserve">xternal </w:t>
      </w:r>
      <w:r w:rsidR="00D16948" w:rsidRPr="00DE6D95">
        <w:rPr>
          <w:rFonts w:ascii="Calibri" w:hAnsi="Calibri"/>
        </w:rPr>
        <w:t xml:space="preserve">audit </w:t>
      </w:r>
      <w:r w:rsidRPr="00DE6D95">
        <w:rPr>
          <w:rFonts w:ascii="Calibri" w:hAnsi="Calibri"/>
        </w:rPr>
        <w:t xml:space="preserve">annual report and </w:t>
      </w:r>
      <w:r w:rsidR="009D5D37" w:rsidRPr="00DE6D95">
        <w:rPr>
          <w:rFonts w:ascii="Calibri" w:hAnsi="Calibri"/>
        </w:rPr>
        <w:t>the i</w:t>
      </w:r>
      <w:r w:rsidRPr="00DE6D95">
        <w:rPr>
          <w:rFonts w:ascii="Calibri" w:hAnsi="Calibri"/>
        </w:rPr>
        <w:t xml:space="preserve">nternal </w:t>
      </w:r>
      <w:r w:rsidR="00D16948" w:rsidRPr="00DE6D95">
        <w:rPr>
          <w:rFonts w:ascii="Calibri" w:hAnsi="Calibri"/>
        </w:rPr>
        <w:t xml:space="preserve">audit </w:t>
      </w:r>
      <w:r w:rsidR="009D5D37" w:rsidRPr="00DE6D95">
        <w:rPr>
          <w:rFonts w:ascii="Calibri" w:hAnsi="Calibri"/>
        </w:rPr>
        <w:t>annual</w:t>
      </w:r>
      <w:r w:rsidRPr="00DE6D95">
        <w:rPr>
          <w:rFonts w:ascii="Calibri" w:hAnsi="Calibri"/>
        </w:rPr>
        <w:t xml:space="preserve"> </w:t>
      </w:r>
      <w:r w:rsidR="009D5D37" w:rsidRPr="00DE6D95">
        <w:rPr>
          <w:rFonts w:ascii="Calibri" w:hAnsi="Calibri"/>
        </w:rPr>
        <w:t>report</w:t>
      </w:r>
      <w:r w:rsidRPr="00DE6D95">
        <w:rPr>
          <w:rFonts w:ascii="Calibri" w:hAnsi="Calibri"/>
        </w:rPr>
        <w:t>.</w:t>
      </w:r>
    </w:p>
    <w:p w:rsidR="00F80DFB" w:rsidRPr="00DE6D95" w:rsidRDefault="00F80DFB" w:rsidP="00AC5E61">
      <w:pPr>
        <w:pStyle w:val="ListParagraph"/>
        <w:tabs>
          <w:tab w:val="left" w:pos="709"/>
        </w:tabs>
        <w:snapToGrid w:val="0"/>
        <w:ind w:left="0"/>
        <w:jc w:val="both"/>
        <w:rPr>
          <w:rFonts w:ascii="Calibri" w:eastAsia="Times New Roman" w:hAnsi="Calibri"/>
          <w:szCs w:val="20"/>
          <w:lang w:eastAsia="en-US"/>
        </w:rPr>
      </w:pPr>
    </w:p>
    <w:p w:rsidR="00170C8F" w:rsidRDefault="00755CF3" w:rsidP="00AD2E81">
      <w:pPr>
        <w:pStyle w:val="ListParagraph"/>
        <w:numPr>
          <w:ilvl w:val="0"/>
          <w:numId w:val="35"/>
        </w:numPr>
        <w:tabs>
          <w:tab w:val="left" w:pos="709"/>
        </w:tabs>
        <w:adjustRightInd w:val="0"/>
        <w:snapToGrid w:val="0"/>
        <w:ind w:left="0" w:firstLine="0"/>
        <w:contextualSpacing w:val="0"/>
        <w:jc w:val="both"/>
        <w:rPr>
          <w:rFonts w:ascii="Calibri" w:eastAsia="Times New Roman" w:hAnsi="Calibri"/>
          <w:szCs w:val="20"/>
          <w:lang w:eastAsia="en-US"/>
        </w:rPr>
      </w:pPr>
      <w:r w:rsidRPr="00F80DFB">
        <w:rPr>
          <w:rFonts w:ascii="Calibri" w:eastAsia="Times New Roman" w:hAnsi="Calibri"/>
          <w:szCs w:val="20"/>
          <w:lang w:eastAsia="en-US"/>
        </w:rPr>
        <w:t>The Statem</w:t>
      </w:r>
      <w:r w:rsidR="00102375" w:rsidRPr="00F80DFB">
        <w:rPr>
          <w:rFonts w:ascii="Calibri" w:eastAsia="Times New Roman" w:hAnsi="Calibri"/>
          <w:szCs w:val="20"/>
          <w:lang w:eastAsia="en-US"/>
        </w:rPr>
        <w:t xml:space="preserve">ent of Internal Control for </w:t>
      </w:r>
      <w:r w:rsidR="00111BDD" w:rsidRPr="00F80DFB">
        <w:rPr>
          <w:rFonts w:ascii="Calibri" w:eastAsia="Times New Roman" w:hAnsi="Calibri"/>
          <w:szCs w:val="20"/>
          <w:lang w:eastAsia="en-US"/>
        </w:rPr>
        <w:t>201</w:t>
      </w:r>
      <w:r w:rsidR="004737CF">
        <w:rPr>
          <w:rFonts w:ascii="Calibri" w:eastAsia="Times New Roman" w:hAnsi="Calibri"/>
          <w:szCs w:val="20"/>
          <w:lang w:eastAsia="en-US"/>
        </w:rPr>
        <w:t>8</w:t>
      </w:r>
      <w:r w:rsidRPr="00F80DFB">
        <w:rPr>
          <w:rFonts w:ascii="Calibri" w:eastAsia="Times New Roman" w:hAnsi="Calibri"/>
          <w:szCs w:val="20"/>
          <w:lang w:eastAsia="en-US"/>
        </w:rPr>
        <w:t xml:space="preserve"> has been </w:t>
      </w:r>
      <w:r w:rsidR="004E2D38" w:rsidRPr="00F80DFB">
        <w:rPr>
          <w:rFonts w:ascii="Calibri" w:eastAsia="Times New Roman" w:hAnsi="Calibri"/>
          <w:szCs w:val="20"/>
          <w:lang w:eastAsia="en-US"/>
        </w:rPr>
        <w:t>included in</w:t>
      </w:r>
      <w:r w:rsidRPr="00F80DFB">
        <w:rPr>
          <w:rFonts w:ascii="Calibri" w:eastAsia="Times New Roman" w:hAnsi="Calibri"/>
          <w:szCs w:val="20"/>
          <w:lang w:eastAsia="en-US"/>
        </w:rPr>
        <w:t xml:space="preserve"> this </w:t>
      </w:r>
      <w:r w:rsidR="004F7FBF" w:rsidRPr="00F80DFB">
        <w:rPr>
          <w:rFonts w:ascii="Calibri" w:eastAsia="Times New Roman" w:hAnsi="Calibri"/>
          <w:szCs w:val="20"/>
          <w:lang w:eastAsia="en-US"/>
        </w:rPr>
        <w:t>f</w:t>
      </w:r>
      <w:r w:rsidRPr="00F80DFB">
        <w:rPr>
          <w:rFonts w:ascii="Calibri" w:eastAsia="Times New Roman" w:hAnsi="Calibri"/>
          <w:szCs w:val="20"/>
          <w:lang w:eastAsia="en-US"/>
        </w:rPr>
        <w:t xml:space="preserve">inancial </w:t>
      </w:r>
      <w:r w:rsidR="004F7FBF" w:rsidRPr="00F80DFB">
        <w:rPr>
          <w:rFonts w:ascii="Calibri" w:eastAsia="Times New Roman" w:hAnsi="Calibri"/>
          <w:szCs w:val="20"/>
          <w:lang w:eastAsia="en-US"/>
        </w:rPr>
        <w:t>o</w:t>
      </w:r>
      <w:r w:rsidRPr="00F80DFB">
        <w:rPr>
          <w:rFonts w:ascii="Calibri" w:eastAsia="Times New Roman" w:hAnsi="Calibri"/>
          <w:szCs w:val="20"/>
          <w:lang w:eastAsia="en-US"/>
        </w:rPr>
        <w:t xml:space="preserve">perating </w:t>
      </w:r>
      <w:r w:rsidR="004F7FBF" w:rsidRPr="00F80DFB">
        <w:rPr>
          <w:rFonts w:ascii="Calibri" w:eastAsia="Times New Roman" w:hAnsi="Calibri"/>
          <w:szCs w:val="20"/>
          <w:lang w:eastAsia="en-US"/>
        </w:rPr>
        <w:t>r</w:t>
      </w:r>
      <w:r w:rsidRPr="00F80DFB">
        <w:rPr>
          <w:rFonts w:ascii="Calibri" w:eastAsia="Times New Roman" w:hAnsi="Calibri"/>
          <w:szCs w:val="20"/>
          <w:lang w:eastAsia="en-US"/>
        </w:rPr>
        <w:t>eport.</w:t>
      </w:r>
    </w:p>
    <w:p w:rsidR="00121FC0" w:rsidRDefault="00121FC0" w:rsidP="00121FC0">
      <w:pPr>
        <w:tabs>
          <w:tab w:val="clear" w:pos="567"/>
          <w:tab w:val="clear" w:pos="1134"/>
          <w:tab w:val="clear" w:pos="1701"/>
          <w:tab w:val="clear" w:pos="2268"/>
          <w:tab w:val="clear" w:pos="2835"/>
        </w:tabs>
        <w:overflowPunct/>
        <w:autoSpaceDE/>
        <w:autoSpaceDN/>
        <w:adjustRightInd/>
        <w:spacing w:before="0"/>
        <w:textAlignment w:val="auto"/>
        <w:rPr>
          <w:b/>
          <w:bCs/>
          <w:lang w:val="en-US"/>
        </w:rPr>
      </w:pPr>
    </w:p>
    <w:p w:rsidR="0022373A" w:rsidRDefault="0022373A" w:rsidP="00121FC0">
      <w:pPr>
        <w:tabs>
          <w:tab w:val="clear" w:pos="567"/>
          <w:tab w:val="clear" w:pos="1134"/>
          <w:tab w:val="clear" w:pos="1701"/>
          <w:tab w:val="clear" w:pos="2268"/>
          <w:tab w:val="clear" w:pos="2835"/>
        </w:tabs>
        <w:overflowPunct/>
        <w:autoSpaceDE/>
        <w:autoSpaceDN/>
        <w:adjustRightInd/>
        <w:spacing w:before="0"/>
        <w:textAlignment w:val="auto"/>
        <w:rPr>
          <w:b/>
          <w:bCs/>
          <w:lang w:val="en-US"/>
        </w:rPr>
      </w:pPr>
      <w:r w:rsidRPr="001B6571">
        <w:rPr>
          <w:b/>
          <w:bCs/>
          <w:lang w:val="en-US"/>
        </w:rPr>
        <w:t>Responsibility</w:t>
      </w:r>
    </w:p>
    <w:p w:rsidR="00121FC0" w:rsidRPr="001B6571" w:rsidRDefault="00121FC0" w:rsidP="00121FC0">
      <w:pPr>
        <w:tabs>
          <w:tab w:val="clear" w:pos="567"/>
          <w:tab w:val="clear" w:pos="1134"/>
          <w:tab w:val="clear" w:pos="1701"/>
          <w:tab w:val="clear" w:pos="2268"/>
          <w:tab w:val="clear" w:pos="2835"/>
        </w:tabs>
        <w:overflowPunct/>
        <w:autoSpaceDE/>
        <w:autoSpaceDN/>
        <w:adjustRightInd/>
        <w:spacing w:before="0"/>
        <w:textAlignment w:val="auto"/>
        <w:rPr>
          <w:b/>
          <w:bCs/>
          <w:lang w:val="en-US"/>
        </w:rPr>
      </w:pPr>
    </w:p>
    <w:p w:rsidR="0022373A" w:rsidRPr="00CA4E8C" w:rsidRDefault="0022373A" w:rsidP="00AD2E81">
      <w:pPr>
        <w:pStyle w:val="ListParagraph"/>
        <w:numPr>
          <w:ilvl w:val="0"/>
          <w:numId w:val="35"/>
        </w:numPr>
        <w:tabs>
          <w:tab w:val="left" w:pos="709"/>
        </w:tabs>
        <w:adjustRightInd w:val="0"/>
        <w:snapToGrid w:val="0"/>
        <w:ind w:left="0" w:firstLine="0"/>
        <w:contextualSpacing w:val="0"/>
        <w:jc w:val="both"/>
        <w:rPr>
          <w:rFonts w:ascii="Calibri" w:eastAsia="Times New Roman" w:hAnsi="Calibri"/>
          <w:szCs w:val="20"/>
          <w:lang w:eastAsia="en-US"/>
        </w:rPr>
      </w:pPr>
      <w:r w:rsidRPr="00CA4E8C">
        <w:rPr>
          <w:rFonts w:ascii="Calibri" w:eastAsia="Times New Roman" w:hAnsi="Calibri"/>
          <w:szCs w:val="20"/>
          <w:lang w:eastAsia="en-US"/>
        </w:rPr>
        <w:t xml:space="preserve">As provided for in Article 30 of the Financial Regulations of the Union, I have </w:t>
      </w:r>
      <w:r w:rsidR="001601FE" w:rsidRPr="00CA4E8C">
        <w:rPr>
          <w:rFonts w:ascii="Calibri" w:eastAsia="Times New Roman" w:hAnsi="Calibri"/>
          <w:szCs w:val="20"/>
          <w:lang w:eastAsia="en-US"/>
        </w:rPr>
        <w:t xml:space="preserve">the </w:t>
      </w:r>
      <w:r w:rsidRPr="00CA4E8C">
        <w:rPr>
          <w:rFonts w:ascii="Calibri" w:eastAsia="Times New Roman" w:hAnsi="Calibri"/>
          <w:szCs w:val="20"/>
          <w:lang w:eastAsia="en-US"/>
        </w:rPr>
        <w:t xml:space="preserve">pleasure in submitting the following financial statements, drawn up in accordance with IPSAS. I certify that, to the best of my knowledge, all operations during the period in question were properly recognized in the books and that those operations, as well as the financial statements and notes thereto, which form an integral part of this document, present an accurate </w:t>
      </w:r>
      <w:r w:rsidR="001601FE" w:rsidRPr="00CA4E8C">
        <w:rPr>
          <w:rFonts w:ascii="Calibri" w:eastAsia="Times New Roman" w:hAnsi="Calibri"/>
          <w:szCs w:val="20"/>
          <w:lang w:eastAsia="en-US"/>
        </w:rPr>
        <w:t>view</w:t>
      </w:r>
      <w:r w:rsidRPr="00CA4E8C">
        <w:rPr>
          <w:rFonts w:ascii="Calibri" w:eastAsia="Times New Roman" w:hAnsi="Calibri"/>
          <w:szCs w:val="20"/>
          <w:lang w:eastAsia="en-US"/>
        </w:rPr>
        <w:t xml:space="preserve"> of the Union</w:t>
      </w:r>
      <w:r w:rsidR="007A552E" w:rsidRPr="00CA4E8C">
        <w:rPr>
          <w:rFonts w:ascii="Calibri" w:eastAsia="Times New Roman" w:hAnsi="Calibri"/>
          <w:szCs w:val="20"/>
          <w:lang w:eastAsia="en-US"/>
        </w:rPr>
        <w:t>’</w:t>
      </w:r>
      <w:r w:rsidRPr="00CA4E8C">
        <w:rPr>
          <w:rFonts w:ascii="Calibri" w:eastAsia="Times New Roman" w:hAnsi="Calibri"/>
          <w:szCs w:val="20"/>
          <w:lang w:eastAsia="en-US"/>
        </w:rPr>
        <w:t>s financi</w:t>
      </w:r>
      <w:r w:rsidR="00102375" w:rsidRPr="00CA4E8C">
        <w:rPr>
          <w:rFonts w:ascii="Calibri" w:eastAsia="Times New Roman" w:hAnsi="Calibri"/>
          <w:szCs w:val="20"/>
          <w:lang w:eastAsia="en-US"/>
        </w:rPr>
        <w:t>al situation at 31</w:t>
      </w:r>
      <w:r w:rsidR="00D76FC6" w:rsidRPr="00CA4E8C">
        <w:rPr>
          <w:rFonts w:ascii="Calibri" w:eastAsia="Times New Roman" w:hAnsi="Calibri"/>
          <w:szCs w:val="20"/>
          <w:lang w:eastAsia="en-US"/>
        </w:rPr>
        <w:t> </w:t>
      </w:r>
      <w:r w:rsidR="00102375" w:rsidRPr="00CA4E8C">
        <w:rPr>
          <w:rFonts w:ascii="Calibri" w:eastAsia="Times New Roman" w:hAnsi="Calibri"/>
          <w:szCs w:val="20"/>
          <w:lang w:eastAsia="en-US"/>
        </w:rPr>
        <w:t>December</w:t>
      </w:r>
      <w:r w:rsidR="00250AA8" w:rsidRPr="00CA4E8C">
        <w:rPr>
          <w:rFonts w:ascii="Calibri" w:eastAsia="Times New Roman" w:hAnsi="Calibri"/>
          <w:szCs w:val="20"/>
          <w:lang w:eastAsia="en-US"/>
        </w:rPr>
        <w:t> </w:t>
      </w:r>
      <w:r w:rsidR="00111BDD" w:rsidRPr="00CA4E8C">
        <w:rPr>
          <w:rFonts w:ascii="Calibri" w:eastAsia="Times New Roman" w:hAnsi="Calibri"/>
          <w:szCs w:val="20"/>
          <w:lang w:eastAsia="en-US"/>
        </w:rPr>
        <w:t>201</w:t>
      </w:r>
      <w:r w:rsidR="004737CF">
        <w:rPr>
          <w:rFonts w:ascii="Calibri" w:eastAsia="Times New Roman" w:hAnsi="Calibri"/>
          <w:szCs w:val="20"/>
          <w:lang w:eastAsia="en-US"/>
        </w:rPr>
        <w:t>8</w:t>
      </w:r>
      <w:r w:rsidRPr="00CA4E8C">
        <w:rPr>
          <w:rFonts w:ascii="Calibri" w:eastAsia="Times New Roman" w:hAnsi="Calibri"/>
          <w:szCs w:val="20"/>
          <w:lang w:eastAsia="en-US"/>
        </w:rPr>
        <w:t>.</w:t>
      </w:r>
      <w:r w:rsidR="00D476E2">
        <w:rPr>
          <w:rFonts w:ascii="Calibri" w:eastAsia="Times New Roman" w:hAnsi="Calibri"/>
          <w:szCs w:val="20"/>
          <w:lang w:eastAsia="en-US"/>
        </w:rPr>
        <w:t xml:space="preserve"> </w:t>
      </w:r>
    </w:p>
    <w:p w:rsidR="00AD2C3F" w:rsidRPr="00820ACD" w:rsidRDefault="00AD2C3F" w:rsidP="0096783F">
      <w:pPr>
        <w:jc w:val="both"/>
        <w:rPr>
          <w:lang w:val="en-US"/>
        </w:rPr>
      </w:pPr>
    </w:p>
    <w:p w:rsidR="0022373A" w:rsidRPr="00805EBD" w:rsidRDefault="0022373A" w:rsidP="004737CF">
      <w:pPr>
        <w:jc w:val="both"/>
        <w:rPr>
          <w:lang w:val="en-US"/>
        </w:rPr>
      </w:pPr>
      <w:r w:rsidRPr="000C6D3F">
        <w:rPr>
          <w:lang w:val="en-US"/>
        </w:rPr>
        <w:t>I.</w:t>
      </w:r>
      <w:r w:rsidRPr="000C6D3F">
        <w:rPr>
          <w:lang w:val="en-US"/>
        </w:rPr>
        <w:tab/>
        <w:t>Statement of financial position - B</w:t>
      </w:r>
      <w:r w:rsidR="00102375" w:rsidRPr="000C6D3F">
        <w:rPr>
          <w:lang w:val="en-US"/>
        </w:rPr>
        <w:t xml:space="preserve">alance sheet at 31 December </w:t>
      </w:r>
      <w:r w:rsidR="00111BDD" w:rsidRPr="000C6D3F">
        <w:rPr>
          <w:lang w:val="en-US"/>
        </w:rPr>
        <w:t>201</w:t>
      </w:r>
      <w:r w:rsidR="004737CF">
        <w:rPr>
          <w:lang w:val="en-US"/>
        </w:rPr>
        <w:t>8</w:t>
      </w:r>
    </w:p>
    <w:p w:rsidR="0022373A" w:rsidRPr="00805EBD" w:rsidRDefault="0022373A" w:rsidP="004737CF">
      <w:pPr>
        <w:jc w:val="both"/>
        <w:rPr>
          <w:lang w:val="en-US"/>
        </w:rPr>
      </w:pPr>
      <w:r w:rsidRPr="00805EBD">
        <w:rPr>
          <w:lang w:val="en-US"/>
        </w:rPr>
        <w:t>II.</w:t>
      </w:r>
      <w:r w:rsidRPr="00805EBD">
        <w:rPr>
          <w:lang w:val="en-US"/>
        </w:rPr>
        <w:tab/>
        <w:t xml:space="preserve">Statement of financial performance for the period </w:t>
      </w:r>
      <w:r w:rsidR="00102375">
        <w:rPr>
          <w:lang w:val="en-US"/>
        </w:rPr>
        <w:t xml:space="preserve">which closed on 31 December </w:t>
      </w:r>
      <w:r w:rsidR="00111BDD">
        <w:rPr>
          <w:lang w:val="en-US"/>
        </w:rPr>
        <w:t>201</w:t>
      </w:r>
      <w:r w:rsidR="004737CF">
        <w:rPr>
          <w:lang w:val="en-US"/>
        </w:rPr>
        <w:t>8</w:t>
      </w:r>
    </w:p>
    <w:p w:rsidR="0022373A" w:rsidRPr="00805EBD" w:rsidRDefault="0022373A" w:rsidP="004737CF">
      <w:pPr>
        <w:jc w:val="both"/>
        <w:rPr>
          <w:lang w:val="en-US"/>
        </w:rPr>
      </w:pPr>
      <w:r w:rsidRPr="00805EBD">
        <w:rPr>
          <w:lang w:val="en-US"/>
        </w:rPr>
        <w:t xml:space="preserve">III. </w:t>
      </w:r>
      <w:r w:rsidRPr="00805EBD">
        <w:rPr>
          <w:lang w:val="en-US"/>
        </w:rPr>
        <w:tab/>
        <w:t xml:space="preserve">Statement of changes in net assets for the period </w:t>
      </w:r>
      <w:r w:rsidR="00102375">
        <w:rPr>
          <w:lang w:val="en-US"/>
        </w:rPr>
        <w:t xml:space="preserve">which closed on 31 December </w:t>
      </w:r>
      <w:r w:rsidR="00111BDD">
        <w:rPr>
          <w:lang w:val="en-US"/>
        </w:rPr>
        <w:t>201</w:t>
      </w:r>
      <w:r w:rsidR="004737CF">
        <w:rPr>
          <w:lang w:val="en-US"/>
        </w:rPr>
        <w:t>8</w:t>
      </w:r>
    </w:p>
    <w:p w:rsidR="0022373A" w:rsidRPr="00805EBD" w:rsidRDefault="0022373A" w:rsidP="004737CF">
      <w:pPr>
        <w:jc w:val="both"/>
        <w:rPr>
          <w:lang w:val="en-US"/>
        </w:rPr>
      </w:pPr>
      <w:r w:rsidRPr="00805EBD">
        <w:rPr>
          <w:lang w:val="en-US"/>
        </w:rPr>
        <w:t xml:space="preserve">IV. </w:t>
      </w:r>
      <w:r w:rsidRPr="00805EBD">
        <w:rPr>
          <w:lang w:val="en-US"/>
        </w:rPr>
        <w:tab/>
      </w:r>
      <w:r w:rsidR="00713597">
        <w:rPr>
          <w:lang w:val="en-US"/>
        </w:rPr>
        <w:t xml:space="preserve">Statement </w:t>
      </w:r>
      <w:r w:rsidR="00B85F33">
        <w:rPr>
          <w:lang w:val="en-US"/>
        </w:rPr>
        <w:t>of cash flows for the period which closed on 31 December</w:t>
      </w:r>
      <w:r w:rsidR="005C0647">
        <w:rPr>
          <w:lang w:val="en-US"/>
        </w:rPr>
        <w:t xml:space="preserve"> </w:t>
      </w:r>
      <w:r w:rsidR="00111BDD">
        <w:rPr>
          <w:lang w:val="en-US"/>
        </w:rPr>
        <w:t>201</w:t>
      </w:r>
      <w:r w:rsidR="004737CF">
        <w:rPr>
          <w:lang w:val="en-US"/>
        </w:rPr>
        <w:t>8</w:t>
      </w:r>
    </w:p>
    <w:p w:rsidR="0022373A" w:rsidRDefault="0022373A" w:rsidP="004737CF">
      <w:pPr>
        <w:jc w:val="both"/>
        <w:rPr>
          <w:lang w:val="en-US"/>
        </w:rPr>
      </w:pPr>
      <w:r w:rsidRPr="00805EBD">
        <w:rPr>
          <w:lang w:val="en-US"/>
        </w:rPr>
        <w:t xml:space="preserve">V. </w:t>
      </w:r>
      <w:r w:rsidRPr="00805EBD">
        <w:rPr>
          <w:lang w:val="en-US"/>
        </w:rPr>
        <w:tab/>
      </w:r>
      <w:r w:rsidR="00713597">
        <w:rPr>
          <w:lang w:val="en-US"/>
        </w:rPr>
        <w:t>Statement of c</w:t>
      </w:r>
      <w:r w:rsidR="00B85F33">
        <w:rPr>
          <w:lang w:val="en-US"/>
        </w:rPr>
        <w:t xml:space="preserve">omparison of budgeted amounts and actual amounts for </w:t>
      </w:r>
      <w:r w:rsidR="00111BDD">
        <w:rPr>
          <w:lang w:val="en-US"/>
        </w:rPr>
        <w:t>201</w:t>
      </w:r>
      <w:r w:rsidR="004737CF">
        <w:rPr>
          <w:lang w:val="en-US"/>
        </w:rPr>
        <w:t>8</w:t>
      </w:r>
    </w:p>
    <w:p w:rsidR="00717BB7" w:rsidRDefault="00717BB7">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7B1A87" w:rsidRPr="00805EBD" w:rsidRDefault="007B1A87" w:rsidP="0096783F">
      <w:pPr>
        <w:jc w:val="both"/>
        <w:rPr>
          <w:lang w:val="en-US"/>
        </w:rPr>
      </w:pPr>
    </w:p>
    <w:p w:rsidR="00462279" w:rsidRPr="00746925" w:rsidRDefault="00462279" w:rsidP="004133DB">
      <w:pPr>
        <w:pStyle w:val="Heading9"/>
        <w:jc w:val="center"/>
        <w:rPr>
          <w:w w:val="105"/>
          <w:sz w:val="28"/>
          <w:szCs w:val="28"/>
          <w:lang w:val="en-US"/>
        </w:rPr>
      </w:pPr>
      <w:r w:rsidRPr="00314AB3">
        <w:rPr>
          <w:w w:val="105"/>
          <w:sz w:val="28"/>
          <w:szCs w:val="28"/>
          <w:lang w:val="en-US"/>
        </w:rPr>
        <w:t>Management Report 201</w:t>
      </w:r>
      <w:r w:rsidR="004133DB">
        <w:rPr>
          <w:w w:val="105"/>
          <w:sz w:val="28"/>
          <w:szCs w:val="28"/>
          <w:lang w:val="en-US"/>
        </w:rPr>
        <w:t>8</w:t>
      </w:r>
    </w:p>
    <w:tbl>
      <w:tblPr>
        <w:tblW w:w="9923" w:type="dxa"/>
        <w:tblLayout w:type="fixed"/>
        <w:tblLook w:val="04A0" w:firstRow="1" w:lastRow="0" w:firstColumn="1" w:lastColumn="0" w:noHBand="0" w:noVBand="1"/>
      </w:tblPr>
      <w:tblGrid>
        <w:gridCol w:w="5461"/>
        <w:gridCol w:w="4462"/>
      </w:tblGrid>
      <w:tr w:rsidR="00462279" w:rsidRPr="00501973" w:rsidTr="0041376E">
        <w:tc>
          <w:tcPr>
            <w:tcW w:w="9923" w:type="dxa"/>
            <w:gridSpan w:val="2"/>
            <w:shd w:val="clear" w:color="auto" w:fill="auto"/>
          </w:tcPr>
          <w:p w:rsidR="00462279" w:rsidRPr="00501973" w:rsidRDefault="00462279" w:rsidP="0076062A">
            <w:pPr>
              <w:rPr>
                <w:b/>
                <w:bCs/>
                <w:color w:val="808080"/>
                <w:sz w:val="28"/>
                <w:szCs w:val="28"/>
                <w:lang w:eastAsia="zh-CN"/>
              </w:rPr>
            </w:pPr>
          </w:p>
        </w:tc>
      </w:tr>
      <w:tr w:rsidR="00462279" w:rsidRPr="00501973" w:rsidTr="0041376E">
        <w:tc>
          <w:tcPr>
            <w:tcW w:w="9923" w:type="dxa"/>
            <w:gridSpan w:val="2"/>
            <w:shd w:val="clear" w:color="auto" w:fill="auto"/>
          </w:tcPr>
          <w:p w:rsidR="00462279" w:rsidRPr="00501973" w:rsidRDefault="00462279" w:rsidP="0076062A">
            <w:pPr>
              <w:rPr>
                <w:lang w:eastAsia="zh-CN"/>
              </w:rPr>
            </w:pPr>
          </w:p>
        </w:tc>
      </w:tr>
      <w:tr w:rsidR="00462279" w:rsidRPr="00501973" w:rsidTr="0041376E">
        <w:tc>
          <w:tcPr>
            <w:tcW w:w="9923" w:type="dxa"/>
            <w:gridSpan w:val="2"/>
            <w:shd w:val="clear" w:color="auto" w:fill="auto"/>
          </w:tcPr>
          <w:p w:rsidR="00462279" w:rsidRPr="00501973" w:rsidRDefault="00462279" w:rsidP="0076062A">
            <w:pPr>
              <w:rPr>
                <w:lang w:eastAsia="zh-CN"/>
              </w:rPr>
            </w:pPr>
          </w:p>
        </w:tc>
      </w:tr>
      <w:tr w:rsidR="00462279" w:rsidRPr="00501973" w:rsidTr="0041376E">
        <w:tc>
          <w:tcPr>
            <w:tcW w:w="5461" w:type="dxa"/>
            <w:shd w:val="clear" w:color="auto" w:fill="auto"/>
          </w:tcPr>
          <w:p w:rsidR="00462279" w:rsidRPr="00501973" w:rsidRDefault="00462279" w:rsidP="0076062A">
            <w:pPr>
              <w:rPr>
                <w:lang w:eastAsia="zh-CN"/>
              </w:rPr>
            </w:pPr>
          </w:p>
        </w:tc>
        <w:tc>
          <w:tcPr>
            <w:tcW w:w="4462" w:type="dxa"/>
            <w:shd w:val="clear" w:color="auto" w:fill="auto"/>
          </w:tcPr>
          <w:p w:rsidR="00462279" w:rsidRPr="00501973" w:rsidRDefault="00462279" w:rsidP="00866190">
            <w:pPr>
              <w:rPr>
                <w:lang w:eastAsia="zh-CN"/>
              </w:rPr>
            </w:pPr>
            <w:r w:rsidRPr="009C0A2A">
              <w:rPr>
                <w:lang w:eastAsia="zh-CN"/>
              </w:rPr>
              <w:t xml:space="preserve">Geneva, </w:t>
            </w:r>
            <w:r>
              <w:rPr>
                <w:lang w:eastAsia="zh-CN"/>
              </w:rPr>
              <w:t>2</w:t>
            </w:r>
            <w:r w:rsidR="00866190">
              <w:rPr>
                <w:lang w:eastAsia="zh-CN"/>
              </w:rPr>
              <w:t>7</w:t>
            </w:r>
            <w:r>
              <w:rPr>
                <w:rFonts w:cs="Arial"/>
                <w:lang w:eastAsia="zh-CN"/>
              </w:rPr>
              <w:t xml:space="preserve"> March</w:t>
            </w:r>
            <w:r w:rsidRPr="009C0A2A">
              <w:rPr>
                <w:rFonts w:cs="Arial"/>
                <w:lang w:eastAsia="zh-CN"/>
              </w:rPr>
              <w:t xml:space="preserve"> 201</w:t>
            </w:r>
            <w:r w:rsidR="00866190">
              <w:rPr>
                <w:rFonts w:cs="Arial"/>
                <w:lang w:eastAsia="zh-CN"/>
              </w:rPr>
              <w:t>9</w:t>
            </w:r>
          </w:p>
        </w:tc>
      </w:tr>
      <w:tr w:rsidR="00462279" w:rsidRPr="00501973" w:rsidTr="0041376E">
        <w:tc>
          <w:tcPr>
            <w:tcW w:w="5461" w:type="dxa"/>
            <w:shd w:val="clear" w:color="auto" w:fill="auto"/>
          </w:tcPr>
          <w:p w:rsidR="00462279" w:rsidRPr="00501973" w:rsidRDefault="00462279" w:rsidP="0076062A">
            <w:pPr>
              <w:rPr>
                <w:lang w:eastAsia="zh-CN"/>
              </w:rPr>
            </w:pPr>
          </w:p>
        </w:tc>
        <w:tc>
          <w:tcPr>
            <w:tcW w:w="4462" w:type="dxa"/>
            <w:shd w:val="clear" w:color="auto" w:fill="auto"/>
          </w:tcPr>
          <w:p w:rsidR="00462279" w:rsidRPr="00501973" w:rsidRDefault="00462279" w:rsidP="0076062A">
            <w:pPr>
              <w:rPr>
                <w:rFonts w:cs="Arial"/>
                <w:lang w:eastAsia="zh-CN"/>
              </w:rPr>
            </w:pPr>
          </w:p>
        </w:tc>
      </w:tr>
      <w:tr w:rsidR="00462279" w:rsidRPr="00501973" w:rsidTr="0041376E">
        <w:tc>
          <w:tcPr>
            <w:tcW w:w="9923" w:type="dxa"/>
            <w:gridSpan w:val="2"/>
            <w:shd w:val="clear" w:color="auto" w:fill="auto"/>
          </w:tcPr>
          <w:p w:rsidR="00462279" w:rsidRPr="00501973" w:rsidRDefault="00462279" w:rsidP="0076062A">
            <w:pPr>
              <w:rPr>
                <w:lang w:eastAsia="zh-CN"/>
              </w:rPr>
            </w:pPr>
          </w:p>
        </w:tc>
      </w:tr>
    </w:tbl>
    <w:p w:rsidR="00866190" w:rsidRDefault="00866190" w:rsidP="00866190">
      <w:pPr>
        <w:pStyle w:val="Headingb"/>
        <w:ind w:left="0" w:firstLine="0"/>
        <w:rPr>
          <w:lang w:eastAsia="zh-CN"/>
        </w:rPr>
      </w:pPr>
      <w:r>
        <w:rPr>
          <w:lang w:eastAsia="zh-CN"/>
        </w:rPr>
        <w:t>Management report</w:t>
      </w:r>
      <w:r w:rsidRPr="00501973">
        <w:rPr>
          <w:lang w:eastAsia="zh-CN"/>
        </w:rPr>
        <w:t xml:space="preserve"> from the senior management of the International Telecommunication Union (ITU)</w:t>
      </w:r>
    </w:p>
    <w:p w:rsidR="00866190" w:rsidRDefault="00866190" w:rsidP="00866190">
      <w:pPr>
        <w:jc w:val="both"/>
        <w:rPr>
          <w:lang w:eastAsia="zh-CN"/>
        </w:rPr>
      </w:pPr>
      <w:r w:rsidRPr="00501973">
        <w:rPr>
          <w:lang w:eastAsia="zh-CN"/>
        </w:rPr>
        <w:t xml:space="preserve">In connection with </w:t>
      </w:r>
      <w:r>
        <w:rPr>
          <w:lang w:eastAsia="zh-CN"/>
        </w:rPr>
        <w:t>the</w:t>
      </w:r>
      <w:r w:rsidRPr="00501973">
        <w:rPr>
          <w:lang w:eastAsia="zh-CN"/>
        </w:rPr>
        <w:t xml:space="preserve"> audit of the annual accounts of the International Telecommun</w:t>
      </w:r>
      <w:r>
        <w:rPr>
          <w:lang w:eastAsia="zh-CN"/>
        </w:rPr>
        <w:t>ication Union (ITU) for the 2018</w:t>
      </w:r>
      <w:r w:rsidRPr="00501973">
        <w:rPr>
          <w:lang w:eastAsia="zh-CN"/>
        </w:rPr>
        <w:t xml:space="preserve"> finan</w:t>
      </w:r>
      <w:r>
        <w:rPr>
          <w:lang w:eastAsia="zh-CN"/>
        </w:rPr>
        <w:t>cial year at 31 December 2018, we hereby submit this management report</w:t>
      </w:r>
      <w:r w:rsidRPr="00501973">
        <w:rPr>
          <w:lang w:eastAsia="zh-CN"/>
        </w:rPr>
        <w:t>.</w:t>
      </w:r>
    </w:p>
    <w:p w:rsidR="00866190" w:rsidRPr="00501973" w:rsidRDefault="00866190" w:rsidP="00145FB8">
      <w:pPr>
        <w:snapToGrid w:val="0"/>
        <w:spacing w:after="120"/>
        <w:jc w:val="both"/>
        <w:rPr>
          <w:lang w:eastAsia="zh-CN"/>
        </w:rPr>
      </w:pPr>
      <w:r>
        <w:rPr>
          <w:lang w:eastAsia="zh-CN"/>
        </w:rPr>
        <w:t>We have prepared the</w:t>
      </w:r>
      <w:r w:rsidRPr="00501973">
        <w:rPr>
          <w:lang w:eastAsia="zh-CN"/>
        </w:rPr>
        <w:t xml:space="preserve"> annual accounts for </w:t>
      </w:r>
      <w:r>
        <w:rPr>
          <w:lang w:eastAsia="zh-CN"/>
        </w:rPr>
        <w:t xml:space="preserve">submission to the External Auditor and subsequent </w:t>
      </w:r>
      <w:r w:rsidRPr="00501973">
        <w:rPr>
          <w:lang w:eastAsia="zh-CN"/>
        </w:rPr>
        <w:t>transmission</w:t>
      </w:r>
      <w:r>
        <w:rPr>
          <w:lang w:eastAsia="zh-CN"/>
        </w:rPr>
        <w:t xml:space="preserve"> and approval by</w:t>
      </w:r>
      <w:r w:rsidRPr="00501973">
        <w:rPr>
          <w:lang w:eastAsia="zh-CN"/>
        </w:rPr>
        <w:t xml:space="preserve"> the ITU Council. We are aware of our responsibility </w:t>
      </w:r>
      <w:r>
        <w:rPr>
          <w:lang w:eastAsia="zh-CN"/>
        </w:rPr>
        <w:t xml:space="preserve">with </w:t>
      </w:r>
      <w:r w:rsidRPr="00501973">
        <w:rPr>
          <w:lang w:eastAsia="zh-CN"/>
        </w:rPr>
        <w:t>regard to the</w:t>
      </w:r>
      <w:r>
        <w:rPr>
          <w:lang w:eastAsia="zh-CN"/>
        </w:rPr>
        <w:t xml:space="preserve"> transparency of and accessibility to</w:t>
      </w:r>
      <w:r w:rsidRPr="00501973">
        <w:rPr>
          <w:lang w:eastAsia="zh-CN"/>
        </w:rPr>
        <w:t xml:space="preserve"> </w:t>
      </w:r>
      <w:r>
        <w:rPr>
          <w:lang w:eastAsia="zh-CN"/>
        </w:rPr>
        <w:t xml:space="preserve">the </w:t>
      </w:r>
      <w:r w:rsidRPr="00501973">
        <w:rPr>
          <w:lang w:eastAsia="zh-CN"/>
        </w:rPr>
        <w:t>annual accounts</w:t>
      </w:r>
      <w:r>
        <w:rPr>
          <w:lang w:eastAsia="zh-CN"/>
        </w:rPr>
        <w:t>,</w:t>
      </w:r>
      <w:r w:rsidRPr="00501973">
        <w:rPr>
          <w:lang w:eastAsia="zh-CN"/>
        </w:rPr>
        <w:t xml:space="preserve"> and the establishment and maintenance of sustainable accounting and internal control systems, including measures to prevent and detect significant errors </w:t>
      </w:r>
      <w:r>
        <w:rPr>
          <w:lang w:eastAsia="zh-CN"/>
        </w:rPr>
        <w:t xml:space="preserve">and </w:t>
      </w:r>
      <w:r w:rsidRPr="00501973">
        <w:rPr>
          <w:lang w:eastAsia="zh-CN"/>
        </w:rPr>
        <w:t>fraud.</w:t>
      </w:r>
      <w:bookmarkStart w:id="13" w:name="CurrentLocation"/>
      <w:bookmarkEnd w:id="13"/>
    </w:p>
    <w:p w:rsidR="00866190" w:rsidRPr="00501973" w:rsidRDefault="00866190" w:rsidP="00866190">
      <w:pPr>
        <w:pStyle w:val="enumlev1"/>
        <w:numPr>
          <w:ilvl w:val="0"/>
          <w:numId w:val="2"/>
        </w:numPr>
        <w:tabs>
          <w:tab w:val="clear" w:pos="567"/>
          <w:tab w:val="clear" w:pos="1134"/>
          <w:tab w:val="clear" w:pos="1701"/>
          <w:tab w:val="clear" w:pos="2268"/>
          <w:tab w:val="clear" w:pos="2835"/>
          <w:tab w:val="left" w:pos="851"/>
          <w:tab w:val="left" w:pos="1191"/>
          <w:tab w:val="left" w:pos="1588"/>
          <w:tab w:val="left" w:pos="1985"/>
        </w:tabs>
        <w:spacing w:before="80" w:line="280" w:lineRule="exact"/>
        <w:ind w:left="851" w:hanging="425"/>
        <w:jc w:val="both"/>
        <w:rPr>
          <w:lang w:eastAsia="zh-CN"/>
        </w:rPr>
      </w:pPr>
      <w:r w:rsidRPr="00501973">
        <w:rPr>
          <w:lang w:eastAsia="zh-CN"/>
        </w:rPr>
        <w:t>The annual</w:t>
      </w:r>
      <w:r>
        <w:rPr>
          <w:lang w:eastAsia="zh-CN"/>
        </w:rPr>
        <w:t xml:space="preserve"> accounts and related notes and associated disclosures comply with IPSAS, the Financial Regulations and Financial Rules and the relevant resolutions adopted by the Governing Bodies of the Organization.</w:t>
      </w:r>
    </w:p>
    <w:p w:rsidR="00866190" w:rsidRPr="00607EC5" w:rsidRDefault="00866190" w:rsidP="00866190">
      <w:pPr>
        <w:pStyle w:val="enumlev1"/>
        <w:numPr>
          <w:ilvl w:val="0"/>
          <w:numId w:val="2"/>
        </w:numPr>
        <w:tabs>
          <w:tab w:val="clear" w:pos="567"/>
          <w:tab w:val="clear" w:pos="1134"/>
          <w:tab w:val="clear" w:pos="1701"/>
          <w:tab w:val="clear" w:pos="2268"/>
          <w:tab w:val="clear" w:pos="2835"/>
          <w:tab w:val="left" w:pos="851"/>
          <w:tab w:val="left" w:pos="1191"/>
          <w:tab w:val="left" w:pos="1588"/>
          <w:tab w:val="left" w:pos="1985"/>
        </w:tabs>
        <w:spacing w:before="80" w:line="280" w:lineRule="exact"/>
        <w:ind w:left="851" w:hanging="425"/>
        <w:jc w:val="both"/>
        <w:rPr>
          <w:lang w:eastAsia="zh-CN"/>
        </w:rPr>
      </w:pPr>
      <w:r>
        <w:rPr>
          <w:lang w:eastAsia="zh-CN"/>
        </w:rPr>
        <w:t xml:space="preserve">All transactions have been properly documented. </w:t>
      </w:r>
      <w:r w:rsidRPr="00501973">
        <w:rPr>
          <w:lang w:eastAsia="zh-CN"/>
        </w:rPr>
        <w:t xml:space="preserve">We have made available to </w:t>
      </w:r>
      <w:r>
        <w:rPr>
          <w:lang w:eastAsia="zh-CN"/>
        </w:rPr>
        <w:t xml:space="preserve">the ITU </w:t>
      </w:r>
      <w:r w:rsidRPr="00911B53">
        <w:rPr>
          <w:lang w:eastAsia="zh-CN"/>
        </w:rPr>
        <w:t xml:space="preserve">External Auditor all the relevant information, provided him and his colleagues access to our books and accounting vouchers as well as business correspondence and have informed them of any </w:t>
      </w:r>
      <w:r w:rsidRPr="00607EC5">
        <w:rPr>
          <w:lang w:eastAsia="zh-CN"/>
        </w:rPr>
        <w:t>decisions that could have a significant impact on the annual accounts. Unrestricted access has been granted to our External Auditors to persons within the entity from whom it was determined as necessary to obtain audit evidence.</w:t>
      </w:r>
    </w:p>
    <w:p w:rsidR="00866190" w:rsidRPr="00607EC5" w:rsidRDefault="00866190" w:rsidP="00866190">
      <w:pPr>
        <w:pStyle w:val="enumlev1"/>
        <w:numPr>
          <w:ilvl w:val="0"/>
          <w:numId w:val="2"/>
        </w:numPr>
        <w:tabs>
          <w:tab w:val="clear" w:pos="567"/>
          <w:tab w:val="clear" w:pos="1134"/>
          <w:tab w:val="clear" w:pos="1701"/>
          <w:tab w:val="clear" w:pos="2268"/>
          <w:tab w:val="clear" w:pos="2835"/>
          <w:tab w:val="left" w:pos="851"/>
          <w:tab w:val="left" w:pos="1191"/>
          <w:tab w:val="left" w:pos="1588"/>
          <w:tab w:val="left" w:pos="1985"/>
        </w:tabs>
        <w:spacing w:before="80" w:line="280" w:lineRule="exact"/>
        <w:ind w:left="851" w:hanging="425"/>
        <w:jc w:val="both"/>
        <w:rPr>
          <w:lang w:eastAsia="zh-CN"/>
        </w:rPr>
      </w:pPr>
      <w:r w:rsidRPr="00607EC5">
        <w:rPr>
          <w:lang w:eastAsia="zh-CN"/>
        </w:rPr>
        <w:t>All transactions pertaining to 201</w:t>
      </w:r>
      <w:r>
        <w:rPr>
          <w:lang w:eastAsia="zh-CN"/>
        </w:rPr>
        <w:t>8</w:t>
      </w:r>
      <w:r w:rsidRPr="00607EC5">
        <w:rPr>
          <w:lang w:eastAsia="zh-CN"/>
        </w:rPr>
        <w:t xml:space="preserve"> have been recorded in the statement of financial performance at appropriated amounts. All the assets, liabilities and equity balances have been recorded in the statement of the financial situation at appropriated amounts. As ITU holds sufficient legal rights over all the assets entered in the balance sheet, there is no pledge or encumbrance on any ITU asset that is not mentioned in the annex. Related party relationships and transactions have been appropriately accounted for and disclosed in accordance with IPSAS requirements. There are no other contracts, credit agreements, litigation or other disputes liable to significantly alter the assessment of the annual ITU accounts. </w:t>
      </w:r>
    </w:p>
    <w:p w:rsidR="00866190" w:rsidRPr="0052723F" w:rsidRDefault="00866190" w:rsidP="00866190">
      <w:pPr>
        <w:pStyle w:val="enumlev1"/>
        <w:numPr>
          <w:ilvl w:val="0"/>
          <w:numId w:val="2"/>
        </w:numPr>
        <w:tabs>
          <w:tab w:val="clear" w:pos="567"/>
          <w:tab w:val="clear" w:pos="1134"/>
          <w:tab w:val="clear" w:pos="1701"/>
          <w:tab w:val="clear" w:pos="2268"/>
          <w:tab w:val="clear" w:pos="2835"/>
          <w:tab w:val="left" w:pos="851"/>
          <w:tab w:val="left" w:pos="1191"/>
          <w:tab w:val="left" w:pos="1588"/>
          <w:tab w:val="left" w:pos="1985"/>
        </w:tabs>
        <w:spacing w:before="80" w:line="280" w:lineRule="exact"/>
        <w:ind w:left="851" w:hanging="425"/>
        <w:jc w:val="both"/>
        <w:rPr>
          <w:lang w:eastAsia="zh-CN"/>
        </w:rPr>
      </w:pPr>
      <w:r w:rsidRPr="00607EC5">
        <w:rPr>
          <w:lang w:eastAsia="zh-CN"/>
        </w:rPr>
        <w:t>All events subsequent to the date of the financial statements and for which IPSAS require adjustment or disclosure have</w:t>
      </w:r>
      <w:r>
        <w:rPr>
          <w:lang w:eastAsia="zh-CN"/>
        </w:rPr>
        <w:t xml:space="preserve"> been adjusted or disclosed.</w:t>
      </w:r>
    </w:p>
    <w:p w:rsidR="00866190" w:rsidRPr="00BE1FFF" w:rsidRDefault="00866190" w:rsidP="00866190">
      <w:pPr>
        <w:pStyle w:val="enumlev1"/>
        <w:numPr>
          <w:ilvl w:val="0"/>
          <w:numId w:val="2"/>
        </w:numPr>
        <w:tabs>
          <w:tab w:val="clear" w:pos="567"/>
          <w:tab w:val="clear" w:pos="1134"/>
          <w:tab w:val="clear" w:pos="1701"/>
          <w:tab w:val="clear" w:pos="2268"/>
          <w:tab w:val="clear" w:pos="2835"/>
          <w:tab w:val="left" w:pos="851"/>
          <w:tab w:val="left" w:pos="1191"/>
          <w:tab w:val="left" w:pos="1588"/>
          <w:tab w:val="left" w:pos="1985"/>
        </w:tabs>
        <w:spacing w:before="80" w:line="280" w:lineRule="exact"/>
        <w:ind w:left="850" w:hanging="425"/>
        <w:jc w:val="both"/>
        <w:rPr>
          <w:lang w:eastAsia="zh-CN"/>
        </w:rPr>
      </w:pPr>
      <w:r w:rsidRPr="00501973">
        <w:rPr>
          <w:lang w:eastAsia="zh-CN"/>
        </w:rPr>
        <w:t xml:space="preserve">The main assumptions </w:t>
      </w:r>
      <w:r>
        <w:rPr>
          <w:lang w:eastAsia="zh-CN"/>
        </w:rPr>
        <w:t>made for</w:t>
      </w:r>
      <w:r w:rsidRPr="00501973">
        <w:rPr>
          <w:lang w:eastAsia="zh-CN"/>
        </w:rPr>
        <w:t xml:space="preserve"> valuations and the information on fair value</w:t>
      </w:r>
      <w:r>
        <w:rPr>
          <w:lang w:eastAsia="zh-CN"/>
        </w:rPr>
        <w:t>s</w:t>
      </w:r>
      <w:r w:rsidRPr="00501973">
        <w:rPr>
          <w:lang w:eastAsia="zh-CN"/>
        </w:rPr>
        <w:t xml:space="preserve"> are in </w:t>
      </w:r>
      <w:r w:rsidRPr="00BE1FFF">
        <w:rPr>
          <w:lang w:eastAsia="zh-CN"/>
        </w:rPr>
        <w:t>our opinion appropriate, reflect our intention and comply with the accounting principles applied.</w:t>
      </w:r>
    </w:p>
    <w:p w:rsidR="00866190" w:rsidRDefault="00866190" w:rsidP="00866190">
      <w:pPr>
        <w:pStyle w:val="enumlev1"/>
        <w:numPr>
          <w:ilvl w:val="0"/>
          <w:numId w:val="2"/>
        </w:numPr>
        <w:tabs>
          <w:tab w:val="clear" w:pos="567"/>
          <w:tab w:val="clear" w:pos="1134"/>
          <w:tab w:val="clear" w:pos="1701"/>
          <w:tab w:val="clear" w:pos="2268"/>
          <w:tab w:val="clear" w:pos="2835"/>
          <w:tab w:val="left" w:pos="851"/>
          <w:tab w:val="left" w:pos="1191"/>
          <w:tab w:val="left" w:pos="1588"/>
          <w:tab w:val="left" w:pos="1985"/>
        </w:tabs>
        <w:spacing w:before="80" w:line="280" w:lineRule="exact"/>
        <w:ind w:left="851" w:hanging="425"/>
        <w:jc w:val="both"/>
        <w:rPr>
          <w:lang w:eastAsia="zh-CN"/>
        </w:rPr>
      </w:pPr>
      <w:r>
        <w:rPr>
          <w:lang w:eastAsia="zh-CN"/>
        </w:rPr>
        <w:t xml:space="preserve">We confirm </w:t>
      </w:r>
      <w:r w:rsidRPr="00BE1FFF">
        <w:rPr>
          <w:lang w:eastAsia="zh-CN"/>
        </w:rPr>
        <w:t xml:space="preserve">that an internal control system relating to financial reporting is in place to provide </w:t>
      </w:r>
      <w:r w:rsidRPr="00607EC5">
        <w:rPr>
          <w:lang w:eastAsia="zh-CN"/>
        </w:rPr>
        <w:t>reasonable assurance regarding the reliability of financial reporting and the preparation of annual accounts for external purposes in accordance with the Financial Regulations and Financial Rules. This system includes relevant policies and procedures that:</w:t>
      </w:r>
    </w:p>
    <w:p w:rsidR="00866190" w:rsidRPr="00607EC5" w:rsidRDefault="00866190" w:rsidP="00866190">
      <w:pPr>
        <w:pStyle w:val="enumlev1"/>
        <w:tabs>
          <w:tab w:val="clear" w:pos="567"/>
          <w:tab w:val="clear" w:pos="1134"/>
          <w:tab w:val="clear" w:pos="1701"/>
          <w:tab w:val="clear" w:pos="2268"/>
          <w:tab w:val="clear" w:pos="2835"/>
          <w:tab w:val="left" w:pos="851"/>
          <w:tab w:val="left" w:pos="1191"/>
          <w:tab w:val="left" w:pos="1588"/>
          <w:tab w:val="left" w:pos="1985"/>
        </w:tabs>
        <w:spacing w:before="80" w:line="280" w:lineRule="exact"/>
        <w:ind w:left="851" w:firstLine="0"/>
        <w:jc w:val="both"/>
        <w:rPr>
          <w:lang w:eastAsia="zh-CN"/>
        </w:rPr>
      </w:pPr>
    </w:p>
    <w:p w:rsidR="00866190" w:rsidRPr="00607EC5" w:rsidRDefault="00866190" w:rsidP="00866190">
      <w:pPr>
        <w:pStyle w:val="enumlev1"/>
        <w:numPr>
          <w:ilvl w:val="0"/>
          <w:numId w:val="3"/>
        </w:numPr>
        <w:tabs>
          <w:tab w:val="clear" w:pos="567"/>
          <w:tab w:val="clear" w:pos="1134"/>
          <w:tab w:val="clear" w:pos="1701"/>
          <w:tab w:val="clear" w:pos="2268"/>
          <w:tab w:val="clear" w:pos="2835"/>
          <w:tab w:val="left" w:pos="1560"/>
          <w:tab w:val="left" w:pos="1588"/>
          <w:tab w:val="left" w:pos="1985"/>
        </w:tabs>
        <w:spacing w:before="80" w:line="280" w:lineRule="exact"/>
        <w:ind w:left="1560" w:hanging="284"/>
        <w:jc w:val="both"/>
        <w:rPr>
          <w:lang w:eastAsia="zh-CN"/>
        </w:rPr>
      </w:pPr>
      <w:r w:rsidRPr="00607EC5">
        <w:rPr>
          <w:lang w:eastAsia="zh-CN"/>
        </w:rPr>
        <w:t>pertains to the maintenance of records that, in reasonable detail, accurately and fairly reflect the transaction;</w:t>
      </w:r>
    </w:p>
    <w:p w:rsidR="00866190" w:rsidRPr="00607EC5" w:rsidRDefault="00866190" w:rsidP="00866190">
      <w:pPr>
        <w:pStyle w:val="enumlev1"/>
        <w:numPr>
          <w:ilvl w:val="0"/>
          <w:numId w:val="3"/>
        </w:numPr>
        <w:tabs>
          <w:tab w:val="clear" w:pos="567"/>
          <w:tab w:val="clear" w:pos="1134"/>
          <w:tab w:val="clear" w:pos="1701"/>
          <w:tab w:val="clear" w:pos="2268"/>
          <w:tab w:val="clear" w:pos="2835"/>
          <w:tab w:val="left" w:pos="1560"/>
          <w:tab w:val="left" w:pos="1588"/>
          <w:tab w:val="left" w:pos="1985"/>
        </w:tabs>
        <w:spacing w:before="80" w:line="280" w:lineRule="exact"/>
        <w:ind w:left="1560" w:hanging="284"/>
        <w:jc w:val="both"/>
        <w:rPr>
          <w:lang w:eastAsia="zh-CN"/>
        </w:rPr>
      </w:pPr>
      <w:r w:rsidRPr="00607EC5">
        <w:rPr>
          <w:lang w:eastAsia="zh-CN"/>
        </w:rPr>
        <w:t>provides reasonable assurance that transactions are recorded as necessary to enable the preparation of the annual accounts and that receipts and expenditures are made in accordance with the authorizations of management in compliance with the Financial Regulations and Financial Rules;</w:t>
      </w:r>
    </w:p>
    <w:p w:rsidR="00866190" w:rsidRPr="00607EC5" w:rsidRDefault="00866190" w:rsidP="00866190">
      <w:pPr>
        <w:pStyle w:val="enumlev1"/>
        <w:numPr>
          <w:ilvl w:val="0"/>
          <w:numId w:val="3"/>
        </w:numPr>
        <w:tabs>
          <w:tab w:val="clear" w:pos="567"/>
          <w:tab w:val="clear" w:pos="1134"/>
          <w:tab w:val="clear" w:pos="1701"/>
          <w:tab w:val="clear" w:pos="2268"/>
          <w:tab w:val="clear" w:pos="2835"/>
          <w:tab w:val="left" w:pos="1560"/>
          <w:tab w:val="left" w:pos="1588"/>
          <w:tab w:val="left" w:pos="1985"/>
        </w:tabs>
        <w:spacing w:before="80" w:line="280" w:lineRule="exact"/>
        <w:ind w:left="1560" w:hanging="284"/>
        <w:jc w:val="both"/>
        <w:rPr>
          <w:lang w:eastAsia="zh-CN"/>
        </w:rPr>
      </w:pPr>
      <w:proofErr w:type="gramStart"/>
      <w:r w:rsidRPr="00607EC5">
        <w:rPr>
          <w:lang w:eastAsia="zh-CN"/>
        </w:rPr>
        <w:t>provides</w:t>
      </w:r>
      <w:proofErr w:type="gramEnd"/>
      <w:r w:rsidRPr="00607EC5">
        <w:rPr>
          <w:lang w:eastAsia="zh-CN"/>
        </w:rPr>
        <w:t xml:space="preserve"> reasonable assurance regarding the prevention or timely detection of unauthorized acquisitions, use or disposition of assets.</w:t>
      </w:r>
    </w:p>
    <w:p w:rsidR="00866190" w:rsidRPr="00607EC5" w:rsidRDefault="00866190" w:rsidP="00866190">
      <w:pPr>
        <w:pStyle w:val="enumlev1"/>
        <w:numPr>
          <w:ilvl w:val="0"/>
          <w:numId w:val="2"/>
        </w:numPr>
        <w:tabs>
          <w:tab w:val="clear" w:pos="567"/>
          <w:tab w:val="clear" w:pos="1134"/>
          <w:tab w:val="clear" w:pos="1701"/>
          <w:tab w:val="clear" w:pos="2268"/>
          <w:tab w:val="clear" w:pos="2835"/>
          <w:tab w:val="left" w:pos="851"/>
          <w:tab w:val="left" w:pos="1191"/>
          <w:tab w:val="left" w:pos="1588"/>
          <w:tab w:val="left" w:pos="1985"/>
        </w:tabs>
        <w:spacing w:before="80" w:line="280" w:lineRule="exact"/>
        <w:ind w:left="851" w:hanging="426"/>
        <w:jc w:val="both"/>
        <w:rPr>
          <w:lang w:eastAsia="zh-CN"/>
        </w:rPr>
      </w:pPr>
      <w:r w:rsidRPr="00607EC5">
        <w:rPr>
          <w:lang w:eastAsia="zh-CN"/>
        </w:rPr>
        <w:t>We confirm that risks identified and recommendations issued by Internal Audit, the External Auditor and the Independent Management Advisory Committee (IMAC) are taken into account and acted upon, as appropriate. The Council Working Group on Financial and Human Resources is informed annually on the status of the implementation of these recommendations.</w:t>
      </w:r>
    </w:p>
    <w:p w:rsidR="00866190" w:rsidRDefault="00866190" w:rsidP="00866190">
      <w:pPr>
        <w:pStyle w:val="enumlev1"/>
        <w:numPr>
          <w:ilvl w:val="0"/>
          <w:numId w:val="2"/>
        </w:numPr>
        <w:tabs>
          <w:tab w:val="clear" w:pos="567"/>
          <w:tab w:val="clear" w:pos="1134"/>
          <w:tab w:val="clear" w:pos="1701"/>
          <w:tab w:val="clear" w:pos="2268"/>
          <w:tab w:val="clear" w:pos="2835"/>
          <w:tab w:val="left" w:pos="851"/>
          <w:tab w:val="left" w:pos="1191"/>
          <w:tab w:val="left" w:pos="1588"/>
          <w:tab w:val="left" w:pos="1985"/>
        </w:tabs>
        <w:spacing w:before="80" w:line="280" w:lineRule="exact"/>
        <w:ind w:left="850" w:hanging="425"/>
        <w:jc w:val="both"/>
        <w:rPr>
          <w:lang w:eastAsia="zh-CN"/>
        </w:rPr>
      </w:pPr>
      <w:r w:rsidRPr="000E2BD3">
        <w:rPr>
          <w:color w:val="000000" w:themeColor="text1"/>
          <w:lang w:eastAsia="zh-CN"/>
        </w:rPr>
        <w:t>We are of the opinion that the impact of non-adjusted differences identified during the audit – taken individually or together – is negligible in terms of the overall financial statements</w:t>
      </w:r>
      <w:r w:rsidRPr="00607EC5">
        <w:rPr>
          <w:lang w:eastAsia="zh-CN"/>
        </w:rPr>
        <w:t>.</w:t>
      </w:r>
    </w:p>
    <w:p w:rsidR="00866190" w:rsidRPr="000E2BD3" w:rsidRDefault="00866190" w:rsidP="00866190">
      <w:pPr>
        <w:pStyle w:val="enumlev1"/>
        <w:numPr>
          <w:ilvl w:val="0"/>
          <w:numId w:val="2"/>
        </w:numPr>
        <w:tabs>
          <w:tab w:val="clear" w:pos="567"/>
          <w:tab w:val="clear" w:pos="1134"/>
          <w:tab w:val="clear" w:pos="1701"/>
          <w:tab w:val="clear" w:pos="2268"/>
          <w:tab w:val="clear" w:pos="2835"/>
          <w:tab w:val="left" w:pos="851"/>
          <w:tab w:val="left" w:pos="1191"/>
          <w:tab w:val="left" w:pos="1588"/>
          <w:tab w:val="left" w:pos="1985"/>
        </w:tabs>
        <w:spacing w:before="80" w:line="280" w:lineRule="exact"/>
        <w:ind w:left="851" w:hanging="426"/>
        <w:jc w:val="both"/>
        <w:rPr>
          <w:color w:val="000000" w:themeColor="text1"/>
          <w:lang w:eastAsia="zh-CN"/>
        </w:rPr>
      </w:pPr>
      <w:r w:rsidRPr="000E2BD3">
        <w:rPr>
          <w:color w:val="000000" w:themeColor="text1"/>
          <w:lang w:eastAsia="zh-CN"/>
        </w:rPr>
        <w:t xml:space="preserve">There were no </w:t>
      </w:r>
      <w:r>
        <w:rPr>
          <w:color w:val="000000" w:themeColor="text1"/>
          <w:lang w:eastAsia="zh-CN"/>
        </w:rPr>
        <w:t xml:space="preserve">new </w:t>
      </w:r>
      <w:r w:rsidRPr="000E2BD3">
        <w:rPr>
          <w:color w:val="000000" w:themeColor="text1"/>
          <w:lang w:eastAsia="zh-CN"/>
        </w:rPr>
        <w:t>known cases of fraud or suspected fraud in 2018 as well as during the completion of the external audit. To the best of our knowledge and belief, the annual accounts present fairly the financial position at 31 December 2018. We have no knowledge of any events that might raise due doubt as to ITU’s capacity as a going concern.</w:t>
      </w:r>
    </w:p>
    <w:p w:rsidR="00866190" w:rsidRDefault="00866190" w:rsidP="00866190">
      <w:pPr>
        <w:pStyle w:val="enumlev1"/>
        <w:tabs>
          <w:tab w:val="clear" w:pos="567"/>
          <w:tab w:val="clear" w:pos="1134"/>
          <w:tab w:val="clear" w:pos="1701"/>
          <w:tab w:val="clear" w:pos="2268"/>
          <w:tab w:val="clear" w:pos="2835"/>
          <w:tab w:val="left" w:pos="1588"/>
          <w:tab w:val="left" w:pos="1985"/>
        </w:tabs>
        <w:spacing w:before="80" w:line="280" w:lineRule="exact"/>
        <w:ind w:left="851" w:hanging="425"/>
        <w:jc w:val="both"/>
        <w:rPr>
          <w:lang w:eastAsia="zh-CN"/>
        </w:rPr>
      </w:pPr>
      <w:r>
        <w:rPr>
          <w:lang w:eastAsia="zh-CN"/>
        </w:rPr>
        <w:t>10.</w:t>
      </w:r>
      <w:r>
        <w:rPr>
          <w:lang w:eastAsia="zh-CN"/>
        </w:rPr>
        <w:tab/>
        <w:t xml:space="preserve">We confirm that we are in compliance with ITU Financial Regulations and Financial Rules (Article 28.9) which stipulates that </w:t>
      </w:r>
      <w:r w:rsidRPr="00B6721D">
        <w:rPr>
          <w:i/>
          <w:lang w:eastAsia="zh-CN"/>
        </w:rPr>
        <w:t>any case of fraud or suspected fraud shall be submitted by the Secretary-General to the External Auditor without delay</w:t>
      </w:r>
      <w:r>
        <w:rPr>
          <w:lang w:eastAsia="zh-CN"/>
        </w:rPr>
        <w:t>. We also have no knowledge of any other events that might raise due doubt as to ITU’s capacity as a going concern.</w:t>
      </w:r>
    </w:p>
    <w:p w:rsidR="00866190" w:rsidRDefault="00866190" w:rsidP="000670EF">
      <w:pPr>
        <w:tabs>
          <w:tab w:val="clear" w:pos="567"/>
          <w:tab w:val="left" w:pos="426"/>
          <w:tab w:val="left" w:pos="851"/>
        </w:tabs>
        <w:snapToGrid w:val="0"/>
        <w:ind w:left="851" w:hanging="425"/>
        <w:rPr>
          <w:lang w:eastAsia="zh-CN"/>
        </w:rPr>
      </w:pPr>
      <w:r>
        <w:rPr>
          <w:lang w:eastAsia="zh-CN"/>
        </w:rPr>
        <w:t>11.</w:t>
      </w:r>
      <w:r>
        <w:rPr>
          <w:lang w:eastAsia="zh-CN"/>
        </w:rPr>
        <w:tab/>
        <w:t>It is in this regard and to alleviate the risk of fraud that a</w:t>
      </w:r>
      <w:r w:rsidRPr="00DA580E">
        <w:rPr>
          <w:lang w:eastAsia="zh-CN"/>
        </w:rPr>
        <w:t xml:space="preserve"> new procurement procedure has been developed for specific type of cases to ensure appropriate control level and segregation of duties between the </w:t>
      </w:r>
      <w:proofErr w:type="gramStart"/>
      <w:r w:rsidRPr="00DA580E">
        <w:rPr>
          <w:lang w:eastAsia="zh-CN"/>
        </w:rPr>
        <w:t>requisition</w:t>
      </w:r>
      <w:proofErr w:type="gramEnd"/>
      <w:r w:rsidRPr="00DA580E">
        <w:rPr>
          <w:lang w:eastAsia="zh-CN"/>
        </w:rPr>
        <w:t>, funding approval and procurement functions.</w:t>
      </w:r>
      <w:r>
        <w:rPr>
          <w:color w:val="0070C0"/>
        </w:rPr>
        <w:t xml:space="preserve"> </w:t>
      </w:r>
      <w:r w:rsidRPr="000E2BD3">
        <w:rPr>
          <w:color w:val="000000" w:themeColor="text1"/>
        </w:rPr>
        <w:t>These procedures will be introduced in early 2019 on a trial basis and will be fully assessed before its definitive implementation. In addition, a procurement manual has been drafted in 2018 for promulgation in 2019, which will also further strengthen the procurement function at ITU.</w:t>
      </w:r>
    </w:p>
    <w:p w:rsidR="00866190" w:rsidRPr="00607EC5" w:rsidRDefault="00866190" w:rsidP="000670EF">
      <w:pPr>
        <w:pStyle w:val="enumlev1"/>
        <w:tabs>
          <w:tab w:val="clear" w:pos="567"/>
          <w:tab w:val="clear" w:pos="1134"/>
          <w:tab w:val="clear" w:pos="1701"/>
          <w:tab w:val="clear" w:pos="2268"/>
          <w:tab w:val="clear" w:pos="2835"/>
          <w:tab w:val="left" w:pos="426"/>
          <w:tab w:val="left" w:pos="851"/>
          <w:tab w:val="left" w:pos="1191"/>
          <w:tab w:val="left" w:pos="1588"/>
          <w:tab w:val="left" w:pos="1985"/>
        </w:tabs>
        <w:spacing w:before="80" w:line="280" w:lineRule="exact"/>
        <w:ind w:left="851" w:hanging="425"/>
        <w:jc w:val="both"/>
        <w:rPr>
          <w:lang w:eastAsia="zh-CN"/>
        </w:rPr>
      </w:pPr>
      <w:r>
        <w:rPr>
          <w:lang w:eastAsia="zh-CN"/>
        </w:rPr>
        <w:t>12.</w:t>
      </w:r>
      <w:r>
        <w:rPr>
          <w:lang w:eastAsia="zh-CN"/>
        </w:rPr>
        <w:tab/>
      </w:r>
      <w:r w:rsidRPr="00607EC5">
        <w:rPr>
          <w:lang w:eastAsia="zh-CN"/>
        </w:rPr>
        <w:t>All circumstances having an impact on the accounts that have arisen prior to the conclusion of the external audit work have been duly taken into consideration in drawing up these annual accounts. We shall not fail to inform the External Auditor immediately of any new event liable to affect the annual accounts retrospectively that might come to our attention between now and the date of the next Council session.</w:t>
      </w:r>
    </w:p>
    <w:p w:rsidR="00507EC3" w:rsidRDefault="00866190" w:rsidP="00462279">
      <w:pPr>
        <w:pStyle w:val="Heading9"/>
        <w:jc w:val="center"/>
        <w:rPr>
          <w:w w:val="105"/>
          <w:sz w:val="28"/>
          <w:szCs w:val="28"/>
          <w:lang w:val="en-US"/>
        </w:rPr>
      </w:pPr>
      <w:r>
        <w:rPr>
          <w:noProof/>
          <w:lang w:eastAsia="zh-CN"/>
        </w:rPr>
        <w:drawing>
          <wp:inline distT="0" distB="0" distL="0" distR="0" wp14:anchorId="082FCC8D" wp14:editId="2CC70574">
            <wp:extent cx="6210935" cy="19850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10935" cy="1985010"/>
                    </a:xfrm>
                    <a:prstGeom prst="rect">
                      <a:avLst/>
                    </a:prstGeom>
                  </pic:spPr>
                </pic:pic>
              </a:graphicData>
            </a:graphic>
          </wp:inline>
        </w:drawing>
      </w:r>
      <w:r w:rsidR="00EA1AB7">
        <w:rPr>
          <w:w w:val="105"/>
          <w:sz w:val="28"/>
          <w:szCs w:val="28"/>
          <w:lang w:val="en-US"/>
        </w:rPr>
        <w:br w:type="page"/>
      </w:r>
    </w:p>
    <w:p w:rsidR="00991BFA" w:rsidRDefault="00991BFA" w:rsidP="00991BFA">
      <w:pPr>
        <w:pStyle w:val="Title"/>
        <w:snapToGrid w:val="0"/>
        <w:rPr>
          <w:rFonts w:asciiTheme="minorHAnsi" w:hAnsiTheme="minorHAnsi" w:cs="Arial"/>
          <w:sz w:val="28"/>
          <w:szCs w:val="28"/>
        </w:rPr>
      </w:pPr>
    </w:p>
    <w:p w:rsidR="00462279" w:rsidRDefault="00462279" w:rsidP="00D14F2C">
      <w:pPr>
        <w:pStyle w:val="Title"/>
        <w:snapToGrid w:val="0"/>
        <w:spacing w:before="240"/>
        <w:rPr>
          <w:rFonts w:asciiTheme="minorHAnsi" w:hAnsiTheme="minorHAnsi" w:cs="Arial"/>
          <w:sz w:val="28"/>
          <w:szCs w:val="28"/>
        </w:rPr>
      </w:pPr>
      <w:r w:rsidRPr="009A565D">
        <w:rPr>
          <w:rFonts w:asciiTheme="minorHAnsi" w:hAnsiTheme="minorHAnsi" w:cs="Arial"/>
          <w:sz w:val="28"/>
          <w:szCs w:val="28"/>
        </w:rPr>
        <w:t>STATEMENT ON INTERNAL CONTROL FOR 201</w:t>
      </w:r>
      <w:r w:rsidR="00961D6E">
        <w:rPr>
          <w:rFonts w:asciiTheme="minorHAnsi" w:hAnsiTheme="minorHAnsi" w:cs="Arial"/>
          <w:sz w:val="28"/>
          <w:szCs w:val="28"/>
        </w:rPr>
        <w:t>8</w:t>
      </w:r>
    </w:p>
    <w:p w:rsidR="00866190" w:rsidRPr="00CA2EE3" w:rsidRDefault="00866190" w:rsidP="00D14F2C">
      <w:pPr>
        <w:pStyle w:val="Title"/>
        <w:snapToGrid w:val="0"/>
        <w:spacing w:before="240"/>
        <w:rPr>
          <w:rFonts w:asciiTheme="minorHAnsi" w:hAnsiTheme="minorHAnsi" w:cs="Arial"/>
          <w:sz w:val="28"/>
          <w:szCs w:val="28"/>
        </w:rPr>
      </w:pPr>
    </w:p>
    <w:p w:rsidR="008064C9" w:rsidRDefault="008064C9" w:rsidP="008064C9">
      <w:pPr>
        <w:pStyle w:val="Heading2"/>
        <w:snapToGrid w:val="0"/>
        <w:spacing w:before="0"/>
        <w:rPr>
          <w:rFonts w:cs="Arial"/>
          <w:iCs/>
          <w:szCs w:val="24"/>
        </w:rPr>
      </w:pPr>
      <w:r w:rsidRPr="00CA2EE3">
        <w:rPr>
          <w:rFonts w:cs="Arial"/>
          <w:iCs/>
          <w:szCs w:val="24"/>
        </w:rPr>
        <w:t>Scope of responsibility</w:t>
      </w:r>
    </w:p>
    <w:p w:rsidR="008064C9" w:rsidRPr="00CA2EE3" w:rsidRDefault="008064C9" w:rsidP="008064C9">
      <w:pPr>
        <w:snapToGrid w:val="0"/>
        <w:spacing w:before="0"/>
      </w:pPr>
    </w:p>
    <w:p w:rsidR="008064C9" w:rsidRDefault="008064C9" w:rsidP="003E04EB">
      <w:pPr>
        <w:snapToGrid w:val="0"/>
        <w:spacing w:before="0"/>
        <w:ind w:firstLine="567"/>
        <w:jc w:val="both"/>
        <w:rPr>
          <w:rFonts w:cs="Arial"/>
          <w:szCs w:val="24"/>
        </w:rPr>
      </w:pPr>
      <w:r w:rsidRPr="00CA2EE3">
        <w:rPr>
          <w:rFonts w:cs="Arial"/>
          <w:szCs w:val="24"/>
        </w:rPr>
        <w:t>As Secretary-General of the International Telecommunication Union (ITU), I shall act as the legal representative of the Union. I take all the actions required to ensure economic use of the Union’s resources and be responsible to the Council for all the administrative and financial aspects of the Union</w:t>
      </w:r>
      <w:r>
        <w:rPr>
          <w:rFonts w:cs="Arial"/>
          <w:szCs w:val="24"/>
        </w:rPr>
        <w:t>’</w:t>
      </w:r>
      <w:r w:rsidRPr="00CA2EE3">
        <w:rPr>
          <w:rFonts w:cs="Arial"/>
          <w:szCs w:val="24"/>
        </w:rPr>
        <w:t xml:space="preserve">s activities, in accordance with the responsibilities assigned to me, in particular in </w:t>
      </w:r>
      <w:r>
        <w:rPr>
          <w:rFonts w:cs="Arial"/>
          <w:szCs w:val="24"/>
        </w:rPr>
        <w:t xml:space="preserve">provisions Nos </w:t>
      </w:r>
      <w:r w:rsidRPr="00CA2EE3">
        <w:rPr>
          <w:rFonts w:cs="Arial"/>
          <w:szCs w:val="24"/>
        </w:rPr>
        <w:t>73</w:t>
      </w:r>
      <w:r w:rsidR="003E04EB">
        <w:rPr>
          <w:rFonts w:cs="Arial"/>
          <w:szCs w:val="24"/>
        </w:rPr>
        <w:t> </w:t>
      </w:r>
      <w:proofErr w:type="spellStart"/>
      <w:r w:rsidRPr="00CA2EE3">
        <w:rPr>
          <w:rFonts w:cs="Arial"/>
          <w:szCs w:val="24"/>
        </w:rPr>
        <w:t>bis</w:t>
      </w:r>
      <w:proofErr w:type="spellEnd"/>
      <w:r w:rsidRPr="00CA2EE3">
        <w:rPr>
          <w:rFonts w:cs="Arial"/>
          <w:szCs w:val="24"/>
        </w:rPr>
        <w:t xml:space="preserve"> and 75 of the Constitution</w:t>
      </w:r>
      <w:r w:rsidRPr="00BF563D">
        <w:rPr>
          <w:rFonts w:cs="Arial"/>
          <w:szCs w:val="24"/>
        </w:rPr>
        <w:t xml:space="preserve"> </w:t>
      </w:r>
      <w:r>
        <w:rPr>
          <w:rFonts w:cs="Arial"/>
          <w:szCs w:val="24"/>
        </w:rPr>
        <w:t>(</w:t>
      </w:r>
      <w:r w:rsidRPr="00CA2EE3">
        <w:rPr>
          <w:rFonts w:cs="Arial"/>
          <w:szCs w:val="24"/>
        </w:rPr>
        <w:t>Article 11</w:t>
      </w:r>
      <w:r>
        <w:rPr>
          <w:rFonts w:cs="Arial"/>
          <w:szCs w:val="24"/>
        </w:rPr>
        <w:t>)</w:t>
      </w:r>
      <w:r w:rsidRPr="00CA2EE3">
        <w:rPr>
          <w:rFonts w:cs="Arial"/>
          <w:szCs w:val="24"/>
        </w:rPr>
        <w:t>, and in Articles 1, 10, 16, 28, 29 and 30 of the Financial Regulations and Financial Rules.</w:t>
      </w:r>
    </w:p>
    <w:p w:rsidR="008064C9" w:rsidRPr="00CA2EE3" w:rsidRDefault="008064C9" w:rsidP="008064C9">
      <w:pPr>
        <w:snapToGrid w:val="0"/>
        <w:spacing w:before="0"/>
        <w:jc w:val="both"/>
        <w:rPr>
          <w:rFonts w:cs="Arial"/>
          <w:szCs w:val="24"/>
        </w:rPr>
      </w:pPr>
    </w:p>
    <w:p w:rsidR="008064C9" w:rsidRDefault="008064C9" w:rsidP="008064C9">
      <w:pPr>
        <w:pStyle w:val="Heading2"/>
        <w:snapToGrid w:val="0"/>
        <w:spacing w:before="0"/>
        <w:rPr>
          <w:rFonts w:cs="Arial"/>
          <w:iCs/>
          <w:szCs w:val="24"/>
        </w:rPr>
      </w:pPr>
      <w:r w:rsidRPr="00CA2EE3">
        <w:rPr>
          <w:rFonts w:cs="Arial"/>
          <w:iCs/>
          <w:szCs w:val="24"/>
        </w:rPr>
        <w:t>Purpose of the system of internal control</w:t>
      </w:r>
    </w:p>
    <w:p w:rsidR="008064C9" w:rsidRPr="00294A7E" w:rsidRDefault="008064C9" w:rsidP="008064C9">
      <w:pPr>
        <w:snapToGrid w:val="0"/>
        <w:spacing w:before="0"/>
      </w:pPr>
    </w:p>
    <w:p w:rsidR="008064C9" w:rsidRDefault="008064C9" w:rsidP="008064C9">
      <w:pPr>
        <w:snapToGrid w:val="0"/>
        <w:spacing w:before="0"/>
        <w:ind w:firstLine="567"/>
        <w:jc w:val="both"/>
        <w:rPr>
          <w:rFonts w:cs="Arial"/>
          <w:szCs w:val="24"/>
        </w:rPr>
      </w:pPr>
      <w:r w:rsidRPr="00CA2EE3">
        <w:rPr>
          <w:rFonts w:cs="Arial"/>
          <w:szCs w:val="24"/>
        </w:rPr>
        <w:t>The system of internal control is designed to reduce and manage rather than eliminate the risk of failure to achieve the organization’s policies, aims and objectives.  Therefore, it can only provide a reasonable and not absolute assurance of effectiveness.  It is based on an ongoing process designed to identify the principal risks, to evaluate the nature and extent of those risks and to manage them efficiently, effectively and economically.  ITU management is charged with the responsibility of establishing a network of processes with the objective of controlling the operations of ITU in a manner that provides the governing bodies’ reasonable assurance that:</w:t>
      </w:r>
    </w:p>
    <w:p w:rsidR="008064C9" w:rsidRPr="00CA2EE3" w:rsidRDefault="008064C9" w:rsidP="008064C9">
      <w:pPr>
        <w:snapToGrid w:val="0"/>
        <w:spacing w:before="0"/>
        <w:jc w:val="both"/>
        <w:rPr>
          <w:rFonts w:cs="Arial"/>
          <w:szCs w:val="24"/>
        </w:rPr>
      </w:pPr>
    </w:p>
    <w:p w:rsidR="008064C9" w:rsidRPr="00CA2EE3" w:rsidRDefault="008064C9" w:rsidP="008064C9">
      <w:pPr>
        <w:numPr>
          <w:ilvl w:val="0"/>
          <w:numId w:val="5"/>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A2EE3">
        <w:rPr>
          <w:rFonts w:cs="Arial"/>
          <w:szCs w:val="24"/>
        </w:rPr>
        <w:t>The Organization’s plan</w:t>
      </w:r>
      <w:r>
        <w:rPr>
          <w:rFonts w:cs="Arial"/>
          <w:szCs w:val="24"/>
        </w:rPr>
        <w:t>s</w:t>
      </w:r>
      <w:r w:rsidRPr="00CA2EE3">
        <w:rPr>
          <w:rFonts w:cs="Arial"/>
          <w:szCs w:val="24"/>
        </w:rPr>
        <w:t>, programmes, goals, and objectives are achieved,</w:t>
      </w:r>
    </w:p>
    <w:p w:rsidR="008064C9" w:rsidRPr="00CA2EE3" w:rsidRDefault="008064C9" w:rsidP="008064C9">
      <w:pPr>
        <w:numPr>
          <w:ilvl w:val="0"/>
          <w:numId w:val="5"/>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A2EE3">
        <w:rPr>
          <w:rFonts w:cs="Arial"/>
          <w:szCs w:val="24"/>
        </w:rPr>
        <w:t>Resources are acquired economically and employed profitably; quality business processes and continuous improvement are emphasized,</w:t>
      </w:r>
    </w:p>
    <w:p w:rsidR="008064C9" w:rsidRPr="00CA2EE3" w:rsidRDefault="008064C9" w:rsidP="008064C9">
      <w:pPr>
        <w:numPr>
          <w:ilvl w:val="0"/>
          <w:numId w:val="5"/>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A2EE3">
        <w:rPr>
          <w:rFonts w:cs="Arial"/>
          <w:szCs w:val="24"/>
        </w:rPr>
        <w:t>The Organization’s resources (including its people, system, data/information) are adequately protected,</w:t>
      </w:r>
    </w:p>
    <w:p w:rsidR="008064C9" w:rsidRPr="00CA2EE3" w:rsidRDefault="008064C9" w:rsidP="008064C9">
      <w:pPr>
        <w:numPr>
          <w:ilvl w:val="0"/>
          <w:numId w:val="5"/>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A2EE3">
        <w:rPr>
          <w:rFonts w:cs="Arial"/>
          <w:szCs w:val="24"/>
        </w:rPr>
        <w:t>The actions of Elected Officials, Senior Counsellors, Professionals and General Services Staff are in compliance with the Organization’s policies, standards, plans and procedures, and all relevant laws, rules and regulations,</w:t>
      </w:r>
    </w:p>
    <w:p w:rsidR="008064C9" w:rsidRDefault="008064C9" w:rsidP="008064C9">
      <w:pPr>
        <w:numPr>
          <w:ilvl w:val="0"/>
          <w:numId w:val="5"/>
        </w:numPr>
        <w:tabs>
          <w:tab w:val="clear" w:pos="567"/>
          <w:tab w:val="clear" w:pos="720"/>
          <w:tab w:val="clear" w:pos="1134"/>
          <w:tab w:val="clear" w:pos="1701"/>
          <w:tab w:val="clear" w:pos="2268"/>
          <w:tab w:val="clear" w:pos="2835"/>
          <w:tab w:val="num" w:pos="851"/>
        </w:tabs>
        <w:overflowPunct/>
        <w:autoSpaceDE/>
        <w:autoSpaceDN/>
        <w:snapToGrid w:val="0"/>
        <w:spacing w:before="0"/>
        <w:ind w:left="851" w:hanging="284"/>
        <w:jc w:val="both"/>
        <w:textAlignment w:val="auto"/>
        <w:rPr>
          <w:rFonts w:cs="Arial"/>
          <w:szCs w:val="24"/>
        </w:rPr>
      </w:pPr>
      <w:r w:rsidRPr="00CA2EE3">
        <w:rPr>
          <w:rFonts w:cs="Arial"/>
          <w:szCs w:val="24"/>
        </w:rPr>
        <w:t>Data and information published either internally or externally is accurate, reliable, and timely.</w:t>
      </w:r>
    </w:p>
    <w:p w:rsidR="008064C9" w:rsidRPr="00CA2EE3" w:rsidRDefault="008064C9" w:rsidP="008064C9">
      <w:pPr>
        <w:tabs>
          <w:tab w:val="clear" w:pos="567"/>
          <w:tab w:val="clear" w:pos="1134"/>
          <w:tab w:val="clear" w:pos="1701"/>
          <w:tab w:val="clear" w:pos="2268"/>
          <w:tab w:val="clear" w:pos="2835"/>
        </w:tabs>
        <w:overflowPunct/>
        <w:autoSpaceDE/>
        <w:autoSpaceDN/>
        <w:snapToGrid w:val="0"/>
        <w:spacing w:before="0"/>
        <w:jc w:val="both"/>
        <w:textAlignment w:val="auto"/>
        <w:rPr>
          <w:rFonts w:cs="Arial"/>
          <w:szCs w:val="24"/>
        </w:rPr>
      </w:pPr>
    </w:p>
    <w:p w:rsidR="008064C9" w:rsidRDefault="008064C9" w:rsidP="008064C9">
      <w:pPr>
        <w:snapToGrid w:val="0"/>
        <w:spacing w:before="0"/>
        <w:ind w:firstLine="567"/>
        <w:jc w:val="both"/>
        <w:rPr>
          <w:rFonts w:cs="Arial"/>
          <w:szCs w:val="24"/>
        </w:rPr>
      </w:pPr>
      <w:r w:rsidRPr="00CA2EE3">
        <w:rPr>
          <w:rFonts w:cs="Arial"/>
          <w:szCs w:val="24"/>
        </w:rPr>
        <w:t>Risk management and the management of internal controls are functions of management and are an integral part of the overall process of managing operations.  As such, it is the responsibility of ITU managers at all levels to:</w:t>
      </w:r>
    </w:p>
    <w:p w:rsidR="008064C9" w:rsidRPr="00CA2EE3" w:rsidRDefault="008064C9" w:rsidP="008064C9">
      <w:pPr>
        <w:snapToGrid w:val="0"/>
        <w:spacing w:before="0"/>
        <w:jc w:val="both"/>
        <w:rPr>
          <w:rFonts w:cs="Arial"/>
          <w:szCs w:val="24"/>
        </w:rPr>
      </w:pPr>
    </w:p>
    <w:p w:rsidR="008064C9" w:rsidRPr="00CA2EE3" w:rsidRDefault="008064C9" w:rsidP="008064C9">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A2EE3">
        <w:rPr>
          <w:rFonts w:cs="Arial"/>
          <w:szCs w:val="24"/>
        </w:rPr>
        <w:t>Identify and evaluate the exposures to possible risks that relate to their particular sphere of operations,</w:t>
      </w:r>
    </w:p>
    <w:p w:rsidR="008064C9" w:rsidRPr="00CA2EE3" w:rsidRDefault="008064C9" w:rsidP="008064C9">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A2EE3">
        <w:rPr>
          <w:rFonts w:cs="Arial"/>
          <w:szCs w:val="24"/>
        </w:rPr>
        <w:t>Specify and propose policies, plans, and operating standards, procedures, systems, and other guidelines to be used to minimize, mitigate, and/or mitigate the risks associated with the exposures identified,</w:t>
      </w:r>
    </w:p>
    <w:p w:rsidR="008064C9" w:rsidRPr="00CA2EE3" w:rsidRDefault="008064C9" w:rsidP="008064C9">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A2EE3">
        <w:rPr>
          <w:rFonts w:cs="Arial"/>
          <w:szCs w:val="24"/>
        </w:rPr>
        <w:t>Establish practical controlling processes that require and encourage employees to carry out their duties and responsibilities in a manner that helps achieve the five control objectives outlined in the preceding paragraph,</w:t>
      </w:r>
    </w:p>
    <w:p w:rsidR="008064C9" w:rsidRPr="00CA2EE3" w:rsidRDefault="008064C9" w:rsidP="008064C9">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ind w:left="851" w:hanging="284"/>
        <w:jc w:val="both"/>
        <w:textAlignment w:val="auto"/>
        <w:rPr>
          <w:rFonts w:cs="Arial"/>
          <w:szCs w:val="24"/>
        </w:rPr>
      </w:pPr>
      <w:r w:rsidRPr="00CA2EE3">
        <w:rPr>
          <w:rFonts w:cs="Arial"/>
          <w:szCs w:val="24"/>
        </w:rPr>
        <w:t>Maintain the effectiveness of the controlling processes that have been established and foster continuous improvement to these processes.</w:t>
      </w:r>
    </w:p>
    <w:p w:rsidR="008064C9" w:rsidRPr="00CA2EE3" w:rsidRDefault="008064C9" w:rsidP="008064C9">
      <w:pPr>
        <w:tabs>
          <w:tab w:val="clear" w:pos="567"/>
          <w:tab w:val="clear" w:pos="1134"/>
          <w:tab w:val="clear" w:pos="1701"/>
          <w:tab w:val="clear" w:pos="2268"/>
          <w:tab w:val="clear" w:pos="2835"/>
        </w:tabs>
        <w:overflowPunct/>
        <w:autoSpaceDE/>
        <w:autoSpaceDN/>
        <w:snapToGrid w:val="0"/>
        <w:spacing w:before="0"/>
        <w:jc w:val="both"/>
        <w:textAlignment w:val="auto"/>
        <w:rPr>
          <w:rFonts w:cs="Arial"/>
          <w:szCs w:val="24"/>
        </w:rPr>
      </w:pPr>
    </w:p>
    <w:p w:rsidR="008064C9" w:rsidRPr="00CA2EE3" w:rsidRDefault="008064C9" w:rsidP="008064C9">
      <w:pPr>
        <w:snapToGrid w:val="0"/>
        <w:spacing w:before="0"/>
        <w:jc w:val="both"/>
        <w:rPr>
          <w:rFonts w:cs="Arial"/>
          <w:b/>
          <w:szCs w:val="24"/>
        </w:rPr>
      </w:pPr>
      <w:r w:rsidRPr="00CA2EE3">
        <w:rPr>
          <w:rFonts w:cs="Arial"/>
          <w:b/>
          <w:szCs w:val="24"/>
        </w:rPr>
        <w:t>Capacity to handle risk</w:t>
      </w:r>
    </w:p>
    <w:p w:rsidR="008064C9" w:rsidRDefault="008064C9" w:rsidP="008064C9">
      <w:pPr>
        <w:snapToGrid w:val="0"/>
        <w:spacing w:before="0"/>
        <w:jc w:val="both"/>
        <w:rPr>
          <w:rFonts w:cs="Arial"/>
          <w:szCs w:val="24"/>
        </w:rPr>
      </w:pPr>
    </w:p>
    <w:p w:rsidR="008064C9" w:rsidRPr="00CA2EE3" w:rsidRDefault="008064C9" w:rsidP="008064C9">
      <w:pPr>
        <w:snapToGrid w:val="0"/>
        <w:spacing w:before="0"/>
        <w:ind w:firstLine="567"/>
        <w:jc w:val="both"/>
        <w:rPr>
          <w:rFonts w:cs="Arial"/>
          <w:szCs w:val="24"/>
        </w:rPr>
      </w:pPr>
      <w:r w:rsidRPr="00CA2EE3">
        <w:rPr>
          <w:rFonts w:cs="Arial"/>
          <w:szCs w:val="24"/>
        </w:rPr>
        <w:t>As an integral part of its system of internal control, the ITU Management is committed to implement an Integrated Risk Management (IRM) process throughout the organization.</w:t>
      </w:r>
    </w:p>
    <w:p w:rsidR="008064C9" w:rsidRDefault="008064C9" w:rsidP="008064C9">
      <w:pPr>
        <w:snapToGrid w:val="0"/>
        <w:spacing w:before="0"/>
        <w:jc w:val="both"/>
        <w:rPr>
          <w:rFonts w:cs="Arial"/>
          <w:szCs w:val="24"/>
        </w:rPr>
      </w:pPr>
    </w:p>
    <w:p w:rsidR="008064C9" w:rsidRDefault="008064C9" w:rsidP="00845FE2">
      <w:pPr>
        <w:snapToGrid w:val="0"/>
        <w:spacing w:before="0"/>
        <w:ind w:firstLine="567"/>
        <w:jc w:val="both"/>
        <w:rPr>
          <w:rFonts w:cs="Arial"/>
          <w:szCs w:val="24"/>
        </w:rPr>
      </w:pPr>
      <w:r w:rsidRPr="00CA2EE3">
        <w:rPr>
          <w:rFonts w:cs="Arial"/>
          <w:szCs w:val="24"/>
        </w:rPr>
        <w:t>ITU’s system of internal control is centred on the use of SAP as integrated information management system:</w:t>
      </w:r>
    </w:p>
    <w:p w:rsidR="008064C9" w:rsidRPr="00CA2EE3" w:rsidRDefault="008064C9" w:rsidP="008064C9">
      <w:pPr>
        <w:snapToGrid w:val="0"/>
        <w:spacing w:before="0"/>
        <w:jc w:val="both"/>
        <w:rPr>
          <w:rFonts w:cs="Arial"/>
          <w:szCs w:val="24"/>
        </w:rPr>
      </w:pPr>
    </w:p>
    <w:p w:rsidR="008064C9" w:rsidRPr="00CA2EE3" w:rsidRDefault="008064C9" w:rsidP="008064C9">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A2EE3">
        <w:rPr>
          <w:rFonts w:cs="Arial"/>
          <w:szCs w:val="24"/>
        </w:rPr>
        <w:t>Mirroring the Organization’s structure, work and accountability flows,</w:t>
      </w:r>
    </w:p>
    <w:p w:rsidR="008064C9" w:rsidRPr="00CA2EE3" w:rsidRDefault="008064C9" w:rsidP="008064C9">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A2EE3">
        <w:rPr>
          <w:rFonts w:cs="Arial"/>
          <w:szCs w:val="24"/>
        </w:rPr>
        <w:t>Capturing the budget allocation of resources allocated to the Organization as described in the Organization</w:t>
      </w:r>
      <w:r>
        <w:rPr>
          <w:rFonts w:cs="Arial"/>
          <w:szCs w:val="24"/>
        </w:rPr>
        <w:t>’s B</w:t>
      </w:r>
      <w:r w:rsidRPr="00CA2EE3">
        <w:rPr>
          <w:rFonts w:cs="Arial"/>
          <w:szCs w:val="24"/>
        </w:rPr>
        <w:t xml:space="preserve">asic </w:t>
      </w:r>
      <w:r>
        <w:rPr>
          <w:rFonts w:cs="Arial"/>
          <w:szCs w:val="24"/>
        </w:rPr>
        <w:t>T</w:t>
      </w:r>
      <w:r w:rsidRPr="00CA2EE3">
        <w:rPr>
          <w:rFonts w:cs="Arial"/>
          <w:szCs w:val="24"/>
        </w:rPr>
        <w:t xml:space="preserve">exts adopted </w:t>
      </w:r>
      <w:r>
        <w:rPr>
          <w:rFonts w:cs="Arial"/>
          <w:szCs w:val="24"/>
        </w:rPr>
        <w:t>by</w:t>
      </w:r>
      <w:r w:rsidRPr="00CA2EE3">
        <w:rPr>
          <w:rFonts w:cs="Arial"/>
          <w:szCs w:val="24"/>
        </w:rPr>
        <w:t xml:space="preserve"> the Plenipotentiary Conference,</w:t>
      </w:r>
    </w:p>
    <w:p w:rsidR="008064C9" w:rsidRPr="00CA2EE3" w:rsidRDefault="008064C9" w:rsidP="008064C9">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CA2EE3">
        <w:rPr>
          <w:rFonts w:cs="Arial"/>
          <w:szCs w:val="24"/>
        </w:rPr>
        <w:t>Enabling system integrated controls and four eyes principle,</w:t>
      </w:r>
    </w:p>
    <w:p w:rsidR="008064C9" w:rsidRDefault="008064C9" w:rsidP="008064C9">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ind w:left="851" w:hanging="284"/>
        <w:jc w:val="both"/>
        <w:textAlignment w:val="auto"/>
        <w:rPr>
          <w:rFonts w:cs="Arial"/>
          <w:szCs w:val="24"/>
        </w:rPr>
      </w:pPr>
      <w:r w:rsidRPr="00CA2EE3">
        <w:rPr>
          <w:rFonts w:cs="Arial"/>
          <w:szCs w:val="24"/>
        </w:rPr>
        <w:t>Enabling the direction, monitoring and measurement of resource utilization through IPSAS accounting and reporting, periodical stocktaking and documented procurement processes and controls.</w:t>
      </w:r>
    </w:p>
    <w:p w:rsidR="008064C9" w:rsidRPr="00CA2EE3" w:rsidRDefault="008064C9" w:rsidP="008064C9">
      <w:pPr>
        <w:tabs>
          <w:tab w:val="clear" w:pos="567"/>
          <w:tab w:val="clear" w:pos="1134"/>
          <w:tab w:val="clear" w:pos="1701"/>
          <w:tab w:val="clear" w:pos="2268"/>
          <w:tab w:val="clear" w:pos="2835"/>
        </w:tabs>
        <w:overflowPunct/>
        <w:autoSpaceDE/>
        <w:autoSpaceDN/>
        <w:snapToGrid w:val="0"/>
        <w:spacing w:before="0"/>
        <w:jc w:val="both"/>
        <w:textAlignment w:val="auto"/>
        <w:rPr>
          <w:rFonts w:cs="Arial"/>
          <w:szCs w:val="24"/>
        </w:rPr>
      </w:pPr>
    </w:p>
    <w:p w:rsidR="008064C9" w:rsidRDefault="008064C9" w:rsidP="008064C9">
      <w:pPr>
        <w:snapToGrid w:val="0"/>
        <w:spacing w:before="0"/>
        <w:ind w:firstLine="567"/>
        <w:jc w:val="both"/>
        <w:rPr>
          <w:rFonts w:cs="Arial"/>
          <w:szCs w:val="24"/>
        </w:rPr>
      </w:pPr>
      <w:r w:rsidRPr="00CA2EE3">
        <w:rPr>
          <w:rFonts w:cs="Arial"/>
          <w:szCs w:val="24"/>
        </w:rPr>
        <w:t>ITU financial reporting reliability and follow-up of resource consumption according to strategic goals is based on the integrated information management system and on the strong control of resources commitment.</w:t>
      </w:r>
    </w:p>
    <w:p w:rsidR="008064C9" w:rsidRPr="00CA2EE3" w:rsidRDefault="008064C9" w:rsidP="008064C9">
      <w:pPr>
        <w:snapToGrid w:val="0"/>
        <w:spacing w:before="0"/>
        <w:jc w:val="both"/>
        <w:rPr>
          <w:rFonts w:cs="Arial"/>
          <w:szCs w:val="24"/>
        </w:rPr>
      </w:pPr>
    </w:p>
    <w:p w:rsidR="008064C9" w:rsidRDefault="008064C9" w:rsidP="008064C9">
      <w:pPr>
        <w:snapToGrid w:val="0"/>
        <w:spacing w:before="0"/>
        <w:ind w:firstLine="567"/>
        <w:jc w:val="both"/>
        <w:rPr>
          <w:rFonts w:cs="Arial"/>
          <w:szCs w:val="24"/>
        </w:rPr>
      </w:pPr>
      <w:r w:rsidRPr="00CA2EE3">
        <w:rPr>
          <w:rFonts w:cs="Arial"/>
          <w:szCs w:val="24"/>
        </w:rPr>
        <w:t>Moreover, the Contracts Committee assist</w:t>
      </w:r>
      <w:r>
        <w:rPr>
          <w:rFonts w:cs="Arial"/>
          <w:szCs w:val="24"/>
        </w:rPr>
        <w:t>s</w:t>
      </w:r>
      <w:r w:rsidRPr="00CA2EE3">
        <w:rPr>
          <w:rFonts w:cs="Arial"/>
          <w:szCs w:val="24"/>
        </w:rPr>
        <w:t xml:space="preserve"> the Secretary-General in ensuring the efficient use of ITU resources in line with the best-interests of the Union, </w:t>
      </w:r>
      <w:r>
        <w:rPr>
          <w:rFonts w:cs="Arial"/>
          <w:szCs w:val="24"/>
        </w:rPr>
        <w:t>and the Legal Affairs Unit provide</w:t>
      </w:r>
      <w:r w:rsidR="00CE7031">
        <w:rPr>
          <w:rFonts w:cs="Arial"/>
          <w:szCs w:val="24"/>
        </w:rPr>
        <w:t>s</w:t>
      </w:r>
      <w:r>
        <w:rPr>
          <w:rFonts w:cs="Arial"/>
          <w:szCs w:val="24"/>
        </w:rPr>
        <w:t xml:space="preserve"> guidance throughout the Organization for </w:t>
      </w:r>
      <w:r w:rsidRPr="00CA2EE3">
        <w:rPr>
          <w:rFonts w:cs="Arial"/>
          <w:szCs w:val="24"/>
        </w:rPr>
        <w:t>the respect for laws, rules and regulations</w:t>
      </w:r>
      <w:r>
        <w:rPr>
          <w:rFonts w:cs="Arial"/>
          <w:szCs w:val="24"/>
        </w:rPr>
        <w:t xml:space="preserve"> and the communications and promotion of ITU ethics policies. Through its audit work, the Internal Audit Unit also provides assurance to the Secretary-General on the Organization’s governance, risk management and effectiveness of controls.</w:t>
      </w:r>
    </w:p>
    <w:p w:rsidR="008064C9" w:rsidRPr="00CA2EE3" w:rsidRDefault="008064C9" w:rsidP="008064C9">
      <w:pPr>
        <w:snapToGrid w:val="0"/>
        <w:spacing w:before="0"/>
        <w:jc w:val="both"/>
        <w:rPr>
          <w:rFonts w:cs="Arial"/>
          <w:szCs w:val="24"/>
        </w:rPr>
      </w:pPr>
    </w:p>
    <w:p w:rsidR="008064C9" w:rsidRPr="00CA2EE3" w:rsidRDefault="008064C9" w:rsidP="008064C9">
      <w:pPr>
        <w:snapToGrid w:val="0"/>
        <w:spacing w:before="0"/>
        <w:ind w:firstLine="567"/>
        <w:jc w:val="both"/>
        <w:rPr>
          <w:rFonts w:cs="Arial"/>
          <w:szCs w:val="24"/>
        </w:rPr>
      </w:pPr>
      <w:r w:rsidRPr="00CA2EE3">
        <w:rPr>
          <w:rFonts w:cs="Arial"/>
          <w:szCs w:val="24"/>
        </w:rPr>
        <w:t xml:space="preserve">Strategic risk management is integrated in the ITU strategic planning through the identification of strategic risks and related mitigation measures. This risk management framework is part of the ITU Strategic Plan 2016-2019, which has been approved during the 2014 Plenipotentiary Conference, as reflected in Resolution 71. The risk management framework </w:t>
      </w:r>
      <w:r>
        <w:rPr>
          <w:rFonts w:cs="Arial"/>
          <w:szCs w:val="24"/>
        </w:rPr>
        <w:t>continues being further developed through the elaboration of a risk management policy, a corporate risk management statement and a strategic risk management register.</w:t>
      </w:r>
    </w:p>
    <w:p w:rsidR="008064C9" w:rsidRDefault="008064C9" w:rsidP="008064C9">
      <w:pPr>
        <w:snapToGrid w:val="0"/>
        <w:spacing w:before="0"/>
        <w:jc w:val="both"/>
        <w:rPr>
          <w:rFonts w:cs="Arial"/>
          <w:szCs w:val="24"/>
        </w:rPr>
      </w:pPr>
    </w:p>
    <w:p w:rsidR="008064C9" w:rsidRDefault="008064C9" w:rsidP="008064C9">
      <w:pPr>
        <w:snapToGrid w:val="0"/>
        <w:spacing w:before="0"/>
        <w:jc w:val="both"/>
        <w:rPr>
          <w:rFonts w:cs="Arial"/>
          <w:szCs w:val="24"/>
        </w:rPr>
      </w:pPr>
      <w:r>
        <w:rPr>
          <w:rFonts w:cs="Arial"/>
          <w:szCs w:val="24"/>
        </w:rPr>
        <w:tab/>
        <w:t>Management of the operational risks is also part of the ITU business management processes. ITU management, including the three Bureaux and the General Secretariat, regularly review the risks associated with the achievement of the objectives of each part of the organization and implement the necessary mitigation measures, while establishing the risk controls to monitor the status of the residual risks.</w:t>
      </w:r>
    </w:p>
    <w:p w:rsidR="008064C9" w:rsidRPr="00CA2EE3" w:rsidRDefault="008064C9" w:rsidP="008064C9">
      <w:pPr>
        <w:snapToGrid w:val="0"/>
        <w:spacing w:before="0"/>
        <w:jc w:val="both"/>
        <w:rPr>
          <w:rFonts w:cs="Arial"/>
          <w:szCs w:val="24"/>
        </w:rPr>
      </w:pPr>
    </w:p>
    <w:p w:rsidR="008064C9" w:rsidRPr="00CA2EE3" w:rsidRDefault="008064C9" w:rsidP="008064C9">
      <w:pPr>
        <w:pStyle w:val="Heading1"/>
        <w:snapToGrid w:val="0"/>
        <w:spacing w:before="0"/>
        <w:jc w:val="both"/>
        <w:rPr>
          <w:rFonts w:cs="Arial"/>
          <w:sz w:val="24"/>
          <w:szCs w:val="24"/>
        </w:rPr>
      </w:pPr>
      <w:r w:rsidRPr="00CA2EE3">
        <w:rPr>
          <w:rFonts w:cs="Arial"/>
          <w:sz w:val="24"/>
          <w:szCs w:val="24"/>
        </w:rPr>
        <w:t>Review of effectiveness</w:t>
      </w:r>
    </w:p>
    <w:p w:rsidR="008064C9" w:rsidRDefault="008064C9" w:rsidP="008064C9">
      <w:pPr>
        <w:snapToGrid w:val="0"/>
        <w:spacing w:before="0"/>
        <w:rPr>
          <w:rFonts w:cs="Arial"/>
          <w:szCs w:val="24"/>
        </w:rPr>
      </w:pPr>
    </w:p>
    <w:p w:rsidR="008064C9" w:rsidRPr="00B94498" w:rsidRDefault="008064C9" w:rsidP="008064C9">
      <w:pPr>
        <w:snapToGrid w:val="0"/>
        <w:spacing w:before="0"/>
        <w:jc w:val="both"/>
        <w:rPr>
          <w:rFonts w:cs="Arial"/>
          <w:szCs w:val="24"/>
        </w:rPr>
      </w:pPr>
      <w:r w:rsidRPr="00CA2EE3">
        <w:rPr>
          <w:rFonts w:cs="Arial"/>
          <w:szCs w:val="24"/>
        </w:rPr>
        <w:tab/>
        <w:t xml:space="preserve">My review of the effectiveness of the system of internal control is informed by the work of the executive managers who have </w:t>
      </w:r>
      <w:r>
        <w:rPr>
          <w:rFonts w:cs="Arial"/>
          <w:szCs w:val="24"/>
        </w:rPr>
        <w:t xml:space="preserve">the </w:t>
      </w:r>
      <w:r w:rsidRPr="00CA2EE3">
        <w:rPr>
          <w:rFonts w:cs="Arial"/>
          <w:szCs w:val="24"/>
        </w:rPr>
        <w:t xml:space="preserve">responsibility for the identification and maintenance of the internal control framework in their areas of responsibility. I derive assurance from internal letters of representation signed by key ITU managers and officers, confirming </w:t>
      </w:r>
      <w:r>
        <w:rPr>
          <w:rFonts w:cs="Arial"/>
          <w:szCs w:val="24"/>
        </w:rPr>
        <w:t xml:space="preserve">that </w:t>
      </w:r>
      <w:r w:rsidRPr="00CA2EE3">
        <w:rPr>
          <w:rFonts w:cs="Arial"/>
          <w:szCs w:val="24"/>
        </w:rPr>
        <w:t xml:space="preserve">the following requirements </w:t>
      </w:r>
      <w:r w:rsidRPr="00B94498">
        <w:rPr>
          <w:rFonts w:cs="Arial"/>
          <w:szCs w:val="24"/>
        </w:rPr>
        <w:t>for the financial period 2018 have been respected:</w:t>
      </w:r>
    </w:p>
    <w:p w:rsidR="008064C9" w:rsidRPr="00B94498" w:rsidRDefault="008064C9" w:rsidP="008064C9">
      <w:pPr>
        <w:snapToGrid w:val="0"/>
        <w:spacing w:before="0"/>
        <w:rPr>
          <w:rFonts w:cs="Arial"/>
          <w:szCs w:val="24"/>
        </w:rPr>
      </w:pPr>
    </w:p>
    <w:p w:rsidR="008064C9" w:rsidRPr="00B94498" w:rsidRDefault="008064C9" w:rsidP="008064C9">
      <w:pPr>
        <w:pStyle w:val="ListParagraph"/>
        <w:widowControl/>
        <w:numPr>
          <w:ilvl w:val="0"/>
          <w:numId w:val="4"/>
        </w:numPr>
        <w:tabs>
          <w:tab w:val="clear" w:pos="720"/>
          <w:tab w:val="left" w:pos="567"/>
          <w:tab w:val="num" w:pos="851"/>
          <w:tab w:val="left" w:pos="1134"/>
          <w:tab w:val="left" w:pos="1701"/>
          <w:tab w:val="left" w:pos="2268"/>
          <w:tab w:val="left" w:pos="2835"/>
        </w:tabs>
        <w:kinsoku/>
        <w:overflowPunct w:val="0"/>
        <w:autoSpaceDE w:val="0"/>
        <w:autoSpaceDN w:val="0"/>
        <w:adjustRightInd w:val="0"/>
        <w:snapToGrid w:val="0"/>
        <w:spacing w:after="120"/>
        <w:ind w:left="851" w:hanging="284"/>
        <w:contextualSpacing w:val="0"/>
        <w:textAlignment w:val="baseline"/>
        <w:rPr>
          <w:rFonts w:ascii="Calibri" w:hAnsi="Calibri" w:cs="Arial"/>
        </w:rPr>
      </w:pPr>
      <w:r w:rsidRPr="00B94498">
        <w:rPr>
          <w:rFonts w:ascii="Calibri" w:hAnsi="Calibri" w:cs="Arial"/>
        </w:rPr>
        <w:t>The conformity of commitments or obligations and expenses with the appropriations or other financial provisions approved by the Council or with the purposes, rules and provisions relating to the funds concerned,</w:t>
      </w:r>
    </w:p>
    <w:p w:rsidR="008064C9" w:rsidRPr="00B94498" w:rsidRDefault="008064C9" w:rsidP="008064C9">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B94498">
        <w:rPr>
          <w:rFonts w:cs="Arial"/>
          <w:szCs w:val="24"/>
        </w:rPr>
        <w:t>The effective, efficient and economical use of the resources of the Union,</w:t>
      </w:r>
    </w:p>
    <w:p w:rsidR="008064C9" w:rsidRPr="00B94498" w:rsidRDefault="008064C9" w:rsidP="008064C9">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after="120"/>
        <w:ind w:left="851" w:hanging="284"/>
        <w:jc w:val="both"/>
        <w:textAlignment w:val="auto"/>
        <w:rPr>
          <w:rFonts w:cs="Arial"/>
          <w:szCs w:val="24"/>
        </w:rPr>
      </w:pPr>
      <w:r w:rsidRPr="00B94498">
        <w:rPr>
          <w:rFonts w:cs="Arial"/>
          <w:szCs w:val="24"/>
        </w:rPr>
        <w:t>The regularity of the receipt, custody and disbursement of all funds and other resources of the Union,</w:t>
      </w:r>
    </w:p>
    <w:p w:rsidR="008064C9" w:rsidRPr="00B94498" w:rsidRDefault="008064C9" w:rsidP="008064C9">
      <w:pPr>
        <w:numPr>
          <w:ilvl w:val="0"/>
          <w:numId w:val="4"/>
        </w:numPr>
        <w:tabs>
          <w:tab w:val="clear" w:pos="567"/>
          <w:tab w:val="clear" w:pos="720"/>
          <w:tab w:val="clear" w:pos="1134"/>
          <w:tab w:val="clear" w:pos="1701"/>
          <w:tab w:val="clear" w:pos="2268"/>
          <w:tab w:val="clear" w:pos="2835"/>
          <w:tab w:val="num" w:pos="851"/>
        </w:tabs>
        <w:overflowPunct/>
        <w:autoSpaceDE/>
        <w:autoSpaceDN/>
        <w:snapToGrid w:val="0"/>
        <w:spacing w:before="0"/>
        <w:ind w:left="851" w:hanging="284"/>
        <w:jc w:val="both"/>
        <w:textAlignment w:val="auto"/>
        <w:rPr>
          <w:rFonts w:cs="Arial"/>
          <w:szCs w:val="24"/>
        </w:rPr>
      </w:pPr>
      <w:r w:rsidRPr="00B94498">
        <w:rPr>
          <w:rFonts w:cs="Arial"/>
          <w:szCs w:val="24"/>
        </w:rPr>
        <w:t>The timelines, completeness and accuracy of financial and other administrative data.</w:t>
      </w:r>
    </w:p>
    <w:p w:rsidR="008064C9" w:rsidRPr="00B94498" w:rsidRDefault="008064C9" w:rsidP="008064C9">
      <w:pPr>
        <w:snapToGrid w:val="0"/>
        <w:spacing w:before="0"/>
        <w:jc w:val="both"/>
        <w:rPr>
          <w:rFonts w:cs="Arial"/>
          <w:szCs w:val="24"/>
        </w:rPr>
      </w:pPr>
    </w:p>
    <w:p w:rsidR="008064C9" w:rsidRDefault="008064C9" w:rsidP="00845FE2">
      <w:pPr>
        <w:snapToGrid w:val="0"/>
        <w:spacing w:before="0"/>
        <w:ind w:firstLine="567"/>
        <w:jc w:val="both"/>
        <w:rPr>
          <w:rFonts w:cs="Arial"/>
          <w:szCs w:val="24"/>
        </w:rPr>
      </w:pPr>
      <w:r w:rsidRPr="00CA2EE3">
        <w:rPr>
          <w:rFonts w:cs="Arial"/>
          <w:szCs w:val="24"/>
        </w:rPr>
        <w:t>Basic Texts of the Union, Regulations, Rules, Service Orders, Office Memoranda and Information Circulars comprise the ITU Regulatory Framework.</w:t>
      </w:r>
    </w:p>
    <w:p w:rsidR="008064C9" w:rsidRPr="00CA2EE3" w:rsidRDefault="008064C9" w:rsidP="008064C9">
      <w:pPr>
        <w:snapToGrid w:val="0"/>
        <w:spacing w:before="0"/>
        <w:jc w:val="both"/>
        <w:rPr>
          <w:rFonts w:cs="Arial"/>
          <w:szCs w:val="24"/>
        </w:rPr>
      </w:pPr>
    </w:p>
    <w:p w:rsidR="008064C9" w:rsidRDefault="008064C9" w:rsidP="00845FE2">
      <w:pPr>
        <w:tabs>
          <w:tab w:val="left" w:pos="0"/>
        </w:tabs>
        <w:snapToGrid w:val="0"/>
        <w:spacing w:before="0"/>
        <w:ind w:firstLine="567"/>
        <w:jc w:val="both"/>
        <w:rPr>
          <w:rFonts w:cs="Arial"/>
          <w:szCs w:val="24"/>
        </w:rPr>
      </w:pPr>
      <w:r w:rsidRPr="00CA2EE3">
        <w:rPr>
          <w:rFonts w:cs="Arial"/>
          <w:szCs w:val="24"/>
        </w:rPr>
        <w:t xml:space="preserve">All ITU systems, processes, operations, functions and activities can be subject to internal audit by the Internal Audit Unit.  The Internal Audit Unit strives, whilst conducting its work, to comply with the International Standards for the Professional Practice for Internal Auditing. I rely on the audit work for obtaining assurance that </w:t>
      </w:r>
      <w:r>
        <w:rPr>
          <w:rFonts w:cs="Arial"/>
          <w:szCs w:val="24"/>
        </w:rPr>
        <w:t>the Organization’s governance and risk management are adequate and that controls are effective.</w:t>
      </w:r>
    </w:p>
    <w:p w:rsidR="008064C9" w:rsidRPr="00CA2EE3" w:rsidRDefault="008064C9" w:rsidP="008064C9">
      <w:pPr>
        <w:snapToGrid w:val="0"/>
        <w:spacing w:before="0"/>
        <w:jc w:val="both"/>
        <w:rPr>
          <w:rFonts w:cs="Arial"/>
          <w:szCs w:val="24"/>
        </w:rPr>
      </w:pPr>
    </w:p>
    <w:p w:rsidR="008064C9" w:rsidRDefault="008064C9" w:rsidP="008064C9">
      <w:pPr>
        <w:snapToGrid w:val="0"/>
        <w:spacing w:before="0"/>
        <w:ind w:firstLine="567"/>
        <w:jc w:val="both"/>
        <w:rPr>
          <w:rFonts w:cs="Arial"/>
          <w:szCs w:val="24"/>
        </w:rPr>
      </w:pPr>
      <w:r w:rsidRPr="00CA2EE3">
        <w:rPr>
          <w:rFonts w:cs="Arial"/>
          <w:szCs w:val="24"/>
        </w:rPr>
        <w:t xml:space="preserve">I also receive the reports from the External Auditor, which may contain recommendations relating to internal control issues. All the recommendations made by the External Auditor are considered and action plans established as appropriate to address any identified weaknesses, so as to ensure continuous improvement. </w:t>
      </w:r>
      <w:r>
        <w:rPr>
          <w:rFonts w:cs="Arial"/>
          <w:szCs w:val="24"/>
        </w:rPr>
        <w:t>Management’s responses to</w:t>
      </w:r>
      <w:r w:rsidRPr="00CA2EE3">
        <w:rPr>
          <w:rFonts w:cs="Arial"/>
          <w:szCs w:val="24"/>
        </w:rPr>
        <w:t xml:space="preserve"> the External Auditor’s recommendations </w:t>
      </w:r>
      <w:r>
        <w:rPr>
          <w:rFonts w:cs="Arial"/>
          <w:szCs w:val="24"/>
        </w:rPr>
        <w:t>are followed up by the Council Working Group on Financial and Human Resources, CWG-FHR</w:t>
      </w:r>
      <w:r w:rsidRPr="00CA2EE3">
        <w:rPr>
          <w:rFonts w:cs="Arial"/>
          <w:szCs w:val="24"/>
        </w:rPr>
        <w:t>.</w:t>
      </w:r>
    </w:p>
    <w:p w:rsidR="008064C9" w:rsidRDefault="008064C9" w:rsidP="008064C9">
      <w:pPr>
        <w:snapToGrid w:val="0"/>
        <w:spacing w:before="0"/>
        <w:jc w:val="both"/>
        <w:rPr>
          <w:rFonts w:cs="Arial"/>
          <w:szCs w:val="24"/>
        </w:rPr>
      </w:pPr>
    </w:p>
    <w:p w:rsidR="008064C9" w:rsidRPr="00E53C84" w:rsidRDefault="008064C9" w:rsidP="00845FE2">
      <w:pPr>
        <w:tabs>
          <w:tab w:val="left" w:pos="0"/>
        </w:tabs>
        <w:snapToGrid w:val="0"/>
        <w:spacing w:before="0"/>
        <w:ind w:firstLine="567"/>
        <w:jc w:val="both"/>
        <w:rPr>
          <w:rFonts w:cs="Arial"/>
          <w:szCs w:val="24"/>
        </w:rPr>
      </w:pPr>
      <w:r w:rsidRPr="00E53C84">
        <w:rPr>
          <w:rFonts w:cs="Arial"/>
          <w:szCs w:val="24"/>
        </w:rPr>
        <w:t>I have taken note of the Internal Auditor’s findings regarding the need to improve governance and risk management of some of the processes reviewed and to render the controls more effective in the various areas audited. Actions have been and will continue to be undertaken to reinforce internal controls and reduce risks.</w:t>
      </w:r>
    </w:p>
    <w:p w:rsidR="008064C9" w:rsidRPr="00DC6D14" w:rsidRDefault="008064C9" w:rsidP="008064C9">
      <w:pPr>
        <w:tabs>
          <w:tab w:val="left" w:pos="0"/>
        </w:tabs>
        <w:snapToGrid w:val="0"/>
        <w:spacing w:before="0"/>
        <w:jc w:val="both"/>
        <w:rPr>
          <w:rFonts w:cs="Arial"/>
          <w:szCs w:val="24"/>
        </w:rPr>
      </w:pPr>
    </w:p>
    <w:p w:rsidR="008064C9" w:rsidRDefault="008064C9" w:rsidP="008064C9">
      <w:pPr>
        <w:snapToGrid w:val="0"/>
        <w:spacing w:before="0"/>
        <w:ind w:firstLine="567"/>
        <w:jc w:val="both"/>
        <w:rPr>
          <w:rFonts w:cs="Arial"/>
          <w:szCs w:val="24"/>
        </w:rPr>
      </w:pPr>
      <w:r w:rsidRPr="00CA2EE3">
        <w:rPr>
          <w:rFonts w:cs="Arial"/>
          <w:szCs w:val="24"/>
        </w:rPr>
        <w:t>I am further advised by the Independent Management Advisory Committee (IMAC) that serves in an expert advisory capacity and assists the Secretary-General and the Council in fulfilling their governance responsibilities, including ensuring the effectiveness of ITU’s internal control system, risk manag</w:t>
      </w:r>
      <w:r>
        <w:rPr>
          <w:rFonts w:cs="Arial"/>
          <w:szCs w:val="24"/>
        </w:rPr>
        <w:t>ement and governance processes.</w:t>
      </w:r>
    </w:p>
    <w:p w:rsidR="008064C9" w:rsidRPr="00CA2EE3" w:rsidRDefault="008064C9" w:rsidP="008064C9">
      <w:pPr>
        <w:snapToGrid w:val="0"/>
        <w:spacing w:before="0"/>
        <w:jc w:val="both"/>
        <w:rPr>
          <w:rFonts w:cs="Arial"/>
          <w:szCs w:val="24"/>
        </w:rPr>
      </w:pPr>
    </w:p>
    <w:p w:rsidR="008064C9" w:rsidRPr="00CA2EE3" w:rsidRDefault="008064C9" w:rsidP="008064C9">
      <w:pPr>
        <w:pStyle w:val="Heading1"/>
        <w:snapToGrid w:val="0"/>
        <w:spacing w:before="0"/>
        <w:jc w:val="both"/>
        <w:rPr>
          <w:rFonts w:cs="Arial"/>
          <w:sz w:val="24"/>
          <w:szCs w:val="24"/>
        </w:rPr>
      </w:pPr>
      <w:r w:rsidRPr="00CA2EE3">
        <w:rPr>
          <w:rFonts w:cs="Arial"/>
          <w:sz w:val="24"/>
          <w:szCs w:val="24"/>
        </w:rPr>
        <w:t>Significant internal control matters arising during the year</w:t>
      </w:r>
    </w:p>
    <w:p w:rsidR="008064C9" w:rsidRDefault="008064C9" w:rsidP="008064C9">
      <w:pPr>
        <w:snapToGrid w:val="0"/>
        <w:spacing w:before="0"/>
        <w:jc w:val="both"/>
        <w:rPr>
          <w:rFonts w:cs="Arial"/>
          <w:szCs w:val="24"/>
        </w:rPr>
      </w:pPr>
    </w:p>
    <w:p w:rsidR="008064C9" w:rsidRDefault="008064C9" w:rsidP="00845FE2">
      <w:pPr>
        <w:snapToGrid w:val="0"/>
        <w:spacing w:before="0"/>
        <w:ind w:firstLine="567"/>
        <w:rPr>
          <w:color w:val="000000" w:themeColor="text1"/>
        </w:rPr>
      </w:pPr>
      <w:r w:rsidRPr="007A33CC">
        <w:rPr>
          <w:color w:val="000000" w:themeColor="text1"/>
        </w:rPr>
        <w:t>I have been informed of areas within the procurement function which may need strengthening and I have asked the relevant offices to underact the necessary steps to improve the controls in these areas.</w:t>
      </w:r>
    </w:p>
    <w:p w:rsidR="008064C9" w:rsidRPr="007A33CC" w:rsidRDefault="008064C9" w:rsidP="008064C9">
      <w:pPr>
        <w:snapToGrid w:val="0"/>
        <w:spacing w:before="0"/>
        <w:rPr>
          <w:color w:val="000000" w:themeColor="text1"/>
        </w:rPr>
      </w:pPr>
    </w:p>
    <w:p w:rsidR="008064C9" w:rsidRDefault="008064C9" w:rsidP="00845FE2">
      <w:pPr>
        <w:snapToGrid w:val="0"/>
        <w:spacing w:before="0"/>
        <w:ind w:firstLine="567"/>
        <w:rPr>
          <w:color w:val="000000" w:themeColor="text1"/>
        </w:rPr>
      </w:pPr>
      <w:r w:rsidRPr="007A33CC">
        <w:rPr>
          <w:color w:val="000000" w:themeColor="text1"/>
        </w:rPr>
        <w:t>With this objective, new procedures for the procurement below CHF 20,000 have been developed to ensure the appropriate segregation of duties between the requisition, funding approval and the procurement function. These procedures will be introduced in early 2019 on a trial basis and will be fully assessed before its definitive implementation. In addition, a procurement manual has been drafted in 2018 for promulgation in 2019, which will also further strengthen the procurement function at ITU.</w:t>
      </w:r>
    </w:p>
    <w:p w:rsidR="007620E2" w:rsidRPr="007A33CC" w:rsidRDefault="007620E2" w:rsidP="008064C9">
      <w:pPr>
        <w:snapToGrid w:val="0"/>
        <w:spacing w:before="0"/>
        <w:rPr>
          <w:color w:val="000000" w:themeColor="text1"/>
        </w:rPr>
      </w:pPr>
    </w:p>
    <w:p w:rsidR="008064C9" w:rsidRPr="00B50059" w:rsidRDefault="008064C9" w:rsidP="008064C9">
      <w:pPr>
        <w:snapToGrid w:val="0"/>
        <w:spacing w:before="0"/>
        <w:rPr>
          <w:sz w:val="22"/>
          <w:lang w:val="en-US"/>
        </w:rPr>
      </w:pPr>
    </w:p>
    <w:p w:rsidR="008064C9" w:rsidRPr="00CA2EE3" w:rsidRDefault="008064C9" w:rsidP="003E04EB">
      <w:pPr>
        <w:pStyle w:val="Heading1"/>
        <w:snapToGrid w:val="0"/>
        <w:spacing w:before="0"/>
        <w:jc w:val="both"/>
        <w:rPr>
          <w:rFonts w:cs="Arial"/>
          <w:sz w:val="24"/>
          <w:szCs w:val="24"/>
        </w:rPr>
      </w:pPr>
      <w:r w:rsidRPr="00CA2EE3">
        <w:rPr>
          <w:rFonts w:cs="Arial"/>
          <w:sz w:val="24"/>
          <w:szCs w:val="24"/>
        </w:rPr>
        <w:t>Statement</w:t>
      </w:r>
    </w:p>
    <w:p w:rsidR="008064C9" w:rsidRPr="00161957" w:rsidRDefault="008064C9" w:rsidP="003E04EB">
      <w:pPr>
        <w:pStyle w:val="BodyTextIndent"/>
        <w:snapToGrid w:val="0"/>
        <w:spacing w:before="0" w:line="240" w:lineRule="auto"/>
        <w:ind w:left="0" w:firstLine="0"/>
        <w:rPr>
          <w:rFonts w:ascii="Calibri" w:hAnsi="Calibri" w:cs="Arial"/>
          <w:lang w:val="en-US"/>
        </w:rPr>
      </w:pPr>
    </w:p>
    <w:p w:rsidR="008064C9" w:rsidRPr="008064C9" w:rsidRDefault="008064C9" w:rsidP="00845FE2">
      <w:pPr>
        <w:pStyle w:val="BodyTextIndent"/>
        <w:tabs>
          <w:tab w:val="clear" w:pos="1134"/>
          <w:tab w:val="left" w:pos="567"/>
        </w:tabs>
        <w:snapToGrid w:val="0"/>
        <w:spacing w:before="0" w:line="240" w:lineRule="auto"/>
        <w:ind w:left="0" w:firstLine="567"/>
        <w:jc w:val="both"/>
        <w:rPr>
          <w:rFonts w:ascii="Calibri" w:hAnsi="Calibri" w:cs="Arial"/>
          <w:lang w:val="en-US"/>
        </w:rPr>
      </w:pPr>
      <w:r w:rsidRPr="008064C9">
        <w:rPr>
          <w:rFonts w:ascii="Calibri" w:hAnsi="Calibri" w:cs="Arial"/>
          <w:lang w:val="en-US"/>
        </w:rPr>
        <w:t xml:space="preserve">I am committed to ensure continuous improvement of the system of internal control. However, even effective internal control, no matter how well designed, has inherent limitations </w:t>
      </w:r>
      <w:r w:rsidRPr="008064C9">
        <w:rPr>
          <w:rFonts w:ascii="Calibri" w:hAnsi="Calibri" w:cs="Arial"/>
          <w:vertAlign w:val="superscript"/>
          <w:lang w:val="en-US"/>
        </w:rPr>
        <w:t xml:space="preserve">__ </w:t>
      </w:r>
      <w:r w:rsidRPr="008064C9">
        <w:rPr>
          <w:rFonts w:ascii="Calibri" w:hAnsi="Calibri" w:cs="Arial"/>
          <w:lang w:val="en-US"/>
        </w:rPr>
        <w:t xml:space="preserve">including the possibility of circumvention </w:t>
      </w:r>
      <w:r w:rsidRPr="008064C9">
        <w:rPr>
          <w:rFonts w:ascii="Calibri" w:hAnsi="Calibri" w:cs="Arial"/>
          <w:vertAlign w:val="superscript"/>
          <w:lang w:val="en-US"/>
        </w:rPr>
        <w:t xml:space="preserve">__ </w:t>
      </w:r>
      <w:r w:rsidRPr="008064C9">
        <w:rPr>
          <w:rFonts w:ascii="Calibri" w:hAnsi="Calibri" w:cs="Arial"/>
          <w:lang w:val="en-US"/>
        </w:rPr>
        <w:t>and therefore can provide only reasonable but not absolute assurance.  Furthermore, because of changes of conditions, the effectiveness of internal control may vary over time.</w:t>
      </w:r>
    </w:p>
    <w:p w:rsidR="008064C9" w:rsidRPr="008064C9" w:rsidRDefault="008064C9" w:rsidP="003E04EB">
      <w:pPr>
        <w:pStyle w:val="BodyTextIndent"/>
        <w:tabs>
          <w:tab w:val="clear" w:pos="1134"/>
          <w:tab w:val="left" w:pos="567"/>
        </w:tabs>
        <w:snapToGrid w:val="0"/>
        <w:spacing w:before="0" w:line="240" w:lineRule="auto"/>
        <w:ind w:left="0" w:firstLine="0"/>
        <w:jc w:val="both"/>
        <w:rPr>
          <w:rFonts w:ascii="Calibri" w:hAnsi="Calibri" w:cs="Arial"/>
          <w:lang w:val="en-US"/>
        </w:rPr>
      </w:pPr>
    </w:p>
    <w:p w:rsidR="008064C9" w:rsidRPr="008064C9" w:rsidRDefault="008064C9" w:rsidP="00845FE2">
      <w:pPr>
        <w:pStyle w:val="BodyTextIndent"/>
        <w:tabs>
          <w:tab w:val="clear" w:pos="1134"/>
          <w:tab w:val="left" w:pos="567"/>
        </w:tabs>
        <w:snapToGrid w:val="0"/>
        <w:spacing w:before="0" w:line="240" w:lineRule="auto"/>
        <w:ind w:left="0" w:firstLine="567"/>
        <w:jc w:val="both"/>
        <w:rPr>
          <w:rFonts w:ascii="Calibri" w:hAnsi="Calibri" w:cs="Arial"/>
          <w:lang w:val="en-US"/>
        </w:rPr>
      </w:pPr>
      <w:r w:rsidRPr="008064C9">
        <w:rPr>
          <w:rFonts w:ascii="Calibri" w:hAnsi="Calibri" w:cs="Arial"/>
          <w:lang w:val="en-US"/>
        </w:rPr>
        <w:t xml:space="preserve">Management seeks to address any weaknesses encountered in internal controls during the normal course of ITU operations or identified in oversight observations. This is primarily ensured by the process in place to follow up the </w:t>
      </w:r>
      <w:r w:rsidRPr="00CA2EE3">
        <w:rPr>
          <w:rFonts w:ascii="Calibri" w:hAnsi="Calibri" w:cs="Arial"/>
          <w:lang w:val="en-US"/>
        </w:rPr>
        <w:t>implementation of oversight recommendations during the past year.</w:t>
      </w:r>
      <w:r w:rsidRPr="008064C9">
        <w:rPr>
          <w:rFonts w:ascii="Calibri" w:hAnsi="Calibri" w:cs="Arial"/>
          <w:lang w:val="en-US"/>
        </w:rPr>
        <w:t xml:space="preserve"> </w:t>
      </w:r>
      <w:r w:rsidRPr="00CA2EE3">
        <w:rPr>
          <w:rFonts w:ascii="Calibri" w:hAnsi="Calibri" w:cs="Arial"/>
          <w:lang w:val="en-US"/>
        </w:rPr>
        <w:t>Based on the above</w:t>
      </w:r>
      <w:r w:rsidRPr="008064C9">
        <w:rPr>
          <w:rFonts w:ascii="Calibri" w:hAnsi="Calibri" w:cs="Arial"/>
          <w:lang w:val="en-US"/>
        </w:rPr>
        <w:t>, I conclude that the Union had an effective system of internal control for the year ended 31 December 2018, and up to the date of the approval of the financial statements.</w:t>
      </w:r>
    </w:p>
    <w:p w:rsidR="00BF252A" w:rsidRPr="008064C9" w:rsidRDefault="008064C9" w:rsidP="008064C9">
      <w:pPr>
        <w:snapToGrid w:val="0"/>
        <w:spacing w:before="960"/>
        <w:jc w:val="right"/>
        <w:rPr>
          <w:szCs w:val="24"/>
          <w:lang w:val="en-US"/>
        </w:rPr>
      </w:pPr>
      <w:r>
        <w:rPr>
          <w:noProof/>
          <w:lang w:eastAsia="zh-CN"/>
        </w:rPr>
        <w:drawing>
          <wp:inline distT="0" distB="0" distL="0" distR="0" wp14:anchorId="6A2910E0" wp14:editId="44794421">
            <wp:extent cx="2605385" cy="1317568"/>
            <wp:effectExtent l="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662751" cy="1346579"/>
                    </a:xfrm>
                    <a:prstGeom prst="rect">
                      <a:avLst/>
                    </a:prstGeom>
                  </pic:spPr>
                </pic:pic>
              </a:graphicData>
            </a:graphic>
          </wp:inline>
        </w:drawing>
      </w:r>
    </w:p>
    <w:p w:rsidR="00BF252A" w:rsidRDefault="00BF252A" w:rsidP="008064C9">
      <w:pPr>
        <w:tabs>
          <w:tab w:val="clear" w:pos="567"/>
          <w:tab w:val="clear" w:pos="1134"/>
          <w:tab w:val="clear" w:pos="1701"/>
          <w:tab w:val="clear" w:pos="2268"/>
          <w:tab w:val="clear" w:pos="2835"/>
          <w:tab w:val="left" w:pos="6237"/>
        </w:tabs>
        <w:snapToGrid w:val="0"/>
        <w:spacing w:before="0"/>
        <w:rPr>
          <w:szCs w:val="24"/>
        </w:rPr>
      </w:pPr>
      <w:r>
        <w:rPr>
          <w:szCs w:val="24"/>
        </w:rPr>
        <w:tab/>
      </w:r>
    </w:p>
    <w:p w:rsidR="00BF252A" w:rsidRDefault="00BF252A" w:rsidP="00BF252A">
      <w:pPr>
        <w:snapToGrid w:val="0"/>
        <w:spacing w:before="0"/>
        <w:rPr>
          <w:szCs w:val="24"/>
        </w:rPr>
      </w:pPr>
    </w:p>
    <w:p w:rsidR="008306E0" w:rsidRDefault="00C70441" w:rsidP="008064C9">
      <w:pPr>
        <w:tabs>
          <w:tab w:val="clear" w:pos="567"/>
          <w:tab w:val="clear" w:pos="1134"/>
          <w:tab w:val="clear" w:pos="1701"/>
          <w:tab w:val="clear" w:pos="2268"/>
          <w:tab w:val="clear" w:pos="2835"/>
          <w:tab w:val="left" w:pos="6521"/>
        </w:tabs>
        <w:snapToGrid w:val="0"/>
        <w:spacing w:before="0"/>
        <w:rPr>
          <w:szCs w:val="24"/>
        </w:rPr>
      </w:pPr>
      <w:r>
        <w:rPr>
          <w:szCs w:val="24"/>
        </w:rPr>
        <w:tab/>
      </w:r>
      <w:r w:rsidR="00BF252A">
        <w:rPr>
          <w:szCs w:val="24"/>
        </w:rPr>
        <w:t>Geneva, 2</w:t>
      </w:r>
      <w:r w:rsidR="008064C9">
        <w:rPr>
          <w:szCs w:val="24"/>
        </w:rPr>
        <w:t>7</w:t>
      </w:r>
      <w:r w:rsidR="00BF252A">
        <w:rPr>
          <w:szCs w:val="24"/>
        </w:rPr>
        <w:t xml:space="preserve"> March 201</w:t>
      </w:r>
      <w:r w:rsidR="008064C9">
        <w:rPr>
          <w:szCs w:val="24"/>
        </w:rPr>
        <w:t>9</w:t>
      </w:r>
    </w:p>
    <w:p w:rsidR="00462279" w:rsidRDefault="00CD7201" w:rsidP="004F0546">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4F0546" w:rsidRDefault="004F0546" w:rsidP="004133DB">
      <w:pPr>
        <w:tabs>
          <w:tab w:val="left" w:pos="284"/>
          <w:tab w:val="right" w:pos="5670"/>
          <w:tab w:val="right" w:pos="7655"/>
          <w:tab w:val="left" w:pos="8789"/>
        </w:tabs>
        <w:spacing w:before="2640"/>
        <w:jc w:val="center"/>
        <w:rPr>
          <w:rFonts w:asciiTheme="minorHAnsi" w:hAnsiTheme="minorHAnsi"/>
          <w:b/>
          <w:sz w:val="28"/>
          <w:szCs w:val="28"/>
          <w:lang w:val="en-US"/>
        </w:rPr>
      </w:pPr>
    </w:p>
    <w:p w:rsidR="00462279" w:rsidRPr="006D694B" w:rsidRDefault="00462279" w:rsidP="004133DB">
      <w:pPr>
        <w:tabs>
          <w:tab w:val="left" w:pos="284"/>
          <w:tab w:val="right" w:pos="5670"/>
          <w:tab w:val="right" w:pos="7655"/>
          <w:tab w:val="left" w:pos="8789"/>
        </w:tabs>
        <w:spacing w:before="2640"/>
        <w:jc w:val="center"/>
        <w:rPr>
          <w:rFonts w:asciiTheme="minorHAnsi" w:hAnsiTheme="minorHAnsi"/>
          <w:sz w:val="28"/>
          <w:szCs w:val="28"/>
          <w:lang w:val="en-US"/>
        </w:rPr>
      </w:pPr>
      <w:r w:rsidRPr="00314AB3">
        <w:rPr>
          <w:rFonts w:asciiTheme="minorHAnsi" w:hAnsiTheme="minorHAnsi"/>
          <w:b/>
          <w:sz w:val="28"/>
          <w:szCs w:val="28"/>
          <w:lang w:val="en-US"/>
        </w:rPr>
        <w:t>Certification of the financial statements for the year ended 31 December 201</w:t>
      </w:r>
      <w:r w:rsidR="004133DB">
        <w:rPr>
          <w:rFonts w:asciiTheme="minorHAnsi" w:hAnsiTheme="minorHAnsi"/>
          <w:b/>
          <w:sz w:val="28"/>
          <w:szCs w:val="28"/>
          <w:lang w:val="en-US"/>
        </w:rPr>
        <w:t>8</w:t>
      </w:r>
    </w:p>
    <w:p w:rsidR="00462279" w:rsidRDefault="00462279" w:rsidP="00C70441">
      <w:pPr>
        <w:tabs>
          <w:tab w:val="left" w:pos="284"/>
          <w:tab w:val="right" w:pos="5670"/>
          <w:tab w:val="right" w:pos="7655"/>
          <w:tab w:val="left" w:pos="8789"/>
        </w:tabs>
        <w:spacing w:before="480"/>
        <w:jc w:val="center"/>
        <w:rPr>
          <w:rFonts w:asciiTheme="minorHAnsi" w:hAnsiTheme="minorHAnsi"/>
          <w:b/>
          <w:smallCaps/>
          <w:sz w:val="28"/>
          <w:szCs w:val="28"/>
          <w:lang w:val="en-US"/>
        </w:rPr>
      </w:pPr>
      <w:r w:rsidRPr="006D694B">
        <w:rPr>
          <w:rFonts w:asciiTheme="minorHAnsi" w:hAnsiTheme="minorHAnsi"/>
          <w:b/>
          <w:smallCaps/>
          <w:sz w:val="28"/>
          <w:szCs w:val="28"/>
          <w:lang w:val="en-US"/>
        </w:rPr>
        <w:t>International Telecommunication Union, Geneva</w:t>
      </w:r>
    </w:p>
    <w:p w:rsidR="009130F8" w:rsidRDefault="009130F8" w:rsidP="00C70441">
      <w:pPr>
        <w:tabs>
          <w:tab w:val="left" w:pos="284"/>
          <w:tab w:val="right" w:pos="5670"/>
          <w:tab w:val="right" w:pos="7655"/>
          <w:tab w:val="left" w:pos="8789"/>
        </w:tabs>
        <w:spacing w:before="480"/>
        <w:jc w:val="center"/>
        <w:rPr>
          <w:rFonts w:asciiTheme="minorHAnsi" w:hAnsiTheme="minorHAnsi"/>
          <w:b/>
          <w:smallCaps/>
          <w:sz w:val="28"/>
          <w:szCs w:val="28"/>
          <w:lang w:val="en-US"/>
        </w:rPr>
      </w:pPr>
    </w:p>
    <w:p w:rsidR="009130F8" w:rsidRPr="006D694B" w:rsidRDefault="009130F8" w:rsidP="00C70441">
      <w:pPr>
        <w:tabs>
          <w:tab w:val="left" w:pos="284"/>
          <w:tab w:val="right" w:pos="5670"/>
          <w:tab w:val="right" w:pos="7655"/>
          <w:tab w:val="left" w:pos="8789"/>
        </w:tabs>
        <w:spacing w:before="480"/>
        <w:jc w:val="center"/>
        <w:rPr>
          <w:rFonts w:asciiTheme="minorHAnsi" w:hAnsiTheme="minorHAnsi"/>
          <w:b/>
          <w:smallCaps/>
          <w:sz w:val="28"/>
          <w:szCs w:val="28"/>
          <w:lang w:val="en-US"/>
        </w:rPr>
      </w:pPr>
    </w:p>
    <w:p w:rsidR="009130F8" w:rsidRDefault="009130F8" w:rsidP="009130F8">
      <w:pPr>
        <w:tabs>
          <w:tab w:val="left" w:pos="284"/>
          <w:tab w:val="right" w:pos="5670"/>
          <w:tab w:val="right" w:pos="7655"/>
          <w:tab w:val="left" w:pos="8789"/>
        </w:tabs>
        <w:rPr>
          <w:bCs/>
          <w:lang w:val="en-US"/>
        </w:rPr>
      </w:pPr>
      <w:r>
        <w:rPr>
          <w:bCs/>
          <w:lang w:val="en-US"/>
        </w:rPr>
        <w:t>According to Article 30 of the Financial Regulations, the accounts and financial statements for the International Telecommunication Union have been established and mainta</w:t>
      </w:r>
      <w:r w:rsidR="00845FE2">
        <w:rPr>
          <w:bCs/>
          <w:lang w:val="en-US"/>
        </w:rPr>
        <w:t xml:space="preserve">ined in accordance with IPSAS. </w:t>
      </w:r>
      <w:r>
        <w:rPr>
          <w:bCs/>
          <w:lang w:val="en-US"/>
        </w:rPr>
        <w:t>The financial statements for the year ended 31 December 2018, together with the notes to the statements and relevant annexes, have been reviewed and are approved.</w:t>
      </w:r>
    </w:p>
    <w:p w:rsidR="00462279" w:rsidRDefault="00314AB3" w:rsidP="009130F8">
      <w:pPr>
        <w:spacing w:before="720"/>
        <w:rPr>
          <w:lang w:val="en-US"/>
        </w:rPr>
      </w:pPr>
      <w:r w:rsidRPr="00D74906">
        <w:rPr>
          <w:lang w:val="en-US"/>
        </w:rPr>
        <w:t>2</w:t>
      </w:r>
      <w:r w:rsidR="009130F8">
        <w:rPr>
          <w:lang w:val="en-US"/>
        </w:rPr>
        <w:t>7</w:t>
      </w:r>
      <w:r w:rsidR="00462279" w:rsidRPr="00D74906">
        <w:rPr>
          <w:lang w:val="en-US"/>
        </w:rPr>
        <w:t xml:space="preserve"> March 201</w:t>
      </w:r>
      <w:r w:rsidR="00D74906" w:rsidRPr="00D74906">
        <w:rPr>
          <w:lang w:val="en-US"/>
        </w:rPr>
        <w:t>9</w:t>
      </w:r>
    </w:p>
    <w:p w:rsidR="00462279" w:rsidRDefault="00462279" w:rsidP="00462279">
      <w:pPr>
        <w:rPr>
          <w:lang w:val="en-US"/>
        </w:rPr>
      </w:pPr>
    </w:p>
    <w:p w:rsidR="00462279" w:rsidRPr="00B45354" w:rsidRDefault="009130F8" w:rsidP="00462279">
      <w:pPr>
        <w:rPr>
          <w:lang w:val="en-US"/>
        </w:rPr>
      </w:pPr>
      <w:r>
        <w:rPr>
          <w:noProof/>
          <w:lang w:eastAsia="zh-CN"/>
        </w:rPr>
        <w:drawing>
          <wp:inline distT="0" distB="0" distL="0" distR="0" wp14:anchorId="7B378F42" wp14:editId="1D7FDF0C">
            <wp:extent cx="6115685" cy="2010842"/>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18961" cy="2011919"/>
                    </a:xfrm>
                    <a:prstGeom prst="rect">
                      <a:avLst/>
                    </a:prstGeom>
                  </pic:spPr>
                </pic:pic>
              </a:graphicData>
            </a:graphic>
          </wp:inline>
        </w:drawing>
      </w:r>
    </w:p>
    <w:p w:rsidR="00C70441" w:rsidRDefault="00C70441" w:rsidP="009B7296">
      <w:pPr>
        <w:rPr>
          <w:lang w:val="en-US"/>
        </w:rPr>
      </w:pPr>
      <w:r>
        <w:rPr>
          <w:lang w:val="en-US"/>
        </w:rPr>
        <w:br w:type="page"/>
      </w:r>
    </w:p>
    <w:p w:rsidR="00DE0D3E" w:rsidRDefault="00DE0D3E" w:rsidP="007D3035">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cs="Arial"/>
          <w:szCs w:val="24"/>
          <w:lang w:eastAsia="zh-CN"/>
        </w:rPr>
      </w:pPr>
    </w:p>
    <w:p w:rsidR="0022373A" w:rsidRPr="00C23094" w:rsidRDefault="0022373A" w:rsidP="003D31D4">
      <w:pPr>
        <w:pStyle w:val="Heading9"/>
        <w:jc w:val="center"/>
        <w:rPr>
          <w:w w:val="105"/>
          <w:sz w:val="28"/>
          <w:szCs w:val="28"/>
          <w:lang w:val="en-US"/>
        </w:rPr>
      </w:pPr>
      <w:bookmarkStart w:id="14" w:name="_Toc305764055"/>
      <w:bookmarkStart w:id="15" w:name="_Toc357005996"/>
      <w:r w:rsidRPr="00C23094">
        <w:rPr>
          <w:w w:val="105"/>
          <w:sz w:val="28"/>
          <w:szCs w:val="28"/>
          <w:lang w:val="en-US"/>
        </w:rPr>
        <w:t>FINANCIAL STATEMENTS</w:t>
      </w:r>
      <w:bookmarkEnd w:id="14"/>
      <w:bookmarkEnd w:id="15"/>
    </w:p>
    <w:p w:rsidR="0022373A" w:rsidRPr="00C23094" w:rsidRDefault="0022373A" w:rsidP="005D3458">
      <w:pPr>
        <w:keepNext/>
        <w:jc w:val="right"/>
        <w:rPr>
          <w:b/>
          <w:bCs/>
          <w:lang w:val="en-US"/>
        </w:rPr>
      </w:pPr>
      <w:r w:rsidRPr="00C23094">
        <w:rPr>
          <w:b/>
          <w:bCs/>
          <w:lang w:val="en-US"/>
        </w:rPr>
        <w:t>Page</w:t>
      </w:r>
    </w:p>
    <w:p w:rsidR="004E5C92" w:rsidRPr="00EA7E55" w:rsidRDefault="0022373A" w:rsidP="00BD5D98">
      <w:pPr>
        <w:pStyle w:val="TOC1"/>
        <w:spacing w:before="120"/>
        <w:ind w:right="1134"/>
        <w:rPr>
          <w:rStyle w:val="Hyperlink"/>
          <w:noProof/>
          <w:color w:val="auto"/>
          <w:u w:val="none"/>
        </w:rPr>
      </w:pPr>
      <w:r w:rsidRPr="00EA7E55">
        <w:rPr>
          <w:rStyle w:val="Hyperlink"/>
          <w:noProof/>
          <w:u w:val="none"/>
        </w:rPr>
        <w:fldChar w:fldCharType="begin"/>
      </w:r>
      <w:r w:rsidRPr="00EA7E55">
        <w:rPr>
          <w:rStyle w:val="Hyperlink"/>
          <w:noProof/>
          <w:u w:val="none"/>
        </w:rPr>
        <w:instrText xml:space="preserve"> TOC \h \z \t "Heading 5;1;Table_title;1" </w:instrText>
      </w:r>
      <w:r w:rsidRPr="00EA7E55">
        <w:rPr>
          <w:rStyle w:val="Hyperlink"/>
          <w:noProof/>
          <w:u w:val="none"/>
        </w:rPr>
        <w:fldChar w:fldCharType="separate"/>
      </w:r>
      <w:hyperlink w:anchor="_Toc329011603" w:history="1">
        <w:r w:rsidR="004E5C92" w:rsidRPr="00EA7E55">
          <w:rPr>
            <w:rStyle w:val="Hyperlink"/>
            <w:noProof/>
            <w:color w:val="auto"/>
            <w:u w:val="none"/>
            <w:lang w:val="en-US"/>
          </w:rPr>
          <w:t>I</w:t>
        </w:r>
        <w:r w:rsidR="004E5C92" w:rsidRPr="00EA7E55">
          <w:rPr>
            <w:rStyle w:val="Hyperlink"/>
            <w:noProof/>
            <w:color w:val="auto"/>
            <w:u w:val="none"/>
            <w:lang w:val="en-US"/>
          </w:rPr>
          <w:tab/>
          <w:t>Statement of financial position – B</w:t>
        </w:r>
        <w:r w:rsidR="00503C3B" w:rsidRPr="00EA7E55">
          <w:rPr>
            <w:rStyle w:val="Hyperlink"/>
            <w:noProof/>
            <w:color w:val="auto"/>
            <w:u w:val="none"/>
            <w:lang w:val="en-US"/>
          </w:rPr>
          <w:t xml:space="preserve">alance sheet at 31 December </w:t>
        </w:r>
        <w:r w:rsidR="00111BDD" w:rsidRPr="00EA7E55">
          <w:rPr>
            <w:rStyle w:val="Hyperlink"/>
            <w:noProof/>
            <w:color w:val="auto"/>
            <w:u w:val="none"/>
            <w:lang w:val="en-US"/>
          </w:rPr>
          <w:t>201</w:t>
        </w:r>
        <w:r w:rsidR="00BD5D98" w:rsidRPr="00EA7E55">
          <w:rPr>
            <w:rStyle w:val="Hyperlink"/>
            <w:noProof/>
            <w:color w:val="auto"/>
            <w:u w:val="none"/>
            <w:lang w:val="en-US"/>
          </w:rPr>
          <w:t>8</w:t>
        </w:r>
        <w:r w:rsidR="004E5C92" w:rsidRPr="00EA7E55">
          <w:rPr>
            <w:rStyle w:val="Hyperlink"/>
            <w:noProof/>
            <w:color w:val="auto"/>
            <w:u w:val="none"/>
            <w:lang w:val="en-US"/>
          </w:rPr>
          <w:t xml:space="preserve"> with comparativ</w:t>
        </w:r>
        <w:r w:rsidR="00503C3B" w:rsidRPr="00EA7E55">
          <w:rPr>
            <w:rStyle w:val="Hyperlink"/>
            <w:noProof/>
            <w:color w:val="auto"/>
            <w:u w:val="none"/>
            <w:lang w:val="en-US"/>
          </w:rPr>
          <w:t>e figures as at 31 December 201</w:t>
        </w:r>
        <w:r w:rsidR="00BD5D98" w:rsidRPr="00EA7E55">
          <w:rPr>
            <w:rStyle w:val="Hyperlink"/>
            <w:noProof/>
            <w:color w:val="auto"/>
            <w:u w:val="none"/>
            <w:lang w:val="en-US"/>
          </w:rPr>
          <w:t>7</w:t>
        </w:r>
        <w:r w:rsidR="004E5C92" w:rsidRPr="00EA7E55">
          <w:rPr>
            <w:rStyle w:val="Hyperlink"/>
            <w:noProof/>
            <w:webHidden/>
            <w:color w:val="auto"/>
            <w:u w:val="none"/>
            <w:lang w:val="en-US"/>
          </w:rPr>
          <w:tab/>
        </w:r>
        <w:r w:rsidR="004E5C92" w:rsidRPr="00EA7E55">
          <w:rPr>
            <w:rStyle w:val="Hyperlink"/>
            <w:noProof/>
            <w:webHidden/>
            <w:color w:val="auto"/>
            <w:u w:val="none"/>
            <w:lang w:val="en-US"/>
          </w:rPr>
          <w:tab/>
        </w:r>
        <w:r w:rsidR="004E5C92" w:rsidRPr="00EA7E55">
          <w:rPr>
            <w:rStyle w:val="Hyperlink"/>
            <w:noProof/>
            <w:webHidden/>
            <w:color w:val="auto"/>
            <w:u w:val="none"/>
            <w:lang w:val="en-US"/>
          </w:rPr>
          <w:fldChar w:fldCharType="begin"/>
        </w:r>
        <w:r w:rsidR="004E5C92" w:rsidRPr="00EA7E55">
          <w:rPr>
            <w:rStyle w:val="Hyperlink"/>
            <w:noProof/>
            <w:webHidden/>
            <w:color w:val="auto"/>
            <w:u w:val="none"/>
            <w:lang w:val="en-US"/>
          </w:rPr>
          <w:instrText xml:space="preserve"> PAGEREF _Toc329011603 \h </w:instrText>
        </w:r>
        <w:r w:rsidR="004E5C92" w:rsidRPr="00EA7E55">
          <w:rPr>
            <w:rStyle w:val="Hyperlink"/>
            <w:noProof/>
            <w:webHidden/>
            <w:color w:val="auto"/>
            <w:u w:val="none"/>
            <w:lang w:val="en-US"/>
          </w:rPr>
        </w:r>
        <w:r w:rsidR="004E5C92" w:rsidRPr="00EA7E55">
          <w:rPr>
            <w:rStyle w:val="Hyperlink"/>
            <w:noProof/>
            <w:webHidden/>
            <w:color w:val="auto"/>
            <w:u w:val="none"/>
            <w:lang w:val="en-US"/>
          </w:rPr>
          <w:fldChar w:fldCharType="separate"/>
        </w:r>
        <w:r w:rsidR="0032741D">
          <w:rPr>
            <w:rStyle w:val="Hyperlink"/>
            <w:noProof/>
            <w:webHidden/>
            <w:color w:val="auto"/>
            <w:u w:val="none"/>
            <w:lang w:val="en-US"/>
          </w:rPr>
          <w:t>23</w:t>
        </w:r>
        <w:r w:rsidR="004E5C92" w:rsidRPr="00EA7E55">
          <w:rPr>
            <w:rStyle w:val="Hyperlink"/>
            <w:noProof/>
            <w:webHidden/>
            <w:color w:val="auto"/>
            <w:u w:val="none"/>
            <w:lang w:val="en-US"/>
          </w:rPr>
          <w:fldChar w:fldCharType="end"/>
        </w:r>
      </w:hyperlink>
    </w:p>
    <w:p w:rsidR="004E5C92" w:rsidRPr="00EA7E55" w:rsidRDefault="007C640D" w:rsidP="00BD5D98">
      <w:pPr>
        <w:pStyle w:val="TOC1"/>
        <w:spacing w:before="120"/>
        <w:ind w:right="1134"/>
        <w:rPr>
          <w:rStyle w:val="Hyperlink"/>
          <w:noProof/>
          <w:color w:val="auto"/>
          <w:u w:val="none"/>
        </w:rPr>
      </w:pPr>
      <w:hyperlink w:anchor="_Toc329011604" w:history="1">
        <w:r w:rsidR="004E5C92" w:rsidRPr="00EA7E55">
          <w:rPr>
            <w:rStyle w:val="Hyperlink"/>
            <w:noProof/>
            <w:color w:val="auto"/>
            <w:u w:val="none"/>
            <w:lang w:val="en-US"/>
          </w:rPr>
          <w:t>II</w:t>
        </w:r>
        <w:r w:rsidR="004E5C92" w:rsidRPr="00EA7E55">
          <w:rPr>
            <w:rStyle w:val="Hyperlink"/>
            <w:noProof/>
            <w:color w:val="auto"/>
            <w:u w:val="none"/>
            <w:lang w:val="en-US"/>
          </w:rPr>
          <w:tab/>
          <w:t xml:space="preserve">Statement of financial performance for the period </w:t>
        </w:r>
        <w:r w:rsidR="00503C3B" w:rsidRPr="00EA7E55">
          <w:rPr>
            <w:rStyle w:val="Hyperlink"/>
            <w:noProof/>
            <w:color w:val="auto"/>
            <w:u w:val="none"/>
            <w:lang w:val="en-US"/>
          </w:rPr>
          <w:t xml:space="preserve">which closed on 31 December </w:t>
        </w:r>
        <w:r w:rsidR="00111BDD" w:rsidRPr="00EA7E55">
          <w:rPr>
            <w:rStyle w:val="Hyperlink"/>
            <w:noProof/>
            <w:color w:val="auto"/>
            <w:u w:val="none"/>
            <w:lang w:val="en-US"/>
          </w:rPr>
          <w:t>201</w:t>
        </w:r>
        <w:r w:rsidR="00BD5D98" w:rsidRPr="00EA7E55">
          <w:rPr>
            <w:rStyle w:val="Hyperlink"/>
            <w:noProof/>
            <w:color w:val="auto"/>
            <w:u w:val="none"/>
            <w:lang w:val="en-US"/>
          </w:rPr>
          <w:t>8</w:t>
        </w:r>
        <w:r w:rsidR="004E5C92" w:rsidRPr="00EA7E55">
          <w:rPr>
            <w:rStyle w:val="Hyperlink"/>
            <w:noProof/>
            <w:color w:val="auto"/>
            <w:u w:val="none"/>
            <w:lang w:val="en-US"/>
          </w:rPr>
          <w:t xml:space="preserve"> with comparativ</w:t>
        </w:r>
        <w:r w:rsidR="00503C3B" w:rsidRPr="00EA7E55">
          <w:rPr>
            <w:rStyle w:val="Hyperlink"/>
            <w:noProof/>
            <w:color w:val="auto"/>
            <w:u w:val="none"/>
            <w:lang w:val="en-US"/>
          </w:rPr>
          <w:t>e figures as at 31 December 201</w:t>
        </w:r>
        <w:r w:rsidR="00BD5D98" w:rsidRPr="00EA7E55">
          <w:rPr>
            <w:rStyle w:val="Hyperlink"/>
            <w:noProof/>
            <w:color w:val="auto"/>
            <w:u w:val="none"/>
            <w:lang w:val="en-US"/>
          </w:rPr>
          <w:t>7</w:t>
        </w:r>
        <w:r w:rsidR="004E5C92" w:rsidRPr="00EA7E55">
          <w:rPr>
            <w:rStyle w:val="Hyperlink"/>
            <w:noProof/>
            <w:webHidden/>
            <w:color w:val="auto"/>
            <w:u w:val="none"/>
            <w:lang w:val="en-US"/>
          </w:rPr>
          <w:tab/>
        </w:r>
        <w:r w:rsidR="004E5C92" w:rsidRPr="00EA7E55">
          <w:rPr>
            <w:rStyle w:val="Hyperlink"/>
            <w:noProof/>
            <w:webHidden/>
            <w:color w:val="auto"/>
            <w:u w:val="none"/>
            <w:lang w:val="en-US"/>
          </w:rPr>
          <w:tab/>
        </w:r>
        <w:r w:rsidR="0069715C" w:rsidRPr="00EA7E55">
          <w:rPr>
            <w:rStyle w:val="Hyperlink"/>
            <w:noProof/>
            <w:webHidden/>
            <w:color w:val="auto"/>
            <w:u w:val="none"/>
            <w:lang w:val="en-US"/>
          </w:rPr>
          <w:t>2</w:t>
        </w:r>
        <w:r w:rsidR="00877BA7" w:rsidRPr="00EA7E55">
          <w:rPr>
            <w:rStyle w:val="Hyperlink"/>
            <w:noProof/>
            <w:webHidden/>
            <w:color w:val="auto"/>
            <w:u w:val="none"/>
            <w:lang w:val="en-US"/>
          </w:rPr>
          <w:t>4</w:t>
        </w:r>
      </w:hyperlink>
    </w:p>
    <w:p w:rsidR="004E5C92" w:rsidRPr="00EA7E55" w:rsidRDefault="007C640D" w:rsidP="00BD5D98">
      <w:pPr>
        <w:pStyle w:val="TOC1"/>
        <w:spacing w:before="120"/>
        <w:ind w:right="1134"/>
        <w:rPr>
          <w:rStyle w:val="Hyperlink"/>
          <w:noProof/>
          <w:color w:val="auto"/>
          <w:u w:val="none"/>
          <w:lang w:val="en-US"/>
        </w:rPr>
      </w:pPr>
      <w:hyperlink w:anchor="_Toc329011605" w:history="1">
        <w:r w:rsidR="004E5C92" w:rsidRPr="00EA7E55">
          <w:rPr>
            <w:rStyle w:val="Hyperlink"/>
            <w:noProof/>
            <w:color w:val="auto"/>
            <w:u w:val="none"/>
            <w:lang w:val="en-US"/>
          </w:rPr>
          <w:t xml:space="preserve">III </w:t>
        </w:r>
        <w:r w:rsidR="004E5C92" w:rsidRPr="00EA7E55">
          <w:rPr>
            <w:rStyle w:val="Hyperlink"/>
            <w:noProof/>
            <w:color w:val="auto"/>
            <w:u w:val="none"/>
            <w:lang w:val="en-US"/>
          </w:rPr>
          <w:tab/>
          <w:t xml:space="preserve">Statement of changes in net assets for the period </w:t>
        </w:r>
        <w:r w:rsidR="00503C3B" w:rsidRPr="00EA7E55">
          <w:rPr>
            <w:rStyle w:val="Hyperlink"/>
            <w:noProof/>
            <w:color w:val="auto"/>
            <w:u w:val="none"/>
            <w:lang w:val="en-US"/>
          </w:rPr>
          <w:t xml:space="preserve">which closed on 31 December </w:t>
        </w:r>
        <w:r w:rsidR="00111BDD" w:rsidRPr="00EA7E55">
          <w:rPr>
            <w:rStyle w:val="Hyperlink"/>
            <w:noProof/>
            <w:color w:val="auto"/>
            <w:u w:val="none"/>
            <w:lang w:val="en-US"/>
          </w:rPr>
          <w:t>201</w:t>
        </w:r>
        <w:r w:rsidR="00BD5D98" w:rsidRPr="00EA7E55">
          <w:rPr>
            <w:rStyle w:val="Hyperlink"/>
            <w:noProof/>
            <w:color w:val="auto"/>
            <w:u w:val="none"/>
            <w:lang w:val="en-US"/>
          </w:rPr>
          <w:t>8</w:t>
        </w:r>
        <w:r w:rsidR="004E5C92" w:rsidRPr="00EA7E55">
          <w:rPr>
            <w:rStyle w:val="Hyperlink"/>
            <w:noProof/>
            <w:webHidden/>
            <w:color w:val="auto"/>
            <w:u w:val="none"/>
            <w:lang w:val="en-US"/>
          </w:rPr>
          <w:tab/>
        </w:r>
        <w:r w:rsidR="004E5C92" w:rsidRPr="00EA7E55">
          <w:rPr>
            <w:rStyle w:val="Hyperlink"/>
            <w:noProof/>
            <w:webHidden/>
            <w:color w:val="auto"/>
            <w:u w:val="none"/>
            <w:lang w:val="en-US"/>
          </w:rPr>
          <w:tab/>
        </w:r>
        <w:r w:rsidR="0069715C" w:rsidRPr="00EA7E55">
          <w:rPr>
            <w:rStyle w:val="Hyperlink"/>
            <w:noProof/>
            <w:webHidden/>
            <w:color w:val="auto"/>
            <w:u w:val="none"/>
            <w:lang w:val="en-US"/>
          </w:rPr>
          <w:t>2</w:t>
        </w:r>
        <w:r w:rsidR="00877BA7" w:rsidRPr="00EA7E55">
          <w:rPr>
            <w:rStyle w:val="Hyperlink"/>
            <w:noProof/>
            <w:webHidden/>
            <w:color w:val="auto"/>
            <w:u w:val="none"/>
            <w:lang w:val="en-US"/>
          </w:rPr>
          <w:t>5</w:t>
        </w:r>
      </w:hyperlink>
    </w:p>
    <w:p w:rsidR="00667D3F" w:rsidRPr="00EA7E55" w:rsidRDefault="00667D3F" w:rsidP="00BD5D98">
      <w:pPr>
        <w:pStyle w:val="TOC1"/>
        <w:spacing w:before="120"/>
        <w:ind w:right="1134"/>
        <w:rPr>
          <w:rStyle w:val="Hyperlink"/>
          <w:noProof/>
          <w:color w:val="auto"/>
          <w:u w:val="none"/>
        </w:rPr>
      </w:pPr>
      <w:r w:rsidRPr="00EA7E55">
        <w:rPr>
          <w:noProof/>
        </w:rPr>
        <w:t>I</w:t>
      </w:r>
      <w:hyperlink w:anchor="_Toc329011607" w:history="1">
        <w:r w:rsidRPr="00EA7E55">
          <w:rPr>
            <w:rStyle w:val="Hyperlink"/>
            <w:noProof/>
            <w:color w:val="auto"/>
            <w:u w:val="none"/>
            <w:lang w:val="en-US"/>
          </w:rPr>
          <w:t xml:space="preserve">V </w:t>
        </w:r>
        <w:r w:rsidRPr="00EA7E55">
          <w:rPr>
            <w:rStyle w:val="Hyperlink"/>
            <w:noProof/>
            <w:color w:val="auto"/>
            <w:u w:val="none"/>
            <w:lang w:val="en-US"/>
          </w:rPr>
          <w:tab/>
        </w:r>
        <w:r w:rsidR="00E1250A" w:rsidRPr="00EA7E55">
          <w:rPr>
            <w:rStyle w:val="Hyperlink"/>
            <w:noProof/>
            <w:color w:val="auto"/>
            <w:u w:val="none"/>
            <w:lang w:val="en-US"/>
          </w:rPr>
          <w:t xml:space="preserve">Statement </w:t>
        </w:r>
        <w:r w:rsidRPr="00EA7E55">
          <w:rPr>
            <w:rStyle w:val="Hyperlink"/>
            <w:noProof/>
            <w:color w:val="auto"/>
            <w:u w:val="none"/>
            <w:lang w:val="en-US"/>
          </w:rPr>
          <w:t xml:space="preserve">of cash flows for the period closed on 31 December </w:t>
        </w:r>
        <w:r w:rsidR="00111BDD" w:rsidRPr="00EA7E55">
          <w:rPr>
            <w:rStyle w:val="Hyperlink"/>
            <w:noProof/>
            <w:color w:val="auto"/>
            <w:u w:val="none"/>
            <w:lang w:val="en-US"/>
          </w:rPr>
          <w:t>201</w:t>
        </w:r>
        <w:r w:rsidR="00BD5D98" w:rsidRPr="00EA7E55">
          <w:rPr>
            <w:rStyle w:val="Hyperlink"/>
            <w:noProof/>
            <w:color w:val="auto"/>
            <w:u w:val="none"/>
            <w:lang w:val="en-US"/>
          </w:rPr>
          <w:t>8</w:t>
        </w:r>
        <w:r w:rsidRPr="00EA7E55">
          <w:rPr>
            <w:rStyle w:val="Hyperlink"/>
            <w:noProof/>
            <w:webHidden/>
            <w:color w:val="auto"/>
            <w:u w:val="none"/>
            <w:lang w:val="en-US"/>
          </w:rPr>
          <w:tab/>
        </w:r>
        <w:r w:rsidRPr="00EA7E55">
          <w:rPr>
            <w:rStyle w:val="Hyperlink"/>
            <w:noProof/>
            <w:webHidden/>
            <w:color w:val="auto"/>
            <w:u w:val="none"/>
            <w:lang w:val="en-US"/>
          </w:rPr>
          <w:tab/>
        </w:r>
        <w:r w:rsidR="0069715C" w:rsidRPr="00EA7E55">
          <w:rPr>
            <w:rStyle w:val="Hyperlink"/>
            <w:noProof/>
            <w:webHidden/>
            <w:color w:val="auto"/>
            <w:u w:val="none"/>
            <w:lang w:val="en-US"/>
          </w:rPr>
          <w:t>2</w:t>
        </w:r>
        <w:r w:rsidR="00877BA7" w:rsidRPr="00EA7E55">
          <w:rPr>
            <w:rStyle w:val="Hyperlink"/>
            <w:noProof/>
            <w:webHidden/>
            <w:color w:val="auto"/>
            <w:u w:val="none"/>
            <w:lang w:val="en-US"/>
          </w:rPr>
          <w:t>6</w:t>
        </w:r>
      </w:hyperlink>
    </w:p>
    <w:p w:rsidR="004E5C92" w:rsidRPr="00EA7E55" w:rsidRDefault="007C640D" w:rsidP="00BD5D98">
      <w:pPr>
        <w:pStyle w:val="TOC1"/>
        <w:spacing w:before="120"/>
        <w:ind w:right="1134"/>
        <w:rPr>
          <w:rStyle w:val="Hyperlink"/>
          <w:noProof/>
          <w:color w:val="auto"/>
          <w:u w:val="none"/>
        </w:rPr>
      </w:pPr>
      <w:hyperlink w:anchor="_Toc329011606" w:history="1">
        <w:r w:rsidR="004E5C92" w:rsidRPr="00EA7E55">
          <w:rPr>
            <w:rStyle w:val="Hyperlink"/>
            <w:noProof/>
            <w:color w:val="auto"/>
            <w:u w:val="none"/>
            <w:lang w:val="en-US"/>
          </w:rPr>
          <w:t xml:space="preserve">V </w:t>
        </w:r>
        <w:r w:rsidR="004E5C92" w:rsidRPr="00EA7E55">
          <w:rPr>
            <w:rStyle w:val="Hyperlink"/>
            <w:noProof/>
            <w:color w:val="auto"/>
            <w:u w:val="none"/>
            <w:lang w:val="en-US"/>
          </w:rPr>
          <w:tab/>
        </w:r>
        <w:r w:rsidR="00E1250A" w:rsidRPr="00EA7E55">
          <w:rPr>
            <w:rStyle w:val="Hyperlink"/>
            <w:noProof/>
            <w:color w:val="auto"/>
            <w:u w:val="none"/>
            <w:lang w:val="en-US"/>
          </w:rPr>
          <w:t>Statement of c</w:t>
        </w:r>
        <w:r w:rsidR="004E5C92" w:rsidRPr="00EA7E55">
          <w:rPr>
            <w:rStyle w:val="Hyperlink"/>
            <w:noProof/>
            <w:color w:val="auto"/>
            <w:u w:val="none"/>
            <w:lang w:val="en-US"/>
          </w:rPr>
          <w:t>omparison of budgeted amounts</w:t>
        </w:r>
        <w:r w:rsidR="00503C3B" w:rsidRPr="00EA7E55">
          <w:rPr>
            <w:rStyle w:val="Hyperlink"/>
            <w:noProof/>
            <w:color w:val="auto"/>
            <w:u w:val="none"/>
            <w:lang w:val="en-US"/>
          </w:rPr>
          <w:t xml:space="preserve"> and actual amounts for the </w:t>
        </w:r>
        <w:r w:rsidR="00111BDD" w:rsidRPr="00EA7E55">
          <w:rPr>
            <w:rStyle w:val="Hyperlink"/>
            <w:noProof/>
            <w:color w:val="auto"/>
            <w:u w:val="none"/>
            <w:lang w:val="en-US"/>
          </w:rPr>
          <w:t>201</w:t>
        </w:r>
        <w:r w:rsidR="00BD5D98" w:rsidRPr="00EA7E55">
          <w:rPr>
            <w:rStyle w:val="Hyperlink"/>
            <w:noProof/>
            <w:color w:val="auto"/>
            <w:u w:val="none"/>
            <w:lang w:val="en-US"/>
          </w:rPr>
          <w:t>8</w:t>
        </w:r>
        <w:r w:rsidR="004E5C92" w:rsidRPr="00EA7E55">
          <w:rPr>
            <w:rStyle w:val="Hyperlink"/>
            <w:noProof/>
            <w:color w:val="auto"/>
            <w:u w:val="none"/>
            <w:lang w:val="en-US"/>
          </w:rPr>
          <w:t xml:space="preserve"> financial period</w:t>
        </w:r>
        <w:r w:rsidR="004E5C92" w:rsidRPr="00EA7E55">
          <w:rPr>
            <w:rStyle w:val="Hyperlink"/>
            <w:noProof/>
            <w:webHidden/>
            <w:color w:val="auto"/>
            <w:u w:val="none"/>
            <w:lang w:val="en-US"/>
          </w:rPr>
          <w:tab/>
        </w:r>
        <w:r w:rsidR="004E5C92" w:rsidRPr="00EA7E55">
          <w:rPr>
            <w:rStyle w:val="Hyperlink"/>
            <w:noProof/>
            <w:webHidden/>
            <w:color w:val="auto"/>
            <w:u w:val="none"/>
            <w:lang w:val="en-US"/>
          </w:rPr>
          <w:tab/>
        </w:r>
        <w:r w:rsidR="0069715C" w:rsidRPr="00EA7E55">
          <w:rPr>
            <w:rStyle w:val="Hyperlink"/>
            <w:noProof/>
            <w:webHidden/>
            <w:color w:val="auto"/>
            <w:u w:val="none"/>
            <w:lang w:val="en-US"/>
          </w:rPr>
          <w:t>2</w:t>
        </w:r>
        <w:r w:rsidR="00877BA7" w:rsidRPr="00EA7E55">
          <w:rPr>
            <w:rStyle w:val="Hyperlink"/>
            <w:noProof/>
            <w:webHidden/>
            <w:color w:val="auto"/>
            <w:u w:val="none"/>
            <w:lang w:val="en-US"/>
          </w:rPr>
          <w:t>7</w:t>
        </w:r>
      </w:hyperlink>
    </w:p>
    <w:p w:rsidR="004E5C92" w:rsidRPr="00EA7E55" w:rsidRDefault="007C640D" w:rsidP="00877BA7">
      <w:pPr>
        <w:pStyle w:val="TOC1"/>
        <w:spacing w:before="120"/>
        <w:ind w:right="1134"/>
        <w:rPr>
          <w:rStyle w:val="Hyperlink"/>
          <w:noProof/>
          <w:color w:val="auto"/>
          <w:u w:val="none"/>
        </w:rPr>
      </w:pPr>
      <w:hyperlink w:anchor="_Toc329011608" w:history="1">
        <w:r w:rsidR="004E5C92" w:rsidRPr="00EA7E55">
          <w:rPr>
            <w:rStyle w:val="Hyperlink"/>
            <w:noProof/>
            <w:color w:val="auto"/>
            <w:u w:val="none"/>
            <w:lang w:val="en-US"/>
          </w:rPr>
          <w:t>Notes to the financial statements</w:t>
        </w:r>
        <w:r w:rsidR="004E5C92" w:rsidRPr="00EA7E55">
          <w:rPr>
            <w:rStyle w:val="Hyperlink"/>
            <w:noProof/>
            <w:webHidden/>
            <w:color w:val="auto"/>
            <w:u w:val="none"/>
            <w:lang w:val="en-US"/>
          </w:rPr>
          <w:tab/>
        </w:r>
        <w:r w:rsidR="004E5C92" w:rsidRPr="00EA7E55">
          <w:rPr>
            <w:rStyle w:val="Hyperlink"/>
            <w:noProof/>
            <w:webHidden/>
            <w:color w:val="auto"/>
            <w:u w:val="none"/>
            <w:lang w:val="en-US"/>
          </w:rPr>
          <w:tab/>
        </w:r>
        <w:r w:rsidR="00920FD8" w:rsidRPr="00EA7E55">
          <w:rPr>
            <w:rStyle w:val="Hyperlink"/>
            <w:noProof/>
            <w:webHidden/>
            <w:color w:val="auto"/>
            <w:u w:val="none"/>
            <w:lang w:val="en-US"/>
          </w:rPr>
          <w:t>2</w:t>
        </w:r>
        <w:r w:rsidR="00877BA7" w:rsidRPr="00EA7E55">
          <w:rPr>
            <w:rStyle w:val="Hyperlink"/>
            <w:noProof/>
            <w:webHidden/>
            <w:color w:val="auto"/>
            <w:u w:val="none"/>
            <w:lang w:val="en-US"/>
          </w:rPr>
          <w:t>8</w:t>
        </w:r>
      </w:hyperlink>
    </w:p>
    <w:p w:rsidR="004E5C92" w:rsidRPr="00EA7E55" w:rsidRDefault="007C640D" w:rsidP="002F117B">
      <w:pPr>
        <w:pStyle w:val="TOC1"/>
        <w:spacing w:before="120"/>
        <w:ind w:right="1134"/>
        <w:rPr>
          <w:rStyle w:val="Hyperlink"/>
          <w:noProof/>
          <w:color w:val="auto"/>
          <w:u w:val="none"/>
        </w:rPr>
      </w:pPr>
      <w:hyperlink w:anchor="_Toc329011609" w:history="1">
        <w:r w:rsidR="004E5C92" w:rsidRPr="00EA7E55">
          <w:rPr>
            <w:rStyle w:val="Hyperlink"/>
            <w:noProof/>
            <w:color w:val="auto"/>
            <w:u w:val="none"/>
            <w:lang w:val="en-US"/>
          </w:rPr>
          <w:t>Note 1</w:t>
        </w:r>
        <w:r w:rsidR="004E5C92" w:rsidRPr="00EA7E55">
          <w:rPr>
            <w:rStyle w:val="Hyperlink"/>
            <w:noProof/>
            <w:color w:val="auto"/>
            <w:u w:val="none"/>
          </w:rPr>
          <w:tab/>
        </w:r>
        <w:r w:rsidR="007177F2" w:rsidRPr="00EA7E55">
          <w:rPr>
            <w:rStyle w:val="Hyperlink"/>
            <w:noProof/>
            <w:color w:val="auto"/>
            <w:u w:val="none"/>
          </w:rPr>
          <w:t>Objectives of the Union</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4E5C92" w:rsidRPr="00EA7E55">
          <w:rPr>
            <w:rStyle w:val="Hyperlink"/>
            <w:noProof/>
            <w:webHidden/>
            <w:color w:val="auto"/>
            <w:u w:val="none"/>
            <w:lang w:val="en-US"/>
          </w:rPr>
          <w:fldChar w:fldCharType="begin"/>
        </w:r>
        <w:r w:rsidR="004E5C92" w:rsidRPr="00EA7E55">
          <w:rPr>
            <w:rStyle w:val="Hyperlink"/>
            <w:noProof/>
            <w:webHidden/>
            <w:color w:val="auto"/>
            <w:u w:val="none"/>
            <w:lang w:val="en-US"/>
          </w:rPr>
          <w:instrText xml:space="preserve"> PAGEREF _Toc329011609 \h </w:instrText>
        </w:r>
        <w:r w:rsidR="004E5C92" w:rsidRPr="00EA7E55">
          <w:rPr>
            <w:rStyle w:val="Hyperlink"/>
            <w:noProof/>
            <w:webHidden/>
            <w:color w:val="auto"/>
            <w:u w:val="none"/>
            <w:lang w:val="en-US"/>
          </w:rPr>
        </w:r>
        <w:r w:rsidR="004E5C92" w:rsidRPr="00EA7E55">
          <w:rPr>
            <w:rStyle w:val="Hyperlink"/>
            <w:noProof/>
            <w:webHidden/>
            <w:color w:val="auto"/>
            <w:u w:val="none"/>
            <w:lang w:val="en-US"/>
          </w:rPr>
          <w:fldChar w:fldCharType="separate"/>
        </w:r>
        <w:r w:rsidR="0032741D">
          <w:rPr>
            <w:rStyle w:val="Hyperlink"/>
            <w:noProof/>
            <w:webHidden/>
            <w:color w:val="auto"/>
            <w:u w:val="none"/>
            <w:lang w:val="en-US"/>
          </w:rPr>
          <w:t>28</w:t>
        </w:r>
        <w:r w:rsidR="004E5C92" w:rsidRPr="00EA7E55">
          <w:rPr>
            <w:rStyle w:val="Hyperlink"/>
            <w:noProof/>
            <w:webHidden/>
            <w:color w:val="auto"/>
            <w:u w:val="none"/>
            <w:lang w:val="en-US"/>
          </w:rPr>
          <w:fldChar w:fldCharType="end"/>
        </w:r>
      </w:hyperlink>
    </w:p>
    <w:p w:rsidR="004E5C92" w:rsidRPr="00EA7E55" w:rsidRDefault="007C640D" w:rsidP="002F117B">
      <w:pPr>
        <w:pStyle w:val="TOC1"/>
        <w:spacing w:before="120"/>
        <w:ind w:right="1134"/>
        <w:rPr>
          <w:rStyle w:val="Hyperlink"/>
          <w:noProof/>
          <w:color w:val="auto"/>
          <w:u w:val="none"/>
        </w:rPr>
      </w:pPr>
      <w:hyperlink w:anchor="_Toc329011611" w:history="1">
        <w:r w:rsidR="004E5C92" w:rsidRPr="00EA7E55">
          <w:rPr>
            <w:rStyle w:val="Hyperlink"/>
            <w:noProof/>
            <w:color w:val="auto"/>
            <w:u w:val="none"/>
            <w:lang w:val="en-US"/>
          </w:rPr>
          <w:t xml:space="preserve">Note </w:t>
        </w:r>
        <w:r w:rsidR="00E35C0B" w:rsidRPr="00EA7E55">
          <w:rPr>
            <w:rStyle w:val="Hyperlink"/>
            <w:noProof/>
            <w:color w:val="auto"/>
            <w:u w:val="none"/>
            <w:lang w:val="en-US"/>
          </w:rPr>
          <w:t>2</w:t>
        </w:r>
        <w:r w:rsidR="004E5C92" w:rsidRPr="00EA7E55">
          <w:rPr>
            <w:rStyle w:val="Hyperlink"/>
            <w:noProof/>
            <w:color w:val="auto"/>
            <w:u w:val="none"/>
          </w:rPr>
          <w:tab/>
        </w:r>
        <w:r w:rsidR="004E5C92" w:rsidRPr="00EA7E55">
          <w:rPr>
            <w:rStyle w:val="Hyperlink"/>
            <w:noProof/>
            <w:color w:val="auto"/>
            <w:u w:val="none"/>
            <w:lang w:val="en-US"/>
          </w:rPr>
          <w:t>Main accounting principles</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4E5C92" w:rsidRPr="00EA7E55">
          <w:rPr>
            <w:rStyle w:val="Hyperlink"/>
            <w:noProof/>
            <w:webHidden/>
            <w:color w:val="auto"/>
            <w:u w:val="none"/>
            <w:lang w:val="en-US"/>
          </w:rPr>
          <w:fldChar w:fldCharType="begin"/>
        </w:r>
        <w:r w:rsidR="004E5C92" w:rsidRPr="00EA7E55">
          <w:rPr>
            <w:rStyle w:val="Hyperlink"/>
            <w:noProof/>
            <w:webHidden/>
            <w:color w:val="auto"/>
            <w:u w:val="none"/>
            <w:lang w:val="en-US"/>
          </w:rPr>
          <w:instrText xml:space="preserve"> PAGEREF _Toc329011611 \h </w:instrText>
        </w:r>
        <w:r w:rsidR="004E5C92" w:rsidRPr="00EA7E55">
          <w:rPr>
            <w:rStyle w:val="Hyperlink"/>
            <w:noProof/>
            <w:webHidden/>
            <w:color w:val="auto"/>
            <w:u w:val="none"/>
            <w:lang w:val="en-US"/>
          </w:rPr>
        </w:r>
        <w:r w:rsidR="004E5C92" w:rsidRPr="00EA7E55">
          <w:rPr>
            <w:rStyle w:val="Hyperlink"/>
            <w:noProof/>
            <w:webHidden/>
            <w:color w:val="auto"/>
            <w:u w:val="none"/>
            <w:lang w:val="en-US"/>
          </w:rPr>
          <w:fldChar w:fldCharType="separate"/>
        </w:r>
        <w:r w:rsidR="0032741D">
          <w:rPr>
            <w:rStyle w:val="Hyperlink"/>
            <w:noProof/>
            <w:webHidden/>
            <w:color w:val="auto"/>
            <w:u w:val="none"/>
            <w:lang w:val="en-US"/>
          </w:rPr>
          <w:t>29</w:t>
        </w:r>
        <w:r w:rsidR="004E5C92" w:rsidRPr="00EA7E55">
          <w:rPr>
            <w:rStyle w:val="Hyperlink"/>
            <w:noProof/>
            <w:webHidden/>
            <w:color w:val="auto"/>
            <w:u w:val="none"/>
            <w:lang w:val="en-US"/>
          </w:rPr>
          <w:fldChar w:fldCharType="end"/>
        </w:r>
      </w:hyperlink>
    </w:p>
    <w:p w:rsidR="004E5C92" w:rsidRPr="00EA7E55" w:rsidRDefault="002F2FD0" w:rsidP="0069715C">
      <w:pPr>
        <w:pStyle w:val="TOC1"/>
        <w:spacing w:before="120"/>
        <w:ind w:right="1134"/>
        <w:rPr>
          <w:rStyle w:val="Hyperlink"/>
          <w:noProof/>
          <w:color w:val="auto"/>
          <w:u w:val="none"/>
        </w:rPr>
      </w:pPr>
      <w:r w:rsidRPr="00EA7E55">
        <w:rPr>
          <w:noProof/>
        </w:rPr>
        <w:tab/>
      </w:r>
      <w:hyperlink w:anchor="_Toc329011612" w:history="1">
        <w:r w:rsidR="004E5C92" w:rsidRPr="00EA7E55">
          <w:rPr>
            <w:rStyle w:val="Hyperlink"/>
            <w:noProof/>
            <w:color w:val="auto"/>
            <w:u w:val="none"/>
            <w:lang w:val="en-US"/>
          </w:rPr>
          <w:t>Foreign currencies</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4E5C92" w:rsidRPr="00EA7E55">
          <w:rPr>
            <w:rStyle w:val="Hyperlink"/>
            <w:noProof/>
            <w:webHidden/>
            <w:color w:val="auto"/>
            <w:u w:val="none"/>
            <w:lang w:val="en-US"/>
          </w:rPr>
          <w:fldChar w:fldCharType="begin"/>
        </w:r>
        <w:r w:rsidR="004E5C92" w:rsidRPr="00EA7E55">
          <w:rPr>
            <w:rStyle w:val="Hyperlink"/>
            <w:noProof/>
            <w:webHidden/>
            <w:color w:val="auto"/>
            <w:u w:val="none"/>
            <w:lang w:val="en-US"/>
          </w:rPr>
          <w:instrText xml:space="preserve"> PAGEREF _Toc329011612 \h </w:instrText>
        </w:r>
        <w:r w:rsidR="004E5C92" w:rsidRPr="00EA7E55">
          <w:rPr>
            <w:rStyle w:val="Hyperlink"/>
            <w:noProof/>
            <w:webHidden/>
            <w:color w:val="auto"/>
            <w:u w:val="none"/>
            <w:lang w:val="en-US"/>
          </w:rPr>
        </w:r>
        <w:r w:rsidR="004E5C92" w:rsidRPr="00EA7E55">
          <w:rPr>
            <w:rStyle w:val="Hyperlink"/>
            <w:noProof/>
            <w:webHidden/>
            <w:color w:val="auto"/>
            <w:u w:val="none"/>
            <w:lang w:val="en-US"/>
          </w:rPr>
          <w:fldChar w:fldCharType="separate"/>
        </w:r>
        <w:r w:rsidR="0032741D">
          <w:rPr>
            <w:rStyle w:val="Hyperlink"/>
            <w:noProof/>
            <w:webHidden/>
            <w:color w:val="auto"/>
            <w:u w:val="none"/>
            <w:lang w:val="en-US"/>
          </w:rPr>
          <w:t>29</w:t>
        </w:r>
        <w:r w:rsidR="004E5C92" w:rsidRPr="00EA7E55">
          <w:rPr>
            <w:rStyle w:val="Hyperlink"/>
            <w:noProof/>
            <w:webHidden/>
            <w:color w:val="auto"/>
            <w:u w:val="none"/>
            <w:lang w:val="en-US"/>
          </w:rPr>
          <w:fldChar w:fldCharType="end"/>
        </w:r>
      </w:hyperlink>
    </w:p>
    <w:p w:rsidR="004E5C92" w:rsidRPr="00EA7E55" w:rsidRDefault="007C640D" w:rsidP="0069715C">
      <w:pPr>
        <w:pStyle w:val="TOC1"/>
        <w:spacing w:before="60"/>
        <w:ind w:right="1134" w:firstLine="2"/>
        <w:rPr>
          <w:rStyle w:val="Hyperlink"/>
          <w:noProof/>
          <w:color w:val="auto"/>
          <w:u w:val="none"/>
        </w:rPr>
      </w:pPr>
      <w:hyperlink w:anchor="_Toc329011613" w:history="1">
        <w:r w:rsidR="004E5C92" w:rsidRPr="00EA7E55">
          <w:rPr>
            <w:rStyle w:val="Hyperlink"/>
            <w:noProof/>
            <w:color w:val="auto"/>
            <w:u w:val="none"/>
            <w:lang w:val="en-US"/>
          </w:rPr>
          <w:t xml:space="preserve">Financial </w:t>
        </w:r>
        <w:r w:rsidR="004E5360" w:rsidRPr="00EA7E55">
          <w:rPr>
            <w:rStyle w:val="Hyperlink"/>
            <w:noProof/>
            <w:color w:val="auto"/>
            <w:u w:val="none"/>
            <w:lang w:val="en-US"/>
          </w:rPr>
          <w:t>instruments</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4E5C92" w:rsidRPr="00EA7E55">
          <w:rPr>
            <w:rStyle w:val="Hyperlink"/>
            <w:noProof/>
            <w:webHidden/>
            <w:color w:val="auto"/>
            <w:u w:val="none"/>
            <w:lang w:val="en-US"/>
          </w:rPr>
          <w:fldChar w:fldCharType="begin"/>
        </w:r>
        <w:r w:rsidR="004E5C92" w:rsidRPr="00EA7E55">
          <w:rPr>
            <w:rStyle w:val="Hyperlink"/>
            <w:noProof/>
            <w:webHidden/>
            <w:color w:val="auto"/>
            <w:u w:val="none"/>
            <w:lang w:val="en-US"/>
          </w:rPr>
          <w:instrText xml:space="preserve"> PAGEREF _Toc329011613 \h </w:instrText>
        </w:r>
        <w:r w:rsidR="004E5C92" w:rsidRPr="00EA7E55">
          <w:rPr>
            <w:rStyle w:val="Hyperlink"/>
            <w:noProof/>
            <w:webHidden/>
            <w:color w:val="auto"/>
            <w:u w:val="none"/>
            <w:lang w:val="en-US"/>
          </w:rPr>
        </w:r>
        <w:r w:rsidR="004E5C92" w:rsidRPr="00EA7E55">
          <w:rPr>
            <w:rStyle w:val="Hyperlink"/>
            <w:noProof/>
            <w:webHidden/>
            <w:color w:val="auto"/>
            <w:u w:val="none"/>
            <w:lang w:val="en-US"/>
          </w:rPr>
          <w:fldChar w:fldCharType="separate"/>
        </w:r>
        <w:r w:rsidR="0032741D">
          <w:rPr>
            <w:rStyle w:val="Hyperlink"/>
            <w:noProof/>
            <w:webHidden/>
            <w:color w:val="auto"/>
            <w:u w:val="none"/>
            <w:lang w:val="en-US"/>
          </w:rPr>
          <w:t>30</w:t>
        </w:r>
        <w:r w:rsidR="004E5C92" w:rsidRPr="00EA7E55">
          <w:rPr>
            <w:rStyle w:val="Hyperlink"/>
            <w:noProof/>
            <w:webHidden/>
            <w:color w:val="auto"/>
            <w:u w:val="none"/>
            <w:lang w:val="en-US"/>
          </w:rPr>
          <w:fldChar w:fldCharType="end"/>
        </w:r>
      </w:hyperlink>
    </w:p>
    <w:p w:rsidR="004E5C92" w:rsidRPr="00EA7E55" w:rsidRDefault="007C640D" w:rsidP="0069715C">
      <w:pPr>
        <w:pStyle w:val="TOC1"/>
        <w:spacing w:before="60"/>
        <w:ind w:right="1134" w:firstLine="2"/>
        <w:rPr>
          <w:rStyle w:val="Hyperlink"/>
          <w:noProof/>
          <w:color w:val="auto"/>
          <w:u w:val="none"/>
        </w:rPr>
      </w:pPr>
      <w:hyperlink w:anchor="_Toc329011614" w:history="1">
        <w:r w:rsidR="004E5C92" w:rsidRPr="00EA7E55">
          <w:rPr>
            <w:rStyle w:val="Hyperlink"/>
            <w:noProof/>
            <w:color w:val="auto"/>
            <w:u w:val="none"/>
            <w:lang w:val="en-US"/>
          </w:rPr>
          <w:t>Determination of the provision for impairment</w:t>
        </w:r>
        <w:r w:rsidR="004E5360" w:rsidRPr="00EA7E55">
          <w:rPr>
            <w:rStyle w:val="Hyperlink"/>
            <w:noProof/>
            <w:color w:val="auto"/>
            <w:u w:val="none"/>
            <w:lang w:val="en-US"/>
          </w:rPr>
          <w:t xml:space="preserve"> of receivables</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4E5C92" w:rsidRPr="00EA7E55">
          <w:rPr>
            <w:rStyle w:val="Hyperlink"/>
            <w:noProof/>
            <w:webHidden/>
            <w:color w:val="auto"/>
            <w:u w:val="none"/>
            <w:lang w:val="en-US"/>
          </w:rPr>
          <w:fldChar w:fldCharType="begin"/>
        </w:r>
        <w:r w:rsidR="004E5C92" w:rsidRPr="00EA7E55">
          <w:rPr>
            <w:rStyle w:val="Hyperlink"/>
            <w:noProof/>
            <w:webHidden/>
            <w:color w:val="auto"/>
            <w:u w:val="none"/>
            <w:lang w:val="en-US"/>
          </w:rPr>
          <w:instrText xml:space="preserve"> PAGEREF _Toc329011614 \h </w:instrText>
        </w:r>
        <w:r w:rsidR="004E5C92" w:rsidRPr="00EA7E55">
          <w:rPr>
            <w:rStyle w:val="Hyperlink"/>
            <w:noProof/>
            <w:webHidden/>
            <w:color w:val="auto"/>
            <w:u w:val="none"/>
            <w:lang w:val="en-US"/>
          </w:rPr>
        </w:r>
        <w:r w:rsidR="004E5C92" w:rsidRPr="00EA7E55">
          <w:rPr>
            <w:rStyle w:val="Hyperlink"/>
            <w:noProof/>
            <w:webHidden/>
            <w:color w:val="auto"/>
            <w:u w:val="none"/>
            <w:lang w:val="en-US"/>
          </w:rPr>
          <w:fldChar w:fldCharType="separate"/>
        </w:r>
        <w:r w:rsidR="0032741D">
          <w:rPr>
            <w:rStyle w:val="Hyperlink"/>
            <w:noProof/>
            <w:webHidden/>
            <w:color w:val="auto"/>
            <w:u w:val="none"/>
            <w:lang w:val="en-US"/>
          </w:rPr>
          <w:t>31</w:t>
        </w:r>
        <w:r w:rsidR="004E5C92" w:rsidRPr="00EA7E55">
          <w:rPr>
            <w:rStyle w:val="Hyperlink"/>
            <w:noProof/>
            <w:webHidden/>
            <w:color w:val="auto"/>
            <w:u w:val="none"/>
            <w:lang w:val="en-US"/>
          </w:rPr>
          <w:fldChar w:fldCharType="end"/>
        </w:r>
      </w:hyperlink>
    </w:p>
    <w:p w:rsidR="004E5C92" w:rsidRPr="00EA7E55" w:rsidRDefault="007C640D" w:rsidP="0069715C">
      <w:pPr>
        <w:pStyle w:val="TOC1"/>
        <w:spacing w:before="60"/>
        <w:ind w:right="1134" w:firstLine="2"/>
        <w:rPr>
          <w:rStyle w:val="Hyperlink"/>
          <w:noProof/>
          <w:color w:val="auto"/>
          <w:u w:val="none"/>
        </w:rPr>
      </w:pPr>
      <w:hyperlink w:anchor="_Toc329011615" w:history="1">
        <w:r w:rsidR="004E5C92" w:rsidRPr="00EA7E55">
          <w:rPr>
            <w:rStyle w:val="Hyperlink"/>
            <w:noProof/>
            <w:color w:val="auto"/>
            <w:u w:val="none"/>
            <w:lang w:val="en-US"/>
          </w:rPr>
          <w:t>Use and release of a provision for asset impairment</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4E5C92" w:rsidRPr="00EA7E55">
          <w:rPr>
            <w:rStyle w:val="Hyperlink"/>
            <w:noProof/>
            <w:webHidden/>
            <w:color w:val="auto"/>
            <w:u w:val="none"/>
            <w:lang w:val="en-US"/>
          </w:rPr>
          <w:fldChar w:fldCharType="begin"/>
        </w:r>
        <w:r w:rsidR="004E5C92" w:rsidRPr="00EA7E55">
          <w:rPr>
            <w:rStyle w:val="Hyperlink"/>
            <w:noProof/>
            <w:webHidden/>
            <w:color w:val="auto"/>
            <w:u w:val="none"/>
            <w:lang w:val="en-US"/>
          </w:rPr>
          <w:instrText xml:space="preserve"> PAGEREF _Toc329011615 \h </w:instrText>
        </w:r>
        <w:r w:rsidR="004E5C92" w:rsidRPr="00EA7E55">
          <w:rPr>
            <w:rStyle w:val="Hyperlink"/>
            <w:noProof/>
            <w:webHidden/>
            <w:color w:val="auto"/>
            <w:u w:val="none"/>
            <w:lang w:val="en-US"/>
          </w:rPr>
        </w:r>
        <w:r w:rsidR="004E5C92" w:rsidRPr="00EA7E55">
          <w:rPr>
            <w:rStyle w:val="Hyperlink"/>
            <w:noProof/>
            <w:webHidden/>
            <w:color w:val="auto"/>
            <w:u w:val="none"/>
            <w:lang w:val="en-US"/>
          </w:rPr>
          <w:fldChar w:fldCharType="separate"/>
        </w:r>
        <w:r w:rsidR="0032741D">
          <w:rPr>
            <w:rStyle w:val="Hyperlink"/>
            <w:noProof/>
            <w:webHidden/>
            <w:color w:val="auto"/>
            <w:u w:val="none"/>
            <w:lang w:val="en-US"/>
          </w:rPr>
          <w:t>32</w:t>
        </w:r>
        <w:r w:rsidR="004E5C92" w:rsidRPr="00EA7E55">
          <w:rPr>
            <w:rStyle w:val="Hyperlink"/>
            <w:noProof/>
            <w:webHidden/>
            <w:color w:val="auto"/>
            <w:u w:val="none"/>
            <w:lang w:val="en-US"/>
          </w:rPr>
          <w:fldChar w:fldCharType="end"/>
        </w:r>
      </w:hyperlink>
    </w:p>
    <w:p w:rsidR="004E5C92" w:rsidRPr="00EA7E55" w:rsidRDefault="007C640D" w:rsidP="0069715C">
      <w:pPr>
        <w:pStyle w:val="TOC1"/>
        <w:spacing w:before="60"/>
        <w:ind w:right="1134" w:firstLine="2"/>
        <w:rPr>
          <w:rStyle w:val="Hyperlink"/>
          <w:noProof/>
          <w:color w:val="auto"/>
          <w:u w:val="none"/>
        </w:rPr>
      </w:pPr>
      <w:hyperlink w:anchor="_Toc329011617" w:history="1">
        <w:r w:rsidR="004E5C92" w:rsidRPr="00EA7E55">
          <w:rPr>
            <w:rStyle w:val="Hyperlink"/>
            <w:noProof/>
            <w:color w:val="auto"/>
            <w:u w:val="none"/>
            <w:lang w:val="en-US"/>
          </w:rPr>
          <w:t>Inventories</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4E5C92" w:rsidRPr="00EA7E55">
          <w:rPr>
            <w:rStyle w:val="Hyperlink"/>
            <w:noProof/>
            <w:webHidden/>
            <w:color w:val="auto"/>
            <w:u w:val="none"/>
            <w:lang w:val="en-US"/>
          </w:rPr>
          <w:fldChar w:fldCharType="begin"/>
        </w:r>
        <w:r w:rsidR="004E5C92" w:rsidRPr="00EA7E55">
          <w:rPr>
            <w:rStyle w:val="Hyperlink"/>
            <w:noProof/>
            <w:webHidden/>
            <w:color w:val="auto"/>
            <w:u w:val="none"/>
            <w:lang w:val="en-US"/>
          </w:rPr>
          <w:instrText xml:space="preserve"> PAGEREF _Toc329011617 \h </w:instrText>
        </w:r>
        <w:r w:rsidR="004E5C92" w:rsidRPr="00EA7E55">
          <w:rPr>
            <w:rStyle w:val="Hyperlink"/>
            <w:noProof/>
            <w:webHidden/>
            <w:color w:val="auto"/>
            <w:u w:val="none"/>
            <w:lang w:val="en-US"/>
          </w:rPr>
        </w:r>
        <w:r w:rsidR="004E5C92" w:rsidRPr="00EA7E55">
          <w:rPr>
            <w:rStyle w:val="Hyperlink"/>
            <w:noProof/>
            <w:webHidden/>
            <w:color w:val="auto"/>
            <w:u w:val="none"/>
            <w:lang w:val="en-US"/>
          </w:rPr>
          <w:fldChar w:fldCharType="separate"/>
        </w:r>
        <w:r w:rsidR="0032741D">
          <w:rPr>
            <w:rStyle w:val="Hyperlink"/>
            <w:noProof/>
            <w:webHidden/>
            <w:color w:val="auto"/>
            <w:u w:val="none"/>
            <w:lang w:val="en-US"/>
          </w:rPr>
          <w:t>32</w:t>
        </w:r>
        <w:r w:rsidR="004E5C92" w:rsidRPr="00EA7E55">
          <w:rPr>
            <w:rStyle w:val="Hyperlink"/>
            <w:noProof/>
            <w:webHidden/>
            <w:color w:val="auto"/>
            <w:u w:val="none"/>
            <w:lang w:val="en-US"/>
          </w:rPr>
          <w:fldChar w:fldCharType="end"/>
        </w:r>
      </w:hyperlink>
    </w:p>
    <w:p w:rsidR="004E5C92" w:rsidRPr="00EA7E55" w:rsidRDefault="007C640D" w:rsidP="00573B7A">
      <w:pPr>
        <w:pStyle w:val="TOC1"/>
        <w:spacing w:before="60"/>
        <w:ind w:right="1134" w:firstLine="2"/>
        <w:rPr>
          <w:rStyle w:val="Hyperlink"/>
          <w:noProof/>
          <w:color w:val="auto"/>
          <w:u w:val="none"/>
        </w:rPr>
      </w:pPr>
      <w:hyperlink w:anchor="_Toc329011618" w:history="1">
        <w:r w:rsidR="004E5C92" w:rsidRPr="00EA7E55">
          <w:rPr>
            <w:rStyle w:val="Hyperlink"/>
            <w:noProof/>
            <w:color w:val="auto"/>
            <w:u w:val="none"/>
            <w:lang w:val="en-US"/>
          </w:rPr>
          <w:t>Property and equipment</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69715C" w:rsidRPr="00EA7E55">
          <w:rPr>
            <w:rStyle w:val="Hyperlink"/>
            <w:noProof/>
            <w:webHidden/>
            <w:color w:val="auto"/>
            <w:u w:val="none"/>
            <w:lang w:val="en-US"/>
          </w:rPr>
          <w:t>3</w:t>
        </w:r>
        <w:r w:rsidR="00877BA7" w:rsidRPr="00EA7E55">
          <w:rPr>
            <w:rStyle w:val="Hyperlink"/>
            <w:noProof/>
            <w:webHidden/>
            <w:color w:val="auto"/>
            <w:u w:val="none"/>
            <w:lang w:val="en-US"/>
          </w:rPr>
          <w:t>3</w:t>
        </w:r>
      </w:hyperlink>
    </w:p>
    <w:p w:rsidR="004E5C92" w:rsidRPr="00EA7E55" w:rsidRDefault="007C640D" w:rsidP="00877BA7">
      <w:pPr>
        <w:pStyle w:val="TOC1"/>
        <w:spacing w:before="60"/>
        <w:ind w:right="1134" w:firstLine="2"/>
        <w:rPr>
          <w:rStyle w:val="Hyperlink"/>
          <w:noProof/>
          <w:color w:val="auto"/>
          <w:u w:val="none"/>
        </w:rPr>
      </w:pPr>
      <w:hyperlink w:anchor="_Toc329011619" w:history="1">
        <w:r w:rsidR="004E5C92" w:rsidRPr="00EA7E55">
          <w:rPr>
            <w:rStyle w:val="Hyperlink"/>
            <w:noProof/>
            <w:color w:val="auto"/>
            <w:u w:val="none"/>
            <w:lang w:val="en-US"/>
          </w:rPr>
          <w:t>Fixed assets acquired under lease</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69715C" w:rsidRPr="00EA7E55">
          <w:rPr>
            <w:rStyle w:val="Hyperlink"/>
            <w:noProof/>
            <w:webHidden/>
            <w:color w:val="auto"/>
            <w:u w:val="none"/>
            <w:lang w:val="en-US"/>
          </w:rPr>
          <w:t>3</w:t>
        </w:r>
        <w:r w:rsidR="00877BA7" w:rsidRPr="00EA7E55">
          <w:rPr>
            <w:rStyle w:val="Hyperlink"/>
            <w:noProof/>
            <w:webHidden/>
            <w:color w:val="auto"/>
            <w:u w:val="none"/>
            <w:lang w:val="en-US"/>
          </w:rPr>
          <w:t>4</w:t>
        </w:r>
      </w:hyperlink>
    </w:p>
    <w:p w:rsidR="004E5C92" w:rsidRPr="00EA7E55" w:rsidRDefault="007C640D" w:rsidP="00877BA7">
      <w:pPr>
        <w:pStyle w:val="TOC1"/>
        <w:spacing w:before="60"/>
        <w:ind w:right="1134" w:firstLine="2"/>
        <w:rPr>
          <w:rStyle w:val="Hyperlink"/>
          <w:noProof/>
          <w:color w:val="auto"/>
          <w:u w:val="none"/>
        </w:rPr>
      </w:pPr>
      <w:hyperlink w:anchor="_Toc329011620" w:history="1">
        <w:r w:rsidR="004E5C92" w:rsidRPr="00EA7E55">
          <w:rPr>
            <w:rStyle w:val="Hyperlink"/>
            <w:noProof/>
            <w:color w:val="auto"/>
            <w:u w:val="none"/>
            <w:lang w:val="en-US"/>
          </w:rPr>
          <w:t>Intangible assets</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69715C" w:rsidRPr="00EA7E55">
          <w:rPr>
            <w:rStyle w:val="Hyperlink"/>
            <w:noProof/>
            <w:webHidden/>
            <w:color w:val="auto"/>
            <w:u w:val="none"/>
            <w:lang w:val="en-US"/>
          </w:rPr>
          <w:t>3</w:t>
        </w:r>
        <w:r w:rsidR="00877BA7" w:rsidRPr="00EA7E55">
          <w:rPr>
            <w:rStyle w:val="Hyperlink"/>
            <w:noProof/>
            <w:webHidden/>
            <w:color w:val="auto"/>
            <w:u w:val="none"/>
            <w:lang w:val="en-US"/>
          </w:rPr>
          <w:t>4</w:t>
        </w:r>
      </w:hyperlink>
    </w:p>
    <w:p w:rsidR="004E5C92" w:rsidRPr="00EA7E55" w:rsidRDefault="007C640D" w:rsidP="00877BA7">
      <w:pPr>
        <w:pStyle w:val="TOC1"/>
        <w:spacing w:before="60"/>
        <w:ind w:right="1134" w:firstLine="2"/>
        <w:rPr>
          <w:rStyle w:val="Hyperlink"/>
          <w:noProof/>
          <w:color w:val="auto"/>
          <w:u w:val="none"/>
        </w:rPr>
      </w:pPr>
      <w:hyperlink w:anchor="_Toc329011621" w:history="1">
        <w:r w:rsidR="004E5C92" w:rsidRPr="00EA7E55">
          <w:rPr>
            <w:rStyle w:val="Hyperlink"/>
            <w:noProof/>
            <w:color w:val="auto"/>
            <w:u w:val="none"/>
            <w:lang w:val="en-US"/>
          </w:rPr>
          <w:t>Provisions</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69715C" w:rsidRPr="00EA7E55">
          <w:rPr>
            <w:rStyle w:val="Hyperlink"/>
            <w:noProof/>
            <w:webHidden/>
            <w:color w:val="auto"/>
            <w:u w:val="none"/>
            <w:lang w:val="en-US"/>
          </w:rPr>
          <w:t>3</w:t>
        </w:r>
        <w:r w:rsidR="00877BA7" w:rsidRPr="00EA7E55">
          <w:rPr>
            <w:rStyle w:val="Hyperlink"/>
            <w:noProof/>
            <w:webHidden/>
            <w:color w:val="auto"/>
            <w:u w:val="none"/>
            <w:lang w:val="en-US"/>
          </w:rPr>
          <w:t>5</w:t>
        </w:r>
      </w:hyperlink>
    </w:p>
    <w:p w:rsidR="004E5C92" w:rsidRPr="00EA7E55" w:rsidRDefault="007C640D" w:rsidP="00877BA7">
      <w:pPr>
        <w:pStyle w:val="TOC1"/>
        <w:spacing w:before="60"/>
        <w:ind w:right="1134" w:firstLine="2"/>
        <w:rPr>
          <w:rStyle w:val="Hyperlink"/>
          <w:noProof/>
          <w:color w:val="auto"/>
          <w:u w:val="none"/>
        </w:rPr>
      </w:pPr>
      <w:hyperlink w:anchor="_Toc329011622" w:history="1">
        <w:r w:rsidR="004E5C92" w:rsidRPr="00EA7E55">
          <w:rPr>
            <w:rStyle w:val="Hyperlink"/>
            <w:noProof/>
            <w:color w:val="auto"/>
            <w:u w:val="none"/>
            <w:lang w:val="en-US"/>
          </w:rPr>
          <w:t>Contingent assets and liabilities</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69715C" w:rsidRPr="00EA7E55">
          <w:rPr>
            <w:rStyle w:val="Hyperlink"/>
            <w:noProof/>
            <w:webHidden/>
            <w:color w:val="auto"/>
            <w:u w:val="none"/>
            <w:lang w:val="en-US"/>
          </w:rPr>
          <w:t>3</w:t>
        </w:r>
        <w:r w:rsidR="00877BA7" w:rsidRPr="00EA7E55">
          <w:rPr>
            <w:rStyle w:val="Hyperlink"/>
            <w:noProof/>
            <w:webHidden/>
            <w:color w:val="auto"/>
            <w:u w:val="none"/>
            <w:lang w:val="en-US"/>
          </w:rPr>
          <w:t>5</w:t>
        </w:r>
      </w:hyperlink>
    </w:p>
    <w:p w:rsidR="004E5C92" w:rsidRPr="00EA7E55" w:rsidRDefault="007C640D" w:rsidP="00877BA7">
      <w:pPr>
        <w:pStyle w:val="TOC1"/>
        <w:spacing w:before="60"/>
        <w:ind w:right="1134" w:firstLine="2"/>
        <w:rPr>
          <w:rStyle w:val="Hyperlink"/>
          <w:noProof/>
          <w:color w:val="auto"/>
          <w:u w:val="none"/>
        </w:rPr>
      </w:pPr>
      <w:hyperlink w:anchor="_Toc329011623" w:history="1">
        <w:r w:rsidR="004E5C92" w:rsidRPr="00EA7E55">
          <w:rPr>
            <w:rStyle w:val="Hyperlink"/>
            <w:noProof/>
            <w:color w:val="auto"/>
            <w:u w:val="none"/>
            <w:lang w:val="en-US"/>
          </w:rPr>
          <w:t>Employee benefits</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69715C" w:rsidRPr="00EA7E55">
          <w:rPr>
            <w:rStyle w:val="Hyperlink"/>
            <w:noProof/>
            <w:webHidden/>
            <w:color w:val="auto"/>
            <w:u w:val="none"/>
            <w:lang w:val="en-US"/>
          </w:rPr>
          <w:t>3</w:t>
        </w:r>
        <w:r w:rsidR="00877BA7" w:rsidRPr="00EA7E55">
          <w:rPr>
            <w:rStyle w:val="Hyperlink"/>
            <w:noProof/>
            <w:webHidden/>
            <w:color w:val="auto"/>
            <w:u w:val="none"/>
            <w:lang w:val="en-US"/>
          </w:rPr>
          <w:t>5</w:t>
        </w:r>
      </w:hyperlink>
    </w:p>
    <w:p w:rsidR="004E5C92" w:rsidRPr="00EA7E55" w:rsidRDefault="007C640D" w:rsidP="00877BA7">
      <w:pPr>
        <w:pStyle w:val="TOC1"/>
        <w:spacing w:before="60"/>
        <w:ind w:right="1134" w:firstLine="2"/>
        <w:rPr>
          <w:rStyle w:val="Hyperlink"/>
          <w:noProof/>
          <w:color w:val="auto"/>
          <w:u w:val="none"/>
        </w:rPr>
      </w:pPr>
      <w:hyperlink w:anchor="_Toc329011624" w:history="1">
        <w:r w:rsidR="004E5C92" w:rsidRPr="00EA7E55">
          <w:rPr>
            <w:rStyle w:val="Hyperlink"/>
            <w:noProof/>
            <w:color w:val="auto"/>
            <w:u w:val="none"/>
            <w:lang w:val="en-US"/>
          </w:rPr>
          <w:t>Recognition of funds</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69715C" w:rsidRPr="00EA7E55">
          <w:rPr>
            <w:rStyle w:val="Hyperlink"/>
            <w:noProof/>
            <w:webHidden/>
            <w:color w:val="auto"/>
            <w:u w:val="none"/>
            <w:lang w:val="en-US"/>
          </w:rPr>
          <w:t>3</w:t>
        </w:r>
        <w:r w:rsidR="00877BA7" w:rsidRPr="00EA7E55">
          <w:rPr>
            <w:rStyle w:val="Hyperlink"/>
            <w:noProof/>
            <w:webHidden/>
            <w:color w:val="auto"/>
            <w:u w:val="none"/>
            <w:lang w:val="en-US"/>
          </w:rPr>
          <w:t>6</w:t>
        </w:r>
      </w:hyperlink>
    </w:p>
    <w:p w:rsidR="004E5C92" w:rsidRPr="00EA7E55" w:rsidRDefault="007C640D" w:rsidP="00877BA7">
      <w:pPr>
        <w:pStyle w:val="TOC1"/>
        <w:spacing w:before="60"/>
        <w:ind w:right="1134" w:firstLine="2"/>
        <w:rPr>
          <w:rStyle w:val="Hyperlink"/>
          <w:noProof/>
          <w:color w:val="auto"/>
          <w:u w:val="none"/>
        </w:rPr>
      </w:pPr>
      <w:hyperlink w:anchor="_Toc329011625" w:history="1">
        <w:r w:rsidR="004E5C92" w:rsidRPr="00EA7E55">
          <w:rPr>
            <w:rStyle w:val="Hyperlink"/>
            <w:noProof/>
            <w:color w:val="auto"/>
            <w:u w:val="none"/>
            <w:lang w:val="en-US"/>
          </w:rPr>
          <w:t>Reserve Account</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69715C" w:rsidRPr="00EA7E55">
          <w:rPr>
            <w:rStyle w:val="Hyperlink"/>
            <w:noProof/>
            <w:webHidden/>
            <w:color w:val="auto"/>
            <w:u w:val="none"/>
            <w:lang w:val="en-US"/>
          </w:rPr>
          <w:t>3</w:t>
        </w:r>
        <w:r w:rsidR="00877BA7" w:rsidRPr="00EA7E55">
          <w:rPr>
            <w:rStyle w:val="Hyperlink"/>
            <w:noProof/>
            <w:webHidden/>
            <w:color w:val="auto"/>
            <w:u w:val="none"/>
            <w:lang w:val="en-US"/>
          </w:rPr>
          <w:t>7</w:t>
        </w:r>
      </w:hyperlink>
    </w:p>
    <w:p w:rsidR="004E5C92" w:rsidRPr="00EA7E55" w:rsidRDefault="004E5360" w:rsidP="00877BA7">
      <w:pPr>
        <w:pStyle w:val="TOC1"/>
        <w:spacing w:before="60"/>
        <w:ind w:right="1134" w:firstLine="2"/>
        <w:rPr>
          <w:rStyle w:val="Hyperlink"/>
          <w:noProof/>
          <w:color w:val="auto"/>
          <w:u w:val="none"/>
          <w:lang w:val="en-US"/>
        </w:rPr>
      </w:pPr>
      <w:r w:rsidRPr="00EA7E55">
        <w:rPr>
          <w:noProof/>
        </w:rPr>
        <w:t>Other funds</w:t>
      </w:r>
      <w:hyperlink w:anchor="_Toc329011626" w:history="1">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69715C" w:rsidRPr="00EA7E55">
          <w:rPr>
            <w:rStyle w:val="Hyperlink"/>
            <w:noProof/>
            <w:webHidden/>
            <w:color w:val="auto"/>
            <w:u w:val="none"/>
            <w:lang w:val="en-US"/>
          </w:rPr>
          <w:t>3</w:t>
        </w:r>
        <w:r w:rsidR="00877BA7" w:rsidRPr="00EA7E55">
          <w:rPr>
            <w:rStyle w:val="Hyperlink"/>
            <w:noProof/>
            <w:webHidden/>
            <w:color w:val="auto"/>
            <w:u w:val="none"/>
            <w:lang w:val="en-US"/>
          </w:rPr>
          <w:t>8</w:t>
        </w:r>
      </w:hyperlink>
    </w:p>
    <w:p w:rsidR="004970ED" w:rsidRPr="00EA7E55" w:rsidRDefault="004970ED" w:rsidP="004970ED">
      <w:pPr>
        <w:pStyle w:val="TOC1"/>
        <w:spacing w:before="60"/>
        <w:ind w:right="1134" w:firstLine="2"/>
        <w:rPr>
          <w:noProof/>
        </w:rPr>
      </w:pPr>
      <w:r w:rsidRPr="00EA7E55">
        <w:rPr>
          <w:rStyle w:val="Hyperlink"/>
          <w:noProof/>
          <w:color w:val="auto"/>
          <w:u w:val="none"/>
          <w:lang w:val="en-US"/>
        </w:rPr>
        <w:t>New building fund</w:t>
      </w:r>
      <w:r w:rsidRPr="00EA7E55">
        <w:rPr>
          <w:rStyle w:val="Hyperlink"/>
          <w:noProof/>
          <w:color w:val="auto"/>
          <w:u w:val="none"/>
          <w:lang w:val="en-US"/>
        </w:rPr>
        <w:tab/>
      </w:r>
      <w:r w:rsidRPr="00EA7E55">
        <w:rPr>
          <w:rStyle w:val="Hyperlink"/>
          <w:noProof/>
          <w:webHidden/>
          <w:color w:val="auto"/>
          <w:u w:val="none"/>
          <w:lang w:val="en-US"/>
        </w:rPr>
        <w:tab/>
        <w:t>38</w:t>
      </w:r>
    </w:p>
    <w:p w:rsidR="00D90FF0" w:rsidRPr="00EA7E55" w:rsidRDefault="00D90FF0" w:rsidP="00573B7A">
      <w:pPr>
        <w:pStyle w:val="TOC1"/>
        <w:spacing w:before="60"/>
        <w:ind w:right="1134" w:firstLine="2"/>
        <w:rPr>
          <w:noProof/>
        </w:rPr>
      </w:pPr>
      <w:r w:rsidRPr="00EA7E55">
        <w:rPr>
          <w:noProof/>
        </w:rPr>
        <w:t>Extrabudgetary activities related funds</w:t>
      </w:r>
      <w:r w:rsidRPr="00EA7E55">
        <w:rPr>
          <w:noProof/>
        </w:rPr>
        <w:tab/>
      </w:r>
      <w:r w:rsidRPr="00EA7E55">
        <w:rPr>
          <w:noProof/>
        </w:rPr>
        <w:tab/>
      </w:r>
      <w:r w:rsidR="00E53A79" w:rsidRPr="00EA7E55">
        <w:rPr>
          <w:noProof/>
        </w:rPr>
        <w:t>3</w:t>
      </w:r>
      <w:r w:rsidR="00877BA7" w:rsidRPr="00EA7E55">
        <w:rPr>
          <w:noProof/>
        </w:rPr>
        <w:t>9</w:t>
      </w:r>
    </w:p>
    <w:p w:rsidR="00D90FF0" w:rsidRPr="00EA7E55" w:rsidRDefault="00D90FF0" w:rsidP="008405CB">
      <w:pPr>
        <w:pStyle w:val="TOC1"/>
        <w:spacing w:before="60"/>
        <w:ind w:right="1134" w:firstLine="2"/>
        <w:rPr>
          <w:noProof/>
        </w:rPr>
      </w:pPr>
      <w:r w:rsidRPr="00EA7E55">
        <w:rPr>
          <w:noProof/>
        </w:rPr>
        <w:t>Recognition of revenue</w:t>
      </w:r>
      <w:r w:rsidRPr="00EA7E55">
        <w:rPr>
          <w:noProof/>
        </w:rPr>
        <w:tab/>
      </w:r>
      <w:r w:rsidRPr="00EA7E55">
        <w:rPr>
          <w:noProof/>
        </w:rPr>
        <w:tab/>
      </w:r>
      <w:r w:rsidR="008405CB" w:rsidRPr="00EA7E55">
        <w:rPr>
          <w:noProof/>
        </w:rPr>
        <w:t>39</w:t>
      </w:r>
    </w:p>
    <w:p w:rsidR="004E5C92" w:rsidRPr="00EA7E55" w:rsidRDefault="007C640D" w:rsidP="00877BA7">
      <w:pPr>
        <w:pStyle w:val="TOC1"/>
        <w:spacing w:before="60"/>
        <w:ind w:right="1134" w:firstLine="2"/>
        <w:rPr>
          <w:rStyle w:val="Hyperlink"/>
          <w:noProof/>
          <w:color w:val="auto"/>
          <w:u w:val="none"/>
        </w:rPr>
      </w:pPr>
      <w:hyperlink w:anchor="_Toc329011627" w:history="1">
        <w:r w:rsidR="004E5C92" w:rsidRPr="00EA7E55">
          <w:rPr>
            <w:rStyle w:val="Hyperlink"/>
            <w:noProof/>
            <w:color w:val="auto"/>
            <w:u w:val="none"/>
            <w:lang w:val="en-US"/>
          </w:rPr>
          <w:t>Segment reporting</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877BA7" w:rsidRPr="00EA7E55">
          <w:rPr>
            <w:rStyle w:val="Hyperlink"/>
            <w:noProof/>
            <w:webHidden/>
            <w:color w:val="auto"/>
            <w:u w:val="none"/>
            <w:lang w:val="en-US"/>
          </w:rPr>
          <w:t>40</w:t>
        </w:r>
      </w:hyperlink>
    </w:p>
    <w:p w:rsidR="004E5C92" w:rsidRPr="00EA7E55" w:rsidRDefault="007C640D" w:rsidP="00877BA7">
      <w:pPr>
        <w:pStyle w:val="TOC1"/>
        <w:spacing w:before="60"/>
        <w:ind w:right="1134" w:firstLine="2"/>
        <w:rPr>
          <w:rStyle w:val="Hyperlink"/>
          <w:noProof/>
          <w:color w:val="auto"/>
          <w:u w:val="none"/>
        </w:rPr>
      </w:pPr>
      <w:hyperlink w:anchor="_Toc329011628" w:history="1">
        <w:r w:rsidR="004E5C92" w:rsidRPr="00EA7E55">
          <w:rPr>
            <w:rStyle w:val="Hyperlink"/>
            <w:noProof/>
            <w:color w:val="auto"/>
            <w:u w:val="none"/>
            <w:lang w:val="en-US"/>
          </w:rPr>
          <w:t>Budget comparison</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877BA7" w:rsidRPr="00EA7E55">
          <w:rPr>
            <w:rStyle w:val="Hyperlink"/>
            <w:noProof/>
            <w:webHidden/>
            <w:color w:val="auto"/>
            <w:u w:val="none"/>
            <w:lang w:val="en-US"/>
          </w:rPr>
          <w:t>41</w:t>
        </w:r>
      </w:hyperlink>
    </w:p>
    <w:p w:rsidR="004E5C92" w:rsidRPr="00EA7E55" w:rsidRDefault="007C640D" w:rsidP="002F117B">
      <w:pPr>
        <w:pStyle w:val="TOC1"/>
        <w:spacing w:before="120"/>
        <w:ind w:right="1134"/>
        <w:rPr>
          <w:rStyle w:val="Hyperlink"/>
          <w:noProof/>
          <w:color w:val="auto"/>
          <w:u w:val="none"/>
          <w:lang w:val="en-US"/>
        </w:rPr>
      </w:pPr>
      <w:hyperlink w:anchor="_Toc329011629" w:history="1">
        <w:r w:rsidR="004E5C92" w:rsidRPr="00EA7E55">
          <w:rPr>
            <w:rStyle w:val="Hyperlink"/>
            <w:noProof/>
            <w:color w:val="auto"/>
            <w:u w:val="none"/>
            <w:lang w:val="en-US"/>
          </w:rPr>
          <w:t xml:space="preserve">Note </w:t>
        </w:r>
        <w:r w:rsidR="00E35C0B" w:rsidRPr="00EA7E55">
          <w:rPr>
            <w:rStyle w:val="Hyperlink"/>
            <w:noProof/>
            <w:color w:val="auto"/>
            <w:u w:val="none"/>
            <w:lang w:val="en-US"/>
          </w:rPr>
          <w:t>3</w:t>
        </w:r>
        <w:r w:rsidR="004E5C92" w:rsidRPr="00EA7E55">
          <w:rPr>
            <w:rStyle w:val="Hyperlink"/>
            <w:noProof/>
            <w:color w:val="auto"/>
            <w:u w:val="none"/>
            <w:lang w:val="en-US"/>
          </w:rPr>
          <w:tab/>
          <w:t>Management of net assets</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877BA7" w:rsidRPr="00EA7E55">
          <w:rPr>
            <w:rStyle w:val="Hyperlink"/>
            <w:noProof/>
            <w:webHidden/>
            <w:color w:val="auto"/>
            <w:u w:val="none"/>
            <w:lang w:val="en-US"/>
          </w:rPr>
          <w:t>41</w:t>
        </w:r>
      </w:hyperlink>
    </w:p>
    <w:p w:rsidR="004E5C92" w:rsidRPr="00EA7E55" w:rsidRDefault="007C640D" w:rsidP="008405CB">
      <w:pPr>
        <w:pStyle w:val="TOC1"/>
        <w:spacing w:before="120"/>
        <w:ind w:right="1134"/>
        <w:rPr>
          <w:rStyle w:val="Hyperlink"/>
          <w:noProof/>
          <w:color w:val="auto"/>
          <w:u w:val="none"/>
          <w:lang w:val="en-US"/>
        </w:rPr>
      </w:pPr>
      <w:hyperlink w:anchor="_Toc329011630" w:history="1">
        <w:r w:rsidR="004E5C92" w:rsidRPr="00EA7E55">
          <w:rPr>
            <w:rStyle w:val="Hyperlink"/>
            <w:noProof/>
            <w:color w:val="auto"/>
            <w:u w:val="none"/>
            <w:lang w:val="en-US"/>
          </w:rPr>
          <w:t xml:space="preserve">Note </w:t>
        </w:r>
        <w:r w:rsidR="00E35C0B" w:rsidRPr="00EA7E55">
          <w:rPr>
            <w:rStyle w:val="Hyperlink"/>
            <w:noProof/>
            <w:color w:val="auto"/>
            <w:u w:val="none"/>
            <w:lang w:val="en-US"/>
          </w:rPr>
          <w:t>4</w:t>
        </w:r>
        <w:r w:rsidR="004E5C92" w:rsidRPr="00EA7E55">
          <w:rPr>
            <w:rStyle w:val="Hyperlink"/>
            <w:noProof/>
            <w:color w:val="auto"/>
            <w:u w:val="none"/>
            <w:lang w:val="en-US"/>
          </w:rPr>
          <w:tab/>
        </w:r>
        <w:r w:rsidR="00D90FF0" w:rsidRPr="00EA7E55">
          <w:rPr>
            <w:rStyle w:val="Hyperlink"/>
            <w:noProof/>
            <w:color w:val="auto"/>
            <w:u w:val="none"/>
            <w:lang w:val="en-US"/>
          </w:rPr>
          <w:t>Financial risk management</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877BA7" w:rsidRPr="00EA7E55">
          <w:rPr>
            <w:rStyle w:val="Hyperlink"/>
            <w:noProof/>
            <w:webHidden/>
            <w:color w:val="auto"/>
            <w:u w:val="none"/>
            <w:lang w:val="en-US"/>
          </w:rPr>
          <w:t>4</w:t>
        </w:r>
      </w:hyperlink>
      <w:r w:rsidR="008405CB" w:rsidRPr="00EA7E55">
        <w:rPr>
          <w:rStyle w:val="Hyperlink"/>
          <w:noProof/>
          <w:color w:val="auto"/>
          <w:u w:val="none"/>
          <w:lang w:val="en-US"/>
        </w:rPr>
        <w:t>1</w:t>
      </w:r>
    </w:p>
    <w:p w:rsidR="00D90FF0" w:rsidRPr="00EA7E55" w:rsidRDefault="00D90FF0" w:rsidP="002F117B">
      <w:pPr>
        <w:pStyle w:val="TOC1"/>
        <w:spacing w:before="120"/>
        <w:ind w:right="1134"/>
        <w:rPr>
          <w:noProof/>
        </w:rPr>
      </w:pPr>
      <w:r w:rsidRPr="00EA7E55">
        <w:rPr>
          <w:noProof/>
        </w:rPr>
        <w:t xml:space="preserve">Note </w:t>
      </w:r>
      <w:r w:rsidR="00E35C0B" w:rsidRPr="00EA7E55">
        <w:rPr>
          <w:noProof/>
        </w:rPr>
        <w:t>5</w:t>
      </w:r>
      <w:r w:rsidRPr="00EA7E55">
        <w:rPr>
          <w:noProof/>
        </w:rPr>
        <w:tab/>
        <w:t>Judgment and accounting estimates</w:t>
      </w:r>
      <w:r w:rsidRPr="00EA7E55">
        <w:rPr>
          <w:noProof/>
        </w:rPr>
        <w:tab/>
      </w:r>
      <w:r w:rsidRPr="00EA7E55">
        <w:rPr>
          <w:noProof/>
        </w:rPr>
        <w:tab/>
      </w:r>
      <w:r w:rsidR="0069715C" w:rsidRPr="00EA7E55">
        <w:rPr>
          <w:noProof/>
        </w:rPr>
        <w:t>4</w:t>
      </w:r>
      <w:r w:rsidR="00877BA7" w:rsidRPr="00EA7E55">
        <w:rPr>
          <w:noProof/>
        </w:rPr>
        <w:t>4</w:t>
      </w:r>
    </w:p>
    <w:p w:rsidR="00877BA7" w:rsidRPr="00EA7E55" w:rsidRDefault="006A2571" w:rsidP="002F117B">
      <w:pPr>
        <w:pStyle w:val="TOC1"/>
        <w:spacing w:before="120"/>
        <w:ind w:right="1134"/>
        <w:rPr>
          <w:rStyle w:val="Hyperlink"/>
          <w:noProof/>
          <w:webHidden/>
          <w:color w:val="auto"/>
          <w:u w:val="none"/>
          <w:lang w:val="en-US"/>
        </w:rPr>
      </w:pPr>
      <w:r w:rsidRPr="00EA7E55">
        <w:fldChar w:fldCharType="begin"/>
      </w:r>
      <w:r w:rsidRPr="00EA7E55">
        <w:rPr>
          <w:noProof/>
        </w:rPr>
        <w:instrText xml:space="preserve"> HYPERLINK \l "_Toc329011631" </w:instrText>
      </w:r>
      <w:r w:rsidRPr="00EA7E55">
        <w:fldChar w:fldCharType="separate"/>
      </w:r>
      <w:r w:rsidR="004E5C92" w:rsidRPr="00EA7E55">
        <w:rPr>
          <w:rStyle w:val="Hyperlink"/>
          <w:noProof/>
          <w:color w:val="auto"/>
          <w:u w:val="none"/>
          <w:lang w:val="en-US"/>
        </w:rPr>
        <w:t xml:space="preserve">Note </w:t>
      </w:r>
      <w:r w:rsidR="00E35C0B" w:rsidRPr="00EA7E55">
        <w:rPr>
          <w:rStyle w:val="Hyperlink"/>
          <w:noProof/>
          <w:color w:val="auto"/>
          <w:u w:val="none"/>
          <w:lang w:val="en-US"/>
        </w:rPr>
        <w:t>6</w:t>
      </w:r>
      <w:r w:rsidR="004E5C92" w:rsidRPr="00EA7E55">
        <w:rPr>
          <w:rStyle w:val="Hyperlink"/>
          <w:noProof/>
          <w:color w:val="auto"/>
          <w:u w:val="none"/>
          <w:lang w:val="en-US"/>
        </w:rPr>
        <w:t xml:space="preserve"> </w:t>
      </w:r>
      <w:r w:rsidR="004E5C92" w:rsidRPr="00EA7E55">
        <w:rPr>
          <w:rStyle w:val="Hyperlink"/>
          <w:noProof/>
          <w:color w:val="auto"/>
          <w:u w:val="none"/>
          <w:lang w:val="en-US"/>
        </w:rPr>
        <w:tab/>
        <w:t>Cash and cash equivalents</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69715C" w:rsidRPr="00EA7E55">
        <w:rPr>
          <w:rStyle w:val="Hyperlink"/>
          <w:noProof/>
          <w:webHidden/>
          <w:color w:val="auto"/>
          <w:u w:val="none"/>
          <w:lang w:val="en-US"/>
        </w:rPr>
        <w:t>4</w:t>
      </w:r>
      <w:r w:rsidR="00877BA7" w:rsidRPr="00EA7E55">
        <w:rPr>
          <w:rStyle w:val="Hyperlink"/>
          <w:noProof/>
          <w:webHidden/>
          <w:color w:val="auto"/>
          <w:u w:val="none"/>
          <w:lang w:val="en-US"/>
        </w:rPr>
        <w:t>5</w:t>
      </w:r>
    </w:p>
    <w:p w:rsidR="00E5198F" w:rsidRPr="00EA7E55" w:rsidRDefault="006A2571" w:rsidP="00C70441">
      <w:pPr>
        <w:pStyle w:val="TOC1"/>
        <w:spacing w:before="120"/>
        <w:ind w:right="1134"/>
        <w:rPr>
          <w:rStyle w:val="Hyperlink"/>
          <w:noProof/>
          <w:color w:val="auto"/>
          <w:u w:val="none"/>
          <w:lang w:val="en-US"/>
        </w:rPr>
      </w:pPr>
      <w:r w:rsidRPr="00EA7E55">
        <w:rPr>
          <w:rStyle w:val="Hyperlink"/>
          <w:noProof/>
          <w:color w:val="auto"/>
          <w:u w:val="none"/>
          <w:lang w:val="en-US"/>
        </w:rPr>
        <w:fldChar w:fldCharType="end"/>
      </w:r>
      <w:r w:rsidR="00E5198F" w:rsidRPr="00EA7E55">
        <w:rPr>
          <w:rStyle w:val="Hyperlink"/>
          <w:noProof/>
          <w:color w:val="auto"/>
          <w:u w:val="none"/>
          <w:lang w:val="en-US"/>
        </w:rPr>
        <w:br w:type="page"/>
      </w:r>
    </w:p>
    <w:p w:rsidR="004E5C92" w:rsidRPr="00EA7E55" w:rsidRDefault="007C640D" w:rsidP="002F117B">
      <w:pPr>
        <w:pStyle w:val="TOC1"/>
        <w:spacing w:before="120"/>
        <w:ind w:right="1134"/>
        <w:rPr>
          <w:rStyle w:val="Hyperlink"/>
          <w:noProof/>
          <w:color w:val="auto"/>
          <w:u w:val="none"/>
          <w:lang w:val="en-US"/>
        </w:rPr>
      </w:pPr>
      <w:hyperlink w:anchor="_Toc329011632" w:history="1">
        <w:r w:rsidR="004E5C92" w:rsidRPr="00EA7E55">
          <w:rPr>
            <w:rStyle w:val="Hyperlink"/>
            <w:noProof/>
            <w:color w:val="auto"/>
            <w:u w:val="none"/>
            <w:lang w:val="en-US"/>
          </w:rPr>
          <w:t xml:space="preserve">Note </w:t>
        </w:r>
        <w:r w:rsidR="00E35C0B" w:rsidRPr="00EA7E55">
          <w:rPr>
            <w:rStyle w:val="Hyperlink"/>
            <w:noProof/>
            <w:color w:val="auto"/>
            <w:u w:val="none"/>
            <w:lang w:val="en-US"/>
          </w:rPr>
          <w:t>7</w:t>
        </w:r>
        <w:r w:rsidR="004E5C92" w:rsidRPr="00EA7E55">
          <w:rPr>
            <w:rStyle w:val="Hyperlink"/>
            <w:noProof/>
            <w:color w:val="auto"/>
            <w:u w:val="none"/>
            <w:lang w:val="en-US"/>
          </w:rPr>
          <w:tab/>
          <w:t>Investments</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69715C" w:rsidRPr="00EA7E55">
          <w:rPr>
            <w:rStyle w:val="Hyperlink"/>
            <w:noProof/>
            <w:webHidden/>
            <w:color w:val="auto"/>
            <w:u w:val="none"/>
            <w:lang w:val="en-US"/>
          </w:rPr>
          <w:t>4</w:t>
        </w:r>
        <w:r w:rsidR="00877BA7" w:rsidRPr="00EA7E55">
          <w:rPr>
            <w:rStyle w:val="Hyperlink"/>
            <w:noProof/>
            <w:webHidden/>
            <w:color w:val="auto"/>
            <w:u w:val="none"/>
            <w:lang w:val="en-US"/>
          </w:rPr>
          <w:t>5</w:t>
        </w:r>
      </w:hyperlink>
    </w:p>
    <w:p w:rsidR="004E5C92" w:rsidRPr="00EA7E55" w:rsidRDefault="007C640D" w:rsidP="002F117B">
      <w:pPr>
        <w:pStyle w:val="TOC1"/>
        <w:spacing w:before="120"/>
        <w:ind w:right="1134"/>
        <w:rPr>
          <w:rStyle w:val="Hyperlink"/>
          <w:noProof/>
          <w:color w:val="auto"/>
          <w:u w:val="none"/>
          <w:lang w:val="en-US"/>
        </w:rPr>
      </w:pPr>
      <w:hyperlink w:anchor="_Toc329011633" w:history="1">
        <w:r w:rsidR="004E5C92" w:rsidRPr="00EA7E55">
          <w:rPr>
            <w:rStyle w:val="Hyperlink"/>
            <w:noProof/>
            <w:color w:val="auto"/>
            <w:u w:val="none"/>
            <w:lang w:val="en-US"/>
          </w:rPr>
          <w:t xml:space="preserve">Note </w:t>
        </w:r>
        <w:r w:rsidR="00E35C0B" w:rsidRPr="00EA7E55">
          <w:rPr>
            <w:rStyle w:val="Hyperlink"/>
            <w:noProof/>
            <w:color w:val="auto"/>
            <w:u w:val="none"/>
            <w:lang w:val="en-US"/>
          </w:rPr>
          <w:t>8</w:t>
        </w:r>
        <w:r w:rsidR="004E5C92" w:rsidRPr="00EA7E55">
          <w:rPr>
            <w:rStyle w:val="Hyperlink"/>
            <w:noProof/>
            <w:color w:val="auto"/>
            <w:u w:val="none"/>
            <w:lang w:val="en-US"/>
          </w:rPr>
          <w:tab/>
          <w:t>Receivables</w:t>
        </w:r>
        <w:r w:rsidR="004E5C92" w:rsidRPr="00EA7E55">
          <w:rPr>
            <w:rStyle w:val="Hyperlink"/>
            <w:noProof/>
            <w:webHidden/>
            <w:color w:val="auto"/>
            <w:u w:val="none"/>
            <w:lang w:val="en-US"/>
          </w:rPr>
          <w:tab/>
        </w:r>
        <w:r w:rsidR="00FC6178" w:rsidRPr="00EA7E55">
          <w:rPr>
            <w:rStyle w:val="Hyperlink"/>
            <w:noProof/>
            <w:webHidden/>
            <w:color w:val="auto"/>
            <w:u w:val="none"/>
            <w:lang w:val="en-US"/>
          </w:rPr>
          <w:tab/>
        </w:r>
        <w:r w:rsidR="0069715C" w:rsidRPr="00EA7E55">
          <w:rPr>
            <w:rStyle w:val="Hyperlink"/>
            <w:noProof/>
            <w:webHidden/>
            <w:color w:val="auto"/>
            <w:u w:val="none"/>
            <w:lang w:val="en-US"/>
          </w:rPr>
          <w:t>4</w:t>
        </w:r>
        <w:r w:rsidR="00877BA7" w:rsidRPr="00EA7E55">
          <w:rPr>
            <w:rStyle w:val="Hyperlink"/>
            <w:noProof/>
            <w:webHidden/>
            <w:color w:val="auto"/>
            <w:u w:val="none"/>
            <w:lang w:val="en-US"/>
          </w:rPr>
          <w:t>6</w:t>
        </w:r>
      </w:hyperlink>
    </w:p>
    <w:p w:rsidR="004E5C92" w:rsidRPr="00EA7E55" w:rsidRDefault="007C640D" w:rsidP="002F117B">
      <w:pPr>
        <w:pStyle w:val="TOC1"/>
        <w:spacing w:before="120"/>
        <w:ind w:right="1134"/>
        <w:rPr>
          <w:rStyle w:val="Hyperlink"/>
          <w:noProof/>
          <w:color w:val="auto"/>
          <w:u w:val="none"/>
          <w:lang w:val="en-US"/>
        </w:rPr>
      </w:pPr>
      <w:hyperlink w:anchor="_Toc329011634" w:history="1">
        <w:r w:rsidR="004E5C92" w:rsidRPr="00EA7E55">
          <w:rPr>
            <w:rStyle w:val="Hyperlink"/>
            <w:noProof/>
            <w:color w:val="auto"/>
            <w:u w:val="none"/>
            <w:lang w:val="en-US"/>
          </w:rPr>
          <w:t xml:space="preserve">Note </w:t>
        </w:r>
        <w:r w:rsidR="00E35C0B" w:rsidRPr="00EA7E55">
          <w:rPr>
            <w:rStyle w:val="Hyperlink"/>
            <w:noProof/>
            <w:color w:val="auto"/>
            <w:u w:val="none"/>
            <w:lang w:val="en-US"/>
          </w:rPr>
          <w:t>9</w:t>
        </w:r>
        <w:r w:rsidR="004E5C92" w:rsidRPr="00EA7E55">
          <w:rPr>
            <w:rStyle w:val="Hyperlink"/>
            <w:noProof/>
            <w:color w:val="auto"/>
            <w:u w:val="none"/>
            <w:lang w:val="en-US"/>
          </w:rPr>
          <w:tab/>
          <w:t>Inventories</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r w:rsidR="0069715C" w:rsidRPr="00EA7E55">
          <w:rPr>
            <w:rStyle w:val="Hyperlink"/>
            <w:noProof/>
            <w:webHidden/>
            <w:color w:val="auto"/>
            <w:u w:val="none"/>
            <w:lang w:val="en-US"/>
          </w:rPr>
          <w:t>4</w:t>
        </w:r>
        <w:r w:rsidR="00877BA7" w:rsidRPr="00EA7E55">
          <w:rPr>
            <w:rStyle w:val="Hyperlink"/>
            <w:noProof/>
            <w:webHidden/>
            <w:color w:val="auto"/>
            <w:u w:val="none"/>
            <w:lang w:val="en-US"/>
          </w:rPr>
          <w:t>7</w:t>
        </w:r>
      </w:hyperlink>
    </w:p>
    <w:p w:rsidR="004E5C92" w:rsidRPr="00EA7E55" w:rsidRDefault="007C640D" w:rsidP="00FF704B">
      <w:pPr>
        <w:pStyle w:val="TOC1"/>
        <w:spacing w:before="120"/>
        <w:ind w:right="1134"/>
        <w:rPr>
          <w:rStyle w:val="Hyperlink"/>
          <w:noProof/>
          <w:color w:val="auto"/>
          <w:u w:val="none"/>
          <w:lang w:val="en-US"/>
        </w:rPr>
      </w:pPr>
      <w:hyperlink w:anchor="_Toc329011635" w:history="1">
        <w:r w:rsidR="004E5C92" w:rsidRPr="00EA7E55">
          <w:rPr>
            <w:rStyle w:val="Hyperlink"/>
            <w:noProof/>
            <w:color w:val="auto"/>
            <w:u w:val="none"/>
            <w:lang w:val="en-US"/>
          </w:rPr>
          <w:t>Note 1</w:t>
        </w:r>
        <w:r w:rsidR="00E35C0B" w:rsidRPr="00EA7E55">
          <w:rPr>
            <w:rStyle w:val="Hyperlink"/>
            <w:noProof/>
            <w:color w:val="auto"/>
            <w:u w:val="none"/>
            <w:lang w:val="en-US"/>
          </w:rPr>
          <w:t>0</w:t>
        </w:r>
        <w:r w:rsidR="004E5C92" w:rsidRPr="00EA7E55">
          <w:rPr>
            <w:rStyle w:val="Hyperlink"/>
            <w:noProof/>
            <w:color w:val="auto"/>
            <w:u w:val="none"/>
            <w:lang w:val="en-US"/>
          </w:rPr>
          <w:tab/>
          <w:t>Other receivables</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r w:rsidR="0069715C" w:rsidRPr="00EA7E55">
          <w:rPr>
            <w:rStyle w:val="Hyperlink"/>
            <w:noProof/>
            <w:webHidden/>
            <w:color w:val="auto"/>
            <w:u w:val="none"/>
            <w:lang w:val="en-US"/>
          </w:rPr>
          <w:t>4</w:t>
        </w:r>
      </w:hyperlink>
      <w:r w:rsidR="00FF704B" w:rsidRPr="00EA7E55">
        <w:rPr>
          <w:rStyle w:val="Hyperlink"/>
          <w:noProof/>
          <w:color w:val="auto"/>
          <w:u w:val="none"/>
          <w:lang w:val="en-US"/>
        </w:rPr>
        <w:t>8</w:t>
      </w:r>
    </w:p>
    <w:p w:rsidR="004E5C92" w:rsidRPr="00EA7E55" w:rsidRDefault="007C640D" w:rsidP="002F117B">
      <w:pPr>
        <w:pStyle w:val="TOC1"/>
        <w:spacing w:before="120"/>
        <w:ind w:right="1134"/>
        <w:rPr>
          <w:rStyle w:val="Hyperlink"/>
          <w:noProof/>
          <w:color w:val="auto"/>
          <w:u w:val="none"/>
          <w:lang w:val="en-US"/>
        </w:rPr>
      </w:pPr>
      <w:hyperlink w:anchor="_Toc329011636" w:history="1">
        <w:r w:rsidR="004E5C92" w:rsidRPr="00EA7E55">
          <w:rPr>
            <w:rStyle w:val="Hyperlink"/>
            <w:noProof/>
            <w:color w:val="auto"/>
            <w:u w:val="none"/>
            <w:lang w:val="en-US"/>
          </w:rPr>
          <w:t>Note 1</w:t>
        </w:r>
        <w:r w:rsidR="00E35C0B" w:rsidRPr="00EA7E55">
          <w:rPr>
            <w:rStyle w:val="Hyperlink"/>
            <w:noProof/>
            <w:color w:val="auto"/>
            <w:u w:val="none"/>
            <w:lang w:val="en-US"/>
          </w:rPr>
          <w:t>1</w:t>
        </w:r>
        <w:r w:rsidR="004E5C92" w:rsidRPr="00EA7E55">
          <w:rPr>
            <w:rStyle w:val="Hyperlink"/>
            <w:noProof/>
            <w:color w:val="auto"/>
            <w:u w:val="none"/>
            <w:lang w:val="en-US"/>
          </w:rPr>
          <w:tab/>
          <w:t>Property and equipment</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r w:rsidR="0069715C" w:rsidRPr="00EA7E55">
          <w:rPr>
            <w:rStyle w:val="Hyperlink"/>
            <w:noProof/>
            <w:webHidden/>
            <w:color w:val="auto"/>
            <w:u w:val="none"/>
            <w:lang w:val="en-US"/>
          </w:rPr>
          <w:t>4</w:t>
        </w:r>
        <w:r w:rsidR="00877BA7" w:rsidRPr="00EA7E55">
          <w:rPr>
            <w:rStyle w:val="Hyperlink"/>
            <w:noProof/>
            <w:webHidden/>
            <w:color w:val="auto"/>
            <w:u w:val="none"/>
            <w:lang w:val="en-US"/>
          </w:rPr>
          <w:t>8</w:t>
        </w:r>
      </w:hyperlink>
    </w:p>
    <w:p w:rsidR="004E5C92" w:rsidRPr="00EA7E55" w:rsidRDefault="007C640D" w:rsidP="002F117B">
      <w:pPr>
        <w:pStyle w:val="TOC1"/>
        <w:spacing w:before="120"/>
        <w:ind w:right="1134"/>
        <w:rPr>
          <w:rStyle w:val="Hyperlink"/>
          <w:noProof/>
          <w:color w:val="auto"/>
          <w:u w:val="none"/>
          <w:lang w:val="en-US"/>
        </w:rPr>
      </w:pPr>
      <w:hyperlink w:anchor="_Toc329011637" w:history="1">
        <w:r w:rsidR="004E5C92" w:rsidRPr="00EA7E55">
          <w:rPr>
            <w:rStyle w:val="Hyperlink"/>
            <w:noProof/>
            <w:color w:val="auto"/>
            <w:u w:val="none"/>
            <w:lang w:val="en-US"/>
          </w:rPr>
          <w:t>Note 1</w:t>
        </w:r>
        <w:r w:rsidR="00E35C0B" w:rsidRPr="00EA7E55">
          <w:rPr>
            <w:rStyle w:val="Hyperlink"/>
            <w:noProof/>
            <w:color w:val="auto"/>
            <w:u w:val="none"/>
            <w:lang w:val="en-US"/>
          </w:rPr>
          <w:t>2</w:t>
        </w:r>
        <w:r w:rsidR="004E5C92" w:rsidRPr="00EA7E55">
          <w:rPr>
            <w:rStyle w:val="Hyperlink"/>
            <w:noProof/>
            <w:color w:val="auto"/>
            <w:u w:val="none"/>
            <w:lang w:val="en-US"/>
          </w:rPr>
          <w:tab/>
          <w:t>Intangible assets</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r w:rsidR="00556EE0" w:rsidRPr="00EA7E55">
          <w:rPr>
            <w:rStyle w:val="Hyperlink"/>
            <w:noProof/>
            <w:webHidden/>
            <w:color w:val="auto"/>
            <w:u w:val="none"/>
            <w:lang w:val="en-US"/>
          </w:rPr>
          <w:t>49</w:t>
        </w:r>
      </w:hyperlink>
    </w:p>
    <w:p w:rsidR="009C7A12" w:rsidRPr="00EA7E55" w:rsidRDefault="009C7A12" w:rsidP="00EA7E55">
      <w:pPr>
        <w:pStyle w:val="TOC1"/>
        <w:spacing w:before="120"/>
        <w:ind w:right="1134"/>
        <w:rPr>
          <w:rStyle w:val="Hyperlink"/>
          <w:noProof/>
          <w:color w:val="auto"/>
          <w:u w:val="none"/>
          <w:lang w:val="en-US"/>
        </w:rPr>
      </w:pPr>
      <w:r w:rsidRPr="00EA7E55">
        <w:rPr>
          <w:rStyle w:val="Hyperlink"/>
          <w:noProof/>
          <w:color w:val="auto"/>
          <w:u w:val="none"/>
          <w:lang w:val="en-US"/>
        </w:rPr>
        <w:t>Note 13</w:t>
      </w:r>
      <w:r w:rsidRPr="00EA7E55">
        <w:rPr>
          <w:rStyle w:val="Hyperlink"/>
          <w:noProof/>
          <w:color w:val="auto"/>
          <w:u w:val="none"/>
          <w:lang w:val="en-US"/>
        </w:rPr>
        <w:tab/>
        <w:t>Assets under</w:t>
      </w:r>
      <w:r w:rsidR="00FE0C8C" w:rsidRPr="00EA7E55">
        <w:rPr>
          <w:rStyle w:val="Hyperlink"/>
          <w:noProof/>
          <w:color w:val="auto"/>
          <w:u w:val="none"/>
          <w:lang w:val="en-US"/>
        </w:rPr>
        <w:t xml:space="preserve"> </w:t>
      </w:r>
      <w:r w:rsidRPr="00EA7E55">
        <w:rPr>
          <w:rStyle w:val="Hyperlink"/>
          <w:noProof/>
          <w:color w:val="auto"/>
          <w:u w:val="none"/>
          <w:lang w:val="en-US"/>
        </w:rPr>
        <w:t>construction………………………………………………………………………………</w:t>
      </w:r>
      <w:r w:rsidR="00FE0C8C" w:rsidRPr="00EA7E55">
        <w:rPr>
          <w:rStyle w:val="Hyperlink"/>
          <w:noProof/>
          <w:color w:val="auto"/>
          <w:u w:val="none"/>
          <w:lang w:val="en-US"/>
        </w:rPr>
        <w:t>…</w:t>
      </w:r>
      <w:r w:rsidRPr="00EA7E55">
        <w:rPr>
          <w:rStyle w:val="Hyperlink"/>
          <w:noProof/>
          <w:color w:val="auto"/>
          <w:u w:val="none"/>
          <w:lang w:val="en-US"/>
        </w:rPr>
        <w:tab/>
      </w:r>
      <w:r w:rsidRPr="00EA7E55">
        <w:rPr>
          <w:rStyle w:val="Hyperlink"/>
          <w:noProof/>
          <w:color w:val="auto"/>
          <w:u w:val="none"/>
          <w:lang w:val="en-US"/>
        </w:rPr>
        <w:tab/>
      </w:r>
      <w:r w:rsidR="00EA7E55" w:rsidRPr="00EA7E55">
        <w:rPr>
          <w:rStyle w:val="Hyperlink"/>
          <w:noProof/>
          <w:color w:val="auto"/>
          <w:u w:val="none"/>
          <w:lang w:val="en-US"/>
        </w:rPr>
        <w:t>50</w:t>
      </w:r>
    </w:p>
    <w:p w:rsidR="004E5C92" w:rsidRPr="00EA7E55" w:rsidRDefault="007C640D" w:rsidP="002F117B">
      <w:pPr>
        <w:pStyle w:val="TOC1"/>
        <w:spacing w:before="120"/>
        <w:ind w:right="1134"/>
        <w:rPr>
          <w:rStyle w:val="Hyperlink"/>
          <w:noProof/>
          <w:color w:val="auto"/>
          <w:u w:val="none"/>
          <w:lang w:val="en-US"/>
        </w:rPr>
      </w:pPr>
      <w:hyperlink w:anchor="_Toc329011638" w:history="1">
        <w:r w:rsidR="004E5C92" w:rsidRPr="00EA7E55">
          <w:rPr>
            <w:rStyle w:val="Hyperlink"/>
            <w:noProof/>
            <w:color w:val="auto"/>
            <w:u w:val="none"/>
            <w:lang w:val="en-US"/>
          </w:rPr>
          <w:t>Note 1</w:t>
        </w:r>
        <w:r w:rsidR="009C7A12" w:rsidRPr="00EA7E55">
          <w:rPr>
            <w:rStyle w:val="Hyperlink"/>
            <w:noProof/>
            <w:color w:val="auto"/>
            <w:u w:val="none"/>
            <w:lang w:val="en-US"/>
          </w:rPr>
          <w:t>4</w:t>
        </w:r>
        <w:r w:rsidR="004E5C92" w:rsidRPr="00EA7E55">
          <w:rPr>
            <w:rStyle w:val="Hyperlink"/>
            <w:noProof/>
            <w:color w:val="auto"/>
            <w:u w:val="none"/>
            <w:lang w:val="en-US"/>
          </w:rPr>
          <w:tab/>
          <w:t>Suppliers and other creditors</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r w:rsidR="00877BA7" w:rsidRPr="00EA7E55">
          <w:rPr>
            <w:rStyle w:val="Hyperlink"/>
            <w:noProof/>
            <w:webHidden/>
            <w:color w:val="auto"/>
            <w:u w:val="none"/>
            <w:lang w:val="en-US"/>
          </w:rPr>
          <w:t>50</w:t>
        </w:r>
      </w:hyperlink>
    </w:p>
    <w:p w:rsidR="004E5C92" w:rsidRPr="00EA7E55" w:rsidRDefault="007C640D" w:rsidP="00EA7E55">
      <w:pPr>
        <w:pStyle w:val="TOC1"/>
        <w:spacing w:before="120"/>
        <w:ind w:right="1134"/>
        <w:rPr>
          <w:rStyle w:val="Hyperlink"/>
          <w:noProof/>
          <w:color w:val="auto"/>
          <w:u w:val="none"/>
          <w:lang w:val="en-US"/>
        </w:rPr>
      </w:pPr>
      <w:hyperlink w:anchor="_Toc329011639" w:history="1">
        <w:r w:rsidR="004E5C92" w:rsidRPr="00EA7E55">
          <w:rPr>
            <w:rStyle w:val="Hyperlink"/>
            <w:noProof/>
            <w:color w:val="auto"/>
            <w:u w:val="none"/>
            <w:lang w:val="en-US"/>
          </w:rPr>
          <w:t>Note 1</w:t>
        </w:r>
        <w:r w:rsidR="009C7A12" w:rsidRPr="00EA7E55">
          <w:rPr>
            <w:rStyle w:val="Hyperlink"/>
            <w:noProof/>
            <w:color w:val="auto"/>
            <w:u w:val="none"/>
            <w:lang w:val="en-US"/>
          </w:rPr>
          <w:t>5</w:t>
        </w:r>
        <w:r w:rsidR="004E5C92" w:rsidRPr="00EA7E55">
          <w:rPr>
            <w:rStyle w:val="Hyperlink"/>
            <w:noProof/>
            <w:color w:val="auto"/>
            <w:u w:val="none"/>
            <w:lang w:val="en-US"/>
          </w:rPr>
          <w:tab/>
          <w:t>Deferred revenue</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r w:rsidR="00877BA7" w:rsidRPr="00EA7E55">
          <w:rPr>
            <w:rStyle w:val="Hyperlink"/>
            <w:noProof/>
            <w:webHidden/>
            <w:color w:val="auto"/>
            <w:u w:val="none"/>
            <w:lang w:val="en-US"/>
          </w:rPr>
          <w:t>5</w:t>
        </w:r>
      </w:hyperlink>
      <w:r w:rsidR="00EA7E55" w:rsidRPr="00EA7E55">
        <w:rPr>
          <w:rStyle w:val="Hyperlink"/>
          <w:noProof/>
          <w:color w:val="auto"/>
          <w:u w:val="none"/>
          <w:lang w:val="en-US"/>
        </w:rPr>
        <w:t>1</w:t>
      </w:r>
    </w:p>
    <w:p w:rsidR="004E5C92" w:rsidRPr="00EA7E55" w:rsidRDefault="007C640D" w:rsidP="002F117B">
      <w:pPr>
        <w:pStyle w:val="TOC1"/>
        <w:spacing w:before="120"/>
        <w:ind w:right="1134"/>
        <w:rPr>
          <w:rStyle w:val="Hyperlink"/>
          <w:noProof/>
          <w:color w:val="auto"/>
          <w:u w:val="none"/>
          <w:lang w:val="en-US"/>
        </w:rPr>
      </w:pPr>
      <w:hyperlink w:anchor="_Toc329011640" w:history="1">
        <w:r w:rsidR="004E5C92" w:rsidRPr="00EA7E55">
          <w:rPr>
            <w:rStyle w:val="Hyperlink"/>
            <w:noProof/>
            <w:color w:val="auto"/>
            <w:u w:val="none"/>
            <w:lang w:val="en-US"/>
          </w:rPr>
          <w:t>Note 1</w:t>
        </w:r>
        <w:r w:rsidR="009C7A12" w:rsidRPr="00EA7E55">
          <w:rPr>
            <w:rStyle w:val="Hyperlink"/>
            <w:noProof/>
            <w:color w:val="auto"/>
            <w:u w:val="none"/>
            <w:lang w:val="en-US"/>
          </w:rPr>
          <w:t>6</w:t>
        </w:r>
        <w:r w:rsidR="004E5C92" w:rsidRPr="00EA7E55">
          <w:rPr>
            <w:rStyle w:val="Hyperlink"/>
            <w:noProof/>
            <w:color w:val="auto"/>
            <w:u w:val="none"/>
            <w:lang w:val="en-US"/>
          </w:rPr>
          <w:tab/>
          <w:t>Borrowings and other financial debts</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r w:rsidR="00877BA7" w:rsidRPr="00EA7E55">
          <w:rPr>
            <w:rStyle w:val="Hyperlink"/>
            <w:noProof/>
            <w:webHidden/>
            <w:color w:val="auto"/>
            <w:u w:val="none"/>
            <w:lang w:val="en-US"/>
          </w:rPr>
          <w:t>51</w:t>
        </w:r>
      </w:hyperlink>
    </w:p>
    <w:p w:rsidR="004E5C92" w:rsidRPr="00EA7E55" w:rsidRDefault="007C640D" w:rsidP="00EA7E55">
      <w:pPr>
        <w:pStyle w:val="TOC1"/>
        <w:spacing w:before="120"/>
        <w:ind w:right="1134"/>
        <w:rPr>
          <w:rStyle w:val="Hyperlink"/>
          <w:noProof/>
          <w:color w:val="auto"/>
          <w:u w:val="none"/>
          <w:lang w:val="en-US"/>
        </w:rPr>
      </w:pPr>
      <w:hyperlink w:anchor="_Toc329011641" w:history="1">
        <w:r w:rsidR="004E5C92" w:rsidRPr="00EA7E55">
          <w:rPr>
            <w:rStyle w:val="Hyperlink"/>
            <w:noProof/>
            <w:color w:val="auto"/>
            <w:u w:val="none"/>
            <w:lang w:val="en-US"/>
          </w:rPr>
          <w:t>Note 1</w:t>
        </w:r>
        <w:r w:rsidR="009C7A12" w:rsidRPr="00EA7E55">
          <w:rPr>
            <w:rStyle w:val="Hyperlink"/>
            <w:noProof/>
            <w:color w:val="auto"/>
            <w:u w:val="none"/>
            <w:lang w:val="en-US"/>
          </w:rPr>
          <w:t>7</w:t>
        </w:r>
        <w:r w:rsidR="004E5C92" w:rsidRPr="00EA7E55">
          <w:rPr>
            <w:rStyle w:val="Hyperlink"/>
            <w:noProof/>
            <w:color w:val="auto"/>
            <w:u w:val="none"/>
            <w:lang w:val="en-US"/>
          </w:rPr>
          <w:tab/>
          <w:t>Employee benefits</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r w:rsidR="00877BA7" w:rsidRPr="00EA7E55">
          <w:rPr>
            <w:rStyle w:val="Hyperlink"/>
            <w:noProof/>
            <w:webHidden/>
            <w:color w:val="auto"/>
            <w:u w:val="none"/>
            <w:lang w:val="en-US"/>
          </w:rPr>
          <w:t>5</w:t>
        </w:r>
      </w:hyperlink>
      <w:r w:rsidR="00EA7E55" w:rsidRPr="00EA7E55">
        <w:rPr>
          <w:rStyle w:val="Hyperlink"/>
          <w:noProof/>
          <w:color w:val="auto"/>
          <w:u w:val="none"/>
          <w:lang w:val="en-US"/>
        </w:rPr>
        <w:t>2</w:t>
      </w:r>
    </w:p>
    <w:p w:rsidR="004E5C92" w:rsidRPr="00EA7E55" w:rsidRDefault="007C640D" w:rsidP="00EA7E55">
      <w:pPr>
        <w:pStyle w:val="TOC1"/>
        <w:tabs>
          <w:tab w:val="left" w:pos="1560"/>
        </w:tabs>
        <w:spacing w:before="60"/>
        <w:ind w:right="1134" w:firstLine="2"/>
        <w:rPr>
          <w:rStyle w:val="Hyperlink"/>
          <w:noProof/>
          <w:color w:val="auto"/>
          <w:u w:val="none"/>
        </w:rPr>
      </w:pPr>
      <w:hyperlink w:anchor="_Toc329011642" w:history="1">
        <w:r w:rsidR="004E5C92" w:rsidRPr="00EA7E55">
          <w:rPr>
            <w:rStyle w:val="Hyperlink"/>
            <w:noProof/>
            <w:color w:val="auto"/>
            <w:u w:val="none"/>
            <w:lang w:val="en-US"/>
          </w:rPr>
          <w:t>1</w:t>
        </w:r>
        <w:r w:rsidR="009C7A12" w:rsidRPr="00EA7E55">
          <w:rPr>
            <w:rStyle w:val="Hyperlink"/>
            <w:noProof/>
            <w:color w:val="auto"/>
            <w:u w:val="none"/>
            <w:lang w:val="en-US"/>
          </w:rPr>
          <w:t>7</w:t>
        </w:r>
        <w:r w:rsidR="004E5C92" w:rsidRPr="00EA7E55">
          <w:rPr>
            <w:rStyle w:val="Hyperlink"/>
            <w:noProof/>
            <w:color w:val="auto"/>
            <w:u w:val="none"/>
            <w:lang w:val="en-US"/>
          </w:rPr>
          <w:t>.1</w:t>
        </w:r>
        <w:r w:rsidR="004E5C92" w:rsidRPr="00EA7E55">
          <w:rPr>
            <w:rStyle w:val="Hyperlink"/>
            <w:noProof/>
            <w:color w:val="auto"/>
            <w:u w:val="none"/>
          </w:rPr>
          <w:tab/>
        </w:r>
        <w:r w:rsidR="004E5C92" w:rsidRPr="00EA7E55">
          <w:rPr>
            <w:rStyle w:val="Hyperlink"/>
            <w:noProof/>
            <w:color w:val="auto"/>
            <w:u w:val="none"/>
            <w:lang w:val="en-US"/>
          </w:rPr>
          <w:t>Short-term employee benefits</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r w:rsidR="00877BA7" w:rsidRPr="00EA7E55">
          <w:rPr>
            <w:rStyle w:val="Hyperlink"/>
            <w:noProof/>
            <w:webHidden/>
            <w:color w:val="auto"/>
            <w:u w:val="none"/>
            <w:lang w:val="en-US"/>
          </w:rPr>
          <w:t>5</w:t>
        </w:r>
      </w:hyperlink>
      <w:r w:rsidR="00EA7E55" w:rsidRPr="00EA7E55">
        <w:rPr>
          <w:rStyle w:val="Hyperlink"/>
          <w:noProof/>
          <w:color w:val="auto"/>
          <w:u w:val="none"/>
          <w:lang w:val="en-US"/>
        </w:rPr>
        <w:t>2</w:t>
      </w:r>
    </w:p>
    <w:p w:rsidR="004E5C92" w:rsidRPr="00EA7E55" w:rsidRDefault="007C640D" w:rsidP="00EA7E55">
      <w:pPr>
        <w:pStyle w:val="TOC1"/>
        <w:tabs>
          <w:tab w:val="left" w:pos="1560"/>
        </w:tabs>
        <w:spacing w:before="60"/>
        <w:ind w:right="1134" w:firstLine="2"/>
        <w:rPr>
          <w:rStyle w:val="Hyperlink"/>
          <w:noProof/>
          <w:color w:val="auto"/>
          <w:u w:val="none"/>
        </w:rPr>
      </w:pPr>
      <w:hyperlink w:anchor="_Toc329011643" w:history="1">
        <w:r w:rsidR="004E5C92" w:rsidRPr="00EA7E55">
          <w:rPr>
            <w:rStyle w:val="Hyperlink"/>
            <w:noProof/>
            <w:color w:val="auto"/>
            <w:u w:val="none"/>
            <w:lang w:val="en-US"/>
          </w:rPr>
          <w:t>1</w:t>
        </w:r>
        <w:r w:rsidR="009C7A12" w:rsidRPr="00EA7E55">
          <w:rPr>
            <w:rStyle w:val="Hyperlink"/>
            <w:noProof/>
            <w:color w:val="auto"/>
            <w:u w:val="none"/>
            <w:lang w:val="en-US"/>
          </w:rPr>
          <w:t>7</w:t>
        </w:r>
        <w:r w:rsidR="004E5C92" w:rsidRPr="00EA7E55">
          <w:rPr>
            <w:rStyle w:val="Hyperlink"/>
            <w:noProof/>
            <w:color w:val="auto"/>
            <w:u w:val="none"/>
            <w:lang w:val="en-US"/>
          </w:rPr>
          <w:t xml:space="preserve">.2 </w:t>
        </w:r>
        <w:r w:rsidR="004E5C92" w:rsidRPr="00EA7E55">
          <w:rPr>
            <w:rStyle w:val="Hyperlink"/>
            <w:noProof/>
            <w:color w:val="auto"/>
            <w:u w:val="none"/>
          </w:rPr>
          <w:tab/>
        </w:r>
        <w:r w:rsidR="004E5C92" w:rsidRPr="00EA7E55">
          <w:rPr>
            <w:rStyle w:val="Hyperlink"/>
            <w:noProof/>
            <w:color w:val="auto"/>
            <w:u w:val="none"/>
            <w:lang w:val="en-US"/>
          </w:rPr>
          <w:t>Long-term employee benefits</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r w:rsidR="00877BA7" w:rsidRPr="00EA7E55">
          <w:rPr>
            <w:rStyle w:val="Hyperlink"/>
            <w:noProof/>
            <w:webHidden/>
            <w:color w:val="auto"/>
            <w:u w:val="none"/>
            <w:lang w:val="en-US"/>
          </w:rPr>
          <w:t>5</w:t>
        </w:r>
      </w:hyperlink>
      <w:r w:rsidR="00EA7E55" w:rsidRPr="00EA7E55">
        <w:rPr>
          <w:rStyle w:val="Hyperlink"/>
          <w:noProof/>
          <w:color w:val="auto"/>
          <w:u w:val="none"/>
          <w:lang w:val="en-US"/>
        </w:rPr>
        <w:t>3</w:t>
      </w:r>
    </w:p>
    <w:p w:rsidR="004E5C92" w:rsidRPr="00EA7E55" w:rsidRDefault="007C640D" w:rsidP="00EA7E55">
      <w:pPr>
        <w:pStyle w:val="TOC1"/>
        <w:spacing w:before="120"/>
        <w:ind w:right="1134"/>
        <w:rPr>
          <w:rStyle w:val="Hyperlink"/>
          <w:noProof/>
          <w:color w:val="auto"/>
          <w:u w:val="none"/>
          <w:lang w:val="en-US"/>
        </w:rPr>
      </w:pPr>
      <w:hyperlink w:anchor="_Toc329011644" w:history="1">
        <w:r w:rsidR="004E5C92" w:rsidRPr="00EA7E55">
          <w:rPr>
            <w:rStyle w:val="Hyperlink"/>
            <w:noProof/>
            <w:color w:val="auto"/>
            <w:u w:val="none"/>
            <w:lang w:val="en-US"/>
          </w:rPr>
          <w:t>Note 1</w:t>
        </w:r>
        <w:r w:rsidR="009C7A12" w:rsidRPr="00EA7E55">
          <w:rPr>
            <w:rStyle w:val="Hyperlink"/>
            <w:noProof/>
            <w:color w:val="auto"/>
            <w:u w:val="none"/>
            <w:lang w:val="en-US"/>
          </w:rPr>
          <w:t>8</w:t>
        </w:r>
        <w:r w:rsidR="004E5C92" w:rsidRPr="00EA7E55">
          <w:rPr>
            <w:rStyle w:val="Hyperlink"/>
            <w:noProof/>
            <w:color w:val="auto"/>
            <w:u w:val="none"/>
            <w:lang w:val="en-US"/>
          </w:rPr>
          <w:tab/>
          <w:t>Provisions</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r w:rsidR="0069715C" w:rsidRPr="00EA7E55">
          <w:rPr>
            <w:rStyle w:val="Hyperlink"/>
            <w:noProof/>
            <w:webHidden/>
            <w:color w:val="auto"/>
            <w:u w:val="none"/>
            <w:lang w:val="en-US"/>
          </w:rPr>
          <w:t>5</w:t>
        </w:r>
      </w:hyperlink>
      <w:r w:rsidR="00EA7E55" w:rsidRPr="00EA7E55">
        <w:rPr>
          <w:rStyle w:val="Hyperlink"/>
          <w:noProof/>
          <w:color w:val="auto"/>
          <w:u w:val="none"/>
          <w:lang w:val="en-US"/>
        </w:rPr>
        <w:t>8</w:t>
      </w:r>
    </w:p>
    <w:p w:rsidR="004E5C92" w:rsidRPr="00EA7E55" w:rsidRDefault="007C640D" w:rsidP="00EA7E55">
      <w:pPr>
        <w:pStyle w:val="TOC1"/>
        <w:spacing w:before="120"/>
        <w:ind w:right="1134"/>
        <w:rPr>
          <w:rStyle w:val="Hyperlink"/>
          <w:noProof/>
          <w:color w:val="auto"/>
          <w:u w:val="none"/>
          <w:lang w:val="en-US"/>
        </w:rPr>
      </w:pPr>
      <w:hyperlink w:anchor="_Toc329011645" w:history="1">
        <w:r w:rsidR="004E5C92" w:rsidRPr="00EA7E55">
          <w:rPr>
            <w:rStyle w:val="Hyperlink"/>
            <w:noProof/>
            <w:color w:val="auto"/>
            <w:u w:val="none"/>
            <w:lang w:val="en-US"/>
          </w:rPr>
          <w:t>Note 1</w:t>
        </w:r>
        <w:r w:rsidR="009C7A12" w:rsidRPr="00EA7E55">
          <w:rPr>
            <w:rStyle w:val="Hyperlink"/>
            <w:noProof/>
            <w:color w:val="auto"/>
            <w:u w:val="none"/>
            <w:lang w:val="en-US"/>
          </w:rPr>
          <w:t>9</w:t>
        </w:r>
        <w:r w:rsidR="004E5C92" w:rsidRPr="00EA7E55">
          <w:rPr>
            <w:rStyle w:val="Hyperlink"/>
            <w:noProof/>
            <w:color w:val="auto"/>
            <w:u w:val="none"/>
            <w:lang w:val="en-US"/>
          </w:rPr>
          <w:tab/>
          <w:t>Other debts</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r w:rsidR="0069715C" w:rsidRPr="00EA7E55">
          <w:rPr>
            <w:rStyle w:val="Hyperlink"/>
            <w:noProof/>
            <w:webHidden/>
            <w:color w:val="auto"/>
            <w:u w:val="none"/>
            <w:lang w:val="en-US"/>
          </w:rPr>
          <w:t>5</w:t>
        </w:r>
      </w:hyperlink>
      <w:r w:rsidR="00EA7E55" w:rsidRPr="00EA7E55">
        <w:rPr>
          <w:rStyle w:val="Hyperlink"/>
          <w:noProof/>
          <w:color w:val="auto"/>
          <w:u w:val="none"/>
          <w:lang w:val="en-US"/>
        </w:rPr>
        <w:t>9</w:t>
      </w:r>
    </w:p>
    <w:p w:rsidR="004E5C92" w:rsidRPr="00EA7E55" w:rsidRDefault="007C640D" w:rsidP="00EA7E55">
      <w:pPr>
        <w:pStyle w:val="TOC1"/>
        <w:spacing w:before="120"/>
        <w:ind w:right="1134"/>
        <w:rPr>
          <w:rStyle w:val="Hyperlink"/>
          <w:noProof/>
          <w:color w:val="auto"/>
          <w:u w:val="none"/>
          <w:lang w:val="en-US"/>
        </w:rPr>
      </w:pPr>
      <w:hyperlink w:anchor="_Toc329011646" w:history="1">
        <w:r w:rsidR="004E5C92" w:rsidRPr="00EA7E55">
          <w:rPr>
            <w:rStyle w:val="Hyperlink"/>
            <w:noProof/>
            <w:color w:val="auto"/>
            <w:u w:val="none"/>
            <w:lang w:val="en-US"/>
          </w:rPr>
          <w:t xml:space="preserve">Note </w:t>
        </w:r>
        <w:r w:rsidR="009C7A12" w:rsidRPr="00EA7E55">
          <w:rPr>
            <w:rStyle w:val="Hyperlink"/>
            <w:noProof/>
            <w:color w:val="auto"/>
            <w:u w:val="none"/>
            <w:lang w:val="en-US"/>
          </w:rPr>
          <w:t>20</w:t>
        </w:r>
        <w:r w:rsidR="004E5C92" w:rsidRPr="00EA7E55">
          <w:rPr>
            <w:rStyle w:val="Hyperlink"/>
            <w:noProof/>
            <w:color w:val="auto"/>
            <w:u w:val="none"/>
            <w:lang w:val="en-US"/>
          </w:rPr>
          <w:tab/>
          <w:t xml:space="preserve">Allocated and unallocated </w:t>
        </w:r>
        <w:r w:rsidR="00D6651A" w:rsidRPr="00EA7E55">
          <w:rPr>
            <w:rStyle w:val="Hyperlink"/>
            <w:noProof/>
            <w:color w:val="auto"/>
            <w:u w:val="none"/>
            <w:lang w:val="en-US"/>
          </w:rPr>
          <w:t xml:space="preserve">extrabudgetary </w:t>
        </w:r>
        <w:r w:rsidR="004E5C92" w:rsidRPr="00EA7E55">
          <w:rPr>
            <w:rStyle w:val="Hyperlink"/>
            <w:noProof/>
            <w:color w:val="auto"/>
            <w:u w:val="none"/>
            <w:lang w:val="en-US"/>
          </w:rPr>
          <w:t>funds</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r w:rsidR="0069715C" w:rsidRPr="00EA7E55">
          <w:rPr>
            <w:rStyle w:val="Hyperlink"/>
            <w:noProof/>
            <w:webHidden/>
            <w:color w:val="auto"/>
            <w:u w:val="none"/>
            <w:lang w:val="en-US"/>
          </w:rPr>
          <w:t>5</w:t>
        </w:r>
        <w:r w:rsidR="00EA7E55" w:rsidRPr="00EA7E55">
          <w:rPr>
            <w:rStyle w:val="Hyperlink"/>
            <w:noProof/>
            <w:webHidden/>
            <w:color w:val="auto"/>
            <w:u w:val="none"/>
            <w:lang w:val="en-US"/>
          </w:rPr>
          <w:t>9</w:t>
        </w:r>
      </w:hyperlink>
    </w:p>
    <w:p w:rsidR="004E5C92" w:rsidRPr="00EA7E55" w:rsidRDefault="007C640D" w:rsidP="00EA7E55">
      <w:pPr>
        <w:pStyle w:val="TOC1"/>
        <w:spacing w:before="120"/>
        <w:ind w:right="1134"/>
        <w:rPr>
          <w:rStyle w:val="Hyperlink"/>
          <w:noProof/>
          <w:color w:val="auto"/>
          <w:u w:val="none"/>
          <w:lang w:val="en-US"/>
        </w:rPr>
      </w:pPr>
      <w:hyperlink w:anchor="_Toc329011647" w:history="1">
        <w:r w:rsidR="004E5C92" w:rsidRPr="00EA7E55">
          <w:rPr>
            <w:rStyle w:val="Hyperlink"/>
            <w:noProof/>
            <w:color w:val="auto"/>
            <w:u w:val="none"/>
            <w:lang w:val="en-US"/>
          </w:rPr>
          <w:t>Note 2</w:t>
        </w:r>
        <w:r w:rsidR="009C7A12" w:rsidRPr="00EA7E55">
          <w:rPr>
            <w:rStyle w:val="Hyperlink"/>
            <w:noProof/>
            <w:color w:val="auto"/>
            <w:u w:val="none"/>
            <w:lang w:val="en-US"/>
          </w:rPr>
          <w:t>1</w:t>
        </w:r>
        <w:r w:rsidR="004E5C92" w:rsidRPr="00EA7E55">
          <w:rPr>
            <w:rStyle w:val="Hyperlink"/>
            <w:noProof/>
            <w:color w:val="auto"/>
            <w:u w:val="none"/>
            <w:lang w:val="en-US"/>
          </w:rPr>
          <w:tab/>
          <w:t>Assessed contributions</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hyperlink>
      <w:r w:rsidR="00EA7E55" w:rsidRPr="00EA7E55">
        <w:rPr>
          <w:rStyle w:val="Hyperlink"/>
          <w:noProof/>
          <w:color w:val="auto"/>
          <w:u w:val="none"/>
          <w:lang w:val="en-US"/>
        </w:rPr>
        <w:t>60</w:t>
      </w:r>
    </w:p>
    <w:p w:rsidR="004E5C92" w:rsidRPr="00EA7E55" w:rsidRDefault="007C640D" w:rsidP="00EA7E55">
      <w:pPr>
        <w:pStyle w:val="TOC1"/>
        <w:spacing w:before="120"/>
        <w:ind w:right="1134"/>
        <w:rPr>
          <w:rStyle w:val="Hyperlink"/>
          <w:noProof/>
          <w:color w:val="auto"/>
          <w:u w:val="none"/>
          <w:lang w:val="en-US"/>
        </w:rPr>
      </w:pPr>
      <w:hyperlink w:anchor="_Toc329011648" w:history="1">
        <w:r w:rsidR="004E5C92" w:rsidRPr="00EA7E55">
          <w:rPr>
            <w:rStyle w:val="Hyperlink"/>
            <w:noProof/>
            <w:color w:val="auto"/>
            <w:u w:val="none"/>
            <w:lang w:val="en-US"/>
          </w:rPr>
          <w:t>Note 2</w:t>
        </w:r>
        <w:r w:rsidR="009C7A12" w:rsidRPr="00EA7E55">
          <w:rPr>
            <w:rStyle w:val="Hyperlink"/>
            <w:noProof/>
            <w:color w:val="auto"/>
            <w:u w:val="none"/>
            <w:lang w:val="en-US"/>
          </w:rPr>
          <w:t>2</w:t>
        </w:r>
        <w:r w:rsidR="004E5C92" w:rsidRPr="00EA7E55">
          <w:rPr>
            <w:rStyle w:val="Hyperlink"/>
            <w:noProof/>
            <w:color w:val="auto"/>
            <w:u w:val="none"/>
            <w:lang w:val="en-US"/>
          </w:rPr>
          <w:tab/>
        </w:r>
        <w:r w:rsidR="00D6651A" w:rsidRPr="00EA7E55">
          <w:rPr>
            <w:rStyle w:val="Hyperlink"/>
            <w:noProof/>
            <w:color w:val="auto"/>
            <w:u w:val="none"/>
            <w:lang w:val="en-US"/>
          </w:rPr>
          <w:t>Revenue</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hyperlink>
      <w:r w:rsidR="00EA7E55">
        <w:rPr>
          <w:rStyle w:val="Hyperlink"/>
          <w:noProof/>
          <w:color w:val="auto"/>
          <w:u w:val="none"/>
          <w:lang w:val="en-US"/>
        </w:rPr>
        <w:t>60</w:t>
      </w:r>
    </w:p>
    <w:p w:rsidR="004E5C92" w:rsidRPr="00EA7E55" w:rsidRDefault="007C640D" w:rsidP="00EA7E55">
      <w:pPr>
        <w:pStyle w:val="TOC1"/>
        <w:spacing w:before="120"/>
        <w:ind w:right="1134"/>
        <w:rPr>
          <w:rStyle w:val="Hyperlink"/>
          <w:noProof/>
          <w:color w:val="auto"/>
          <w:u w:val="none"/>
          <w:lang w:val="en-US"/>
        </w:rPr>
      </w:pPr>
      <w:hyperlink w:anchor="_Toc329011649" w:history="1">
        <w:r w:rsidR="004E5C92" w:rsidRPr="00EA7E55">
          <w:rPr>
            <w:rStyle w:val="Hyperlink"/>
            <w:noProof/>
            <w:color w:val="auto"/>
            <w:u w:val="none"/>
            <w:lang w:val="en-US"/>
          </w:rPr>
          <w:t>Note 2</w:t>
        </w:r>
        <w:r w:rsidR="009C7A12" w:rsidRPr="00EA7E55">
          <w:rPr>
            <w:rStyle w:val="Hyperlink"/>
            <w:noProof/>
            <w:color w:val="auto"/>
            <w:u w:val="none"/>
            <w:lang w:val="en-US"/>
          </w:rPr>
          <w:t>3</w:t>
        </w:r>
        <w:r w:rsidR="004E5C92" w:rsidRPr="00EA7E55">
          <w:rPr>
            <w:rStyle w:val="Hyperlink"/>
            <w:noProof/>
            <w:color w:val="auto"/>
            <w:u w:val="none"/>
            <w:lang w:val="en-US"/>
          </w:rPr>
          <w:tab/>
        </w:r>
        <w:r w:rsidR="00D6651A" w:rsidRPr="00EA7E55">
          <w:rPr>
            <w:rStyle w:val="Hyperlink"/>
            <w:noProof/>
            <w:color w:val="auto"/>
            <w:u w:val="none"/>
            <w:lang w:val="en-US"/>
          </w:rPr>
          <w:t>Expenses</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hyperlink>
      <w:r w:rsidR="00877BA7" w:rsidRPr="00EA7E55">
        <w:rPr>
          <w:rStyle w:val="Hyperlink"/>
          <w:noProof/>
          <w:color w:val="auto"/>
          <w:u w:val="none"/>
          <w:lang w:val="en-US"/>
        </w:rPr>
        <w:t>6</w:t>
      </w:r>
      <w:r w:rsidR="00EA7E55">
        <w:rPr>
          <w:rStyle w:val="Hyperlink"/>
          <w:noProof/>
          <w:color w:val="auto"/>
          <w:u w:val="none"/>
          <w:lang w:val="en-US"/>
        </w:rPr>
        <w:t>1</w:t>
      </w:r>
    </w:p>
    <w:p w:rsidR="004E5C92" w:rsidRPr="00EA7E55" w:rsidRDefault="007C640D" w:rsidP="00EA7E55">
      <w:pPr>
        <w:pStyle w:val="TOC1"/>
        <w:spacing w:before="120"/>
        <w:ind w:right="1134"/>
        <w:rPr>
          <w:rStyle w:val="Hyperlink"/>
          <w:noProof/>
          <w:color w:val="auto"/>
          <w:u w:val="none"/>
          <w:lang w:val="en-US"/>
        </w:rPr>
      </w:pPr>
      <w:hyperlink w:anchor="_Toc329011650" w:history="1">
        <w:r w:rsidR="004E5C92" w:rsidRPr="00EA7E55">
          <w:rPr>
            <w:rStyle w:val="Hyperlink"/>
            <w:noProof/>
            <w:color w:val="auto"/>
            <w:u w:val="none"/>
            <w:lang w:val="en-US"/>
          </w:rPr>
          <w:t>Note 2</w:t>
        </w:r>
        <w:r w:rsidR="009C7A12" w:rsidRPr="00EA7E55">
          <w:rPr>
            <w:rStyle w:val="Hyperlink"/>
            <w:noProof/>
            <w:color w:val="auto"/>
            <w:u w:val="none"/>
            <w:lang w:val="en-US"/>
          </w:rPr>
          <w:t>4</w:t>
        </w:r>
        <w:r w:rsidR="004E5C92" w:rsidRPr="00EA7E55">
          <w:rPr>
            <w:rStyle w:val="Hyperlink"/>
            <w:noProof/>
            <w:color w:val="auto"/>
            <w:u w:val="none"/>
            <w:lang w:val="en-US"/>
          </w:rPr>
          <w:tab/>
        </w:r>
        <w:r w:rsidR="00D6651A" w:rsidRPr="00EA7E55">
          <w:rPr>
            <w:rStyle w:val="Hyperlink"/>
            <w:noProof/>
            <w:color w:val="auto"/>
            <w:u w:val="none"/>
            <w:lang w:val="en-US"/>
          </w:rPr>
          <w:t xml:space="preserve">Segment reporting – Statement of financial performance </w:t>
        </w:r>
        <w:r w:rsidR="00111BDD" w:rsidRPr="00EA7E55">
          <w:rPr>
            <w:rStyle w:val="Hyperlink"/>
            <w:noProof/>
            <w:color w:val="auto"/>
            <w:u w:val="none"/>
            <w:lang w:val="en-US"/>
          </w:rPr>
          <w:t>201</w:t>
        </w:r>
        <w:r w:rsidR="00BD5D98" w:rsidRPr="00EA7E55">
          <w:rPr>
            <w:rStyle w:val="Hyperlink"/>
            <w:noProof/>
            <w:color w:val="auto"/>
            <w:u w:val="none"/>
            <w:lang w:val="en-US"/>
          </w:rPr>
          <w:t>8</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hyperlink>
      <w:r w:rsidR="00877BA7" w:rsidRPr="00EA7E55">
        <w:rPr>
          <w:rStyle w:val="Hyperlink"/>
          <w:noProof/>
          <w:color w:val="auto"/>
          <w:u w:val="none"/>
          <w:lang w:val="en-US"/>
        </w:rPr>
        <w:t>6</w:t>
      </w:r>
      <w:r w:rsidR="00EA7E55">
        <w:rPr>
          <w:rStyle w:val="Hyperlink"/>
          <w:noProof/>
          <w:color w:val="auto"/>
          <w:u w:val="none"/>
          <w:lang w:val="en-US"/>
        </w:rPr>
        <w:t>4</w:t>
      </w:r>
    </w:p>
    <w:p w:rsidR="00E35C0B" w:rsidRPr="00EA7E55" w:rsidRDefault="007C640D" w:rsidP="00EA7E55">
      <w:pPr>
        <w:pStyle w:val="TOC1"/>
        <w:spacing w:before="120"/>
        <w:ind w:right="1134"/>
        <w:rPr>
          <w:rStyle w:val="Hyperlink"/>
          <w:noProof/>
          <w:color w:val="auto"/>
          <w:u w:val="none"/>
          <w:lang w:val="en-US"/>
        </w:rPr>
      </w:pPr>
      <w:hyperlink w:anchor="_Toc329011650" w:history="1">
        <w:r w:rsidR="00E35C0B" w:rsidRPr="00EA7E55">
          <w:rPr>
            <w:rStyle w:val="Hyperlink"/>
            <w:noProof/>
            <w:color w:val="auto"/>
            <w:u w:val="none"/>
            <w:lang w:val="en-US"/>
          </w:rPr>
          <w:t>Note 2</w:t>
        </w:r>
        <w:r w:rsidR="009C7A12" w:rsidRPr="00EA7E55">
          <w:rPr>
            <w:rStyle w:val="Hyperlink"/>
            <w:noProof/>
            <w:color w:val="auto"/>
            <w:u w:val="none"/>
            <w:lang w:val="en-US"/>
          </w:rPr>
          <w:t>5</w:t>
        </w:r>
        <w:r w:rsidR="00E35C0B" w:rsidRPr="00EA7E55">
          <w:rPr>
            <w:rStyle w:val="Hyperlink"/>
            <w:noProof/>
            <w:color w:val="auto"/>
            <w:u w:val="none"/>
            <w:lang w:val="en-US"/>
          </w:rPr>
          <w:tab/>
          <w:t xml:space="preserve">Regional presence </w:t>
        </w:r>
        <w:r w:rsidR="00E35C0B" w:rsidRPr="00EA7E55">
          <w:rPr>
            <w:rStyle w:val="Hyperlink"/>
            <w:noProof/>
            <w:webHidden/>
            <w:color w:val="auto"/>
            <w:u w:val="none"/>
            <w:lang w:val="en-US"/>
          </w:rPr>
          <w:tab/>
        </w:r>
        <w:r w:rsidR="00E35C0B" w:rsidRPr="00EA7E55">
          <w:rPr>
            <w:rStyle w:val="Hyperlink"/>
            <w:noProof/>
            <w:webHidden/>
            <w:color w:val="auto"/>
            <w:u w:val="none"/>
            <w:lang w:val="en-US"/>
          </w:rPr>
          <w:tab/>
        </w:r>
      </w:hyperlink>
      <w:r w:rsidR="00877BA7" w:rsidRPr="00EA7E55">
        <w:rPr>
          <w:rStyle w:val="Hyperlink"/>
          <w:noProof/>
          <w:color w:val="auto"/>
          <w:u w:val="none"/>
          <w:lang w:val="en-US"/>
        </w:rPr>
        <w:t>6</w:t>
      </w:r>
      <w:r w:rsidR="00EA7E55">
        <w:rPr>
          <w:rStyle w:val="Hyperlink"/>
          <w:noProof/>
          <w:color w:val="auto"/>
          <w:u w:val="none"/>
          <w:lang w:val="en-US"/>
        </w:rPr>
        <w:t>6</w:t>
      </w:r>
    </w:p>
    <w:p w:rsidR="004E5C92" w:rsidRPr="00EA7E55" w:rsidRDefault="007C640D" w:rsidP="00EA7E55">
      <w:pPr>
        <w:pStyle w:val="TOC1"/>
        <w:spacing w:before="120"/>
        <w:ind w:right="1134"/>
        <w:rPr>
          <w:rStyle w:val="Hyperlink"/>
          <w:noProof/>
          <w:color w:val="auto"/>
          <w:u w:val="none"/>
          <w:lang w:val="en-US"/>
        </w:rPr>
      </w:pPr>
      <w:hyperlink w:anchor="_Toc329011651" w:history="1">
        <w:r w:rsidR="004E5C92" w:rsidRPr="00EA7E55">
          <w:rPr>
            <w:rStyle w:val="Hyperlink"/>
            <w:noProof/>
            <w:color w:val="auto"/>
            <w:u w:val="none"/>
            <w:lang w:val="en-US"/>
          </w:rPr>
          <w:t>Note 2</w:t>
        </w:r>
        <w:r w:rsidR="009C7A12" w:rsidRPr="00EA7E55">
          <w:rPr>
            <w:rStyle w:val="Hyperlink"/>
            <w:noProof/>
            <w:color w:val="auto"/>
            <w:u w:val="none"/>
            <w:lang w:val="en-US"/>
          </w:rPr>
          <w:t>6</w:t>
        </w:r>
        <w:r w:rsidR="004E5C92" w:rsidRPr="00EA7E55">
          <w:rPr>
            <w:rStyle w:val="Hyperlink"/>
            <w:noProof/>
            <w:color w:val="auto"/>
            <w:u w:val="none"/>
            <w:lang w:val="en-US"/>
          </w:rPr>
          <w:tab/>
        </w:r>
        <w:r w:rsidR="00F84E71" w:rsidRPr="00EA7E55">
          <w:rPr>
            <w:rStyle w:val="Hyperlink"/>
            <w:noProof/>
            <w:color w:val="auto"/>
            <w:u w:val="none"/>
            <w:lang w:val="en-US"/>
          </w:rPr>
          <w:t>Reconciliation between budgeted amounts and actual amounts</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r w:rsidR="0069715C" w:rsidRPr="00EA7E55">
          <w:rPr>
            <w:rStyle w:val="Hyperlink"/>
            <w:noProof/>
            <w:webHidden/>
            <w:color w:val="auto"/>
            <w:u w:val="none"/>
            <w:lang w:val="en-US"/>
          </w:rPr>
          <w:t>6</w:t>
        </w:r>
      </w:hyperlink>
      <w:r w:rsidR="00EA7E55">
        <w:rPr>
          <w:rStyle w:val="Hyperlink"/>
          <w:noProof/>
          <w:color w:val="auto"/>
          <w:u w:val="none"/>
          <w:lang w:val="en-US"/>
        </w:rPr>
        <w:t>6</w:t>
      </w:r>
    </w:p>
    <w:p w:rsidR="004E5C92" w:rsidRPr="00EA7E55" w:rsidRDefault="007C640D" w:rsidP="00EA7E55">
      <w:pPr>
        <w:pStyle w:val="TOC1"/>
        <w:spacing w:before="120"/>
        <w:ind w:right="1134"/>
        <w:rPr>
          <w:rStyle w:val="Hyperlink"/>
          <w:noProof/>
          <w:color w:val="auto"/>
          <w:u w:val="none"/>
          <w:lang w:val="en-US"/>
        </w:rPr>
      </w:pPr>
      <w:hyperlink w:anchor="_Toc329011652" w:history="1">
        <w:r w:rsidR="004E5C92" w:rsidRPr="00EA7E55">
          <w:rPr>
            <w:rStyle w:val="Hyperlink"/>
            <w:noProof/>
            <w:color w:val="auto"/>
            <w:u w:val="none"/>
          </w:rPr>
          <w:t>Note 2</w:t>
        </w:r>
        <w:r w:rsidR="009C7A12" w:rsidRPr="00EA7E55">
          <w:rPr>
            <w:rStyle w:val="Hyperlink"/>
            <w:noProof/>
            <w:color w:val="auto"/>
            <w:u w:val="none"/>
          </w:rPr>
          <w:t>7</w:t>
        </w:r>
        <w:r w:rsidR="004E5C92" w:rsidRPr="00EA7E55">
          <w:rPr>
            <w:rStyle w:val="Hyperlink"/>
            <w:noProof/>
            <w:color w:val="auto"/>
            <w:u w:val="none"/>
          </w:rPr>
          <w:tab/>
        </w:r>
        <w:r w:rsidR="004955C8" w:rsidRPr="00EA7E55">
          <w:rPr>
            <w:rStyle w:val="Hyperlink"/>
            <w:noProof/>
            <w:color w:val="auto"/>
            <w:u w:val="none"/>
          </w:rPr>
          <w:t>Related-party disclosures</w:t>
        </w:r>
        <w:r w:rsidR="004E5C92" w:rsidRPr="00EA7E55">
          <w:rPr>
            <w:rStyle w:val="Hyperlink"/>
            <w:noProof/>
            <w:webHidden/>
            <w:color w:val="auto"/>
            <w:u w:val="none"/>
          </w:rPr>
          <w:tab/>
        </w:r>
        <w:r w:rsidR="0096438E" w:rsidRPr="00EA7E55">
          <w:rPr>
            <w:rStyle w:val="Hyperlink"/>
            <w:noProof/>
            <w:webHidden/>
            <w:color w:val="auto"/>
            <w:u w:val="none"/>
          </w:rPr>
          <w:tab/>
        </w:r>
        <w:r w:rsidR="0069715C" w:rsidRPr="00EA7E55">
          <w:rPr>
            <w:rStyle w:val="Hyperlink"/>
            <w:noProof/>
            <w:webHidden/>
            <w:color w:val="auto"/>
            <w:u w:val="none"/>
          </w:rPr>
          <w:t>6</w:t>
        </w:r>
      </w:hyperlink>
      <w:r w:rsidR="00EA7E55">
        <w:rPr>
          <w:rStyle w:val="Hyperlink"/>
          <w:noProof/>
          <w:color w:val="auto"/>
          <w:u w:val="none"/>
        </w:rPr>
        <w:t>7</w:t>
      </w:r>
    </w:p>
    <w:p w:rsidR="004E5C92" w:rsidRPr="00EA7E55" w:rsidRDefault="007C640D" w:rsidP="00EA7E55">
      <w:pPr>
        <w:pStyle w:val="TOC1"/>
        <w:spacing w:before="120"/>
        <w:ind w:right="1134"/>
        <w:rPr>
          <w:rStyle w:val="Hyperlink"/>
          <w:noProof/>
          <w:color w:val="auto"/>
          <w:u w:val="none"/>
          <w:lang w:val="en-US"/>
        </w:rPr>
      </w:pPr>
      <w:hyperlink w:anchor="_Toc329011653" w:history="1">
        <w:r w:rsidR="004E5C92" w:rsidRPr="00EA7E55">
          <w:rPr>
            <w:rStyle w:val="Hyperlink"/>
            <w:noProof/>
            <w:color w:val="auto"/>
            <w:u w:val="none"/>
            <w:lang w:val="en-US"/>
          </w:rPr>
          <w:t>Note 2</w:t>
        </w:r>
        <w:r w:rsidR="009C7A12" w:rsidRPr="00EA7E55">
          <w:rPr>
            <w:rStyle w:val="Hyperlink"/>
            <w:noProof/>
            <w:color w:val="auto"/>
            <w:u w:val="none"/>
            <w:lang w:val="en-US"/>
          </w:rPr>
          <w:t>8</w:t>
        </w:r>
        <w:r w:rsidR="004E5C92" w:rsidRPr="00EA7E55">
          <w:rPr>
            <w:rStyle w:val="Hyperlink"/>
            <w:noProof/>
            <w:color w:val="auto"/>
            <w:u w:val="none"/>
            <w:lang w:val="en-US"/>
          </w:rPr>
          <w:tab/>
        </w:r>
        <w:r w:rsidR="004955C8" w:rsidRPr="00EA7E55">
          <w:rPr>
            <w:rStyle w:val="Hyperlink"/>
            <w:noProof/>
            <w:color w:val="auto"/>
            <w:u w:val="none"/>
            <w:lang w:val="en-US"/>
          </w:rPr>
          <w:t>Obligations</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r w:rsidR="006E776D" w:rsidRPr="00EA7E55">
          <w:rPr>
            <w:rStyle w:val="Hyperlink"/>
            <w:noProof/>
            <w:webHidden/>
            <w:color w:val="auto"/>
            <w:u w:val="none"/>
            <w:lang w:val="en-US"/>
          </w:rPr>
          <w:t>6</w:t>
        </w:r>
      </w:hyperlink>
      <w:r w:rsidR="00EA7E55">
        <w:rPr>
          <w:rStyle w:val="Hyperlink"/>
          <w:noProof/>
          <w:color w:val="auto"/>
          <w:u w:val="none"/>
          <w:lang w:val="en-US"/>
        </w:rPr>
        <w:t>8</w:t>
      </w:r>
    </w:p>
    <w:p w:rsidR="004E5C92" w:rsidRPr="00EA7E55" w:rsidRDefault="007C640D" w:rsidP="00EA7E55">
      <w:pPr>
        <w:pStyle w:val="TOC1"/>
        <w:spacing w:before="120"/>
        <w:ind w:right="1134"/>
        <w:rPr>
          <w:rStyle w:val="Hyperlink"/>
          <w:noProof/>
          <w:color w:val="auto"/>
          <w:u w:val="none"/>
          <w:lang w:val="en-US"/>
        </w:rPr>
      </w:pPr>
      <w:hyperlink w:anchor="_Toc329011654" w:history="1">
        <w:r w:rsidR="004E5C92" w:rsidRPr="00EA7E55">
          <w:rPr>
            <w:rStyle w:val="Hyperlink"/>
            <w:noProof/>
            <w:color w:val="auto"/>
            <w:u w:val="none"/>
            <w:lang w:val="en-US"/>
          </w:rPr>
          <w:t>Note 2</w:t>
        </w:r>
        <w:r w:rsidR="009C7A12" w:rsidRPr="00EA7E55">
          <w:rPr>
            <w:rStyle w:val="Hyperlink"/>
            <w:noProof/>
            <w:color w:val="auto"/>
            <w:u w:val="none"/>
            <w:lang w:val="en-US"/>
          </w:rPr>
          <w:t>9</w:t>
        </w:r>
        <w:r w:rsidR="004E5C92" w:rsidRPr="00EA7E55">
          <w:rPr>
            <w:rStyle w:val="Hyperlink"/>
            <w:noProof/>
            <w:color w:val="auto"/>
            <w:u w:val="none"/>
            <w:lang w:val="en-US"/>
          </w:rPr>
          <w:tab/>
        </w:r>
        <w:r w:rsidR="004955C8" w:rsidRPr="00EA7E55">
          <w:rPr>
            <w:rStyle w:val="Hyperlink"/>
            <w:noProof/>
            <w:color w:val="auto"/>
            <w:u w:val="none"/>
            <w:lang w:val="en-US"/>
          </w:rPr>
          <w:t>Events after the reporting date</w:t>
        </w:r>
        <w:r w:rsidR="004E5C92" w:rsidRPr="00EA7E55">
          <w:rPr>
            <w:rStyle w:val="Hyperlink"/>
            <w:noProof/>
            <w:webHidden/>
            <w:color w:val="auto"/>
            <w:u w:val="none"/>
            <w:lang w:val="en-US"/>
          </w:rPr>
          <w:tab/>
        </w:r>
        <w:r w:rsidR="0096438E" w:rsidRPr="00EA7E55">
          <w:rPr>
            <w:rStyle w:val="Hyperlink"/>
            <w:noProof/>
            <w:webHidden/>
            <w:color w:val="auto"/>
            <w:u w:val="none"/>
            <w:lang w:val="en-US"/>
          </w:rPr>
          <w:tab/>
        </w:r>
        <w:r w:rsidR="004955C8" w:rsidRPr="00EA7E55">
          <w:rPr>
            <w:rStyle w:val="Hyperlink"/>
            <w:noProof/>
            <w:webHidden/>
            <w:color w:val="auto"/>
            <w:u w:val="none"/>
            <w:lang w:val="en-US"/>
          </w:rPr>
          <w:t>6</w:t>
        </w:r>
      </w:hyperlink>
      <w:r w:rsidR="00EA7E55">
        <w:rPr>
          <w:rStyle w:val="Hyperlink"/>
          <w:noProof/>
          <w:color w:val="auto"/>
          <w:u w:val="none"/>
          <w:lang w:val="en-US"/>
        </w:rPr>
        <w:t>9</w:t>
      </w:r>
    </w:p>
    <w:p w:rsidR="0022373A" w:rsidRPr="001C2A98" w:rsidRDefault="0022373A" w:rsidP="00C076D4">
      <w:pPr>
        <w:pStyle w:val="TOC1"/>
        <w:spacing w:before="120"/>
        <w:ind w:right="1134"/>
        <w:rPr>
          <w:b/>
          <w:sz w:val="28"/>
          <w:lang w:val="en-US"/>
        </w:rPr>
      </w:pPr>
      <w:r w:rsidRPr="00EA7E55">
        <w:rPr>
          <w:rStyle w:val="Hyperlink"/>
          <w:noProof/>
          <w:u w:val="none"/>
        </w:rPr>
        <w:fldChar w:fldCharType="end"/>
      </w:r>
      <w:bookmarkStart w:id="16" w:name="_Toc304390545"/>
      <w:bookmarkStart w:id="17" w:name="_Toc304406411"/>
      <w:r w:rsidRPr="001C2A98">
        <w:rPr>
          <w:lang w:val="en-US"/>
        </w:rPr>
        <w:br w:type="page"/>
      </w:r>
    </w:p>
    <w:p w:rsidR="00C70441" w:rsidRDefault="00C70441" w:rsidP="00C70441">
      <w:pPr>
        <w:pStyle w:val="Tabletext"/>
        <w:spacing w:before="0" w:after="0"/>
        <w:jc w:val="center"/>
        <w:rPr>
          <w:b/>
          <w:bCs/>
          <w:sz w:val="28"/>
          <w:szCs w:val="28"/>
          <w:lang w:val="en-US"/>
        </w:rPr>
      </w:pPr>
      <w:bookmarkStart w:id="18" w:name="_Toc305764056"/>
      <w:bookmarkStart w:id="19" w:name="_Toc329011603"/>
    </w:p>
    <w:p w:rsidR="008D6FDF" w:rsidRPr="000D09E0" w:rsidRDefault="0022373A" w:rsidP="00BD5D98">
      <w:pPr>
        <w:pStyle w:val="Tabletext"/>
        <w:jc w:val="center"/>
        <w:rPr>
          <w:b/>
          <w:bCs/>
          <w:noProof/>
          <w:lang w:val="en-US" w:eastAsia="zh-CN"/>
        </w:rPr>
      </w:pPr>
      <w:r w:rsidRPr="000D09E0">
        <w:rPr>
          <w:b/>
          <w:bCs/>
          <w:sz w:val="28"/>
          <w:szCs w:val="28"/>
          <w:lang w:val="en-US"/>
        </w:rPr>
        <w:t xml:space="preserve">I – </w:t>
      </w:r>
      <w:bookmarkEnd w:id="16"/>
      <w:bookmarkEnd w:id="17"/>
      <w:r w:rsidRPr="000D09E0">
        <w:rPr>
          <w:b/>
          <w:bCs/>
          <w:sz w:val="28"/>
          <w:szCs w:val="28"/>
          <w:lang w:val="en-US"/>
        </w:rPr>
        <w:t xml:space="preserve">Statement of financial position – Balance sheet at 31 December </w:t>
      </w:r>
      <w:bookmarkEnd w:id="18"/>
      <w:r w:rsidR="00111BDD" w:rsidRPr="000D09E0">
        <w:rPr>
          <w:b/>
          <w:bCs/>
          <w:sz w:val="28"/>
          <w:szCs w:val="28"/>
          <w:lang w:val="en-US"/>
        </w:rPr>
        <w:t>201</w:t>
      </w:r>
      <w:r w:rsidR="00BD5D98">
        <w:rPr>
          <w:b/>
          <w:bCs/>
          <w:sz w:val="28"/>
          <w:szCs w:val="28"/>
          <w:lang w:val="en-US"/>
        </w:rPr>
        <w:t>8</w:t>
      </w:r>
      <w:r w:rsidRPr="000D09E0">
        <w:rPr>
          <w:b/>
          <w:bCs/>
          <w:sz w:val="28"/>
          <w:szCs w:val="28"/>
          <w:lang w:val="en-US"/>
        </w:rPr>
        <w:t xml:space="preserve"> with comparative figures as at 31 December 201</w:t>
      </w:r>
      <w:bookmarkStart w:id="20" w:name="_Toc305764057"/>
      <w:bookmarkStart w:id="21" w:name="_Toc329011604"/>
      <w:bookmarkEnd w:id="19"/>
      <w:r w:rsidR="00BD5D98">
        <w:rPr>
          <w:b/>
          <w:bCs/>
          <w:sz w:val="28"/>
          <w:szCs w:val="28"/>
          <w:lang w:val="en-US"/>
        </w:rPr>
        <w:t>7</w:t>
      </w:r>
    </w:p>
    <w:tbl>
      <w:tblPr>
        <w:tblW w:w="5000" w:type="pct"/>
        <w:tblLook w:val="04A0" w:firstRow="1" w:lastRow="0" w:firstColumn="1" w:lastColumn="0" w:noHBand="0" w:noVBand="1"/>
      </w:tblPr>
      <w:tblGrid>
        <w:gridCol w:w="5086"/>
        <w:gridCol w:w="850"/>
        <w:gridCol w:w="1898"/>
        <w:gridCol w:w="1937"/>
      </w:tblGrid>
      <w:tr w:rsidR="00A67B7D" w:rsidRPr="00A67B7D" w:rsidTr="00A67B7D">
        <w:trPr>
          <w:trHeight w:val="300"/>
        </w:trPr>
        <w:tc>
          <w:tcPr>
            <w:tcW w:w="2603" w:type="pct"/>
            <w:tcBorders>
              <w:top w:val="single" w:sz="4" w:space="0" w:color="auto"/>
              <w:left w:val="single" w:sz="4" w:space="0" w:color="auto"/>
              <w:bottom w:val="single" w:sz="4" w:space="0" w:color="auto"/>
              <w:right w:val="nil"/>
            </w:tcBorders>
            <w:shd w:val="clear" w:color="auto" w:fill="auto"/>
            <w:noWrap/>
            <w:vAlign w:val="bottom"/>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(in thousands of CHF)</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Notes</w:t>
            </w:r>
          </w:p>
        </w:tc>
        <w:tc>
          <w:tcPr>
            <w:tcW w:w="971" w:type="pct"/>
            <w:tcBorders>
              <w:top w:val="single" w:sz="4" w:space="0" w:color="auto"/>
              <w:left w:val="nil"/>
              <w:bottom w:val="single" w:sz="4" w:space="0" w:color="auto"/>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31/12/2018</w:t>
            </w:r>
          </w:p>
        </w:tc>
        <w:tc>
          <w:tcPr>
            <w:tcW w:w="991" w:type="pct"/>
            <w:tcBorders>
              <w:top w:val="single" w:sz="4" w:space="0" w:color="auto"/>
              <w:left w:val="nil"/>
              <w:bottom w:val="single" w:sz="4" w:space="0" w:color="auto"/>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31/12/2017</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ASSETS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Current assets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Cash and cash equivalents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095828"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6</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161,826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135,297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Investments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095828"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7</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48,996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31,363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Receivables - exchange transactions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095828"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8</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5,407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8,934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Receivables - non-exchange transactions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095828"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8</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85,356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88,139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Inventories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095828"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9</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535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661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Other receivables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09582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w:t>
            </w:r>
            <w:r w:rsidR="00095828">
              <w:rPr>
                <w:rFonts w:asciiTheme="minorHAnsi" w:hAnsiTheme="minorHAnsi" w:cs="Arial"/>
                <w:color w:val="000000"/>
                <w:sz w:val="20"/>
                <w:lang w:val="en-US" w:eastAsia="zh-CN"/>
              </w:rPr>
              <w:t>0</w:t>
            </w:r>
          </w:p>
        </w:tc>
        <w:tc>
          <w:tcPr>
            <w:tcW w:w="971" w:type="pct"/>
            <w:tcBorders>
              <w:top w:val="nil"/>
              <w:left w:val="nil"/>
              <w:bottom w:val="nil"/>
              <w:right w:val="single" w:sz="4" w:space="0" w:color="auto"/>
            </w:tcBorders>
            <w:shd w:val="clear" w:color="auto" w:fill="auto"/>
            <w:hideMark/>
          </w:tcPr>
          <w:p w:rsidR="00A67B7D" w:rsidRPr="00A67B7D" w:rsidRDefault="00A67B7D" w:rsidP="00B6201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w:t>
            </w:r>
            <w:r w:rsidR="00B62014">
              <w:rPr>
                <w:rFonts w:asciiTheme="minorHAnsi" w:hAnsiTheme="minorHAnsi" w:cs="Arial"/>
                <w:color w:val="000000"/>
                <w:sz w:val="20"/>
                <w:lang w:val="en-US" w:eastAsia="zh-CN"/>
              </w:rPr>
              <w:t>8</w:t>
            </w:r>
            <w:r w:rsidRPr="00A67B7D">
              <w:rPr>
                <w:rFonts w:asciiTheme="minorHAnsi" w:hAnsiTheme="minorHAnsi" w:cs="Arial"/>
                <w:color w:val="000000"/>
                <w:sz w:val="20"/>
                <w:lang w:val="en-US" w:eastAsia="zh-CN"/>
              </w:rPr>
              <w:t>,</w:t>
            </w:r>
            <w:r w:rsidR="00B62014">
              <w:rPr>
                <w:rFonts w:asciiTheme="minorHAnsi" w:hAnsiTheme="minorHAnsi" w:cs="Arial"/>
                <w:color w:val="000000"/>
                <w:sz w:val="20"/>
                <w:lang w:val="en-US" w:eastAsia="zh-CN"/>
              </w:rPr>
              <w:t>534</w:t>
            </w:r>
            <w:r w:rsidRPr="00A67B7D">
              <w:rPr>
                <w:rFonts w:asciiTheme="minorHAnsi" w:hAnsiTheme="minorHAnsi" w:cs="Arial"/>
                <w:color w:val="000000"/>
                <w:sz w:val="20"/>
                <w:lang w:val="en-US" w:eastAsia="zh-CN"/>
              </w:rPr>
              <w:t xml:space="preserve">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7,505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Total current assets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p>
        </w:tc>
        <w:tc>
          <w:tcPr>
            <w:tcW w:w="971" w:type="pct"/>
            <w:tcBorders>
              <w:top w:val="nil"/>
              <w:left w:val="nil"/>
              <w:bottom w:val="nil"/>
              <w:right w:val="single" w:sz="4" w:space="0" w:color="auto"/>
            </w:tcBorders>
            <w:shd w:val="clear" w:color="auto" w:fill="auto"/>
            <w:hideMark/>
          </w:tcPr>
          <w:p w:rsidR="00A67B7D" w:rsidRPr="00A67B7D" w:rsidRDefault="00A67B7D" w:rsidP="00B6201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                     3</w:t>
            </w:r>
            <w:r w:rsidR="00B62014">
              <w:rPr>
                <w:rFonts w:asciiTheme="minorHAnsi" w:hAnsiTheme="minorHAnsi" w:cs="Arial"/>
                <w:b/>
                <w:bCs/>
                <w:color w:val="000000"/>
                <w:sz w:val="20"/>
                <w:lang w:val="en-US" w:eastAsia="zh-CN"/>
              </w:rPr>
              <w:t>10</w:t>
            </w:r>
            <w:r w:rsidRPr="00A67B7D">
              <w:rPr>
                <w:rFonts w:asciiTheme="minorHAnsi" w:hAnsiTheme="minorHAnsi" w:cs="Arial"/>
                <w:b/>
                <w:bCs/>
                <w:color w:val="000000"/>
                <w:sz w:val="20"/>
                <w:lang w:val="en-US" w:eastAsia="zh-CN"/>
              </w:rPr>
              <w:t>,</w:t>
            </w:r>
            <w:r w:rsidR="00B62014">
              <w:rPr>
                <w:rFonts w:asciiTheme="minorHAnsi" w:hAnsiTheme="minorHAnsi" w:cs="Arial"/>
                <w:b/>
                <w:bCs/>
                <w:color w:val="000000"/>
                <w:sz w:val="20"/>
                <w:lang w:val="en-US" w:eastAsia="zh-CN"/>
              </w:rPr>
              <w:t>653</w:t>
            </w:r>
            <w:r w:rsidRPr="00A67B7D">
              <w:rPr>
                <w:rFonts w:asciiTheme="minorHAnsi" w:hAnsiTheme="minorHAnsi" w:cs="Arial"/>
                <w:b/>
                <w:bCs/>
                <w:color w:val="000000"/>
                <w:sz w:val="20"/>
                <w:lang w:val="en-US" w:eastAsia="zh-CN"/>
              </w:rPr>
              <w:t xml:space="preserve">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                     271,898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Non-current assets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Receivables - non-exchange transactions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095828"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8</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Property, plant and equipment</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09582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w:t>
            </w:r>
            <w:r w:rsidR="00095828">
              <w:rPr>
                <w:rFonts w:asciiTheme="minorHAnsi" w:hAnsiTheme="minorHAnsi" w:cs="Arial"/>
                <w:color w:val="000000"/>
                <w:sz w:val="20"/>
                <w:lang w:val="en-US" w:eastAsia="zh-CN"/>
              </w:rPr>
              <w:t>1</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95,625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99,000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Intangible assets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09582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w:t>
            </w:r>
            <w:r w:rsidR="00095828">
              <w:rPr>
                <w:rFonts w:asciiTheme="minorHAnsi" w:hAnsiTheme="minorHAnsi" w:cs="Arial"/>
                <w:color w:val="000000"/>
                <w:sz w:val="20"/>
                <w:lang w:val="en-US" w:eastAsia="zh-CN"/>
              </w:rPr>
              <w:t>2</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2,058 </w:t>
            </w:r>
          </w:p>
        </w:tc>
        <w:tc>
          <w:tcPr>
            <w:tcW w:w="991" w:type="pct"/>
            <w:tcBorders>
              <w:top w:val="nil"/>
              <w:left w:val="nil"/>
              <w:bottom w:val="nil"/>
              <w:right w:val="single" w:sz="4" w:space="0" w:color="auto"/>
            </w:tcBorders>
            <w:shd w:val="clear" w:color="auto" w:fill="auto"/>
            <w:noWrap/>
            <w:vAlign w:val="bottom"/>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967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Assets under construction</w:t>
            </w:r>
          </w:p>
        </w:tc>
        <w:tc>
          <w:tcPr>
            <w:tcW w:w="435" w:type="pct"/>
            <w:tcBorders>
              <w:top w:val="nil"/>
              <w:left w:val="single" w:sz="4" w:space="0" w:color="auto"/>
              <w:bottom w:val="nil"/>
              <w:right w:val="single" w:sz="4" w:space="0" w:color="auto"/>
            </w:tcBorders>
            <w:shd w:val="clear" w:color="auto" w:fill="auto"/>
            <w:hideMark/>
          </w:tcPr>
          <w:p w:rsidR="00A67B7D" w:rsidRDefault="00095828"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13</w:t>
            </w:r>
          </w:p>
          <w:p w:rsidR="00095828" w:rsidRPr="00A67B7D" w:rsidRDefault="00095828" w:rsidP="0009582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2,309 </w:t>
            </w:r>
          </w:p>
        </w:tc>
        <w:tc>
          <w:tcPr>
            <w:tcW w:w="991" w:type="pct"/>
            <w:tcBorders>
              <w:top w:val="nil"/>
              <w:left w:val="nil"/>
              <w:bottom w:val="nil"/>
              <w:right w:val="single" w:sz="4" w:space="0" w:color="auto"/>
            </w:tcBorders>
            <w:shd w:val="clear" w:color="auto" w:fill="auto"/>
            <w:noWrap/>
            <w:vAlign w:val="bottom"/>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908 </w:t>
            </w:r>
          </w:p>
        </w:tc>
      </w:tr>
      <w:tr w:rsidR="00A67B7D" w:rsidRPr="00A67B7D" w:rsidTr="00A67B7D">
        <w:trPr>
          <w:trHeight w:val="225"/>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Total non-current assets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                       99,992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                     100,876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w:t>
            </w:r>
          </w:p>
        </w:tc>
      </w:tr>
      <w:tr w:rsidR="00A67B7D" w:rsidRPr="00A67B7D" w:rsidTr="00A67B7D">
        <w:trPr>
          <w:trHeight w:val="499"/>
        </w:trPr>
        <w:tc>
          <w:tcPr>
            <w:tcW w:w="2603" w:type="pct"/>
            <w:tcBorders>
              <w:top w:val="single" w:sz="4" w:space="0" w:color="auto"/>
              <w:left w:val="single" w:sz="4" w:space="0" w:color="auto"/>
              <w:bottom w:val="single" w:sz="4" w:space="0" w:color="auto"/>
              <w:right w:val="nil"/>
            </w:tcBorders>
            <w:shd w:val="clear" w:color="auto" w:fill="auto"/>
            <w:noWrap/>
            <w:vAlign w:val="center"/>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Total ASSETS</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0"/>
                <w:lang w:val="en-US" w:eastAsia="zh-CN"/>
              </w:rPr>
            </w:pPr>
          </w:p>
        </w:tc>
        <w:tc>
          <w:tcPr>
            <w:tcW w:w="971" w:type="pct"/>
            <w:tcBorders>
              <w:top w:val="single" w:sz="4" w:space="0" w:color="auto"/>
              <w:left w:val="nil"/>
              <w:bottom w:val="single" w:sz="4" w:space="0" w:color="auto"/>
              <w:right w:val="single" w:sz="4" w:space="0" w:color="auto"/>
            </w:tcBorders>
            <w:shd w:val="clear" w:color="auto" w:fill="auto"/>
            <w:noWrap/>
            <w:vAlign w:val="center"/>
            <w:hideMark/>
          </w:tcPr>
          <w:p w:rsidR="00A67B7D" w:rsidRPr="00A67B7D" w:rsidRDefault="00A67B7D" w:rsidP="00B6201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                     4</w:t>
            </w:r>
            <w:r w:rsidR="00B62014">
              <w:rPr>
                <w:rFonts w:asciiTheme="minorHAnsi" w:hAnsiTheme="minorHAnsi" w:cs="Arial"/>
                <w:b/>
                <w:bCs/>
                <w:color w:val="000000"/>
                <w:sz w:val="20"/>
                <w:lang w:val="en-US" w:eastAsia="zh-CN"/>
              </w:rPr>
              <w:t>10</w:t>
            </w:r>
            <w:r w:rsidRPr="00A67B7D">
              <w:rPr>
                <w:rFonts w:asciiTheme="minorHAnsi" w:hAnsiTheme="minorHAnsi" w:cs="Arial"/>
                <w:b/>
                <w:bCs/>
                <w:color w:val="000000"/>
                <w:sz w:val="20"/>
                <w:lang w:val="en-US" w:eastAsia="zh-CN"/>
              </w:rPr>
              <w:t>,</w:t>
            </w:r>
            <w:r w:rsidR="00B62014">
              <w:rPr>
                <w:rFonts w:asciiTheme="minorHAnsi" w:hAnsiTheme="minorHAnsi" w:cs="Arial"/>
                <w:b/>
                <w:bCs/>
                <w:color w:val="000000"/>
                <w:sz w:val="20"/>
                <w:lang w:val="en-US" w:eastAsia="zh-CN"/>
              </w:rPr>
              <w:t>645</w:t>
            </w:r>
            <w:r w:rsidRPr="00A67B7D">
              <w:rPr>
                <w:rFonts w:asciiTheme="minorHAnsi" w:hAnsiTheme="minorHAnsi" w:cs="Arial"/>
                <w:b/>
                <w:bCs/>
                <w:color w:val="000000"/>
                <w:sz w:val="20"/>
                <w:lang w:val="en-US" w:eastAsia="zh-CN"/>
              </w:rPr>
              <w:t xml:space="preserve"> </w:t>
            </w:r>
          </w:p>
        </w:tc>
        <w:tc>
          <w:tcPr>
            <w:tcW w:w="991" w:type="pct"/>
            <w:tcBorders>
              <w:top w:val="single" w:sz="4" w:space="0" w:color="auto"/>
              <w:left w:val="nil"/>
              <w:bottom w:val="single" w:sz="4" w:space="0" w:color="auto"/>
              <w:right w:val="single" w:sz="4" w:space="0" w:color="auto"/>
            </w:tcBorders>
            <w:shd w:val="clear" w:color="auto" w:fill="auto"/>
            <w:noWrap/>
            <w:vAlign w:val="center"/>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                     372,774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LIABILITIES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Current liabilities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Suppliers and other creditors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14</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8,905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9,671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Deferred revenue</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15</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136,273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134,275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Borrowings and financial debts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16</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1,493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1,493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Employee benefits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17</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187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226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Provisions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18</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6,832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1,636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Other debts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19</w:t>
            </w:r>
          </w:p>
        </w:tc>
        <w:tc>
          <w:tcPr>
            <w:tcW w:w="971" w:type="pct"/>
            <w:tcBorders>
              <w:top w:val="nil"/>
              <w:left w:val="nil"/>
              <w:bottom w:val="nil"/>
              <w:right w:val="single" w:sz="4" w:space="0" w:color="auto"/>
            </w:tcBorders>
            <w:shd w:val="clear" w:color="auto" w:fill="auto"/>
            <w:hideMark/>
          </w:tcPr>
          <w:p w:rsidR="00A67B7D" w:rsidRPr="00A67B7D" w:rsidRDefault="00A67B7D" w:rsidP="00B6201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w:t>
            </w:r>
            <w:r w:rsidR="00B62014">
              <w:rPr>
                <w:rFonts w:asciiTheme="minorHAnsi" w:hAnsiTheme="minorHAnsi" w:cs="Arial"/>
                <w:color w:val="000000"/>
                <w:sz w:val="20"/>
                <w:lang w:val="en-US" w:eastAsia="zh-CN"/>
              </w:rPr>
              <w:t>3</w:t>
            </w:r>
            <w:r w:rsidRPr="00A67B7D">
              <w:rPr>
                <w:rFonts w:asciiTheme="minorHAnsi" w:hAnsiTheme="minorHAnsi" w:cs="Arial"/>
                <w:color w:val="000000"/>
                <w:sz w:val="20"/>
                <w:lang w:val="en-US" w:eastAsia="zh-CN"/>
              </w:rPr>
              <w:t>,</w:t>
            </w:r>
            <w:r w:rsidR="00B62014">
              <w:rPr>
                <w:rFonts w:asciiTheme="minorHAnsi" w:hAnsiTheme="minorHAnsi" w:cs="Arial"/>
                <w:color w:val="000000"/>
                <w:sz w:val="20"/>
                <w:lang w:val="en-US" w:eastAsia="zh-CN"/>
              </w:rPr>
              <w:t>195</w:t>
            </w:r>
            <w:r w:rsidRPr="00A67B7D">
              <w:rPr>
                <w:rFonts w:asciiTheme="minorHAnsi" w:hAnsiTheme="minorHAnsi" w:cs="Arial"/>
                <w:color w:val="000000"/>
                <w:sz w:val="20"/>
                <w:lang w:val="en-US" w:eastAsia="zh-CN"/>
              </w:rPr>
              <w:t xml:space="preserve">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1,810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Total current liabilities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p>
        </w:tc>
        <w:tc>
          <w:tcPr>
            <w:tcW w:w="971" w:type="pct"/>
            <w:tcBorders>
              <w:top w:val="nil"/>
              <w:left w:val="nil"/>
              <w:bottom w:val="nil"/>
              <w:right w:val="single" w:sz="4" w:space="0" w:color="auto"/>
            </w:tcBorders>
            <w:shd w:val="clear" w:color="auto" w:fill="auto"/>
            <w:hideMark/>
          </w:tcPr>
          <w:p w:rsidR="00A67B7D" w:rsidRPr="00A67B7D" w:rsidRDefault="00A67B7D" w:rsidP="00B62014">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                     15</w:t>
            </w:r>
            <w:r w:rsidR="00B62014">
              <w:rPr>
                <w:rFonts w:asciiTheme="minorHAnsi" w:hAnsiTheme="minorHAnsi" w:cs="Arial"/>
                <w:b/>
                <w:bCs/>
                <w:color w:val="000000"/>
                <w:sz w:val="20"/>
                <w:lang w:val="en-US" w:eastAsia="zh-CN"/>
              </w:rPr>
              <w:t>6</w:t>
            </w:r>
            <w:r w:rsidRPr="00A67B7D">
              <w:rPr>
                <w:rFonts w:asciiTheme="minorHAnsi" w:hAnsiTheme="minorHAnsi" w:cs="Arial"/>
                <w:b/>
                <w:bCs/>
                <w:color w:val="000000"/>
                <w:sz w:val="20"/>
                <w:lang w:val="en-US" w:eastAsia="zh-CN"/>
              </w:rPr>
              <w:t>,</w:t>
            </w:r>
            <w:r w:rsidR="00B62014">
              <w:rPr>
                <w:rFonts w:asciiTheme="minorHAnsi" w:hAnsiTheme="minorHAnsi" w:cs="Arial"/>
                <w:b/>
                <w:bCs/>
                <w:color w:val="000000"/>
                <w:sz w:val="20"/>
                <w:lang w:val="en-US" w:eastAsia="zh-CN"/>
              </w:rPr>
              <w:t>887</w:t>
            </w:r>
            <w:r w:rsidRPr="00A67B7D">
              <w:rPr>
                <w:rFonts w:asciiTheme="minorHAnsi" w:hAnsiTheme="minorHAnsi" w:cs="Arial"/>
                <w:b/>
                <w:bCs/>
                <w:color w:val="000000"/>
                <w:sz w:val="20"/>
                <w:lang w:val="en-US" w:eastAsia="zh-CN"/>
              </w:rPr>
              <w:t xml:space="preserve"> </w:t>
            </w:r>
          </w:p>
        </w:tc>
        <w:tc>
          <w:tcPr>
            <w:tcW w:w="991" w:type="pct"/>
            <w:tcBorders>
              <w:top w:val="nil"/>
              <w:left w:val="nil"/>
              <w:bottom w:val="nil"/>
              <w:right w:val="single" w:sz="4" w:space="0" w:color="auto"/>
            </w:tcBorders>
            <w:shd w:val="clear" w:color="auto" w:fill="auto"/>
            <w:hideMark/>
          </w:tcPr>
          <w:p w:rsidR="00A67B7D" w:rsidRPr="00A67B7D" w:rsidRDefault="00A67B7D" w:rsidP="006D215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                     149,11</w:t>
            </w:r>
            <w:r w:rsidR="006D2152">
              <w:rPr>
                <w:rFonts w:asciiTheme="minorHAnsi" w:hAnsiTheme="minorHAnsi" w:cs="Arial"/>
                <w:b/>
                <w:bCs/>
                <w:color w:val="000000"/>
                <w:sz w:val="20"/>
                <w:lang w:val="en-US" w:eastAsia="zh-CN"/>
              </w:rPr>
              <w:t>2</w:t>
            </w:r>
            <w:r w:rsidRPr="00A67B7D">
              <w:rPr>
                <w:rFonts w:asciiTheme="minorHAnsi" w:hAnsiTheme="minorHAnsi" w:cs="Arial"/>
                <w:b/>
                <w:bCs/>
                <w:color w:val="000000"/>
                <w:sz w:val="20"/>
                <w:lang w:val="en-US" w:eastAsia="zh-CN"/>
              </w:rPr>
              <w:t xml:space="preserve">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Non-current liabilities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Borrowings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16</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41,699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41,526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Employee benefits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17</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573,412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638,365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Allocated third-party funds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20</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31,034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22,994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Third-party funds in process of allocation</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20</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2,790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3,300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Total non-current liabilities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                     648,936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                     706,185 </w:t>
            </w:r>
          </w:p>
        </w:tc>
      </w:tr>
      <w:tr w:rsidR="00A67B7D" w:rsidRPr="00A67B7D" w:rsidTr="00A67B7D">
        <w:trPr>
          <w:trHeight w:val="499"/>
        </w:trPr>
        <w:tc>
          <w:tcPr>
            <w:tcW w:w="2603" w:type="pct"/>
            <w:tcBorders>
              <w:top w:val="single" w:sz="4" w:space="0" w:color="auto"/>
              <w:left w:val="single" w:sz="4" w:space="0" w:color="auto"/>
              <w:bottom w:val="single" w:sz="4" w:space="0" w:color="auto"/>
              <w:right w:val="nil"/>
            </w:tcBorders>
            <w:shd w:val="clear" w:color="auto" w:fill="auto"/>
            <w:noWrap/>
            <w:vAlign w:val="center"/>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TOTAL LIABILITIES</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0"/>
                <w:lang w:val="en-US" w:eastAsia="zh-CN"/>
              </w:rPr>
            </w:pPr>
          </w:p>
        </w:tc>
        <w:tc>
          <w:tcPr>
            <w:tcW w:w="971" w:type="pct"/>
            <w:tcBorders>
              <w:top w:val="single" w:sz="4" w:space="0" w:color="auto"/>
              <w:left w:val="nil"/>
              <w:bottom w:val="single" w:sz="4" w:space="0" w:color="auto"/>
              <w:right w:val="single" w:sz="4" w:space="0" w:color="auto"/>
            </w:tcBorders>
            <w:shd w:val="clear" w:color="auto" w:fill="auto"/>
            <w:noWrap/>
            <w:vAlign w:val="center"/>
            <w:hideMark/>
          </w:tcPr>
          <w:p w:rsidR="00A67B7D" w:rsidRPr="00A67B7D" w:rsidRDefault="00A67B7D" w:rsidP="00B6201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                     8</w:t>
            </w:r>
            <w:r w:rsidR="00B62014">
              <w:rPr>
                <w:rFonts w:asciiTheme="minorHAnsi" w:hAnsiTheme="minorHAnsi" w:cs="Arial"/>
                <w:b/>
                <w:bCs/>
                <w:color w:val="000000"/>
                <w:sz w:val="20"/>
                <w:lang w:val="en-US" w:eastAsia="zh-CN"/>
              </w:rPr>
              <w:t>05</w:t>
            </w:r>
            <w:r w:rsidRPr="00A67B7D">
              <w:rPr>
                <w:rFonts w:asciiTheme="minorHAnsi" w:hAnsiTheme="minorHAnsi" w:cs="Arial"/>
                <w:b/>
                <w:bCs/>
                <w:color w:val="000000"/>
                <w:sz w:val="20"/>
                <w:lang w:val="en-US" w:eastAsia="zh-CN"/>
              </w:rPr>
              <w:t>,</w:t>
            </w:r>
            <w:r w:rsidR="00B62014">
              <w:rPr>
                <w:rFonts w:asciiTheme="minorHAnsi" w:hAnsiTheme="minorHAnsi" w:cs="Arial"/>
                <w:b/>
                <w:bCs/>
                <w:color w:val="000000"/>
                <w:sz w:val="20"/>
                <w:lang w:val="en-US" w:eastAsia="zh-CN"/>
              </w:rPr>
              <w:t>823</w:t>
            </w:r>
            <w:r w:rsidRPr="00A67B7D">
              <w:rPr>
                <w:rFonts w:asciiTheme="minorHAnsi" w:hAnsiTheme="minorHAnsi" w:cs="Arial"/>
                <w:b/>
                <w:bCs/>
                <w:color w:val="000000"/>
                <w:sz w:val="20"/>
                <w:lang w:val="en-US" w:eastAsia="zh-CN"/>
              </w:rPr>
              <w:t xml:space="preserve"> </w:t>
            </w:r>
          </w:p>
        </w:tc>
        <w:tc>
          <w:tcPr>
            <w:tcW w:w="991" w:type="pct"/>
            <w:tcBorders>
              <w:top w:val="single" w:sz="4" w:space="0" w:color="auto"/>
              <w:left w:val="nil"/>
              <w:bottom w:val="single" w:sz="4" w:space="0" w:color="auto"/>
              <w:right w:val="single" w:sz="4" w:space="0" w:color="auto"/>
            </w:tcBorders>
            <w:shd w:val="clear" w:color="auto" w:fill="auto"/>
            <w:noWrap/>
            <w:vAlign w:val="center"/>
            <w:hideMark/>
          </w:tcPr>
          <w:p w:rsidR="00A67B7D" w:rsidRPr="00A67B7D" w:rsidRDefault="00A67B7D" w:rsidP="006D215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                     855,29</w:t>
            </w:r>
            <w:r w:rsidR="006D2152">
              <w:rPr>
                <w:rFonts w:asciiTheme="minorHAnsi" w:hAnsiTheme="minorHAnsi" w:cs="Arial"/>
                <w:b/>
                <w:bCs/>
                <w:color w:val="000000"/>
                <w:sz w:val="20"/>
                <w:lang w:val="en-US" w:eastAsia="zh-CN"/>
              </w:rPr>
              <w:t>7</w:t>
            </w:r>
            <w:r w:rsidRPr="00A67B7D">
              <w:rPr>
                <w:rFonts w:asciiTheme="minorHAnsi" w:hAnsiTheme="minorHAnsi" w:cs="Arial"/>
                <w:b/>
                <w:bCs/>
                <w:color w:val="000000"/>
                <w:sz w:val="20"/>
                <w:lang w:val="en-US" w:eastAsia="zh-CN"/>
              </w:rPr>
              <w:t xml:space="preserve">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NET ASSETS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Organization's capital</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r>
      <w:tr w:rsidR="00A67B7D" w:rsidRPr="00A67B7D" w:rsidTr="00A67B7D">
        <w:trPr>
          <w:trHeight w:val="6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Reserve account before reallocation of the surplus/ deficit of the period</w:t>
            </w:r>
          </w:p>
        </w:tc>
        <w:tc>
          <w:tcPr>
            <w:tcW w:w="435" w:type="pct"/>
            <w:tcBorders>
              <w:top w:val="nil"/>
              <w:left w:val="single" w:sz="4" w:space="0" w:color="auto"/>
              <w:bottom w:val="nil"/>
              <w:right w:val="single" w:sz="4" w:space="0" w:color="auto"/>
            </w:tcBorders>
            <w:shd w:val="clear" w:color="auto" w:fill="auto"/>
            <w:hideMark/>
          </w:tcPr>
          <w:p w:rsidR="00A67B7D" w:rsidRPr="00A67B7D" w:rsidRDefault="00095828"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3</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26,934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27,089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Other Extra-budgetary reserves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095828"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3</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75,669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58,726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ASHI actuarial losses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17</w:t>
            </w: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-282,427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-369,704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Cumulated balances</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                    -207,378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-181,557 </w:t>
            </w:r>
          </w:p>
        </w:tc>
      </w:tr>
      <w:tr w:rsidR="00A67B7D" w:rsidRPr="00A67B7D" w:rsidTr="00A67B7D">
        <w:trPr>
          <w:trHeight w:val="300"/>
        </w:trPr>
        <w:tc>
          <w:tcPr>
            <w:tcW w:w="2603" w:type="pct"/>
            <w:tcBorders>
              <w:top w:val="nil"/>
              <w:left w:val="single" w:sz="4" w:space="0" w:color="auto"/>
              <w:bottom w:val="nil"/>
              <w:right w:val="nil"/>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Surplus/Deficit for the period</w:t>
            </w:r>
          </w:p>
        </w:tc>
        <w:tc>
          <w:tcPr>
            <w:tcW w:w="435" w:type="pct"/>
            <w:tcBorders>
              <w:top w:val="nil"/>
              <w:left w:val="single" w:sz="4" w:space="0" w:color="auto"/>
              <w:bottom w:val="nil"/>
              <w:right w:val="single" w:sz="4" w:space="0" w:color="auto"/>
            </w:tcBorders>
            <w:shd w:val="clear" w:color="auto" w:fill="auto"/>
            <w:hideMark/>
          </w:tcPr>
          <w:p w:rsidR="00A67B7D" w:rsidRPr="00A67B7D" w:rsidRDefault="00A67B7D"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0"/>
                <w:lang w:val="en-US" w:eastAsia="zh-CN"/>
              </w:rPr>
            </w:pPr>
          </w:p>
        </w:tc>
        <w:tc>
          <w:tcPr>
            <w:tcW w:w="97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-7,976 </w:t>
            </w:r>
          </w:p>
        </w:tc>
        <w:tc>
          <w:tcPr>
            <w:tcW w:w="991" w:type="pct"/>
            <w:tcBorders>
              <w:top w:val="nil"/>
              <w:left w:val="nil"/>
              <w:bottom w:val="nil"/>
              <w:right w:val="single" w:sz="4" w:space="0" w:color="auto"/>
            </w:tcBorders>
            <w:shd w:val="clear" w:color="auto" w:fill="auto"/>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-17,078 </w:t>
            </w:r>
          </w:p>
        </w:tc>
      </w:tr>
      <w:tr w:rsidR="00A67B7D" w:rsidRPr="00A67B7D" w:rsidTr="00A67B7D">
        <w:trPr>
          <w:trHeight w:val="499"/>
        </w:trPr>
        <w:tc>
          <w:tcPr>
            <w:tcW w:w="26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 TOTAL NET ASSETS </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w:t>
            </w:r>
          </w:p>
        </w:tc>
        <w:tc>
          <w:tcPr>
            <w:tcW w:w="971" w:type="pct"/>
            <w:tcBorders>
              <w:top w:val="single" w:sz="4" w:space="0" w:color="auto"/>
              <w:left w:val="nil"/>
              <w:bottom w:val="single" w:sz="4" w:space="0" w:color="auto"/>
              <w:right w:val="single" w:sz="4" w:space="0" w:color="auto"/>
            </w:tcBorders>
            <w:shd w:val="clear" w:color="auto" w:fill="auto"/>
            <w:noWrap/>
            <w:vAlign w:val="center"/>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                    -395,178 </w:t>
            </w:r>
          </w:p>
        </w:tc>
        <w:tc>
          <w:tcPr>
            <w:tcW w:w="991" w:type="pct"/>
            <w:tcBorders>
              <w:top w:val="single" w:sz="4" w:space="0" w:color="auto"/>
              <w:left w:val="nil"/>
              <w:bottom w:val="single" w:sz="4" w:space="0" w:color="auto"/>
              <w:right w:val="single" w:sz="4" w:space="0" w:color="auto"/>
            </w:tcBorders>
            <w:shd w:val="clear" w:color="auto" w:fill="auto"/>
            <w:noWrap/>
            <w:vAlign w:val="center"/>
            <w:hideMark/>
          </w:tcPr>
          <w:p w:rsidR="00A67B7D" w:rsidRPr="00A67B7D" w:rsidRDefault="00A67B7D" w:rsidP="00A67B7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                    -482,524 </w:t>
            </w:r>
          </w:p>
        </w:tc>
      </w:tr>
    </w:tbl>
    <w:p w:rsidR="0022373A" w:rsidRDefault="00C70441" w:rsidP="00233177">
      <w:pPr>
        <w:pStyle w:val="Tabletext"/>
        <w:jc w:val="center"/>
        <w:rPr>
          <w:b/>
          <w:bCs/>
          <w:sz w:val="28"/>
          <w:szCs w:val="28"/>
          <w:lang w:val="en-US"/>
        </w:rPr>
      </w:pPr>
      <w:r>
        <w:rPr>
          <w:lang w:val="en-US"/>
        </w:rPr>
        <w:br w:type="page"/>
      </w:r>
      <w:r w:rsidR="0022373A" w:rsidRPr="000D09E0">
        <w:rPr>
          <w:b/>
          <w:bCs/>
          <w:sz w:val="28"/>
          <w:szCs w:val="28"/>
          <w:lang w:val="en-US"/>
        </w:rPr>
        <w:t>II – Statement of financial performance for the period which closed on</w:t>
      </w:r>
      <w:r w:rsidR="008F33DF" w:rsidRPr="000D09E0">
        <w:rPr>
          <w:b/>
          <w:bCs/>
          <w:sz w:val="28"/>
          <w:szCs w:val="28"/>
          <w:lang w:val="en-US"/>
        </w:rPr>
        <w:br/>
      </w:r>
      <w:r w:rsidR="0022373A" w:rsidRPr="000D09E0">
        <w:rPr>
          <w:b/>
          <w:bCs/>
          <w:sz w:val="28"/>
          <w:szCs w:val="28"/>
          <w:lang w:val="en-US"/>
        </w:rPr>
        <w:t xml:space="preserve">31 December </w:t>
      </w:r>
      <w:bookmarkEnd w:id="20"/>
      <w:r w:rsidR="00111BDD" w:rsidRPr="000D09E0">
        <w:rPr>
          <w:b/>
          <w:bCs/>
          <w:sz w:val="28"/>
          <w:szCs w:val="28"/>
          <w:lang w:val="en-US"/>
        </w:rPr>
        <w:t>201</w:t>
      </w:r>
      <w:r w:rsidR="00BD5D98">
        <w:rPr>
          <w:b/>
          <w:bCs/>
          <w:sz w:val="28"/>
          <w:szCs w:val="28"/>
          <w:lang w:val="en-US"/>
        </w:rPr>
        <w:t>8</w:t>
      </w:r>
      <w:r w:rsidR="00E014F9">
        <w:rPr>
          <w:b/>
          <w:bCs/>
          <w:sz w:val="28"/>
          <w:szCs w:val="28"/>
          <w:lang w:val="en-US"/>
        </w:rPr>
        <w:t xml:space="preserve"> w</w:t>
      </w:r>
      <w:r w:rsidR="0022373A" w:rsidRPr="000D09E0">
        <w:rPr>
          <w:b/>
          <w:bCs/>
          <w:sz w:val="28"/>
          <w:szCs w:val="28"/>
          <w:lang w:val="en-US"/>
        </w:rPr>
        <w:t>ith comparative figures as at 31 December 201</w:t>
      </w:r>
      <w:bookmarkEnd w:id="21"/>
      <w:r w:rsidR="00BD5D98">
        <w:rPr>
          <w:b/>
          <w:bCs/>
          <w:sz w:val="28"/>
          <w:szCs w:val="28"/>
          <w:lang w:val="en-US"/>
        </w:rPr>
        <w:t>7</w:t>
      </w:r>
    </w:p>
    <w:p w:rsidR="009936BF" w:rsidRDefault="009936BF" w:rsidP="009936BF">
      <w:pPr>
        <w:pStyle w:val="Tabletext"/>
        <w:rPr>
          <w:b/>
          <w:bCs/>
          <w:sz w:val="28"/>
          <w:szCs w:val="28"/>
          <w:lang w:val="en-US"/>
        </w:rPr>
      </w:pPr>
    </w:p>
    <w:tbl>
      <w:tblPr>
        <w:tblW w:w="5000" w:type="pct"/>
        <w:tblLook w:val="04A0" w:firstRow="1" w:lastRow="0" w:firstColumn="1" w:lastColumn="0" w:noHBand="0" w:noVBand="1"/>
      </w:tblPr>
      <w:tblGrid>
        <w:gridCol w:w="5428"/>
        <w:gridCol w:w="1128"/>
        <w:gridCol w:w="1495"/>
        <w:gridCol w:w="1720"/>
      </w:tblGrid>
      <w:tr w:rsidR="009936BF" w:rsidRPr="009936BF" w:rsidTr="009936BF">
        <w:trPr>
          <w:trHeight w:val="300"/>
        </w:trPr>
        <w:tc>
          <w:tcPr>
            <w:tcW w:w="2778" w:type="pct"/>
            <w:tcBorders>
              <w:top w:val="single" w:sz="4" w:space="0" w:color="auto"/>
              <w:left w:val="single" w:sz="4" w:space="0" w:color="auto"/>
              <w:bottom w:val="single" w:sz="4" w:space="0" w:color="auto"/>
              <w:right w:val="nil"/>
            </w:tcBorders>
            <w:shd w:val="clear" w:color="auto" w:fill="auto"/>
            <w:noWrap/>
            <w:vAlign w:val="bottom"/>
            <w:hideMark/>
          </w:tcPr>
          <w:p w:rsidR="009936BF" w:rsidRPr="009936BF" w:rsidRDefault="009936BF" w:rsidP="000536E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 xml:space="preserve">(in thousands of Swiss </w:t>
            </w:r>
            <w:r w:rsidR="000536EE">
              <w:rPr>
                <w:rFonts w:cs="Arial"/>
                <w:color w:val="000000"/>
                <w:sz w:val="22"/>
                <w:szCs w:val="22"/>
                <w:lang w:val="en-US" w:eastAsia="zh-CN"/>
              </w:rPr>
              <w:t>F</w:t>
            </w:r>
            <w:r w:rsidRPr="009936BF">
              <w:rPr>
                <w:rFonts w:cs="Arial"/>
                <w:color w:val="000000"/>
                <w:sz w:val="22"/>
                <w:szCs w:val="22"/>
                <w:lang w:val="en-US" w:eastAsia="zh-CN"/>
              </w:rPr>
              <w:t>rancs)</w:t>
            </w:r>
          </w:p>
        </w:tc>
        <w:tc>
          <w:tcPr>
            <w:tcW w:w="577" w:type="pct"/>
            <w:tcBorders>
              <w:top w:val="single" w:sz="4" w:space="0" w:color="auto"/>
              <w:left w:val="single" w:sz="4" w:space="0" w:color="auto"/>
              <w:bottom w:val="single" w:sz="4" w:space="0" w:color="auto"/>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9936BF">
              <w:rPr>
                <w:rFonts w:cs="Arial"/>
                <w:b/>
                <w:bCs/>
                <w:color w:val="000000"/>
                <w:sz w:val="22"/>
                <w:szCs w:val="22"/>
                <w:lang w:val="en-US" w:eastAsia="zh-CN"/>
              </w:rPr>
              <w:t>Notes</w:t>
            </w:r>
          </w:p>
        </w:tc>
        <w:tc>
          <w:tcPr>
            <w:tcW w:w="765" w:type="pct"/>
            <w:tcBorders>
              <w:top w:val="single" w:sz="4" w:space="0" w:color="auto"/>
              <w:left w:val="nil"/>
              <w:bottom w:val="single" w:sz="4" w:space="0" w:color="auto"/>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9936BF">
              <w:rPr>
                <w:rFonts w:cs="Arial"/>
                <w:b/>
                <w:bCs/>
                <w:color w:val="000000"/>
                <w:sz w:val="22"/>
                <w:szCs w:val="22"/>
                <w:lang w:val="en-US" w:eastAsia="zh-CN"/>
              </w:rPr>
              <w:t>31/12/2018</w:t>
            </w:r>
          </w:p>
        </w:tc>
        <w:tc>
          <w:tcPr>
            <w:tcW w:w="881" w:type="pct"/>
            <w:tcBorders>
              <w:top w:val="single" w:sz="4" w:space="0" w:color="auto"/>
              <w:left w:val="nil"/>
              <w:bottom w:val="single" w:sz="4" w:space="0" w:color="auto"/>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9936BF">
              <w:rPr>
                <w:rFonts w:cs="Arial"/>
                <w:b/>
                <w:bCs/>
                <w:color w:val="000000"/>
                <w:sz w:val="22"/>
                <w:szCs w:val="22"/>
                <w:lang w:val="en-US" w:eastAsia="zh-CN"/>
              </w:rPr>
              <w:t>31/12/2017</w:t>
            </w:r>
          </w:p>
        </w:tc>
      </w:tr>
      <w:tr w:rsidR="009936BF" w:rsidRPr="009936BF" w:rsidTr="009936BF">
        <w:trPr>
          <w:trHeight w:val="300"/>
        </w:trPr>
        <w:tc>
          <w:tcPr>
            <w:tcW w:w="2778" w:type="pct"/>
            <w:tcBorders>
              <w:top w:val="nil"/>
              <w:left w:val="single" w:sz="4" w:space="0" w:color="auto"/>
              <w:bottom w:val="nil"/>
              <w:right w:val="nil"/>
            </w:tcBorders>
            <w:shd w:val="clear" w:color="auto" w:fill="auto"/>
            <w:noWrap/>
            <w:vAlign w:val="bottom"/>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 </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p>
        </w:tc>
        <w:tc>
          <w:tcPr>
            <w:tcW w:w="765"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9936BF">
              <w:rPr>
                <w:rFonts w:cs="Arial"/>
                <w:b/>
                <w:bCs/>
                <w:color w:val="000000"/>
                <w:sz w:val="22"/>
                <w:szCs w:val="22"/>
                <w:lang w:val="en-US" w:eastAsia="zh-CN"/>
              </w:rPr>
              <w:t> </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9936BF">
              <w:rPr>
                <w:rFonts w:cs="Arial"/>
                <w:b/>
                <w:bCs/>
                <w:color w:val="000000"/>
                <w:sz w:val="22"/>
                <w:szCs w:val="22"/>
                <w:lang w:val="en-US" w:eastAsia="zh-CN"/>
              </w:rPr>
              <w:t> </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9936BF">
              <w:rPr>
                <w:rFonts w:cs="Arial"/>
                <w:b/>
                <w:bCs/>
                <w:color w:val="000000"/>
                <w:sz w:val="22"/>
                <w:szCs w:val="22"/>
                <w:lang w:val="en-US" w:eastAsia="zh-CN"/>
              </w:rPr>
              <w:t>REVENUE</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9936BF">
              <w:rPr>
                <w:rFonts w:cs="Arial"/>
                <w:color w:val="000000"/>
                <w:sz w:val="22"/>
                <w:szCs w:val="22"/>
                <w:lang w:val="en-US" w:eastAsia="zh-CN"/>
              </w:rPr>
              <w:t>22</w:t>
            </w:r>
          </w:p>
        </w:tc>
        <w:tc>
          <w:tcPr>
            <w:tcW w:w="765"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9936BF">
              <w:rPr>
                <w:rFonts w:cs="Arial"/>
                <w:b/>
                <w:bCs/>
                <w:color w:val="000000"/>
                <w:sz w:val="22"/>
                <w:szCs w:val="22"/>
                <w:lang w:val="en-US" w:eastAsia="zh-CN"/>
              </w:rPr>
              <w:t> </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9936BF">
              <w:rPr>
                <w:rFonts w:cs="Arial"/>
                <w:b/>
                <w:bCs/>
                <w:color w:val="000000"/>
                <w:sz w:val="22"/>
                <w:szCs w:val="22"/>
                <w:lang w:val="en-US" w:eastAsia="zh-CN"/>
              </w:rPr>
              <w:t> </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9936BF">
              <w:rPr>
                <w:rFonts w:cs="Arial"/>
                <w:b/>
                <w:bCs/>
                <w:color w:val="000000"/>
                <w:sz w:val="22"/>
                <w:szCs w:val="22"/>
                <w:lang w:val="en-US" w:eastAsia="zh-CN"/>
              </w:rPr>
              <w:t> </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p>
        </w:tc>
        <w:tc>
          <w:tcPr>
            <w:tcW w:w="765"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9936BF">
              <w:rPr>
                <w:rFonts w:cs="Arial"/>
                <w:b/>
                <w:bCs/>
                <w:color w:val="000000"/>
                <w:sz w:val="22"/>
                <w:szCs w:val="22"/>
                <w:lang w:val="en-US" w:eastAsia="zh-CN"/>
              </w:rPr>
              <w:t> </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9936BF">
              <w:rPr>
                <w:rFonts w:cs="Arial"/>
                <w:b/>
                <w:bCs/>
                <w:color w:val="000000"/>
                <w:sz w:val="22"/>
                <w:szCs w:val="22"/>
                <w:lang w:val="en-US" w:eastAsia="zh-CN"/>
              </w:rPr>
              <w:t> </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Assessed contributions</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noWrap/>
            <w:vAlign w:val="bottom"/>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125,191</w:t>
            </w:r>
          </w:p>
        </w:tc>
        <w:tc>
          <w:tcPr>
            <w:tcW w:w="881" w:type="pct"/>
            <w:tcBorders>
              <w:top w:val="nil"/>
              <w:left w:val="nil"/>
              <w:bottom w:val="nil"/>
              <w:right w:val="single" w:sz="4" w:space="0" w:color="auto"/>
            </w:tcBorders>
            <w:shd w:val="clear" w:color="auto" w:fill="auto"/>
            <w:noWrap/>
            <w:vAlign w:val="bottom"/>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122,390</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Voluntary contributions</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noWrap/>
            <w:vAlign w:val="bottom"/>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7,161</w:t>
            </w:r>
          </w:p>
        </w:tc>
        <w:tc>
          <w:tcPr>
            <w:tcW w:w="881" w:type="pct"/>
            <w:tcBorders>
              <w:top w:val="nil"/>
              <w:left w:val="nil"/>
              <w:bottom w:val="nil"/>
              <w:right w:val="single" w:sz="4" w:space="0" w:color="auto"/>
            </w:tcBorders>
            <w:shd w:val="clear" w:color="auto" w:fill="auto"/>
            <w:noWrap/>
            <w:vAlign w:val="bottom"/>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10,610</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Other operating revenue</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noWrap/>
            <w:vAlign w:val="bottom"/>
            <w:hideMark/>
          </w:tcPr>
          <w:p w:rsidR="009936BF" w:rsidRPr="009936BF" w:rsidRDefault="009936BF" w:rsidP="00C1749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4</w:t>
            </w:r>
            <w:r w:rsidR="00C17491">
              <w:rPr>
                <w:rFonts w:cs="Arial"/>
                <w:color w:val="000000"/>
                <w:sz w:val="22"/>
                <w:szCs w:val="22"/>
                <w:lang w:val="en-US" w:eastAsia="zh-CN"/>
              </w:rPr>
              <w:t>1</w:t>
            </w:r>
            <w:r w:rsidRPr="009936BF">
              <w:rPr>
                <w:rFonts w:cs="Arial"/>
                <w:color w:val="000000"/>
                <w:sz w:val="22"/>
                <w:szCs w:val="22"/>
                <w:lang w:val="en-US" w:eastAsia="zh-CN"/>
              </w:rPr>
              <w:t>,</w:t>
            </w:r>
            <w:r w:rsidR="00C17491">
              <w:rPr>
                <w:rFonts w:cs="Arial"/>
                <w:color w:val="000000"/>
                <w:sz w:val="22"/>
                <w:szCs w:val="22"/>
                <w:lang w:val="en-US" w:eastAsia="zh-CN"/>
              </w:rPr>
              <w:t>930</w:t>
            </w:r>
          </w:p>
        </w:tc>
        <w:tc>
          <w:tcPr>
            <w:tcW w:w="881" w:type="pct"/>
            <w:tcBorders>
              <w:top w:val="nil"/>
              <w:left w:val="nil"/>
              <w:bottom w:val="nil"/>
              <w:right w:val="single" w:sz="4" w:space="0" w:color="auto"/>
            </w:tcBorders>
            <w:shd w:val="clear" w:color="auto" w:fill="auto"/>
            <w:noWrap/>
            <w:vAlign w:val="bottom"/>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44,398</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In-kind contributions</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noWrap/>
            <w:vAlign w:val="bottom"/>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862</w:t>
            </w:r>
          </w:p>
        </w:tc>
        <w:tc>
          <w:tcPr>
            <w:tcW w:w="881" w:type="pct"/>
            <w:tcBorders>
              <w:top w:val="nil"/>
              <w:left w:val="nil"/>
              <w:bottom w:val="nil"/>
              <w:right w:val="single" w:sz="4" w:space="0" w:color="auto"/>
            </w:tcBorders>
            <w:shd w:val="clear" w:color="auto" w:fill="auto"/>
            <w:noWrap/>
            <w:vAlign w:val="bottom"/>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882</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Finance revenue</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noWrap/>
            <w:vAlign w:val="bottom"/>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1,245</w:t>
            </w:r>
          </w:p>
        </w:tc>
        <w:tc>
          <w:tcPr>
            <w:tcW w:w="881" w:type="pct"/>
            <w:tcBorders>
              <w:top w:val="nil"/>
              <w:left w:val="nil"/>
              <w:bottom w:val="nil"/>
              <w:right w:val="single" w:sz="4" w:space="0" w:color="auto"/>
            </w:tcBorders>
            <w:shd w:val="clear" w:color="auto" w:fill="auto"/>
            <w:noWrap/>
            <w:vAlign w:val="bottom"/>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258</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 </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 </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 </w:t>
            </w:r>
          </w:p>
        </w:tc>
      </w:tr>
      <w:tr w:rsidR="009936BF" w:rsidRPr="009936BF" w:rsidTr="009936BF">
        <w:trPr>
          <w:trHeight w:val="499"/>
        </w:trPr>
        <w:tc>
          <w:tcPr>
            <w:tcW w:w="2778" w:type="pct"/>
            <w:tcBorders>
              <w:top w:val="single" w:sz="4" w:space="0" w:color="auto"/>
              <w:left w:val="single" w:sz="4" w:space="0" w:color="auto"/>
              <w:bottom w:val="single" w:sz="4" w:space="0" w:color="auto"/>
              <w:right w:val="nil"/>
            </w:tcBorders>
            <w:shd w:val="clear" w:color="auto" w:fill="auto"/>
            <w:noWrap/>
            <w:vAlign w:val="center"/>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9936BF">
              <w:rPr>
                <w:rFonts w:cs="Arial"/>
                <w:b/>
                <w:bCs/>
                <w:color w:val="000000"/>
                <w:sz w:val="22"/>
                <w:szCs w:val="22"/>
                <w:lang w:val="en-US" w:eastAsia="zh-CN"/>
              </w:rPr>
              <w:t>Total revenue</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9936BF" w:rsidRPr="009936BF" w:rsidRDefault="009936BF" w:rsidP="00C1749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9936BF">
              <w:rPr>
                <w:rFonts w:cs="Arial"/>
                <w:b/>
                <w:bCs/>
                <w:color w:val="000000"/>
                <w:sz w:val="22"/>
                <w:szCs w:val="22"/>
                <w:lang w:val="en-US" w:eastAsia="zh-CN"/>
              </w:rPr>
              <w:t>17</w:t>
            </w:r>
            <w:r w:rsidR="00C17491">
              <w:rPr>
                <w:rFonts w:cs="Arial"/>
                <w:b/>
                <w:bCs/>
                <w:color w:val="000000"/>
                <w:sz w:val="22"/>
                <w:szCs w:val="22"/>
                <w:lang w:val="en-US" w:eastAsia="zh-CN"/>
              </w:rPr>
              <w:t>6</w:t>
            </w:r>
            <w:r w:rsidRPr="009936BF">
              <w:rPr>
                <w:rFonts w:cs="Arial"/>
                <w:b/>
                <w:bCs/>
                <w:color w:val="000000"/>
                <w:sz w:val="22"/>
                <w:szCs w:val="22"/>
                <w:lang w:val="en-US" w:eastAsia="zh-CN"/>
              </w:rPr>
              <w:t>,</w:t>
            </w:r>
            <w:r w:rsidR="00C17491">
              <w:rPr>
                <w:rFonts w:cs="Arial"/>
                <w:b/>
                <w:bCs/>
                <w:color w:val="000000"/>
                <w:sz w:val="22"/>
                <w:szCs w:val="22"/>
                <w:lang w:val="en-US" w:eastAsia="zh-CN"/>
              </w:rPr>
              <w:t>389</w:t>
            </w:r>
          </w:p>
        </w:tc>
        <w:tc>
          <w:tcPr>
            <w:tcW w:w="881" w:type="pct"/>
            <w:tcBorders>
              <w:top w:val="single" w:sz="4" w:space="0" w:color="auto"/>
              <w:left w:val="nil"/>
              <w:bottom w:val="single" w:sz="4" w:space="0" w:color="auto"/>
              <w:right w:val="single" w:sz="4" w:space="0" w:color="auto"/>
            </w:tcBorders>
            <w:shd w:val="clear" w:color="auto" w:fill="auto"/>
            <w:noWrap/>
            <w:vAlign w:val="center"/>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9936BF">
              <w:rPr>
                <w:rFonts w:cs="Arial"/>
                <w:b/>
                <w:bCs/>
                <w:color w:val="000000"/>
                <w:sz w:val="22"/>
                <w:szCs w:val="22"/>
                <w:lang w:val="en-US" w:eastAsia="zh-CN"/>
              </w:rPr>
              <w:t>178,537</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9936BF">
              <w:rPr>
                <w:rFonts w:cs="Arial"/>
                <w:b/>
                <w:bCs/>
                <w:color w:val="000000"/>
                <w:sz w:val="22"/>
                <w:szCs w:val="22"/>
                <w:lang w:val="en-US" w:eastAsia="zh-CN"/>
              </w:rPr>
              <w:t> </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9936BF">
              <w:rPr>
                <w:rFonts w:cs="Arial"/>
                <w:b/>
                <w:bCs/>
                <w:color w:val="000000"/>
                <w:sz w:val="22"/>
                <w:szCs w:val="22"/>
                <w:lang w:val="en-US" w:eastAsia="zh-CN"/>
              </w:rPr>
              <w:t> </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9936BF">
              <w:rPr>
                <w:rFonts w:cs="Arial"/>
                <w:b/>
                <w:bCs/>
                <w:color w:val="000000"/>
                <w:sz w:val="22"/>
                <w:szCs w:val="22"/>
                <w:lang w:val="en-US" w:eastAsia="zh-CN"/>
              </w:rPr>
              <w:t> </w:t>
            </w:r>
          </w:p>
        </w:tc>
      </w:tr>
      <w:tr w:rsidR="009936BF" w:rsidRPr="009936BF" w:rsidTr="009936BF">
        <w:trPr>
          <w:trHeight w:val="300"/>
        </w:trPr>
        <w:tc>
          <w:tcPr>
            <w:tcW w:w="2778" w:type="pct"/>
            <w:tcBorders>
              <w:top w:val="nil"/>
              <w:left w:val="single" w:sz="4" w:space="0" w:color="auto"/>
              <w:bottom w:val="nil"/>
              <w:right w:val="nil"/>
            </w:tcBorders>
            <w:shd w:val="clear" w:color="auto" w:fill="auto"/>
            <w:noWrap/>
            <w:vAlign w:val="bottom"/>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9936BF">
              <w:rPr>
                <w:rFonts w:cs="Arial"/>
                <w:b/>
                <w:bCs/>
                <w:color w:val="000000"/>
                <w:sz w:val="22"/>
                <w:szCs w:val="22"/>
                <w:lang w:val="en-US" w:eastAsia="zh-CN"/>
              </w:rPr>
              <w:t>EXPENSES</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9936BF">
              <w:rPr>
                <w:rFonts w:cs="Arial"/>
                <w:color w:val="000000"/>
                <w:sz w:val="22"/>
                <w:szCs w:val="22"/>
                <w:lang w:val="en-US" w:eastAsia="zh-CN"/>
              </w:rPr>
              <w:t>23</w:t>
            </w:r>
          </w:p>
        </w:tc>
        <w:tc>
          <w:tcPr>
            <w:tcW w:w="765"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 </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 </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9936BF">
              <w:rPr>
                <w:rFonts w:cs="Arial"/>
                <w:b/>
                <w:bCs/>
                <w:color w:val="000000"/>
                <w:sz w:val="22"/>
                <w:szCs w:val="22"/>
                <w:lang w:val="en-US" w:eastAsia="zh-CN"/>
              </w:rPr>
              <w:t> </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 </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 </w:t>
            </w:r>
          </w:p>
        </w:tc>
      </w:tr>
      <w:tr w:rsidR="009936BF" w:rsidRPr="009936BF" w:rsidTr="009936BF">
        <w:trPr>
          <w:trHeight w:val="300"/>
        </w:trPr>
        <w:tc>
          <w:tcPr>
            <w:tcW w:w="2778" w:type="pct"/>
            <w:tcBorders>
              <w:top w:val="nil"/>
              <w:left w:val="single" w:sz="4" w:space="0" w:color="auto"/>
              <w:bottom w:val="nil"/>
              <w:right w:val="nil"/>
            </w:tcBorders>
            <w:shd w:val="clear" w:color="auto" w:fill="auto"/>
            <w:noWrap/>
            <w:vAlign w:val="bottom"/>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Employee expenses</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148,806</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148,748</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Mission expenses</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6,702</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6,968</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Contractual services</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12,691</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15,613</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Rental and maintenance of premises and equipment</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3,971</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4,411</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Equipment and supplies</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4,509</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3,875</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Depreciation and impairment losses</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4,497</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5,212</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Shipping, telecommunication and service expenses</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1,772</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1,576</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Other expenses</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hideMark/>
          </w:tcPr>
          <w:p w:rsidR="009936BF" w:rsidRPr="009936BF" w:rsidRDefault="009936BF" w:rsidP="00C1749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w:t>
            </w:r>
            <w:r w:rsidR="00C17491">
              <w:rPr>
                <w:rFonts w:cs="Arial"/>
                <w:color w:val="000000"/>
                <w:sz w:val="22"/>
                <w:szCs w:val="22"/>
                <w:lang w:val="en-US" w:eastAsia="zh-CN"/>
              </w:rPr>
              <w:t>67</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7,656</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In-kind expenses</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862</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882</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Finance expenses</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621</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675</w:t>
            </w:r>
          </w:p>
        </w:tc>
      </w:tr>
      <w:tr w:rsidR="009936BF" w:rsidRPr="009936BF" w:rsidTr="009936BF">
        <w:trPr>
          <w:trHeight w:val="300"/>
        </w:trPr>
        <w:tc>
          <w:tcPr>
            <w:tcW w:w="2778" w:type="pct"/>
            <w:tcBorders>
              <w:top w:val="nil"/>
              <w:left w:val="single" w:sz="4" w:space="0" w:color="auto"/>
              <w:bottom w:val="nil"/>
              <w:right w:val="nil"/>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 </w:t>
            </w:r>
          </w:p>
        </w:tc>
        <w:tc>
          <w:tcPr>
            <w:tcW w:w="577" w:type="pct"/>
            <w:tcBorders>
              <w:top w:val="nil"/>
              <w:left w:val="single" w:sz="4" w:space="0" w:color="auto"/>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p>
        </w:tc>
        <w:tc>
          <w:tcPr>
            <w:tcW w:w="765"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 </w:t>
            </w:r>
          </w:p>
        </w:tc>
        <w:tc>
          <w:tcPr>
            <w:tcW w:w="881" w:type="pct"/>
            <w:tcBorders>
              <w:top w:val="nil"/>
              <w:left w:val="nil"/>
              <w:bottom w:val="nil"/>
              <w:right w:val="single" w:sz="4" w:space="0" w:color="auto"/>
            </w:tcBorders>
            <w:shd w:val="clear" w:color="auto" w:fill="auto"/>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9936BF">
              <w:rPr>
                <w:rFonts w:cs="Arial"/>
                <w:color w:val="000000"/>
                <w:sz w:val="22"/>
                <w:szCs w:val="22"/>
                <w:lang w:val="en-US" w:eastAsia="zh-CN"/>
              </w:rPr>
              <w:t> </w:t>
            </w:r>
          </w:p>
        </w:tc>
      </w:tr>
      <w:tr w:rsidR="009936BF" w:rsidRPr="009936BF" w:rsidTr="009936BF">
        <w:trPr>
          <w:trHeight w:val="499"/>
        </w:trPr>
        <w:tc>
          <w:tcPr>
            <w:tcW w:w="2778" w:type="pct"/>
            <w:tcBorders>
              <w:top w:val="single" w:sz="4" w:space="0" w:color="auto"/>
              <w:left w:val="single" w:sz="4" w:space="0" w:color="auto"/>
              <w:bottom w:val="single" w:sz="4" w:space="0" w:color="auto"/>
              <w:right w:val="nil"/>
            </w:tcBorders>
            <w:shd w:val="clear" w:color="auto" w:fill="auto"/>
            <w:noWrap/>
            <w:vAlign w:val="center"/>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9936BF">
              <w:rPr>
                <w:rFonts w:cs="Arial"/>
                <w:b/>
                <w:bCs/>
                <w:color w:val="000000"/>
                <w:sz w:val="22"/>
                <w:szCs w:val="22"/>
                <w:lang w:val="en-US" w:eastAsia="zh-CN"/>
              </w:rPr>
              <w:t>Total expenses</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9936BF" w:rsidRPr="009936BF" w:rsidRDefault="009936BF" w:rsidP="00C1749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9936BF">
              <w:rPr>
                <w:rFonts w:cs="Arial"/>
                <w:b/>
                <w:bCs/>
                <w:color w:val="000000"/>
                <w:sz w:val="22"/>
                <w:szCs w:val="22"/>
                <w:lang w:val="en-US" w:eastAsia="zh-CN"/>
              </w:rPr>
              <w:t>18</w:t>
            </w:r>
            <w:r w:rsidR="00C17491">
              <w:rPr>
                <w:rFonts w:cs="Arial"/>
                <w:b/>
                <w:bCs/>
                <w:color w:val="000000"/>
                <w:sz w:val="22"/>
                <w:szCs w:val="22"/>
                <w:lang w:val="en-US" w:eastAsia="zh-CN"/>
              </w:rPr>
              <w:t>4</w:t>
            </w:r>
            <w:r w:rsidRPr="009936BF">
              <w:rPr>
                <w:rFonts w:cs="Arial"/>
                <w:b/>
                <w:bCs/>
                <w:color w:val="000000"/>
                <w:sz w:val="22"/>
                <w:szCs w:val="22"/>
                <w:lang w:val="en-US" w:eastAsia="zh-CN"/>
              </w:rPr>
              <w:t>,</w:t>
            </w:r>
            <w:r w:rsidR="00C17491">
              <w:rPr>
                <w:rFonts w:cs="Arial"/>
                <w:b/>
                <w:bCs/>
                <w:color w:val="000000"/>
                <w:sz w:val="22"/>
                <w:szCs w:val="22"/>
                <w:lang w:val="en-US" w:eastAsia="zh-CN"/>
              </w:rPr>
              <w:t>365</w:t>
            </w:r>
          </w:p>
        </w:tc>
        <w:tc>
          <w:tcPr>
            <w:tcW w:w="881" w:type="pct"/>
            <w:tcBorders>
              <w:top w:val="single" w:sz="4" w:space="0" w:color="auto"/>
              <w:left w:val="nil"/>
              <w:bottom w:val="single" w:sz="4" w:space="0" w:color="auto"/>
              <w:right w:val="single" w:sz="4" w:space="0" w:color="auto"/>
            </w:tcBorders>
            <w:shd w:val="clear" w:color="auto" w:fill="auto"/>
            <w:noWrap/>
            <w:vAlign w:val="center"/>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9936BF">
              <w:rPr>
                <w:rFonts w:cs="Arial"/>
                <w:b/>
                <w:bCs/>
                <w:color w:val="000000"/>
                <w:sz w:val="22"/>
                <w:szCs w:val="22"/>
                <w:lang w:val="en-US" w:eastAsia="zh-CN"/>
              </w:rPr>
              <w:t>195,615</w:t>
            </w:r>
          </w:p>
        </w:tc>
      </w:tr>
      <w:tr w:rsidR="009936BF" w:rsidRPr="009936BF" w:rsidTr="009936BF">
        <w:trPr>
          <w:trHeight w:val="499"/>
        </w:trPr>
        <w:tc>
          <w:tcPr>
            <w:tcW w:w="2778" w:type="pct"/>
            <w:tcBorders>
              <w:top w:val="nil"/>
              <w:left w:val="single" w:sz="4" w:space="0" w:color="auto"/>
              <w:bottom w:val="single" w:sz="4" w:space="0" w:color="auto"/>
              <w:right w:val="nil"/>
            </w:tcBorders>
            <w:shd w:val="clear" w:color="auto" w:fill="auto"/>
            <w:noWrap/>
            <w:vAlign w:val="center"/>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9936BF">
              <w:rPr>
                <w:rFonts w:cs="Arial"/>
                <w:b/>
                <w:bCs/>
                <w:color w:val="000000"/>
                <w:sz w:val="22"/>
                <w:szCs w:val="22"/>
                <w:lang w:val="en-US" w:eastAsia="zh-CN"/>
              </w:rPr>
              <w:t>Surplus/deficit for the period</w:t>
            </w:r>
          </w:p>
        </w:tc>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p>
        </w:tc>
        <w:tc>
          <w:tcPr>
            <w:tcW w:w="765" w:type="pct"/>
            <w:tcBorders>
              <w:top w:val="nil"/>
              <w:left w:val="nil"/>
              <w:bottom w:val="single" w:sz="4" w:space="0" w:color="auto"/>
              <w:right w:val="single" w:sz="4" w:space="0" w:color="auto"/>
            </w:tcBorders>
            <w:shd w:val="clear" w:color="auto" w:fill="auto"/>
            <w:noWrap/>
            <w:vAlign w:val="center"/>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-7,976</w:t>
            </w:r>
          </w:p>
        </w:tc>
        <w:tc>
          <w:tcPr>
            <w:tcW w:w="881" w:type="pct"/>
            <w:tcBorders>
              <w:top w:val="nil"/>
              <w:left w:val="nil"/>
              <w:bottom w:val="single" w:sz="4" w:space="0" w:color="auto"/>
              <w:right w:val="single" w:sz="4" w:space="0" w:color="auto"/>
            </w:tcBorders>
            <w:shd w:val="clear" w:color="auto" w:fill="auto"/>
            <w:noWrap/>
            <w:vAlign w:val="center"/>
            <w:hideMark/>
          </w:tcPr>
          <w:p w:rsidR="009936BF" w:rsidRPr="009936BF" w:rsidRDefault="009936BF" w:rsidP="009936BF">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9936BF">
              <w:rPr>
                <w:rFonts w:cs="Arial"/>
                <w:color w:val="000000"/>
                <w:sz w:val="22"/>
                <w:szCs w:val="22"/>
                <w:lang w:val="en-US" w:eastAsia="zh-CN"/>
              </w:rPr>
              <w:t>-17,078</w:t>
            </w:r>
          </w:p>
        </w:tc>
      </w:tr>
    </w:tbl>
    <w:p w:rsidR="009936BF" w:rsidRPr="000D09E0" w:rsidRDefault="009936BF" w:rsidP="009936BF">
      <w:pPr>
        <w:pStyle w:val="Tabletext"/>
        <w:rPr>
          <w:b/>
          <w:bCs/>
          <w:sz w:val="16"/>
          <w:szCs w:val="16"/>
          <w:lang w:val="en-US"/>
        </w:rPr>
      </w:pPr>
    </w:p>
    <w:p w:rsidR="0022373A" w:rsidRPr="001C2A98" w:rsidRDefault="0022373A" w:rsidP="005D3458">
      <w:pPr>
        <w:tabs>
          <w:tab w:val="clear" w:pos="567"/>
          <w:tab w:val="clear" w:pos="1134"/>
          <w:tab w:val="clear" w:pos="1701"/>
          <w:tab w:val="clear" w:pos="2268"/>
          <w:tab w:val="clear" w:pos="2835"/>
        </w:tabs>
        <w:overflowPunct/>
        <w:autoSpaceDE/>
        <w:autoSpaceDN/>
        <w:adjustRightInd/>
        <w:spacing w:before="0"/>
        <w:textAlignment w:val="auto"/>
        <w:rPr>
          <w:b/>
          <w:sz w:val="28"/>
          <w:szCs w:val="24"/>
          <w:lang w:val="en-US"/>
        </w:rPr>
      </w:pPr>
      <w:r w:rsidRPr="001C2A98">
        <w:rPr>
          <w:szCs w:val="24"/>
          <w:lang w:val="en-US"/>
        </w:rPr>
        <w:br w:type="page"/>
      </w:r>
    </w:p>
    <w:p w:rsidR="0022373A" w:rsidRDefault="0022373A" w:rsidP="00BD5D98">
      <w:pPr>
        <w:pStyle w:val="Tabletitle"/>
        <w:rPr>
          <w:sz w:val="28"/>
          <w:szCs w:val="28"/>
          <w:lang w:val="en-US"/>
        </w:rPr>
      </w:pPr>
      <w:bookmarkStart w:id="22" w:name="_Toc305764058"/>
      <w:bookmarkStart w:id="23" w:name="_Toc329011605"/>
      <w:r w:rsidRPr="00983A65">
        <w:rPr>
          <w:sz w:val="28"/>
          <w:szCs w:val="28"/>
          <w:lang w:val="en-US"/>
        </w:rPr>
        <w:t>III – Statement of changes in net assets for the period which closed</w:t>
      </w:r>
      <w:r w:rsidR="008060D0">
        <w:rPr>
          <w:sz w:val="28"/>
          <w:szCs w:val="28"/>
          <w:lang w:val="en-US"/>
        </w:rPr>
        <w:br/>
      </w:r>
      <w:r w:rsidRPr="00983A65">
        <w:rPr>
          <w:sz w:val="28"/>
          <w:szCs w:val="28"/>
          <w:lang w:val="en-US"/>
        </w:rPr>
        <w:t>on</w:t>
      </w:r>
      <w:r w:rsidR="008060D0">
        <w:rPr>
          <w:sz w:val="28"/>
          <w:szCs w:val="28"/>
          <w:lang w:val="en-US"/>
        </w:rPr>
        <w:t xml:space="preserve"> </w:t>
      </w:r>
      <w:r w:rsidRPr="00983A65">
        <w:rPr>
          <w:sz w:val="28"/>
          <w:szCs w:val="28"/>
          <w:lang w:val="en-US"/>
        </w:rPr>
        <w:t xml:space="preserve">31 December </w:t>
      </w:r>
      <w:bookmarkEnd w:id="22"/>
      <w:bookmarkEnd w:id="23"/>
      <w:r w:rsidR="00111BDD">
        <w:rPr>
          <w:sz w:val="28"/>
          <w:szCs w:val="28"/>
          <w:lang w:val="en-US"/>
        </w:rPr>
        <w:t>201</w:t>
      </w:r>
      <w:r w:rsidR="00BD5D98">
        <w:rPr>
          <w:sz w:val="28"/>
          <w:szCs w:val="28"/>
          <w:lang w:val="en-US"/>
        </w:rPr>
        <w:t>8</w:t>
      </w:r>
    </w:p>
    <w:p w:rsidR="00735C7D" w:rsidRPr="00735C7D" w:rsidRDefault="00735C7D" w:rsidP="00735C7D">
      <w:pPr>
        <w:pStyle w:val="Tabletext"/>
        <w:rPr>
          <w:lang w:val="en-US"/>
        </w:rPr>
      </w:pPr>
    </w:p>
    <w:tbl>
      <w:tblPr>
        <w:tblW w:w="5000" w:type="pct"/>
        <w:tblLook w:val="04A0" w:firstRow="1" w:lastRow="0" w:firstColumn="1" w:lastColumn="0" w:noHBand="0" w:noVBand="1"/>
      </w:tblPr>
      <w:tblGrid>
        <w:gridCol w:w="3391"/>
        <w:gridCol w:w="1562"/>
        <w:gridCol w:w="1665"/>
        <w:gridCol w:w="1603"/>
        <w:gridCol w:w="1540"/>
      </w:tblGrid>
      <w:tr w:rsidR="00735C7D" w:rsidRPr="00DF10D1" w:rsidTr="00735C7D">
        <w:trPr>
          <w:trHeight w:val="780"/>
        </w:trPr>
        <w:tc>
          <w:tcPr>
            <w:tcW w:w="173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bookmarkStart w:id="24" w:name="RANGE!A7:E29"/>
            <w:r w:rsidRPr="00DF10D1">
              <w:rPr>
                <w:rFonts w:cs="Arial"/>
                <w:b/>
                <w:bCs/>
                <w:color w:val="000000"/>
                <w:sz w:val="20"/>
                <w:lang w:val="en-US" w:eastAsia="zh-CN"/>
              </w:rPr>
              <w:t>(in thousands of CHF)</w:t>
            </w:r>
            <w:bookmarkEnd w:id="24"/>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DF10D1">
              <w:rPr>
                <w:rFonts w:cs="Arial"/>
                <w:b/>
                <w:bCs/>
                <w:color w:val="000000"/>
                <w:sz w:val="20"/>
                <w:lang w:val="en-US" w:eastAsia="zh-CN"/>
              </w:rPr>
              <w:t>31.12.2017</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DF10D1">
              <w:rPr>
                <w:rFonts w:cs="Arial"/>
                <w:b/>
                <w:bCs/>
                <w:color w:val="000000"/>
                <w:sz w:val="20"/>
                <w:lang w:val="en-US" w:eastAsia="zh-CN"/>
              </w:rPr>
              <w:t>Surplus deficit 2018</w:t>
            </w:r>
          </w:p>
        </w:tc>
        <w:tc>
          <w:tcPr>
            <w:tcW w:w="821" w:type="pct"/>
            <w:tcBorders>
              <w:top w:val="single" w:sz="8" w:space="0" w:color="auto"/>
              <w:left w:val="nil"/>
              <w:bottom w:val="single" w:sz="8" w:space="0" w:color="auto"/>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DF10D1">
              <w:rPr>
                <w:rFonts w:cs="Arial"/>
                <w:b/>
                <w:bCs/>
                <w:color w:val="000000"/>
                <w:sz w:val="20"/>
                <w:lang w:val="en-US" w:eastAsia="zh-CN"/>
              </w:rPr>
              <w:t>Other adjustments</w:t>
            </w:r>
          </w:p>
        </w:tc>
        <w:tc>
          <w:tcPr>
            <w:tcW w:w="789" w:type="pct"/>
            <w:tcBorders>
              <w:top w:val="single" w:sz="8" w:space="0" w:color="auto"/>
              <w:left w:val="nil"/>
              <w:bottom w:val="single" w:sz="8" w:space="0" w:color="auto"/>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DF10D1">
              <w:rPr>
                <w:rFonts w:cs="Arial"/>
                <w:b/>
                <w:bCs/>
                <w:color w:val="000000"/>
                <w:sz w:val="20"/>
                <w:lang w:val="en-US" w:eastAsia="zh-CN"/>
              </w:rPr>
              <w:t>31.12.2018</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DF10D1">
              <w:rPr>
                <w:rFonts w:cs="Arial"/>
                <w:b/>
                <w:bCs/>
                <w:color w:val="000000"/>
                <w:sz w:val="20"/>
                <w:lang w:val="en-US" w:eastAsia="zh-CN"/>
              </w:rPr>
              <w:t xml:space="preserve">IPSAS transition </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DF10D1">
              <w:rPr>
                <w:rFonts w:cs="Arial"/>
                <w:b/>
                <w:bCs/>
                <w:sz w:val="20"/>
                <w:lang w:val="en-US" w:eastAsia="zh-CN"/>
              </w:rPr>
              <w:t>-125,100</w:t>
            </w:r>
          </w:p>
        </w:tc>
        <w:tc>
          <w:tcPr>
            <w:tcW w:w="853"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w:t>
            </w:r>
          </w:p>
        </w:tc>
        <w:tc>
          <w:tcPr>
            <w:tcW w:w="821"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DF10D1">
              <w:rPr>
                <w:rFonts w:cs="Arial"/>
                <w:b/>
                <w:bCs/>
                <w:sz w:val="20"/>
                <w:lang w:val="en-US" w:eastAsia="zh-CN"/>
              </w:rPr>
              <w:t>-</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-125,100</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DF10D1">
              <w:rPr>
                <w:rFonts w:cs="Arial"/>
                <w:b/>
                <w:bCs/>
                <w:color w:val="000000"/>
                <w:sz w:val="20"/>
                <w:lang w:val="en-US" w:eastAsia="zh-CN"/>
              </w:rPr>
              <w:t>Reserve Account</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DF10D1">
              <w:rPr>
                <w:rFonts w:cs="Arial"/>
                <w:b/>
                <w:bCs/>
                <w:sz w:val="20"/>
                <w:lang w:val="en-US" w:eastAsia="zh-CN"/>
              </w:rPr>
              <w:t>27,770</w:t>
            </w:r>
          </w:p>
        </w:tc>
        <w:tc>
          <w:tcPr>
            <w:tcW w:w="853"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508</w:t>
            </w:r>
          </w:p>
        </w:tc>
        <w:tc>
          <w:tcPr>
            <w:tcW w:w="821"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DF10D1">
              <w:rPr>
                <w:rFonts w:cs="Arial"/>
                <w:b/>
                <w:bCs/>
                <w:sz w:val="20"/>
                <w:lang w:val="en-US" w:eastAsia="zh-CN"/>
              </w:rPr>
              <w:t>-837</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27,441</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DF10D1">
              <w:rPr>
                <w:rFonts w:cs="Arial"/>
                <w:b/>
                <w:bCs/>
                <w:color w:val="000000"/>
                <w:sz w:val="20"/>
                <w:lang w:val="en-US" w:eastAsia="zh-CN"/>
              </w:rPr>
              <w:t>Other reserves</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53,638</w:t>
            </w:r>
          </w:p>
        </w:tc>
        <w:tc>
          <w:tcPr>
            <w:tcW w:w="853"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8,414</w:t>
            </w:r>
          </w:p>
        </w:tc>
        <w:tc>
          <w:tcPr>
            <w:tcW w:w="821"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9,425</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71,477</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5A1AA3"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Pr>
                <w:rFonts w:cs="Arial"/>
                <w:color w:val="000000"/>
                <w:sz w:val="20"/>
                <w:lang w:val="en-US" w:eastAsia="zh-CN"/>
              </w:rPr>
              <w:t>Savings fr</w:t>
            </w:r>
            <w:r w:rsidR="00735C7D" w:rsidRPr="00DF10D1">
              <w:rPr>
                <w:rFonts w:cs="Arial"/>
                <w:color w:val="000000"/>
                <w:sz w:val="20"/>
                <w:lang w:val="en-US" w:eastAsia="zh-CN"/>
              </w:rPr>
              <w:t>om previous year</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DF10D1">
              <w:rPr>
                <w:rFonts w:cs="Arial"/>
                <w:sz w:val="20"/>
                <w:lang w:val="en-US" w:eastAsia="zh-CN"/>
              </w:rPr>
              <w:t>5,764</w:t>
            </w:r>
          </w:p>
        </w:tc>
        <w:tc>
          <w:tcPr>
            <w:tcW w:w="853"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3,569</w:t>
            </w:r>
          </w:p>
        </w:tc>
        <w:tc>
          <w:tcPr>
            <w:tcW w:w="821"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DF10D1">
              <w:rPr>
                <w:rFonts w:cs="Arial"/>
                <w:sz w:val="20"/>
                <w:lang w:val="en-US" w:eastAsia="zh-CN"/>
              </w:rPr>
              <w:t>-163</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9,170</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DF10D1">
              <w:rPr>
                <w:rFonts w:cs="Arial"/>
                <w:color w:val="000000"/>
                <w:sz w:val="20"/>
                <w:lang w:val="en-US" w:eastAsia="zh-CN"/>
              </w:rPr>
              <w:t>Investment fund</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DF10D1">
              <w:rPr>
                <w:rFonts w:cs="Arial"/>
                <w:sz w:val="20"/>
                <w:lang w:val="en-US" w:eastAsia="zh-CN"/>
              </w:rPr>
              <w:t>10,230</w:t>
            </w:r>
          </w:p>
        </w:tc>
        <w:tc>
          <w:tcPr>
            <w:tcW w:w="853"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-441</w:t>
            </w:r>
          </w:p>
        </w:tc>
        <w:tc>
          <w:tcPr>
            <w:tcW w:w="821"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32</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9,821</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DF10D1">
              <w:rPr>
                <w:rFonts w:cs="Arial"/>
                <w:color w:val="000000"/>
                <w:sz w:val="20"/>
                <w:lang w:val="en-US" w:eastAsia="zh-CN"/>
              </w:rPr>
              <w:t>New Building fund</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DF10D1">
              <w:rPr>
                <w:rFonts w:cs="Arial"/>
                <w:sz w:val="20"/>
                <w:lang w:val="en-US" w:eastAsia="zh-CN"/>
              </w:rPr>
              <w:t>-671</w:t>
            </w:r>
          </w:p>
        </w:tc>
        <w:tc>
          <w:tcPr>
            <w:tcW w:w="853"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-188</w:t>
            </w:r>
          </w:p>
        </w:tc>
        <w:tc>
          <w:tcPr>
            <w:tcW w:w="821"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-859</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DF10D1">
              <w:rPr>
                <w:rFonts w:cs="Arial"/>
                <w:color w:val="000000"/>
                <w:sz w:val="20"/>
                <w:lang w:val="en-US" w:eastAsia="zh-CN"/>
              </w:rPr>
              <w:t>New Building Reserve</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DF10D1">
              <w:rPr>
                <w:rFonts w:cs="Arial"/>
                <w:sz w:val="20"/>
                <w:lang w:val="en-US" w:eastAsia="zh-CN"/>
              </w:rPr>
              <w:t>-</w:t>
            </w:r>
          </w:p>
        </w:tc>
        <w:tc>
          <w:tcPr>
            <w:tcW w:w="853"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6,095</w:t>
            </w:r>
          </w:p>
        </w:tc>
        <w:tc>
          <w:tcPr>
            <w:tcW w:w="821"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 </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6,095</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DF10D1">
              <w:rPr>
                <w:rFonts w:cs="Arial"/>
                <w:color w:val="000000"/>
                <w:sz w:val="20"/>
                <w:lang w:val="en-US" w:eastAsia="zh-CN"/>
              </w:rPr>
              <w:t>Welfare fund</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DF10D1">
              <w:rPr>
                <w:rFonts w:cs="Arial"/>
                <w:sz w:val="20"/>
                <w:lang w:val="en-US" w:eastAsia="zh-CN"/>
              </w:rPr>
              <w:t>393</w:t>
            </w:r>
          </w:p>
        </w:tc>
        <w:tc>
          <w:tcPr>
            <w:tcW w:w="853"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 </w:t>
            </w:r>
          </w:p>
        </w:tc>
        <w:tc>
          <w:tcPr>
            <w:tcW w:w="821"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-18</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375</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DF10D1">
              <w:rPr>
                <w:rFonts w:cs="Arial"/>
                <w:color w:val="000000"/>
                <w:sz w:val="20"/>
                <w:lang w:val="en-US" w:eastAsia="zh-CN"/>
              </w:rPr>
              <w:t>Centenary fund</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DF10D1">
              <w:rPr>
                <w:rFonts w:cs="Arial"/>
                <w:sz w:val="20"/>
                <w:lang w:val="en-US" w:eastAsia="zh-CN"/>
              </w:rPr>
              <w:t>212</w:t>
            </w:r>
          </w:p>
        </w:tc>
        <w:tc>
          <w:tcPr>
            <w:tcW w:w="853"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 </w:t>
            </w:r>
          </w:p>
        </w:tc>
        <w:tc>
          <w:tcPr>
            <w:tcW w:w="821"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 </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212</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DF10D1">
              <w:rPr>
                <w:rFonts w:cs="Arial"/>
                <w:color w:val="000000"/>
                <w:sz w:val="20"/>
                <w:lang w:val="en-US" w:eastAsia="zh-CN"/>
              </w:rPr>
              <w:t>SS&amp;B Complement fund</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DF10D1">
              <w:rPr>
                <w:rFonts w:cs="Arial"/>
                <w:sz w:val="20"/>
                <w:lang w:val="en-US" w:eastAsia="zh-CN"/>
              </w:rPr>
              <w:t>6,202</w:t>
            </w:r>
          </w:p>
        </w:tc>
        <w:tc>
          <w:tcPr>
            <w:tcW w:w="853"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-19</w:t>
            </w:r>
          </w:p>
        </w:tc>
        <w:tc>
          <w:tcPr>
            <w:tcW w:w="821"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 </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6,183</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DF10D1">
              <w:rPr>
                <w:rFonts w:cs="Arial"/>
                <w:color w:val="000000"/>
                <w:sz w:val="20"/>
                <w:lang w:val="en-US" w:eastAsia="zh-CN"/>
              </w:rPr>
              <w:t xml:space="preserve">SS&amp;B </w:t>
            </w:r>
            <w:r w:rsidR="005A1AA3" w:rsidRPr="00DF10D1">
              <w:rPr>
                <w:rFonts w:cs="Arial"/>
                <w:color w:val="000000"/>
                <w:sz w:val="20"/>
                <w:lang w:val="en-US" w:eastAsia="zh-CN"/>
              </w:rPr>
              <w:t>Assistance</w:t>
            </w:r>
            <w:r w:rsidRPr="00DF10D1">
              <w:rPr>
                <w:rFonts w:cs="Arial"/>
                <w:color w:val="000000"/>
                <w:sz w:val="20"/>
                <w:lang w:val="en-US" w:eastAsia="zh-CN"/>
              </w:rPr>
              <w:t xml:space="preserve"> fund</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DF10D1">
              <w:rPr>
                <w:rFonts w:cs="Arial"/>
                <w:sz w:val="20"/>
                <w:lang w:val="en-US" w:eastAsia="zh-CN"/>
              </w:rPr>
              <w:t>278</w:t>
            </w:r>
          </w:p>
        </w:tc>
        <w:tc>
          <w:tcPr>
            <w:tcW w:w="853"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 -</w:t>
            </w:r>
          </w:p>
        </w:tc>
        <w:tc>
          <w:tcPr>
            <w:tcW w:w="821"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278</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6862E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DF10D1">
              <w:rPr>
                <w:rFonts w:cs="Arial"/>
                <w:color w:val="000000"/>
                <w:sz w:val="20"/>
                <w:lang w:val="en-US" w:eastAsia="zh-CN"/>
              </w:rPr>
              <w:t>A</w:t>
            </w:r>
            <w:r w:rsidR="006862E3">
              <w:rPr>
                <w:rFonts w:cs="Arial"/>
                <w:color w:val="000000"/>
                <w:sz w:val="20"/>
                <w:lang w:val="en-US" w:eastAsia="zh-CN"/>
              </w:rPr>
              <w:t>SHI</w:t>
            </w:r>
            <w:r w:rsidRPr="00DF10D1">
              <w:rPr>
                <w:rFonts w:cs="Arial"/>
                <w:color w:val="000000"/>
                <w:sz w:val="20"/>
                <w:lang w:val="en-US" w:eastAsia="zh-CN"/>
              </w:rPr>
              <w:t xml:space="preserve"> fund</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DF10D1">
              <w:rPr>
                <w:rFonts w:cs="Arial"/>
                <w:sz w:val="20"/>
                <w:lang w:val="en-US" w:eastAsia="zh-CN"/>
              </w:rPr>
              <w:t>9,500</w:t>
            </w:r>
          </w:p>
        </w:tc>
        <w:tc>
          <w:tcPr>
            <w:tcW w:w="853"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1,000</w:t>
            </w:r>
          </w:p>
        </w:tc>
        <w:tc>
          <w:tcPr>
            <w:tcW w:w="821"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1,000</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11,500</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DF10D1">
              <w:rPr>
                <w:rFonts w:cs="Arial"/>
                <w:color w:val="000000"/>
                <w:sz w:val="20"/>
                <w:lang w:val="en-US" w:eastAsia="zh-CN"/>
              </w:rPr>
              <w:t>Health Insurance fund</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DF10D1">
              <w:rPr>
                <w:rFonts w:cs="Arial"/>
                <w:sz w:val="20"/>
                <w:lang w:val="en-US" w:eastAsia="zh-CN"/>
              </w:rPr>
              <w:t>13,808</w:t>
            </w:r>
          </w:p>
        </w:tc>
        <w:tc>
          <w:tcPr>
            <w:tcW w:w="853" w:type="pct"/>
            <w:tcBorders>
              <w:top w:val="nil"/>
              <w:left w:val="nil"/>
              <w:bottom w:val="nil"/>
              <w:right w:val="single" w:sz="8" w:space="0" w:color="auto"/>
            </w:tcBorders>
            <w:shd w:val="clear" w:color="auto" w:fill="auto"/>
            <w:noWrap/>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 -</w:t>
            </w:r>
          </w:p>
        </w:tc>
        <w:tc>
          <w:tcPr>
            <w:tcW w:w="821" w:type="pct"/>
            <w:tcBorders>
              <w:top w:val="nil"/>
              <w:left w:val="nil"/>
              <w:bottom w:val="nil"/>
              <w:right w:val="single" w:sz="8" w:space="0" w:color="auto"/>
            </w:tcBorders>
            <w:shd w:val="clear" w:color="auto" w:fill="auto"/>
            <w:noWrap/>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8,541</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22,349</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DF10D1">
              <w:rPr>
                <w:rFonts w:cs="Arial"/>
                <w:color w:val="000000"/>
                <w:sz w:val="20"/>
                <w:lang w:val="en-US" w:eastAsia="zh-CN"/>
              </w:rPr>
              <w:t>Extra budgetary allocated reserves</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DF10D1">
              <w:rPr>
                <w:rFonts w:cs="Arial"/>
                <w:sz w:val="20"/>
                <w:lang w:val="en-US" w:eastAsia="zh-CN"/>
              </w:rPr>
              <w:t>7,039</w:t>
            </w:r>
          </w:p>
        </w:tc>
        <w:tc>
          <w:tcPr>
            <w:tcW w:w="853" w:type="pct"/>
            <w:tcBorders>
              <w:top w:val="nil"/>
              <w:left w:val="nil"/>
              <w:bottom w:val="nil"/>
              <w:right w:val="single" w:sz="8" w:space="0" w:color="auto"/>
            </w:tcBorders>
            <w:shd w:val="clear" w:color="auto" w:fill="auto"/>
            <w:noWrap/>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-1,602</w:t>
            </w:r>
          </w:p>
        </w:tc>
        <w:tc>
          <w:tcPr>
            <w:tcW w:w="821" w:type="pct"/>
            <w:tcBorders>
              <w:top w:val="nil"/>
              <w:left w:val="nil"/>
              <w:bottom w:val="nil"/>
              <w:right w:val="single" w:sz="8" w:space="0" w:color="auto"/>
            </w:tcBorders>
            <w:shd w:val="clear" w:color="auto" w:fill="auto"/>
            <w:noWrap/>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177</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5,614</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DF10D1">
              <w:rPr>
                <w:rFonts w:cs="Arial"/>
                <w:color w:val="000000"/>
                <w:sz w:val="20"/>
                <w:lang w:val="en-US" w:eastAsia="zh-CN"/>
              </w:rPr>
              <w:t>Currency exchange translation</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DF10D1">
              <w:rPr>
                <w:rFonts w:cs="Arial"/>
                <w:sz w:val="20"/>
                <w:lang w:val="en-US" w:eastAsia="zh-CN"/>
              </w:rPr>
              <w:t>884</w:t>
            </w:r>
          </w:p>
        </w:tc>
        <w:tc>
          <w:tcPr>
            <w:tcW w:w="853" w:type="pct"/>
            <w:tcBorders>
              <w:top w:val="nil"/>
              <w:left w:val="nil"/>
              <w:bottom w:val="nil"/>
              <w:right w:val="single" w:sz="8" w:space="0" w:color="auto"/>
            </w:tcBorders>
            <w:shd w:val="clear" w:color="auto" w:fill="auto"/>
            <w:noWrap/>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 -</w:t>
            </w:r>
          </w:p>
        </w:tc>
        <w:tc>
          <w:tcPr>
            <w:tcW w:w="821" w:type="pct"/>
            <w:tcBorders>
              <w:top w:val="nil"/>
              <w:left w:val="nil"/>
              <w:bottom w:val="nil"/>
              <w:right w:val="single" w:sz="8" w:space="0" w:color="auto"/>
            </w:tcBorders>
            <w:shd w:val="clear" w:color="auto" w:fill="auto"/>
            <w:noWrap/>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-144</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740</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DF10D1">
              <w:rPr>
                <w:rFonts w:cs="Arial"/>
                <w:b/>
                <w:bCs/>
                <w:color w:val="000000"/>
                <w:sz w:val="20"/>
                <w:lang w:val="en-US" w:eastAsia="zh-CN"/>
              </w:rPr>
              <w:t>Extra-budgetary activities related funds</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DF10D1">
              <w:rPr>
                <w:rFonts w:cs="Arial"/>
                <w:b/>
                <w:bCs/>
                <w:sz w:val="20"/>
                <w:lang w:val="en-US" w:eastAsia="zh-CN"/>
              </w:rPr>
              <w:t>13,149</w:t>
            </w:r>
          </w:p>
        </w:tc>
        <w:tc>
          <w:tcPr>
            <w:tcW w:w="853"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-182</w:t>
            </w:r>
          </w:p>
        </w:tc>
        <w:tc>
          <w:tcPr>
            <w:tcW w:w="821"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-544</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12,423</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DF10D1">
              <w:rPr>
                <w:rFonts w:cs="Arial"/>
                <w:color w:val="000000"/>
                <w:sz w:val="20"/>
                <w:lang w:val="en-US" w:eastAsia="zh-CN"/>
              </w:rPr>
              <w:t>TLC</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DF10D1">
              <w:rPr>
                <w:rFonts w:cs="Arial"/>
                <w:sz w:val="20"/>
                <w:lang w:val="en-US" w:eastAsia="zh-CN"/>
              </w:rPr>
              <w:t>8,132</w:t>
            </w:r>
          </w:p>
        </w:tc>
        <w:tc>
          <w:tcPr>
            <w:tcW w:w="853"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-255</w:t>
            </w:r>
          </w:p>
        </w:tc>
        <w:tc>
          <w:tcPr>
            <w:tcW w:w="821"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73</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7,950</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DF10D1">
              <w:rPr>
                <w:rFonts w:cs="Arial"/>
                <w:color w:val="000000"/>
                <w:sz w:val="20"/>
                <w:lang w:val="en-US" w:eastAsia="zh-CN"/>
              </w:rPr>
              <w:t>Others</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DF10D1">
              <w:rPr>
                <w:rFonts w:cs="Arial"/>
                <w:sz w:val="20"/>
                <w:lang w:val="en-US" w:eastAsia="zh-CN"/>
              </w:rPr>
              <w:t>5,017</w:t>
            </w:r>
          </w:p>
        </w:tc>
        <w:tc>
          <w:tcPr>
            <w:tcW w:w="853"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72</w:t>
            </w:r>
          </w:p>
        </w:tc>
        <w:tc>
          <w:tcPr>
            <w:tcW w:w="821"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-617</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4,473</w:t>
            </w:r>
          </w:p>
        </w:tc>
      </w:tr>
      <w:tr w:rsidR="00735C7D" w:rsidRPr="00DF10D1" w:rsidTr="00735C7D">
        <w:trPr>
          <w:trHeight w:val="255"/>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DF10D1">
              <w:rPr>
                <w:rFonts w:cs="Arial"/>
                <w:b/>
                <w:bCs/>
                <w:color w:val="000000"/>
                <w:sz w:val="20"/>
                <w:lang w:val="en-US" w:eastAsia="zh-CN"/>
              </w:rPr>
              <w:t>ASHI actuarial losses</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DF10D1">
              <w:rPr>
                <w:rFonts w:cs="Arial"/>
                <w:b/>
                <w:bCs/>
                <w:sz w:val="20"/>
                <w:lang w:val="en-US" w:eastAsia="zh-CN"/>
              </w:rPr>
              <w:t>-369,704</w:t>
            </w:r>
          </w:p>
        </w:tc>
        <w:tc>
          <w:tcPr>
            <w:tcW w:w="853"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w:t>
            </w:r>
          </w:p>
        </w:tc>
        <w:tc>
          <w:tcPr>
            <w:tcW w:w="821"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87,277</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-282,427</w:t>
            </w:r>
          </w:p>
        </w:tc>
      </w:tr>
      <w:tr w:rsidR="00735C7D" w:rsidRPr="00DF10D1" w:rsidTr="00735C7D">
        <w:trPr>
          <w:trHeight w:val="270"/>
        </w:trPr>
        <w:tc>
          <w:tcPr>
            <w:tcW w:w="1737" w:type="pct"/>
            <w:tcBorders>
              <w:top w:val="nil"/>
              <w:left w:val="single" w:sz="8" w:space="0" w:color="auto"/>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DF10D1">
              <w:rPr>
                <w:rFonts w:cs="Arial"/>
                <w:b/>
                <w:bCs/>
                <w:color w:val="000000"/>
                <w:sz w:val="20"/>
                <w:lang w:val="en-US" w:eastAsia="zh-CN"/>
              </w:rPr>
              <w:t>IPSAS cumulated deficit (statistical)</w:t>
            </w:r>
          </w:p>
        </w:tc>
        <w:tc>
          <w:tcPr>
            <w:tcW w:w="800"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-82,278</w:t>
            </w:r>
          </w:p>
        </w:tc>
        <w:tc>
          <w:tcPr>
            <w:tcW w:w="853"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DF10D1">
              <w:rPr>
                <w:rFonts w:cs="Arial"/>
                <w:color w:val="000000"/>
                <w:sz w:val="20"/>
                <w:lang w:val="en-US" w:eastAsia="zh-CN"/>
              </w:rPr>
              <w:t>-16,715</w:t>
            </w:r>
          </w:p>
        </w:tc>
        <w:tc>
          <w:tcPr>
            <w:tcW w:w="821"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w:t>
            </w:r>
          </w:p>
        </w:tc>
        <w:tc>
          <w:tcPr>
            <w:tcW w:w="789" w:type="pct"/>
            <w:tcBorders>
              <w:top w:val="nil"/>
              <w:left w:val="nil"/>
              <w:bottom w:val="nil"/>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-98,993</w:t>
            </w:r>
          </w:p>
        </w:tc>
      </w:tr>
      <w:tr w:rsidR="00735C7D" w:rsidRPr="00DF10D1" w:rsidTr="00735C7D">
        <w:trPr>
          <w:trHeight w:val="270"/>
        </w:trPr>
        <w:tc>
          <w:tcPr>
            <w:tcW w:w="173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 xml:space="preserve">Total net assets </w:t>
            </w:r>
          </w:p>
        </w:tc>
        <w:tc>
          <w:tcPr>
            <w:tcW w:w="800" w:type="pct"/>
            <w:tcBorders>
              <w:top w:val="single" w:sz="8" w:space="0" w:color="auto"/>
              <w:left w:val="nil"/>
              <w:bottom w:val="single" w:sz="8" w:space="0" w:color="auto"/>
              <w:right w:val="single" w:sz="8" w:space="0" w:color="auto"/>
            </w:tcBorders>
            <w:shd w:val="clear" w:color="auto" w:fill="auto"/>
            <w:vAlign w:val="center"/>
            <w:hideMark/>
          </w:tcPr>
          <w:p w:rsidR="00735C7D" w:rsidRPr="00DF10D1" w:rsidRDefault="00735C7D" w:rsidP="00F11664">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-482,52</w:t>
            </w:r>
            <w:r w:rsidR="00F11664">
              <w:rPr>
                <w:rFonts w:cs="Arial"/>
                <w:b/>
                <w:bCs/>
                <w:color w:val="000000"/>
                <w:sz w:val="20"/>
                <w:lang w:val="en-US" w:eastAsia="zh-CN"/>
              </w:rPr>
              <w:t>4</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-7,976</w:t>
            </w:r>
          </w:p>
        </w:tc>
        <w:tc>
          <w:tcPr>
            <w:tcW w:w="821" w:type="pct"/>
            <w:tcBorders>
              <w:top w:val="single" w:sz="8" w:space="0" w:color="auto"/>
              <w:left w:val="nil"/>
              <w:bottom w:val="single" w:sz="8" w:space="0" w:color="auto"/>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95,321</w:t>
            </w:r>
          </w:p>
        </w:tc>
        <w:tc>
          <w:tcPr>
            <w:tcW w:w="789" w:type="pct"/>
            <w:tcBorders>
              <w:top w:val="single" w:sz="8" w:space="0" w:color="auto"/>
              <w:left w:val="nil"/>
              <w:bottom w:val="single" w:sz="8" w:space="0" w:color="auto"/>
              <w:right w:val="single" w:sz="8" w:space="0" w:color="auto"/>
            </w:tcBorders>
            <w:shd w:val="clear" w:color="auto" w:fill="auto"/>
            <w:vAlign w:val="center"/>
            <w:hideMark/>
          </w:tcPr>
          <w:p w:rsidR="00735C7D" w:rsidRPr="00DF10D1"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DF10D1">
              <w:rPr>
                <w:rFonts w:cs="Arial"/>
                <w:b/>
                <w:bCs/>
                <w:color w:val="000000"/>
                <w:sz w:val="20"/>
                <w:lang w:val="en-US" w:eastAsia="zh-CN"/>
              </w:rPr>
              <w:t>-395,179</w:t>
            </w:r>
          </w:p>
        </w:tc>
      </w:tr>
    </w:tbl>
    <w:p w:rsidR="00735C7D" w:rsidRPr="00735C7D" w:rsidRDefault="00735C7D" w:rsidP="00735C7D">
      <w:pPr>
        <w:pStyle w:val="Tabletext"/>
        <w:rPr>
          <w:lang w:val="en-US"/>
        </w:rPr>
      </w:pPr>
    </w:p>
    <w:p w:rsidR="00250F9D" w:rsidRDefault="00250F9D" w:rsidP="00BD5D98">
      <w:pPr>
        <w:pStyle w:val="Tabletitle"/>
        <w:rPr>
          <w:sz w:val="28"/>
          <w:szCs w:val="28"/>
          <w:lang w:val="en-US"/>
        </w:rPr>
      </w:pPr>
      <w:r>
        <w:rPr>
          <w:lang w:val="en-US"/>
        </w:rPr>
        <w:br w:type="page"/>
      </w:r>
      <w:bookmarkStart w:id="25" w:name="_Toc329011607"/>
      <w:bookmarkStart w:id="26" w:name="_Toc305764059"/>
      <w:r>
        <w:rPr>
          <w:sz w:val="28"/>
          <w:szCs w:val="28"/>
          <w:lang w:val="en-US"/>
        </w:rPr>
        <w:t xml:space="preserve">IV – </w:t>
      </w:r>
      <w:r w:rsidR="009900B0">
        <w:rPr>
          <w:sz w:val="28"/>
          <w:szCs w:val="28"/>
          <w:lang w:val="en-US"/>
        </w:rPr>
        <w:t xml:space="preserve">Statement </w:t>
      </w:r>
      <w:r>
        <w:rPr>
          <w:sz w:val="28"/>
          <w:szCs w:val="28"/>
          <w:lang w:val="en-US"/>
        </w:rPr>
        <w:t xml:space="preserve">of cash flows for the period closed on 31 December </w:t>
      </w:r>
      <w:bookmarkEnd w:id="25"/>
      <w:bookmarkEnd w:id="26"/>
      <w:r w:rsidR="00111BDD">
        <w:rPr>
          <w:sz w:val="28"/>
          <w:szCs w:val="28"/>
          <w:lang w:val="en-US"/>
        </w:rPr>
        <w:t>201</w:t>
      </w:r>
      <w:r w:rsidR="00BD5D98">
        <w:rPr>
          <w:sz w:val="28"/>
          <w:szCs w:val="28"/>
          <w:lang w:val="en-US"/>
        </w:rPr>
        <w:t>8</w:t>
      </w:r>
    </w:p>
    <w:tbl>
      <w:tblPr>
        <w:tblW w:w="5000" w:type="pct"/>
        <w:tblLook w:val="04A0" w:firstRow="1" w:lastRow="0" w:firstColumn="1" w:lastColumn="0" w:noHBand="0" w:noVBand="1"/>
      </w:tblPr>
      <w:tblGrid>
        <w:gridCol w:w="6842"/>
        <w:gridCol w:w="1502"/>
        <w:gridCol w:w="1427"/>
      </w:tblGrid>
      <w:tr w:rsidR="00735C7D" w:rsidRPr="00735C7D" w:rsidTr="00DF10D1">
        <w:trPr>
          <w:trHeight w:val="466"/>
        </w:trPr>
        <w:tc>
          <w:tcPr>
            <w:tcW w:w="3514" w:type="pct"/>
            <w:tcBorders>
              <w:top w:val="single" w:sz="4" w:space="0" w:color="auto"/>
              <w:left w:val="single" w:sz="4" w:space="0" w:color="auto"/>
              <w:bottom w:val="single" w:sz="4" w:space="0" w:color="auto"/>
              <w:right w:val="nil"/>
            </w:tcBorders>
            <w:shd w:val="clear" w:color="auto" w:fill="auto"/>
            <w:noWrap/>
            <w:vAlign w:val="bottom"/>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(in thousands of CHF)</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35C7D">
              <w:rPr>
                <w:rFonts w:cs="Arial"/>
                <w:b/>
                <w:bCs/>
                <w:color w:val="000000"/>
                <w:sz w:val="20"/>
                <w:lang w:val="en-US" w:eastAsia="zh-CN"/>
              </w:rPr>
              <w:t>31/12/2018</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35C7D">
              <w:rPr>
                <w:rFonts w:cs="Arial"/>
                <w:b/>
                <w:bCs/>
                <w:color w:val="000000"/>
                <w:sz w:val="20"/>
                <w:lang w:val="en-US" w:eastAsia="zh-CN"/>
              </w:rPr>
              <w:t>31/12/2017</w:t>
            </w:r>
          </w:p>
        </w:tc>
      </w:tr>
      <w:tr w:rsidR="00735C7D" w:rsidRPr="00735C7D" w:rsidTr="00735C7D">
        <w:trPr>
          <w:trHeight w:val="300"/>
        </w:trPr>
        <w:tc>
          <w:tcPr>
            <w:tcW w:w="3514" w:type="pct"/>
            <w:tcBorders>
              <w:top w:val="nil"/>
              <w:left w:val="single" w:sz="4" w:space="0" w:color="auto"/>
              <w:bottom w:val="nil"/>
              <w:right w:val="nil"/>
            </w:tcBorders>
            <w:shd w:val="clear" w:color="auto" w:fill="auto"/>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p>
        </w:tc>
        <w:tc>
          <w:tcPr>
            <w:tcW w:w="743" w:type="pct"/>
            <w:tcBorders>
              <w:top w:val="nil"/>
              <w:left w:val="single" w:sz="4" w:space="0" w:color="auto"/>
              <w:bottom w:val="nil"/>
              <w:right w:val="single" w:sz="4" w:space="0" w:color="auto"/>
            </w:tcBorders>
            <w:shd w:val="clear" w:color="auto" w:fill="auto"/>
            <w:noWrap/>
            <w:vAlign w:val="bottom"/>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p>
        </w:tc>
        <w:tc>
          <w:tcPr>
            <w:tcW w:w="743" w:type="pct"/>
            <w:tcBorders>
              <w:top w:val="nil"/>
              <w:left w:val="nil"/>
              <w:bottom w:val="nil"/>
              <w:right w:val="single" w:sz="4" w:space="0" w:color="auto"/>
            </w:tcBorders>
            <w:shd w:val="clear" w:color="auto" w:fill="auto"/>
            <w:noWrap/>
            <w:vAlign w:val="bottom"/>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Surplus (deficit) for the period</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-7,976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-17,078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35C7D">
              <w:rPr>
                <w:rFonts w:cs="Arial"/>
                <w:b/>
                <w:bCs/>
                <w:color w:val="000000"/>
                <w:sz w:val="20"/>
                <w:lang w:val="en-US" w:eastAsia="zh-CN"/>
              </w:rPr>
              <w:t>Non-monetary movements</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Depreciation</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4,497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5,212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ASHI provision</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22,267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18,214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Provisions for repatriation (LT)</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431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-1,268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Provisions for employee benefits (ST)</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93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174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Provisions for accrued leave (LT)</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321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180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Other provisions</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5,756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526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 xml:space="preserve">Provision for </w:t>
            </w:r>
            <w:r w:rsidR="00DC399D" w:rsidRPr="00735C7D">
              <w:rPr>
                <w:rFonts w:cs="Arial"/>
                <w:color w:val="000000"/>
                <w:sz w:val="20"/>
                <w:lang w:val="en-US" w:eastAsia="zh-CN"/>
              </w:rPr>
              <w:t>doubtful</w:t>
            </w:r>
            <w:r w:rsidRPr="00735C7D">
              <w:rPr>
                <w:rFonts w:cs="Arial"/>
                <w:color w:val="000000"/>
                <w:sz w:val="20"/>
                <w:lang w:val="en-US" w:eastAsia="zh-CN"/>
              </w:rPr>
              <w:t xml:space="preserve"> receivable</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-11,487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5,472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Inventory depreciation</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19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-3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Net (gain) or loss on sales of fixed assets</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5 </w:t>
            </w:r>
          </w:p>
        </w:tc>
      </w:tr>
      <w:tr w:rsidR="00735C7D" w:rsidRPr="00735C7D" w:rsidTr="00DF10D1">
        <w:trPr>
          <w:trHeight w:val="33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Interest received</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-748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-220 </w:t>
            </w:r>
          </w:p>
        </w:tc>
      </w:tr>
      <w:tr w:rsidR="00735C7D" w:rsidRPr="00735C7D" w:rsidTr="00DF10D1">
        <w:trPr>
          <w:trHeight w:val="8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w:t>
            </w:r>
          </w:p>
        </w:tc>
      </w:tr>
      <w:tr w:rsidR="00735C7D" w:rsidRPr="00735C7D" w:rsidTr="00735C7D">
        <w:trPr>
          <w:trHeight w:val="285"/>
        </w:trPr>
        <w:tc>
          <w:tcPr>
            <w:tcW w:w="3514" w:type="pct"/>
            <w:tcBorders>
              <w:top w:val="single" w:sz="4" w:space="0" w:color="auto"/>
              <w:left w:val="single" w:sz="4" w:space="0" w:color="auto"/>
              <w:bottom w:val="single" w:sz="4" w:space="0" w:color="auto"/>
              <w:right w:val="nil"/>
            </w:tcBorders>
            <w:shd w:val="clear" w:color="auto" w:fill="auto"/>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35C7D">
              <w:rPr>
                <w:rFonts w:cs="Arial"/>
                <w:b/>
                <w:bCs/>
                <w:color w:val="000000"/>
                <w:sz w:val="20"/>
                <w:lang w:val="en-US" w:eastAsia="zh-CN"/>
              </w:rPr>
              <w:t>Restated surplus (deficit) from non-monetary movements</w:t>
            </w:r>
          </w:p>
        </w:tc>
        <w:tc>
          <w:tcPr>
            <w:tcW w:w="743" w:type="pct"/>
            <w:tcBorders>
              <w:top w:val="single" w:sz="4" w:space="0" w:color="auto"/>
              <w:left w:val="single" w:sz="4" w:space="0" w:color="auto"/>
              <w:bottom w:val="single" w:sz="4" w:space="0" w:color="auto"/>
              <w:right w:val="single" w:sz="4" w:space="0" w:color="auto"/>
            </w:tcBorders>
            <w:shd w:val="clear" w:color="auto" w:fill="auto"/>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735C7D">
              <w:rPr>
                <w:rFonts w:cs="Arial"/>
                <w:b/>
                <w:bCs/>
                <w:sz w:val="20"/>
                <w:lang w:val="en-US" w:eastAsia="zh-CN"/>
              </w:rPr>
              <w:t xml:space="preserve">           13,172 </w:t>
            </w:r>
          </w:p>
        </w:tc>
        <w:tc>
          <w:tcPr>
            <w:tcW w:w="743" w:type="pct"/>
            <w:tcBorders>
              <w:top w:val="single" w:sz="4" w:space="0" w:color="auto"/>
              <w:left w:val="nil"/>
              <w:bottom w:val="single" w:sz="4" w:space="0" w:color="auto"/>
              <w:right w:val="single" w:sz="4" w:space="0" w:color="auto"/>
            </w:tcBorders>
            <w:shd w:val="clear" w:color="auto" w:fill="auto"/>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735C7D">
              <w:rPr>
                <w:rFonts w:cs="Arial"/>
                <w:b/>
                <w:bCs/>
                <w:sz w:val="20"/>
                <w:lang w:val="en-US" w:eastAsia="zh-CN"/>
              </w:rPr>
              <w:t xml:space="preserve">           11,215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(Increase) decrease in inventories</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107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-113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(Increase) decrease in short-term receivables</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17,797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-17,042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(Increase) decrease in other short-term receivables</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0B7F2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w:t>
            </w:r>
            <w:r w:rsidR="000B7F2E">
              <w:rPr>
                <w:rFonts w:cs="Arial"/>
                <w:color w:val="000000"/>
                <w:sz w:val="20"/>
                <w:lang w:val="en-US" w:eastAsia="zh-CN"/>
              </w:rPr>
              <w:t>-1,029</w:t>
            </w:r>
            <w:r w:rsidRPr="00735C7D">
              <w:rPr>
                <w:rFonts w:cs="Arial"/>
                <w:color w:val="000000"/>
                <w:sz w:val="20"/>
                <w:lang w:val="en-US" w:eastAsia="zh-CN"/>
              </w:rPr>
              <w:t xml:space="preserve">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1,944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Increase (decrease) in suppliers</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-766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523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Increase (decrease) in deferred revenue</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1,999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5,253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Increase (decrease) in other debts</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0B7F2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w:t>
            </w:r>
            <w:r w:rsidR="000B7F2E">
              <w:rPr>
                <w:rFonts w:cs="Arial"/>
                <w:color w:val="000000"/>
                <w:sz w:val="20"/>
                <w:lang w:val="en-US" w:eastAsia="zh-CN"/>
              </w:rPr>
              <w:t>1,385</w:t>
            </w:r>
            <w:r w:rsidRPr="00735C7D">
              <w:rPr>
                <w:rFonts w:cs="Arial"/>
                <w:color w:val="000000"/>
                <w:sz w:val="20"/>
                <w:lang w:val="en-US" w:eastAsia="zh-CN"/>
              </w:rPr>
              <w:t xml:space="preserve">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-3,264 </w:t>
            </w:r>
          </w:p>
        </w:tc>
      </w:tr>
      <w:tr w:rsidR="00735C7D" w:rsidRPr="00735C7D" w:rsidTr="00DF10D1">
        <w:trPr>
          <w:trHeight w:val="285"/>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Use of provisions for employee benefits (ST)</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-131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-1,042 </w:t>
            </w:r>
          </w:p>
        </w:tc>
      </w:tr>
      <w:tr w:rsidR="00735C7D" w:rsidRPr="00735C7D" w:rsidTr="00DF10D1">
        <w:trPr>
          <w:trHeight w:val="285"/>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Use of provision for repatriation (LT)</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-575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-914 </w:t>
            </w:r>
          </w:p>
        </w:tc>
      </w:tr>
      <w:tr w:rsidR="00735C7D" w:rsidRPr="00735C7D" w:rsidTr="00DF10D1">
        <w:trPr>
          <w:trHeight w:val="285"/>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Use of provision for accrued leave (LT)</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-119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-95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Increase (decrease) Other provisions</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-560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-342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Increase (decrease) in third-party funds</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7,530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-1,131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Changes in own funds</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8,044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xml:space="preserve">                 834 </w:t>
            </w:r>
          </w:p>
        </w:tc>
      </w:tr>
      <w:tr w:rsidR="00735C7D" w:rsidRPr="00735C7D" w:rsidTr="00DF10D1">
        <w:trPr>
          <w:trHeight w:val="80"/>
        </w:trPr>
        <w:tc>
          <w:tcPr>
            <w:tcW w:w="3514" w:type="pct"/>
            <w:tcBorders>
              <w:top w:val="nil"/>
              <w:left w:val="single" w:sz="4" w:space="0" w:color="auto"/>
              <w:bottom w:val="nil"/>
              <w:right w:val="nil"/>
            </w:tcBorders>
            <w:shd w:val="clear" w:color="auto" w:fill="auto"/>
            <w:noWrap/>
            <w:vAlign w:val="bottom"/>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w:t>
            </w:r>
          </w:p>
        </w:tc>
      </w:tr>
      <w:tr w:rsidR="00735C7D" w:rsidRPr="00735C7D" w:rsidTr="00DF10D1">
        <w:trPr>
          <w:trHeight w:val="300"/>
        </w:trPr>
        <w:tc>
          <w:tcPr>
            <w:tcW w:w="3514" w:type="pct"/>
            <w:tcBorders>
              <w:top w:val="single" w:sz="4" w:space="0" w:color="auto"/>
              <w:left w:val="single" w:sz="4" w:space="0" w:color="auto"/>
              <w:bottom w:val="single" w:sz="4" w:space="0" w:color="auto"/>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35C7D">
              <w:rPr>
                <w:rFonts w:cs="Arial"/>
                <w:b/>
                <w:bCs/>
                <w:color w:val="000000"/>
                <w:sz w:val="20"/>
                <w:lang w:val="en-US" w:eastAsia="zh-CN"/>
              </w:rPr>
              <w:t>Cash flow from operating activities</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735C7D">
              <w:rPr>
                <w:rFonts w:cs="Arial"/>
                <w:b/>
                <w:bCs/>
                <w:sz w:val="20"/>
                <w:lang w:val="en-US" w:eastAsia="zh-CN"/>
              </w:rPr>
              <w:t xml:space="preserve">           33,681 </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735C7D" w:rsidRPr="00735C7D" w:rsidRDefault="00735C7D" w:rsidP="008B552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35C7D">
              <w:rPr>
                <w:rFonts w:cs="Arial"/>
                <w:b/>
                <w:bCs/>
                <w:color w:val="000000"/>
                <w:sz w:val="20"/>
                <w:lang w:val="en-US" w:eastAsia="zh-CN"/>
              </w:rPr>
              <w:t xml:space="preserve">          -15,39</w:t>
            </w:r>
            <w:r w:rsidR="008B552C">
              <w:rPr>
                <w:rFonts w:cs="Arial"/>
                <w:b/>
                <w:bCs/>
                <w:color w:val="000000"/>
                <w:sz w:val="20"/>
                <w:lang w:val="en-US" w:eastAsia="zh-CN"/>
              </w:rPr>
              <w:t>1</w:t>
            </w:r>
            <w:r w:rsidRPr="00735C7D">
              <w:rPr>
                <w:rFonts w:cs="Arial"/>
                <w:b/>
                <w:bCs/>
                <w:color w:val="000000"/>
                <w:sz w:val="20"/>
                <w:lang w:val="en-US" w:eastAsia="zh-CN"/>
              </w:rPr>
              <w:t xml:space="preserve"> </w:t>
            </w:r>
          </w:p>
        </w:tc>
      </w:tr>
      <w:tr w:rsidR="00735C7D" w:rsidRPr="00735C7D" w:rsidTr="00735C7D">
        <w:trPr>
          <w:trHeight w:val="300"/>
        </w:trPr>
        <w:tc>
          <w:tcPr>
            <w:tcW w:w="3514" w:type="pct"/>
            <w:tcBorders>
              <w:top w:val="nil"/>
              <w:left w:val="single" w:sz="4" w:space="0" w:color="auto"/>
              <w:bottom w:val="nil"/>
              <w:right w:val="nil"/>
            </w:tcBorders>
            <w:shd w:val="clear" w:color="auto" w:fill="auto"/>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bottom"/>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w:t>
            </w:r>
          </w:p>
        </w:tc>
        <w:tc>
          <w:tcPr>
            <w:tcW w:w="743" w:type="pct"/>
            <w:tcBorders>
              <w:top w:val="nil"/>
              <w:left w:val="nil"/>
              <w:bottom w:val="nil"/>
              <w:right w:val="single" w:sz="4" w:space="0" w:color="auto"/>
            </w:tcBorders>
            <w:shd w:val="clear" w:color="auto" w:fill="auto"/>
            <w:noWrap/>
            <w:vAlign w:val="bottom"/>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35C7D">
              <w:rPr>
                <w:rFonts w:cs="Arial"/>
                <w:b/>
                <w:bCs/>
                <w:color w:val="000000"/>
                <w:sz w:val="20"/>
                <w:lang w:val="en-US" w:eastAsia="zh-CN"/>
              </w:rPr>
              <w:t>Net cash flows from investment activities</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(Increase) / decrease Investments</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-17,633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33,617 </w:t>
            </w:r>
          </w:p>
        </w:tc>
      </w:tr>
      <w:tr w:rsidR="00735C7D" w:rsidRPr="00735C7D" w:rsidTr="00DF10D1">
        <w:trPr>
          <w:trHeight w:val="285"/>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Interest from short-term investments</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748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220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(Acquisition) / sale of property, plant and equipment</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-393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-1,100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(Acquisition) / sale of intangible assets</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-1,256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-353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(Acquisition) / sale of Under construction assets</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-1,964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-571 </w:t>
            </w:r>
          </w:p>
        </w:tc>
      </w:tr>
      <w:tr w:rsidR="00735C7D" w:rsidRPr="00735C7D" w:rsidTr="00DF10D1">
        <w:trPr>
          <w:trHeight w:val="300"/>
        </w:trPr>
        <w:tc>
          <w:tcPr>
            <w:tcW w:w="3514" w:type="pct"/>
            <w:tcBorders>
              <w:top w:val="single" w:sz="4" w:space="0" w:color="auto"/>
              <w:left w:val="single" w:sz="4" w:space="0" w:color="auto"/>
              <w:bottom w:val="single" w:sz="4" w:space="0" w:color="auto"/>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35C7D">
              <w:rPr>
                <w:rFonts w:cs="Arial"/>
                <w:b/>
                <w:bCs/>
                <w:color w:val="000000"/>
                <w:sz w:val="20"/>
                <w:lang w:val="en-US" w:eastAsia="zh-CN"/>
              </w:rPr>
              <w:t>Net cash flows from investment activities</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735C7D">
              <w:rPr>
                <w:rFonts w:cs="Arial"/>
                <w:b/>
                <w:bCs/>
                <w:sz w:val="20"/>
                <w:lang w:val="en-US" w:eastAsia="zh-CN"/>
              </w:rPr>
              <w:t xml:space="preserve">          -20,498 </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35C7D">
              <w:rPr>
                <w:rFonts w:cs="Arial"/>
                <w:b/>
                <w:bCs/>
                <w:color w:val="000000"/>
                <w:sz w:val="20"/>
                <w:lang w:val="en-US" w:eastAsia="zh-CN"/>
              </w:rPr>
              <w:t xml:space="preserve">           31,813 </w:t>
            </w:r>
          </w:p>
        </w:tc>
      </w:tr>
      <w:tr w:rsidR="00735C7D" w:rsidRPr="00735C7D" w:rsidTr="00DF10D1">
        <w:trPr>
          <w:trHeight w:val="133"/>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35C7D">
              <w:rPr>
                <w:rFonts w:cs="Arial"/>
                <w:b/>
                <w:bCs/>
                <w:color w:val="000000"/>
                <w:sz w:val="20"/>
                <w:lang w:val="en-US" w:eastAsia="zh-CN"/>
              </w:rPr>
              <w:t>Cash flows from finance activities</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 xml:space="preserve">(Increase) / decrease </w:t>
            </w:r>
            <w:r w:rsidR="00855DD1" w:rsidRPr="00735C7D">
              <w:rPr>
                <w:rFonts w:cs="Arial"/>
                <w:color w:val="000000"/>
                <w:sz w:val="20"/>
                <w:lang w:val="en-US" w:eastAsia="zh-CN"/>
              </w:rPr>
              <w:t>Investments</w:t>
            </w:r>
            <w:r w:rsidRPr="00735C7D">
              <w:rPr>
                <w:rFonts w:cs="Arial"/>
                <w:color w:val="000000"/>
                <w:sz w:val="20"/>
                <w:lang w:val="en-US" w:eastAsia="zh-CN"/>
              </w:rPr>
              <w:t xml:space="preserve"> of FIPOI loan</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174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xml:space="preserve">                -773 </w:t>
            </w:r>
          </w:p>
        </w:tc>
      </w:tr>
      <w:tr w:rsidR="00735C7D" w:rsidRPr="00735C7D" w:rsidTr="00DF10D1">
        <w:trPr>
          <w:trHeight w:val="300"/>
        </w:trPr>
        <w:tc>
          <w:tcPr>
            <w:tcW w:w="3514" w:type="pct"/>
            <w:tcBorders>
              <w:top w:val="single" w:sz="4" w:space="0" w:color="auto"/>
              <w:left w:val="single" w:sz="4" w:space="0" w:color="auto"/>
              <w:bottom w:val="single" w:sz="4" w:space="0" w:color="auto"/>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35C7D">
              <w:rPr>
                <w:rFonts w:cs="Arial"/>
                <w:b/>
                <w:bCs/>
                <w:color w:val="000000"/>
                <w:sz w:val="20"/>
                <w:lang w:val="en-US" w:eastAsia="zh-CN"/>
              </w:rPr>
              <w:t>Cash flows from finance activities</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735C7D">
              <w:rPr>
                <w:rFonts w:cs="Arial"/>
                <w:b/>
                <w:bCs/>
                <w:sz w:val="20"/>
                <w:lang w:val="en-US" w:eastAsia="zh-CN"/>
              </w:rPr>
              <w:t xml:space="preserve">                 174 </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35C7D">
              <w:rPr>
                <w:rFonts w:cs="Arial"/>
                <w:b/>
                <w:bCs/>
                <w:color w:val="000000"/>
                <w:sz w:val="20"/>
                <w:lang w:val="en-US" w:eastAsia="zh-CN"/>
              </w:rPr>
              <w:t xml:space="preserve">                -773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35C7D">
              <w:rPr>
                <w:rFonts w:cs="Arial"/>
                <w:b/>
                <w:bCs/>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w:t>
            </w:r>
          </w:p>
        </w:tc>
      </w:tr>
      <w:tr w:rsidR="00735C7D" w:rsidRPr="00735C7D" w:rsidTr="00DF10D1">
        <w:trPr>
          <w:trHeight w:val="300"/>
        </w:trPr>
        <w:tc>
          <w:tcPr>
            <w:tcW w:w="3514" w:type="pct"/>
            <w:tcBorders>
              <w:top w:val="single" w:sz="4" w:space="0" w:color="auto"/>
              <w:left w:val="single" w:sz="4" w:space="0" w:color="auto"/>
              <w:bottom w:val="single" w:sz="4" w:space="0" w:color="auto"/>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35C7D">
              <w:rPr>
                <w:rFonts w:cs="Arial"/>
                <w:b/>
                <w:bCs/>
                <w:color w:val="000000"/>
                <w:sz w:val="20"/>
                <w:lang w:val="en-US" w:eastAsia="zh-CN"/>
              </w:rPr>
              <w:t>Net increase / (decrease) in cash and cash equivalents</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735C7D">
              <w:rPr>
                <w:rFonts w:cs="Arial"/>
                <w:b/>
                <w:bCs/>
                <w:sz w:val="20"/>
                <w:lang w:val="en-US" w:eastAsia="zh-CN"/>
              </w:rPr>
              <w:t xml:space="preserve">           26,528 </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735C7D" w:rsidRPr="00735C7D" w:rsidRDefault="00735C7D" w:rsidP="008B552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735C7D">
              <w:rPr>
                <w:rFonts w:cs="Arial"/>
                <w:b/>
                <w:bCs/>
                <w:color w:val="000000"/>
                <w:sz w:val="20"/>
                <w:lang w:val="en-US" w:eastAsia="zh-CN"/>
              </w:rPr>
              <w:t xml:space="preserve">           26,86</w:t>
            </w:r>
            <w:r w:rsidR="008B552C">
              <w:rPr>
                <w:rFonts w:cs="Arial"/>
                <w:b/>
                <w:bCs/>
                <w:color w:val="000000"/>
                <w:sz w:val="20"/>
                <w:lang w:val="en-US" w:eastAsia="zh-CN"/>
              </w:rPr>
              <w:t>3</w:t>
            </w:r>
            <w:r w:rsidRPr="00735C7D">
              <w:rPr>
                <w:rFonts w:cs="Arial"/>
                <w:b/>
                <w:bCs/>
                <w:color w:val="000000"/>
                <w:sz w:val="20"/>
                <w:lang w:val="en-US" w:eastAsia="zh-CN"/>
              </w:rPr>
              <w:t xml:space="preserve"> </w:t>
            </w:r>
          </w:p>
        </w:tc>
      </w:tr>
      <w:tr w:rsidR="00735C7D" w:rsidRPr="00735C7D" w:rsidTr="00DF10D1">
        <w:trPr>
          <w:trHeight w:val="70"/>
        </w:trPr>
        <w:tc>
          <w:tcPr>
            <w:tcW w:w="3514" w:type="pct"/>
            <w:tcBorders>
              <w:top w:val="nil"/>
              <w:left w:val="single" w:sz="4" w:space="0" w:color="auto"/>
              <w:bottom w:val="nil"/>
              <w:right w:val="nil"/>
            </w:tcBorders>
            <w:shd w:val="clear" w:color="auto" w:fill="auto"/>
            <w:noWrap/>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735C7D">
              <w:rPr>
                <w:rFonts w:cs="Arial"/>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35C7D">
              <w:rPr>
                <w:rFonts w:cs="Arial"/>
                <w:b/>
                <w:bCs/>
                <w:color w:val="000000"/>
                <w:sz w:val="20"/>
                <w:lang w:val="en-US" w:eastAsia="zh-CN"/>
              </w:rPr>
              <w:t>Cash and cash equivalents at opening of period</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735C7D">
              <w:rPr>
                <w:rFonts w:cs="Arial"/>
                <w:b/>
                <w:bCs/>
                <w:sz w:val="20"/>
                <w:lang w:val="en-US" w:eastAsia="zh-CN"/>
              </w:rPr>
              <w:t xml:space="preserve">         135,297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735C7D">
              <w:rPr>
                <w:rFonts w:cs="Arial"/>
                <w:b/>
                <w:bCs/>
                <w:sz w:val="20"/>
                <w:lang w:val="en-US" w:eastAsia="zh-CN"/>
              </w:rPr>
              <w:t xml:space="preserve">         108,435 </w:t>
            </w:r>
          </w:p>
        </w:tc>
      </w:tr>
      <w:tr w:rsidR="00735C7D" w:rsidRPr="00735C7D" w:rsidTr="00DF10D1">
        <w:trPr>
          <w:trHeight w:val="300"/>
        </w:trPr>
        <w:tc>
          <w:tcPr>
            <w:tcW w:w="3514" w:type="pct"/>
            <w:tcBorders>
              <w:top w:val="nil"/>
              <w:left w:val="single" w:sz="4" w:space="0" w:color="auto"/>
              <w:bottom w:val="nil"/>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35C7D">
              <w:rPr>
                <w:rFonts w:cs="Arial"/>
                <w:b/>
                <w:bCs/>
                <w:color w:val="000000"/>
                <w:sz w:val="20"/>
                <w:lang w:val="en-US" w:eastAsia="zh-CN"/>
              </w:rPr>
              <w:t> </w:t>
            </w:r>
          </w:p>
        </w:tc>
        <w:tc>
          <w:tcPr>
            <w:tcW w:w="743" w:type="pct"/>
            <w:tcBorders>
              <w:top w:val="nil"/>
              <w:left w:val="single" w:sz="4" w:space="0" w:color="auto"/>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735C7D">
              <w:rPr>
                <w:rFonts w:cs="Arial"/>
                <w:sz w:val="20"/>
                <w:lang w:val="en-US" w:eastAsia="zh-CN"/>
              </w:rPr>
              <w:t> </w:t>
            </w:r>
          </w:p>
        </w:tc>
        <w:tc>
          <w:tcPr>
            <w:tcW w:w="743" w:type="pct"/>
            <w:tcBorders>
              <w:top w:val="nil"/>
              <w:left w:val="nil"/>
              <w:bottom w:val="nil"/>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735C7D">
              <w:rPr>
                <w:rFonts w:cs="Arial"/>
                <w:color w:val="000000"/>
                <w:sz w:val="20"/>
                <w:lang w:val="en-US" w:eastAsia="zh-CN"/>
              </w:rPr>
              <w:t> </w:t>
            </w:r>
          </w:p>
        </w:tc>
      </w:tr>
      <w:tr w:rsidR="00735C7D" w:rsidRPr="00735C7D" w:rsidTr="00DF10D1">
        <w:trPr>
          <w:trHeight w:val="300"/>
        </w:trPr>
        <w:tc>
          <w:tcPr>
            <w:tcW w:w="3514" w:type="pct"/>
            <w:tcBorders>
              <w:top w:val="nil"/>
              <w:left w:val="single" w:sz="4" w:space="0" w:color="auto"/>
              <w:bottom w:val="single" w:sz="4" w:space="0" w:color="auto"/>
              <w:right w:val="nil"/>
            </w:tcBorders>
            <w:shd w:val="clear" w:color="auto" w:fill="auto"/>
            <w:vAlign w:val="center"/>
            <w:hideMark/>
          </w:tcPr>
          <w:p w:rsidR="00735C7D" w:rsidRPr="00735C7D" w:rsidRDefault="00735C7D" w:rsidP="00735C7D">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35C7D">
              <w:rPr>
                <w:rFonts w:cs="Arial"/>
                <w:b/>
                <w:bCs/>
                <w:color w:val="000000"/>
                <w:sz w:val="20"/>
                <w:lang w:val="en-US" w:eastAsia="zh-CN"/>
              </w:rPr>
              <w:t>Cash and cash equivalents at closure of period</w:t>
            </w:r>
          </w:p>
        </w:tc>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735C7D">
              <w:rPr>
                <w:rFonts w:cs="Arial"/>
                <w:b/>
                <w:bCs/>
                <w:sz w:val="20"/>
                <w:lang w:val="en-US" w:eastAsia="zh-CN"/>
              </w:rPr>
              <w:t xml:space="preserve">         161,826 </w:t>
            </w:r>
          </w:p>
        </w:tc>
        <w:tc>
          <w:tcPr>
            <w:tcW w:w="743" w:type="pct"/>
            <w:tcBorders>
              <w:top w:val="nil"/>
              <w:left w:val="nil"/>
              <w:bottom w:val="single" w:sz="4" w:space="0" w:color="auto"/>
              <w:right w:val="single" w:sz="4" w:space="0" w:color="auto"/>
            </w:tcBorders>
            <w:shd w:val="clear" w:color="auto" w:fill="auto"/>
            <w:noWrap/>
            <w:vAlign w:val="center"/>
            <w:hideMark/>
          </w:tcPr>
          <w:p w:rsidR="00735C7D" w:rsidRPr="00735C7D" w:rsidRDefault="00735C7D" w:rsidP="00DF10D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735C7D">
              <w:rPr>
                <w:rFonts w:cs="Arial"/>
                <w:b/>
                <w:bCs/>
                <w:sz w:val="20"/>
                <w:lang w:val="en-US" w:eastAsia="zh-CN"/>
              </w:rPr>
              <w:t xml:space="preserve">         135,297 </w:t>
            </w:r>
          </w:p>
        </w:tc>
      </w:tr>
    </w:tbl>
    <w:p w:rsidR="00FD2C4D" w:rsidRDefault="00FD2C4D" w:rsidP="00FD2C4D">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rsidR="00EB43C3" w:rsidRDefault="0022373A" w:rsidP="00BD5D98">
      <w:pPr>
        <w:pStyle w:val="Tabletitle"/>
        <w:spacing w:after="0"/>
        <w:ind w:left="-567" w:right="-567"/>
        <w:rPr>
          <w:sz w:val="28"/>
          <w:szCs w:val="28"/>
          <w:lang w:val="en-US"/>
        </w:rPr>
      </w:pPr>
      <w:bookmarkStart w:id="27" w:name="_Toc329011606"/>
      <w:r w:rsidRPr="001114BA">
        <w:rPr>
          <w:sz w:val="28"/>
          <w:szCs w:val="28"/>
          <w:lang w:val="en-US"/>
        </w:rPr>
        <w:t xml:space="preserve">V – </w:t>
      </w:r>
      <w:bookmarkEnd w:id="27"/>
      <w:r w:rsidR="00E01F2B" w:rsidRPr="00FF715A">
        <w:rPr>
          <w:sz w:val="28"/>
          <w:szCs w:val="28"/>
          <w:lang w:val="en-US"/>
        </w:rPr>
        <w:t>S</w:t>
      </w:r>
      <w:r w:rsidR="00FF715A">
        <w:rPr>
          <w:sz w:val="28"/>
          <w:szCs w:val="28"/>
          <w:lang w:val="en-US"/>
        </w:rPr>
        <w:t xml:space="preserve">tatement of comparison of </w:t>
      </w:r>
      <w:r w:rsidR="006A24C5">
        <w:rPr>
          <w:sz w:val="28"/>
          <w:szCs w:val="28"/>
          <w:lang w:val="en-US"/>
        </w:rPr>
        <w:t>b</w:t>
      </w:r>
      <w:r w:rsidR="00FF715A">
        <w:rPr>
          <w:sz w:val="28"/>
          <w:szCs w:val="28"/>
          <w:lang w:val="en-US"/>
        </w:rPr>
        <w:t>udget</w:t>
      </w:r>
      <w:r w:rsidR="006A24C5">
        <w:rPr>
          <w:sz w:val="28"/>
          <w:szCs w:val="28"/>
          <w:lang w:val="en-US"/>
        </w:rPr>
        <w:t>ed</w:t>
      </w:r>
      <w:r w:rsidR="00FF715A">
        <w:rPr>
          <w:sz w:val="28"/>
          <w:szCs w:val="28"/>
          <w:lang w:val="en-US"/>
        </w:rPr>
        <w:t xml:space="preserve"> and actual amounts for</w:t>
      </w:r>
      <w:r w:rsidR="00EB43C3">
        <w:rPr>
          <w:sz w:val="28"/>
          <w:szCs w:val="28"/>
          <w:lang w:val="en-US"/>
        </w:rPr>
        <w:t xml:space="preserve"> the </w:t>
      </w:r>
      <w:r w:rsidR="00111BDD">
        <w:rPr>
          <w:sz w:val="28"/>
          <w:szCs w:val="28"/>
          <w:lang w:val="en-US"/>
        </w:rPr>
        <w:t>201</w:t>
      </w:r>
      <w:r w:rsidR="00BD5D98">
        <w:rPr>
          <w:sz w:val="28"/>
          <w:szCs w:val="28"/>
          <w:lang w:val="en-US"/>
        </w:rPr>
        <w:t>8</w:t>
      </w:r>
      <w:r w:rsidR="00EB43C3">
        <w:rPr>
          <w:sz w:val="28"/>
          <w:szCs w:val="28"/>
          <w:lang w:val="en-US"/>
        </w:rPr>
        <w:t xml:space="preserve"> </w:t>
      </w:r>
      <w:r w:rsidR="00EB43C3" w:rsidRPr="001114BA">
        <w:rPr>
          <w:sz w:val="28"/>
          <w:szCs w:val="28"/>
          <w:lang w:val="en-US"/>
        </w:rPr>
        <w:t>financial period</w:t>
      </w:r>
    </w:p>
    <w:p w:rsidR="00145D69" w:rsidRDefault="005C7FA5" w:rsidP="00F70676">
      <w:pPr>
        <w:pStyle w:val="Tabletitle"/>
        <w:tabs>
          <w:tab w:val="center" w:pos="4890"/>
          <w:tab w:val="left" w:pos="6750"/>
        </w:tabs>
        <w:spacing w:after="0"/>
        <w:ind w:left="-567" w:right="-567"/>
        <w:jc w:val="left"/>
        <w:rPr>
          <w:bCs/>
          <w:sz w:val="20"/>
          <w:lang w:val="en-US"/>
        </w:rPr>
      </w:pPr>
      <w:r>
        <w:rPr>
          <w:bCs/>
          <w:sz w:val="20"/>
          <w:lang w:val="en-US"/>
        </w:rPr>
        <w:tab/>
      </w:r>
      <w:r>
        <w:rPr>
          <w:bCs/>
          <w:sz w:val="20"/>
          <w:lang w:val="en-US"/>
        </w:rPr>
        <w:tab/>
      </w:r>
      <w:r w:rsidR="00145D69" w:rsidRPr="001577D5">
        <w:rPr>
          <w:bCs/>
          <w:sz w:val="20"/>
          <w:lang w:val="en-US"/>
        </w:rPr>
        <w:t>(in thousands of CHF)</w:t>
      </w:r>
    </w:p>
    <w:tbl>
      <w:tblPr>
        <w:tblW w:w="5622" w:type="pct"/>
        <w:tblInd w:w="-431" w:type="dxa"/>
        <w:tblLayout w:type="fixed"/>
        <w:tblLook w:val="04A0" w:firstRow="1" w:lastRow="0" w:firstColumn="1" w:lastColumn="0" w:noHBand="0" w:noVBand="1"/>
      </w:tblPr>
      <w:tblGrid>
        <w:gridCol w:w="3403"/>
        <w:gridCol w:w="1165"/>
        <w:gridCol w:w="1178"/>
        <w:gridCol w:w="1169"/>
        <w:gridCol w:w="1235"/>
        <w:gridCol w:w="1499"/>
        <w:gridCol w:w="1338"/>
      </w:tblGrid>
      <w:tr w:rsidR="001A217C" w:rsidRPr="008D3269" w:rsidTr="00C54E7E">
        <w:trPr>
          <w:trHeight w:val="255"/>
        </w:trPr>
        <w:tc>
          <w:tcPr>
            <w:tcW w:w="15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Revenue</w:t>
            </w:r>
          </w:p>
        </w:tc>
        <w:tc>
          <w:tcPr>
            <w:tcW w:w="216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Budgeted amounts</w:t>
            </w:r>
          </w:p>
        </w:tc>
        <w:tc>
          <w:tcPr>
            <w:tcW w:w="6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Actual amounts on a comparable basis</w:t>
            </w:r>
          </w:p>
        </w:tc>
        <w:tc>
          <w:tcPr>
            <w:tcW w:w="6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Difference between final budget and actual amounts</w:t>
            </w:r>
          </w:p>
        </w:tc>
      </w:tr>
      <w:tr w:rsidR="00C54E7E" w:rsidRPr="008D3269" w:rsidTr="00C54E7E">
        <w:trPr>
          <w:trHeight w:val="855"/>
        </w:trPr>
        <w:tc>
          <w:tcPr>
            <w:tcW w:w="1549" w:type="pct"/>
            <w:vMerge/>
            <w:tcBorders>
              <w:top w:val="single" w:sz="4" w:space="0" w:color="auto"/>
              <w:left w:val="single" w:sz="4" w:space="0" w:color="auto"/>
              <w:bottom w:val="single" w:sz="4" w:space="0" w:color="000000"/>
              <w:right w:val="single" w:sz="4" w:space="0" w:color="auto"/>
            </w:tcBorders>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p>
        </w:tc>
        <w:tc>
          <w:tcPr>
            <w:tcW w:w="530" w:type="pct"/>
            <w:tcBorders>
              <w:top w:val="nil"/>
              <w:left w:val="nil"/>
              <w:bottom w:val="single" w:sz="4" w:space="0" w:color="auto"/>
              <w:right w:val="single" w:sz="4" w:space="0" w:color="auto"/>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Initial Budget</w:t>
            </w:r>
          </w:p>
        </w:tc>
        <w:tc>
          <w:tcPr>
            <w:tcW w:w="536" w:type="pct"/>
            <w:tcBorders>
              <w:top w:val="nil"/>
              <w:left w:val="nil"/>
              <w:bottom w:val="single" w:sz="4" w:space="0" w:color="auto"/>
              <w:right w:val="nil"/>
            </w:tcBorders>
            <w:shd w:val="clear" w:color="auto" w:fill="auto"/>
            <w:vAlign w:val="center"/>
            <w:hideMark/>
          </w:tcPr>
          <w:p w:rsidR="008D3269" w:rsidRPr="008D3269" w:rsidRDefault="007E7152"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Deferred</w:t>
            </w:r>
            <w:r w:rsidR="008D3269" w:rsidRPr="008D3269">
              <w:rPr>
                <w:rFonts w:cs="Arial"/>
                <w:b/>
                <w:bCs/>
                <w:color w:val="000000"/>
                <w:sz w:val="20"/>
                <w:lang w:val="en-US" w:eastAsia="zh-CN"/>
              </w:rPr>
              <w:t xml:space="preserve"> activity</w:t>
            </w:r>
          </w:p>
        </w:tc>
        <w:tc>
          <w:tcPr>
            <w:tcW w:w="532" w:type="pct"/>
            <w:tcBorders>
              <w:top w:val="nil"/>
              <w:left w:val="single" w:sz="4" w:space="0" w:color="auto"/>
              <w:bottom w:val="single" w:sz="4" w:space="0" w:color="auto"/>
              <w:right w:val="single" w:sz="4" w:space="0" w:color="auto"/>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Budget transfers</w:t>
            </w:r>
          </w:p>
        </w:tc>
        <w:tc>
          <w:tcPr>
            <w:tcW w:w="562" w:type="pct"/>
            <w:tcBorders>
              <w:top w:val="nil"/>
              <w:left w:val="nil"/>
              <w:bottom w:val="single" w:sz="4" w:space="0" w:color="auto"/>
              <w:right w:val="single" w:sz="4" w:space="0" w:color="auto"/>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Final budget</w:t>
            </w:r>
          </w:p>
        </w:tc>
        <w:tc>
          <w:tcPr>
            <w:tcW w:w="682" w:type="pct"/>
            <w:vMerge/>
            <w:tcBorders>
              <w:top w:val="single" w:sz="4" w:space="0" w:color="auto"/>
              <w:left w:val="single" w:sz="4" w:space="0" w:color="auto"/>
              <w:bottom w:val="single" w:sz="4" w:space="0" w:color="000000"/>
              <w:right w:val="single" w:sz="4" w:space="0" w:color="auto"/>
            </w:tcBorders>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p>
        </w:tc>
        <w:tc>
          <w:tcPr>
            <w:tcW w:w="610" w:type="pct"/>
            <w:vMerge/>
            <w:tcBorders>
              <w:top w:val="single" w:sz="4" w:space="0" w:color="auto"/>
              <w:left w:val="single" w:sz="4" w:space="0" w:color="auto"/>
              <w:bottom w:val="single" w:sz="4" w:space="0" w:color="000000"/>
              <w:right w:val="single" w:sz="4" w:space="0" w:color="auto"/>
            </w:tcBorders>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p>
        </w:tc>
      </w:tr>
      <w:tr w:rsidR="00C54E7E" w:rsidRPr="008D3269" w:rsidTr="00C54E7E">
        <w:trPr>
          <w:trHeight w:val="435"/>
        </w:trPr>
        <w:tc>
          <w:tcPr>
            <w:tcW w:w="1549" w:type="pct"/>
            <w:vMerge/>
            <w:tcBorders>
              <w:top w:val="single" w:sz="4" w:space="0" w:color="auto"/>
              <w:left w:val="single" w:sz="4" w:space="0" w:color="auto"/>
              <w:bottom w:val="single" w:sz="4" w:space="0" w:color="000000"/>
              <w:right w:val="single" w:sz="4" w:space="0" w:color="auto"/>
            </w:tcBorders>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p>
        </w:tc>
        <w:tc>
          <w:tcPr>
            <w:tcW w:w="530" w:type="pct"/>
            <w:tcBorders>
              <w:top w:val="nil"/>
              <w:left w:val="nil"/>
              <w:bottom w:val="single" w:sz="4" w:space="0" w:color="auto"/>
              <w:right w:val="single" w:sz="4" w:space="0" w:color="auto"/>
            </w:tcBorders>
            <w:shd w:val="clear" w:color="auto" w:fill="auto"/>
            <w:noWrap/>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 xml:space="preserve">31.12.2018 </w:t>
            </w:r>
          </w:p>
        </w:tc>
        <w:tc>
          <w:tcPr>
            <w:tcW w:w="536" w:type="pct"/>
            <w:tcBorders>
              <w:top w:val="nil"/>
              <w:left w:val="nil"/>
              <w:bottom w:val="single" w:sz="4" w:space="0" w:color="auto"/>
              <w:right w:val="single" w:sz="4" w:space="0" w:color="auto"/>
            </w:tcBorders>
            <w:shd w:val="clear" w:color="auto" w:fill="auto"/>
            <w:noWrap/>
            <w:vAlign w:val="center"/>
            <w:hideMark/>
          </w:tcPr>
          <w:p w:rsidR="008D3269" w:rsidRPr="008D3269" w:rsidRDefault="001A217C" w:rsidP="001A217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Pr>
                <w:rFonts w:cs="Arial"/>
                <w:b/>
                <w:bCs/>
                <w:color w:val="000000"/>
                <w:sz w:val="20"/>
                <w:lang w:val="en-US" w:eastAsia="zh-CN"/>
              </w:rPr>
              <w:t>3</w:t>
            </w:r>
            <w:r w:rsidR="008D3269" w:rsidRPr="008D3269">
              <w:rPr>
                <w:rFonts w:cs="Arial"/>
                <w:b/>
                <w:bCs/>
                <w:color w:val="000000"/>
                <w:sz w:val="20"/>
                <w:lang w:val="en-US" w:eastAsia="zh-CN"/>
              </w:rPr>
              <w:t xml:space="preserve">1.12.2018 </w:t>
            </w:r>
          </w:p>
        </w:tc>
        <w:tc>
          <w:tcPr>
            <w:tcW w:w="532" w:type="pct"/>
            <w:tcBorders>
              <w:top w:val="nil"/>
              <w:left w:val="nil"/>
              <w:bottom w:val="single" w:sz="4" w:space="0" w:color="auto"/>
              <w:right w:val="single" w:sz="4" w:space="0" w:color="auto"/>
            </w:tcBorders>
            <w:shd w:val="clear" w:color="auto" w:fill="auto"/>
            <w:noWrap/>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 xml:space="preserve">31.12.2018 </w:t>
            </w:r>
          </w:p>
        </w:tc>
        <w:tc>
          <w:tcPr>
            <w:tcW w:w="562" w:type="pct"/>
            <w:tcBorders>
              <w:top w:val="nil"/>
              <w:left w:val="nil"/>
              <w:bottom w:val="single" w:sz="4" w:space="0" w:color="auto"/>
              <w:right w:val="single" w:sz="4" w:space="0" w:color="auto"/>
            </w:tcBorders>
            <w:shd w:val="clear" w:color="auto" w:fill="auto"/>
            <w:noWrap/>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 xml:space="preserve"> 31.12.2018 </w:t>
            </w:r>
          </w:p>
        </w:tc>
        <w:tc>
          <w:tcPr>
            <w:tcW w:w="682" w:type="pct"/>
            <w:tcBorders>
              <w:top w:val="nil"/>
              <w:left w:val="nil"/>
              <w:bottom w:val="single" w:sz="4" w:space="0" w:color="auto"/>
              <w:right w:val="single" w:sz="4" w:space="0" w:color="auto"/>
            </w:tcBorders>
            <w:shd w:val="clear" w:color="auto" w:fill="auto"/>
            <w:noWrap/>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 xml:space="preserve"> 31.12.2018 </w:t>
            </w:r>
          </w:p>
        </w:tc>
        <w:tc>
          <w:tcPr>
            <w:tcW w:w="610" w:type="pct"/>
            <w:tcBorders>
              <w:top w:val="nil"/>
              <w:left w:val="nil"/>
              <w:bottom w:val="single" w:sz="4" w:space="0" w:color="auto"/>
              <w:right w:val="single" w:sz="4" w:space="0" w:color="auto"/>
            </w:tcBorders>
            <w:shd w:val="clear" w:color="auto" w:fill="auto"/>
            <w:noWrap/>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 xml:space="preserve"> 31.12.2018 </w:t>
            </w:r>
          </w:p>
        </w:tc>
      </w:tr>
      <w:tr w:rsidR="00C54E7E" w:rsidRPr="008D3269" w:rsidTr="00C54E7E">
        <w:trPr>
          <w:trHeight w:val="255"/>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Assessed contributions</w:t>
            </w:r>
          </w:p>
        </w:tc>
        <w:tc>
          <w:tcPr>
            <w:tcW w:w="530" w:type="pct"/>
            <w:tcBorders>
              <w:top w:val="nil"/>
              <w:left w:val="single" w:sz="4" w:space="0" w:color="auto"/>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124,401 </w:t>
            </w:r>
          </w:p>
        </w:tc>
        <w:tc>
          <w:tcPr>
            <w:tcW w:w="536"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w:t>
            </w:r>
          </w:p>
        </w:tc>
        <w:tc>
          <w:tcPr>
            <w:tcW w:w="53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w:t>
            </w:r>
          </w:p>
        </w:tc>
        <w:tc>
          <w:tcPr>
            <w:tcW w:w="56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124,401 </w:t>
            </w:r>
          </w:p>
        </w:tc>
        <w:tc>
          <w:tcPr>
            <w:tcW w:w="68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125,191 </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790 </w:t>
            </w:r>
          </w:p>
        </w:tc>
      </w:tr>
      <w:tr w:rsidR="00C54E7E" w:rsidRPr="008D3269" w:rsidTr="00C54E7E">
        <w:trPr>
          <w:trHeight w:val="255"/>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Cost recovery</w:t>
            </w:r>
          </w:p>
        </w:tc>
        <w:tc>
          <w:tcPr>
            <w:tcW w:w="530" w:type="pct"/>
            <w:tcBorders>
              <w:top w:val="nil"/>
              <w:left w:val="single" w:sz="4" w:space="0" w:color="auto"/>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w:t>
            </w:r>
            <w:r>
              <w:rPr>
                <w:rFonts w:cs="Arial"/>
                <w:b/>
                <w:bCs/>
                <w:color w:val="000000"/>
                <w:sz w:val="20"/>
                <w:lang w:val="en-US" w:eastAsia="zh-CN"/>
              </w:rPr>
              <w:t>3</w:t>
            </w:r>
            <w:r w:rsidRPr="008D3269">
              <w:rPr>
                <w:rFonts w:cs="Arial"/>
                <w:b/>
                <w:bCs/>
                <w:color w:val="000000"/>
                <w:sz w:val="20"/>
                <w:lang w:val="en-US" w:eastAsia="zh-CN"/>
              </w:rPr>
              <w:t xml:space="preserve">6,375 </w:t>
            </w:r>
          </w:p>
        </w:tc>
        <w:tc>
          <w:tcPr>
            <w:tcW w:w="536"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w:t>
            </w:r>
          </w:p>
        </w:tc>
        <w:tc>
          <w:tcPr>
            <w:tcW w:w="53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w:t>
            </w:r>
          </w:p>
        </w:tc>
        <w:tc>
          <w:tcPr>
            <w:tcW w:w="56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36,375 </w:t>
            </w:r>
          </w:p>
        </w:tc>
        <w:tc>
          <w:tcPr>
            <w:tcW w:w="68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w:t>
            </w:r>
            <w:r>
              <w:rPr>
                <w:rFonts w:cs="Arial"/>
                <w:b/>
                <w:bCs/>
                <w:color w:val="000000"/>
                <w:sz w:val="20"/>
                <w:lang w:val="en-US" w:eastAsia="zh-CN"/>
              </w:rPr>
              <w:t>35</w:t>
            </w:r>
            <w:r w:rsidRPr="008D3269">
              <w:rPr>
                <w:rFonts w:cs="Arial"/>
                <w:b/>
                <w:bCs/>
                <w:color w:val="000000"/>
                <w:sz w:val="20"/>
                <w:lang w:val="en-US" w:eastAsia="zh-CN"/>
              </w:rPr>
              <w:t xml:space="preserve">,289 </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-1,086 </w:t>
            </w:r>
          </w:p>
        </w:tc>
      </w:tr>
      <w:tr w:rsidR="00C54E7E" w:rsidRPr="008D3269" w:rsidTr="00C54E7E">
        <w:trPr>
          <w:trHeight w:val="255"/>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Interests</w:t>
            </w:r>
          </w:p>
        </w:tc>
        <w:tc>
          <w:tcPr>
            <w:tcW w:w="530" w:type="pct"/>
            <w:tcBorders>
              <w:top w:val="nil"/>
              <w:left w:val="single" w:sz="4" w:space="0" w:color="auto"/>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300 </w:t>
            </w:r>
          </w:p>
        </w:tc>
        <w:tc>
          <w:tcPr>
            <w:tcW w:w="536"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w:t>
            </w:r>
          </w:p>
        </w:tc>
        <w:tc>
          <w:tcPr>
            <w:tcW w:w="53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w:t>
            </w:r>
          </w:p>
        </w:tc>
        <w:tc>
          <w:tcPr>
            <w:tcW w:w="56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300 </w:t>
            </w:r>
          </w:p>
        </w:tc>
        <w:tc>
          <w:tcPr>
            <w:tcW w:w="68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377 </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77 </w:t>
            </w:r>
          </w:p>
        </w:tc>
      </w:tr>
      <w:tr w:rsidR="00C54E7E" w:rsidRPr="008D3269" w:rsidTr="00C54E7E">
        <w:trPr>
          <w:trHeight w:val="255"/>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Other revenue</w:t>
            </w:r>
          </w:p>
        </w:tc>
        <w:tc>
          <w:tcPr>
            <w:tcW w:w="530" w:type="pct"/>
            <w:tcBorders>
              <w:top w:val="nil"/>
              <w:left w:val="single" w:sz="4" w:space="0" w:color="auto"/>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8D3269">
              <w:rPr>
                <w:rFonts w:cs="Arial"/>
                <w:b/>
                <w:bCs/>
                <w:sz w:val="20"/>
                <w:lang w:val="en-US" w:eastAsia="zh-CN"/>
              </w:rPr>
              <w:t xml:space="preserve">            100 </w:t>
            </w:r>
          </w:p>
        </w:tc>
        <w:tc>
          <w:tcPr>
            <w:tcW w:w="536"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w:t>
            </w:r>
          </w:p>
        </w:tc>
        <w:tc>
          <w:tcPr>
            <w:tcW w:w="53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w:t>
            </w:r>
          </w:p>
        </w:tc>
        <w:tc>
          <w:tcPr>
            <w:tcW w:w="56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100 </w:t>
            </w:r>
          </w:p>
        </w:tc>
        <w:tc>
          <w:tcPr>
            <w:tcW w:w="682" w:type="pct"/>
            <w:tcBorders>
              <w:top w:val="nil"/>
              <w:left w:val="nil"/>
              <w:bottom w:val="nil"/>
              <w:right w:val="single" w:sz="4" w:space="0" w:color="auto"/>
            </w:tcBorders>
            <w:shd w:val="clear" w:color="auto" w:fill="auto"/>
            <w:noWrap/>
            <w:vAlign w:val="bottom"/>
            <w:hideMark/>
          </w:tcPr>
          <w:p w:rsidR="008D3269" w:rsidRPr="008D3269" w:rsidRDefault="008D3269" w:rsidP="00FC6E9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8D3269">
              <w:rPr>
                <w:rFonts w:cs="Arial"/>
                <w:b/>
                <w:bCs/>
                <w:sz w:val="20"/>
                <w:lang w:val="en-US" w:eastAsia="zh-CN"/>
              </w:rPr>
              <w:t xml:space="preserve">                   </w:t>
            </w:r>
            <w:r w:rsidR="00FC6E9D">
              <w:rPr>
                <w:rFonts w:cs="Arial"/>
                <w:b/>
                <w:bCs/>
                <w:sz w:val="20"/>
                <w:lang w:val="en-US" w:eastAsia="zh-CN"/>
              </w:rPr>
              <w:t>1,994</w:t>
            </w:r>
            <w:r w:rsidRPr="008D3269">
              <w:rPr>
                <w:rFonts w:cs="Arial"/>
                <w:b/>
                <w:bCs/>
                <w:sz w:val="20"/>
                <w:lang w:val="en-US" w:eastAsia="zh-CN"/>
              </w:rPr>
              <w:t xml:space="preserve"> </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8D3269">
              <w:rPr>
                <w:rFonts w:cs="Arial"/>
                <w:b/>
                <w:bCs/>
                <w:sz w:val="20"/>
                <w:lang w:val="en-US" w:eastAsia="zh-CN"/>
              </w:rPr>
              <w:t xml:space="preserve">                343 </w:t>
            </w:r>
          </w:p>
        </w:tc>
      </w:tr>
      <w:tr w:rsidR="00C54E7E" w:rsidRPr="008D3269" w:rsidTr="00C54E7E">
        <w:trPr>
          <w:trHeight w:val="255"/>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Withdrawal from Reserve Account</w:t>
            </w:r>
          </w:p>
        </w:tc>
        <w:tc>
          <w:tcPr>
            <w:tcW w:w="530" w:type="pct"/>
            <w:tcBorders>
              <w:top w:val="nil"/>
              <w:left w:val="single" w:sz="4" w:space="0" w:color="auto"/>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-2,245 </w:t>
            </w:r>
          </w:p>
        </w:tc>
        <w:tc>
          <w:tcPr>
            <w:tcW w:w="536"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w:t>
            </w:r>
          </w:p>
        </w:tc>
        <w:tc>
          <w:tcPr>
            <w:tcW w:w="53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w:t>
            </w:r>
          </w:p>
        </w:tc>
        <w:tc>
          <w:tcPr>
            <w:tcW w:w="56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-2,245 </w:t>
            </w:r>
          </w:p>
        </w:tc>
        <w:tc>
          <w:tcPr>
            <w:tcW w:w="68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   </w:t>
            </w:r>
          </w:p>
        </w:tc>
        <w:tc>
          <w:tcPr>
            <w:tcW w:w="610"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2,245 </w:t>
            </w:r>
          </w:p>
        </w:tc>
      </w:tr>
      <w:tr w:rsidR="00C54E7E" w:rsidRPr="008D3269" w:rsidTr="00C54E7E">
        <w:trPr>
          <w:trHeight w:val="255"/>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Saving from budget implementation</w:t>
            </w:r>
          </w:p>
        </w:tc>
        <w:tc>
          <w:tcPr>
            <w:tcW w:w="530" w:type="pct"/>
            <w:tcBorders>
              <w:top w:val="nil"/>
              <w:left w:val="single" w:sz="4" w:space="0" w:color="auto"/>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946 </w:t>
            </w:r>
          </w:p>
        </w:tc>
        <w:tc>
          <w:tcPr>
            <w:tcW w:w="536" w:type="pct"/>
            <w:tcBorders>
              <w:top w:val="nil"/>
              <w:left w:val="nil"/>
              <w:bottom w:val="single" w:sz="4" w:space="0" w:color="auto"/>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D3269">
              <w:rPr>
                <w:rFonts w:cs="Arial"/>
                <w:color w:val="000000"/>
                <w:sz w:val="20"/>
                <w:lang w:val="en-US" w:eastAsia="zh-CN"/>
              </w:rPr>
              <w:t> </w:t>
            </w:r>
          </w:p>
        </w:tc>
        <w:tc>
          <w:tcPr>
            <w:tcW w:w="532" w:type="pct"/>
            <w:tcBorders>
              <w:top w:val="nil"/>
              <w:left w:val="nil"/>
              <w:bottom w:val="single" w:sz="4" w:space="0" w:color="auto"/>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D3269">
              <w:rPr>
                <w:rFonts w:cs="Arial"/>
                <w:color w:val="000000"/>
                <w:sz w:val="20"/>
                <w:lang w:val="en-US" w:eastAsia="zh-CN"/>
              </w:rPr>
              <w:t> </w:t>
            </w:r>
          </w:p>
        </w:tc>
        <w:tc>
          <w:tcPr>
            <w:tcW w:w="56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946 </w:t>
            </w:r>
          </w:p>
        </w:tc>
        <w:tc>
          <w:tcPr>
            <w:tcW w:w="682" w:type="pct"/>
            <w:tcBorders>
              <w:top w:val="nil"/>
              <w:left w:val="nil"/>
              <w:bottom w:val="single" w:sz="4" w:space="0" w:color="auto"/>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8D3269">
              <w:rPr>
                <w:rFonts w:cs="Arial"/>
                <w:color w:val="000000"/>
                <w:sz w:val="20"/>
                <w:lang w:val="en-US" w:eastAsia="zh-CN"/>
              </w:rPr>
              <w:t xml:space="preserve">                         -   </w:t>
            </w:r>
          </w:p>
        </w:tc>
        <w:tc>
          <w:tcPr>
            <w:tcW w:w="610"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-946 </w:t>
            </w:r>
          </w:p>
        </w:tc>
      </w:tr>
      <w:tr w:rsidR="00C54E7E" w:rsidRPr="008D3269" w:rsidTr="00C54E7E">
        <w:trPr>
          <w:trHeight w:val="255"/>
        </w:trPr>
        <w:tc>
          <w:tcPr>
            <w:tcW w:w="1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Total revenue</w:t>
            </w:r>
          </w:p>
        </w:tc>
        <w:tc>
          <w:tcPr>
            <w:tcW w:w="530" w:type="pct"/>
            <w:tcBorders>
              <w:top w:val="single" w:sz="4" w:space="0" w:color="auto"/>
              <w:left w:val="nil"/>
              <w:bottom w:val="single" w:sz="4" w:space="0" w:color="auto"/>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159,877 </w:t>
            </w:r>
          </w:p>
        </w:tc>
        <w:tc>
          <w:tcPr>
            <w:tcW w:w="536" w:type="pct"/>
            <w:tcBorders>
              <w:top w:val="nil"/>
              <w:left w:val="nil"/>
              <w:bottom w:val="single" w:sz="4" w:space="0" w:color="auto"/>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   </w:t>
            </w:r>
          </w:p>
        </w:tc>
        <w:tc>
          <w:tcPr>
            <w:tcW w:w="532" w:type="pct"/>
            <w:tcBorders>
              <w:top w:val="nil"/>
              <w:left w:val="nil"/>
              <w:bottom w:val="single" w:sz="4" w:space="0" w:color="auto"/>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159,877 </w:t>
            </w:r>
          </w:p>
        </w:tc>
        <w:tc>
          <w:tcPr>
            <w:tcW w:w="682" w:type="pct"/>
            <w:tcBorders>
              <w:top w:val="nil"/>
              <w:left w:val="nil"/>
              <w:bottom w:val="single" w:sz="4" w:space="0" w:color="auto"/>
              <w:right w:val="single" w:sz="4" w:space="0" w:color="auto"/>
            </w:tcBorders>
            <w:shd w:val="clear" w:color="auto" w:fill="auto"/>
            <w:noWrap/>
            <w:vAlign w:val="bottom"/>
            <w:hideMark/>
          </w:tcPr>
          <w:p w:rsidR="008D3269" w:rsidRPr="008D3269" w:rsidRDefault="008D3269" w:rsidP="00FC6E9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16</w:t>
            </w:r>
            <w:r w:rsidR="00FC6E9D">
              <w:rPr>
                <w:rFonts w:cs="Arial"/>
                <w:b/>
                <w:bCs/>
                <w:color w:val="000000"/>
                <w:sz w:val="20"/>
                <w:lang w:val="en-US" w:eastAsia="zh-CN"/>
              </w:rPr>
              <w:t>2</w:t>
            </w:r>
            <w:r w:rsidRPr="008D3269">
              <w:rPr>
                <w:rFonts w:cs="Arial"/>
                <w:b/>
                <w:bCs/>
                <w:color w:val="000000"/>
                <w:sz w:val="20"/>
                <w:lang w:val="en-US" w:eastAsia="zh-CN"/>
              </w:rPr>
              <w:t>,</w:t>
            </w:r>
            <w:r w:rsidR="00FC6E9D">
              <w:rPr>
                <w:rFonts w:cs="Arial"/>
                <w:b/>
                <w:bCs/>
                <w:color w:val="000000"/>
                <w:sz w:val="20"/>
                <w:lang w:val="en-US" w:eastAsia="zh-CN"/>
              </w:rPr>
              <w:t>851</w:t>
            </w:r>
            <w:r w:rsidRPr="008D3269">
              <w:rPr>
                <w:rFonts w:cs="Arial"/>
                <w:b/>
                <w:bCs/>
                <w:color w:val="000000"/>
                <w:sz w:val="20"/>
                <w:lang w:val="en-US" w:eastAsia="zh-CN"/>
              </w:rPr>
              <w:t xml:space="preserve"> </w:t>
            </w:r>
          </w:p>
        </w:tc>
        <w:tc>
          <w:tcPr>
            <w:tcW w:w="610" w:type="pct"/>
            <w:tcBorders>
              <w:top w:val="single" w:sz="4" w:space="0" w:color="auto"/>
              <w:left w:val="nil"/>
              <w:bottom w:val="single" w:sz="4" w:space="0" w:color="auto"/>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1,423 </w:t>
            </w:r>
          </w:p>
        </w:tc>
      </w:tr>
      <w:tr w:rsidR="001A217C" w:rsidRPr="008D3269" w:rsidTr="00C54E7E">
        <w:trPr>
          <w:trHeight w:val="255"/>
        </w:trPr>
        <w:tc>
          <w:tcPr>
            <w:tcW w:w="1549" w:type="pct"/>
            <w:vMerge w:val="restart"/>
            <w:tcBorders>
              <w:top w:val="nil"/>
              <w:left w:val="single" w:sz="4" w:space="0" w:color="auto"/>
              <w:bottom w:val="single" w:sz="4" w:space="0" w:color="000000"/>
              <w:right w:val="single" w:sz="4" w:space="0" w:color="auto"/>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Expenses</w:t>
            </w:r>
          </w:p>
        </w:tc>
        <w:tc>
          <w:tcPr>
            <w:tcW w:w="216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Budgeted amounts</w:t>
            </w:r>
          </w:p>
        </w:tc>
        <w:tc>
          <w:tcPr>
            <w:tcW w:w="682" w:type="pct"/>
            <w:vMerge w:val="restart"/>
            <w:tcBorders>
              <w:top w:val="nil"/>
              <w:left w:val="single" w:sz="4" w:space="0" w:color="auto"/>
              <w:bottom w:val="single" w:sz="4" w:space="0" w:color="000000"/>
              <w:right w:val="single" w:sz="4" w:space="0" w:color="auto"/>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Actual amounts on a comparable basis</w:t>
            </w:r>
          </w:p>
        </w:tc>
        <w:tc>
          <w:tcPr>
            <w:tcW w:w="610" w:type="pct"/>
            <w:vMerge w:val="restart"/>
            <w:tcBorders>
              <w:top w:val="nil"/>
              <w:left w:val="single" w:sz="4" w:space="0" w:color="auto"/>
              <w:bottom w:val="single" w:sz="4" w:space="0" w:color="000000"/>
              <w:right w:val="single" w:sz="4" w:space="0" w:color="auto"/>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Difference between final budget and actual amounts</w:t>
            </w:r>
          </w:p>
        </w:tc>
      </w:tr>
      <w:tr w:rsidR="00C54E7E" w:rsidRPr="008D3269" w:rsidTr="00C54E7E">
        <w:trPr>
          <w:trHeight w:val="630"/>
        </w:trPr>
        <w:tc>
          <w:tcPr>
            <w:tcW w:w="1549" w:type="pct"/>
            <w:vMerge/>
            <w:tcBorders>
              <w:top w:val="nil"/>
              <w:left w:val="single" w:sz="4" w:space="0" w:color="auto"/>
              <w:bottom w:val="single" w:sz="4" w:space="0" w:color="000000"/>
              <w:right w:val="single" w:sz="4" w:space="0" w:color="auto"/>
            </w:tcBorders>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p>
        </w:tc>
        <w:tc>
          <w:tcPr>
            <w:tcW w:w="530" w:type="pct"/>
            <w:tcBorders>
              <w:top w:val="nil"/>
              <w:left w:val="nil"/>
              <w:bottom w:val="single" w:sz="4" w:space="0" w:color="auto"/>
              <w:right w:val="single" w:sz="4" w:space="0" w:color="auto"/>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Initial Budget</w:t>
            </w:r>
          </w:p>
        </w:tc>
        <w:tc>
          <w:tcPr>
            <w:tcW w:w="536" w:type="pct"/>
            <w:tcBorders>
              <w:top w:val="nil"/>
              <w:left w:val="nil"/>
              <w:bottom w:val="single" w:sz="4" w:space="0" w:color="auto"/>
              <w:right w:val="single" w:sz="4" w:space="0" w:color="auto"/>
            </w:tcBorders>
            <w:shd w:val="clear" w:color="auto" w:fill="auto"/>
            <w:vAlign w:val="center"/>
            <w:hideMark/>
          </w:tcPr>
          <w:p w:rsidR="008D3269" w:rsidRPr="008D3269" w:rsidRDefault="00FE2BFE"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Deferred</w:t>
            </w:r>
            <w:r w:rsidR="008D3269" w:rsidRPr="008D3269">
              <w:rPr>
                <w:rFonts w:cs="Arial"/>
                <w:b/>
                <w:bCs/>
                <w:color w:val="000000"/>
                <w:sz w:val="20"/>
                <w:lang w:val="en-US" w:eastAsia="zh-CN"/>
              </w:rPr>
              <w:t xml:space="preserve"> activity</w:t>
            </w:r>
          </w:p>
        </w:tc>
        <w:tc>
          <w:tcPr>
            <w:tcW w:w="532" w:type="pct"/>
            <w:tcBorders>
              <w:top w:val="nil"/>
              <w:left w:val="nil"/>
              <w:bottom w:val="single" w:sz="4" w:space="0" w:color="auto"/>
              <w:right w:val="nil"/>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Budget transfers</w:t>
            </w:r>
          </w:p>
        </w:tc>
        <w:tc>
          <w:tcPr>
            <w:tcW w:w="562" w:type="pct"/>
            <w:tcBorders>
              <w:top w:val="nil"/>
              <w:left w:val="single" w:sz="4" w:space="0" w:color="auto"/>
              <w:bottom w:val="single" w:sz="4" w:space="0" w:color="auto"/>
              <w:right w:val="single" w:sz="4" w:space="0" w:color="auto"/>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Final budget</w:t>
            </w:r>
          </w:p>
        </w:tc>
        <w:tc>
          <w:tcPr>
            <w:tcW w:w="682" w:type="pct"/>
            <w:vMerge/>
            <w:tcBorders>
              <w:top w:val="nil"/>
              <w:left w:val="single" w:sz="4" w:space="0" w:color="auto"/>
              <w:bottom w:val="single" w:sz="4" w:space="0" w:color="000000"/>
              <w:right w:val="single" w:sz="4" w:space="0" w:color="auto"/>
            </w:tcBorders>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p>
        </w:tc>
        <w:tc>
          <w:tcPr>
            <w:tcW w:w="610" w:type="pct"/>
            <w:vMerge/>
            <w:tcBorders>
              <w:top w:val="nil"/>
              <w:left w:val="single" w:sz="4" w:space="0" w:color="auto"/>
              <w:bottom w:val="single" w:sz="4" w:space="0" w:color="000000"/>
              <w:right w:val="single" w:sz="4" w:space="0" w:color="auto"/>
            </w:tcBorders>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p>
        </w:tc>
      </w:tr>
      <w:tr w:rsidR="00C54E7E" w:rsidRPr="008D3269" w:rsidTr="00C54E7E">
        <w:trPr>
          <w:trHeight w:val="255"/>
        </w:trPr>
        <w:tc>
          <w:tcPr>
            <w:tcW w:w="1549" w:type="pct"/>
            <w:vMerge/>
            <w:tcBorders>
              <w:top w:val="nil"/>
              <w:left w:val="single" w:sz="4" w:space="0" w:color="auto"/>
              <w:bottom w:val="single" w:sz="4" w:space="0" w:color="000000"/>
              <w:right w:val="single" w:sz="4" w:space="0" w:color="auto"/>
            </w:tcBorders>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p>
        </w:tc>
        <w:tc>
          <w:tcPr>
            <w:tcW w:w="530" w:type="pct"/>
            <w:tcBorders>
              <w:top w:val="nil"/>
              <w:left w:val="nil"/>
              <w:bottom w:val="single" w:sz="4" w:space="0" w:color="auto"/>
              <w:right w:val="single" w:sz="4" w:space="0" w:color="auto"/>
            </w:tcBorders>
            <w:shd w:val="clear" w:color="auto" w:fill="auto"/>
            <w:noWrap/>
            <w:vAlign w:val="center"/>
            <w:hideMark/>
          </w:tcPr>
          <w:p w:rsidR="008D3269" w:rsidRPr="008D3269" w:rsidRDefault="001A217C" w:rsidP="001A217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Pr>
                <w:rFonts w:cs="Arial"/>
                <w:b/>
                <w:bCs/>
                <w:color w:val="000000"/>
                <w:sz w:val="20"/>
                <w:lang w:val="en-US" w:eastAsia="zh-CN"/>
              </w:rPr>
              <w:t>3</w:t>
            </w:r>
            <w:r w:rsidR="008D3269" w:rsidRPr="008D3269">
              <w:rPr>
                <w:rFonts w:cs="Arial"/>
                <w:b/>
                <w:bCs/>
                <w:color w:val="000000"/>
                <w:sz w:val="20"/>
                <w:lang w:val="en-US" w:eastAsia="zh-CN"/>
              </w:rPr>
              <w:t xml:space="preserve">1.12.2018 </w:t>
            </w:r>
          </w:p>
        </w:tc>
        <w:tc>
          <w:tcPr>
            <w:tcW w:w="536" w:type="pct"/>
            <w:tcBorders>
              <w:top w:val="nil"/>
              <w:left w:val="nil"/>
              <w:bottom w:val="single" w:sz="4" w:space="0" w:color="auto"/>
              <w:right w:val="single" w:sz="4" w:space="0" w:color="auto"/>
            </w:tcBorders>
            <w:shd w:val="clear" w:color="auto" w:fill="auto"/>
            <w:noWrap/>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 xml:space="preserve">31.12.2018 </w:t>
            </w:r>
          </w:p>
        </w:tc>
        <w:tc>
          <w:tcPr>
            <w:tcW w:w="532" w:type="pct"/>
            <w:tcBorders>
              <w:top w:val="nil"/>
              <w:left w:val="nil"/>
              <w:bottom w:val="single" w:sz="4" w:space="0" w:color="auto"/>
              <w:right w:val="single" w:sz="4" w:space="0" w:color="auto"/>
            </w:tcBorders>
            <w:shd w:val="clear" w:color="auto" w:fill="auto"/>
            <w:noWrap/>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 xml:space="preserve">31.12.2018 </w:t>
            </w:r>
          </w:p>
        </w:tc>
        <w:tc>
          <w:tcPr>
            <w:tcW w:w="562" w:type="pct"/>
            <w:tcBorders>
              <w:top w:val="nil"/>
              <w:left w:val="nil"/>
              <w:bottom w:val="single" w:sz="4" w:space="0" w:color="auto"/>
              <w:right w:val="single" w:sz="4" w:space="0" w:color="auto"/>
            </w:tcBorders>
            <w:shd w:val="clear" w:color="auto" w:fill="auto"/>
            <w:noWrap/>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 xml:space="preserve"> 31.12.2018 </w:t>
            </w:r>
          </w:p>
        </w:tc>
        <w:tc>
          <w:tcPr>
            <w:tcW w:w="682" w:type="pct"/>
            <w:tcBorders>
              <w:top w:val="nil"/>
              <w:left w:val="nil"/>
              <w:bottom w:val="single" w:sz="4" w:space="0" w:color="auto"/>
              <w:right w:val="single" w:sz="4" w:space="0" w:color="auto"/>
            </w:tcBorders>
            <w:shd w:val="clear" w:color="auto" w:fill="auto"/>
            <w:noWrap/>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 xml:space="preserve"> 31.12.2018 </w:t>
            </w:r>
          </w:p>
        </w:tc>
        <w:tc>
          <w:tcPr>
            <w:tcW w:w="610" w:type="pct"/>
            <w:tcBorders>
              <w:top w:val="nil"/>
              <w:left w:val="nil"/>
              <w:bottom w:val="single" w:sz="4" w:space="0" w:color="auto"/>
              <w:right w:val="single" w:sz="4" w:space="0" w:color="auto"/>
            </w:tcBorders>
            <w:shd w:val="clear" w:color="auto" w:fill="auto"/>
            <w:noWrap/>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8D3269">
              <w:rPr>
                <w:rFonts w:cs="Arial"/>
                <w:b/>
                <w:bCs/>
                <w:color w:val="000000"/>
                <w:sz w:val="20"/>
                <w:lang w:val="en-US" w:eastAsia="zh-CN"/>
              </w:rPr>
              <w:t xml:space="preserve"> 31.12.2018 </w:t>
            </w:r>
          </w:p>
        </w:tc>
      </w:tr>
      <w:tr w:rsidR="00C54E7E" w:rsidRPr="008D3269" w:rsidTr="00C54E7E">
        <w:trPr>
          <w:trHeight w:val="255"/>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20"/>
                <w:lang w:val="en-US" w:eastAsia="zh-CN"/>
              </w:rPr>
            </w:pPr>
            <w:r w:rsidRPr="008D3269">
              <w:rPr>
                <w:rFonts w:cs="Arial"/>
                <w:i/>
                <w:iCs/>
                <w:color w:val="000000"/>
                <w:sz w:val="20"/>
                <w:lang w:val="en-US" w:eastAsia="zh-CN"/>
              </w:rPr>
              <w:t>General Secretariat</w:t>
            </w:r>
          </w:p>
        </w:tc>
        <w:tc>
          <w:tcPr>
            <w:tcW w:w="530" w:type="pct"/>
            <w:tcBorders>
              <w:top w:val="nil"/>
              <w:left w:val="single" w:sz="4" w:space="0" w:color="auto"/>
              <w:bottom w:val="nil"/>
              <w:right w:val="single" w:sz="4" w:space="0" w:color="auto"/>
            </w:tcBorders>
            <w:shd w:val="clear" w:color="auto" w:fill="auto"/>
            <w:noWrap/>
            <w:vAlign w:val="bottom"/>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90,549 </w:t>
            </w:r>
          </w:p>
        </w:tc>
        <w:tc>
          <w:tcPr>
            <w:tcW w:w="536" w:type="pct"/>
            <w:tcBorders>
              <w:top w:val="nil"/>
              <w:left w:val="nil"/>
              <w:bottom w:val="nil"/>
              <w:right w:val="single" w:sz="4" w:space="0" w:color="auto"/>
            </w:tcBorders>
            <w:shd w:val="clear" w:color="auto" w:fill="auto"/>
            <w:noWrap/>
            <w:vAlign w:val="bottom"/>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w:t>
            </w:r>
          </w:p>
        </w:tc>
        <w:tc>
          <w:tcPr>
            <w:tcW w:w="532" w:type="pct"/>
            <w:tcBorders>
              <w:top w:val="nil"/>
              <w:left w:val="nil"/>
              <w:bottom w:val="nil"/>
              <w:right w:val="single" w:sz="4" w:space="0" w:color="auto"/>
            </w:tcBorders>
            <w:shd w:val="clear" w:color="auto" w:fill="auto"/>
            <w:noWrap/>
            <w:vAlign w:val="bottom"/>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w:t>
            </w:r>
          </w:p>
        </w:tc>
        <w:tc>
          <w:tcPr>
            <w:tcW w:w="562" w:type="pct"/>
            <w:tcBorders>
              <w:top w:val="nil"/>
              <w:left w:val="nil"/>
              <w:bottom w:val="nil"/>
              <w:right w:val="single" w:sz="4" w:space="0" w:color="auto"/>
            </w:tcBorders>
            <w:shd w:val="clear" w:color="auto" w:fill="auto"/>
            <w:noWrap/>
            <w:vAlign w:val="bottom"/>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90,549 </w:t>
            </w:r>
          </w:p>
        </w:tc>
        <w:tc>
          <w:tcPr>
            <w:tcW w:w="682" w:type="pct"/>
            <w:tcBorders>
              <w:top w:val="nil"/>
              <w:left w:val="nil"/>
              <w:bottom w:val="nil"/>
              <w:right w:val="nil"/>
            </w:tcBorders>
            <w:shd w:val="clear" w:color="auto" w:fill="auto"/>
            <w:noWrap/>
            <w:vAlign w:val="bottom"/>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81,803 </w:t>
            </w:r>
          </w:p>
        </w:tc>
        <w:tc>
          <w:tcPr>
            <w:tcW w:w="610" w:type="pct"/>
            <w:tcBorders>
              <w:top w:val="nil"/>
              <w:left w:val="single" w:sz="4" w:space="0" w:color="auto"/>
              <w:bottom w:val="nil"/>
              <w:right w:val="single" w:sz="4" w:space="0" w:color="auto"/>
            </w:tcBorders>
            <w:shd w:val="clear" w:color="auto" w:fill="auto"/>
            <w:noWrap/>
            <w:vAlign w:val="bottom"/>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8,746 </w:t>
            </w:r>
          </w:p>
        </w:tc>
      </w:tr>
      <w:tr w:rsidR="00C54E7E" w:rsidRPr="008D3269" w:rsidTr="00C54E7E">
        <w:trPr>
          <w:trHeight w:val="255"/>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20"/>
                <w:lang w:val="en-US" w:eastAsia="zh-CN"/>
              </w:rPr>
            </w:pPr>
            <w:r w:rsidRPr="008D3269">
              <w:rPr>
                <w:rFonts w:cs="Arial"/>
                <w:i/>
                <w:iCs/>
                <w:color w:val="000000"/>
                <w:sz w:val="20"/>
                <w:lang w:val="en-US" w:eastAsia="zh-CN"/>
              </w:rPr>
              <w:t>Radiocommunication Sector</w:t>
            </w:r>
          </w:p>
        </w:tc>
        <w:tc>
          <w:tcPr>
            <w:tcW w:w="530" w:type="pct"/>
            <w:tcBorders>
              <w:top w:val="nil"/>
              <w:left w:val="single" w:sz="4" w:space="0" w:color="auto"/>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27,988 </w:t>
            </w:r>
          </w:p>
        </w:tc>
        <w:tc>
          <w:tcPr>
            <w:tcW w:w="536" w:type="pct"/>
            <w:tcBorders>
              <w:top w:val="nil"/>
              <w:left w:val="nil"/>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w:t>
            </w:r>
          </w:p>
        </w:tc>
        <w:tc>
          <w:tcPr>
            <w:tcW w:w="532" w:type="pct"/>
            <w:tcBorders>
              <w:top w:val="nil"/>
              <w:left w:val="nil"/>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w:t>
            </w:r>
          </w:p>
        </w:tc>
        <w:tc>
          <w:tcPr>
            <w:tcW w:w="562" w:type="pct"/>
            <w:tcBorders>
              <w:top w:val="nil"/>
              <w:left w:val="nil"/>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27,988 </w:t>
            </w:r>
          </w:p>
        </w:tc>
        <w:tc>
          <w:tcPr>
            <w:tcW w:w="682" w:type="pct"/>
            <w:tcBorders>
              <w:top w:val="nil"/>
              <w:left w:val="nil"/>
              <w:bottom w:val="nil"/>
              <w:right w:val="nil"/>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25,052 </w:t>
            </w:r>
          </w:p>
        </w:tc>
        <w:tc>
          <w:tcPr>
            <w:tcW w:w="610" w:type="pct"/>
            <w:tcBorders>
              <w:top w:val="nil"/>
              <w:left w:val="single" w:sz="4" w:space="0" w:color="auto"/>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2,936 </w:t>
            </w:r>
          </w:p>
        </w:tc>
      </w:tr>
      <w:tr w:rsidR="00C54E7E" w:rsidRPr="008D3269" w:rsidTr="00C54E7E">
        <w:trPr>
          <w:trHeight w:val="255"/>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20"/>
                <w:lang w:val="en-US" w:eastAsia="zh-CN"/>
              </w:rPr>
            </w:pPr>
            <w:r w:rsidRPr="008D3269">
              <w:rPr>
                <w:rFonts w:cs="Arial"/>
                <w:i/>
                <w:iCs/>
                <w:color w:val="000000"/>
                <w:sz w:val="20"/>
                <w:lang w:val="en-US" w:eastAsia="zh-CN"/>
              </w:rPr>
              <w:t>Telecommunication Standardization Sector</w:t>
            </w:r>
          </w:p>
        </w:tc>
        <w:tc>
          <w:tcPr>
            <w:tcW w:w="530" w:type="pct"/>
            <w:tcBorders>
              <w:top w:val="nil"/>
              <w:left w:val="single" w:sz="4" w:space="0" w:color="auto"/>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13,505 </w:t>
            </w:r>
          </w:p>
        </w:tc>
        <w:tc>
          <w:tcPr>
            <w:tcW w:w="536" w:type="pct"/>
            <w:tcBorders>
              <w:top w:val="nil"/>
              <w:left w:val="nil"/>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w:t>
            </w:r>
          </w:p>
        </w:tc>
        <w:tc>
          <w:tcPr>
            <w:tcW w:w="532" w:type="pct"/>
            <w:tcBorders>
              <w:top w:val="nil"/>
              <w:left w:val="nil"/>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w:t>
            </w:r>
          </w:p>
        </w:tc>
        <w:tc>
          <w:tcPr>
            <w:tcW w:w="562" w:type="pct"/>
            <w:tcBorders>
              <w:top w:val="nil"/>
              <w:left w:val="nil"/>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13,505 </w:t>
            </w:r>
          </w:p>
        </w:tc>
        <w:tc>
          <w:tcPr>
            <w:tcW w:w="682" w:type="pct"/>
            <w:tcBorders>
              <w:top w:val="nil"/>
              <w:left w:val="nil"/>
              <w:bottom w:val="nil"/>
              <w:right w:val="nil"/>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13,243 </w:t>
            </w:r>
          </w:p>
        </w:tc>
        <w:tc>
          <w:tcPr>
            <w:tcW w:w="610" w:type="pct"/>
            <w:tcBorders>
              <w:top w:val="nil"/>
              <w:left w:val="single" w:sz="4" w:space="0" w:color="auto"/>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262 </w:t>
            </w:r>
          </w:p>
        </w:tc>
      </w:tr>
      <w:tr w:rsidR="00C54E7E" w:rsidRPr="008D3269" w:rsidTr="00C54E7E">
        <w:trPr>
          <w:trHeight w:val="240"/>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20"/>
                <w:lang w:val="en-US" w:eastAsia="zh-CN"/>
              </w:rPr>
            </w:pPr>
            <w:r w:rsidRPr="008D3269">
              <w:rPr>
                <w:rFonts w:cs="Arial"/>
                <w:i/>
                <w:iCs/>
                <w:color w:val="000000"/>
                <w:sz w:val="20"/>
                <w:lang w:val="en-US" w:eastAsia="zh-CN"/>
              </w:rPr>
              <w:t>Telecommunication Development Sector</w:t>
            </w:r>
          </w:p>
        </w:tc>
        <w:tc>
          <w:tcPr>
            <w:tcW w:w="530" w:type="pct"/>
            <w:tcBorders>
              <w:top w:val="nil"/>
              <w:left w:val="single" w:sz="4" w:space="0" w:color="auto"/>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27,835 </w:t>
            </w:r>
          </w:p>
        </w:tc>
        <w:tc>
          <w:tcPr>
            <w:tcW w:w="536" w:type="pct"/>
            <w:tcBorders>
              <w:top w:val="nil"/>
              <w:left w:val="nil"/>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w:t>
            </w:r>
          </w:p>
        </w:tc>
        <w:tc>
          <w:tcPr>
            <w:tcW w:w="532" w:type="pct"/>
            <w:tcBorders>
              <w:top w:val="nil"/>
              <w:left w:val="nil"/>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w:t>
            </w:r>
          </w:p>
        </w:tc>
        <w:tc>
          <w:tcPr>
            <w:tcW w:w="562" w:type="pct"/>
            <w:tcBorders>
              <w:top w:val="nil"/>
              <w:left w:val="nil"/>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27,835 </w:t>
            </w:r>
          </w:p>
        </w:tc>
        <w:tc>
          <w:tcPr>
            <w:tcW w:w="682" w:type="pct"/>
            <w:tcBorders>
              <w:top w:val="nil"/>
              <w:left w:val="nil"/>
              <w:bottom w:val="nil"/>
              <w:right w:val="nil"/>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26,863 </w:t>
            </w:r>
          </w:p>
        </w:tc>
        <w:tc>
          <w:tcPr>
            <w:tcW w:w="610" w:type="pct"/>
            <w:tcBorders>
              <w:top w:val="nil"/>
              <w:left w:val="single" w:sz="4" w:space="0" w:color="auto"/>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972 </w:t>
            </w:r>
          </w:p>
        </w:tc>
      </w:tr>
      <w:tr w:rsidR="00C54E7E" w:rsidRPr="008D3269" w:rsidTr="00C54E7E">
        <w:trPr>
          <w:trHeight w:val="240"/>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20"/>
                <w:lang w:val="en-US" w:eastAsia="zh-CN"/>
              </w:rPr>
            </w:pPr>
            <w:r w:rsidRPr="008D3269">
              <w:rPr>
                <w:rFonts w:cs="Arial"/>
                <w:i/>
                <w:iCs/>
                <w:color w:val="000000"/>
                <w:sz w:val="20"/>
                <w:lang w:val="en-US" w:eastAsia="zh-CN"/>
              </w:rPr>
              <w:t>Expenses not foreseen in approved budget</w:t>
            </w:r>
          </w:p>
        </w:tc>
        <w:tc>
          <w:tcPr>
            <w:tcW w:w="530" w:type="pct"/>
            <w:tcBorders>
              <w:top w:val="nil"/>
              <w:left w:val="single" w:sz="4" w:space="0" w:color="auto"/>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w:t>
            </w:r>
          </w:p>
        </w:tc>
        <w:tc>
          <w:tcPr>
            <w:tcW w:w="536" w:type="pct"/>
            <w:tcBorders>
              <w:top w:val="nil"/>
              <w:left w:val="nil"/>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w:t>
            </w:r>
          </w:p>
        </w:tc>
        <w:tc>
          <w:tcPr>
            <w:tcW w:w="532" w:type="pct"/>
            <w:tcBorders>
              <w:top w:val="nil"/>
              <w:left w:val="nil"/>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w:t>
            </w:r>
          </w:p>
        </w:tc>
        <w:tc>
          <w:tcPr>
            <w:tcW w:w="562" w:type="pct"/>
            <w:tcBorders>
              <w:top w:val="nil"/>
              <w:left w:val="nil"/>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   </w:t>
            </w:r>
          </w:p>
        </w:tc>
        <w:tc>
          <w:tcPr>
            <w:tcW w:w="682" w:type="pct"/>
            <w:tcBorders>
              <w:top w:val="nil"/>
              <w:left w:val="nil"/>
              <w:bottom w:val="nil"/>
              <w:right w:val="nil"/>
            </w:tcBorders>
            <w:shd w:val="clear" w:color="auto" w:fill="auto"/>
            <w:noWrap/>
            <w:hideMark/>
          </w:tcPr>
          <w:p w:rsidR="008D3269" w:rsidRPr="008D3269" w:rsidRDefault="008D3269" w:rsidP="00FC6E9D">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xml:space="preserve">                 </w:t>
            </w:r>
            <w:r w:rsidR="00FC6E9D">
              <w:rPr>
                <w:rFonts w:cs="Arial"/>
                <w:i/>
                <w:iCs/>
                <w:color w:val="000000"/>
                <w:sz w:val="20"/>
                <w:lang w:val="en-US" w:eastAsia="zh-CN"/>
              </w:rPr>
              <w:t>4</w:t>
            </w:r>
            <w:r w:rsidRPr="008D3269">
              <w:rPr>
                <w:rFonts w:cs="Arial"/>
                <w:i/>
                <w:iCs/>
                <w:color w:val="000000"/>
                <w:sz w:val="20"/>
                <w:lang w:val="en-US" w:eastAsia="zh-CN"/>
              </w:rPr>
              <w:t>,</w:t>
            </w:r>
            <w:r w:rsidR="00FC6E9D">
              <w:rPr>
                <w:rFonts w:cs="Arial"/>
                <w:i/>
                <w:iCs/>
                <w:color w:val="000000"/>
                <w:sz w:val="20"/>
                <w:lang w:val="en-US" w:eastAsia="zh-CN"/>
              </w:rPr>
              <w:t>813</w:t>
            </w:r>
            <w:r w:rsidRPr="008D3269">
              <w:rPr>
                <w:rFonts w:cs="Arial"/>
                <w:i/>
                <w:iCs/>
                <w:color w:val="000000"/>
                <w:sz w:val="20"/>
                <w:lang w:val="en-US" w:eastAsia="zh-CN"/>
              </w:rPr>
              <w:t xml:space="preserve"> </w:t>
            </w:r>
          </w:p>
        </w:tc>
        <w:tc>
          <w:tcPr>
            <w:tcW w:w="610" w:type="pct"/>
            <w:tcBorders>
              <w:top w:val="nil"/>
              <w:left w:val="single" w:sz="4" w:space="0" w:color="auto"/>
              <w:bottom w:val="nil"/>
              <w:right w:val="single" w:sz="4" w:space="0" w:color="auto"/>
            </w:tcBorders>
            <w:shd w:val="clear" w:color="auto" w:fill="auto"/>
            <w:noWrap/>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 </w:t>
            </w:r>
          </w:p>
        </w:tc>
      </w:tr>
      <w:tr w:rsidR="00C54E7E" w:rsidRPr="008D3269" w:rsidTr="00C54E7E">
        <w:trPr>
          <w:trHeight w:val="255"/>
        </w:trPr>
        <w:tc>
          <w:tcPr>
            <w:tcW w:w="1549" w:type="pct"/>
            <w:tcBorders>
              <w:top w:val="single" w:sz="4" w:space="0" w:color="auto"/>
              <w:left w:val="single" w:sz="4" w:space="0" w:color="auto"/>
              <w:bottom w:val="single" w:sz="4" w:space="0" w:color="auto"/>
              <w:right w:val="nil"/>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 xml:space="preserve"> Total expenses  </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159,877 </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   </w:t>
            </w:r>
          </w:p>
        </w:tc>
        <w:tc>
          <w:tcPr>
            <w:tcW w:w="532" w:type="pct"/>
            <w:tcBorders>
              <w:top w:val="single" w:sz="4" w:space="0" w:color="auto"/>
              <w:left w:val="nil"/>
              <w:bottom w:val="single" w:sz="4" w:space="0" w:color="auto"/>
              <w:right w:val="single" w:sz="4" w:space="0" w:color="auto"/>
            </w:tcBorders>
            <w:shd w:val="clear" w:color="auto" w:fill="auto"/>
            <w:noWrap/>
            <w:vAlign w:val="bottom"/>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159,877 </w:t>
            </w:r>
          </w:p>
        </w:tc>
        <w:tc>
          <w:tcPr>
            <w:tcW w:w="682" w:type="pct"/>
            <w:tcBorders>
              <w:top w:val="single" w:sz="4" w:space="0" w:color="auto"/>
              <w:left w:val="nil"/>
              <w:bottom w:val="single" w:sz="4" w:space="0" w:color="auto"/>
              <w:right w:val="single" w:sz="4" w:space="0" w:color="auto"/>
            </w:tcBorders>
            <w:shd w:val="clear" w:color="auto" w:fill="auto"/>
            <w:noWrap/>
            <w:vAlign w:val="bottom"/>
            <w:hideMark/>
          </w:tcPr>
          <w:p w:rsidR="008D3269" w:rsidRPr="008D3269" w:rsidRDefault="008D3269" w:rsidP="00FC6E9D">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15</w:t>
            </w:r>
            <w:r w:rsidR="00FC6E9D">
              <w:rPr>
                <w:rFonts w:cs="Arial"/>
                <w:b/>
                <w:bCs/>
                <w:color w:val="000000"/>
                <w:sz w:val="20"/>
                <w:lang w:val="en-US" w:eastAsia="zh-CN"/>
              </w:rPr>
              <w:t>1</w:t>
            </w:r>
            <w:r w:rsidRPr="008D3269">
              <w:rPr>
                <w:rFonts w:cs="Arial"/>
                <w:b/>
                <w:bCs/>
                <w:color w:val="000000"/>
                <w:sz w:val="20"/>
                <w:lang w:val="en-US" w:eastAsia="zh-CN"/>
              </w:rPr>
              <w:t>,</w:t>
            </w:r>
            <w:r w:rsidR="00FC6E9D">
              <w:rPr>
                <w:rFonts w:cs="Arial"/>
                <w:b/>
                <w:bCs/>
                <w:color w:val="000000"/>
                <w:sz w:val="20"/>
                <w:lang w:val="en-US" w:eastAsia="zh-CN"/>
              </w:rPr>
              <w:t>774</w:t>
            </w:r>
            <w:r w:rsidRPr="008D3269">
              <w:rPr>
                <w:rFonts w:cs="Arial"/>
                <w:b/>
                <w:bCs/>
                <w:color w:val="000000"/>
                <w:sz w:val="20"/>
                <w:lang w:val="en-US" w:eastAsia="zh-CN"/>
              </w:rPr>
              <w:t xml:space="preserve"> </w:t>
            </w:r>
          </w:p>
        </w:tc>
        <w:tc>
          <w:tcPr>
            <w:tcW w:w="610" w:type="pct"/>
            <w:tcBorders>
              <w:top w:val="single" w:sz="4" w:space="0" w:color="auto"/>
              <w:left w:val="nil"/>
              <w:bottom w:val="single" w:sz="4" w:space="0" w:color="auto"/>
              <w:right w:val="single" w:sz="4" w:space="0" w:color="auto"/>
            </w:tcBorders>
            <w:shd w:val="clear" w:color="auto" w:fill="auto"/>
            <w:noWrap/>
            <w:vAlign w:val="bottom"/>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9,654 </w:t>
            </w:r>
          </w:p>
        </w:tc>
      </w:tr>
      <w:tr w:rsidR="00C54E7E" w:rsidRPr="008D3269" w:rsidTr="00C54E7E">
        <w:trPr>
          <w:trHeight w:val="255"/>
        </w:trPr>
        <w:tc>
          <w:tcPr>
            <w:tcW w:w="1549" w:type="pct"/>
            <w:tcBorders>
              <w:top w:val="nil"/>
              <w:left w:val="single" w:sz="4" w:space="0" w:color="auto"/>
              <w:bottom w:val="single" w:sz="4" w:space="0" w:color="auto"/>
              <w:right w:val="nil"/>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Result</w:t>
            </w:r>
          </w:p>
        </w:tc>
        <w:tc>
          <w:tcPr>
            <w:tcW w:w="530" w:type="pct"/>
            <w:tcBorders>
              <w:top w:val="nil"/>
              <w:left w:val="single" w:sz="4" w:space="0" w:color="auto"/>
              <w:bottom w:val="single" w:sz="4" w:space="0" w:color="auto"/>
              <w:right w:val="single" w:sz="4" w:space="0" w:color="auto"/>
            </w:tcBorders>
            <w:shd w:val="clear" w:color="auto" w:fill="auto"/>
            <w:noWrap/>
            <w:vAlign w:val="bottom"/>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w:t>
            </w:r>
          </w:p>
        </w:tc>
        <w:tc>
          <w:tcPr>
            <w:tcW w:w="536" w:type="pct"/>
            <w:tcBorders>
              <w:top w:val="nil"/>
              <w:left w:val="nil"/>
              <w:bottom w:val="single" w:sz="4" w:space="0" w:color="auto"/>
              <w:right w:val="single" w:sz="4" w:space="0" w:color="auto"/>
            </w:tcBorders>
            <w:shd w:val="clear" w:color="auto" w:fill="auto"/>
            <w:noWrap/>
            <w:vAlign w:val="bottom"/>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w:t>
            </w:r>
          </w:p>
        </w:tc>
        <w:tc>
          <w:tcPr>
            <w:tcW w:w="532" w:type="pct"/>
            <w:tcBorders>
              <w:top w:val="nil"/>
              <w:left w:val="nil"/>
              <w:bottom w:val="single" w:sz="4" w:space="0" w:color="auto"/>
              <w:right w:val="single" w:sz="4" w:space="0" w:color="auto"/>
            </w:tcBorders>
            <w:shd w:val="clear" w:color="auto" w:fill="auto"/>
            <w:noWrap/>
            <w:vAlign w:val="bottom"/>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w:t>
            </w:r>
          </w:p>
        </w:tc>
        <w:tc>
          <w:tcPr>
            <w:tcW w:w="562" w:type="pct"/>
            <w:tcBorders>
              <w:top w:val="nil"/>
              <w:left w:val="nil"/>
              <w:bottom w:val="single" w:sz="4" w:space="0" w:color="auto"/>
              <w:right w:val="single" w:sz="4" w:space="0" w:color="auto"/>
            </w:tcBorders>
            <w:shd w:val="clear" w:color="auto" w:fill="auto"/>
            <w:noWrap/>
            <w:vAlign w:val="bottom"/>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w:t>
            </w:r>
          </w:p>
        </w:tc>
        <w:tc>
          <w:tcPr>
            <w:tcW w:w="682" w:type="pct"/>
            <w:tcBorders>
              <w:top w:val="nil"/>
              <w:left w:val="nil"/>
              <w:bottom w:val="single" w:sz="4" w:space="0" w:color="auto"/>
              <w:right w:val="single" w:sz="4" w:space="0" w:color="auto"/>
            </w:tcBorders>
            <w:shd w:val="clear" w:color="auto" w:fill="auto"/>
            <w:noWrap/>
            <w:vAlign w:val="bottom"/>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xml:space="preserve">               11,077 </w:t>
            </w:r>
          </w:p>
        </w:tc>
        <w:tc>
          <w:tcPr>
            <w:tcW w:w="610" w:type="pct"/>
            <w:tcBorders>
              <w:top w:val="nil"/>
              <w:left w:val="nil"/>
              <w:bottom w:val="single" w:sz="4" w:space="0" w:color="auto"/>
              <w:right w:val="single" w:sz="4" w:space="0" w:color="auto"/>
            </w:tcBorders>
            <w:shd w:val="clear" w:color="auto" w:fill="auto"/>
            <w:noWrap/>
            <w:vAlign w:val="bottom"/>
            <w:hideMark/>
          </w:tcPr>
          <w:p w:rsidR="008D3269" w:rsidRPr="008D3269" w:rsidRDefault="008D3269" w:rsidP="001A217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 </w:t>
            </w:r>
          </w:p>
        </w:tc>
      </w:tr>
      <w:tr w:rsidR="00C54E7E" w:rsidRPr="008D3269" w:rsidTr="00C54E7E">
        <w:trPr>
          <w:trHeight w:val="255"/>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FE2BFE">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20"/>
                <w:lang w:val="en-US" w:eastAsia="zh-CN"/>
              </w:rPr>
            </w:pPr>
            <w:r w:rsidRPr="008D3269">
              <w:rPr>
                <w:rFonts w:cs="Arial"/>
                <w:i/>
                <w:iCs/>
                <w:color w:val="000000"/>
                <w:sz w:val="20"/>
                <w:lang w:val="en-US" w:eastAsia="zh-CN"/>
              </w:rPr>
              <w:t>A</w:t>
            </w:r>
            <w:r w:rsidR="00FE2BFE">
              <w:rPr>
                <w:rFonts w:cs="Arial"/>
                <w:i/>
                <w:iCs/>
                <w:color w:val="000000"/>
                <w:sz w:val="20"/>
                <w:lang w:val="en-US" w:eastAsia="zh-CN"/>
              </w:rPr>
              <w:t>SHI</w:t>
            </w:r>
          </w:p>
        </w:tc>
        <w:tc>
          <w:tcPr>
            <w:tcW w:w="530" w:type="pct"/>
            <w:tcBorders>
              <w:top w:val="nil"/>
              <w:left w:val="single" w:sz="4" w:space="0" w:color="auto"/>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6"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6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68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-22,267</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r>
      <w:tr w:rsidR="00C54E7E" w:rsidRPr="008D3269" w:rsidTr="00C54E7E">
        <w:trPr>
          <w:trHeight w:val="255"/>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20"/>
                <w:lang w:val="en-US" w:eastAsia="zh-CN"/>
              </w:rPr>
            </w:pPr>
            <w:r w:rsidRPr="008D3269">
              <w:rPr>
                <w:rFonts w:cs="Arial"/>
                <w:i/>
                <w:iCs/>
                <w:color w:val="000000"/>
                <w:sz w:val="20"/>
                <w:lang w:val="en-US" w:eastAsia="zh-CN"/>
              </w:rPr>
              <w:t>Capitalization of fixed assets</w:t>
            </w:r>
          </w:p>
        </w:tc>
        <w:tc>
          <w:tcPr>
            <w:tcW w:w="530" w:type="pct"/>
            <w:tcBorders>
              <w:top w:val="nil"/>
              <w:left w:val="single" w:sz="4" w:space="0" w:color="auto"/>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6"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6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68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2,246</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r>
      <w:tr w:rsidR="00C54E7E" w:rsidRPr="008D3269" w:rsidTr="00C54E7E">
        <w:trPr>
          <w:trHeight w:val="255"/>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20"/>
                <w:lang w:val="en-US" w:eastAsia="zh-CN"/>
              </w:rPr>
            </w:pPr>
            <w:r w:rsidRPr="008D3269">
              <w:rPr>
                <w:rFonts w:cs="Arial"/>
                <w:i/>
                <w:iCs/>
                <w:color w:val="000000"/>
                <w:sz w:val="20"/>
                <w:lang w:val="en-US" w:eastAsia="zh-CN"/>
              </w:rPr>
              <w:t>Recognition of inventories</w:t>
            </w:r>
          </w:p>
        </w:tc>
        <w:tc>
          <w:tcPr>
            <w:tcW w:w="530" w:type="pct"/>
            <w:tcBorders>
              <w:top w:val="nil"/>
              <w:left w:val="single" w:sz="4" w:space="0" w:color="auto"/>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6"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6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68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-41</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r>
      <w:tr w:rsidR="00C54E7E" w:rsidRPr="008D3269" w:rsidTr="00C54E7E">
        <w:trPr>
          <w:trHeight w:val="255"/>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20"/>
                <w:lang w:val="en-US" w:eastAsia="zh-CN"/>
              </w:rPr>
            </w:pPr>
            <w:r w:rsidRPr="008D3269">
              <w:rPr>
                <w:rFonts w:cs="Arial"/>
                <w:i/>
                <w:iCs/>
                <w:color w:val="000000"/>
                <w:sz w:val="20"/>
                <w:lang w:val="en-US" w:eastAsia="zh-CN"/>
              </w:rPr>
              <w:t>Depreciation</w:t>
            </w:r>
          </w:p>
        </w:tc>
        <w:tc>
          <w:tcPr>
            <w:tcW w:w="530" w:type="pct"/>
            <w:tcBorders>
              <w:top w:val="nil"/>
              <w:left w:val="single" w:sz="4" w:space="0" w:color="auto"/>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6"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6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68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-4,074</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r>
      <w:tr w:rsidR="00C54E7E" w:rsidRPr="008D3269" w:rsidTr="00C54E7E">
        <w:trPr>
          <w:trHeight w:val="255"/>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20"/>
                <w:lang w:val="en-US" w:eastAsia="zh-CN"/>
              </w:rPr>
            </w:pPr>
            <w:r w:rsidRPr="008D3269">
              <w:rPr>
                <w:rFonts w:cs="Arial"/>
                <w:i/>
                <w:iCs/>
                <w:color w:val="000000"/>
                <w:sz w:val="20"/>
                <w:lang w:val="en-US" w:eastAsia="zh-CN"/>
              </w:rPr>
              <w:t>Exchange rate gains/losses</w:t>
            </w:r>
          </w:p>
        </w:tc>
        <w:tc>
          <w:tcPr>
            <w:tcW w:w="530" w:type="pct"/>
            <w:tcBorders>
              <w:top w:val="nil"/>
              <w:left w:val="single" w:sz="4" w:space="0" w:color="auto"/>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6"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6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68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-162</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r>
      <w:tr w:rsidR="00C54E7E" w:rsidRPr="008D3269" w:rsidTr="00C54E7E">
        <w:trPr>
          <w:trHeight w:val="510"/>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20"/>
                <w:lang w:val="en-US" w:eastAsia="zh-CN"/>
              </w:rPr>
            </w:pPr>
            <w:r w:rsidRPr="008D3269">
              <w:rPr>
                <w:rFonts w:cs="Arial"/>
                <w:i/>
                <w:iCs/>
                <w:color w:val="000000"/>
                <w:sz w:val="20"/>
                <w:lang w:val="en-US" w:eastAsia="zh-CN"/>
              </w:rPr>
              <w:t>Repayment of FIPOI loan not considered as expense</w:t>
            </w:r>
          </w:p>
        </w:tc>
        <w:tc>
          <w:tcPr>
            <w:tcW w:w="530" w:type="pct"/>
            <w:tcBorders>
              <w:top w:val="nil"/>
              <w:left w:val="single" w:sz="4" w:space="0" w:color="auto"/>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6"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6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68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1,493</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r>
      <w:tr w:rsidR="00C54E7E" w:rsidRPr="008D3269" w:rsidTr="00C54E7E">
        <w:trPr>
          <w:trHeight w:val="255"/>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20"/>
                <w:lang w:val="en-US" w:eastAsia="zh-CN"/>
              </w:rPr>
            </w:pPr>
            <w:r w:rsidRPr="008D3269">
              <w:rPr>
                <w:rFonts w:cs="Arial"/>
                <w:i/>
                <w:iCs/>
                <w:color w:val="000000"/>
                <w:sz w:val="20"/>
                <w:lang w:val="en-US" w:eastAsia="zh-CN"/>
              </w:rPr>
              <w:t>Changes in and use of provision for doubtful debts</w:t>
            </w:r>
          </w:p>
        </w:tc>
        <w:tc>
          <w:tcPr>
            <w:tcW w:w="530" w:type="pct"/>
            <w:tcBorders>
              <w:top w:val="nil"/>
              <w:left w:val="single" w:sz="4" w:space="0" w:color="auto"/>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6"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6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68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6,065</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r>
      <w:tr w:rsidR="00C54E7E" w:rsidRPr="008D3269" w:rsidTr="00C54E7E">
        <w:trPr>
          <w:trHeight w:val="255"/>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20"/>
                <w:lang w:val="en-US" w:eastAsia="zh-CN"/>
              </w:rPr>
            </w:pPr>
            <w:r w:rsidRPr="008D3269">
              <w:rPr>
                <w:rFonts w:cs="Arial"/>
                <w:i/>
                <w:iCs/>
                <w:color w:val="000000"/>
                <w:sz w:val="20"/>
                <w:lang w:val="en-US" w:eastAsia="zh-CN"/>
              </w:rPr>
              <w:t>Sales of assets</w:t>
            </w:r>
          </w:p>
        </w:tc>
        <w:tc>
          <w:tcPr>
            <w:tcW w:w="530" w:type="pct"/>
            <w:tcBorders>
              <w:top w:val="nil"/>
              <w:left w:val="single" w:sz="4" w:space="0" w:color="auto"/>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6"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6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68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14</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r>
      <w:tr w:rsidR="00C54E7E" w:rsidRPr="008D3269" w:rsidTr="00C54E7E">
        <w:trPr>
          <w:trHeight w:val="255"/>
        </w:trPr>
        <w:tc>
          <w:tcPr>
            <w:tcW w:w="1549" w:type="pct"/>
            <w:tcBorders>
              <w:top w:val="nil"/>
              <w:left w:val="single" w:sz="4" w:space="0" w:color="auto"/>
              <w:bottom w:val="nil"/>
              <w:right w:val="nil"/>
            </w:tcBorders>
            <w:shd w:val="clear" w:color="auto" w:fill="auto"/>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20"/>
                <w:lang w:val="en-US" w:eastAsia="zh-CN"/>
              </w:rPr>
            </w:pPr>
            <w:r w:rsidRPr="008D3269">
              <w:rPr>
                <w:rFonts w:cs="Arial"/>
                <w:i/>
                <w:iCs/>
                <w:color w:val="000000"/>
                <w:sz w:val="20"/>
                <w:lang w:val="en-US" w:eastAsia="zh-CN"/>
              </w:rPr>
              <w:t>Other expenses</w:t>
            </w:r>
          </w:p>
        </w:tc>
        <w:tc>
          <w:tcPr>
            <w:tcW w:w="530" w:type="pct"/>
            <w:tcBorders>
              <w:top w:val="nil"/>
              <w:left w:val="single" w:sz="4" w:space="0" w:color="auto"/>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6"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6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682" w:type="pct"/>
            <w:tcBorders>
              <w:top w:val="nil"/>
              <w:left w:val="nil"/>
              <w:bottom w:val="nil"/>
              <w:right w:val="single" w:sz="4" w:space="0" w:color="auto"/>
            </w:tcBorders>
            <w:shd w:val="clear" w:color="auto" w:fill="auto"/>
            <w:noWrap/>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-5</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r>
      <w:tr w:rsidR="00C54E7E" w:rsidRPr="008D3269" w:rsidTr="00C54E7E">
        <w:trPr>
          <w:trHeight w:val="252"/>
        </w:trPr>
        <w:tc>
          <w:tcPr>
            <w:tcW w:w="1549" w:type="pct"/>
            <w:tcBorders>
              <w:top w:val="nil"/>
              <w:left w:val="single" w:sz="4" w:space="0" w:color="auto"/>
              <w:bottom w:val="nil"/>
              <w:right w:val="nil"/>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0" w:type="pct"/>
            <w:tcBorders>
              <w:top w:val="nil"/>
              <w:left w:val="single" w:sz="4" w:space="0" w:color="auto"/>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6"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6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68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20"/>
                <w:lang w:val="en-US" w:eastAsia="zh-CN"/>
              </w:rPr>
            </w:pPr>
            <w:r w:rsidRPr="008D3269">
              <w:rPr>
                <w:rFonts w:cs="Arial"/>
                <w:i/>
                <w:iCs/>
                <w:color w:val="000000"/>
                <w:sz w:val="20"/>
                <w:lang w:val="en-US" w:eastAsia="zh-CN"/>
              </w:rPr>
              <w:t> </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r>
      <w:tr w:rsidR="00C54E7E" w:rsidRPr="008D3269" w:rsidTr="00C54E7E">
        <w:trPr>
          <w:trHeight w:val="270"/>
        </w:trPr>
        <w:tc>
          <w:tcPr>
            <w:tcW w:w="1549" w:type="pct"/>
            <w:tcBorders>
              <w:top w:val="single" w:sz="4" w:space="0" w:color="auto"/>
              <w:left w:val="single" w:sz="4" w:space="0" w:color="auto"/>
              <w:bottom w:val="single" w:sz="4" w:space="0" w:color="auto"/>
              <w:right w:val="nil"/>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Total IPSAS difference</w:t>
            </w:r>
          </w:p>
        </w:tc>
        <w:tc>
          <w:tcPr>
            <w:tcW w:w="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 </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 </w:t>
            </w:r>
          </w:p>
        </w:tc>
        <w:tc>
          <w:tcPr>
            <w:tcW w:w="532" w:type="pct"/>
            <w:tcBorders>
              <w:top w:val="single" w:sz="4" w:space="0" w:color="auto"/>
              <w:left w:val="nil"/>
              <w:bottom w:val="single" w:sz="4" w:space="0" w:color="auto"/>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 </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 </w:t>
            </w:r>
          </w:p>
        </w:tc>
        <w:tc>
          <w:tcPr>
            <w:tcW w:w="682" w:type="pct"/>
            <w:tcBorders>
              <w:top w:val="single" w:sz="4" w:space="0" w:color="auto"/>
              <w:left w:val="nil"/>
              <w:bottom w:val="single" w:sz="4" w:space="0" w:color="auto"/>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-16,731</w:t>
            </w:r>
          </w:p>
        </w:tc>
        <w:tc>
          <w:tcPr>
            <w:tcW w:w="610" w:type="pct"/>
            <w:tcBorders>
              <w:top w:val="single" w:sz="4" w:space="0" w:color="auto"/>
              <w:left w:val="nil"/>
              <w:bottom w:val="single" w:sz="4" w:space="0" w:color="auto"/>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 </w:t>
            </w:r>
          </w:p>
        </w:tc>
      </w:tr>
      <w:tr w:rsidR="00C54E7E" w:rsidRPr="008D3269" w:rsidTr="00C54E7E">
        <w:trPr>
          <w:trHeight w:val="255"/>
        </w:trPr>
        <w:tc>
          <w:tcPr>
            <w:tcW w:w="1549" w:type="pct"/>
            <w:tcBorders>
              <w:top w:val="nil"/>
              <w:left w:val="single" w:sz="4" w:space="0" w:color="auto"/>
              <w:bottom w:val="nil"/>
              <w:right w:val="nil"/>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Surplus/ Deficit on Fund 1000</w:t>
            </w:r>
          </w:p>
        </w:tc>
        <w:tc>
          <w:tcPr>
            <w:tcW w:w="530" w:type="pct"/>
            <w:tcBorders>
              <w:top w:val="nil"/>
              <w:left w:val="single" w:sz="4" w:space="0" w:color="auto"/>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6"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6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68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11,077</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r>
      <w:tr w:rsidR="00C54E7E" w:rsidRPr="008D3269" w:rsidTr="00C54E7E">
        <w:trPr>
          <w:trHeight w:val="255"/>
        </w:trPr>
        <w:tc>
          <w:tcPr>
            <w:tcW w:w="1549" w:type="pct"/>
            <w:tcBorders>
              <w:top w:val="nil"/>
              <w:left w:val="single" w:sz="4" w:space="0" w:color="auto"/>
              <w:bottom w:val="nil"/>
              <w:right w:val="nil"/>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8D3269">
              <w:rPr>
                <w:rFonts w:cs="Arial"/>
                <w:sz w:val="20"/>
                <w:lang w:val="en-US" w:eastAsia="zh-CN"/>
              </w:rPr>
              <w:t>Increase of the investment fund</w:t>
            </w:r>
          </w:p>
        </w:tc>
        <w:tc>
          <w:tcPr>
            <w:tcW w:w="530" w:type="pct"/>
            <w:tcBorders>
              <w:top w:val="nil"/>
              <w:left w:val="single" w:sz="4" w:space="0" w:color="auto"/>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6"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6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68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-441</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r>
      <w:tr w:rsidR="00C54E7E" w:rsidRPr="008D3269" w:rsidTr="00C54E7E">
        <w:trPr>
          <w:trHeight w:val="255"/>
        </w:trPr>
        <w:tc>
          <w:tcPr>
            <w:tcW w:w="1549" w:type="pct"/>
            <w:tcBorders>
              <w:top w:val="nil"/>
              <w:left w:val="single" w:sz="4" w:space="0" w:color="auto"/>
              <w:bottom w:val="nil"/>
              <w:right w:val="nil"/>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8D3269">
              <w:rPr>
                <w:rFonts w:cs="Arial"/>
                <w:sz w:val="20"/>
                <w:lang w:val="en-US" w:eastAsia="zh-CN"/>
              </w:rPr>
              <w:t>Perimeter differences</w:t>
            </w:r>
          </w:p>
        </w:tc>
        <w:tc>
          <w:tcPr>
            <w:tcW w:w="530" w:type="pct"/>
            <w:tcBorders>
              <w:top w:val="nil"/>
              <w:left w:val="single" w:sz="4" w:space="0" w:color="auto"/>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6"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6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68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i/>
                <w:iCs/>
                <w:color w:val="000000"/>
                <w:sz w:val="20"/>
                <w:lang w:val="en-US" w:eastAsia="zh-CN"/>
              </w:rPr>
            </w:pPr>
            <w:r w:rsidRPr="008D3269">
              <w:rPr>
                <w:rFonts w:cs="Arial"/>
                <w:i/>
                <w:iCs/>
                <w:color w:val="000000"/>
                <w:sz w:val="20"/>
                <w:lang w:val="en-US" w:eastAsia="zh-CN"/>
              </w:rPr>
              <w:t>-1,881</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r>
      <w:tr w:rsidR="00C54E7E" w:rsidRPr="008D3269" w:rsidTr="00C54E7E">
        <w:trPr>
          <w:trHeight w:val="255"/>
        </w:trPr>
        <w:tc>
          <w:tcPr>
            <w:tcW w:w="1549" w:type="pct"/>
            <w:tcBorders>
              <w:top w:val="nil"/>
              <w:left w:val="single" w:sz="4" w:space="0" w:color="auto"/>
              <w:bottom w:val="nil"/>
              <w:right w:val="nil"/>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8D3269">
              <w:rPr>
                <w:rFonts w:cs="Arial"/>
                <w:sz w:val="20"/>
                <w:lang w:val="en-US" w:eastAsia="zh-CN"/>
              </w:rPr>
              <w:t> </w:t>
            </w:r>
          </w:p>
        </w:tc>
        <w:tc>
          <w:tcPr>
            <w:tcW w:w="530" w:type="pct"/>
            <w:tcBorders>
              <w:top w:val="nil"/>
              <w:left w:val="single" w:sz="4" w:space="0" w:color="auto"/>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6"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3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56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c>
          <w:tcPr>
            <w:tcW w:w="682"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i/>
                <w:iCs/>
                <w:color w:val="000000"/>
                <w:sz w:val="20"/>
                <w:lang w:val="en-US" w:eastAsia="zh-CN"/>
              </w:rPr>
            </w:pPr>
            <w:r w:rsidRPr="008D3269">
              <w:rPr>
                <w:rFonts w:cs="Arial"/>
                <w:i/>
                <w:iCs/>
                <w:color w:val="000000"/>
                <w:sz w:val="20"/>
                <w:lang w:val="en-US" w:eastAsia="zh-CN"/>
              </w:rPr>
              <w:t> </w:t>
            </w:r>
          </w:p>
        </w:tc>
        <w:tc>
          <w:tcPr>
            <w:tcW w:w="610" w:type="pct"/>
            <w:tcBorders>
              <w:top w:val="nil"/>
              <w:left w:val="nil"/>
              <w:bottom w:val="nil"/>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8D3269">
              <w:rPr>
                <w:rFonts w:cs="Arial"/>
                <w:color w:val="000000"/>
                <w:sz w:val="20"/>
                <w:lang w:val="en-US" w:eastAsia="zh-CN"/>
              </w:rPr>
              <w:t> </w:t>
            </w:r>
          </w:p>
        </w:tc>
      </w:tr>
      <w:tr w:rsidR="00C54E7E" w:rsidRPr="008D3269" w:rsidTr="00C54E7E">
        <w:trPr>
          <w:trHeight w:val="510"/>
        </w:trPr>
        <w:tc>
          <w:tcPr>
            <w:tcW w:w="1549" w:type="pct"/>
            <w:tcBorders>
              <w:top w:val="single" w:sz="4" w:space="0" w:color="auto"/>
              <w:left w:val="single" w:sz="4" w:space="0" w:color="auto"/>
              <w:bottom w:val="single" w:sz="4" w:space="0" w:color="auto"/>
              <w:right w:val="nil"/>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Surplus/Deficit as shown in the statement of financial performance</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 </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 </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 </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 </w:t>
            </w:r>
          </w:p>
        </w:tc>
        <w:tc>
          <w:tcPr>
            <w:tcW w:w="682" w:type="pct"/>
            <w:tcBorders>
              <w:top w:val="single" w:sz="4" w:space="0" w:color="auto"/>
              <w:left w:val="nil"/>
              <w:bottom w:val="single" w:sz="4" w:space="0" w:color="auto"/>
              <w:right w:val="single" w:sz="4" w:space="0" w:color="auto"/>
            </w:tcBorders>
            <w:shd w:val="clear" w:color="auto" w:fill="auto"/>
            <w:noWrap/>
            <w:vAlign w:val="center"/>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8D3269">
              <w:rPr>
                <w:rFonts w:cs="Arial"/>
                <w:b/>
                <w:bCs/>
                <w:color w:val="000000"/>
                <w:sz w:val="20"/>
                <w:lang w:val="en-US" w:eastAsia="zh-CN"/>
              </w:rPr>
              <w:t>-7,976</w:t>
            </w:r>
          </w:p>
        </w:tc>
        <w:tc>
          <w:tcPr>
            <w:tcW w:w="610" w:type="pct"/>
            <w:tcBorders>
              <w:top w:val="single" w:sz="4" w:space="0" w:color="auto"/>
              <w:left w:val="nil"/>
              <w:bottom w:val="single" w:sz="4" w:space="0" w:color="auto"/>
              <w:right w:val="single" w:sz="4" w:space="0" w:color="auto"/>
            </w:tcBorders>
            <w:shd w:val="clear" w:color="auto" w:fill="auto"/>
            <w:noWrap/>
            <w:vAlign w:val="bottom"/>
            <w:hideMark/>
          </w:tcPr>
          <w:p w:rsidR="008D3269" w:rsidRPr="008D3269" w:rsidRDefault="008D3269" w:rsidP="008D326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8D3269">
              <w:rPr>
                <w:rFonts w:cs="Arial"/>
                <w:b/>
                <w:bCs/>
                <w:color w:val="000000"/>
                <w:sz w:val="20"/>
                <w:lang w:val="en-US" w:eastAsia="zh-CN"/>
              </w:rPr>
              <w:t> </w:t>
            </w:r>
          </w:p>
        </w:tc>
      </w:tr>
    </w:tbl>
    <w:p w:rsidR="0022373A" w:rsidRDefault="0022373A" w:rsidP="00EE77B6">
      <w:pPr>
        <w:spacing w:before="360"/>
        <w:rPr>
          <w:sz w:val="22"/>
          <w:szCs w:val="22"/>
          <w:lang w:val="en-US"/>
        </w:rPr>
      </w:pPr>
      <w:r w:rsidRPr="00C972B1">
        <w:rPr>
          <w:sz w:val="22"/>
          <w:szCs w:val="22"/>
          <w:lang w:val="en-US"/>
        </w:rPr>
        <w:t xml:space="preserve">For </w:t>
      </w:r>
      <w:r w:rsidR="00C972B1" w:rsidRPr="00C972B1">
        <w:rPr>
          <w:sz w:val="22"/>
          <w:szCs w:val="22"/>
          <w:lang w:val="en-US"/>
        </w:rPr>
        <w:t>further information, see Note 2</w:t>
      </w:r>
      <w:r w:rsidR="00EE77B6">
        <w:rPr>
          <w:sz w:val="22"/>
          <w:szCs w:val="22"/>
          <w:lang w:val="en-US"/>
        </w:rPr>
        <w:t>6</w:t>
      </w:r>
      <w:r w:rsidR="00122B8A" w:rsidRPr="00C972B1">
        <w:rPr>
          <w:sz w:val="22"/>
          <w:szCs w:val="22"/>
          <w:lang w:val="en-US"/>
        </w:rPr>
        <w:t>.</w:t>
      </w:r>
    </w:p>
    <w:p w:rsidR="00127756" w:rsidRDefault="00127756">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rPr>
      </w:pPr>
      <w:r>
        <w:rPr>
          <w:sz w:val="22"/>
          <w:szCs w:val="22"/>
          <w:lang w:val="en-US"/>
        </w:rPr>
        <w:br w:type="page"/>
      </w:r>
    </w:p>
    <w:p w:rsidR="00A13182" w:rsidRDefault="00A13182" w:rsidP="00EE6FE9">
      <w:pPr>
        <w:spacing w:before="0"/>
        <w:rPr>
          <w:sz w:val="22"/>
          <w:szCs w:val="22"/>
          <w:lang w:val="en-US"/>
        </w:rPr>
      </w:pPr>
    </w:p>
    <w:p w:rsidR="0022373A" w:rsidRPr="00CB7301" w:rsidRDefault="0022373A" w:rsidP="00C70441">
      <w:pPr>
        <w:spacing w:after="480"/>
        <w:jc w:val="center"/>
        <w:rPr>
          <w:b/>
          <w:bCs/>
          <w:sz w:val="28"/>
          <w:szCs w:val="22"/>
          <w:lang w:val="en-US"/>
        </w:rPr>
      </w:pPr>
      <w:bookmarkStart w:id="28" w:name="_Toc305764060"/>
      <w:bookmarkStart w:id="29" w:name="_Toc329011608"/>
      <w:r w:rsidRPr="00CB7301">
        <w:rPr>
          <w:b/>
          <w:bCs/>
          <w:sz w:val="28"/>
          <w:szCs w:val="22"/>
          <w:lang w:val="en-US"/>
        </w:rPr>
        <w:t>Notes to the financial statements</w:t>
      </w:r>
      <w:bookmarkEnd w:id="28"/>
      <w:bookmarkEnd w:id="29"/>
    </w:p>
    <w:p w:rsidR="0022373A" w:rsidRPr="001C2A98" w:rsidRDefault="0022373A" w:rsidP="00EE10BB">
      <w:pPr>
        <w:pStyle w:val="Heading5"/>
        <w:rPr>
          <w:lang w:val="en-US"/>
        </w:rPr>
      </w:pPr>
      <w:bookmarkStart w:id="30" w:name="_Toc305764061"/>
      <w:bookmarkStart w:id="31" w:name="_Toc329011609"/>
      <w:r w:rsidRPr="001C2A98">
        <w:rPr>
          <w:lang w:val="en-US"/>
        </w:rPr>
        <w:t xml:space="preserve">Note </w:t>
      </w:r>
      <w:r w:rsidR="00F34118">
        <w:rPr>
          <w:lang w:val="en-US"/>
        </w:rPr>
        <w:t>1</w:t>
      </w:r>
      <w:r w:rsidRPr="001C2A98">
        <w:rPr>
          <w:lang w:val="en-US"/>
        </w:rPr>
        <w:tab/>
      </w:r>
      <w:bookmarkEnd w:id="30"/>
      <w:bookmarkEnd w:id="31"/>
      <w:r w:rsidR="004C424A" w:rsidRPr="00EE10BB">
        <w:rPr>
          <w:lang w:val="en-US"/>
        </w:rPr>
        <w:t>Objectives of the Union</w:t>
      </w:r>
    </w:p>
    <w:p w:rsidR="0022373A" w:rsidRPr="001C2A98" w:rsidRDefault="0022373A" w:rsidP="00035CC0">
      <w:pPr>
        <w:jc w:val="both"/>
        <w:rPr>
          <w:lang w:val="en-US"/>
        </w:rPr>
      </w:pPr>
      <w:r w:rsidRPr="001C2A98">
        <w:rPr>
          <w:lang w:val="en-US"/>
        </w:rPr>
        <w:t xml:space="preserve">The International Telecommunication Union (ITU) is the </w:t>
      </w:r>
      <w:hyperlink r:id="rId30" w:tgtFrame="_blank" w:history="1">
        <w:r w:rsidR="000D0F63">
          <w:rPr>
            <w:rStyle w:val="Hyperlink"/>
            <w:rFonts w:cs="Calibri"/>
            <w:lang w:val="en-US"/>
          </w:rPr>
          <w:t>United Nations</w:t>
        </w:r>
      </w:hyperlink>
      <w:r w:rsidRPr="001C2A98">
        <w:rPr>
          <w:lang w:val="en-US"/>
        </w:rPr>
        <w:t xml:space="preserve"> specialized agency for information and communication technologies (ICTs). As a global focal point bringing together governments and private sector, ITU </w:t>
      </w:r>
      <w:r w:rsidR="004372CE">
        <w:rPr>
          <w:lang w:val="en-US"/>
        </w:rPr>
        <w:t xml:space="preserve">assists </w:t>
      </w:r>
      <w:r w:rsidRPr="001C2A98">
        <w:rPr>
          <w:lang w:val="en-US"/>
        </w:rPr>
        <w:t xml:space="preserve">the world </w:t>
      </w:r>
      <w:r w:rsidR="00035CC0">
        <w:rPr>
          <w:lang w:val="en-US"/>
        </w:rPr>
        <w:t xml:space="preserve">in communicating </w:t>
      </w:r>
      <w:r w:rsidRPr="001C2A98">
        <w:rPr>
          <w:lang w:val="en-US"/>
        </w:rPr>
        <w:t xml:space="preserve">through its three key Sectors: </w:t>
      </w:r>
      <w:hyperlink r:id="rId31" w:history="1">
        <w:r w:rsidR="00353642" w:rsidRPr="00C70441">
          <w:rPr>
            <w:rStyle w:val="Hyperlink"/>
            <w:rFonts w:cs="Calibri"/>
            <w:lang w:val="en-US"/>
          </w:rPr>
          <w:t>Radiocommunication</w:t>
        </w:r>
      </w:hyperlink>
      <w:r w:rsidRPr="001C2A98">
        <w:rPr>
          <w:lang w:val="en-US"/>
        </w:rPr>
        <w:t xml:space="preserve">, </w:t>
      </w:r>
      <w:hyperlink r:id="rId32" w:history="1">
        <w:r w:rsidR="00353642">
          <w:rPr>
            <w:rStyle w:val="Hyperlink"/>
            <w:rFonts w:cs="Calibri"/>
            <w:lang w:val="en-US"/>
          </w:rPr>
          <w:t>Telecommunication Standardization</w:t>
        </w:r>
      </w:hyperlink>
      <w:r w:rsidR="00353642" w:rsidRPr="00353642">
        <w:rPr>
          <w:lang w:val="en-US"/>
        </w:rPr>
        <w:t xml:space="preserve"> </w:t>
      </w:r>
      <w:r w:rsidRPr="001C2A98">
        <w:rPr>
          <w:lang w:val="en-US"/>
        </w:rPr>
        <w:t xml:space="preserve">and </w:t>
      </w:r>
      <w:hyperlink r:id="rId33" w:history="1">
        <w:r w:rsidR="00353642">
          <w:rPr>
            <w:rStyle w:val="Hyperlink"/>
            <w:rFonts w:cs="Calibri"/>
            <w:lang w:val="en-US"/>
          </w:rPr>
          <w:t>Telecommunication Development</w:t>
        </w:r>
      </w:hyperlink>
      <w:r w:rsidRPr="001C2A98">
        <w:rPr>
          <w:lang w:val="en-US"/>
        </w:rPr>
        <w:t>. ITU fully recognizes each State</w:t>
      </w:r>
      <w:r w:rsidR="007A552E">
        <w:rPr>
          <w:lang w:val="en-US"/>
        </w:rPr>
        <w:t>’</w:t>
      </w:r>
      <w:r w:rsidRPr="001C2A98">
        <w:rPr>
          <w:lang w:val="en-US"/>
        </w:rPr>
        <w:t>s sovereign right to regulate its telecommunications.</w:t>
      </w:r>
    </w:p>
    <w:p w:rsidR="0022373A" w:rsidRPr="001C2A98" w:rsidRDefault="0022373A" w:rsidP="005C41A5">
      <w:pPr>
        <w:jc w:val="both"/>
        <w:rPr>
          <w:rFonts w:cs="Calibri"/>
          <w:bCs/>
          <w:lang w:val="en-US"/>
        </w:rPr>
      </w:pPr>
      <w:r w:rsidRPr="001C2A98">
        <w:rPr>
          <w:rFonts w:cs="Calibri"/>
          <w:bCs/>
          <w:lang w:val="en-US"/>
        </w:rPr>
        <w:t xml:space="preserve">ITU, which also organizes the </w:t>
      </w:r>
      <w:r w:rsidR="00103D66">
        <w:rPr>
          <w:rFonts w:cs="Calibri"/>
          <w:bCs/>
          <w:lang w:val="en-US"/>
        </w:rPr>
        <w:t xml:space="preserve">ITU </w:t>
      </w:r>
      <w:hyperlink r:id="rId34" w:history="1">
        <w:r w:rsidR="00F013B6" w:rsidRPr="00D128FC">
          <w:rPr>
            <w:rStyle w:val="Hyperlink"/>
            <w:rFonts w:cs="Arial"/>
            <w:szCs w:val="24"/>
            <w:lang w:val="en-US" w:eastAsia="fr-FR"/>
          </w:rPr>
          <w:t>TELECOM</w:t>
        </w:r>
      </w:hyperlink>
      <w:r w:rsidR="00F013B6">
        <w:rPr>
          <w:lang w:val="en-US"/>
        </w:rPr>
        <w:t xml:space="preserve"> </w:t>
      </w:r>
      <w:r w:rsidRPr="001C2A98">
        <w:rPr>
          <w:rFonts w:cs="Calibri"/>
          <w:bCs/>
          <w:lang w:val="en-US"/>
        </w:rPr>
        <w:t xml:space="preserve">events, was the entity with prime responsibility for organizing the </w:t>
      </w:r>
      <w:hyperlink r:id="rId35" w:history="1">
        <w:r w:rsidR="00914A81" w:rsidRPr="00D128FC">
          <w:rPr>
            <w:rStyle w:val="Hyperlink"/>
            <w:rFonts w:cs="Arial"/>
            <w:szCs w:val="24"/>
            <w:lang w:val="en-US" w:eastAsia="fr-FR"/>
          </w:rPr>
          <w:t>World Summit o</w:t>
        </w:r>
        <w:r w:rsidR="00914A81" w:rsidRPr="00D128FC">
          <w:rPr>
            <w:rStyle w:val="Hyperlink"/>
            <w:rFonts w:cs="Arial"/>
            <w:szCs w:val="24"/>
            <w:lang w:val="en-US" w:eastAsia="fr-FR"/>
          </w:rPr>
          <w:t>n</w:t>
        </w:r>
        <w:r w:rsidR="00914A81" w:rsidRPr="00D128FC">
          <w:rPr>
            <w:rStyle w:val="Hyperlink"/>
            <w:rFonts w:cs="Arial"/>
            <w:szCs w:val="24"/>
            <w:lang w:val="en-US" w:eastAsia="fr-FR"/>
          </w:rPr>
          <w:t xml:space="preserve"> the Information Society</w:t>
        </w:r>
      </w:hyperlink>
      <w:r w:rsidR="003111C9">
        <w:rPr>
          <w:rStyle w:val="Hyperlink"/>
          <w:rFonts w:cs="Arial"/>
          <w:szCs w:val="24"/>
          <w:lang w:val="en-US" w:eastAsia="fr-FR"/>
        </w:rPr>
        <w:t>.</w:t>
      </w:r>
    </w:p>
    <w:p w:rsidR="0022373A" w:rsidRPr="001C2A98" w:rsidRDefault="0022373A" w:rsidP="001C6CE6">
      <w:pPr>
        <w:jc w:val="both"/>
        <w:rPr>
          <w:rFonts w:cs="Calibri"/>
          <w:bCs/>
          <w:lang w:val="en-US"/>
        </w:rPr>
      </w:pPr>
      <w:r w:rsidRPr="001C2A98">
        <w:rPr>
          <w:rFonts w:cs="Calibri"/>
          <w:bCs/>
          <w:lang w:val="en-US"/>
        </w:rPr>
        <w:t xml:space="preserve">With its headquarters at Place des Nations, 1211 Geneva 20, </w:t>
      </w:r>
      <w:r w:rsidRPr="0076607B">
        <w:rPr>
          <w:rFonts w:cs="Calibri"/>
          <w:bCs/>
          <w:lang w:val="en-US"/>
        </w:rPr>
        <w:t>Switzerland, ITU has 19</w:t>
      </w:r>
      <w:r w:rsidR="001D5EBC" w:rsidRPr="0076607B">
        <w:rPr>
          <w:rFonts w:cs="Calibri"/>
          <w:bCs/>
          <w:lang w:val="en-US"/>
        </w:rPr>
        <w:t>3</w:t>
      </w:r>
      <w:r w:rsidRPr="0076607B">
        <w:rPr>
          <w:rFonts w:cs="Calibri"/>
          <w:bCs/>
          <w:lang w:val="en-US"/>
        </w:rPr>
        <w:t xml:space="preserve"> </w:t>
      </w:r>
      <w:hyperlink r:id="rId36" w:history="1">
        <w:r w:rsidR="00B6153B" w:rsidRPr="0076607B">
          <w:rPr>
            <w:rStyle w:val="Hyperlink"/>
            <w:rFonts w:cs="Arial"/>
            <w:szCs w:val="24"/>
            <w:lang w:val="en-US" w:eastAsia="fr-FR"/>
          </w:rPr>
          <w:t>Mem</w:t>
        </w:r>
        <w:r w:rsidR="00B6153B" w:rsidRPr="0076607B">
          <w:rPr>
            <w:rStyle w:val="Hyperlink"/>
            <w:rFonts w:cs="Arial"/>
            <w:szCs w:val="24"/>
            <w:lang w:val="en-US" w:eastAsia="fr-FR"/>
          </w:rPr>
          <w:t>b</w:t>
        </w:r>
        <w:r w:rsidR="00B6153B" w:rsidRPr="0076607B">
          <w:rPr>
            <w:rStyle w:val="Hyperlink"/>
            <w:rFonts w:cs="Arial"/>
            <w:szCs w:val="24"/>
            <w:lang w:val="en-US" w:eastAsia="fr-FR"/>
          </w:rPr>
          <w:t>e</w:t>
        </w:r>
        <w:r w:rsidR="00B6153B" w:rsidRPr="0076607B">
          <w:rPr>
            <w:rStyle w:val="Hyperlink"/>
            <w:rFonts w:cs="Arial"/>
            <w:szCs w:val="24"/>
            <w:lang w:val="en-US" w:eastAsia="fr-FR"/>
          </w:rPr>
          <w:t>r States</w:t>
        </w:r>
      </w:hyperlink>
      <w:r w:rsidRPr="0076607B">
        <w:rPr>
          <w:rFonts w:cs="Calibri"/>
          <w:bCs/>
          <w:lang w:val="en-US"/>
        </w:rPr>
        <w:t xml:space="preserve"> and over </w:t>
      </w:r>
      <w:r w:rsidR="00DC72A3">
        <w:rPr>
          <w:rFonts w:cs="Calibri"/>
          <w:bCs/>
          <w:lang w:val="en-US"/>
        </w:rPr>
        <w:t>8</w:t>
      </w:r>
      <w:r w:rsidRPr="0076607B">
        <w:rPr>
          <w:rFonts w:cs="Calibri"/>
          <w:bCs/>
          <w:lang w:val="en-US"/>
        </w:rPr>
        <w:t xml:space="preserve">00 </w:t>
      </w:r>
      <w:hyperlink r:id="rId37" w:history="1">
        <w:r w:rsidR="00B6153B" w:rsidRPr="0076607B">
          <w:rPr>
            <w:rStyle w:val="Hyperlink"/>
            <w:rFonts w:cs="Arial"/>
            <w:szCs w:val="24"/>
            <w:lang w:val="en-US" w:eastAsia="fr-FR"/>
          </w:rPr>
          <w:t>Sector Members</w:t>
        </w:r>
      </w:hyperlink>
      <w:r w:rsidR="00DC72A3">
        <w:rPr>
          <w:rFonts w:cs="Calibri"/>
          <w:bCs/>
          <w:lang w:val="en-US"/>
        </w:rPr>
        <w:t xml:space="preserve">, </w:t>
      </w:r>
      <w:hyperlink r:id="rId38" w:history="1">
        <w:r w:rsidR="00667DC9" w:rsidRPr="001C6CE6">
          <w:rPr>
            <w:rStyle w:val="Hyperlink"/>
            <w:rFonts w:cs="Arial"/>
            <w:szCs w:val="24"/>
            <w:lang w:val="en-US" w:eastAsia="fr-FR"/>
          </w:rPr>
          <w:t>Associates</w:t>
        </w:r>
      </w:hyperlink>
      <w:r w:rsidR="00DC72A3" w:rsidRPr="001C6CE6">
        <w:rPr>
          <w:rStyle w:val="Hyperlink"/>
          <w:rFonts w:cs="Arial"/>
          <w:color w:val="auto"/>
          <w:szCs w:val="24"/>
          <w:u w:val="none"/>
          <w:lang w:val="en-US" w:eastAsia="fr-FR"/>
        </w:rPr>
        <w:t xml:space="preserve"> and</w:t>
      </w:r>
      <w:r w:rsidR="00DC72A3" w:rsidRPr="001C6CE6">
        <w:rPr>
          <w:rStyle w:val="Hyperlink"/>
          <w:rFonts w:cs="Arial"/>
          <w:color w:val="auto"/>
          <w:szCs w:val="24"/>
          <w:lang w:val="en-US" w:eastAsia="fr-FR"/>
        </w:rPr>
        <w:t xml:space="preserve"> </w:t>
      </w:r>
      <w:hyperlink r:id="rId39" w:history="1">
        <w:r w:rsidR="00DC72A3" w:rsidRPr="001C6CE6">
          <w:rPr>
            <w:rStyle w:val="Hyperlink"/>
            <w:rFonts w:cs="Arial"/>
            <w:szCs w:val="24"/>
            <w:lang w:val="en-US" w:eastAsia="fr-FR"/>
          </w:rPr>
          <w:t>Academia</w:t>
        </w:r>
      </w:hyperlink>
      <w:r w:rsidRPr="0076607B">
        <w:rPr>
          <w:rFonts w:cs="Calibri"/>
          <w:bCs/>
          <w:lang w:val="en-US"/>
        </w:rPr>
        <w:t>. It has four regional offices, eight</w:t>
      </w:r>
      <w:r w:rsidRPr="001C2A98">
        <w:rPr>
          <w:rFonts w:cs="Calibri"/>
          <w:bCs/>
          <w:lang w:val="en-US"/>
        </w:rPr>
        <w:t xml:space="preserve"> area offices</w:t>
      </w:r>
      <w:r w:rsidR="00395210">
        <w:rPr>
          <w:rFonts w:cs="Calibri"/>
          <w:bCs/>
          <w:lang w:val="en-US"/>
        </w:rPr>
        <w:t>, a United Nations liaison office in New York</w:t>
      </w:r>
      <w:r w:rsidRPr="001C2A98">
        <w:rPr>
          <w:rFonts w:cs="Calibri"/>
          <w:bCs/>
          <w:lang w:val="en-US"/>
        </w:rPr>
        <w:t xml:space="preserve"> and a coordination unit at headquarters for Europe.</w:t>
      </w:r>
    </w:p>
    <w:p w:rsidR="0022373A" w:rsidRPr="001C2A98" w:rsidRDefault="0022373A" w:rsidP="005C41A5">
      <w:pPr>
        <w:jc w:val="both"/>
        <w:rPr>
          <w:lang w:val="en-US"/>
        </w:rPr>
      </w:pPr>
      <w:r w:rsidRPr="001C2A98">
        <w:rPr>
          <w:lang w:val="en-US"/>
        </w:rPr>
        <w:t xml:space="preserve">The purposes of the Union are: </w:t>
      </w:r>
    </w:p>
    <w:p w:rsidR="0022373A" w:rsidRPr="001C2A98" w:rsidRDefault="0022373A" w:rsidP="00035CC0">
      <w:pPr>
        <w:pStyle w:val="enumlev1"/>
        <w:jc w:val="both"/>
        <w:rPr>
          <w:b/>
          <w:lang w:val="en-US"/>
        </w:rPr>
      </w:pPr>
      <w:r w:rsidRPr="001C2A98">
        <w:rPr>
          <w:lang w:val="en-US"/>
        </w:rPr>
        <w:t>–</w:t>
      </w:r>
      <w:r w:rsidRPr="001C2A98">
        <w:rPr>
          <w:lang w:val="en-US"/>
        </w:rPr>
        <w:tab/>
        <w:t>to maintain and extend international cooperation among all its Member States for the improvement and rational use of telecom</w:t>
      </w:r>
      <w:r w:rsidRPr="001C2A98">
        <w:rPr>
          <w:lang w:val="en-US"/>
        </w:rPr>
        <w:softHyphen/>
        <w:t>munications of all kinds;</w:t>
      </w:r>
    </w:p>
    <w:p w:rsidR="0022373A" w:rsidRPr="001C2A98" w:rsidRDefault="0022373A" w:rsidP="00035CC0">
      <w:pPr>
        <w:pStyle w:val="enumlev1"/>
        <w:jc w:val="both"/>
        <w:rPr>
          <w:b/>
          <w:lang w:val="en-US"/>
        </w:rPr>
      </w:pPr>
      <w:r w:rsidRPr="001C2A98">
        <w:rPr>
          <w:lang w:val="en-US"/>
        </w:rPr>
        <w:t>–</w:t>
      </w:r>
      <w:r w:rsidRPr="001C2A98">
        <w:rPr>
          <w:lang w:val="en-US"/>
        </w:rPr>
        <w:tab/>
        <w:t>to promote the development of technical facilities and their most efficient operation with a view to improving the efficiency of telecommunication services, increasing their usefulness and making them, so far as possible, generally available to the public;</w:t>
      </w:r>
    </w:p>
    <w:p w:rsidR="0022373A" w:rsidRPr="001C2A98" w:rsidRDefault="0022373A" w:rsidP="00035CC0">
      <w:pPr>
        <w:pStyle w:val="enumlev1"/>
        <w:jc w:val="both"/>
        <w:rPr>
          <w:b/>
          <w:lang w:val="en-US"/>
        </w:rPr>
      </w:pPr>
      <w:r w:rsidRPr="001C2A98">
        <w:rPr>
          <w:lang w:val="en-US"/>
        </w:rPr>
        <w:t>–</w:t>
      </w:r>
      <w:r w:rsidRPr="001C2A98">
        <w:rPr>
          <w:lang w:val="en-US"/>
        </w:rPr>
        <w:tab/>
        <w:t>to promote the extension of the benefits of the new telecommunication technologies to all the world</w:t>
      </w:r>
      <w:r w:rsidR="007A552E">
        <w:rPr>
          <w:lang w:val="en-US"/>
        </w:rPr>
        <w:t>’</w:t>
      </w:r>
      <w:r w:rsidRPr="001C2A98">
        <w:rPr>
          <w:lang w:val="en-US"/>
        </w:rPr>
        <w:t>s inhabitants;</w:t>
      </w:r>
    </w:p>
    <w:p w:rsidR="0022373A" w:rsidRPr="001C2A98" w:rsidRDefault="0022373A" w:rsidP="005C41A5">
      <w:pPr>
        <w:pStyle w:val="enumlev1"/>
        <w:jc w:val="both"/>
        <w:rPr>
          <w:b/>
          <w:lang w:val="en-US"/>
        </w:rPr>
      </w:pPr>
      <w:r w:rsidRPr="001C2A98">
        <w:rPr>
          <w:lang w:val="en-US"/>
        </w:rPr>
        <w:t>–</w:t>
      </w:r>
      <w:r w:rsidRPr="001C2A98">
        <w:rPr>
          <w:lang w:val="en-US"/>
        </w:rPr>
        <w:tab/>
        <w:t>to promote the use of telecommunication services with the objective of facilitating peaceful relations;</w:t>
      </w:r>
    </w:p>
    <w:p w:rsidR="0022373A" w:rsidRPr="001C2A98" w:rsidRDefault="0022373A" w:rsidP="001F0C93">
      <w:pPr>
        <w:pStyle w:val="enumlev1"/>
        <w:jc w:val="both"/>
        <w:rPr>
          <w:b/>
          <w:lang w:val="en-US"/>
        </w:rPr>
      </w:pPr>
      <w:r w:rsidRPr="001C2A98">
        <w:rPr>
          <w:lang w:val="en-US"/>
        </w:rPr>
        <w:t>–</w:t>
      </w:r>
      <w:r w:rsidRPr="001C2A98">
        <w:rPr>
          <w:lang w:val="en-US"/>
        </w:rPr>
        <w:tab/>
        <w:t>to harmonize the actions of Member States and promote fruitful and constructive cooperation and partnership between Member States and Sector Members in the attainment of those ends;</w:t>
      </w:r>
    </w:p>
    <w:p w:rsidR="0022373A" w:rsidRPr="001C2A98" w:rsidRDefault="0022373A" w:rsidP="005C41A5">
      <w:pPr>
        <w:pStyle w:val="enumlev1"/>
        <w:jc w:val="both"/>
        <w:rPr>
          <w:b/>
          <w:lang w:val="en-US"/>
        </w:rPr>
      </w:pPr>
      <w:r w:rsidRPr="001C2A98">
        <w:rPr>
          <w:lang w:val="en-US"/>
        </w:rPr>
        <w:t>–</w:t>
      </w:r>
      <w:r w:rsidRPr="001C2A98">
        <w:rPr>
          <w:lang w:val="en-US"/>
        </w:rPr>
        <w:tab/>
        <w:t>to promote, at the international level, the adoption of a broader approach to the issues of telecommunications in the global information economy and society, by cooperating with other world and regional intergovernmental organizations and those non</w:t>
      </w:r>
      <w:r w:rsidRPr="001C2A98">
        <w:rPr>
          <w:lang w:val="en-US"/>
        </w:rPr>
        <w:noBreakHyphen/>
        <w:t>governmental organizations concerned with telecommunications.</w:t>
      </w:r>
    </w:p>
    <w:p w:rsidR="0022373A" w:rsidRPr="001C2A98" w:rsidRDefault="0022373A">
      <w:pPr>
        <w:spacing w:after="120"/>
        <w:jc w:val="both"/>
        <w:rPr>
          <w:lang w:val="en-US"/>
        </w:rPr>
      </w:pPr>
      <w:r w:rsidRPr="001C2A98">
        <w:rPr>
          <w:lang w:val="en-US"/>
        </w:rPr>
        <w:t xml:space="preserve">To this end, the Union shall in particular: </w:t>
      </w:r>
    </w:p>
    <w:p w:rsidR="0022373A" w:rsidRPr="001C2A98" w:rsidRDefault="0022373A" w:rsidP="005C41A5">
      <w:pPr>
        <w:pStyle w:val="enumlev1"/>
        <w:jc w:val="both"/>
        <w:rPr>
          <w:b/>
          <w:lang w:val="en-US"/>
        </w:rPr>
      </w:pPr>
      <w:r w:rsidRPr="001C2A98">
        <w:rPr>
          <w:lang w:val="en-US"/>
        </w:rPr>
        <w:t>–</w:t>
      </w:r>
      <w:r w:rsidRPr="001C2A98">
        <w:rPr>
          <w:lang w:val="en-US"/>
        </w:rPr>
        <w:tab/>
        <w:t>effect allocation of bands of the radio-frequency spectrum, the allotment of radio frequencies and the registration of radio-frequency assignments and, for space services, of any associated orbital position in the geostationary-satellite orbit or of any associated characteristics of satellites in other orbits, in order to avoid harmful interference between radio stations of different countries</w:t>
      </w:r>
      <w:r w:rsidRPr="001C2A98">
        <w:rPr>
          <w:spacing w:val="-2"/>
          <w:lang w:val="en-US"/>
        </w:rPr>
        <w:t>;</w:t>
      </w:r>
    </w:p>
    <w:p w:rsidR="009618C6" w:rsidRDefault="0022373A" w:rsidP="005C41A5">
      <w:pPr>
        <w:pStyle w:val="enumlev1"/>
        <w:jc w:val="both"/>
        <w:rPr>
          <w:lang w:val="en-US"/>
        </w:rPr>
      </w:pPr>
      <w:r w:rsidRPr="001C2A98">
        <w:rPr>
          <w:lang w:val="en-US"/>
        </w:rPr>
        <w:t>–</w:t>
      </w:r>
      <w:r w:rsidRPr="001C2A98">
        <w:rPr>
          <w:lang w:val="en-US"/>
        </w:rPr>
        <w:tab/>
        <w:t xml:space="preserve">coordinate efforts to eliminate harmful interference between radio stations of different countries and to improve the use made of the radio-frequency spectrum for </w:t>
      </w:r>
      <w:proofErr w:type="spellStart"/>
      <w:r w:rsidRPr="001C2A98">
        <w:rPr>
          <w:lang w:val="en-US"/>
        </w:rPr>
        <w:t>radiocommunication</w:t>
      </w:r>
      <w:proofErr w:type="spellEnd"/>
      <w:r w:rsidRPr="001C2A98">
        <w:rPr>
          <w:lang w:val="en-US"/>
        </w:rPr>
        <w:t xml:space="preserve"> services and of the geostationary-satellite and other satellite orbits;</w:t>
      </w:r>
    </w:p>
    <w:p w:rsidR="0022373A" w:rsidRPr="001C2A98" w:rsidRDefault="0022373A" w:rsidP="005C41A5">
      <w:pPr>
        <w:pStyle w:val="enumlev1"/>
        <w:jc w:val="both"/>
        <w:rPr>
          <w:b/>
          <w:lang w:val="en-US"/>
        </w:rPr>
      </w:pPr>
      <w:r w:rsidRPr="001C2A98">
        <w:rPr>
          <w:lang w:val="en-US"/>
        </w:rPr>
        <w:t>–</w:t>
      </w:r>
      <w:r w:rsidRPr="001C2A98">
        <w:rPr>
          <w:lang w:val="en-US"/>
        </w:rPr>
        <w:tab/>
        <w:t>facilitate the worldwide standardization of telecommunications, with a satisfactory quality of service;</w:t>
      </w:r>
    </w:p>
    <w:p w:rsidR="0022373A" w:rsidRPr="001C2A98" w:rsidRDefault="0022373A" w:rsidP="00C401DA">
      <w:pPr>
        <w:pStyle w:val="enumlev1"/>
        <w:jc w:val="both"/>
        <w:rPr>
          <w:b/>
          <w:lang w:val="en-US"/>
        </w:rPr>
      </w:pPr>
      <w:r w:rsidRPr="001C2A98">
        <w:rPr>
          <w:lang w:val="en-US"/>
        </w:rPr>
        <w:t>–</w:t>
      </w:r>
      <w:r w:rsidRPr="001C2A98">
        <w:rPr>
          <w:lang w:val="en-US"/>
        </w:rPr>
        <w:tab/>
        <w:t>foster international cooperation and solidarity in the delivery of technical assistance to the developing countries and the creation, development and improvement of telecommunication equipment and networks in developing countries by every means at its dis</w:t>
      </w:r>
      <w:r w:rsidRPr="001C2A98">
        <w:rPr>
          <w:lang w:val="en-US"/>
        </w:rPr>
        <w:softHyphen/>
        <w:t>posal, including</w:t>
      </w:r>
      <w:r w:rsidR="00C401DA">
        <w:rPr>
          <w:lang w:val="en-US"/>
        </w:rPr>
        <w:t xml:space="preserve"> </w:t>
      </w:r>
      <w:r w:rsidRPr="001C2A98">
        <w:rPr>
          <w:lang w:val="en-US"/>
        </w:rPr>
        <w:t xml:space="preserve">through its participation in the relevant </w:t>
      </w:r>
      <w:proofErr w:type="spellStart"/>
      <w:r w:rsidRPr="001C2A98">
        <w:rPr>
          <w:lang w:val="en-US"/>
        </w:rPr>
        <w:t>programmes</w:t>
      </w:r>
      <w:proofErr w:type="spellEnd"/>
      <w:r w:rsidRPr="001C2A98">
        <w:rPr>
          <w:lang w:val="en-US"/>
        </w:rPr>
        <w:t xml:space="preserve"> of the United Nations and the use of its own resources, as appropriate;</w:t>
      </w:r>
    </w:p>
    <w:p w:rsidR="0022373A" w:rsidRPr="001C2A98" w:rsidRDefault="0022373A" w:rsidP="005C41A5">
      <w:pPr>
        <w:pStyle w:val="enumlev1"/>
        <w:jc w:val="both"/>
        <w:rPr>
          <w:b/>
          <w:lang w:val="en-US"/>
        </w:rPr>
      </w:pPr>
      <w:r w:rsidRPr="001C2A98">
        <w:rPr>
          <w:lang w:val="en-US"/>
        </w:rPr>
        <w:t>–</w:t>
      </w:r>
      <w:r w:rsidRPr="001C2A98">
        <w:rPr>
          <w:lang w:val="en-US"/>
        </w:rPr>
        <w:tab/>
        <w:t>coordinate efforts to harmonize the development of telecom</w:t>
      </w:r>
      <w:r w:rsidRPr="001C2A98">
        <w:rPr>
          <w:lang w:val="en-US"/>
        </w:rPr>
        <w:softHyphen/>
        <w:t xml:space="preserve">munication facilities, notably those using space techniques, with a view to full advantage being taken of their possibilities; </w:t>
      </w:r>
    </w:p>
    <w:p w:rsidR="0022373A" w:rsidRPr="001C2A98" w:rsidRDefault="0022373A" w:rsidP="005C41A5">
      <w:pPr>
        <w:pStyle w:val="enumlev1"/>
        <w:jc w:val="both"/>
        <w:rPr>
          <w:b/>
          <w:lang w:val="en-US"/>
        </w:rPr>
      </w:pPr>
      <w:r w:rsidRPr="001C2A98">
        <w:rPr>
          <w:lang w:val="en-US"/>
        </w:rPr>
        <w:t>–</w:t>
      </w:r>
      <w:r w:rsidRPr="001C2A98">
        <w:rPr>
          <w:lang w:val="en-US"/>
        </w:rPr>
        <w:tab/>
        <w:t xml:space="preserve">foster collaboration among Member States and Sector Members with a view to the establishment of rates at levels as low as possible consistent with an efficient service and taking into account the necessity for maintaining independent financial administration of telecommunications on a sound basis; </w:t>
      </w:r>
    </w:p>
    <w:p w:rsidR="0022373A" w:rsidRPr="001C2A98" w:rsidRDefault="0022373A" w:rsidP="005C41A5">
      <w:pPr>
        <w:pStyle w:val="enumlev1"/>
        <w:jc w:val="both"/>
        <w:rPr>
          <w:b/>
          <w:lang w:val="en-US"/>
        </w:rPr>
      </w:pPr>
      <w:r w:rsidRPr="001C2A98">
        <w:rPr>
          <w:lang w:val="en-US"/>
        </w:rPr>
        <w:t>–</w:t>
      </w:r>
      <w:r w:rsidRPr="001C2A98">
        <w:rPr>
          <w:lang w:val="en-US"/>
        </w:rPr>
        <w:tab/>
        <w:t>promote the adoption of measures for ensuring the safety of life through the cooperation of telecommunication services;</w:t>
      </w:r>
    </w:p>
    <w:p w:rsidR="0022373A" w:rsidRPr="001C2A98" w:rsidRDefault="0022373A" w:rsidP="005C41A5">
      <w:pPr>
        <w:pStyle w:val="enumlev1"/>
        <w:jc w:val="both"/>
        <w:rPr>
          <w:b/>
          <w:lang w:val="en-US"/>
        </w:rPr>
      </w:pPr>
      <w:r w:rsidRPr="001C2A98">
        <w:rPr>
          <w:lang w:val="en-US"/>
        </w:rPr>
        <w:t>–</w:t>
      </w:r>
      <w:r w:rsidRPr="001C2A98">
        <w:rPr>
          <w:lang w:val="en-US"/>
        </w:rPr>
        <w:tab/>
        <w:t>undertake studies, make regulations, adopt resolutions, formulate recommendations and opinions, and collect and publish informa</w:t>
      </w:r>
      <w:r w:rsidRPr="001C2A98">
        <w:rPr>
          <w:lang w:val="en-US"/>
        </w:rPr>
        <w:softHyphen/>
        <w:t>tion concerning telecommunication matters;</w:t>
      </w:r>
    </w:p>
    <w:p w:rsidR="0022373A" w:rsidRPr="001C2A98" w:rsidRDefault="0022373A" w:rsidP="005C41A5">
      <w:pPr>
        <w:pStyle w:val="enumlev1"/>
        <w:jc w:val="both"/>
        <w:rPr>
          <w:b/>
          <w:lang w:val="en-US"/>
        </w:rPr>
      </w:pPr>
      <w:r w:rsidRPr="001C2A98">
        <w:rPr>
          <w:lang w:val="en-US"/>
        </w:rPr>
        <w:t>–</w:t>
      </w:r>
      <w:r w:rsidRPr="001C2A98">
        <w:rPr>
          <w:lang w:val="en-US"/>
        </w:rPr>
        <w:tab/>
        <w:t xml:space="preserve">promote, with international financial and development organizations, the establishment of preferential and </w:t>
      </w:r>
      <w:r w:rsidR="003D3F53" w:rsidRPr="001C2A98">
        <w:rPr>
          <w:lang w:val="en-US"/>
        </w:rPr>
        <w:t>favorable</w:t>
      </w:r>
      <w:r w:rsidRPr="001C2A98">
        <w:rPr>
          <w:lang w:val="en-US"/>
        </w:rPr>
        <w:t xml:space="preserve"> lines of credit to be used for the development of social projects aimed, </w:t>
      </w:r>
      <w:r w:rsidRPr="001C2A98">
        <w:rPr>
          <w:i/>
          <w:iCs/>
          <w:lang w:val="en-US"/>
        </w:rPr>
        <w:t>inter alia</w:t>
      </w:r>
      <w:r w:rsidRPr="001C2A98">
        <w:rPr>
          <w:lang w:val="en-US"/>
        </w:rPr>
        <w:t>, at extending telecommunication services to the most isolated areas in countries;</w:t>
      </w:r>
    </w:p>
    <w:p w:rsidR="0022373A" w:rsidRPr="001C2A98" w:rsidRDefault="0022373A" w:rsidP="005C41A5">
      <w:pPr>
        <w:pStyle w:val="enumlev1"/>
        <w:jc w:val="both"/>
        <w:rPr>
          <w:b/>
          <w:lang w:val="en-US"/>
        </w:rPr>
      </w:pPr>
      <w:r w:rsidRPr="001C2A98">
        <w:rPr>
          <w:lang w:val="en-US"/>
        </w:rPr>
        <w:t>–</w:t>
      </w:r>
      <w:r w:rsidRPr="001C2A98">
        <w:rPr>
          <w:lang w:val="en-US"/>
        </w:rPr>
        <w:tab/>
        <w:t xml:space="preserve">promote participation of concerned entities in the activities of the Union and cooperation with regional and other organizations for the </w:t>
      </w:r>
      <w:r w:rsidR="003D3F53" w:rsidRPr="001C2A98">
        <w:rPr>
          <w:lang w:val="en-US"/>
        </w:rPr>
        <w:t>fulfillment</w:t>
      </w:r>
      <w:r w:rsidRPr="001C2A98">
        <w:rPr>
          <w:lang w:val="en-US"/>
        </w:rPr>
        <w:t xml:space="preserve"> of the purposes of the Union.</w:t>
      </w:r>
    </w:p>
    <w:p w:rsidR="0022373A" w:rsidRPr="001C2A98" w:rsidRDefault="0022373A" w:rsidP="005C41A5">
      <w:pPr>
        <w:jc w:val="both"/>
        <w:rPr>
          <w:lang w:val="en-US"/>
        </w:rPr>
      </w:pPr>
      <w:r w:rsidRPr="001C2A98">
        <w:rPr>
          <w:lang w:val="en-US"/>
        </w:rPr>
        <w:t>The Plenipotentiary Conference is ITU</w:t>
      </w:r>
      <w:r w:rsidR="007A552E">
        <w:rPr>
          <w:lang w:val="en-US"/>
        </w:rPr>
        <w:t>’</w:t>
      </w:r>
      <w:r w:rsidRPr="001C2A98">
        <w:rPr>
          <w:lang w:val="en-US"/>
        </w:rPr>
        <w:t xml:space="preserve">s supreme organ. </w:t>
      </w:r>
      <w:r w:rsidRPr="001C2A98">
        <w:rPr>
          <w:bCs/>
          <w:lang w:val="en-US"/>
        </w:rPr>
        <w:t>Convened every four years, the conference</w:t>
      </w:r>
      <w:r w:rsidRPr="001C2A98">
        <w:rPr>
          <w:lang w:val="en-US"/>
        </w:rPr>
        <w:t>:</w:t>
      </w:r>
    </w:p>
    <w:p w:rsidR="0022373A" w:rsidRPr="001C2A98" w:rsidRDefault="0022373A" w:rsidP="005C41A5">
      <w:pPr>
        <w:pStyle w:val="enumlev1"/>
        <w:jc w:val="both"/>
        <w:rPr>
          <w:b/>
          <w:lang w:val="en-US"/>
        </w:rPr>
      </w:pPr>
      <w:r w:rsidRPr="001C2A98">
        <w:rPr>
          <w:lang w:val="en-US"/>
        </w:rPr>
        <w:t>•</w:t>
      </w:r>
      <w:r w:rsidRPr="001C2A98">
        <w:rPr>
          <w:lang w:val="en-US"/>
        </w:rPr>
        <w:tab/>
        <w:t>determines the Union</w:t>
      </w:r>
      <w:r w:rsidR="007A552E">
        <w:rPr>
          <w:lang w:val="en-US"/>
        </w:rPr>
        <w:t>’</w:t>
      </w:r>
      <w:r w:rsidRPr="001C2A98">
        <w:rPr>
          <w:lang w:val="en-US"/>
        </w:rPr>
        <w:t>s general policies;</w:t>
      </w:r>
    </w:p>
    <w:p w:rsidR="0022373A" w:rsidRPr="001C2A98" w:rsidRDefault="0022373A" w:rsidP="005C41A5">
      <w:pPr>
        <w:pStyle w:val="enumlev1"/>
        <w:jc w:val="both"/>
        <w:rPr>
          <w:b/>
          <w:lang w:val="en-US"/>
        </w:rPr>
      </w:pPr>
      <w:r w:rsidRPr="001C2A98">
        <w:rPr>
          <w:lang w:val="en-US"/>
        </w:rPr>
        <w:t>•</w:t>
      </w:r>
      <w:r w:rsidRPr="001C2A98">
        <w:rPr>
          <w:lang w:val="en-US"/>
        </w:rPr>
        <w:tab/>
        <w:t>adopts four-year strategic and financial plans;</w:t>
      </w:r>
    </w:p>
    <w:p w:rsidR="0022373A" w:rsidRPr="001C2A98" w:rsidRDefault="0022373A" w:rsidP="005C41A5">
      <w:pPr>
        <w:pStyle w:val="enumlev1"/>
        <w:jc w:val="both"/>
        <w:rPr>
          <w:b/>
          <w:lang w:val="en-US"/>
        </w:rPr>
      </w:pPr>
      <w:r w:rsidRPr="001C2A98">
        <w:rPr>
          <w:lang w:val="en-US"/>
        </w:rPr>
        <w:t>•</w:t>
      </w:r>
      <w:r w:rsidRPr="001C2A98">
        <w:rPr>
          <w:lang w:val="en-US"/>
        </w:rPr>
        <w:tab/>
        <w:t xml:space="preserve">elects the senior management team of the organization, Member States of the </w:t>
      </w:r>
      <w:hyperlink r:id="rId40" w:history="1">
        <w:r w:rsidR="00667DC9">
          <w:rPr>
            <w:rStyle w:val="Hyperlink"/>
            <w:lang w:val="en-US"/>
          </w:rPr>
          <w:t>Council</w:t>
        </w:r>
      </w:hyperlink>
      <w:r w:rsidR="00667DC9" w:rsidRPr="00667DC9">
        <w:rPr>
          <w:lang w:val="en-US"/>
        </w:rPr>
        <w:t xml:space="preserve"> </w:t>
      </w:r>
      <w:r w:rsidRPr="001C2A98">
        <w:rPr>
          <w:lang w:val="en-US"/>
        </w:rPr>
        <w:t xml:space="preserve">and members of the </w:t>
      </w:r>
      <w:hyperlink r:id="rId41" w:history="1">
        <w:r w:rsidR="00667DC9">
          <w:rPr>
            <w:rStyle w:val="Hyperlink"/>
            <w:lang w:val="en-US"/>
          </w:rPr>
          <w:t>Radio Regulations Board</w:t>
        </w:r>
      </w:hyperlink>
      <w:r w:rsidRPr="001C2A98">
        <w:rPr>
          <w:lang w:val="en-US"/>
        </w:rPr>
        <w:t>.</w:t>
      </w:r>
    </w:p>
    <w:p w:rsidR="0022373A" w:rsidRPr="001C2A98" w:rsidRDefault="0022373A" w:rsidP="005C41A5">
      <w:pPr>
        <w:jc w:val="both"/>
        <w:rPr>
          <w:b/>
          <w:lang w:val="en-US"/>
        </w:rPr>
      </w:pPr>
      <w:r w:rsidRPr="001C2A98">
        <w:rPr>
          <w:lang w:val="en-US"/>
        </w:rPr>
        <w:t>The Plenipotentiary Conference is the key event at which ITU Member States decide on the future role of the organization, thereby determining the organization</w:t>
      </w:r>
      <w:r w:rsidR="007A552E">
        <w:rPr>
          <w:lang w:val="en-US"/>
        </w:rPr>
        <w:t>’</w:t>
      </w:r>
      <w:r w:rsidRPr="001C2A98">
        <w:rPr>
          <w:lang w:val="en-US"/>
        </w:rPr>
        <w:t>s ability to influence and affect the development of ICTs worldwide.</w:t>
      </w:r>
    </w:p>
    <w:p w:rsidR="009618C6" w:rsidRDefault="0022373A" w:rsidP="005C41A5">
      <w:pPr>
        <w:jc w:val="both"/>
        <w:rPr>
          <w:lang w:val="en-US"/>
        </w:rPr>
      </w:pPr>
      <w:r w:rsidRPr="001C2A98">
        <w:rPr>
          <w:lang w:val="en-US"/>
        </w:rPr>
        <w:t>Sector Members, regional telecommunication organizations and intergovernmental organizations, as well as the United Nations and its specialized agencies, likewise participate in the conference as observers.</w:t>
      </w:r>
    </w:p>
    <w:p w:rsidR="0022373A" w:rsidRPr="001C2A98" w:rsidRDefault="00F34118" w:rsidP="00451977">
      <w:pPr>
        <w:pStyle w:val="Heading5"/>
        <w:jc w:val="both"/>
        <w:rPr>
          <w:lang w:val="en-US"/>
        </w:rPr>
      </w:pPr>
      <w:bookmarkStart w:id="32" w:name="_Toc305764063"/>
      <w:bookmarkStart w:id="33" w:name="_Toc329011611"/>
      <w:r>
        <w:rPr>
          <w:lang w:val="en-US"/>
        </w:rPr>
        <w:t xml:space="preserve">Note </w:t>
      </w:r>
      <w:r w:rsidR="00451977">
        <w:rPr>
          <w:lang w:val="en-US"/>
        </w:rPr>
        <w:t>2</w:t>
      </w:r>
      <w:r w:rsidR="0022373A" w:rsidRPr="001C2A98">
        <w:rPr>
          <w:lang w:val="en-US"/>
        </w:rPr>
        <w:tab/>
        <w:t>Main accounting principles</w:t>
      </w:r>
      <w:bookmarkEnd w:id="32"/>
      <w:bookmarkEnd w:id="33"/>
    </w:p>
    <w:p w:rsidR="0022373A" w:rsidRPr="00F46632" w:rsidRDefault="0022373A" w:rsidP="005C41A5">
      <w:pPr>
        <w:pStyle w:val="Heading5"/>
        <w:jc w:val="both"/>
        <w:rPr>
          <w:u w:val="single"/>
          <w:lang w:val="en-US"/>
        </w:rPr>
      </w:pPr>
      <w:bookmarkStart w:id="34" w:name="_Toc305764064"/>
      <w:bookmarkStart w:id="35" w:name="_Toc329011612"/>
      <w:r w:rsidRPr="00F46632">
        <w:rPr>
          <w:u w:val="single"/>
          <w:lang w:val="en-US"/>
        </w:rPr>
        <w:t>Foreign currencies</w:t>
      </w:r>
      <w:bookmarkEnd w:id="34"/>
      <w:bookmarkEnd w:id="35"/>
    </w:p>
    <w:p w:rsidR="0022373A" w:rsidRPr="001C2A98" w:rsidRDefault="0022373A" w:rsidP="005C41A5">
      <w:pPr>
        <w:jc w:val="both"/>
        <w:rPr>
          <w:lang w:val="en-US"/>
        </w:rPr>
      </w:pPr>
      <w:r w:rsidRPr="001C2A98">
        <w:rPr>
          <w:lang w:val="en-US"/>
        </w:rPr>
        <w:t>The Swiss franc (CHF) is ITU</w:t>
      </w:r>
      <w:r w:rsidR="007A552E">
        <w:rPr>
          <w:lang w:val="en-US"/>
        </w:rPr>
        <w:t>’</w:t>
      </w:r>
      <w:r w:rsidRPr="001C2A98">
        <w:rPr>
          <w:lang w:val="en-US"/>
        </w:rPr>
        <w:t>s functional currency and the one used in the presentation of the financial statements.</w:t>
      </w:r>
    </w:p>
    <w:p w:rsidR="00AF3040" w:rsidRDefault="0022373A" w:rsidP="000536EE">
      <w:pPr>
        <w:jc w:val="both"/>
        <w:rPr>
          <w:lang w:val="en-US"/>
        </w:rPr>
      </w:pPr>
      <w:r w:rsidRPr="001C2A98">
        <w:rPr>
          <w:lang w:val="en-US"/>
        </w:rPr>
        <w:t xml:space="preserve">Transactions in currencies other than the Swiss franc are converted into Swiss </w:t>
      </w:r>
      <w:r w:rsidR="000536EE">
        <w:rPr>
          <w:lang w:val="en-US"/>
        </w:rPr>
        <w:t>F</w:t>
      </w:r>
      <w:r w:rsidRPr="001C2A98">
        <w:rPr>
          <w:lang w:val="en-US"/>
        </w:rPr>
        <w:t>rancs at the United Nations operational rate of exchange (UNORE) at the date of the transaction. Monetary assets and</w:t>
      </w:r>
      <w:r w:rsidR="00AF3040">
        <w:rPr>
          <w:lang w:val="en-US"/>
        </w:rPr>
        <w:t xml:space="preserve"> </w:t>
      </w:r>
      <w:r w:rsidRPr="001C2A98">
        <w:rPr>
          <w:lang w:val="en-US"/>
        </w:rPr>
        <w:t xml:space="preserve">commitments denominated in foreign currencies are converted into Swiss </w:t>
      </w:r>
      <w:r w:rsidR="000536EE">
        <w:rPr>
          <w:lang w:val="en-US"/>
        </w:rPr>
        <w:t>F</w:t>
      </w:r>
      <w:r w:rsidRPr="001C2A98">
        <w:rPr>
          <w:lang w:val="en-US"/>
        </w:rPr>
        <w:t>rancs at the UNORE rate of exchange in force at the date of closure of the financial period. Exchange-rate losses and gains, realized or unrealized, resulting from the settlement of such transactions and from conversion of the assets and commitments denominated in foreign currencies at the date of closure are recorded in the statement of financial performance. ITU applies the UNORE communicated by the United Nations, as follows:</w:t>
      </w:r>
    </w:p>
    <w:p w:rsidR="0022373A" w:rsidRPr="001C2A98" w:rsidRDefault="0022373A" w:rsidP="00234E5C">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5A7EFF" w:rsidRPr="005A7EFF" w:rsidRDefault="00500933" w:rsidP="0039523B">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bookmarkStart w:id="36" w:name="_Toc305764065"/>
      <w:bookmarkStart w:id="37" w:name="_Toc329011613"/>
      <w:r w:rsidRPr="00500933">
        <w:rPr>
          <w:noProof/>
          <w:lang w:eastAsia="zh-CN"/>
        </w:rPr>
        <w:drawing>
          <wp:inline distT="0" distB="0" distL="0" distR="0" wp14:anchorId="4D9CA3CE" wp14:editId="0D44E484">
            <wp:extent cx="3124200" cy="30289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24200" cy="3028950"/>
                    </a:xfrm>
                    <a:prstGeom prst="rect">
                      <a:avLst/>
                    </a:prstGeom>
                    <a:noFill/>
                    <a:ln>
                      <a:noFill/>
                    </a:ln>
                  </pic:spPr>
                </pic:pic>
              </a:graphicData>
            </a:graphic>
          </wp:inline>
        </w:drawing>
      </w:r>
    </w:p>
    <w:p w:rsidR="0039523B" w:rsidRDefault="0039523B" w:rsidP="00E914D7">
      <w:pPr>
        <w:tabs>
          <w:tab w:val="clear" w:pos="567"/>
          <w:tab w:val="clear" w:pos="1134"/>
          <w:tab w:val="clear" w:pos="1701"/>
          <w:tab w:val="clear" w:pos="2268"/>
          <w:tab w:val="clear" w:pos="2835"/>
        </w:tabs>
        <w:overflowPunct/>
        <w:autoSpaceDE/>
        <w:autoSpaceDN/>
        <w:adjustRightInd/>
        <w:spacing w:before="0"/>
        <w:textAlignment w:val="auto"/>
        <w:rPr>
          <w:b/>
          <w:bCs/>
          <w:u w:val="single"/>
          <w:lang w:val="en-US"/>
        </w:rPr>
      </w:pPr>
    </w:p>
    <w:p w:rsidR="00883297" w:rsidRDefault="00883297" w:rsidP="00D20740">
      <w:pPr>
        <w:tabs>
          <w:tab w:val="clear" w:pos="567"/>
          <w:tab w:val="clear" w:pos="1134"/>
          <w:tab w:val="clear" w:pos="1701"/>
          <w:tab w:val="clear" w:pos="2268"/>
          <w:tab w:val="clear" w:pos="2835"/>
        </w:tabs>
        <w:overflowPunct/>
        <w:autoSpaceDE/>
        <w:autoSpaceDN/>
        <w:adjustRightInd/>
        <w:spacing w:before="0" w:after="200"/>
        <w:textAlignment w:val="auto"/>
        <w:rPr>
          <w:b/>
          <w:bCs/>
          <w:u w:val="single"/>
          <w:lang w:val="en-US"/>
        </w:rPr>
      </w:pPr>
      <w:r>
        <w:rPr>
          <w:b/>
          <w:bCs/>
          <w:u w:val="single"/>
          <w:lang w:val="en-US"/>
        </w:rPr>
        <w:t>Financial instruments</w:t>
      </w:r>
    </w:p>
    <w:p w:rsidR="00883297" w:rsidRPr="00883297" w:rsidRDefault="00883297" w:rsidP="00E914D7">
      <w:pPr>
        <w:spacing w:before="0"/>
        <w:jc w:val="both"/>
        <w:rPr>
          <w:lang w:val="en-US"/>
        </w:rPr>
      </w:pPr>
      <w:r w:rsidRPr="00883297">
        <w:rPr>
          <w:lang w:val="en-US"/>
        </w:rPr>
        <w:t>ITU</w:t>
      </w:r>
      <w:r w:rsidR="007A552E">
        <w:rPr>
          <w:lang w:val="en-US"/>
        </w:rPr>
        <w:t>’</w:t>
      </w:r>
      <w:r w:rsidRPr="00883297">
        <w:rPr>
          <w:lang w:val="en-US"/>
        </w:rPr>
        <w:t>s financial instrument</w:t>
      </w:r>
      <w:r w:rsidR="003E3A58">
        <w:rPr>
          <w:lang w:val="en-US"/>
        </w:rPr>
        <w:t>s</w:t>
      </w:r>
      <w:r w:rsidRPr="00883297">
        <w:rPr>
          <w:lang w:val="en-US"/>
        </w:rPr>
        <w:t xml:space="preserve"> includ</w:t>
      </w:r>
      <w:r>
        <w:rPr>
          <w:lang w:val="en-US"/>
        </w:rPr>
        <w:t>e: cash and short term deposits,</w:t>
      </w:r>
      <w:r w:rsidRPr="00883297">
        <w:rPr>
          <w:lang w:val="en-US"/>
        </w:rPr>
        <w:t xml:space="preserve"> investments</w:t>
      </w:r>
      <w:r>
        <w:rPr>
          <w:lang w:val="en-US"/>
        </w:rPr>
        <w:t>, receivable from exchange and from non-exchange transactions, trade payable, bank overdrafts, loans and borrowings.</w:t>
      </w:r>
    </w:p>
    <w:p w:rsidR="00AE0548" w:rsidRPr="00883297" w:rsidRDefault="00AE0548" w:rsidP="00231C39">
      <w:pPr>
        <w:jc w:val="both"/>
        <w:rPr>
          <w:u w:val="single"/>
          <w:lang w:val="en-US"/>
        </w:rPr>
      </w:pPr>
      <w:r w:rsidRPr="00883297">
        <w:rPr>
          <w:u w:val="single"/>
          <w:lang w:val="en-US"/>
        </w:rPr>
        <w:t>Cash and cash equivalents</w:t>
      </w:r>
    </w:p>
    <w:p w:rsidR="00AE0548" w:rsidRDefault="00AE0548" w:rsidP="00231C39">
      <w:pPr>
        <w:jc w:val="both"/>
        <w:rPr>
          <w:lang w:val="en-US"/>
        </w:rPr>
      </w:pPr>
      <w:r w:rsidRPr="001C2A98">
        <w:rPr>
          <w:lang w:val="en-US"/>
        </w:rPr>
        <w:t xml:space="preserve">Cash and cash equivalents </w:t>
      </w:r>
      <w:r>
        <w:rPr>
          <w:lang w:val="en-US"/>
        </w:rPr>
        <w:t xml:space="preserve">are held at nominal value and </w:t>
      </w:r>
      <w:r w:rsidRPr="001C2A98">
        <w:rPr>
          <w:lang w:val="en-US"/>
        </w:rPr>
        <w:t>comprise cash on hand, postal accounts, bank accounts and deposit accounts with the Swiss Confederation</w:t>
      </w:r>
      <w:r w:rsidR="007A552E">
        <w:rPr>
          <w:lang w:val="en-US"/>
        </w:rPr>
        <w:t>’</w:t>
      </w:r>
      <w:r w:rsidRPr="001C2A98">
        <w:rPr>
          <w:lang w:val="en-US"/>
        </w:rPr>
        <w:t>s Federal Department of Finance.</w:t>
      </w:r>
    </w:p>
    <w:bookmarkEnd w:id="36"/>
    <w:bookmarkEnd w:id="37"/>
    <w:p w:rsidR="0022373A" w:rsidRPr="00883297" w:rsidRDefault="006B4A57" w:rsidP="005C41A5">
      <w:pPr>
        <w:pStyle w:val="Heading5"/>
        <w:jc w:val="both"/>
        <w:rPr>
          <w:b w:val="0"/>
          <w:bCs/>
          <w:u w:val="single"/>
          <w:lang w:val="en-US"/>
        </w:rPr>
      </w:pPr>
      <w:r w:rsidRPr="00883297">
        <w:rPr>
          <w:b w:val="0"/>
          <w:bCs/>
          <w:u w:val="single"/>
          <w:lang w:val="en-US"/>
        </w:rPr>
        <w:t>Investments</w:t>
      </w:r>
    </w:p>
    <w:p w:rsidR="00883297" w:rsidRPr="00AE0548" w:rsidRDefault="00883297" w:rsidP="005C41A5">
      <w:pPr>
        <w:jc w:val="both"/>
        <w:rPr>
          <w:lang w:val="en-US"/>
        </w:rPr>
      </w:pPr>
      <w:r w:rsidRPr="00883297">
        <w:rPr>
          <w:lang w:val="en-US"/>
        </w:rPr>
        <w:t>Fixed-term deposits with a term of three to nine months that are highly liquid, convertible into a known cash amount and subject to a negligible risk of change in value are designated as financial assets at fair value through surplus or deficit</w:t>
      </w:r>
      <w:r>
        <w:rPr>
          <w:lang w:val="en-US"/>
        </w:rPr>
        <w:t xml:space="preserve"> at initial recognition</w:t>
      </w:r>
      <w:r w:rsidRPr="00883297">
        <w:rPr>
          <w:lang w:val="en-US"/>
        </w:rPr>
        <w:t>. Investment revenue is recognized on a quarterly basis on the basis of actual return.</w:t>
      </w:r>
    </w:p>
    <w:p w:rsidR="002D54C6" w:rsidRPr="0065310A" w:rsidRDefault="006B4A57" w:rsidP="005C41A5">
      <w:pPr>
        <w:jc w:val="both"/>
        <w:rPr>
          <w:highlight w:val="yellow"/>
          <w:lang w:val="en-US"/>
        </w:rPr>
      </w:pPr>
      <w:r>
        <w:rPr>
          <w:lang w:val="en-US"/>
        </w:rPr>
        <w:t>Investments</w:t>
      </w:r>
      <w:r w:rsidR="0022373A" w:rsidRPr="00AE0548">
        <w:rPr>
          <w:lang w:val="en-US"/>
        </w:rPr>
        <w:t xml:space="preserve"> are </w:t>
      </w:r>
      <w:r w:rsidR="00AE0548" w:rsidRPr="00AE0548">
        <w:rPr>
          <w:lang w:val="en-US"/>
        </w:rPr>
        <w:t xml:space="preserve">initially recognized when ITU becomes a party to the contractual provisions of the instrument. </w:t>
      </w:r>
      <w:r>
        <w:rPr>
          <w:lang w:val="en-US"/>
        </w:rPr>
        <w:t>All purchase and sales of investments are recognized on the basis of their trade date. Investments</w:t>
      </w:r>
      <w:r w:rsidR="00AE0548" w:rsidRPr="00AE0548">
        <w:rPr>
          <w:lang w:val="en-US"/>
        </w:rPr>
        <w:t xml:space="preserve"> are </w:t>
      </w:r>
      <w:r w:rsidR="0022373A" w:rsidRPr="00AE0548">
        <w:rPr>
          <w:lang w:val="en-US"/>
        </w:rPr>
        <w:t>initially recognized at their fair value, taking into account any directly attributable tran</w:t>
      </w:r>
      <w:r>
        <w:rPr>
          <w:lang w:val="en-US"/>
        </w:rPr>
        <w:t>saction costs.</w:t>
      </w:r>
    </w:p>
    <w:p w:rsidR="0022373A" w:rsidRPr="00A91B6A" w:rsidRDefault="0022373A" w:rsidP="005C41A5">
      <w:pPr>
        <w:jc w:val="both"/>
      </w:pPr>
      <w:r w:rsidRPr="006B4A57">
        <w:t xml:space="preserve">Financial assets are </w:t>
      </w:r>
      <w:r w:rsidR="00A5229F" w:rsidRPr="006B4A57">
        <w:t>de</w:t>
      </w:r>
      <w:r w:rsidRPr="006B4A57">
        <w:t>recognized</w:t>
      </w:r>
      <w:r w:rsidR="00AE0548" w:rsidRPr="006B4A57">
        <w:t xml:space="preserve"> </w:t>
      </w:r>
      <w:r w:rsidRPr="006B4A57">
        <w:t xml:space="preserve">once ITU has transferred its rights to receive the cash flows from </w:t>
      </w:r>
      <w:r w:rsidRPr="00A91B6A">
        <w:t>the financial assets and the associated risks.</w:t>
      </w:r>
    </w:p>
    <w:p w:rsidR="00AE0548" w:rsidRPr="006B4A57" w:rsidRDefault="006B4A57" w:rsidP="003C0740">
      <w:pPr>
        <w:jc w:val="both"/>
        <w:rPr>
          <w:lang w:val="en-US"/>
        </w:rPr>
      </w:pPr>
      <w:r w:rsidRPr="00A91B6A">
        <w:rPr>
          <w:lang w:val="en-US"/>
        </w:rPr>
        <w:t>Investments</w:t>
      </w:r>
      <w:r w:rsidR="00AE0548" w:rsidRPr="00A91B6A">
        <w:rPr>
          <w:lang w:val="en-US"/>
        </w:rPr>
        <w:t xml:space="preserve"> are presented in the balance sheet as current or non-current assets and liabilities according to whether their due date is less than or more than one year away.</w:t>
      </w:r>
    </w:p>
    <w:p w:rsidR="006B4A57" w:rsidRDefault="006B4A57" w:rsidP="005C41A5">
      <w:pPr>
        <w:jc w:val="both"/>
        <w:rPr>
          <w:lang w:val="en-US"/>
        </w:rPr>
      </w:pPr>
      <w:r w:rsidRPr="00AE0548">
        <w:rPr>
          <w:lang w:val="en-US"/>
        </w:rPr>
        <w:t xml:space="preserve">The </w:t>
      </w:r>
      <w:proofErr w:type="spellStart"/>
      <w:r w:rsidRPr="00AE0548">
        <w:rPr>
          <w:lang w:val="en-US"/>
        </w:rPr>
        <w:t>derecognition</w:t>
      </w:r>
      <w:proofErr w:type="spellEnd"/>
      <w:r w:rsidRPr="00AE0548">
        <w:rPr>
          <w:lang w:val="en-US"/>
        </w:rPr>
        <w:t xml:space="preserve"> of financial instruments occurs when ITU</w:t>
      </w:r>
      <w:r w:rsidR="007A552E">
        <w:rPr>
          <w:lang w:val="en-US"/>
        </w:rPr>
        <w:t>’</w:t>
      </w:r>
      <w:r w:rsidRPr="00AE0548">
        <w:rPr>
          <w:lang w:val="en-US"/>
        </w:rPr>
        <w:t>s contractual rights to the cash flows from the financial asset expire or have been transferred and all risks and rewards of ownerships have been substantially transferred.</w:t>
      </w:r>
    </w:p>
    <w:p w:rsidR="00803257" w:rsidRDefault="00740787" w:rsidP="00EC715E">
      <w:pPr>
        <w:rPr>
          <w:u w:val="single"/>
          <w:lang w:val="en-US"/>
        </w:rPr>
      </w:pPr>
      <w:r>
        <w:rPr>
          <w:u w:val="single"/>
          <w:lang w:val="en-US"/>
        </w:rPr>
        <w:t>Other f</w:t>
      </w:r>
      <w:r w:rsidRPr="00740787">
        <w:rPr>
          <w:u w:val="single"/>
          <w:lang w:val="en-US"/>
        </w:rPr>
        <w:t>inancial liabilities</w:t>
      </w:r>
      <w:r w:rsidR="002D54C6">
        <w:rPr>
          <w:u w:val="single"/>
          <w:lang w:val="en-US"/>
        </w:rPr>
        <w:t xml:space="preserve"> and FIPOI loan</w:t>
      </w:r>
    </w:p>
    <w:p w:rsidR="00740787" w:rsidRPr="000D68BA" w:rsidRDefault="00740787" w:rsidP="00A027BD">
      <w:pPr>
        <w:jc w:val="both"/>
        <w:rPr>
          <w:lang w:val="en-US"/>
        </w:rPr>
      </w:pPr>
      <w:r w:rsidRPr="000D68BA">
        <w:rPr>
          <w:lang w:val="en-US"/>
        </w:rPr>
        <w:t xml:space="preserve">Other financial liabilities comprise borrowings, other financing, bank overdrafts, suppliers and trade </w:t>
      </w:r>
      <w:r w:rsidR="00883297" w:rsidRPr="000D68BA">
        <w:rPr>
          <w:lang w:val="en-US"/>
        </w:rPr>
        <w:t>payable</w:t>
      </w:r>
      <w:r w:rsidRPr="000D68BA">
        <w:rPr>
          <w:lang w:val="en-US"/>
        </w:rPr>
        <w:t>s. They are shown on the balance sheet as current or non-current liabilities according to whether they fall due in less than or more than one year.</w:t>
      </w:r>
    </w:p>
    <w:p w:rsidR="00740787" w:rsidRPr="005B53AF" w:rsidRDefault="00883297" w:rsidP="00A027BD">
      <w:pPr>
        <w:jc w:val="both"/>
        <w:rPr>
          <w:lang w:val="en-US"/>
        </w:rPr>
      </w:pPr>
      <w:r w:rsidRPr="005B53AF">
        <w:rPr>
          <w:lang w:val="en-US"/>
        </w:rPr>
        <w:t>Interest-bearing financial liabilities are subsequently valued at amortized cost using the effectiv</w:t>
      </w:r>
      <w:r w:rsidR="005B53AF" w:rsidRPr="005B53AF">
        <w:rPr>
          <w:lang w:val="en-US"/>
        </w:rPr>
        <w:t>e interest rate method</w:t>
      </w:r>
      <w:r w:rsidR="005B53AF">
        <w:rPr>
          <w:lang w:val="en-US"/>
        </w:rPr>
        <w:t xml:space="preserve"> </w:t>
      </w:r>
      <w:r w:rsidR="00740787" w:rsidRPr="005B53AF">
        <w:rPr>
          <w:lang w:val="en-US"/>
        </w:rPr>
        <w:t xml:space="preserve">with </w:t>
      </w:r>
      <w:r w:rsidR="0065310A" w:rsidRPr="005B53AF">
        <w:rPr>
          <w:lang w:val="en-US"/>
        </w:rPr>
        <w:t>t</w:t>
      </w:r>
      <w:r w:rsidR="00740787" w:rsidRPr="005B53AF">
        <w:rPr>
          <w:lang w:val="en-US"/>
        </w:rPr>
        <w:t xml:space="preserve">he exception of liabilities for which </w:t>
      </w:r>
      <w:r w:rsidR="003E3A58">
        <w:rPr>
          <w:lang w:val="en-US"/>
        </w:rPr>
        <w:t>t</w:t>
      </w:r>
      <w:r w:rsidR="00740787" w:rsidRPr="005B53AF">
        <w:rPr>
          <w:lang w:val="en-US"/>
        </w:rPr>
        <w:t>he recognition of interest would be immaterial.</w:t>
      </w:r>
    </w:p>
    <w:p w:rsidR="0065310A" w:rsidRPr="005B53AF" w:rsidRDefault="00740787" w:rsidP="00A027BD">
      <w:pPr>
        <w:jc w:val="both"/>
        <w:rPr>
          <w:lang w:val="en-US"/>
        </w:rPr>
      </w:pPr>
      <w:r w:rsidRPr="005B53AF">
        <w:rPr>
          <w:lang w:val="en-US"/>
        </w:rPr>
        <w:t>ITU borrowed capital from the Building Foundation for International Organizations (FIPOI) for the construction and renovation of its premises in Geneva. Those borrowings were originally subject to interest. However, the Federal Department of Foreign Affairs (DFAE) ceased charging interest as from 1996. ITU therefore has to reimburse only the principal.</w:t>
      </w:r>
    </w:p>
    <w:p w:rsidR="00740787" w:rsidRDefault="0065310A" w:rsidP="00230FA1">
      <w:pPr>
        <w:jc w:val="both"/>
        <w:rPr>
          <w:lang w:val="en-US"/>
        </w:rPr>
      </w:pPr>
      <w:r w:rsidRPr="005B53AF">
        <w:rPr>
          <w:lang w:val="en-US"/>
        </w:rPr>
        <w:t xml:space="preserve">The loan is measured at its amortized cost using </w:t>
      </w:r>
      <w:r w:rsidR="00740787" w:rsidRPr="005B53AF">
        <w:rPr>
          <w:lang w:val="en-US"/>
        </w:rPr>
        <w:t xml:space="preserve">a long-term interest rate of 3.25 per cent, which corresponds to the </w:t>
      </w:r>
      <w:r w:rsidR="00740787" w:rsidRPr="0076607B">
        <w:rPr>
          <w:lang w:val="en-US"/>
        </w:rPr>
        <w:t xml:space="preserve">interest rate associated with the loans granted by FIPOI but not charged. The difference between the nominal value and </w:t>
      </w:r>
      <w:r w:rsidRPr="0076607B">
        <w:rPr>
          <w:lang w:val="en-US"/>
        </w:rPr>
        <w:t>amortized cost</w:t>
      </w:r>
      <w:r w:rsidR="00740787" w:rsidRPr="0076607B">
        <w:rPr>
          <w:lang w:val="en-US"/>
        </w:rPr>
        <w:t xml:space="preserve"> represents an in-kind contrib</w:t>
      </w:r>
      <w:r w:rsidR="005B53AF" w:rsidRPr="0076607B">
        <w:rPr>
          <w:lang w:val="en-US"/>
        </w:rPr>
        <w:t xml:space="preserve">ution which, </w:t>
      </w:r>
      <w:r w:rsidR="0076607B" w:rsidRPr="0076607B">
        <w:rPr>
          <w:lang w:val="en-US"/>
        </w:rPr>
        <w:t xml:space="preserve">at 31 December </w:t>
      </w:r>
      <w:r w:rsidR="00111BDD">
        <w:rPr>
          <w:lang w:val="en-US"/>
        </w:rPr>
        <w:t>201</w:t>
      </w:r>
      <w:r w:rsidR="00BD5D98" w:rsidRPr="00230FA1">
        <w:rPr>
          <w:lang w:val="en-US"/>
        </w:rPr>
        <w:t>8</w:t>
      </w:r>
      <w:r w:rsidR="00740787" w:rsidRPr="00230FA1">
        <w:rPr>
          <w:lang w:val="en-US"/>
        </w:rPr>
        <w:t>, amou</w:t>
      </w:r>
      <w:r w:rsidR="0076607B" w:rsidRPr="00230FA1">
        <w:rPr>
          <w:lang w:val="en-US"/>
        </w:rPr>
        <w:t>nted to an overall sum of CHF 1</w:t>
      </w:r>
      <w:r w:rsidR="00230FA1" w:rsidRPr="00230FA1">
        <w:rPr>
          <w:lang w:val="en-US"/>
        </w:rPr>
        <w:t>4</w:t>
      </w:r>
      <w:r w:rsidR="008B6EC8" w:rsidRPr="00230FA1">
        <w:rPr>
          <w:lang w:val="en-US"/>
        </w:rPr>
        <w:t>.</w:t>
      </w:r>
      <w:r w:rsidR="00230FA1" w:rsidRPr="00230FA1">
        <w:rPr>
          <w:lang w:val="en-US"/>
        </w:rPr>
        <w:t>9</w:t>
      </w:r>
      <w:r w:rsidR="00740787" w:rsidRPr="00230FA1">
        <w:rPr>
          <w:lang w:val="en-US"/>
        </w:rPr>
        <w:t xml:space="preserve"> million</w:t>
      </w:r>
      <w:r w:rsidR="00740787" w:rsidRPr="0076607B">
        <w:rPr>
          <w:lang w:val="en-US"/>
        </w:rPr>
        <w:t xml:space="preserve">. ITU has opted not to present this amount under </w:t>
      </w:r>
      <w:r w:rsidR="007A552E" w:rsidRPr="0076607B">
        <w:rPr>
          <w:lang w:val="en-US"/>
        </w:rPr>
        <w:t>“</w:t>
      </w:r>
      <w:r w:rsidR="00740787" w:rsidRPr="0076607B">
        <w:rPr>
          <w:lang w:val="en-US"/>
        </w:rPr>
        <w:t>Borrowings and financial debts</w:t>
      </w:r>
      <w:r w:rsidR="007A552E" w:rsidRPr="0076607B">
        <w:rPr>
          <w:lang w:val="en-US"/>
        </w:rPr>
        <w:t>”</w:t>
      </w:r>
      <w:r w:rsidR="00740787" w:rsidRPr="0076607B">
        <w:rPr>
          <w:lang w:val="en-US"/>
        </w:rPr>
        <w:t xml:space="preserve"> in the statement of financial position. ITU is, however, showing in the statement of financial position expenses and revenue by way of an in-kind contribution corresponding to the reduction in the discount from 1 January to 31 December of the past year.</w:t>
      </w:r>
    </w:p>
    <w:p w:rsidR="0022373A" w:rsidRPr="001C2A98" w:rsidRDefault="0022373A" w:rsidP="00EC715E">
      <w:pPr>
        <w:tabs>
          <w:tab w:val="clear" w:pos="567"/>
          <w:tab w:val="clear" w:pos="1134"/>
          <w:tab w:val="clear" w:pos="1701"/>
          <w:tab w:val="clear" w:pos="2268"/>
          <w:tab w:val="clear" w:pos="2835"/>
        </w:tabs>
        <w:overflowPunct/>
        <w:autoSpaceDE/>
        <w:autoSpaceDN/>
        <w:adjustRightInd/>
        <w:textAlignment w:val="auto"/>
        <w:rPr>
          <w:u w:val="single"/>
          <w:lang w:val="en-US"/>
        </w:rPr>
      </w:pPr>
      <w:r w:rsidRPr="001C2A98">
        <w:rPr>
          <w:u w:val="single"/>
          <w:lang w:val="en-US"/>
        </w:rPr>
        <w:t>Receivables and loans</w:t>
      </w:r>
    </w:p>
    <w:p w:rsidR="0022373A" w:rsidRPr="001C2A98" w:rsidRDefault="0022373A" w:rsidP="00A027BD">
      <w:pPr>
        <w:jc w:val="both"/>
        <w:rPr>
          <w:lang w:val="en-US"/>
        </w:rPr>
      </w:pPr>
      <w:r w:rsidRPr="001C2A98">
        <w:rPr>
          <w:lang w:val="en-US"/>
        </w:rPr>
        <w:t>ITU</w:t>
      </w:r>
      <w:r w:rsidR="007A552E">
        <w:rPr>
          <w:lang w:val="en-US"/>
        </w:rPr>
        <w:t>’</w:t>
      </w:r>
      <w:r w:rsidRPr="001C2A98">
        <w:rPr>
          <w:lang w:val="en-US"/>
        </w:rPr>
        <w:t xml:space="preserve">s receivables and loans are </w:t>
      </w:r>
      <w:r w:rsidR="00C24096">
        <w:rPr>
          <w:lang w:val="en-US"/>
        </w:rPr>
        <w:t xml:space="preserve">non-derivative </w:t>
      </w:r>
      <w:r w:rsidRPr="001C2A98">
        <w:rPr>
          <w:lang w:val="en-US"/>
        </w:rPr>
        <w:t xml:space="preserve">financial assets with fixed or determinable </w:t>
      </w:r>
      <w:r w:rsidR="006B4A57">
        <w:rPr>
          <w:lang w:val="en-US"/>
        </w:rPr>
        <w:t>maturity dates that are not trad</w:t>
      </w:r>
      <w:r w:rsidRPr="001C2A98">
        <w:rPr>
          <w:lang w:val="en-US"/>
        </w:rPr>
        <w:t xml:space="preserve">ed on an active market. They </w:t>
      </w:r>
      <w:r w:rsidR="006B4A57">
        <w:rPr>
          <w:lang w:val="en-US"/>
        </w:rPr>
        <w:t xml:space="preserve">originate </w:t>
      </w:r>
      <w:r w:rsidRPr="001C2A98">
        <w:rPr>
          <w:lang w:val="en-US"/>
        </w:rPr>
        <w:t>when ITU enters into a contractual arrangement with a third party and remain so until the cash transfers associated with those financial assets have been executed and the associated risks and benefits have likewise been transferred to ITU. Such assets come under current assets, except those having maturity dates beyond 12 months after the date of closure, which are categorized as non-current assets.</w:t>
      </w:r>
    </w:p>
    <w:p w:rsidR="0022373A" w:rsidRPr="001C2A98" w:rsidRDefault="0022373A" w:rsidP="00A027BD">
      <w:pPr>
        <w:jc w:val="both"/>
        <w:rPr>
          <w:lang w:val="en-US"/>
        </w:rPr>
      </w:pPr>
      <w:r w:rsidRPr="001C2A98">
        <w:rPr>
          <w:lang w:val="en-US"/>
        </w:rPr>
        <w:t>Receivables are divided into</w:t>
      </w:r>
      <w:r w:rsidR="00B11AA3">
        <w:rPr>
          <w:lang w:val="en-US"/>
        </w:rPr>
        <w:t xml:space="preserve"> two distinct categories</w:t>
      </w:r>
      <w:r w:rsidRPr="001C2A98">
        <w:rPr>
          <w:lang w:val="en-US"/>
        </w:rPr>
        <w:t>: receivabl</w:t>
      </w:r>
      <w:r w:rsidR="00991717">
        <w:rPr>
          <w:lang w:val="en-US"/>
        </w:rPr>
        <w:t xml:space="preserve">es </w:t>
      </w:r>
      <w:r w:rsidRPr="001C2A98">
        <w:rPr>
          <w:lang w:val="en-US"/>
        </w:rPr>
        <w:t xml:space="preserve">from exchange transactions, such as those resulting from the sale of publications; and non-exchange receivables, notably those relating to contributions made to ITU. Assessed contributions are incorporated in the financial plan once the level of Member State contributions has been set by the Plenipotentiary Conference for a four-year period. These contributions are recognized </w:t>
      </w:r>
      <w:r w:rsidR="00B73E47">
        <w:rPr>
          <w:lang w:val="en-US"/>
        </w:rPr>
        <w:t>on an annual basis</w:t>
      </w:r>
      <w:r w:rsidRPr="001C2A98">
        <w:rPr>
          <w:lang w:val="en-US"/>
        </w:rPr>
        <w:t xml:space="preserve">. </w:t>
      </w:r>
    </w:p>
    <w:p w:rsidR="0022373A" w:rsidRPr="001C2A98" w:rsidRDefault="0022373A" w:rsidP="00A027BD">
      <w:pPr>
        <w:jc w:val="both"/>
        <w:rPr>
          <w:color w:val="000000"/>
          <w:lang w:val="en-US"/>
        </w:rPr>
      </w:pPr>
      <w:r w:rsidRPr="001C2A98">
        <w:rPr>
          <w:color w:val="000000"/>
          <w:lang w:val="en-US"/>
        </w:rPr>
        <w:t xml:space="preserve">Voluntary contributions are initially recognized when there is a </w:t>
      </w:r>
      <w:r w:rsidR="002D54C6">
        <w:rPr>
          <w:color w:val="000000"/>
          <w:lang w:val="en-US"/>
        </w:rPr>
        <w:t>signed</w:t>
      </w:r>
      <w:r w:rsidRPr="001C2A98">
        <w:rPr>
          <w:color w:val="000000"/>
          <w:lang w:val="en-US"/>
        </w:rPr>
        <w:t xml:space="preserve"> agreement </w:t>
      </w:r>
      <w:r w:rsidR="002D54C6">
        <w:rPr>
          <w:color w:val="000000"/>
          <w:lang w:val="en-US"/>
        </w:rPr>
        <w:t xml:space="preserve">between ITU and the </w:t>
      </w:r>
      <w:r w:rsidRPr="001C2A98">
        <w:rPr>
          <w:color w:val="000000"/>
          <w:lang w:val="en-US"/>
        </w:rPr>
        <w:t>donor.</w:t>
      </w:r>
    </w:p>
    <w:p w:rsidR="0022373A" w:rsidRPr="001C2A98" w:rsidRDefault="006B4A57" w:rsidP="00A027BD">
      <w:pPr>
        <w:jc w:val="both"/>
        <w:rPr>
          <w:color w:val="000000"/>
          <w:lang w:val="en-US"/>
        </w:rPr>
      </w:pPr>
      <w:r>
        <w:rPr>
          <w:color w:val="000000"/>
          <w:lang w:val="en-US"/>
        </w:rPr>
        <w:t>Receivables and loans</w:t>
      </w:r>
      <w:r w:rsidR="0022373A" w:rsidRPr="001C2A98">
        <w:rPr>
          <w:color w:val="000000"/>
          <w:lang w:val="en-US"/>
        </w:rPr>
        <w:t xml:space="preserve"> are recognized at fair value at the time of their initial recognition. The fair value is adjusted when reviewing doubtful debts at the time of the annual closure of the accounts.</w:t>
      </w:r>
    </w:p>
    <w:p w:rsidR="0022373A" w:rsidRPr="001C2A98" w:rsidRDefault="0022373A" w:rsidP="00A027BD">
      <w:pPr>
        <w:pStyle w:val="Heading5"/>
        <w:jc w:val="both"/>
        <w:rPr>
          <w:u w:val="single"/>
          <w:lang w:val="en-US"/>
        </w:rPr>
      </w:pPr>
      <w:bookmarkStart w:id="38" w:name="_Toc305764066"/>
      <w:bookmarkStart w:id="39" w:name="_Toc329011614"/>
      <w:r w:rsidRPr="001C2A98">
        <w:rPr>
          <w:u w:val="single"/>
          <w:lang w:val="en-US"/>
        </w:rPr>
        <w:t>Determin</w:t>
      </w:r>
      <w:r w:rsidR="002D54C6">
        <w:rPr>
          <w:u w:val="single"/>
          <w:lang w:val="en-US"/>
        </w:rPr>
        <w:t>ation of the provision for</w:t>
      </w:r>
      <w:r w:rsidRPr="001C2A98">
        <w:rPr>
          <w:u w:val="single"/>
          <w:lang w:val="en-US"/>
        </w:rPr>
        <w:t xml:space="preserve"> impairment</w:t>
      </w:r>
      <w:bookmarkEnd w:id="38"/>
      <w:bookmarkEnd w:id="39"/>
      <w:r w:rsidR="002D54C6">
        <w:rPr>
          <w:u w:val="single"/>
          <w:lang w:val="en-US"/>
        </w:rPr>
        <w:t xml:space="preserve"> of receivables</w:t>
      </w:r>
    </w:p>
    <w:p w:rsidR="0022373A" w:rsidRPr="001C2A98" w:rsidRDefault="0022373A" w:rsidP="00A027BD">
      <w:pPr>
        <w:jc w:val="both"/>
        <w:rPr>
          <w:lang w:val="en-US"/>
        </w:rPr>
      </w:pPr>
      <w:r w:rsidRPr="001C2A98">
        <w:rPr>
          <w:lang w:val="en-US"/>
        </w:rPr>
        <w:t>An assessment of the need to establish or adjust a provision for asset impairment is carried out according to the nature of the receivable, on the basis of the following categories of receivable:</w:t>
      </w:r>
    </w:p>
    <w:p w:rsidR="0022373A" w:rsidRPr="00A5229F" w:rsidRDefault="0022373A" w:rsidP="00A027BD">
      <w:pPr>
        <w:jc w:val="both"/>
        <w:rPr>
          <w:lang w:val="en-US"/>
        </w:rPr>
      </w:pPr>
      <w:r w:rsidRPr="001C2A98">
        <w:rPr>
          <w:lang w:val="en-US"/>
        </w:rPr>
        <w:t xml:space="preserve">1 – </w:t>
      </w:r>
      <w:r w:rsidRPr="00A5229F">
        <w:rPr>
          <w:lang w:val="en-US"/>
        </w:rPr>
        <w:t>Member States</w:t>
      </w:r>
    </w:p>
    <w:p w:rsidR="0022373A" w:rsidRPr="001C2A98" w:rsidRDefault="0022373A" w:rsidP="00A027BD">
      <w:pPr>
        <w:jc w:val="both"/>
        <w:rPr>
          <w:lang w:val="en-US"/>
        </w:rPr>
      </w:pPr>
      <w:r w:rsidRPr="00A5229F">
        <w:rPr>
          <w:lang w:val="en-US"/>
        </w:rPr>
        <w:t>In accordance with Article 28, No. 169, of the ITU Constitution, a Member State which is in arrears in its payments to the Union shall lose its right to vote as defined in Nos 27 and 28 of the Constitution for so long as the amount of its arrears equals or exceeds the amount of the contribution due for the two preceding years.</w:t>
      </w:r>
    </w:p>
    <w:p w:rsidR="0022373A" w:rsidRPr="001C2A98" w:rsidRDefault="0022373A" w:rsidP="00A027BD">
      <w:pPr>
        <w:jc w:val="both"/>
        <w:rPr>
          <w:lang w:val="en-US"/>
        </w:rPr>
      </w:pPr>
      <w:r w:rsidRPr="001C2A98">
        <w:rPr>
          <w:lang w:val="en-US"/>
        </w:rPr>
        <w:t>On the basis of this rule, a provision is established for Member States having arrears of over two years. Assessment and follow-up are carried out on the basis of the financial notification, which is produced quarterly. The provision is calculated on the basis of the notification for the final quarter of the year, which is produced at the beginning of the following year.</w:t>
      </w:r>
    </w:p>
    <w:p w:rsidR="0022373A" w:rsidRPr="001C2A98" w:rsidRDefault="0022373A" w:rsidP="00A027BD">
      <w:pPr>
        <w:jc w:val="both"/>
        <w:rPr>
          <w:lang w:val="en-US"/>
        </w:rPr>
      </w:pPr>
      <w:r w:rsidRPr="001C2A98">
        <w:rPr>
          <w:lang w:val="en-US"/>
        </w:rPr>
        <w:t>The amount of the provision is equal to 100 per cent of the debt that has remained unpaid for over two years, plus the interest on arrears charged since payment first became overdue.</w:t>
      </w:r>
    </w:p>
    <w:p w:rsidR="0022373A" w:rsidRPr="001C2A98" w:rsidRDefault="0022373A" w:rsidP="00A027BD">
      <w:pPr>
        <w:jc w:val="both"/>
        <w:rPr>
          <w:lang w:val="en-US"/>
        </w:rPr>
      </w:pPr>
      <w:r w:rsidRPr="001C2A98">
        <w:rPr>
          <w:lang w:val="en-US"/>
        </w:rPr>
        <w:t xml:space="preserve">2 – Sector Members, Associates and </w:t>
      </w:r>
      <w:r w:rsidR="000A5F7A">
        <w:rPr>
          <w:lang w:val="en-US"/>
        </w:rPr>
        <w:t>A</w:t>
      </w:r>
      <w:r w:rsidRPr="001C2A98">
        <w:rPr>
          <w:lang w:val="en-US"/>
        </w:rPr>
        <w:t>cademia</w:t>
      </w:r>
    </w:p>
    <w:p w:rsidR="007B296E" w:rsidRDefault="0022373A" w:rsidP="00F81E28">
      <w:pPr>
        <w:jc w:val="both"/>
        <w:rPr>
          <w:iCs/>
          <w:lang w:val="en-US"/>
        </w:rPr>
      </w:pPr>
      <w:r w:rsidRPr="001C2A98">
        <w:rPr>
          <w:lang w:val="en-US"/>
        </w:rPr>
        <w:t xml:space="preserve">Where Sector Members and Associates are concerned, Resolution 152 (Rev. </w:t>
      </w:r>
      <w:r w:rsidR="00781AA3">
        <w:rPr>
          <w:lang w:val="en-US"/>
        </w:rPr>
        <w:t>Busan</w:t>
      </w:r>
      <w:r w:rsidRPr="001C2A98">
        <w:rPr>
          <w:lang w:val="en-US"/>
        </w:rPr>
        <w:t xml:space="preserve">, </w:t>
      </w:r>
      <w:r w:rsidR="00111BDD">
        <w:rPr>
          <w:lang w:val="en-US"/>
        </w:rPr>
        <w:t>201</w:t>
      </w:r>
      <w:r w:rsidR="00F81E28">
        <w:rPr>
          <w:lang w:val="en-US"/>
        </w:rPr>
        <w:t>4</w:t>
      </w:r>
      <w:r w:rsidRPr="001C2A98">
        <w:rPr>
          <w:lang w:val="en-US"/>
        </w:rPr>
        <w:t>) of the Plenipotentiary Conference provides, in</w:t>
      </w:r>
      <w:r w:rsidRPr="001C2A98">
        <w:rPr>
          <w:i/>
          <w:lang w:val="en-US"/>
        </w:rPr>
        <w:t xml:space="preserve"> resolves</w:t>
      </w:r>
      <w:r w:rsidRPr="001C2A98">
        <w:rPr>
          <w:iCs/>
          <w:lang w:val="en-US"/>
        </w:rPr>
        <w:t xml:space="preserve"> 6, that in the event of late payment, suspension of participation in ITU shall occur six months (180 days) after the date on which payment of the annual contribution was due, and in the absence of a negotiated and agreed</w:t>
      </w:r>
      <w:r w:rsidR="00EC4859">
        <w:rPr>
          <w:iCs/>
          <w:lang w:val="en-US"/>
        </w:rPr>
        <w:t xml:space="preserve"> </w:t>
      </w:r>
      <w:r w:rsidRPr="001C2A98">
        <w:rPr>
          <w:iCs/>
          <w:lang w:val="en-US"/>
        </w:rPr>
        <w:t>repayment schedule, exclusion of a Sector Member or an Associate on grounds of non-payment shall occur three months (90 days) after the date of receipt of the notification of suspension.</w:t>
      </w:r>
    </w:p>
    <w:p w:rsidR="0022373A" w:rsidRPr="00D20740" w:rsidRDefault="0022373A" w:rsidP="00A027BD">
      <w:pPr>
        <w:jc w:val="both"/>
        <w:rPr>
          <w:spacing w:val="-4"/>
          <w:highlight w:val="yellow"/>
          <w:lang w:val="en-US"/>
        </w:rPr>
      </w:pPr>
      <w:r w:rsidRPr="00D20740">
        <w:rPr>
          <w:spacing w:val="-4"/>
          <w:lang w:val="en-US"/>
        </w:rPr>
        <w:t>All unpaid debts, including interest on arrears, dating back beyond two years are 100 per cent provisioned.</w:t>
      </w:r>
    </w:p>
    <w:p w:rsidR="0022373A" w:rsidRPr="001C2A98" w:rsidRDefault="0022373A" w:rsidP="00A027BD">
      <w:pPr>
        <w:jc w:val="both"/>
        <w:rPr>
          <w:lang w:val="en-US"/>
        </w:rPr>
      </w:pPr>
      <w:r w:rsidRPr="001C2A98">
        <w:rPr>
          <w:lang w:val="en-US"/>
        </w:rPr>
        <w:t>3 – S</w:t>
      </w:r>
      <w:r w:rsidR="000567C2">
        <w:rPr>
          <w:lang w:val="en-US"/>
        </w:rPr>
        <w:t xml:space="preserve">atellite </w:t>
      </w:r>
      <w:r w:rsidRPr="001C2A98">
        <w:rPr>
          <w:lang w:val="en-US"/>
        </w:rPr>
        <w:t>N</w:t>
      </w:r>
      <w:r w:rsidR="000567C2">
        <w:rPr>
          <w:lang w:val="en-US"/>
        </w:rPr>
        <w:t xml:space="preserve">etwork </w:t>
      </w:r>
      <w:r w:rsidRPr="001C2A98">
        <w:rPr>
          <w:lang w:val="en-US"/>
        </w:rPr>
        <w:t>F</w:t>
      </w:r>
      <w:r w:rsidR="000567C2">
        <w:rPr>
          <w:lang w:val="en-US"/>
        </w:rPr>
        <w:t>ilings</w:t>
      </w:r>
      <w:r w:rsidRPr="001C2A98">
        <w:rPr>
          <w:lang w:val="en-US"/>
        </w:rPr>
        <w:t xml:space="preserve"> </w:t>
      </w:r>
      <w:r w:rsidR="000567C2">
        <w:rPr>
          <w:lang w:val="en-US"/>
        </w:rPr>
        <w:t xml:space="preserve">(SNF) </w:t>
      </w:r>
      <w:r w:rsidRPr="001C2A98">
        <w:rPr>
          <w:lang w:val="en-US"/>
        </w:rPr>
        <w:t>revenue</w:t>
      </w:r>
    </w:p>
    <w:p w:rsidR="001631AD" w:rsidRDefault="0022373A" w:rsidP="00752F2D">
      <w:pPr>
        <w:jc w:val="both"/>
        <w:rPr>
          <w:lang w:val="en-US"/>
        </w:rPr>
      </w:pPr>
      <w:r w:rsidRPr="001C2A98">
        <w:rPr>
          <w:lang w:val="en-US"/>
        </w:rPr>
        <w:t>The Union establishes a provision for SNF invoices, arrears being subject to interest at 6 per cent as from the due date in the case of late payment. Since such invoices are payable within six months, a 100 per cent provision will be established at 31 December of the year following their presentation.</w:t>
      </w:r>
    </w:p>
    <w:p w:rsidR="0022373A" w:rsidRPr="001C2A98" w:rsidRDefault="0022373A" w:rsidP="00A027BD">
      <w:pPr>
        <w:jc w:val="both"/>
        <w:rPr>
          <w:lang w:val="en-US"/>
        </w:rPr>
      </w:pPr>
      <w:r w:rsidRPr="001C2A98">
        <w:rPr>
          <w:lang w:val="en-US"/>
        </w:rPr>
        <w:t>4 – Publications</w:t>
      </w:r>
    </w:p>
    <w:p w:rsidR="00100E44" w:rsidRDefault="0022373A" w:rsidP="0070318B">
      <w:pPr>
        <w:jc w:val="both"/>
        <w:rPr>
          <w:lang w:val="en-US"/>
        </w:rPr>
      </w:pPr>
      <w:r w:rsidRPr="001C2A98">
        <w:rPr>
          <w:lang w:val="en-US"/>
        </w:rPr>
        <w:t xml:space="preserve">Publications are for the most part paid for in advance, </w:t>
      </w:r>
      <w:r w:rsidR="000567C2">
        <w:rPr>
          <w:lang w:val="en-US"/>
        </w:rPr>
        <w:t xml:space="preserve">except when the client is a </w:t>
      </w:r>
      <w:r w:rsidRPr="001C2A98">
        <w:rPr>
          <w:lang w:val="en-US"/>
        </w:rPr>
        <w:t>Member State administration. This provision is established following exactly the same principle as for Member State and Sector Member contributions.</w:t>
      </w:r>
    </w:p>
    <w:p w:rsidR="0022373A" w:rsidRPr="001C2A98" w:rsidRDefault="0022373A" w:rsidP="00A027BD">
      <w:pPr>
        <w:jc w:val="both"/>
        <w:rPr>
          <w:lang w:val="en-US"/>
        </w:rPr>
      </w:pPr>
      <w:r w:rsidRPr="001C2A98">
        <w:rPr>
          <w:lang w:val="en-US"/>
        </w:rPr>
        <w:t>5 – Other debtors (e.g. voluntary contributions)</w:t>
      </w:r>
    </w:p>
    <w:p w:rsidR="0022373A" w:rsidRPr="001C2A98" w:rsidRDefault="0022373A" w:rsidP="00A027BD">
      <w:pPr>
        <w:jc w:val="both"/>
        <w:rPr>
          <w:highlight w:val="yellow"/>
          <w:lang w:val="en-US"/>
        </w:rPr>
      </w:pPr>
      <w:r w:rsidRPr="001C2A98">
        <w:rPr>
          <w:lang w:val="en-US"/>
        </w:rPr>
        <w:t>The amount of the provision is equal to 100 per cent of the debts remaining unpaid at 31 December of the year following presentation of the invoices.</w:t>
      </w:r>
    </w:p>
    <w:p w:rsidR="0022373A" w:rsidRPr="001C2A98" w:rsidRDefault="0022373A" w:rsidP="00A027BD">
      <w:pPr>
        <w:jc w:val="both"/>
        <w:rPr>
          <w:lang w:val="en-US"/>
        </w:rPr>
      </w:pPr>
      <w:r w:rsidRPr="001C2A98">
        <w:rPr>
          <w:lang w:val="en-US"/>
        </w:rPr>
        <w:t xml:space="preserve">6 – </w:t>
      </w:r>
      <w:r w:rsidR="000567C2">
        <w:rPr>
          <w:lang w:val="en-US"/>
        </w:rPr>
        <w:t xml:space="preserve">ITU </w:t>
      </w:r>
      <w:r w:rsidRPr="001C2A98">
        <w:rPr>
          <w:lang w:val="en-US"/>
        </w:rPr>
        <w:t>TELECOM</w:t>
      </w:r>
    </w:p>
    <w:p w:rsidR="0022373A" w:rsidRPr="001C2A98" w:rsidRDefault="0022373A" w:rsidP="00A027BD">
      <w:pPr>
        <w:jc w:val="both"/>
        <w:rPr>
          <w:lang w:val="en-US"/>
        </w:rPr>
      </w:pPr>
      <w:r w:rsidRPr="001C2A98">
        <w:rPr>
          <w:lang w:val="en-US"/>
        </w:rPr>
        <w:t xml:space="preserve">Receivables for </w:t>
      </w:r>
      <w:r w:rsidR="000567C2">
        <w:rPr>
          <w:lang w:val="en-US"/>
        </w:rPr>
        <w:t xml:space="preserve">ITU </w:t>
      </w:r>
      <w:r w:rsidRPr="001C2A98">
        <w:rPr>
          <w:lang w:val="en-US"/>
        </w:rPr>
        <w:t>TELECOM events are 100 per cent provisioned at the time of clo</w:t>
      </w:r>
      <w:r w:rsidR="00B73E47">
        <w:rPr>
          <w:lang w:val="en-US"/>
        </w:rPr>
        <w:t>sing of the exhibition accounts, when there is an uncertainty about the payment.</w:t>
      </w:r>
    </w:p>
    <w:p w:rsidR="0022373A" w:rsidRPr="001C2A98" w:rsidRDefault="0022373A" w:rsidP="00A027BD">
      <w:pPr>
        <w:pStyle w:val="Heading5"/>
        <w:jc w:val="both"/>
        <w:rPr>
          <w:u w:val="single"/>
          <w:lang w:val="en-US"/>
        </w:rPr>
      </w:pPr>
      <w:bookmarkStart w:id="40" w:name="_Toc305764067"/>
      <w:bookmarkStart w:id="41" w:name="_Toc329011615"/>
      <w:r w:rsidRPr="001C2A98">
        <w:rPr>
          <w:u w:val="single"/>
          <w:lang w:val="en-US"/>
        </w:rPr>
        <w:t>Use and release of a provision for asset impairment</w:t>
      </w:r>
      <w:bookmarkEnd w:id="40"/>
      <w:bookmarkEnd w:id="41"/>
    </w:p>
    <w:p w:rsidR="0022373A" w:rsidRPr="001C2A98" w:rsidRDefault="0022373A" w:rsidP="00A027BD">
      <w:pPr>
        <w:jc w:val="both"/>
        <w:rPr>
          <w:lang w:val="en-US"/>
        </w:rPr>
      </w:pPr>
      <w:r w:rsidRPr="001C2A98">
        <w:rPr>
          <w:szCs w:val="24"/>
          <w:lang w:val="en-US"/>
        </w:rPr>
        <w:t>Where a debt is deemed to be uncollectable (for example, certificate of lack of assets or debt write-off</w:t>
      </w:r>
      <w:r w:rsidR="00FF142A">
        <w:rPr>
          <w:szCs w:val="24"/>
          <w:lang w:val="en-US"/>
        </w:rPr>
        <w:t xml:space="preserve"> approved</w:t>
      </w:r>
      <w:r w:rsidR="00E22DA0">
        <w:rPr>
          <w:szCs w:val="24"/>
          <w:lang w:val="en-US"/>
        </w:rPr>
        <w:t xml:space="preserve"> by Council</w:t>
      </w:r>
      <w:r w:rsidRPr="001C2A98">
        <w:rPr>
          <w:szCs w:val="24"/>
          <w:lang w:val="en-US"/>
        </w:rPr>
        <w:t xml:space="preserve">), </w:t>
      </w:r>
      <w:r w:rsidR="00B73E47">
        <w:rPr>
          <w:szCs w:val="24"/>
          <w:lang w:val="en-US"/>
        </w:rPr>
        <w:t>the debt is written off. T</w:t>
      </w:r>
      <w:r w:rsidR="00991717">
        <w:rPr>
          <w:szCs w:val="24"/>
          <w:lang w:val="en-US"/>
        </w:rPr>
        <w:t>he related</w:t>
      </w:r>
      <w:r w:rsidR="00B73E47">
        <w:rPr>
          <w:szCs w:val="24"/>
          <w:lang w:val="en-US"/>
        </w:rPr>
        <w:t xml:space="preserve"> provision is then used</w:t>
      </w:r>
      <w:r w:rsidR="00E22DA0">
        <w:rPr>
          <w:szCs w:val="24"/>
          <w:lang w:val="en-US"/>
        </w:rPr>
        <w:t xml:space="preserve"> to offset the balance in the accounts</w:t>
      </w:r>
      <w:r w:rsidRPr="001C2A98">
        <w:rPr>
          <w:szCs w:val="24"/>
          <w:lang w:val="en-US"/>
        </w:rPr>
        <w:t>.</w:t>
      </w:r>
      <w:r w:rsidR="00A85953">
        <w:rPr>
          <w:szCs w:val="24"/>
          <w:lang w:val="en-US"/>
        </w:rPr>
        <w:t xml:space="preserve"> </w:t>
      </w:r>
      <w:r w:rsidRPr="001C2A98">
        <w:rPr>
          <w:lang w:val="en-US"/>
        </w:rPr>
        <w:t>If, in a subsequent period, t</w:t>
      </w:r>
      <w:r w:rsidR="00B73E47">
        <w:rPr>
          <w:lang w:val="en-US"/>
        </w:rPr>
        <w:t>he amount of the impairment</w:t>
      </w:r>
      <w:r w:rsidRPr="001C2A98">
        <w:rPr>
          <w:lang w:val="en-US"/>
        </w:rPr>
        <w:t xml:space="preserve"> decreases and the decrease can be related objectively to an event occurring after the impairment was recognized (for example, signature of a debt repayment schedule), the previously recognized impairment loss </w:t>
      </w:r>
      <w:r w:rsidR="00B73E47">
        <w:rPr>
          <w:lang w:val="en-US"/>
        </w:rPr>
        <w:t>is</w:t>
      </w:r>
      <w:r w:rsidRPr="001C2A98">
        <w:rPr>
          <w:lang w:val="en-US"/>
        </w:rPr>
        <w:t xml:space="preserve"> reversed, wholly or in part, by a release of provision.</w:t>
      </w:r>
    </w:p>
    <w:p w:rsidR="0022373A" w:rsidRPr="001C2A98" w:rsidRDefault="0022373A" w:rsidP="00A027BD">
      <w:pPr>
        <w:jc w:val="both"/>
        <w:rPr>
          <w:lang w:val="en-US"/>
        </w:rPr>
      </w:pPr>
      <w:r w:rsidRPr="001C2A98">
        <w:rPr>
          <w:lang w:val="en-US"/>
        </w:rPr>
        <w:t xml:space="preserve">In the case of </w:t>
      </w:r>
      <w:r w:rsidR="00E22DA0">
        <w:rPr>
          <w:lang w:val="en-US"/>
        </w:rPr>
        <w:t>M</w:t>
      </w:r>
      <w:r w:rsidRPr="001C2A98">
        <w:rPr>
          <w:lang w:val="en-US"/>
        </w:rPr>
        <w:t>ember</w:t>
      </w:r>
      <w:r w:rsidR="00E22DA0">
        <w:rPr>
          <w:lang w:val="en-US"/>
        </w:rPr>
        <w:t xml:space="preserve"> State</w:t>
      </w:r>
      <w:r w:rsidRPr="001C2A98">
        <w:rPr>
          <w:lang w:val="en-US"/>
        </w:rPr>
        <w:t>s</w:t>
      </w:r>
      <w:r w:rsidR="00E22DA0">
        <w:rPr>
          <w:lang w:val="en-US"/>
        </w:rPr>
        <w:t xml:space="preserve"> or Sector Members</w:t>
      </w:r>
      <w:r w:rsidRPr="001C2A98">
        <w:rPr>
          <w:lang w:val="en-US"/>
        </w:rPr>
        <w:t xml:space="preserve">, the provision is reduced by the annual </w:t>
      </w:r>
      <w:r w:rsidR="009A4679" w:rsidRPr="001C2A98">
        <w:rPr>
          <w:lang w:val="en-US"/>
        </w:rPr>
        <w:t>installments</w:t>
      </w:r>
      <w:r w:rsidRPr="001C2A98">
        <w:rPr>
          <w:lang w:val="en-US"/>
        </w:rPr>
        <w:t xml:space="preserve"> settled under a debt repayment schedule, following the payment of each </w:t>
      </w:r>
      <w:r w:rsidR="009A4679" w:rsidRPr="001C2A98">
        <w:rPr>
          <w:lang w:val="en-US"/>
        </w:rPr>
        <w:t>installment</w:t>
      </w:r>
      <w:r w:rsidRPr="001C2A98">
        <w:rPr>
          <w:lang w:val="en-US"/>
        </w:rPr>
        <w:t>. The interest on arrears is written off once the capital of the debt has been repaid, subject to approval by the Council. This amount includes receivables relating to publications.</w:t>
      </w:r>
    </w:p>
    <w:p w:rsidR="0022373A" w:rsidRPr="001C2A98" w:rsidRDefault="0022373A" w:rsidP="00A027BD">
      <w:pPr>
        <w:jc w:val="both"/>
        <w:rPr>
          <w:lang w:val="en-US"/>
        </w:rPr>
      </w:pPr>
      <w:r w:rsidRPr="001C2A98">
        <w:rPr>
          <w:lang w:val="en-US"/>
        </w:rPr>
        <w:t>If, in a subsequent period, new receivables meet the impairment criteria set out in the above paragraph, the establishment of a provision must be recognized at 31 December of that year.</w:t>
      </w:r>
    </w:p>
    <w:p w:rsidR="0022373A" w:rsidRPr="001C2A98" w:rsidRDefault="0022373A" w:rsidP="00A027BD">
      <w:pPr>
        <w:pStyle w:val="Heading5"/>
        <w:jc w:val="both"/>
        <w:rPr>
          <w:u w:val="single"/>
          <w:lang w:val="en-US"/>
        </w:rPr>
      </w:pPr>
      <w:bookmarkStart w:id="42" w:name="_Toc305764069"/>
      <w:bookmarkStart w:id="43" w:name="_Toc329011617"/>
      <w:r w:rsidRPr="001C2A98">
        <w:rPr>
          <w:u w:val="single"/>
          <w:lang w:val="en-US"/>
        </w:rPr>
        <w:t>Inventories</w:t>
      </w:r>
      <w:bookmarkEnd w:id="42"/>
      <w:bookmarkEnd w:id="43"/>
    </w:p>
    <w:p w:rsidR="0022373A" w:rsidRPr="001C2A98" w:rsidRDefault="0022373A" w:rsidP="00A027BD">
      <w:pPr>
        <w:jc w:val="both"/>
        <w:rPr>
          <w:lang w:val="en-US"/>
        </w:rPr>
      </w:pPr>
      <w:r w:rsidRPr="001C2A98">
        <w:rPr>
          <w:lang w:val="en-US"/>
        </w:rPr>
        <w:t>Inventories comprise publications and souvenirs bearing the ITU logo, consumable stores, maintenance materials and stocks of spare parts not allocated to the maintenance of specific assets.</w:t>
      </w:r>
    </w:p>
    <w:p w:rsidR="0022373A" w:rsidRPr="00C44781" w:rsidRDefault="0022373A" w:rsidP="00A027BD">
      <w:pPr>
        <w:jc w:val="both"/>
        <w:rPr>
          <w:lang w:val="en-US"/>
        </w:rPr>
      </w:pPr>
      <w:r w:rsidRPr="001C2A98">
        <w:rPr>
          <w:lang w:val="en-US"/>
        </w:rPr>
        <w:t xml:space="preserve">For consumables, inventories </w:t>
      </w:r>
      <w:r w:rsidR="000129E1">
        <w:rPr>
          <w:lang w:val="en-US"/>
        </w:rPr>
        <w:t xml:space="preserve">values </w:t>
      </w:r>
      <w:r w:rsidRPr="001C2A98">
        <w:rPr>
          <w:lang w:val="en-US"/>
        </w:rPr>
        <w:t xml:space="preserve">are </w:t>
      </w:r>
      <w:r w:rsidR="000129E1">
        <w:rPr>
          <w:lang w:val="en-US"/>
        </w:rPr>
        <w:t>calculated</w:t>
      </w:r>
      <w:r w:rsidRPr="001C2A98">
        <w:rPr>
          <w:lang w:val="en-US"/>
        </w:rPr>
        <w:t xml:space="preserve"> using the weighted average cost method. The </w:t>
      </w:r>
      <w:r w:rsidRPr="00C44781">
        <w:rPr>
          <w:lang w:val="en-US"/>
        </w:rPr>
        <w:t>same method is used for all inventories whose nature and usage are similar within the organization.</w:t>
      </w:r>
    </w:p>
    <w:p w:rsidR="0022373A" w:rsidRPr="001C2A98" w:rsidRDefault="0022373A" w:rsidP="00A027BD">
      <w:pPr>
        <w:jc w:val="both"/>
        <w:rPr>
          <w:lang w:val="en-US"/>
        </w:rPr>
      </w:pPr>
      <w:r w:rsidRPr="000C191B">
        <w:rPr>
          <w:lang w:val="en-US"/>
        </w:rPr>
        <w:t xml:space="preserve">Publications are valued according to a standard cost based on a scale that is updated annually. The standard cost does not include direct staff costs; however, the cost of paper is increased by </w:t>
      </w:r>
      <w:r w:rsidRPr="00680702">
        <w:rPr>
          <w:lang w:val="en-US"/>
        </w:rPr>
        <w:t>253</w:t>
      </w:r>
      <w:r w:rsidR="00EE08C2" w:rsidRPr="00680702">
        <w:rPr>
          <w:lang w:val="en-US"/>
        </w:rPr>
        <w:t> </w:t>
      </w:r>
      <w:r w:rsidRPr="00680702">
        <w:rPr>
          <w:lang w:val="en-US"/>
        </w:rPr>
        <w:t>per cent, representing</w:t>
      </w:r>
      <w:r w:rsidRPr="000C191B">
        <w:rPr>
          <w:lang w:val="en-US"/>
        </w:rPr>
        <w:t xml:space="preserve"> the direct costs associated with reprography. The net realizable value represents the estimated sale price less the estimated costs of producing, marketing, selling and distributing the publications</w:t>
      </w:r>
      <w:r w:rsidRPr="00C44781">
        <w:rPr>
          <w:lang w:val="en-US"/>
        </w:rPr>
        <w:t>.</w:t>
      </w:r>
    </w:p>
    <w:p w:rsidR="0022373A" w:rsidRPr="00755453" w:rsidRDefault="0022373A" w:rsidP="00A027BD">
      <w:pPr>
        <w:jc w:val="both"/>
        <w:rPr>
          <w:lang w:val="en-US"/>
        </w:rPr>
      </w:pPr>
      <w:r w:rsidRPr="00755453">
        <w:rPr>
          <w:lang w:val="en-US"/>
        </w:rPr>
        <w:t>Where stocks of publications are distributed at zero or a symbolic cost, they are assigned the value that the organization would have to pay to obtain the economic benefits or service potential to achieve the organization</w:t>
      </w:r>
      <w:r w:rsidR="007A552E">
        <w:rPr>
          <w:lang w:val="en-US"/>
        </w:rPr>
        <w:t>’</w:t>
      </w:r>
      <w:r w:rsidRPr="00755453">
        <w:rPr>
          <w:lang w:val="en-US"/>
        </w:rPr>
        <w:t>s objectives. If the economic benefits or service potential cannot be acquired on the market, the stocks are valued at their replacement value.</w:t>
      </w:r>
    </w:p>
    <w:p w:rsidR="002560A2" w:rsidRDefault="0022373A" w:rsidP="00752F2D">
      <w:pPr>
        <w:jc w:val="both"/>
        <w:rPr>
          <w:lang w:val="en-US"/>
        </w:rPr>
      </w:pPr>
      <w:r w:rsidRPr="00755453">
        <w:rPr>
          <w:lang w:val="en-US"/>
        </w:rPr>
        <w:t xml:space="preserve">An annual physical stocktaking is made of all inventories. At each closure date, if there is any indication that inventories may have fallen in value, they are depreciated. Publications are valued in two stages: first, on the basis of any damage identified during the annual physical stocktaking, then with regard to the obsolescence of publications. The organization also determines whether an impairment loss previously recognized has diminished or is extinguished. </w:t>
      </w:r>
      <w:r w:rsidRPr="007B296E">
        <w:rPr>
          <w:lang w:val="en-US"/>
        </w:rPr>
        <w:t>If so</w:t>
      </w:r>
      <w:r w:rsidRPr="00755453">
        <w:rPr>
          <w:lang w:val="en-US"/>
        </w:rPr>
        <w:t>, the net realizable value or replacement cost of the inventories is estimated and updated.</w:t>
      </w:r>
    </w:p>
    <w:p w:rsidR="0022373A" w:rsidRPr="001C2A98" w:rsidRDefault="0022373A" w:rsidP="00A027BD">
      <w:pPr>
        <w:jc w:val="both"/>
        <w:rPr>
          <w:lang w:val="en-US"/>
        </w:rPr>
      </w:pPr>
      <w:r w:rsidRPr="00755453">
        <w:rPr>
          <w:lang w:val="en-US"/>
        </w:rPr>
        <w:t xml:space="preserve">Publications and articles no longer to be offered for sale or </w:t>
      </w:r>
      <w:r w:rsidR="00FF142A">
        <w:rPr>
          <w:lang w:val="en-US"/>
        </w:rPr>
        <w:t xml:space="preserve">intended for </w:t>
      </w:r>
      <w:r w:rsidRPr="00755453">
        <w:rPr>
          <w:lang w:val="en-US"/>
        </w:rPr>
        <w:t>free-of-charge distribution will have their net carrying amount reduced to zero.</w:t>
      </w:r>
    </w:p>
    <w:p w:rsidR="0022373A" w:rsidRPr="001C2A98" w:rsidRDefault="0022373A" w:rsidP="005A0F7C">
      <w:pPr>
        <w:pStyle w:val="Heading5"/>
        <w:jc w:val="both"/>
        <w:rPr>
          <w:u w:val="single"/>
          <w:lang w:val="en-US"/>
        </w:rPr>
      </w:pPr>
      <w:bookmarkStart w:id="44" w:name="_Toc305764070"/>
      <w:bookmarkStart w:id="45" w:name="_Toc329011618"/>
      <w:r w:rsidRPr="001C2A98">
        <w:rPr>
          <w:u w:val="single"/>
          <w:lang w:val="en-US"/>
        </w:rPr>
        <w:t>Property</w:t>
      </w:r>
      <w:r w:rsidR="005A0F7C">
        <w:rPr>
          <w:u w:val="single"/>
          <w:lang w:val="en-US"/>
        </w:rPr>
        <w:t xml:space="preserve"> and</w:t>
      </w:r>
      <w:r w:rsidRPr="001C2A98">
        <w:rPr>
          <w:u w:val="single"/>
          <w:lang w:val="en-US"/>
        </w:rPr>
        <w:t xml:space="preserve"> equipment</w:t>
      </w:r>
      <w:bookmarkEnd w:id="44"/>
      <w:bookmarkEnd w:id="45"/>
    </w:p>
    <w:p w:rsidR="0022373A" w:rsidRPr="001C2A98" w:rsidRDefault="0022373A" w:rsidP="005A0F7C">
      <w:pPr>
        <w:jc w:val="both"/>
        <w:rPr>
          <w:lang w:val="en-US"/>
        </w:rPr>
      </w:pPr>
      <w:r w:rsidRPr="001C2A98">
        <w:rPr>
          <w:lang w:val="en-US"/>
        </w:rPr>
        <w:t>Property</w:t>
      </w:r>
      <w:r w:rsidR="005A0F7C">
        <w:rPr>
          <w:lang w:val="en-US"/>
        </w:rPr>
        <w:t xml:space="preserve"> and </w:t>
      </w:r>
      <w:r w:rsidRPr="001C2A98">
        <w:rPr>
          <w:lang w:val="en-US"/>
        </w:rPr>
        <w:t>equipment held by ITU are valued at historical cost less accumulated depreciation and accumulated impairment losses. Buildings were recognized in the opening statement of financial position under IPSAS on 1 January 2010 at their intrinsic value, on the basis</w:t>
      </w:r>
      <w:r w:rsidR="00EE08C2">
        <w:rPr>
          <w:lang w:val="en-US"/>
        </w:rPr>
        <w:t xml:space="preserve"> </w:t>
      </w:r>
      <w:r w:rsidRPr="001C2A98">
        <w:rPr>
          <w:lang w:val="en-US"/>
        </w:rPr>
        <w:t xml:space="preserve">of the study conducted by an external consultancy. Recognition of </w:t>
      </w:r>
      <w:r w:rsidR="00990DB2">
        <w:rPr>
          <w:lang w:val="en-US"/>
        </w:rPr>
        <w:t xml:space="preserve">the </w:t>
      </w:r>
      <w:r w:rsidRPr="001C2A98">
        <w:rPr>
          <w:lang w:val="en-US"/>
        </w:rPr>
        <w:t xml:space="preserve">buildings </w:t>
      </w:r>
      <w:r w:rsidR="00990DB2">
        <w:rPr>
          <w:lang w:val="en-US"/>
        </w:rPr>
        <w:t xml:space="preserve">value </w:t>
      </w:r>
      <w:r w:rsidRPr="001C2A98">
        <w:rPr>
          <w:lang w:val="en-US"/>
        </w:rPr>
        <w:t xml:space="preserve">was </w:t>
      </w:r>
      <w:r w:rsidR="000064A3">
        <w:rPr>
          <w:lang w:val="en-US"/>
        </w:rPr>
        <w:t>carried out</w:t>
      </w:r>
      <w:r w:rsidRPr="001C2A98">
        <w:rPr>
          <w:lang w:val="en-US"/>
        </w:rPr>
        <w:t xml:space="preserve"> using the component-based approach. Land is not taken into account when calculating the</w:t>
      </w:r>
      <w:r w:rsidR="00EE08C2">
        <w:rPr>
          <w:lang w:val="en-US"/>
        </w:rPr>
        <w:t xml:space="preserve"> </w:t>
      </w:r>
      <w:r w:rsidRPr="001C2A98">
        <w:rPr>
          <w:lang w:val="en-US"/>
        </w:rPr>
        <w:t>intrinsic value of</w:t>
      </w:r>
      <w:r w:rsidR="00193AEF">
        <w:rPr>
          <w:lang w:val="en-US"/>
        </w:rPr>
        <w:t xml:space="preserve"> </w:t>
      </w:r>
      <w:r w:rsidRPr="001C2A98">
        <w:rPr>
          <w:lang w:val="en-US"/>
        </w:rPr>
        <w:t>the buildings. The land rights (right of superficies) concerning the land areas made available by the State of Geneva is without cost to the Union.</w:t>
      </w:r>
    </w:p>
    <w:p w:rsidR="0022373A" w:rsidRPr="001C2A98" w:rsidRDefault="0022373A" w:rsidP="00A027BD">
      <w:pPr>
        <w:jc w:val="both"/>
        <w:rPr>
          <w:lang w:val="en-US"/>
        </w:rPr>
      </w:pPr>
      <w:r w:rsidRPr="001C2A98">
        <w:rPr>
          <w:lang w:val="en-US"/>
        </w:rPr>
        <w:t xml:space="preserve">In-kind gifts are measured at fair value estimated at the date of receipt of the movable assets. </w:t>
      </w:r>
      <w:r w:rsidRPr="00E353F8">
        <w:rPr>
          <w:lang w:val="en-US"/>
        </w:rPr>
        <w:t xml:space="preserve">Recognition of revenue associated with in-kind gifts intended for the creation or purchase of a specific asset is spread over a period equal to the depreciation </w:t>
      </w:r>
      <w:r w:rsidRPr="00EE08C2">
        <w:rPr>
          <w:lang w:val="en-US"/>
        </w:rPr>
        <w:t>time</w:t>
      </w:r>
      <w:r w:rsidRPr="00E353F8">
        <w:rPr>
          <w:lang w:val="en-US"/>
        </w:rPr>
        <w:t xml:space="preserve"> of the </w:t>
      </w:r>
      <w:r w:rsidR="00990DB2">
        <w:rPr>
          <w:lang w:val="en-US"/>
        </w:rPr>
        <w:t xml:space="preserve">concerned </w:t>
      </w:r>
      <w:r w:rsidRPr="00E353F8">
        <w:rPr>
          <w:lang w:val="en-US"/>
        </w:rPr>
        <w:t>asset as from the date of its bringing into use.</w:t>
      </w:r>
    </w:p>
    <w:p w:rsidR="0022373A" w:rsidRPr="001C2A98" w:rsidRDefault="0022373A" w:rsidP="00A027BD">
      <w:pPr>
        <w:jc w:val="both"/>
        <w:rPr>
          <w:lang w:val="en-US"/>
        </w:rPr>
      </w:pPr>
      <w:r w:rsidRPr="001C2A98">
        <w:rPr>
          <w:lang w:val="en-US"/>
        </w:rPr>
        <w:t>Goods with a value equal to or higher than CHF 5</w:t>
      </w:r>
      <w:r w:rsidR="007A552E">
        <w:rPr>
          <w:lang w:val="en-US"/>
        </w:rPr>
        <w:t>’</w:t>
      </w:r>
      <w:r>
        <w:rPr>
          <w:lang w:val="en-US"/>
        </w:rPr>
        <w:t>000</w:t>
      </w:r>
      <w:r w:rsidRPr="001C2A98">
        <w:rPr>
          <w:lang w:val="en-US"/>
        </w:rPr>
        <w:t xml:space="preserve"> are capitalized at the time of receipt and subsequently depreciated on a straight-line basis.</w:t>
      </w:r>
    </w:p>
    <w:p w:rsidR="0022373A" w:rsidRPr="001C2A98" w:rsidRDefault="0022373A" w:rsidP="00A027BD">
      <w:pPr>
        <w:jc w:val="both"/>
        <w:rPr>
          <w:b/>
          <w:bCs/>
          <w:lang w:val="en-US"/>
        </w:rPr>
      </w:pPr>
      <w:r w:rsidRPr="001C2A98">
        <w:rPr>
          <w:bCs/>
          <w:lang w:val="en-US"/>
        </w:rPr>
        <w:t>Goods with a cost lower than CHF 5</w:t>
      </w:r>
      <w:r w:rsidR="007A552E">
        <w:rPr>
          <w:bCs/>
          <w:lang w:val="en-US"/>
        </w:rPr>
        <w:t>’</w:t>
      </w:r>
      <w:r>
        <w:rPr>
          <w:bCs/>
          <w:lang w:val="en-US"/>
        </w:rPr>
        <w:t>000</w:t>
      </w:r>
      <w:r w:rsidRPr="001C2A98">
        <w:rPr>
          <w:bCs/>
          <w:lang w:val="en-US"/>
        </w:rPr>
        <w:t xml:space="preserve"> (low-value goods) are capitalized during the month of acquisition and fully recognized as expenses in the statement of financial performance at the monthly closure following acquisition.</w:t>
      </w:r>
    </w:p>
    <w:p w:rsidR="0022373A" w:rsidRPr="001C2A98" w:rsidRDefault="0022373A" w:rsidP="005A0F7C">
      <w:pPr>
        <w:jc w:val="both"/>
        <w:rPr>
          <w:lang w:val="en-US"/>
        </w:rPr>
      </w:pPr>
      <w:r w:rsidRPr="001C2A98">
        <w:rPr>
          <w:lang w:val="en-US"/>
        </w:rPr>
        <w:t>Property</w:t>
      </w:r>
      <w:r w:rsidR="005A0F7C">
        <w:rPr>
          <w:lang w:val="en-US"/>
        </w:rPr>
        <w:t xml:space="preserve"> and</w:t>
      </w:r>
      <w:r w:rsidRPr="001C2A98">
        <w:rPr>
          <w:lang w:val="en-US"/>
        </w:rPr>
        <w:t xml:space="preserve"> equipment acquired in connectio</w:t>
      </w:r>
      <w:r w:rsidR="00EC4859">
        <w:rPr>
          <w:lang w:val="en-US"/>
        </w:rPr>
        <w:t xml:space="preserve">n with projects conducted under </w:t>
      </w:r>
      <w:r w:rsidR="00C81B79">
        <w:rPr>
          <w:lang w:val="en-US"/>
        </w:rPr>
        <w:t>Extra-budgetary</w:t>
      </w:r>
      <w:r w:rsidRPr="001C2A98">
        <w:rPr>
          <w:lang w:val="en-US"/>
        </w:rPr>
        <w:t xml:space="preserve"> activities (in particular projects of the United Nations Development </w:t>
      </w:r>
      <w:proofErr w:type="spellStart"/>
      <w:r w:rsidRPr="001C2A98">
        <w:rPr>
          <w:lang w:val="en-US"/>
        </w:rPr>
        <w:t>Programme</w:t>
      </w:r>
      <w:proofErr w:type="spellEnd"/>
      <w:r w:rsidRPr="001C2A98">
        <w:rPr>
          <w:lang w:val="en-US"/>
        </w:rPr>
        <w:t>, nationally-executed projects and voluntary contributions) are fully recognized as expenses in the statement of financial performance at the monthly closure following acquisition.</w:t>
      </w:r>
    </w:p>
    <w:p w:rsidR="0022373A" w:rsidRPr="001C2A98" w:rsidRDefault="0022373A" w:rsidP="00A027BD">
      <w:pPr>
        <w:jc w:val="both"/>
        <w:rPr>
          <w:lang w:val="en-US"/>
        </w:rPr>
      </w:pPr>
      <w:r w:rsidRPr="001C2A98">
        <w:rPr>
          <w:lang w:val="en-US"/>
        </w:rPr>
        <w:t xml:space="preserve">Subsequent costs related to fixed assets are capitalized and depreciated when they bring about an increase in service potential associated with use of the fixed asset and do not concern maintenance or repair costs for the </w:t>
      </w:r>
      <w:r w:rsidR="00480A04">
        <w:rPr>
          <w:lang w:val="en-US"/>
        </w:rPr>
        <w:t xml:space="preserve">concerned </w:t>
      </w:r>
      <w:r w:rsidRPr="001C2A98">
        <w:rPr>
          <w:lang w:val="en-US"/>
        </w:rPr>
        <w:t>fixed asset, these being recognized in the statement of financial performance.</w:t>
      </w:r>
    </w:p>
    <w:p w:rsidR="000D09E0" w:rsidRDefault="0022373A" w:rsidP="00D20740">
      <w:pPr>
        <w:jc w:val="both"/>
        <w:rPr>
          <w:lang w:val="en-US"/>
        </w:rPr>
      </w:pPr>
      <w:r w:rsidRPr="001C2A98">
        <w:rPr>
          <w:lang w:val="en-US"/>
        </w:rPr>
        <w:t>Where a fixed asset comprises several significant components having different useful lives, each component is recognized separately. Depreciation is calculated on a straight-line basis according to the estimated useful life of each item, with a final residual period, if applicable. The residual values and useful lives of assets, as well as the depreciation methods, are reviewed, and adjusted if necessary, at each annual closure.</w:t>
      </w:r>
      <w:r w:rsidR="000D09E0">
        <w:rPr>
          <w:lang w:val="en-US"/>
        </w:rPr>
        <w:br w:type="page"/>
      </w:r>
    </w:p>
    <w:p w:rsidR="0022373A" w:rsidRDefault="0022373A" w:rsidP="000D09E0">
      <w:pPr>
        <w:snapToGrid w:val="0"/>
        <w:spacing w:after="120"/>
        <w:jc w:val="both"/>
        <w:rPr>
          <w:lang w:val="en-US"/>
        </w:rPr>
      </w:pPr>
      <w:r w:rsidRPr="001C2A98">
        <w:rPr>
          <w:lang w:val="en-US"/>
        </w:rPr>
        <w:t>Average useful lives are taken to be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2"/>
        <w:gridCol w:w="3481"/>
      </w:tblGrid>
      <w:tr w:rsidR="0022373A" w:rsidRPr="00EE08C2" w:rsidTr="00224A06">
        <w:trPr>
          <w:trHeight w:val="397"/>
        </w:trPr>
        <w:tc>
          <w:tcPr>
            <w:tcW w:w="6182" w:type="dxa"/>
            <w:tcBorders>
              <w:bottom w:val="single" w:sz="4" w:space="0" w:color="auto"/>
            </w:tcBorders>
            <w:vAlign w:val="center"/>
          </w:tcPr>
          <w:p w:rsidR="0022373A" w:rsidRPr="00EE08C2" w:rsidRDefault="0022373A" w:rsidP="00EE08C2">
            <w:pPr>
              <w:pStyle w:val="Tablehead"/>
              <w:spacing w:before="0" w:after="0"/>
              <w:rPr>
                <w:szCs w:val="18"/>
                <w:lang w:val="en-US" w:eastAsia="fr-FR"/>
              </w:rPr>
            </w:pPr>
            <w:r w:rsidRPr="00EE08C2">
              <w:rPr>
                <w:bCs/>
                <w:color w:val="000000"/>
                <w:szCs w:val="18"/>
                <w:lang w:val="en-US"/>
              </w:rPr>
              <w:t>Categories and subcategories of assets</w:t>
            </w:r>
          </w:p>
        </w:tc>
        <w:tc>
          <w:tcPr>
            <w:tcW w:w="3481" w:type="dxa"/>
            <w:tcBorders>
              <w:bottom w:val="single" w:sz="4" w:space="0" w:color="auto"/>
            </w:tcBorders>
            <w:vAlign w:val="center"/>
          </w:tcPr>
          <w:p w:rsidR="0022373A" w:rsidRPr="00EE08C2" w:rsidRDefault="0022373A" w:rsidP="00EE08C2">
            <w:pPr>
              <w:pStyle w:val="Tablehead"/>
              <w:spacing w:before="0" w:after="0"/>
              <w:rPr>
                <w:szCs w:val="18"/>
                <w:lang w:val="en-US" w:eastAsia="fr-FR"/>
              </w:rPr>
            </w:pPr>
            <w:r w:rsidRPr="00EE08C2">
              <w:rPr>
                <w:bCs/>
                <w:color w:val="000000"/>
                <w:szCs w:val="18"/>
                <w:lang w:val="en-US"/>
              </w:rPr>
              <w:t>Estimated useful life (in years)</w:t>
            </w:r>
          </w:p>
        </w:tc>
      </w:tr>
      <w:tr w:rsidR="0022373A" w:rsidRPr="00EE08C2" w:rsidTr="00224A06">
        <w:tc>
          <w:tcPr>
            <w:tcW w:w="6182" w:type="dxa"/>
            <w:tcBorders>
              <w:bottom w:val="nil"/>
              <w:right w:val="single" w:sz="4" w:space="0" w:color="auto"/>
            </w:tcBorders>
          </w:tcPr>
          <w:p w:rsidR="0022373A" w:rsidRPr="00EE08C2" w:rsidRDefault="0022373A" w:rsidP="00C60CF6">
            <w:pPr>
              <w:pStyle w:val="Tabletext"/>
              <w:spacing w:before="20" w:after="20"/>
              <w:rPr>
                <w:szCs w:val="18"/>
                <w:lang w:val="en-US" w:eastAsia="fr-FR"/>
              </w:rPr>
            </w:pPr>
            <w:r w:rsidRPr="00EE08C2">
              <w:rPr>
                <w:color w:val="000000"/>
                <w:szCs w:val="18"/>
                <w:lang w:val="en-US"/>
              </w:rPr>
              <w:t>Buildings</w:t>
            </w:r>
          </w:p>
        </w:tc>
        <w:tc>
          <w:tcPr>
            <w:tcW w:w="3481" w:type="dxa"/>
            <w:tcBorders>
              <w:left w:val="single" w:sz="4" w:space="0" w:color="auto"/>
              <w:bottom w:val="nil"/>
            </w:tcBorders>
          </w:tcPr>
          <w:p w:rsidR="0022373A" w:rsidRPr="00EE08C2" w:rsidRDefault="0022373A" w:rsidP="00C60CF6">
            <w:pPr>
              <w:pStyle w:val="Tabletext"/>
              <w:spacing w:before="20" w:after="20"/>
              <w:ind w:right="424"/>
              <w:jc w:val="right"/>
              <w:rPr>
                <w:szCs w:val="18"/>
                <w:lang w:val="en-US" w:eastAsia="fr-FR"/>
              </w:rPr>
            </w:pP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Structure</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100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Envelope (flat roof, insulation, sealing…)</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60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 xml:space="preserve">Envelope (metal façades, </w:t>
            </w:r>
            <w:r w:rsidR="005D13F6" w:rsidRPr="00EE08C2">
              <w:rPr>
                <w:color w:val="000000"/>
                <w:sz w:val="22"/>
                <w:szCs w:val="18"/>
                <w:lang w:val="en-US"/>
              </w:rPr>
              <w:t>aluminum</w:t>
            </w:r>
            <w:r w:rsidRPr="00EE08C2">
              <w:rPr>
                <w:color w:val="000000"/>
                <w:sz w:val="22"/>
                <w:szCs w:val="18"/>
                <w:lang w:val="en-US"/>
              </w:rPr>
              <w:t xml:space="preserve"> window-frames…)</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50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Interior finishing (raised flooring, partitions…)</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50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Interior finishing (floor, wall and ceiling coverings…)</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40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Special equipment</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40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Technical installations (electricity)</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50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Technical installations (plumbing)</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40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Technical installations (heating, ventilation)</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30</w:t>
            </w:r>
          </w:p>
        </w:tc>
      </w:tr>
      <w:tr w:rsidR="0022373A" w:rsidRPr="00EE08C2" w:rsidTr="00224A06">
        <w:tc>
          <w:tcPr>
            <w:tcW w:w="6182" w:type="dxa"/>
            <w:tcBorders>
              <w:top w:val="nil"/>
              <w:bottom w:val="nil"/>
              <w:right w:val="single" w:sz="4" w:space="0" w:color="auto"/>
            </w:tcBorders>
          </w:tcPr>
          <w:p w:rsidR="0022373A" w:rsidRPr="00EE08C2" w:rsidRDefault="0022373A" w:rsidP="00C60CF6">
            <w:pPr>
              <w:spacing w:before="20"/>
              <w:rPr>
                <w:color w:val="000000"/>
                <w:sz w:val="22"/>
                <w:szCs w:val="18"/>
                <w:lang w:val="en-US"/>
              </w:rPr>
            </w:pPr>
            <w:r w:rsidRPr="00EE08C2">
              <w:rPr>
                <w:color w:val="000000"/>
                <w:sz w:val="22"/>
                <w:szCs w:val="18"/>
                <w:lang w:val="en-US"/>
              </w:rPr>
              <w:tab/>
              <w:t>Transport facilities</w:t>
            </w:r>
          </w:p>
        </w:tc>
        <w:tc>
          <w:tcPr>
            <w:tcW w:w="3481" w:type="dxa"/>
            <w:tcBorders>
              <w:top w:val="nil"/>
              <w:left w:val="single" w:sz="4" w:space="0" w:color="auto"/>
              <w:bottom w:val="nil"/>
            </w:tcBorders>
          </w:tcPr>
          <w:p w:rsidR="0022373A" w:rsidRPr="00EE08C2" w:rsidRDefault="0022373A" w:rsidP="00C60CF6">
            <w:pPr>
              <w:pStyle w:val="Tabletext"/>
              <w:spacing w:before="20" w:after="0"/>
              <w:ind w:right="424"/>
              <w:jc w:val="right"/>
              <w:rPr>
                <w:szCs w:val="18"/>
                <w:lang w:val="en-US" w:eastAsia="fr-FR"/>
              </w:rPr>
            </w:pPr>
            <w:r w:rsidRPr="00EE08C2">
              <w:rPr>
                <w:szCs w:val="18"/>
                <w:lang w:val="en-US" w:eastAsia="fr-FR"/>
              </w:rPr>
              <w:t>40</w:t>
            </w:r>
          </w:p>
        </w:tc>
      </w:tr>
      <w:tr w:rsidR="0022373A" w:rsidRPr="00EE08C2" w:rsidTr="00224A06">
        <w:trPr>
          <w:trHeight w:val="170"/>
        </w:trPr>
        <w:tc>
          <w:tcPr>
            <w:tcW w:w="6182" w:type="dxa"/>
            <w:tcBorders>
              <w:top w:val="nil"/>
              <w:bottom w:val="nil"/>
              <w:right w:val="single" w:sz="4" w:space="0" w:color="auto"/>
            </w:tcBorders>
          </w:tcPr>
          <w:p w:rsidR="0022373A" w:rsidRPr="00EE08C2" w:rsidRDefault="0022373A" w:rsidP="00C60CF6">
            <w:pPr>
              <w:pStyle w:val="Tabletext"/>
              <w:spacing w:before="20" w:after="20"/>
              <w:rPr>
                <w:sz w:val="12"/>
                <w:szCs w:val="8"/>
                <w:lang w:val="en-US" w:eastAsia="fr-FR"/>
              </w:rPr>
            </w:pPr>
          </w:p>
        </w:tc>
        <w:tc>
          <w:tcPr>
            <w:tcW w:w="3481" w:type="dxa"/>
            <w:tcBorders>
              <w:top w:val="nil"/>
              <w:left w:val="single" w:sz="4" w:space="0" w:color="auto"/>
              <w:bottom w:val="nil"/>
            </w:tcBorders>
          </w:tcPr>
          <w:p w:rsidR="0022373A" w:rsidRPr="00EE08C2" w:rsidRDefault="0022373A" w:rsidP="00C60CF6">
            <w:pPr>
              <w:pStyle w:val="Tabletext"/>
              <w:spacing w:before="20" w:after="20"/>
              <w:ind w:right="424"/>
              <w:jc w:val="right"/>
              <w:rPr>
                <w:sz w:val="12"/>
                <w:szCs w:val="8"/>
                <w:lang w:val="en-US" w:eastAsia="fr-FR"/>
              </w:rPr>
            </w:pPr>
          </w:p>
        </w:tc>
      </w:tr>
      <w:tr w:rsidR="0022373A" w:rsidRPr="00EE08C2" w:rsidTr="00224A06">
        <w:tc>
          <w:tcPr>
            <w:tcW w:w="6182" w:type="dxa"/>
            <w:tcBorders>
              <w:top w:val="nil"/>
              <w:bottom w:val="nil"/>
              <w:right w:val="single" w:sz="4" w:space="0" w:color="auto"/>
            </w:tcBorders>
          </w:tcPr>
          <w:p w:rsidR="0022373A" w:rsidRPr="00EE08C2" w:rsidRDefault="0022373A" w:rsidP="00C60CF6">
            <w:pPr>
              <w:pStyle w:val="Tabletext"/>
              <w:spacing w:before="20" w:after="20"/>
              <w:rPr>
                <w:szCs w:val="18"/>
                <w:lang w:val="en-US" w:eastAsia="fr-FR"/>
              </w:rPr>
            </w:pPr>
            <w:r w:rsidRPr="00EE08C2">
              <w:rPr>
                <w:color w:val="000000"/>
                <w:szCs w:val="18"/>
                <w:lang w:val="en-US"/>
              </w:rPr>
              <w:t>Machinery and equipment</w:t>
            </w:r>
          </w:p>
        </w:tc>
        <w:tc>
          <w:tcPr>
            <w:tcW w:w="3481" w:type="dxa"/>
            <w:tcBorders>
              <w:top w:val="nil"/>
              <w:left w:val="single" w:sz="4" w:space="0" w:color="auto"/>
              <w:bottom w:val="nil"/>
            </w:tcBorders>
          </w:tcPr>
          <w:p w:rsidR="0022373A" w:rsidRPr="00EE08C2" w:rsidRDefault="0022373A" w:rsidP="00C60CF6">
            <w:pPr>
              <w:pStyle w:val="Tabletext"/>
              <w:spacing w:before="20" w:after="20"/>
              <w:ind w:right="424"/>
              <w:jc w:val="right"/>
              <w:rPr>
                <w:szCs w:val="18"/>
                <w:lang w:val="en-US" w:eastAsia="fr-FR"/>
              </w:rPr>
            </w:pPr>
            <w:r w:rsidRPr="00EE08C2">
              <w:rPr>
                <w:szCs w:val="18"/>
                <w:lang w:val="en-US" w:eastAsia="fr-FR"/>
              </w:rPr>
              <w:t>5</w:t>
            </w:r>
          </w:p>
        </w:tc>
      </w:tr>
      <w:tr w:rsidR="0022373A" w:rsidRPr="00EE08C2" w:rsidTr="00224A06">
        <w:tc>
          <w:tcPr>
            <w:tcW w:w="6182" w:type="dxa"/>
            <w:tcBorders>
              <w:top w:val="nil"/>
              <w:bottom w:val="nil"/>
              <w:right w:val="single" w:sz="4" w:space="0" w:color="auto"/>
            </w:tcBorders>
          </w:tcPr>
          <w:p w:rsidR="0022373A" w:rsidRPr="00EE08C2" w:rsidRDefault="0022373A" w:rsidP="00C60CF6">
            <w:pPr>
              <w:pStyle w:val="Tabletext"/>
              <w:spacing w:before="20" w:after="20"/>
              <w:rPr>
                <w:szCs w:val="18"/>
                <w:lang w:val="en-US" w:eastAsia="fr-FR"/>
              </w:rPr>
            </w:pPr>
            <w:r w:rsidRPr="00EE08C2">
              <w:rPr>
                <w:color w:val="000000"/>
                <w:szCs w:val="18"/>
                <w:lang w:val="en-US"/>
              </w:rPr>
              <w:t>Furniture and fixtures</w:t>
            </w:r>
          </w:p>
        </w:tc>
        <w:tc>
          <w:tcPr>
            <w:tcW w:w="3481" w:type="dxa"/>
            <w:tcBorders>
              <w:top w:val="nil"/>
              <w:left w:val="single" w:sz="4" w:space="0" w:color="auto"/>
              <w:bottom w:val="nil"/>
            </w:tcBorders>
          </w:tcPr>
          <w:p w:rsidR="0022373A" w:rsidRPr="00EE08C2" w:rsidRDefault="0022373A" w:rsidP="00C60CF6">
            <w:pPr>
              <w:pStyle w:val="Tabletext"/>
              <w:spacing w:before="20" w:after="20"/>
              <w:ind w:right="424"/>
              <w:jc w:val="right"/>
              <w:rPr>
                <w:szCs w:val="18"/>
                <w:lang w:val="en-US" w:eastAsia="fr-FR"/>
              </w:rPr>
            </w:pPr>
            <w:r w:rsidRPr="00EE08C2">
              <w:rPr>
                <w:szCs w:val="18"/>
                <w:lang w:val="en-US" w:eastAsia="fr-FR"/>
              </w:rPr>
              <w:t>5</w:t>
            </w:r>
          </w:p>
        </w:tc>
      </w:tr>
      <w:tr w:rsidR="0022373A" w:rsidRPr="00EE08C2" w:rsidTr="00224A06">
        <w:tc>
          <w:tcPr>
            <w:tcW w:w="6182" w:type="dxa"/>
            <w:tcBorders>
              <w:top w:val="nil"/>
              <w:bottom w:val="nil"/>
              <w:right w:val="single" w:sz="4" w:space="0" w:color="auto"/>
            </w:tcBorders>
          </w:tcPr>
          <w:p w:rsidR="0022373A" w:rsidRPr="00EE08C2" w:rsidRDefault="0022373A" w:rsidP="00C60CF6">
            <w:pPr>
              <w:pStyle w:val="Tabletext"/>
              <w:spacing w:before="20" w:after="20"/>
              <w:rPr>
                <w:szCs w:val="18"/>
                <w:lang w:val="en-US" w:eastAsia="fr-FR"/>
              </w:rPr>
            </w:pPr>
            <w:r w:rsidRPr="00EE08C2">
              <w:rPr>
                <w:color w:val="000000"/>
                <w:szCs w:val="18"/>
                <w:lang w:val="en-US"/>
              </w:rPr>
              <w:t>Vehicles</w:t>
            </w:r>
          </w:p>
        </w:tc>
        <w:tc>
          <w:tcPr>
            <w:tcW w:w="3481" w:type="dxa"/>
            <w:tcBorders>
              <w:top w:val="nil"/>
              <w:left w:val="single" w:sz="4" w:space="0" w:color="auto"/>
              <w:bottom w:val="nil"/>
            </w:tcBorders>
          </w:tcPr>
          <w:p w:rsidR="0022373A" w:rsidRPr="00EE08C2" w:rsidRDefault="0022373A" w:rsidP="00C60CF6">
            <w:pPr>
              <w:pStyle w:val="Tabletext"/>
              <w:spacing w:before="20" w:after="20"/>
              <w:ind w:right="424"/>
              <w:jc w:val="right"/>
              <w:rPr>
                <w:szCs w:val="18"/>
                <w:lang w:val="en-US" w:eastAsia="fr-FR"/>
              </w:rPr>
            </w:pPr>
            <w:r w:rsidRPr="00EE08C2">
              <w:rPr>
                <w:szCs w:val="18"/>
                <w:lang w:val="en-US" w:eastAsia="fr-FR"/>
              </w:rPr>
              <w:t>5</w:t>
            </w:r>
          </w:p>
        </w:tc>
      </w:tr>
      <w:tr w:rsidR="0022373A" w:rsidRPr="00EE08C2" w:rsidTr="00224A06">
        <w:tc>
          <w:tcPr>
            <w:tcW w:w="6182" w:type="dxa"/>
            <w:tcBorders>
              <w:top w:val="nil"/>
              <w:bottom w:val="nil"/>
              <w:right w:val="single" w:sz="4" w:space="0" w:color="auto"/>
            </w:tcBorders>
          </w:tcPr>
          <w:p w:rsidR="0022373A" w:rsidRPr="00EE08C2" w:rsidRDefault="0022373A" w:rsidP="00C60CF6">
            <w:pPr>
              <w:pStyle w:val="Tabletext"/>
              <w:spacing w:before="20" w:after="20"/>
              <w:rPr>
                <w:szCs w:val="18"/>
                <w:lang w:val="en-US" w:eastAsia="fr-FR"/>
              </w:rPr>
            </w:pPr>
            <w:r w:rsidRPr="00EE08C2">
              <w:rPr>
                <w:color w:val="000000"/>
                <w:szCs w:val="18"/>
                <w:lang w:val="en-US"/>
              </w:rPr>
              <w:t>Computer hardware</w:t>
            </w:r>
          </w:p>
        </w:tc>
        <w:tc>
          <w:tcPr>
            <w:tcW w:w="3481" w:type="dxa"/>
            <w:tcBorders>
              <w:top w:val="nil"/>
              <w:left w:val="single" w:sz="4" w:space="0" w:color="auto"/>
              <w:bottom w:val="nil"/>
            </w:tcBorders>
          </w:tcPr>
          <w:p w:rsidR="0022373A" w:rsidRPr="00EE08C2" w:rsidRDefault="0022373A" w:rsidP="00C60CF6">
            <w:pPr>
              <w:pStyle w:val="Tabletext"/>
              <w:spacing w:before="20" w:after="20"/>
              <w:ind w:right="424"/>
              <w:jc w:val="right"/>
              <w:rPr>
                <w:szCs w:val="18"/>
                <w:lang w:val="en-US" w:eastAsia="fr-FR"/>
              </w:rPr>
            </w:pPr>
            <w:r w:rsidRPr="00EE08C2">
              <w:rPr>
                <w:szCs w:val="18"/>
                <w:lang w:val="en-US" w:eastAsia="fr-FR"/>
              </w:rPr>
              <w:t>3</w:t>
            </w:r>
          </w:p>
        </w:tc>
      </w:tr>
      <w:tr w:rsidR="0022373A" w:rsidRPr="00EE08C2" w:rsidTr="00224A06">
        <w:tc>
          <w:tcPr>
            <w:tcW w:w="6182" w:type="dxa"/>
            <w:tcBorders>
              <w:top w:val="nil"/>
              <w:bottom w:val="nil"/>
              <w:right w:val="single" w:sz="4" w:space="0" w:color="auto"/>
            </w:tcBorders>
          </w:tcPr>
          <w:p w:rsidR="0022373A" w:rsidRPr="00EE08C2" w:rsidRDefault="0022373A" w:rsidP="00C60CF6">
            <w:pPr>
              <w:pStyle w:val="Tabletext"/>
              <w:spacing w:before="20" w:after="20"/>
              <w:rPr>
                <w:sz w:val="12"/>
                <w:szCs w:val="8"/>
                <w:lang w:val="en-US" w:eastAsia="fr-FR"/>
              </w:rPr>
            </w:pPr>
          </w:p>
        </w:tc>
        <w:tc>
          <w:tcPr>
            <w:tcW w:w="3481" w:type="dxa"/>
            <w:tcBorders>
              <w:top w:val="nil"/>
              <w:left w:val="single" w:sz="4" w:space="0" w:color="auto"/>
              <w:bottom w:val="nil"/>
            </w:tcBorders>
          </w:tcPr>
          <w:p w:rsidR="0022373A" w:rsidRPr="00EE08C2" w:rsidRDefault="0022373A" w:rsidP="00C60CF6">
            <w:pPr>
              <w:pStyle w:val="Tabletext"/>
              <w:spacing w:before="20" w:after="20"/>
              <w:ind w:right="424"/>
              <w:jc w:val="right"/>
              <w:rPr>
                <w:sz w:val="12"/>
                <w:szCs w:val="8"/>
                <w:lang w:val="en-US" w:eastAsia="fr-FR"/>
              </w:rPr>
            </w:pPr>
          </w:p>
        </w:tc>
      </w:tr>
      <w:tr w:rsidR="0022373A" w:rsidRPr="00EE08C2" w:rsidTr="00224A06">
        <w:tc>
          <w:tcPr>
            <w:tcW w:w="6182" w:type="dxa"/>
            <w:tcBorders>
              <w:top w:val="nil"/>
              <w:right w:val="single" w:sz="4" w:space="0" w:color="auto"/>
            </w:tcBorders>
          </w:tcPr>
          <w:p w:rsidR="0022373A" w:rsidRPr="00EE08C2" w:rsidRDefault="009C0AE0" w:rsidP="00C60CF6">
            <w:pPr>
              <w:pStyle w:val="Tabletext"/>
              <w:spacing w:before="20" w:after="20"/>
              <w:rPr>
                <w:szCs w:val="18"/>
                <w:lang w:val="en-US" w:eastAsia="fr-FR"/>
              </w:rPr>
            </w:pPr>
            <w:r w:rsidRPr="00EE08C2">
              <w:rPr>
                <w:color w:val="000000"/>
                <w:szCs w:val="18"/>
                <w:lang w:val="en-US"/>
              </w:rPr>
              <w:t>Licenses</w:t>
            </w:r>
            <w:r w:rsidR="0022373A" w:rsidRPr="00EE08C2">
              <w:rPr>
                <w:color w:val="000000"/>
                <w:szCs w:val="18"/>
                <w:lang w:val="en-US"/>
              </w:rPr>
              <w:t xml:space="preserve"> and software packages</w:t>
            </w:r>
          </w:p>
        </w:tc>
        <w:tc>
          <w:tcPr>
            <w:tcW w:w="3481" w:type="dxa"/>
            <w:tcBorders>
              <w:top w:val="nil"/>
              <w:left w:val="single" w:sz="4" w:space="0" w:color="auto"/>
            </w:tcBorders>
          </w:tcPr>
          <w:p w:rsidR="0022373A" w:rsidRPr="00EE08C2" w:rsidRDefault="0022373A" w:rsidP="00C60CF6">
            <w:pPr>
              <w:pStyle w:val="Tabletext"/>
              <w:spacing w:before="20" w:after="20"/>
              <w:ind w:right="424"/>
              <w:jc w:val="right"/>
              <w:rPr>
                <w:szCs w:val="18"/>
                <w:lang w:val="en-US" w:eastAsia="fr-FR"/>
              </w:rPr>
            </w:pPr>
            <w:r w:rsidRPr="00EE08C2">
              <w:rPr>
                <w:szCs w:val="18"/>
                <w:lang w:val="en-US" w:eastAsia="fr-FR"/>
              </w:rPr>
              <w:t>3</w:t>
            </w:r>
          </w:p>
        </w:tc>
      </w:tr>
    </w:tbl>
    <w:p w:rsidR="0022373A" w:rsidRPr="001C2A98" w:rsidRDefault="0022373A" w:rsidP="005C41A5">
      <w:pPr>
        <w:jc w:val="both"/>
        <w:rPr>
          <w:lang w:val="en-US"/>
        </w:rPr>
      </w:pPr>
      <w:r w:rsidRPr="001C2A98">
        <w:rPr>
          <w:lang w:val="en-US"/>
        </w:rPr>
        <w:t>At each annual closure date, ITU assesses whether there is any indication that an asset may be impaired. If any such indication exists, the recoverable amount of the asset is estimated and an impairment loss is recorded in the statement of financial performance when the carrying amount exceeds the recoverable amount.</w:t>
      </w:r>
    </w:p>
    <w:p w:rsidR="0022373A" w:rsidRPr="001C2A98" w:rsidRDefault="0022373A" w:rsidP="005C41A5">
      <w:pPr>
        <w:jc w:val="both"/>
        <w:rPr>
          <w:lang w:val="en-US"/>
        </w:rPr>
      </w:pPr>
      <w:r w:rsidRPr="001C2A98">
        <w:rPr>
          <w:lang w:val="en-US"/>
        </w:rPr>
        <w:t>The recoverable amount is the higher of the fair value less the costs of disposal, and the value in use. The recoverable amount of an asset is calculated individually. The value in use of fixed assets used for non-commercial purposes corresponds to the present value of the service potential expected from their use.</w:t>
      </w:r>
    </w:p>
    <w:p w:rsidR="0022373A" w:rsidRPr="001C2A98" w:rsidRDefault="0022373A" w:rsidP="005C41A5">
      <w:pPr>
        <w:jc w:val="both"/>
        <w:rPr>
          <w:lang w:val="en-US"/>
        </w:rPr>
      </w:pPr>
      <w:r w:rsidRPr="001C2A98">
        <w:rPr>
          <w:lang w:val="en-US"/>
        </w:rPr>
        <w:t>An impairment loss recognized in prior periods is reversed if there has been change in the estimates of the recoverable amount since the last estimate. The net carrying amount of the asset is increased, but shall not exceed the net carrying amount that would have applied to the asset had no impairment loss been recognized in the first place. The reverse is recorded in the statement of financial performance.</w:t>
      </w:r>
    </w:p>
    <w:p w:rsidR="0022373A" w:rsidRPr="001C2A98" w:rsidRDefault="0022373A" w:rsidP="005C41A5">
      <w:pPr>
        <w:pStyle w:val="Heading5"/>
        <w:jc w:val="both"/>
        <w:rPr>
          <w:u w:val="single"/>
          <w:lang w:val="en-US"/>
        </w:rPr>
      </w:pPr>
      <w:bookmarkStart w:id="46" w:name="_Toc329011619"/>
      <w:r w:rsidRPr="001C2A98">
        <w:rPr>
          <w:u w:val="single"/>
          <w:lang w:val="en-US"/>
        </w:rPr>
        <w:t>Fixed assets acquired under lease</w:t>
      </w:r>
      <w:bookmarkEnd w:id="46"/>
    </w:p>
    <w:p w:rsidR="0022373A" w:rsidRPr="001C2A98" w:rsidRDefault="0022373A" w:rsidP="00BD5D98">
      <w:pPr>
        <w:jc w:val="both"/>
        <w:rPr>
          <w:lang w:val="en-US"/>
        </w:rPr>
      </w:pPr>
      <w:r w:rsidRPr="001C2A98">
        <w:rPr>
          <w:lang w:val="en-US"/>
        </w:rPr>
        <w:t xml:space="preserve">Within the framework of its activities, ITU may use leased assets. Leases were </w:t>
      </w:r>
      <w:r w:rsidR="00991717" w:rsidRPr="001C2A98">
        <w:rPr>
          <w:lang w:val="en-US"/>
        </w:rPr>
        <w:t>analyzed</w:t>
      </w:r>
      <w:r w:rsidRPr="001C2A98">
        <w:rPr>
          <w:lang w:val="en-US"/>
        </w:rPr>
        <w:t xml:space="preserve"> with respect to the situations described and indicators provided in </w:t>
      </w:r>
      <w:r w:rsidRPr="0076607B">
        <w:rPr>
          <w:lang w:val="en-US"/>
        </w:rPr>
        <w:t xml:space="preserve">IPSAS 13 in order to determine whether they were operating leases or </w:t>
      </w:r>
      <w:r w:rsidRPr="004F546C">
        <w:rPr>
          <w:lang w:val="en-US"/>
        </w:rPr>
        <w:t xml:space="preserve">finance leases. As at 31 December </w:t>
      </w:r>
      <w:r w:rsidR="00111BDD">
        <w:rPr>
          <w:lang w:val="en-US"/>
        </w:rPr>
        <w:t>201</w:t>
      </w:r>
      <w:r w:rsidR="00BD5D98">
        <w:rPr>
          <w:lang w:val="en-US"/>
        </w:rPr>
        <w:t>8</w:t>
      </w:r>
      <w:r w:rsidRPr="004F546C">
        <w:rPr>
          <w:lang w:val="en-US"/>
        </w:rPr>
        <w:t>, leases concluded by ITU correspond to the definition of operating leases and are recognized as such. Payments made in respect of such leases are recognized as expenses in the statement of financial performance on a straight-line basis over the term of the lease.</w:t>
      </w:r>
    </w:p>
    <w:p w:rsidR="0022373A" w:rsidRPr="001C2A98" w:rsidRDefault="0022373A" w:rsidP="005C41A5">
      <w:pPr>
        <w:pStyle w:val="Heading5"/>
        <w:jc w:val="both"/>
        <w:rPr>
          <w:u w:val="single"/>
          <w:lang w:val="en-US"/>
        </w:rPr>
      </w:pPr>
      <w:bookmarkStart w:id="47" w:name="_Toc305764071"/>
      <w:bookmarkStart w:id="48" w:name="_Toc329011620"/>
      <w:r w:rsidRPr="001C2A98">
        <w:rPr>
          <w:u w:val="single"/>
          <w:lang w:val="en-US"/>
        </w:rPr>
        <w:t>Intangible assets</w:t>
      </w:r>
      <w:bookmarkEnd w:id="47"/>
      <w:bookmarkEnd w:id="48"/>
    </w:p>
    <w:p w:rsidR="002560A2" w:rsidRDefault="0022373A" w:rsidP="00752F2D">
      <w:pPr>
        <w:jc w:val="both"/>
        <w:rPr>
          <w:lang w:val="en-US"/>
        </w:rPr>
      </w:pPr>
      <w:r w:rsidRPr="001C2A98">
        <w:rPr>
          <w:lang w:val="en-US"/>
        </w:rPr>
        <w:t xml:space="preserve">Intangible assets, IT </w:t>
      </w:r>
      <w:r w:rsidR="00F00000" w:rsidRPr="001C2A98">
        <w:rPr>
          <w:lang w:val="en-US"/>
        </w:rPr>
        <w:t>licen</w:t>
      </w:r>
      <w:r w:rsidR="00F00000">
        <w:rPr>
          <w:lang w:val="en-US"/>
        </w:rPr>
        <w:t>s</w:t>
      </w:r>
      <w:r w:rsidR="00F00000" w:rsidRPr="001C2A98">
        <w:rPr>
          <w:lang w:val="en-US"/>
        </w:rPr>
        <w:t>es</w:t>
      </w:r>
      <w:r w:rsidRPr="001C2A98">
        <w:rPr>
          <w:lang w:val="en-US"/>
        </w:rPr>
        <w:t xml:space="preserve"> and software, </w:t>
      </w:r>
      <w:r w:rsidR="00C5350B">
        <w:rPr>
          <w:lang w:val="en-US"/>
        </w:rPr>
        <w:t>with a value higher than CHF 50</w:t>
      </w:r>
      <w:r w:rsidR="007A552E">
        <w:rPr>
          <w:lang w:val="en-US"/>
        </w:rPr>
        <w:t>’</w:t>
      </w:r>
      <w:r w:rsidR="00C5350B">
        <w:rPr>
          <w:lang w:val="en-US"/>
        </w:rPr>
        <w:t xml:space="preserve">000, </w:t>
      </w:r>
      <w:r w:rsidRPr="001C2A98">
        <w:rPr>
          <w:lang w:val="en-US"/>
        </w:rPr>
        <w:t xml:space="preserve">are recognized on the basis of their historical cost less any accumulated depreciation and impairment losses, except in the opening balance sheet where the net value has been used. </w:t>
      </w:r>
      <w:r w:rsidR="001A66BA" w:rsidRPr="001C2A98">
        <w:rPr>
          <w:lang w:val="en-US"/>
        </w:rPr>
        <w:t>Licen</w:t>
      </w:r>
      <w:r w:rsidR="001A66BA">
        <w:rPr>
          <w:lang w:val="en-US"/>
        </w:rPr>
        <w:t>s</w:t>
      </w:r>
      <w:r w:rsidR="001A66BA" w:rsidRPr="001C2A98">
        <w:rPr>
          <w:lang w:val="en-US"/>
        </w:rPr>
        <w:t>es</w:t>
      </w:r>
      <w:r w:rsidRPr="001C2A98">
        <w:rPr>
          <w:lang w:val="en-US"/>
        </w:rPr>
        <w:t>, software packages, patents and rights are amortized on a straight-line basis over a period of three years.</w:t>
      </w:r>
    </w:p>
    <w:p w:rsidR="00C3351C" w:rsidRDefault="0022373A" w:rsidP="005C41A5">
      <w:pPr>
        <w:jc w:val="both"/>
        <w:rPr>
          <w:lang w:val="en-US"/>
        </w:rPr>
      </w:pPr>
      <w:r w:rsidRPr="001C2A98">
        <w:rPr>
          <w:lang w:val="en-US"/>
        </w:rPr>
        <w:t>All cos</w:t>
      </w:r>
      <w:r w:rsidR="00B11AA3">
        <w:rPr>
          <w:lang w:val="en-US"/>
        </w:rPr>
        <w:t>ts equal to or lower than CHF 50</w:t>
      </w:r>
      <w:r w:rsidR="007A552E">
        <w:rPr>
          <w:lang w:val="en-US"/>
        </w:rPr>
        <w:t>’</w:t>
      </w:r>
      <w:r>
        <w:rPr>
          <w:lang w:val="en-US"/>
        </w:rPr>
        <w:t>000</w:t>
      </w:r>
      <w:r w:rsidRPr="001C2A98">
        <w:rPr>
          <w:lang w:val="en-US"/>
        </w:rPr>
        <w:t xml:space="preserve"> are capitalized at the time of receipt of the good</w:t>
      </w:r>
      <w:r w:rsidR="00885437">
        <w:rPr>
          <w:lang w:val="en-US"/>
        </w:rPr>
        <w:t>s</w:t>
      </w:r>
      <w:r w:rsidRPr="001C2A98">
        <w:rPr>
          <w:lang w:val="en-US"/>
        </w:rPr>
        <w:t xml:space="preserve"> and fully recognized as expenses in the statement of financial performance at the monthly closure following acquisition.</w:t>
      </w:r>
    </w:p>
    <w:p w:rsidR="000C705A" w:rsidRPr="00C3351C" w:rsidRDefault="00F00000" w:rsidP="005C41A5">
      <w:pPr>
        <w:jc w:val="both"/>
        <w:rPr>
          <w:lang w:val="en-US"/>
        </w:rPr>
      </w:pPr>
      <w:r w:rsidRPr="00D128FC">
        <w:rPr>
          <w:color w:val="000000"/>
          <w:lang w:val="en-US"/>
        </w:rPr>
        <w:t>Licen</w:t>
      </w:r>
      <w:r>
        <w:rPr>
          <w:color w:val="000000"/>
          <w:lang w:val="en-US"/>
        </w:rPr>
        <w:t>s</w:t>
      </w:r>
      <w:r w:rsidRPr="00D128FC">
        <w:rPr>
          <w:color w:val="000000"/>
          <w:lang w:val="en-US"/>
        </w:rPr>
        <w:t>es</w:t>
      </w:r>
      <w:r w:rsidR="0022373A" w:rsidRPr="00D128FC">
        <w:rPr>
          <w:color w:val="000000"/>
          <w:lang w:val="en-US"/>
        </w:rPr>
        <w:t>, software packages and pat</w:t>
      </w:r>
      <w:r w:rsidR="00FA3992" w:rsidRPr="00D128FC">
        <w:rPr>
          <w:color w:val="000000"/>
          <w:lang w:val="en-US"/>
        </w:rPr>
        <w:t xml:space="preserve">ents developed in house are </w:t>
      </w:r>
      <w:r w:rsidR="0022373A" w:rsidRPr="00D128FC">
        <w:rPr>
          <w:color w:val="000000"/>
          <w:lang w:val="en-US"/>
        </w:rPr>
        <w:t xml:space="preserve">capitalized </w:t>
      </w:r>
      <w:r w:rsidR="00FA3992" w:rsidRPr="00D128FC">
        <w:rPr>
          <w:color w:val="000000"/>
          <w:lang w:val="en-US"/>
        </w:rPr>
        <w:t xml:space="preserve">if </w:t>
      </w:r>
      <w:r w:rsidR="004F7C6A" w:rsidRPr="00D128FC">
        <w:rPr>
          <w:color w:val="000000"/>
          <w:lang w:val="en-US"/>
        </w:rPr>
        <w:t xml:space="preserve">it is probable that ITU will benefit from future economic benefits or service potential attributed to them. </w:t>
      </w:r>
      <w:r w:rsidR="000C705A" w:rsidRPr="00D128FC">
        <w:rPr>
          <w:color w:val="000000"/>
          <w:lang w:val="en-US"/>
        </w:rPr>
        <w:t>Development costs that are directly attributable to the design and testing of identifiable and unique software products controlled by the Union are recognized as intangible assets when the following criteria are met</w:t>
      </w:r>
      <w:r w:rsidR="00C3351C" w:rsidRPr="00D128FC">
        <w:rPr>
          <w:color w:val="000000"/>
          <w:lang w:val="en-US"/>
        </w:rPr>
        <w:t xml:space="preserve"> at the closing date</w:t>
      </w:r>
      <w:r w:rsidR="000C705A" w:rsidRPr="00D128FC">
        <w:rPr>
          <w:color w:val="000000"/>
          <w:lang w:val="en-US"/>
        </w:rPr>
        <w:t>:</w:t>
      </w:r>
    </w:p>
    <w:p w:rsidR="000C705A" w:rsidRPr="00D128FC" w:rsidRDefault="000C705A" w:rsidP="0013363C">
      <w:pPr>
        <w:pStyle w:val="ListParagraph"/>
        <w:numPr>
          <w:ilvl w:val="0"/>
          <w:numId w:val="1"/>
        </w:numPr>
        <w:spacing w:before="120"/>
        <w:ind w:left="714" w:hanging="357"/>
        <w:jc w:val="both"/>
        <w:rPr>
          <w:rFonts w:ascii="Calibri" w:hAnsi="Calibri"/>
          <w:color w:val="000000"/>
          <w:szCs w:val="20"/>
          <w:lang w:eastAsia="en-US"/>
        </w:rPr>
      </w:pPr>
      <w:r w:rsidRPr="00D128FC">
        <w:rPr>
          <w:rFonts w:ascii="Calibri" w:hAnsi="Calibri"/>
          <w:color w:val="000000"/>
        </w:rPr>
        <w:t xml:space="preserve">it is technically feasible to complete the software product so that it will be </w:t>
      </w:r>
      <w:r w:rsidRPr="00D128FC">
        <w:rPr>
          <w:rFonts w:ascii="Calibri" w:hAnsi="Calibri"/>
          <w:color w:val="000000"/>
          <w:szCs w:val="20"/>
          <w:lang w:eastAsia="en-US"/>
        </w:rPr>
        <w:t>available for use;</w:t>
      </w:r>
    </w:p>
    <w:p w:rsidR="000C705A" w:rsidRPr="00D128FC" w:rsidRDefault="000C705A" w:rsidP="0013363C">
      <w:pPr>
        <w:pStyle w:val="ListParagraph"/>
        <w:numPr>
          <w:ilvl w:val="0"/>
          <w:numId w:val="1"/>
        </w:numPr>
        <w:jc w:val="both"/>
        <w:rPr>
          <w:rFonts w:ascii="Calibri" w:hAnsi="Calibri"/>
          <w:color w:val="000000"/>
        </w:rPr>
      </w:pPr>
      <w:r w:rsidRPr="00D128FC">
        <w:rPr>
          <w:rFonts w:ascii="Calibri" w:hAnsi="Calibri"/>
          <w:color w:val="000000"/>
        </w:rPr>
        <w:t>management intends to complete the software product and use or sell it;</w:t>
      </w:r>
    </w:p>
    <w:p w:rsidR="000C705A" w:rsidRPr="00D128FC" w:rsidRDefault="000C705A" w:rsidP="0013363C">
      <w:pPr>
        <w:pStyle w:val="ListParagraph"/>
        <w:numPr>
          <w:ilvl w:val="0"/>
          <w:numId w:val="1"/>
        </w:numPr>
        <w:jc w:val="both"/>
        <w:rPr>
          <w:rFonts w:ascii="Calibri" w:hAnsi="Calibri"/>
          <w:color w:val="000000"/>
        </w:rPr>
      </w:pPr>
      <w:r w:rsidRPr="00D128FC">
        <w:rPr>
          <w:rFonts w:ascii="Calibri" w:hAnsi="Calibri"/>
          <w:color w:val="000000"/>
        </w:rPr>
        <w:t>there is an ability to use or sell the software product;</w:t>
      </w:r>
    </w:p>
    <w:p w:rsidR="000C705A" w:rsidRPr="00D128FC" w:rsidRDefault="000C705A" w:rsidP="0013363C">
      <w:pPr>
        <w:pStyle w:val="ListParagraph"/>
        <w:numPr>
          <w:ilvl w:val="0"/>
          <w:numId w:val="1"/>
        </w:numPr>
        <w:jc w:val="both"/>
        <w:rPr>
          <w:rFonts w:ascii="Calibri" w:hAnsi="Calibri"/>
          <w:color w:val="000000"/>
        </w:rPr>
      </w:pPr>
      <w:r w:rsidRPr="00D128FC">
        <w:rPr>
          <w:rFonts w:ascii="Calibri" w:hAnsi="Calibri"/>
          <w:color w:val="000000"/>
        </w:rPr>
        <w:t>it can be demonstrated how the software product will generate probable future economic benefits;</w:t>
      </w:r>
    </w:p>
    <w:p w:rsidR="000C705A" w:rsidRPr="00D128FC" w:rsidRDefault="000C705A" w:rsidP="0013363C">
      <w:pPr>
        <w:pStyle w:val="ListParagraph"/>
        <w:numPr>
          <w:ilvl w:val="0"/>
          <w:numId w:val="1"/>
        </w:numPr>
        <w:jc w:val="both"/>
        <w:rPr>
          <w:rFonts w:ascii="Calibri" w:hAnsi="Calibri"/>
          <w:color w:val="000000"/>
        </w:rPr>
      </w:pPr>
      <w:r w:rsidRPr="00D128FC">
        <w:rPr>
          <w:rFonts w:ascii="Calibri" w:hAnsi="Calibri"/>
          <w:color w:val="000000"/>
        </w:rPr>
        <w:t>adequate technical, financial and other resources to complete the development and to use or sell the software product are available; and the expenditure attributable to the software product during its development can be reliably measured.</w:t>
      </w:r>
    </w:p>
    <w:p w:rsidR="000C705A" w:rsidRPr="000C705A" w:rsidRDefault="000C705A" w:rsidP="005C41A5">
      <w:pPr>
        <w:tabs>
          <w:tab w:val="clear" w:pos="567"/>
          <w:tab w:val="clear" w:pos="1134"/>
          <w:tab w:val="clear" w:pos="1701"/>
          <w:tab w:val="clear" w:pos="2268"/>
          <w:tab w:val="clear" w:pos="2835"/>
        </w:tabs>
        <w:overflowPunct/>
        <w:jc w:val="both"/>
        <w:textAlignment w:val="auto"/>
        <w:rPr>
          <w:lang w:val="en-US"/>
        </w:rPr>
      </w:pPr>
      <w:r w:rsidRPr="000C705A">
        <w:rPr>
          <w:lang w:val="en-US"/>
        </w:rPr>
        <w:t>Directly attributable costs that are capitalized as part of the software product include</w:t>
      </w:r>
      <w:r>
        <w:rPr>
          <w:lang w:val="en-US"/>
        </w:rPr>
        <w:t xml:space="preserve"> t</w:t>
      </w:r>
      <w:r w:rsidRPr="000C705A">
        <w:rPr>
          <w:lang w:val="en-US"/>
        </w:rPr>
        <w:t>he software development employee costs and an appropriate portion of relevant</w:t>
      </w:r>
      <w:r>
        <w:rPr>
          <w:lang w:val="en-US"/>
        </w:rPr>
        <w:t xml:space="preserve"> </w:t>
      </w:r>
      <w:r w:rsidRPr="000C705A">
        <w:rPr>
          <w:lang w:val="en-US"/>
        </w:rPr>
        <w:t>overheads.</w:t>
      </w:r>
    </w:p>
    <w:p w:rsidR="000C705A" w:rsidRPr="000C705A" w:rsidRDefault="000C705A" w:rsidP="005C41A5">
      <w:pPr>
        <w:tabs>
          <w:tab w:val="clear" w:pos="567"/>
          <w:tab w:val="clear" w:pos="1134"/>
          <w:tab w:val="clear" w:pos="1701"/>
          <w:tab w:val="clear" w:pos="2268"/>
          <w:tab w:val="clear" w:pos="2835"/>
        </w:tabs>
        <w:overflowPunct/>
        <w:jc w:val="both"/>
        <w:textAlignment w:val="auto"/>
        <w:rPr>
          <w:lang w:val="en-US"/>
        </w:rPr>
      </w:pPr>
      <w:r w:rsidRPr="000C705A">
        <w:rPr>
          <w:lang w:val="en-US"/>
        </w:rPr>
        <w:t>Other development expenditures that do not meet these criteria are recogni</w:t>
      </w:r>
      <w:r w:rsidR="00480A04">
        <w:rPr>
          <w:lang w:val="en-US"/>
        </w:rPr>
        <w:t>z</w:t>
      </w:r>
      <w:r w:rsidRPr="000C705A">
        <w:rPr>
          <w:lang w:val="en-US"/>
        </w:rPr>
        <w:t>ed as an</w:t>
      </w:r>
      <w:r>
        <w:rPr>
          <w:lang w:val="en-US"/>
        </w:rPr>
        <w:t xml:space="preserve"> </w:t>
      </w:r>
      <w:r w:rsidRPr="000C705A">
        <w:rPr>
          <w:lang w:val="en-US"/>
        </w:rPr>
        <w:t>expense as incurred. Development costs previously recognized as an expense are</w:t>
      </w:r>
      <w:r>
        <w:rPr>
          <w:lang w:val="en-US"/>
        </w:rPr>
        <w:t xml:space="preserve"> </w:t>
      </w:r>
      <w:r w:rsidRPr="000C705A">
        <w:rPr>
          <w:lang w:val="en-US"/>
        </w:rPr>
        <w:t>not recognized as an asset in a subsequent period.</w:t>
      </w:r>
    </w:p>
    <w:p w:rsidR="00FA3992" w:rsidRDefault="000C705A" w:rsidP="005C41A5">
      <w:pPr>
        <w:tabs>
          <w:tab w:val="clear" w:pos="567"/>
          <w:tab w:val="clear" w:pos="1134"/>
          <w:tab w:val="clear" w:pos="1701"/>
          <w:tab w:val="clear" w:pos="2268"/>
          <w:tab w:val="clear" w:pos="2835"/>
        </w:tabs>
        <w:overflowPunct/>
        <w:jc w:val="both"/>
        <w:textAlignment w:val="auto"/>
        <w:rPr>
          <w:lang w:val="en-US"/>
        </w:rPr>
      </w:pPr>
      <w:r w:rsidRPr="000C705A">
        <w:rPr>
          <w:lang w:val="en-US"/>
        </w:rPr>
        <w:t>Computer software development costs recognized as assets are amortized over their</w:t>
      </w:r>
      <w:r>
        <w:rPr>
          <w:lang w:val="en-US"/>
        </w:rPr>
        <w:t xml:space="preserve"> </w:t>
      </w:r>
      <w:r w:rsidRPr="000C705A">
        <w:rPr>
          <w:lang w:val="en-US"/>
        </w:rPr>
        <w:t>estimated useful lives, which does not exceed three years.</w:t>
      </w:r>
    </w:p>
    <w:p w:rsidR="00C3351C" w:rsidRPr="000C705A" w:rsidRDefault="00C3351C" w:rsidP="005C41A5">
      <w:pPr>
        <w:tabs>
          <w:tab w:val="clear" w:pos="567"/>
          <w:tab w:val="clear" w:pos="1134"/>
          <w:tab w:val="clear" w:pos="1701"/>
          <w:tab w:val="clear" w:pos="2268"/>
          <w:tab w:val="clear" w:pos="2835"/>
        </w:tabs>
        <w:overflowPunct/>
        <w:jc w:val="both"/>
        <w:textAlignment w:val="auto"/>
        <w:rPr>
          <w:lang w:val="en-US"/>
        </w:rPr>
      </w:pPr>
      <w:r w:rsidRPr="001C2A98">
        <w:rPr>
          <w:lang w:val="en-US"/>
        </w:rPr>
        <w:t xml:space="preserve">Costs associated with </w:t>
      </w:r>
      <w:r>
        <w:rPr>
          <w:lang w:val="en-US"/>
        </w:rPr>
        <w:t xml:space="preserve">maintaining computer software </w:t>
      </w:r>
      <w:proofErr w:type="spellStart"/>
      <w:r w:rsidRPr="000C705A">
        <w:rPr>
          <w:lang w:val="en-US"/>
        </w:rPr>
        <w:t>program</w:t>
      </w:r>
      <w:r w:rsidR="005347CD">
        <w:rPr>
          <w:lang w:val="en-US"/>
        </w:rPr>
        <w:t>mes</w:t>
      </w:r>
      <w:proofErr w:type="spellEnd"/>
      <w:r w:rsidRPr="000C705A">
        <w:rPr>
          <w:lang w:val="en-US"/>
        </w:rPr>
        <w:t xml:space="preserve"> are recognized</w:t>
      </w:r>
      <w:r>
        <w:rPr>
          <w:lang w:val="en-US"/>
        </w:rPr>
        <w:t xml:space="preserve"> </w:t>
      </w:r>
      <w:r w:rsidRPr="000C705A">
        <w:rPr>
          <w:lang w:val="en-US"/>
        </w:rPr>
        <w:t>as an expense as incurred.</w:t>
      </w:r>
    </w:p>
    <w:p w:rsidR="0022373A" w:rsidRPr="001C2A98" w:rsidRDefault="0022373A" w:rsidP="005C41A5">
      <w:pPr>
        <w:pStyle w:val="Heading5"/>
        <w:jc w:val="both"/>
        <w:rPr>
          <w:u w:val="single"/>
          <w:lang w:val="en-US"/>
        </w:rPr>
      </w:pPr>
      <w:bookmarkStart w:id="49" w:name="_Toc305764072"/>
      <w:bookmarkStart w:id="50" w:name="_Toc329011621"/>
      <w:r w:rsidRPr="001C2A98">
        <w:rPr>
          <w:u w:val="single"/>
          <w:lang w:val="en-US"/>
        </w:rPr>
        <w:t>Provisions</w:t>
      </w:r>
      <w:bookmarkEnd w:id="49"/>
      <w:bookmarkEnd w:id="50"/>
    </w:p>
    <w:p w:rsidR="008651F2" w:rsidRDefault="0022373A" w:rsidP="005C41A5">
      <w:pPr>
        <w:jc w:val="both"/>
        <w:rPr>
          <w:lang w:val="en-US"/>
        </w:rPr>
      </w:pPr>
      <w:r w:rsidRPr="001C2A98">
        <w:rPr>
          <w:lang w:val="en-US"/>
        </w:rPr>
        <w:t xml:space="preserve">Provisions cover obligations for which the outcome, due date or </w:t>
      </w:r>
      <w:r w:rsidR="00C3351C">
        <w:rPr>
          <w:lang w:val="en-US"/>
        </w:rPr>
        <w:t xml:space="preserve">payable </w:t>
      </w:r>
      <w:r w:rsidRPr="001C2A98">
        <w:rPr>
          <w:lang w:val="en-US"/>
        </w:rPr>
        <w:t xml:space="preserve">amount is uncertain. They are </w:t>
      </w:r>
      <w:r w:rsidR="00C3351C">
        <w:rPr>
          <w:lang w:val="en-US"/>
        </w:rPr>
        <w:t>recognized</w:t>
      </w:r>
      <w:r w:rsidRPr="001C2A98">
        <w:rPr>
          <w:lang w:val="en-US"/>
        </w:rPr>
        <w:t xml:space="preserve"> when ITU has a legal or constructive obligation resulting from a past event, when it is probable that an outflow of resources will be required in order to settle the obligation and when the amount of the obligation can be reliably estimated.</w:t>
      </w:r>
    </w:p>
    <w:p w:rsidR="0022373A" w:rsidRPr="001C2A98" w:rsidRDefault="0022373A" w:rsidP="005C41A5">
      <w:pPr>
        <w:tabs>
          <w:tab w:val="clear" w:pos="567"/>
          <w:tab w:val="clear" w:pos="1134"/>
          <w:tab w:val="clear" w:pos="1701"/>
          <w:tab w:val="clear" w:pos="2268"/>
          <w:tab w:val="clear" w:pos="2835"/>
        </w:tabs>
        <w:overflowPunct/>
        <w:autoSpaceDE/>
        <w:autoSpaceDN/>
        <w:adjustRightInd/>
        <w:jc w:val="both"/>
        <w:textAlignment w:val="auto"/>
        <w:rPr>
          <w:lang w:val="en-US"/>
        </w:rPr>
      </w:pPr>
      <w:r w:rsidRPr="001C2A98">
        <w:rPr>
          <w:lang w:val="en-US"/>
        </w:rPr>
        <w:t>Where an outflow of resources is not probable or cannot be reliably estimated, the obligation is not recorded in the statement of financial position but disclosed in the Notes.</w:t>
      </w:r>
    </w:p>
    <w:p w:rsidR="0022373A" w:rsidRPr="001C2A98" w:rsidRDefault="0022373A" w:rsidP="005C41A5">
      <w:pPr>
        <w:pStyle w:val="Heading5"/>
        <w:jc w:val="both"/>
        <w:rPr>
          <w:u w:val="single"/>
          <w:lang w:val="en-US"/>
        </w:rPr>
      </w:pPr>
      <w:bookmarkStart w:id="51" w:name="_Toc305764073"/>
      <w:bookmarkStart w:id="52" w:name="_Toc329011622"/>
      <w:r w:rsidRPr="001C2A98">
        <w:rPr>
          <w:u w:val="single"/>
          <w:lang w:val="en-US"/>
        </w:rPr>
        <w:t>Contingent assets and liabilities</w:t>
      </w:r>
      <w:bookmarkEnd w:id="51"/>
      <w:bookmarkEnd w:id="52"/>
    </w:p>
    <w:p w:rsidR="0022373A" w:rsidRDefault="0022373A" w:rsidP="005C41A5">
      <w:pPr>
        <w:jc w:val="both"/>
        <w:rPr>
          <w:lang w:val="en-US"/>
        </w:rPr>
      </w:pPr>
      <w:r w:rsidRPr="001C2A98">
        <w:rPr>
          <w:lang w:val="en-US"/>
        </w:rPr>
        <w:t>Contingent assets and liabilities are possible rights and obligations arising from past events and whose existence will be confirmed by the occurrence or non-occurrence of one or more uncertain future events not wholly within ITU</w:t>
      </w:r>
      <w:r w:rsidR="007A552E">
        <w:rPr>
          <w:lang w:val="en-US"/>
        </w:rPr>
        <w:t>’</w:t>
      </w:r>
      <w:r w:rsidRPr="001C2A98">
        <w:rPr>
          <w:lang w:val="en-US"/>
        </w:rPr>
        <w:t>s control. Such items are disclosed in the Notes.</w:t>
      </w:r>
    </w:p>
    <w:p w:rsidR="0022373A" w:rsidRPr="001C2A98" w:rsidRDefault="0022373A" w:rsidP="005C41A5">
      <w:pPr>
        <w:pStyle w:val="Heading5"/>
        <w:jc w:val="both"/>
        <w:rPr>
          <w:u w:val="single"/>
          <w:lang w:val="en-US"/>
        </w:rPr>
      </w:pPr>
      <w:bookmarkStart w:id="53" w:name="_Toc305764074"/>
      <w:bookmarkStart w:id="54" w:name="_Toc329011623"/>
      <w:r w:rsidRPr="001C2A98">
        <w:rPr>
          <w:u w:val="single"/>
          <w:lang w:val="en-US"/>
        </w:rPr>
        <w:t>Employee benefits</w:t>
      </w:r>
      <w:bookmarkEnd w:id="53"/>
      <w:bookmarkEnd w:id="54"/>
    </w:p>
    <w:p w:rsidR="0022373A" w:rsidRPr="001C2A98" w:rsidRDefault="0022373A" w:rsidP="005C41A5">
      <w:pPr>
        <w:jc w:val="both"/>
        <w:rPr>
          <w:lang w:val="en-US"/>
        </w:rPr>
      </w:pPr>
      <w:r w:rsidRPr="001C2A98">
        <w:rPr>
          <w:lang w:val="en-US"/>
        </w:rPr>
        <w:t>The following employee benefits are recognized:</w:t>
      </w:r>
    </w:p>
    <w:p w:rsidR="0022373A" w:rsidRPr="004F546C" w:rsidRDefault="0022373A" w:rsidP="005C41A5">
      <w:pPr>
        <w:pStyle w:val="enumlev1"/>
        <w:jc w:val="both"/>
        <w:rPr>
          <w:lang w:val="en-US"/>
        </w:rPr>
      </w:pPr>
      <w:r w:rsidRPr="001C2A98">
        <w:rPr>
          <w:lang w:val="en-US"/>
        </w:rPr>
        <w:t>–</w:t>
      </w:r>
      <w:r w:rsidRPr="001C2A98">
        <w:rPr>
          <w:lang w:val="en-US"/>
        </w:rPr>
        <w:tab/>
        <w:t xml:space="preserve">Short-term benefits </w:t>
      </w:r>
      <w:r w:rsidR="008A2F0A">
        <w:rPr>
          <w:lang w:val="en-US"/>
        </w:rPr>
        <w:t xml:space="preserve">due to be settled within twelve months after the end of the accounting period in which employees render the </w:t>
      </w:r>
      <w:r w:rsidR="008A2F0A" w:rsidRPr="004F546C">
        <w:rPr>
          <w:lang w:val="en-US"/>
        </w:rPr>
        <w:t>related service;</w:t>
      </w:r>
    </w:p>
    <w:p w:rsidR="0022373A" w:rsidRPr="004F546C" w:rsidRDefault="0022373A" w:rsidP="005C41A5">
      <w:pPr>
        <w:pStyle w:val="enumlev1"/>
        <w:jc w:val="both"/>
        <w:rPr>
          <w:lang w:val="en-US"/>
        </w:rPr>
      </w:pPr>
      <w:r w:rsidRPr="004F546C">
        <w:rPr>
          <w:lang w:val="en-US"/>
        </w:rPr>
        <w:t>–</w:t>
      </w:r>
      <w:r w:rsidRPr="004F546C">
        <w:rPr>
          <w:lang w:val="en-US"/>
        </w:rPr>
        <w:tab/>
        <w:t>Long-term benefits resulting from the possible deferral of benefits acquired during the prior period or periods</w:t>
      </w:r>
      <w:r w:rsidR="00B2207F" w:rsidRPr="004F546C">
        <w:rPr>
          <w:lang w:val="en-US"/>
        </w:rPr>
        <w:t>;</w:t>
      </w:r>
    </w:p>
    <w:p w:rsidR="002560A2" w:rsidRDefault="0022373A" w:rsidP="00752F2D">
      <w:pPr>
        <w:pStyle w:val="enumlev1"/>
        <w:jc w:val="both"/>
        <w:rPr>
          <w:lang w:val="en-US"/>
        </w:rPr>
      </w:pPr>
      <w:r w:rsidRPr="004F546C">
        <w:rPr>
          <w:lang w:val="en-US"/>
        </w:rPr>
        <w:t>–</w:t>
      </w:r>
      <w:r w:rsidRPr="004F546C">
        <w:rPr>
          <w:lang w:val="en-US"/>
        </w:rPr>
        <w:tab/>
        <w:t>Lon</w:t>
      </w:r>
      <w:r w:rsidR="0076607B" w:rsidRPr="004F546C">
        <w:rPr>
          <w:lang w:val="en-US"/>
        </w:rPr>
        <w:t>g-term post-employment benefits.</w:t>
      </w:r>
    </w:p>
    <w:p w:rsidR="0022373A" w:rsidRPr="004F546C" w:rsidRDefault="0022373A" w:rsidP="005C41A5">
      <w:pPr>
        <w:jc w:val="both"/>
        <w:rPr>
          <w:lang w:val="en-US"/>
        </w:rPr>
      </w:pPr>
      <w:r w:rsidRPr="004F546C">
        <w:rPr>
          <w:lang w:val="en-US"/>
        </w:rPr>
        <w:t>Long-term benefits cover:</w:t>
      </w:r>
    </w:p>
    <w:p w:rsidR="0022373A" w:rsidRPr="001C2A98" w:rsidRDefault="0022373A" w:rsidP="002D7F19">
      <w:pPr>
        <w:pStyle w:val="enumlev1"/>
        <w:spacing w:before="60"/>
        <w:jc w:val="both"/>
        <w:rPr>
          <w:lang w:val="en-US"/>
        </w:rPr>
      </w:pPr>
      <w:r w:rsidRPr="004F546C">
        <w:rPr>
          <w:lang w:val="en-US"/>
        </w:rPr>
        <w:t>–</w:t>
      </w:r>
      <w:r w:rsidRPr="004F546C">
        <w:rPr>
          <w:lang w:val="en-US"/>
        </w:rPr>
        <w:tab/>
        <w:t>Obligations associated with the possibility of accruing unused leave days and having them taken into account when establishing the date</w:t>
      </w:r>
      <w:r w:rsidRPr="001C2A98">
        <w:rPr>
          <w:lang w:val="en-US"/>
        </w:rPr>
        <w:t xml:space="preserve"> of retirement</w:t>
      </w:r>
      <w:r w:rsidR="00B2207F">
        <w:rPr>
          <w:lang w:val="en-US"/>
        </w:rPr>
        <w:t>;</w:t>
      </w:r>
    </w:p>
    <w:p w:rsidR="0022373A" w:rsidRPr="001C2A98" w:rsidRDefault="0022373A" w:rsidP="002D7F19">
      <w:pPr>
        <w:pStyle w:val="enumlev1"/>
        <w:spacing w:before="60"/>
        <w:jc w:val="both"/>
        <w:rPr>
          <w:lang w:val="en-US"/>
        </w:rPr>
      </w:pPr>
      <w:r w:rsidRPr="001C2A98">
        <w:rPr>
          <w:lang w:val="en-US"/>
        </w:rPr>
        <w:t>–</w:t>
      </w:r>
      <w:r w:rsidRPr="001C2A98">
        <w:rPr>
          <w:lang w:val="en-US"/>
        </w:rPr>
        <w:tab/>
        <w:t>Obligatio</w:t>
      </w:r>
      <w:r w:rsidR="00B2207F">
        <w:rPr>
          <w:lang w:val="en-US"/>
        </w:rPr>
        <w:t>ns associated with repatriation;</w:t>
      </w:r>
    </w:p>
    <w:p w:rsidR="0022373A" w:rsidRPr="001C2A98" w:rsidRDefault="0022373A" w:rsidP="002D7F19">
      <w:pPr>
        <w:pStyle w:val="enumlev1"/>
        <w:spacing w:before="60"/>
        <w:jc w:val="both"/>
        <w:rPr>
          <w:lang w:val="en-US"/>
        </w:rPr>
      </w:pPr>
      <w:r w:rsidRPr="001C2A98">
        <w:rPr>
          <w:lang w:val="en-US"/>
        </w:rPr>
        <w:t>–</w:t>
      </w:r>
      <w:r w:rsidRPr="001C2A98">
        <w:rPr>
          <w:lang w:val="en-US"/>
        </w:rPr>
        <w:tab/>
        <w:t>Obligations associated with the pension plan of the United Nations Joint Staff Pension Fund</w:t>
      </w:r>
      <w:r w:rsidR="00B2207F">
        <w:rPr>
          <w:lang w:val="en-US"/>
        </w:rPr>
        <w:t>;</w:t>
      </w:r>
    </w:p>
    <w:p w:rsidR="0022373A" w:rsidRPr="001C2A98" w:rsidRDefault="0022373A" w:rsidP="002D7F19">
      <w:pPr>
        <w:pStyle w:val="enumlev1"/>
        <w:spacing w:before="60"/>
        <w:jc w:val="both"/>
        <w:rPr>
          <w:lang w:val="en-US"/>
        </w:rPr>
      </w:pPr>
      <w:r w:rsidRPr="001C2A98">
        <w:rPr>
          <w:lang w:val="en-US"/>
        </w:rPr>
        <w:t>–</w:t>
      </w:r>
      <w:r w:rsidRPr="001C2A98">
        <w:rPr>
          <w:lang w:val="en-US"/>
        </w:rPr>
        <w:tab/>
        <w:t>Obligations concerning the After</w:t>
      </w:r>
      <w:r w:rsidR="00063B70">
        <w:rPr>
          <w:lang w:val="en-US"/>
        </w:rPr>
        <w:t>-</w:t>
      </w:r>
      <w:r w:rsidRPr="001C2A98">
        <w:rPr>
          <w:lang w:val="en-US"/>
        </w:rPr>
        <w:t xml:space="preserve">Service Health Insurance (ASHI), as specified under the United Nations ASHI </w:t>
      </w:r>
      <w:proofErr w:type="spellStart"/>
      <w:r w:rsidRPr="001C2A98">
        <w:rPr>
          <w:lang w:val="en-US"/>
        </w:rPr>
        <w:t>programme</w:t>
      </w:r>
      <w:proofErr w:type="spellEnd"/>
      <w:r w:rsidR="00B2207F">
        <w:rPr>
          <w:lang w:val="en-US"/>
        </w:rPr>
        <w:t>;</w:t>
      </w:r>
    </w:p>
    <w:p w:rsidR="0022373A" w:rsidRPr="001C2A98" w:rsidRDefault="0022373A" w:rsidP="002D7F19">
      <w:pPr>
        <w:pStyle w:val="enumlev1"/>
        <w:spacing w:before="60"/>
        <w:jc w:val="both"/>
        <w:rPr>
          <w:lang w:val="en-US"/>
        </w:rPr>
      </w:pPr>
      <w:r w:rsidRPr="001C2A98">
        <w:rPr>
          <w:lang w:val="en-US"/>
        </w:rPr>
        <w:t>–</w:t>
      </w:r>
      <w:r w:rsidRPr="001C2A98">
        <w:rPr>
          <w:lang w:val="en-US"/>
        </w:rPr>
        <w:tab/>
        <w:t>Obligations relating to the former pension plan in order to define ITU</w:t>
      </w:r>
      <w:r w:rsidR="007A552E">
        <w:rPr>
          <w:lang w:val="en-US"/>
        </w:rPr>
        <w:t>’</w:t>
      </w:r>
      <w:r w:rsidRPr="001C2A98">
        <w:rPr>
          <w:lang w:val="en-US"/>
        </w:rPr>
        <w:t>s obligations at the date of closure of the period.</w:t>
      </w:r>
    </w:p>
    <w:p w:rsidR="0022373A" w:rsidRDefault="0022373A" w:rsidP="005C41A5">
      <w:pPr>
        <w:jc w:val="both"/>
        <w:rPr>
          <w:lang w:val="en-US"/>
        </w:rPr>
      </w:pPr>
      <w:r w:rsidRPr="001C2A98">
        <w:rPr>
          <w:lang w:val="en-US"/>
        </w:rPr>
        <w:t xml:space="preserve">These last two benefits come under the heading of defined-benefit plans and, as is also the case for repatriation obligations, </w:t>
      </w:r>
      <w:r w:rsidR="008A2F0A" w:rsidRPr="001C2A98">
        <w:rPr>
          <w:lang w:val="en-US"/>
        </w:rPr>
        <w:t>are the subjects</w:t>
      </w:r>
      <w:r w:rsidRPr="001C2A98">
        <w:rPr>
          <w:lang w:val="en-US"/>
        </w:rPr>
        <w:t xml:space="preserve"> of actuarial studies.</w:t>
      </w:r>
    </w:p>
    <w:p w:rsidR="008A2F0A" w:rsidRDefault="008A2F0A" w:rsidP="00C20BB6">
      <w:pPr>
        <w:jc w:val="both"/>
        <w:rPr>
          <w:lang w:val="en-US"/>
        </w:rPr>
      </w:pPr>
      <w:r>
        <w:rPr>
          <w:lang w:val="en-US"/>
        </w:rPr>
        <w:t>ITU</w:t>
      </w:r>
      <w:r w:rsidRPr="008A2F0A">
        <w:rPr>
          <w:lang w:val="en-US"/>
        </w:rPr>
        <w:t xml:space="preserve"> is a member organization participating in the United Nations Joint Staff Pension Fund (UNJSPF), which was established by the United Nations General Assembly to provide retirement, death, disability and related benefits to employees. The Fund is a funded, multi-employer defined benefit plan. As specified by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rsidR="009053D6" w:rsidRDefault="009053D6" w:rsidP="00E56BA7">
      <w:pPr>
        <w:jc w:val="both"/>
        <w:rPr>
          <w:lang w:val="en-US"/>
        </w:rPr>
      </w:pPr>
      <w:r w:rsidRPr="009053D6">
        <w:t>The plan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plan. ITU and the UNJSPF, in line with the other participating organizations in the Fund, are not in a position to identify the Agency’s proportionate share of the defined benefit obligation, the plan assets and the costs associated with the plan with sufficient reliability for accounting purposes. Hence, the Agency has treated this plan as if it w</w:t>
      </w:r>
      <w:r w:rsidR="00E56BA7">
        <w:t>as</w:t>
      </w:r>
      <w:r w:rsidRPr="009053D6">
        <w:t xml:space="preserve"> a defined contribution plan in line with the requirements of IPSAS 39 Employee Benefits. The Agency’s contributions to the plan during the financial period are recognized as expenses in the Statement of Financial Performance</w:t>
      </w:r>
      <w:r>
        <w:t>.</w:t>
      </w:r>
    </w:p>
    <w:p w:rsidR="0022373A" w:rsidRPr="00C044BB" w:rsidRDefault="00224A06" w:rsidP="00D20740">
      <w:pPr>
        <w:jc w:val="both"/>
      </w:pPr>
      <w:r>
        <w:t>T</w:t>
      </w:r>
      <w:r w:rsidR="00C044BB">
        <w:t>he ITU</w:t>
      </w:r>
      <w:r w:rsidR="00C044BB" w:rsidRPr="00673E04">
        <w:t xml:space="preserve"> implement</w:t>
      </w:r>
      <w:r w:rsidR="00C044BB">
        <w:t>ed</w:t>
      </w:r>
      <w:r w:rsidR="00C044BB" w:rsidRPr="00673E04">
        <w:t xml:space="preserve"> a staff health insurance scheme called the ITU Collective Medical Insurance Plan (CMIP). The plan, </w:t>
      </w:r>
      <w:r w:rsidR="00C044BB">
        <w:t>a</w:t>
      </w:r>
      <w:r w:rsidR="00C044BB" w:rsidRPr="00673E04">
        <w:t>dministered by the ITU, is based on a contract signed with the Companies Cigna/</w:t>
      </w:r>
      <w:proofErr w:type="spellStart"/>
      <w:r w:rsidR="00C044BB" w:rsidRPr="00673E04">
        <w:t>Vanbreda</w:t>
      </w:r>
      <w:proofErr w:type="spellEnd"/>
      <w:r w:rsidR="00C044BB" w:rsidRPr="00673E04">
        <w:t xml:space="preserve"> International, </w:t>
      </w:r>
      <w:r w:rsidR="00C044BB">
        <w:t xml:space="preserve">Cigna being the insurer and </w:t>
      </w:r>
      <w:r w:rsidR="00C044BB" w:rsidRPr="00673E04">
        <w:t>Cigna/</w:t>
      </w:r>
      <w:proofErr w:type="spellStart"/>
      <w:r w:rsidR="00C044BB" w:rsidRPr="00673E04">
        <w:t>Vanbreda</w:t>
      </w:r>
      <w:proofErr w:type="spellEnd"/>
      <w:r w:rsidR="00C044BB" w:rsidRPr="00673E04">
        <w:t xml:space="preserve"> being the claims administrator.</w:t>
      </w:r>
      <w:r w:rsidR="00F23C61">
        <w:t xml:space="preserve"> </w:t>
      </w:r>
      <w:r w:rsidR="00C044BB" w:rsidRPr="001C2A98">
        <w:rPr>
          <w:lang w:val="en-US"/>
        </w:rPr>
        <w:t>ASHI obligations are the subject of an act</w:t>
      </w:r>
      <w:r w:rsidR="00B04210">
        <w:rPr>
          <w:lang w:val="en-US"/>
        </w:rPr>
        <w:t>uarial study pursuant to IPSAS 3</w:t>
      </w:r>
      <w:r w:rsidR="00734446">
        <w:rPr>
          <w:lang w:val="en-US"/>
        </w:rPr>
        <w:t>9</w:t>
      </w:r>
      <w:r w:rsidR="00C044BB" w:rsidRPr="001C2A98">
        <w:rPr>
          <w:lang w:val="en-US"/>
        </w:rPr>
        <w:t xml:space="preserve"> in </w:t>
      </w:r>
      <w:r w:rsidR="00C044BB" w:rsidRPr="004F546C">
        <w:rPr>
          <w:lang w:val="en-US"/>
        </w:rPr>
        <w:t>order to identify and recognize the amount of ITU’s future liability in relation to the corresponding benefits. An independent actuarial valuation was contracted by ITU</w:t>
      </w:r>
      <w:r w:rsidR="004F546C">
        <w:rPr>
          <w:lang w:val="en-US"/>
        </w:rPr>
        <w:t xml:space="preserve"> to evaluate the ASHI obligation as of end of December</w:t>
      </w:r>
      <w:r w:rsidR="00C044BB" w:rsidRPr="004F546C">
        <w:rPr>
          <w:lang w:val="en-US"/>
        </w:rPr>
        <w:t>.</w:t>
      </w:r>
      <w:r w:rsidR="00C044BB">
        <w:rPr>
          <w:lang w:val="en-US"/>
        </w:rPr>
        <w:t xml:space="preserve"> R</w:t>
      </w:r>
      <w:r w:rsidR="0022373A" w:rsidRPr="001C2A98">
        <w:rPr>
          <w:lang w:val="en-US"/>
        </w:rPr>
        <w:t>ecognition of the actuarial gains and losses of this plan follows the O</w:t>
      </w:r>
      <w:r w:rsidR="00C044BB">
        <w:rPr>
          <w:lang w:val="en-US"/>
        </w:rPr>
        <w:t xml:space="preserve">ther </w:t>
      </w:r>
      <w:r w:rsidR="0022373A" w:rsidRPr="001C2A98">
        <w:rPr>
          <w:lang w:val="en-US"/>
        </w:rPr>
        <w:t>C</w:t>
      </w:r>
      <w:r w:rsidR="00C044BB">
        <w:rPr>
          <w:lang w:val="en-US"/>
        </w:rPr>
        <w:t xml:space="preserve">omprehensive </w:t>
      </w:r>
      <w:r w:rsidR="0022373A" w:rsidRPr="001C2A98">
        <w:rPr>
          <w:lang w:val="en-US"/>
        </w:rPr>
        <w:t>I</w:t>
      </w:r>
      <w:r w:rsidR="00C044BB">
        <w:rPr>
          <w:lang w:val="en-US"/>
        </w:rPr>
        <w:t>ncome</w:t>
      </w:r>
      <w:r w:rsidR="0022373A" w:rsidRPr="001C2A98">
        <w:rPr>
          <w:lang w:val="en-US"/>
        </w:rPr>
        <w:t xml:space="preserve"> </w:t>
      </w:r>
      <w:r w:rsidR="00C044BB">
        <w:rPr>
          <w:lang w:val="en-US"/>
        </w:rPr>
        <w:t xml:space="preserve">(OCI) </w:t>
      </w:r>
      <w:r w:rsidR="0022373A" w:rsidRPr="001C2A98">
        <w:rPr>
          <w:lang w:val="en-US"/>
        </w:rPr>
        <w:t>method, which calls for recognition of actuarial gains and losses during the period as net assets in the statement of financial position.</w:t>
      </w:r>
    </w:p>
    <w:p w:rsidR="0022373A" w:rsidRDefault="0022373A" w:rsidP="005C41A5">
      <w:pPr>
        <w:jc w:val="both"/>
        <w:rPr>
          <w:lang w:val="en-US"/>
        </w:rPr>
      </w:pPr>
      <w:r w:rsidRPr="001C2A98">
        <w:rPr>
          <w:lang w:val="en-US"/>
        </w:rPr>
        <w:t>The assumptions concerning ITU are described in the Notes relating to employee benefits.</w:t>
      </w:r>
    </w:p>
    <w:p w:rsidR="0022373A" w:rsidRPr="001C2A98" w:rsidRDefault="0022373A" w:rsidP="005C41A5">
      <w:pPr>
        <w:pStyle w:val="Heading5"/>
        <w:jc w:val="both"/>
        <w:rPr>
          <w:u w:val="single"/>
          <w:lang w:val="en-US"/>
        </w:rPr>
      </w:pPr>
      <w:bookmarkStart w:id="55" w:name="_Toc329011624"/>
      <w:r w:rsidRPr="001C2A98">
        <w:rPr>
          <w:u w:val="single"/>
          <w:lang w:val="en-US"/>
        </w:rPr>
        <w:t>Recognition of funds</w:t>
      </w:r>
      <w:bookmarkEnd w:id="55"/>
    </w:p>
    <w:p w:rsidR="0022373A" w:rsidRPr="001C2A98" w:rsidRDefault="0022373A" w:rsidP="005C41A5">
      <w:pPr>
        <w:jc w:val="both"/>
        <w:rPr>
          <w:lang w:val="en-US"/>
        </w:rPr>
      </w:pPr>
      <w:r w:rsidRPr="001C2A98">
        <w:rPr>
          <w:b/>
          <w:i/>
          <w:lang w:val="en-US"/>
        </w:rPr>
        <w:t>Allocated third-party funds</w:t>
      </w:r>
    </w:p>
    <w:p w:rsidR="002560A2" w:rsidRDefault="0022373A" w:rsidP="00752F2D">
      <w:pPr>
        <w:jc w:val="both"/>
        <w:rPr>
          <w:lang w:val="en-US"/>
        </w:rPr>
      </w:pPr>
      <w:r w:rsidRPr="001C2A98">
        <w:rPr>
          <w:lang w:val="en-US"/>
        </w:rPr>
        <w:t xml:space="preserve">This refers to funding provided by third parties to support the Union in implementing projects </w:t>
      </w:r>
      <w:r w:rsidR="001753D3">
        <w:rPr>
          <w:lang w:val="en-US"/>
        </w:rPr>
        <w:t xml:space="preserve">in and </w:t>
      </w:r>
      <w:r w:rsidRPr="001C2A98">
        <w:rPr>
          <w:lang w:val="en-US"/>
        </w:rPr>
        <w:t xml:space="preserve">for </w:t>
      </w:r>
      <w:r w:rsidR="009D4CB9">
        <w:rPr>
          <w:lang w:val="en-US"/>
        </w:rPr>
        <w:t>developing</w:t>
      </w:r>
      <w:r w:rsidRPr="001C2A98">
        <w:rPr>
          <w:lang w:val="en-US"/>
        </w:rPr>
        <w:t xml:space="preserve"> countries. Such contributions are tied to contractual conditions. Funding of this kind is recognized as revenue only where the donors have made a commitment in writing and as the expenses are incurred. Funded projects begin only once the funds have been paid to ITU. At the closure of the </w:t>
      </w:r>
      <w:r w:rsidR="009D4CB9">
        <w:rPr>
          <w:lang w:val="en-US"/>
        </w:rPr>
        <w:t xml:space="preserve">financial </w:t>
      </w:r>
      <w:r w:rsidRPr="001C2A98">
        <w:rPr>
          <w:lang w:val="en-US"/>
        </w:rPr>
        <w:t xml:space="preserve">period, the unused balance of such funding is recognized in the balance of allocated funds in the statement of financial position. In some specific cases, the funds are paid to ITU </w:t>
      </w:r>
      <w:r w:rsidR="009D4CB9">
        <w:rPr>
          <w:lang w:val="en-US"/>
        </w:rPr>
        <w:t>as a</w:t>
      </w:r>
      <w:r w:rsidR="00B37DF8">
        <w:rPr>
          <w:lang w:val="en-US"/>
        </w:rPr>
        <w:t xml:space="preserve"> </w:t>
      </w:r>
      <w:r w:rsidRPr="001C2A98">
        <w:rPr>
          <w:lang w:val="en-US"/>
        </w:rPr>
        <w:t xml:space="preserve">reimbursement of expenses </w:t>
      </w:r>
      <w:r w:rsidR="009D4CB9">
        <w:rPr>
          <w:lang w:val="en-US"/>
        </w:rPr>
        <w:t xml:space="preserve">already </w:t>
      </w:r>
      <w:r w:rsidRPr="001C2A98">
        <w:rPr>
          <w:lang w:val="en-US"/>
        </w:rPr>
        <w:t>incurred.</w:t>
      </w:r>
    </w:p>
    <w:p w:rsidR="0022373A" w:rsidRPr="001C2A98" w:rsidRDefault="0022373A" w:rsidP="005C41A5">
      <w:pPr>
        <w:jc w:val="both"/>
        <w:rPr>
          <w:lang w:val="en-US"/>
        </w:rPr>
      </w:pPr>
      <w:r w:rsidRPr="001C2A98">
        <w:rPr>
          <w:lang w:val="en-US"/>
        </w:rPr>
        <w:t>Such allocated third-party funds are distributed as follows:</w:t>
      </w:r>
    </w:p>
    <w:p w:rsidR="0022373A" w:rsidRPr="008651F2" w:rsidRDefault="0022373A" w:rsidP="005C41A5">
      <w:pPr>
        <w:pStyle w:val="enumlev1"/>
        <w:jc w:val="both"/>
        <w:rPr>
          <w:b/>
          <w:bCs/>
          <w:lang w:val="en-US"/>
        </w:rPr>
      </w:pPr>
      <w:r w:rsidRPr="008651F2">
        <w:rPr>
          <w:b/>
          <w:bCs/>
          <w:lang w:val="en-US"/>
        </w:rPr>
        <w:t>–</w:t>
      </w:r>
      <w:r w:rsidRPr="008651F2">
        <w:rPr>
          <w:b/>
          <w:bCs/>
          <w:lang w:val="en-US"/>
        </w:rPr>
        <w:tab/>
        <w:t xml:space="preserve">United Nations Development </w:t>
      </w:r>
      <w:proofErr w:type="spellStart"/>
      <w:r w:rsidRPr="008651F2">
        <w:rPr>
          <w:b/>
          <w:bCs/>
          <w:lang w:val="en-US"/>
        </w:rPr>
        <w:t>Programme</w:t>
      </w:r>
      <w:proofErr w:type="spellEnd"/>
    </w:p>
    <w:p w:rsidR="009215B6" w:rsidRPr="009215B6" w:rsidRDefault="0022373A" w:rsidP="00B9510B">
      <w:pPr>
        <w:jc w:val="both"/>
        <w:rPr>
          <w:lang w:val="en-US"/>
        </w:rPr>
      </w:pPr>
      <w:r w:rsidRPr="001C2A98">
        <w:rPr>
          <w:lang w:val="en-US"/>
        </w:rPr>
        <w:t>ITU has entered into an agreement with the United Natio</w:t>
      </w:r>
      <w:r w:rsidR="009215B6">
        <w:rPr>
          <w:lang w:val="en-US"/>
        </w:rPr>
        <w:t xml:space="preserve">ns Development </w:t>
      </w:r>
      <w:proofErr w:type="spellStart"/>
      <w:r w:rsidR="009215B6">
        <w:rPr>
          <w:lang w:val="en-US"/>
        </w:rPr>
        <w:t>Programme</w:t>
      </w:r>
      <w:proofErr w:type="spellEnd"/>
      <w:r w:rsidR="009215B6">
        <w:rPr>
          <w:lang w:val="en-US"/>
        </w:rPr>
        <w:t xml:space="preserve"> (UNDP) and</w:t>
      </w:r>
      <w:r w:rsidRPr="001C2A98">
        <w:rPr>
          <w:lang w:val="en-US"/>
        </w:rPr>
        <w:t xml:space="preserve"> may be the sole executing agency, or joint executing agency with UNDP, for different projects. For projects that are either partially or entirely executed by ITU, the Union </w:t>
      </w:r>
      <w:r w:rsidR="00F136C1">
        <w:rPr>
          <w:lang w:val="en-US"/>
        </w:rPr>
        <w:t>receives</w:t>
      </w:r>
      <w:r w:rsidRPr="001C2A98">
        <w:rPr>
          <w:lang w:val="en-US"/>
        </w:rPr>
        <w:t xml:space="preserve"> a budgetary allocation </w:t>
      </w:r>
      <w:r w:rsidRPr="00B9510B">
        <w:rPr>
          <w:lang w:val="en-US"/>
        </w:rPr>
        <w:t xml:space="preserve">from UNDP. </w:t>
      </w:r>
      <w:r w:rsidR="009215B6" w:rsidRPr="00B9510B">
        <w:rPr>
          <w:lang w:val="en-US"/>
        </w:rPr>
        <w:t xml:space="preserve">In general, there are </w:t>
      </w:r>
      <w:r w:rsidR="00B9510B" w:rsidRPr="00B9510B">
        <w:rPr>
          <w:lang w:val="en-US"/>
        </w:rPr>
        <w:t>two</w:t>
      </w:r>
      <w:r w:rsidR="009215B6" w:rsidRPr="00B9510B">
        <w:rPr>
          <w:lang w:val="en-US"/>
        </w:rPr>
        <w:t xml:space="preserve"> categories of UNDP projects, namely: projects executed by ITU</w:t>
      </w:r>
      <w:r w:rsidR="00B9510B" w:rsidRPr="00B9510B">
        <w:rPr>
          <w:lang w:val="en-US"/>
        </w:rPr>
        <w:t xml:space="preserve"> and </w:t>
      </w:r>
      <w:r w:rsidR="009215B6" w:rsidRPr="00B9510B">
        <w:rPr>
          <w:lang w:val="en-US"/>
        </w:rPr>
        <w:t>projects executed by governments</w:t>
      </w:r>
      <w:r w:rsidR="00B9510B" w:rsidRPr="00B9510B">
        <w:rPr>
          <w:lang w:val="en-US"/>
        </w:rPr>
        <w:t>.</w:t>
      </w:r>
    </w:p>
    <w:p w:rsidR="001A2AFC" w:rsidRPr="00A91B6A" w:rsidRDefault="0022373A" w:rsidP="005C41A5">
      <w:pPr>
        <w:jc w:val="both"/>
        <w:rPr>
          <w:lang w:val="en-US"/>
        </w:rPr>
      </w:pPr>
      <w:r w:rsidRPr="001C2A98">
        <w:rPr>
          <w:lang w:val="en-US"/>
        </w:rPr>
        <w:t xml:space="preserve">At the end of each year, on the basis of the project delivery report (PDR), UNDP reimburses ITU for all expenses incurred, within the allocation. For the support that ITU provides to the projects, ITU </w:t>
      </w:r>
      <w:r w:rsidR="00F136C1">
        <w:rPr>
          <w:lang w:val="en-US"/>
        </w:rPr>
        <w:t>receives</w:t>
      </w:r>
      <w:r w:rsidR="009215B6">
        <w:rPr>
          <w:lang w:val="en-US"/>
        </w:rPr>
        <w:t xml:space="preserve"> an allocation</w:t>
      </w:r>
      <w:r w:rsidRPr="001C2A98">
        <w:rPr>
          <w:lang w:val="en-US"/>
        </w:rPr>
        <w:t xml:space="preserve"> </w:t>
      </w:r>
      <w:r w:rsidR="009215B6">
        <w:rPr>
          <w:lang w:val="en-US"/>
        </w:rPr>
        <w:t>calculated on a</w:t>
      </w:r>
      <w:r w:rsidRPr="001C2A98">
        <w:rPr>
          <w:lang w:val="en-US"/>
        </w:rPr>
        <w:t xml:space="preserve"> pro rata </w:t>
      </w:r>
      <w:r w:rsidR="009215B6">
        <w:rPr>
          <w:lang w:val="en-US"/>
        </w:rPr>
        <w:t>basis of</w:t>
      </w:r>
      <w:r w:rsidRPr="001C2A98">
        <w:rPr>
          <w:lang w:val="en-US"/>
        </w:rPr>
        <w:t xml:space="preserve"> the expenses recorded in the PDRs.</w:t>
      </w:r>
    </w:p>
    <w:p w:rsidR="0022373A" w:rsidRPr="008651F2" w:rsidRDefault="0022373A" w:rsidP="005C41A5">
      <w:pPr>
        <w:pStyle w:val="enumlev1"/>
        <w:jc w:val="both"/>
        <w:rPr>
          <w:b/>
          <w:bCs/>
          <w:lang w:val="en-US"/>
        </w:rPr>
      </w:pPr>
      <w:r w:rsidRPr="008651F2">
        <w:rPr>
          <w:b/>
          <w:bCs/>
          <w:lang w:val="en-US"/>
        </w:rPr>
        <w:t>–</w:t>
      </w:r>
      <w:r w:rsidRPr="008651F2">
        <w:rPr>
          <w:b/>
          <w:bCs/>
          <w:lang w:val="en-US"/>
        </w:rPr>
        <w:tab/>
        <w:t>Trust funds</w:t>
      </w:r>
    </w:p>
    <w:p w:rsidR="005D62B8" w:rsidRDefault="005D62B8" w:rsidP="00671FAB">
      <w:pPr>
        <w:jc w:val="both"/>
        <w:rPr>
          <w:lang w:val="en-US"/>
        </w:rPr>
      </w:pPr>
      <w:r w:rsidRPr="005D62B8">
        <w:rPr>
          <w:lang w:val="en-US"/>
        </w:rPr>
        <w:t>Trust funds are used to execute projects financed by earmarked contributions, by the ICT Development Fund (ICTDF) or by governments. In all cases the funds have to be credited to the projects before the expenses are committed. Trust funds are voluntary contributions with specific and restrictive utilization. These contributions generate support costs during the execution and implementation of the projects.</w:t>
      </w:r>
    </w:p>
    <w:p w:rsidR="0022373A" w:rsidRPr="008651F2" w:rsidRDefault="0022373A" w:rsidP="005C41A5">
      <w:pPr>
        <w:pStyle w:val="enumlev1"/>
        <w:jc w:val="both"/>
        <w:rPr>
          <w:b/>
          <w:bCs/>
          <w:lang w:val="en-US"/>
        </w:rPr>
      </w:pPr>
      <w:r w:rsidRPr="008651F2">
        <w:rPr>
          <w:b/>
          <w:bCs/>
          <w:lang w:val="en-US"/>
        </w:rPr>
        <w:t>–</w:t>
      </w:r>
      <w:r w:rsidRPr="008651F2">
        <w:rPr>
          <w:b/>
          <w:bCs/>
          <w:lang w:val="en-US"/>
        </w:rPr>
        <w:tab/>
        <w:t>Voluntary contributions</w:t>
      </w:r>
    </w:p>
    <w:p w:rsidR="005B53AF" w:rsidRDefault="005D62B8" w:rsidP="00C044BB">
      <w:pPr>
        <w:jc w:val="both"/>
        <w:rPr>
          <w:lang w:val="en-US"/>
        </w:rPr>
      </w:pPr>
      <w:r w:rsidRPr="00EF0231">
        <w:rPr>
          <w:lang w:val="en-US"/>
        </w:rPr>
        <w:t xml:space="preserve">Voluntary </w:t>
      </w:r>
      <w:r w:rsidRPr="004F546C">
        <w:rPr>
          <w:lang w:val="en-US"/>
        </w:rPr>
        <w:t xml:space="preserve">contributions are received from donors </w:t>
      </w:r>
      <w:r w:rsidR="00C044BB" w:rsidRPr="004F546C">
        <w:rPr>
          <w:lang w:val="en-US"/>
        </w:rPr>
        <w:t xml:space="preserve">to complement </w:t>
      </w:r>
      <w:r w:rsidRPr="004F546C">
        <w:rPr>
          <w:lang w:val="en-US"/>
        </w:rPr>
        <w:t>specific regular</w:t>
      </w:r>
      <w:r w:rsidRPr="00EF0231">
        <w:rPr>
          <w:lang w:val="en-US"/>
        </w:rPr>
        <w:t xml:space="preserve"> budget activities such as </w:t>
      </w:r>
      <w:r w:rsidR="005B53AF" w:rsidRPr="00EF0231">
        <w:rPr>
          <w:lang w:val="en-US"/>
        </w:rPr>
        <w:t>f</w:t>
      </w:r>
      <w:r w:rsidRPr="00EF0231">
        <w:rPr>
          <w:lang w:val="en-US"/>
        </w:rPr>
        <w:t>or example seminars, working groups, study groups, training and fellowships. Voluntary contributions can finance long-term activities. Voluntary contributions do not generate any support costs.</w:t>
      </w:r>
    </w:p>
    <w:p w:rsidR="009215B6" w:rsidRPr="00EF0231" w:rsidRDefault="009215B6" w:rsidP="005C41A5">
      <w:pPr>
        <w:jc w:val="both"/>
        <w:rPr>
          <w:lang w:val="en-US"/>
        </w:rPr>
      </w:pPr>
      <w:r w:rsidRPr="00016ACA">
        <w:rPr>
          <w:lang w:val="en-US"/>
        </w:rPr>
        <w:t xml:space="preserve">The Union keeps </w:t>
      </w:r>
      <w:r w:rsidRPr="008312AF">
        <w:rPr>
          <w:lang w:val="en-US"/>
        </w:rPr>
        <w:t>accounts f</w:t>
      </w:r>
      <w:r w:rsidRPr="00016ACA">
        <w:rPr>
          <w:lang w:val="en-US"/>
        </w:rPr>
        <w:t>or voluntary contributions in the currency of the contribution</w:t>
      </w:r>
      <w:r>
        <w:rPr>
          <w:lang w:val="en-US"/>
        </w:rPr>
        <w:t xml:space="preserve"> and manages the projects based on the budget allocated in the currency of the funding, unless otherwise specified.</w:t>
      </w:r>
    </w:p>
    <w:p w:rsidR="0022373A" w:rsidRPr="001C2A98" w:rsidRDefault="0022373A" w:rsidP="005C41A5">
      <w:pPr>
        <w:jc w:val="both"/>
        <w:rPr>
          <w:lang w:val="en-US"/>
        </w:rPr>
      </w:pPr>
      <w:r w:rsidRPr="001C2A98">
        <w:rPr>
          <w:b/>
          <w:i/>
          <w:lang w:val="en-US"/>
        </w:rPr>
        <w:t>Third-party funds in the process of allocation</w:t>
      </w:r>
    </w:p>
    <w:p w:rsidR="0022373A" w:rsidRPr="001C2A98" w:rsidRDefault="0022373A" w:rsidP="005C41A5">
      <w:pPr>
        <w:jc w:val="both"/>
        <w:rPr>
          <w:lang w:val="en-US"/>
        </w:rPr>
      </w:pPr>
      <w:r w:rsidRPr="000E2B5E">
        <w:rPr>
          <w:lang w:val="en-US"/>
        </w:rPr>
        <w:t>These are funds received from third parties and not yet fully allocated, which therefore cannot yet be spent.</w:t>
      </w:r>
    </w:p>
    <w:p w:rsidR="0022373A" w:rsidRPr="001C2A98" w:rsidRDefault="0022373A" w:rsidP="005C41A5">
      <w:pPr>
        <w:pStyle w:val="Heading5"/>
        <w:jc w:val="both"/>
        <w:rPr>
          <w:u w:val="single"/>
          <w:lang w:val="en-US"/>
        </w:rPr>
      </w:pPr>
      <w:bookmarkStart w:id="56" w:name="_Toc329011625"/>
      <w:r w:rsidRPr="001C2A98">
        <w:rPr>
          <w:u w:val="single"/>
          <w:lang w:val="en-US"/>
        </w:rPr>
        <w:t>Reserve Account</w:t>
      </w:r>
      <w:bookmarkEnd w:id="56"/>
    </w:p>
    <w:p w:rsidR="0022373A" w:rsidRPr="001C2A98" w:rsidRDefault="00AC6F43">
      <w:pPr>
        <w:jc w:val="both"/>
        <w:rPr>
          <w:bCs/>
          <w:lang w:val="en-US"/>
        </w:rPr>
      </w:pPr>
      <w:r w:rsidRPr="00CF59BF">
        <w:t>In accordance with No. 485 of the Convention and Article 27 of the Financial Regulations, the Reserve Account is maintained mainly from unused appropriations</w:t>
      </w:r>
      <w:r>
        <w:t xml:space="preserve">. </w:t>
      </w:r>
      <w:r w:rsidR="0022373A" w:rsidRPr="001C2A98">
        <w:rPr>
          <w:bCs/>
          <w:lang w:val="en-US"/>
        </w:rPr>
        <w:t>Variations in the Reserve Account are detailed in the statement of changes in the net assets of the Union. It is made up of:</w:t>
      </w:r>
    </w:p>
    <w:p w:rsidR="0022373A" w:rsidRPr="00085D2D" w:rsidRDefault="0022373A" w:rsidP="005C41A5">
      <w:pPr>
        <w:ind w:left="567" w:hanging="567"/>
        <w:jc w:val="both"/>
        <w:rPr>
          <w:bCs/>
          <w:lang w:val="en-US"/>
        </w:rPr>
      </w:pPr>
      <w:r w:rsidRPr="00085D2D">
        <w:rPr>
          <w:bCs/>
          <w:lang w:val="en-US"/>
        </w:rPr>
        <w:t>a)</w:t>
      </w:r>
      <w:r w:rsidRPr="00085D2D">
        <w:rPr>
          <w:bCs/>
          <w:lang w:val="en-US"/>
        </w:rPr>
        <w:tab/>
        <w:t xml:space="preserve">the positive or negative net balance </w:t>
      </w:r>
      <w:r w:rsidR="00085D2D" w:rsidRPr="00085D2D">
        <w:rPr>
          <w:bCs/>
          <w:lang w:val="en-US"/>
        </w:rPr>
        <w:t xml:space="preserve">from the regular </w:t>
      </w:r>
      <w:r w:rsidR="007450E4">
        <w:rPr>
          <w:bCs/>
          <w:lang w:val="en-US"/>
        </w:rPr>
        <w:t>budget implementation</w:t>
      </w:r>
      <w:r w:rsidR="007450E4" w:rsidRPr="00085D2D">
        <w:rPr>
          <w:bCs/>
          <w:lang w:val="en-US"/>
        </w:rPr>
        <w:t xml:space="preserve"> </w:t>
      </w:r>
      <w:r w:rsidR="00085D2D" w:rsidRPr="00085D2D">
        <w:rPr>
          <w:bCs/>
          <w:lang w:val="en-US"/>
        </w:rPr>
        <w:t>for</w:t>
      </w:r>
      <w:r w:rsidRPr="00085D2D">
        <w:rPr>
          <w:bCs/>
          <w:lang w:val="en-US"/>
        </w:rPr>
        <w:t xml:space="preserve"> each financial year</w:t>
      </w:r>
      <w:r w:rsidR="00B2207F">
        <w:rPr>
          <w:bCs/>
          <w:lang w:val="en-US"/>
        </w:rPr>
        <w:t>;</w:t>
      </w:r>
    </w:p>
    <w:p w:rsidR="0022373A" w:rsidRPr="00085D2D" w:rsidRDefault="0022373A" w:rsidP="00704ACD">
      <w:pPr>
        <w:spacing w:before="60"/>
        <w:jc w:val="both"/>
        <w:rPr>
          <w:bCs/>
          <w:lang w:val="en-US"/>
        </w:rPr>
      </w:pPr>
      <w:r w:rsidRPr="00085D2D">
        <w:rPr>
          <w:bCs/>
          <w:lang w:val="en-US"/>
        </w:rPr>
        <w:t>b)</w:t>
      </w:r>
      <w:r w:rsidRPr="00085D2D">
        <w:rPr>
          <w:bCs/>
          <w:lang w:val="en-US"/>
        </w:rPr>
        <w:tab/>
        <w:t>transfers from other reserves/funds as decided by the Council</w:t>
      </w:r>
      <w:r w:rsidR="00B2207F">
        <w:rPr>
          <w:bCs/>
          <w:lang w:val="en-US"/>
        </w:rPr>
        <w:t>;</w:t>
      </w:r>
    </w:p>
    <w:p w:rsidR="0022373A" w:rsidRPr="001C2A98" w:rsidRDefault="0022373A" w:rsidP="00704ACD">
      <w:pPr>
        <w:spacing w:before="60"/>
        <w:ind w:left="567" w:hanging="567"/>
        <w:jc w:val="both"/>
        <w:rPr>
          <w:b/>
          <w:lang w:val="en-US"/>
        </w:rPr>
      </w:pPr>
      <w:r w:rsidRPr="00085D2D">
        <w:rPr>
          <w:bCs/>
          <w:lang w:val="en-US"/>
        </w:rPr>
        <w:t>c)</w:t>
      </w:r>
      <w:r w:rsidRPr="00085D2D">
        <w:rPr>
          <w:bCs/>
          <w:lang w:val="en-US"/>
        </w:rPr>
        <w:tab/>
        <w:t xml:space="preserve">any amounts to be credited to the Reserve Account as prescribed by the </w:t>
      </w:r>
      <w:r w:rsidR="00526E73" w:rsidRPr="001C2A98">
        <w:rPr>
          <w:lang w:val="en-US"/>
        </w:rPr>
        <w:t>accounting standards common to the organizations of the United Nations system</w:t>
      </w:r>
      <w:r w:rsidRPr="001C2A98">
        <w:rPr>
          <w:lang w:val="en-US"/>
        </w:rPr>
        <w:t>.</w:t>
      </w:r>
    </w:p>
    <w:p w:rsidR="002856FD" w:rsidRPr="00CF59BF" w:rsidRDefault="002856FD" w:rsidP="005C41A5">
      <w:pPr>
        <w:jc w:val="both"/>
      </w:pPr>
      <w:r w:rsidRPr="00CF59BF">
        <w:t>The Reserve Account also includes funds derived from those activities in respect of which ITU applies the cost-recovery principle pursuant to Council Resolution 1113 (Document C97/133). The products and services to which ITU applies cost recovery are currently:</w:t>
      </w:r>
    </w:p>
    <w:p w:rsidR="002560A2" w:rsidRDefault="002856FD" w:rsidP="00704ACD">
      <w:pPr>
        <w:pStyle w:val="enumlev1"/>
        <w:jc w:val="both"/>
        <w:rPr>
          <w:lang w:val="en-US"/>
        </w:rPr>
      </w:pPr>
      <w:r>
        <w:rPr>
          <w:lang w:val="en-US"/>
        </w:rPr>
        <w:t>–</w:t>
      </w:r>
      <w:r>
        <w:rPr>
          <w:lang w:val="en-US"/>
        </w:rPr>
        <w:tab/>
        <w:t>R</w:t>
      </w:r>
      <w:r w:rsidRPr="00CF59BF">
        <w:rPr>
          <w:lang w:val="en-US"/>
        </w:rPr>
        <w:t xml:space="preserve">egistration of universal international </w:t>
      </w:r>
      <w:proofErr w:type="spellStart"/>
      <w:r w:rsidRPr="00CF59BF">
        <w:rPr>
          <w:lang w:val="en-US"/>
        </w:rPr>
        <w:t>freephone</w:t>
      </w:r>
      <w:proofErr w:type="spellEnd"/>
      <w:r w:rsidRPr="00CF59BF">
        <w:rPr>
          <w:lang w:val="en-US"/>
        </w:rPr>
        <w:t xml:space="preserve"> numbers (UIFN)</w:t>
      </w:r>
      <w:r w:rsidR="00B95B4C">
        <w:rPr>
          <w:lang w:val="en-US"/>
        </w:rPr>
        <w:t>;</w:t>
      </w:r>
    </w:p>
    <w:p w:rsidR="002856FD" w:rsidRPr="00CF59BF" w:rsidRDefault="002856FD" w:rsidP="00704ACD">
      <w:pPr>
        <w:pStyle w:val="enumlev1"/>
        <w:spacing w:before="60"/>
        <w:jc w:val="both"/>
        <w:rPr>
          <w:lang w:val="en-US"/>
        </w:rPr>
      </w:pPr>
      <w:r w:rsidRPr="00CF59BF">
        <w:rPr>
          <w:lang w:val="en-US"/>
        </w:rPr>
        <w:t>–</w:t>
      </w:r>
      <w:r w:rsidRPr="00CF59BF">
        <w:rPr>
          <w:lang w:val="en-US"/>
        </w:rPr>
        <w:tab/>
        <w:t>Memorandum of Understanding on global mobile personal communication systems (GMPCS</w:t>
      </w:r>
      <w:r>
        <w:rPr>
          <w:lang w:val="en-US"/>
        </w:rPr>
        <w:t> </w:t>
      </w:r>
      <w:r w:rsidRPr="00CF59BF">
        <w:rPr>
          <w:lang w:val="en-US"/>
        </w:rPr>
        <w:t>MoUs)</w:t>
      </w:r>
      <w:r w:rsidR="00B95B4C">
        <w:rPr>
          <w:lang w:val="en-US"/>
        </w:rPr>
        <w:t>;</w:t>
      </w:r>
    </w:p>
    <w:p w:rsidR="002856FD" w:rsidRPr="00CF59BF" w:rsidRDefault="002856FD" w:rsidP="00704ACD">
      <w:pPr>
        <w:pStyle w:val="enumlev1"/>
        <w:spacing w:before="60"/>
        <w:jc w:val="both"/>
        <w:rPr>
          <w:lang w:val="en-US"/>
        </w:rPr>
      </w:pPr>
      <w:r>
        <w:rPr>
          <w:lang w:val="en-US"/>
        </w:rPr>
        <w:t>–</w:t>
      </w:r>
      <w:r>
        <w:rPr>
          <w:lang w:val="en-US"/>
        </w:rPr>
        <w:tab/>
        <w:t>P</w:t>
      </w:r>
      <w:r w:rsidRPr="00CF59BF">
        <w:rPr>
          <w:lang w:val="en-US"/>
        </w:rPr>
        <w:t>rocessing of satellite network filings</w:t>
      </w:r>
      <w:r w:rsidR="00B95B4C">
        <w:rPr>
          <w:lang w:val="en-US"/>
        </w:rPr>
        <w:t>;</w:t>
      </w:r>
    </w:p>
    <w:p w:rsidR="002856FD" w:rsidRPr="00CF59BF" w:rsidRDefault="002856FD" w:rsidP="00704ACD">
      <w:pPr>
        <w:pStyle w:val="enumlev1"/>
        <w:spacing w:before="60"/>
        <w:jc w:val="both"/>
        <w:rPr>
          <w:lang w:val="en-US"/>
        </w:rPr>
      </w:pPr>
      <w:r>
        <w:rPr>
          <w:lang w:val="en-US"/>
        </w:rPr>
        <w:t>–</w:t>
      </w:r>
      <w:r>
        <w:rPr>
          <w:lang w:val="en-US"/>
        </w:rPr>
        <w:tab/>
        <w:t>R</w:t>
      </w:r>
      <w:r w:rsidRPr="00CF59BF">
        <w:rPr>
          <w:lang w:val="en-US"/>
        </w:rPr>
        <w:t>egistration of universal international premium-rate numbers (UIPRN) and universal international shared-cost numbers (UISCN)</w:t>
      </w:r>
      <w:r w:rsidR="00B95B4C">
        <w:rPr>
          <w:lang w:val="en-US"/>
        </w:rPr>
        <w:t>;</w:t>
      </w:r>
    </w:p>
    <w:p w:rsidR="002856FD" w:rsidRPr="00CF59BF" w:rsidRDefault="002856FD" w:rsidP="00704ACD">
      <w:pPr>
        <w:pStyle w:val="enumlev1"/>
        <w:spacing w:before="60"/>
        <w:jc w:val="both"/>
        <w:rPr>
          <w:lang w:val="en-US"/>
        </w:rPr>
      </w:pPr>
      <w:r w:rsidRPr="00CF59BF">
        <w:rPr>
          <w:lang w:val="en-US"/>
        </w:rPr>
        <w:t>–</w:t>
      </w:r>
      <w:r w:rsidRPr="00CF59BF">
        <w:rPr>
          <w:lang w:val="en-US"/>
        </w:rPr>
        <w:tab/>
        <w:t>TELECOM</w:t>
      </w:r>
      <w:r w:rsidR="00B95B4C">
        <w:rPr>
          <w:lang w:val="en-US"/>
        </w:rPr>
        <w:t>;</w:t>
      </w:r>
    </w:p>
    <w:p w:rsidR="002856FD" w:rsidRPr="00CF59BF" w:rsidRDefault="002856FD" w:rsidP="00704ACD">
      <w:pPr>
        <w:pStyle w:val="enumlev1"/>
        <w:spacing w:before="60"/>
        <w:jc w:val="both"/>
        <w:rPr>
          <w:lang w:val="en-US"/>
        </w:rPr>
      </w:pPr>
      <w:r>
        <w:rPr>
          <w:lang w:val="en-US"/>
        </w:rPr>
        <w:t>–</w:t>
      </w:r>
      <w:r>
        <w:rPr>
          <w:lang w:val="en-US"/>
        </w:rPr>
        <w:tab/>
        <w:t>P</w:t>
      </w:r>
      <w:r w:rsidRPr="00CF59BF">
        <w:rPr>
          <w:lang w:val="en-US"/>
        </w:rPr>
        <w:t>ublication sales</w:t>
      </w:r>
      <w:r w:rsidR="00B95B4C">
        <w:rPr>
          <w:lang w:val="en-US"/>
        </w:rPr>
        <w:t>;</w:t>
      </w:r>
    </w:p>
    <w:p w:rsidR="002856FD" w:rsidRPr="00CF59BF" w:rsidRDefault="002856FD" w:rsidP="00704ACD">
      <w:pPr>
        <w:pStyle w:val="enumlev1"/>
        <w:spacing w:before="60"/>
        <w:jc w:val="both"/>
        <w:rPr>
          <w:lang w:val="en-US"/>
        </w:rPr>
      </w:pPr>
      <w:r>
        <w:rPr>
          <w:lang w:val="en-US"/>
        </w:rPr>
        <w:t>–</w:t>
      </w:r>
      <w:r>
        <w:rPr>
          <w:lang w:val="en-US"/>
        </w:rPr>
        <w:tab/>
        <w:t>P</w:t>
      </w:r>
      <w:r w:rsidRPr="00CF59BF">
        <w:rPr>
          <w:lang w:val="en-US"/>
        </w:rPr>
        <w:t>roject support revenue.</w:t>
      </w:r>
    </w:p>
    <w:p w:rsidR="0022373A" w:rsidRPr="001C2A98" w:rsidRDefault="0022373A" w:rsidP="005C41A5">
      <w:pPr>
        <w:jc w:val="both"/>
        <w:rPr>
          <w:b/>
          <w:lang w:val="en-US"/>
        </w:rPr>
      </w:pPr>
      <w:r w:rsidRPr="001C2A98">
        <w:rPr>
          <w:lang w:val="en-US"/>
        </w:rPr>
        <w:t xml:space="preserve">Notwithstanding the provisions of Article 13, § 4 b) of </w:t>
      </w:r>
      <w:r w:rsidR="00B54F88">
        <w:rPr>
          <w:lang w:val="en-US"/>
        </w:rPr>
        <w:t xml:space="preserve">the </w:t>
      </w:r>
      <w:r w:rsidRPr="001C2A98">
        <w:rPr>
          <w:lang w:val="en-US"/>
        </w:rPr>
        <w:t xml:space="preserve">Financial Regulations, bearing in mind the need to maintain the Reserve Account at a minimum level determined by the Plenipotentiary Conference, withdrawals may be made from the Reserve Account by special decision of the Council, </w:t>
      </w:r>
      <w:r w:rsidRPr="001C2A98">
        <w:rPr>
          <w:i/>
          <w:iCs/>
          <w:lang w:val="en-US"/>
        </w:rPr>
        <w:t>inter alia</w:t>
      </w:r>
      <w:r w:rsidRPr="001C2A98">
        <w:rPr>
          <w:lang w:val="en-US"/>
        </w:rPr>
        <w:t xml:space="preserve">, for: </w:t>
      </w:r>
    </w:p>
    <w:p w:rsidR="0022373A" w:rsidRPr="001C2A98" w:rsidRDefault="0022373A" w:rsidP="005C41A5">
      <w:pPr>
        <w:pStyle w:val="enumlev1"/>
        <w:jc w:val="both"/>
        <w:rPr>
          <w:b/>
          <w:lang w:val="en-US"/>
        </w:rPr>
      </w:pPr>
      <w:r w:rsidRPr="001C2A98">
        <w:rPr>
          <w:lang w:val="en-US"/>
        </w:rPr>
        <w:t>a)</w:t>
      </w:r>
      <w:r w:rsidRPr="001C2A98">
        <w:rPr>
          <w:lang w:val="en-US"/>
        </w:rPr>
        <w:tab/>
        <w:t>reducing the amount of the contributory unit</w:t>
      </w:r>
      <w:r w:rsidR="007450E4">
        <w:rPr>
          <w:lang w:val="en-US"/>
        </w:rPr>
        <w:t>;</w:t>
      </w:r>
    </w:p>
    <w:p w:rsidR="0022373A" w:rsidRPr="001C2A98" w:rsidRDefault="0022373A" w:rsidP="00704ACD">
      <w:pPr>
        <w:pStyle w:val="enumlev1"/>
        <w:spacing w:before="60"/>
        <w:jc w:val="both"/>
        <w:rPr>
          <w:b/>
          <w:lang w:val="en-US"/>
        </w:rPr>
      </w:pPr>
      <w:r w:rsidRPr="001C2A98">
        <w:rPr>
          <w:lang w:val="en-US"/>
        </w:rPr>
        <w:t>b)</w:t>
      </w:r>
      <w:r w:rsidRPr="001C2A98">
        <w:rPr>
          <w:lang w:val="en-US"/>
        </w:rPr>
        <w:tab/>
        <w:t>balancing the budget of the Union</w:t>
      </w:r>
      <w:r w:rsidR="007450E4">
        <w:rPr>
          <w:lang w:val="en-US"/>
        </w:rPr>
        <w:t>;</w:t>
      </w:r>
    </w:p>
    <w:p w:rsidR="0022373A" w:rsidRPr="001C2A98" w:rsidRDefault="0022373A" w:rsidP="00704ACD">
      <w:pPr>
        <w:pStyle w:val="enumlev1"/>
        <w:spacing w:before="60"/>
        <w:jc w:val="both"/>
        <w:rPr>
          <w:b/>
          <w:lang w:val="en-US"/>
        </w:rPr>
      </w:pPr>
      <w:r w:rsidRPr="001C2A98">
        <w:rPr>
          <w:lang w:val="en-US"/>
        </w:rPr>
        <w:t>c)</w:t>
      </w:r>
      <w:r w:rsidRPr="001C2A98">
        <w:rPr>
          <w:lang w:val="en-US"/>
        </w:rPr>
        <w:tab/>
        <w:t>transfers to other reserves/funds</w:t>
      </w:r>
      <w:r w:rsidR="007450E4">
        <w:rPr>
          <w:lang w:val="en-US"/>
        </w:rPr>
        <w:t>; or</w:t>
      </w:r>
    </w:p>
    <w:p w:rsidR="0022373A" w:rsidRDefault="0022373A" w:rsidP="00704ACD">
      <w:pPr>
        <w:pStyle w:val="enumlev1"/>
        <w:spacing w:before="60"/>
        <w:jc w:val="both"/>
        <w:rPr>
          <w:lang w:val="en-US"/>
        </w:rPr>
      </w:pPr>
      <w:r w:rsidRPr="001C2A98">
        <w:rPr>
          <w:lang w:val="en-US"/>
        </w:rPr>
        <w:t>d)</w:t>
      </w:r>
      <w:r w:rsidRPr="001C2A98">
        <w:rPr>
          <w:lang w:val="en-US"/>
        </w:rPr>
        <w:tab/>
        <w:t>any amounts to be debited to the Reserve Account as prescribed by the accounting standards common to the organizations of the United Nations system.</w:t>
      </w:r>
    </w:p>
    <w:p w:rsidR="00C22BFF" w:rsidRDefault="00C22BFF" w:rsidP="005C41A5">
      <w:pPr>
        <w:pStyle w:val="Heading5"/>
        <w:jc w:val="both"/>
        <w:rPr>
          <w:u w:val="single"/>
          <w:lang w:val="en-US"/>
        </w:rPr>
      </w:pPr>
      <w:bookmarkStart w:id="57" w:name="_Toc305764075"/>
      <w:bookmarkStart w:id="58" w:name="_Toc329011626"/>
      <w:r>
        <w:rPr>
          <w:u w:val="single"/>
          <w:lang w:val="en-US"/>
        </w:rPr>
        <w:t>Other funds</w:t>
      </w:r>
    </w:p>
    <w:p w:rsidR="00EB43C3" w:rsidRPr="00C22BFF" w:rsidRDefault="00C22BFF" w:rsidP="005C41A5">
      <w:pPr>
        <w:jc w:val="both"/>
        <w:rPr>
          <w:lang w:val="en-US"/>
        </w:rPr>
      </w:pPr>
      <w:r w:rsidRPr="00C22BFF">
        <w:rPr>
          <w:lang w:val="en-US"/>
        </w:rPr>
        <w:t xml:space="preserve">Other funds include the </w:t>
      </w:r>
      <w:r w:rsidR="00EB43C3" w:rsidRPr="00C22BFF">
        <w:rPr>
          <w:lang w:val="en-US"/>
        </w:rPr>
        <w:t>ITU Staff Superannuation and Benevolent Funds</w:t>
      </w:r>
      <w:r w:rsidRPr="00C22BFF">
        <w:rPr>
          <w:lang w:val="en-US"/>
        </w:rPr>
        <w:t xml:space="preserve"> and well as the Pension and Intervention funds</w:t>
      </w:r>
      <w:r>
        <w:rPr>
          <w:lang w:val="en-US"/>
        </w:rPr>
        <w:t xml:space="preserve"> and the ASHI fund</w:t>
      </w:r>
      <w:r w:rsidR="00B95B4C">
        <w:rPr>
          <w:lang w:val="en-US"/>
        </w:rPr>
        <w:t>.</w:t>
      </w:r>
    </w:p>
    <w:p w:rsidR="00EB43C3" w:rsidRPr="001C2A98" w:rsidRDefault="00EB43C3" w:rsidP="005F0CBF">
      <w:pPr>
        <w:jc w:val="both"/>
        <w:rPr>
          <w:lang w:val="en-US"/>
        </w:rPr>
      </w:pPr>
      <w:r w:rsidRPr="001C2A98">
        <w:rPr>
          <w:lang w:val="en-US"/>
        </w:rPr>
        <w:t>The ITU Staff Superannuation and B</w:t>
      </w:r>
      <w:r w:rsidR="00704ACD">
        <w:rPr>
          <w:lang w:val="en-US"/>
        </w:rPr>
        <w:t xml:space="preserve">enevolent Funds </w:t>
      </w:r>
      <w:r w:rsidRPr="005F0CBF">
        <w:rPr>
          <w:lang w:val="en-US"/>
        </w:rPr>
        <w:t>comprise</w:t>
      </w:r>
      <w:r w:rsidR="005F0CBF" w:rsidRPr="005F0CBF">
        <w:rPr>
          <w:lang w:val="en-US"/>
        </w:rPr>
        <w:t xml:space="preserve"> two</w:t>
      </w:r>
      <w:r w:rsidRPr="005F0CBF">
        <w:rPr>
          <w:lang w:val="en-US"/>
        </w:rPr>
        <w:t xml:space="preserve"> funds:</w:t>
      </w:r>
    </w:p>
    <w:p w:rsidR="00EB43C3" w:rsidRPr="001C2A98" w:rsidRDefault="00EB43C3" w:rsidP="005C41A5">
      <w:pPr>
        <w:pStyle w:val="enumlev1"/>
        <w:jc w:val="both"/>
        <w:rPr>
          <w:lang w:val="en-US"/>
        </w:rPr>
      </w:pPr>
      <w:r w:rsidRPr="001C2A98">
        <w:rPr>
          <w:lang w:val="en-US"/>
        </w:rPr>
        <w:t>–</w:t>
      </w:r>
      <w:r w:rsidRPr="001C2A98">
        <w:rPr>
          <w:lang w:val="en-US"/>
        </w:rPr>
        <w:tab/>
        <w:t>Provident Fund</w:t>
      </w:r>
      <w:r w:rsidR="00B95B4C">
        <w:rPr>
          <w:lang w:val="en-US"/>
        </w:rPr>
        <w:t>;</w:t>
      </w:r>
    </w:p>
    <w:p w:rsidR="00EB43C3" w:rsidRPr="001C2A98" w:rsidRDefault="00EB43C3" w:rsidP="00704ACD">
      <w:pPr>
        <w:pStyle w:val="enumlev1"/>
        <w:spacing w:before="60"/>
        <w:jc w:val="both"/>
        <w:rPr>
          <w:lang w:val="en-US"/>
        </w:rPr>
      </w:pPr>
      <w:r w:rsidRPr="001C2A98">
        <w:rPr>
          <w:lang w:val="en-US"/>
        </w:rPr>
        <w:t>–</w:t>
      </w:r>
      <w:r w:rsidRPr="001C2A98">
        <w:rPr>
          <w:lang w:val="en-US"/>
        </w:rPr>
        <w:tab/>
        <w:t>Assistance Fund.</w:t>
      </w:r>
    </w:p>
    <w:p w:rsidR="00581490" w:rsidRPr="0002174A" w:rsidRDefault="00EB43C3" w:rsidP="00497FF8">
      <w:pPr>
        <w:jc w:val="both"/>
        <w:rPr>
          <w:lang w:val="en-US"/>
        </w:rPr>
      </w:pPr>
      <w:r w:rsidRPr="001C2A98">
        <w:rPr>
          <w:lang w:val="en-US"/>
        </w:rPr>
        <w:t xml:space="preserve">They are the set of funds </w:t>
      </w:r>
      <w:r w:rsidRPr="004F546C">
        <w:rPr>
          <w:lang w:val="en-US"/>
        </w:rPr>
        <w:t xml:space="preserve">that guarantee the pensions of employees who were in service prior to 1 January 1960, the date on which ITU became affiliated to the United Nations Joint Staff Pension Fund. </w:t>
      </w:r>
      <w:r w:rsidR="00B3515F" w:rsidRPr="004F546C">
        <w:rPr>
          <w:lang w:val="en-US"/>
        </w:rPr>
        <w:t xml:space="preserve">In </w:t>
      </w:r>
      <w:r w:rsidR="00111BDD">
        <w:rPr>
          <w:lang w:val="en-US"/>
        </w:rPr>
        <w:t>201</w:t>
      </w:r>
      <w:r w:rsidR="00905753">
        <w:rPr>
          <w:lang w:val="en-US"/>
        </w:rPr>
        <w:t>8</w:t>
      </w:r>
      <w:r w:rsidRPr="004F546C">
        <w:rPr>
          <w:lang w:val="en-US"/>
        </w:rPr>
        <w:t>, the Reserve and Complement Fund pa</w:t>
      </w:r>
      <w:r w:rsidR="00021C50">
        <w:rPr>
          <w:lang w:val="en-US"/>
        </w:rPr>
        <w:t>id</w:t>
      </w:r>
      <w:r w:rsidRPr="004F546C">
        <w:rPr>
          <w:lang w:val="en-US"/>
        </w:rPr>
        <w:t xml:space="preserve"> out </w:t>
      </w:r>
      <w:r w:rsidR="00A13886" w:rsidRPr="00497FF8">
        <w:rPr>
          <w:lang w:val="en-US"/>
        </w:rPr>
        <w:t>2</w:t>
      </w:r>
      <w:r w:rsidR="00497FF8" w:rsidRPr="00497FF8">
        <w:rPr>
          <w:lang w:val="en-US"/>
        </w:rPr>
        <w:t>2</w:t>
      </w:r>
      <w:r w:rsidRPr="00497FF8">
        <w:rPr>
          <w:lang w:val="en-US"/>
        </w:rPr>
        <w:t xml:space="preserve"> retirement pensions and </w:t>
      </w:r>
      <w:r w:rsidR="00A13886" w:rsidRPr="00497FF8">
        <w:rPr>
          <w:lang w:val="en-US"/>
        </w:rPr>
        <w:t>2</w:t>
      </w:r>
      <w:r w:rsidR="00B522DF" w:rsidRPr="00497FF8">
        <w:rPr>
          <w:lang w:val="en-US"/>
        </w:rPr>
        <w:t>2</w:t>
      </w:r>
      <w:r w:rsidRPr="00497FF8">
        <w:rPr>
          <w:lang w:val="en-US"/>
        </w:rPr>
        <w:t xml:space="preserve"> survivor</w:t>
      </w:r>
      <w:r w:rsidR="007A552E" w:rsidRPr="00497FF8">
        <w:rPr>
          <w:lang w:val="en-US"/>
        </w:rPr>
        <w:t>’</w:t>
      </w:r>
      <w:r w:rsidRPr="00497FF8">
        <w:rPr>
          <w:lang w:val="en-US"/>
        </w:rPr>
        <w:t>s</w:t>
      </w:r>
      <w:r w:rsidRPr="004F546C">
        <w:rPr>
          <w:lang w:val="en-US"/>
        </w:rPr>
        <w:t xml:space="preserve"> pensions; and the Assistance Fund serve</w:t>
      </w:r>
      <w:r w:rsidR="00021C50">
        <w:rPr>
          <w:lang w:val="en-US"/>
        </w:rPr>
        <w:t>d</w:t>
      </w:r>
      <w:r w:rsidRPr="004F546C">
        <w:rPr>
          <w:lang w:val="en-US"/>
        </w:rPr>
        <w:t xml:space="preserve"> to assist staff members and pensioners in difficult financial situations</w:t>
      </w:r>
      <w:r w:rsidR="00B3515F" w:rsidRPr="004F546C">
        <w:rPr>
          <w:lang w:val="en-US"/>
        </w:rPr>
        <w:t xml:space="preserve">. </w:t>
      </w:r>
      <w:r w:rsidR="00581490" w:rsidRPr="004F546C">
        <w:rPr>
          <w:lang w:val="en-US"/>
        </w:rPr>
        <w:t>The most recent calculation of the obligations to be provisioned for beneficiaries of the ITU Staff Superannuation and Benevolent Funds was made on 31 December 2011.</w:t>
      </w:r>
    </w:p>
    <w:p w:rsidR="00581490" w:rsidRPr="004E2561" w:rsidRDefault="00581490" w:rsidP="00DA4231">
      <w:pPr>
        <w:jc w:val="both"/>
        <w:rPr>
          <w:lang w:val="en-US"/>
        </w:rPr>
      </w:pPr>
      <w:r w:rsidRPr="00EC6ACC">
        <w:rPr>
          <w:lang w:val="en-US"/>
        </w:rPr>
        <w:t xml:space="preserve">Pursuant to Resolution 7 (Geneva, 1959) of the Plenipotentiary Conference, the staff of ITU is affiliated, as from 1 January 1960, to the United Nations Joint Staff Pension Fund. Under Article 86 of the Regulations of the ITU Staff Superannuation and Benevolent Funds, those Funds are managed by the Union. The assets of the Funds must be invested in trustee securities. The accounts of these Funds are verified by the External Auditor as part of the periodic audits of the accounts of the Union. </w:t>
      </w:r>
    </w:p>
    <w:p w:rsidR="00C22BFF" w:rsidRDefault="00055B07" w:rsidP="00F278B4">
      <w:pPr>
        <w:jc w:val="both"/>
        <w:rPr>
          <w:lang w:val="en-US"/>
        </w:rPr>
      </w:pPr>
      <w:r w:rsidRPr="004E2561">
        <w:rPr>
          <w:lang w:val="en-US"/>
        </w:rPr>
        <w:t xml:space="preserve">Other funds also include since 2013, a fund dedicated to the long-term funding of the ASHI unfunded liability as well as the </w:t>
      </w:r>
      <w:r w:rsidR="005B2BC0" w:rsidRPr="004E2561">
        <w:rPr>
          <w:lang w:val="en-US"/>
        </w:rPr>
        <w:t>new health insurance</w:t>
      </w:r>
      <w:r w:rsidRPr="004E2561">
        <w:rPr>
          <w:lang w:val="en-US"/>
        </w:rPr>
        <w:t xml:space="preserve"> fund, which </w:t>
      </w:r>
      <w:r w:rsidR="00CA56B6" w:rsidRPr="004E2561">
        <w:rPr>
          <w:lang w:val="en-US"/>
        </w:rPr>
        <w:t>constitute</w:t>
      </w:r>
      <w:r w:rsidR="00F278B4">
        <w:rPr>
          <w:lang w:val="en-US"/>
        </w:rPr>
        <w:t>s</w:t>
      </w:r>
      <w:r w:rsidRPr="004E2561">
        <w:rPr>
          <w:lang w:val="en-US"/>
        </w:rPr>
        <w:t xml:space="preserve"> the guaranty fund for </w:t>
      </w:r>
      <w:r w:rsidR="00F278B4">
        <w:rPr>
          <w:lang w:val="en-US"/>
        </w:rPr>
        <w:t xml:space="preserve">the </w:t>
      </w:r>
      <w:r w:rsidRPr="004E2561">
        <w:rPr>
          <w:lang w:val="en-US"/>
        </w:rPr>
        <w:t>ITU new health Insurance scheme</w:t>
      </w:r>
      <w:r w:rsidR="00CA56B6" w:rsidRPr="004E2561">
        <w:rPr>
          <w:lang w:val="en-US"/>
        </w:rPr>
        <w:t xml:space="preserve"> </w:t>
      </w:r>
      <w:r w:rsidR="00F278B4">
        <w:rPr>
          <w:lang w:val="en-US"/>
        </w:rPr>
        <w:t xml:space="preserve">since </w:t>
      </w:r>
      <w:r w:rsidR="00111BDD">
        <w:rPr>
          <w:lang w:val="en-US"/>
        </w:rPr>
        <w:t>201</w:t>
      </w:r>
      <w:r w:rsidR="00F278B4">
        <w:rPr>
          <w:lang w:val="en-US"/>
        </w:rPr>
        <w:t>4</w:t>
      </w:r>
      <w:r w:rsidRPr="004E2561">
        <w:rPr>
          <w:lang w:val="en-US"/>
        </w:rPr>
        <w:t>.</w:t>
      </w:r>
    </w:p>
    <w:p w:rsidR="00734446" w:rsidRDefault="00734446" w:rsidP="00D20740">
      <w:pPr>
        <w:keepNext/>
        <w:keepLines/>
        <w:jc w:val="both"/>
        <w:rPr>
          <w:b/>
          <w:bCs/>
          <w:u w:val="single"/>
          <w:lang w:val="en-US"/>
        </w:rPr>
      </w:pPr>
      <w:r w:rsidRPr="00F85CF0">
        <w:rPr>
          <w:b/>
          <w:bCs/>
          <w:u w:val="single"/>
          <w:lang w:val="en-US"/>
        </w:rPr>
        <w:t>New building fund</w:t>
      </w:r>
    </w:p>
    <w:p w:rsidR="00B04210" w:rsidRDefault="00B40141" w:rsidP="00D20740">
      <w:pPr>
        <w:keepNext/>
        <w:keepLines/>
        <w:jc w:val="both"/>
        <w:rPr>
          <w:rFonts w:asciiTheme="minorHAnsi" w:hAnsiTheme="minorHAnsi"/>
          <w:szCs w:val="24"/>
        </w:rPr>
      </w:pPr>
      <w:r w:rsidRPr="005D021A">
        <w:rPr>
          <w:rFonts w:asciiTheme="minorHAnsi" w:hAnsiTheme="minorHAnsi"/>
        </w:rPr>
        <w:t xml:space="preserve">Council 2016, through </w:t>
      </w:r>
      <w:hyperlink r:id="rId43" w:history="1">
        <w:r w:rsidRPr="005D021A">
          <w:rPr>
            <w:rStyle w:val="Hyperlink"/>
            <w:rFonts w:asciiTheme="minorHAnsi" w:hAnsiTheme="minorHAnsi"/>
          </w:rPr>
          <w:t>Decision 588</w:t>
        </w:r>
      </w:hyperlink>
      <w:r w:rsidRPr="005D021A">
        <w:rPr>
          <w:rFonts w:asciiTheme="minorHAnsi" w:hAnsiTheme="minorHAnsi"/>
        </w:rPr>
        <w:t xml:space="preserve">, decided to replace the </w:t>
      </w:r>
      <w:proofErr w:type="spellStart"/>
      <w:r w:rsidRPr="005D021A">
        <w:rPr>
          <w:rFonts w:asciiTheme="minorHAnsi" w:hAnsiTheme="minorHAnsi"/>
        </w:rPr>
        <w:t>Varembé</w:t>
      </w:r>
      <w:proofErr w:type="spellEnd"/>
      <w:r w:rsidRPr="005D021A">
        <w:rPr>
          <w:rFonts w:asciiTheme="minorHAnsi" w:hAnsiTheme="minorHAnsi"/>
        </w:rPr>
        <w:t xml:space="preserve"> building by a new </w:t>
      </w:r>
      <w:r w:rsidRPr="005D021A">
        <w:rPr>
          <w:rFonts w:asciiTheme="minorHAnsi" w:hAnsiTheme="minorHAnsi"/>
          <w:szCs w:val="24"/>
        </w:rPr>
        <w:t xml:space="preserve">construction (herein called “Varembé-2”) that would also include the offices and facilities of the Tower building, and complement the </w:t>
      </w:r>
      <w:proofErr w:type="spellStart"/>
      <w:r w:rsidRPr="005D021A">
        <w:rPr>
          <w:rFonts w:asciiTheme="minorHAnsi" w:hAnsiTheme="minorHAnsi"/>
          <w:szCs w:val="24"/>
        </w:rPr>
        <w:t>Montbrillant</w:t>
      </w:r>
      <w:proofErr w:type="spellEnd"/>
      <w:r w:rsidRPr="005D021A">
        <w:rPr>
          <w:rFonts w:asciiTheme="minorHAnsi" w:hAnsiTheme="minorHAnsi"/>
          <w:szCs w:val="24"/>
        </w:rPr>
        <w:t xml:space="preserve"> building which would be retained and refurbished</w:t>
      </w:r>
      <w:r>
        <w:rPr>
          <w:rFonts w:asciiTheme="minorHAnsi" w:hAnsiTheme="minorHAnsi"/>
          <w:szCs w:val="24"/>
        </w:rPr>
        <w:t>.</w:t>
      </w:r>
    </w:p>
    <w:p w:rsidR="00B40141" w:rsidRPr="005D021A" w:rsidRDefault="00B40141" w:rsidP="00F03DD8">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szCs w:val="24"/>
        </w:rPr>
      </w:pPr>
      <w:r>
        <w:rPr>
          <w:rFonts w:asciiTheme="minorHAnsi" w:hAnsiTheme="minorHAnsi"/>
          <w:szCs w:val="24"/>
        </w:rPr>
        <w:t>A</w:t>
      </w:r>
      <w:r w:rsidRPr="005D021A">
        <w:rPr>
          <w:rFonts w:asciiTheme="minorHAnsi" w:hAnsiTheme="minorHAnsi"/>
          <w:szCs w:val="24"/>
        </w:rPr>
        <w:t>n interest-free loan of up to CHF 150 million to finance this project</w:t>
      </w:r>
      <w:r>
        <w:rPr>
          <w:rFonts w:asciiTheme="minorHAnsi" w:hAnsiTheme="minorHAnsi"/>
          <w:szCs w:val="24"/>
        </w:rPr>
        <w:t xml:space="preserve"> has been granted by the Swiss Confederation</w:t>
      </w:r>
      <w:r w:rsidRPr="005D021A">
        <w:rPr>
          <w:rFonts w:asciiTheme="minorHAnsi" w:hAnsiTheme="minorHAnsi"/>
          <w:szCs w:val="24"/>
        </w:rPr>
        <w:t xml:space="preserve"> with a maximum budget for total project costs before sale of the Tower of CHF 140 million and an additional contingency fund of CHF 7 million to be used, if necessary, for unforeseen cost overruns.</w:t>
      </w:r>
    </w:p>
    <w:p w:rsidR="00B40141" w:rsidRDefault="00B40141" w:rsidP="005770A6">
      <w:pPr>
        <w:jc w:val="both"/>
        <w:rPr>
          <w:rFonts w:asciiTheme="minorHAnsi" w:hAnsiTheme="minorHAnsi"/>
          <w:szCs w:val="24"/>
        </w:rPr>
      </w:pPr>
      <w:r w:rsidRPr="00680702">
        <w:rPr>
          <w:rFonts w:asciiTheme="minorHAnsi" w:hAnsiTheme="minorHAnsi"/>
          <w:szCs w:val="24"/>
        </w:rPr>
        <w:t>The Secretary-General applied to Switzerland for the first tranche of the loan for the first phase of the project: the architectural competition, architectural studies and related expenses for the period up to 31/12/20</w:t>
      </w:r>
      <w:r w:rsidR="00680702" w:rsidRPr="00680702">
        <w:rPr>
          <w:rFonts w:asciiTheme="minorHAnsi" w:hAnsiTheme="minorHAnsi"/>
          <w:szCs w:val="24"/>
        </w:rPr>
        <w:t>20</w:t>
      </w:r>
      <w:r w:rsidRPr="00680702">
        <w:rPr>
          <w:rFonts w:asciiTheme="minorHAnsi" w:hAnsiTheme="minorHAnsi"/>
          <w:szCs w:val="24"/>
        </w:rPr>
        <w:t xml:space="preserve">. The loan request amounted to CHF 12 million, with </w:t>
      </w:r>
      <w:r w:rsidR="00F03DD8" w:rsidRPr="00680702">
        <w:rPr>
          <w:rFonts w:asciiTheme="minorHAnsi" w:hAnsiTheme="minorHAnsi"/>
          <w:szCs w:val="24"/>
        </w:rPr>
        <w:t xml:space="preserve">the </w:t>
      </w:r>
      <w:r w:rsidRPr="00680702">
        <w:rPr>
          <w:rFonts w:asciiTheme="minorHAnsi" w:hAnsiTheme="minorHAnsi"/>
          <w:szCs w:val="24"/>
        </w:rPr>
        <w:t xml:space="preserve">first annual repayment being made only after the building is successfully received </w:t>
      </w:r>
      <w:r w:rsidRPr="00BF3AD9">
        <w:rPr>
          <w:rFonts w:asciiTheme="minorHAnsi" w:hAnsiTheme="minorHAnsi"/>
          <w:szCs w:val="24"/>
        </w:rPr>
        <w:t>(at the earliest 202</w:t>
      </w:r>
      <w:r w:rsidR="00680702" w:rsidRPr="00BF3AD9">
        <w:rPr>
          <w:rFonts w:asciiTheme="minorHAnsi" w:hAnsiTheme="minorHAnsi"/>
          <w:szCs w:val="24"/>
        </w:rPr>
        <w:t>6</w:t>
      </w:r>
      <w:r w:rsidRPr="00BF3AD9">
        <w:rPr>
          <w:rFonts w:asciiTheme="minorHAnsi" w:hAnsiTheme="minorHAnsi"/>
          <w:szCs w:val="24"/>
        </w:rPr>
        <w:t>).</w:t>
      </w:r>
      <w:r w:rsidRPr="00680702">
        <w:rPr>
          <w:rFonts w:asciiTheme="minorHAnsi" w:hAnsiTheme="minorHAnsi"/>
          <w:szCs w:val="24"/>
        </w:rPr>
        <w:t xml:space="preserve"> The loan was granted by the Swiss Parliament in December 2016 and ITU has signed a contract with FIPOI for the administration of this loan. The funds have been available since the beginning of 2017.</w:t>
      </w:r>
    </w:p>
    <w:p w:rsidR="00B40141" w:rsidRDefault="00B40141" w:rsidP="004740D5">
      <w:pPr>
        <w:jc w:val="both"/>
        <w:rPr>
          <w:rFonts w:asciiTheme="minorHAnsi" w:hAnsiTheme="minorHAnsi"/>
          <w:szCs w:val="24"/>
        </w:rPr>
      </w:pPr>
      <w:r>
        <w:rPr>
          <w:rFonts w:asciiTheme="minorHAnsi" w:hAnsiTheme="minorHAnsi"/>
          <w:szCs w:val="24"/>
        </w:rPr>
        <w:t xml:space="preserve">To follow </w:t>
      </w:r>
      <w:r w:rsidR="00F03DD8">
        <w:rPr>
          <w:rFonts w:asciiTheme="minorHAnsi" w:hAnsiTheme="minorHAnsi"/>
          <w:szCs w:val="24"/>
        </w:rPr>
        <w:t xml:space="preserve">up </w:t>
      </w:r>
      <w:r>
        <w:rPr>
          <w:rFonts w:asciiTheme="minorHAnsi" w:hAnsiTheme="minorHAnsi"/>
          <w:szCs w:val="24"/>
        </w:rPr>
        <w:t>on the implementation of this project</w:t>
      </w:r>
      <w:r w:rsidR="00F03DD8">
        <w:rPr>
          <w:rFonts w:asciiTheme="minorHAnsi" w:hAnsiTheme="minorHAnsi"/>
          <w:szCs w:val="24"/>
        </w:rPr>
        <w:t>,</w:t>
      </w:r>
      <w:r>
        <w:rPr>
          <w:rFonts w:asciiTheme="minorHAnsi" w:hAnsiTheme="minorHAnsi"/>
          <w:szCs w:val="24"/>
        </w:rPr>
        <w:t xml:space="preserve"> a new fund has been created. This fund is disclosed under the segment reporting and also under Annex</w:t>
      </w:r>
      <w:r w:rsidR="006A1D7A">
        <w:rPr>
          <w:rFonts w:asciiTheme="minorHAnsi" w:hAnsiTheme="minorHAnsi"/>
          <w:szCs w:val="24"/>
        </w:rPr>
        <w:t xml:space="preserve"> </w:t>
      </w:r>
      <w:r w:rsidR="004740D5">
        <w:rPr>
          <w:rFonts w:asciiTheme="minorHAnsi" w:hAnsiTheme="minorHAnsi"/>
          <w:szCs w:val="24"/>
        </w:rPr>
        <w:t>B</w:t>
      </w:r>
      <w:r w:rsidR="006A1D7A">
        <w:rPr>
          <w:rFonts w:asciiTheme="minorHAnsi" w:hAnsiTheme="minorHAnsi"/>
          <w:szCs w:val="24"/>
        </w:rPr>
        <w:t>2.</w:t>
      </w:r>
    </w:p>
    <w:p w:rsidR="00C22BFF" w:rsidRDefault="00C22BFF" w:rsidP="005C41A5">
      <w:pPr>
        <w:pStyle w:val="Heading5"/>
        <w:jc w:val="both"/>
        <w:rPr>
          <w:u w:val="single"/>
          <w:lang w:val="en-US"/>
        </w:rPr>
      </w:pPr>
      <w:proofErr w:type="spellStart"/>
      <w:r w:rsidRPr="00C22BFF">
        <w:rPr>
          <w:u w:val="single"/>
          <w:lang w:val="en-US"/>
        </w:rPr>
        <w:t>Extrabudgetary</w:t>
      </w:r>
      <w:proofErr w:type="spellEnd"/>
      <w:r w:rsidRPr="00C22BFF">
        <w:rPr>
          <w:u w:val="single"/>
          <w:lang w:val="en-US"/>
        </w:rPr>
        <w:t xml:space="preserve"> activities related funds</w:t>
      </w:r>
    </w:p>
    <w:p w:rsidR="00C22BFF" w:rsidRPr="001C2A98" w:rsidRDefault="00C22BFF" w:rsidP="005C41A5">
      <w:pPr>
        <w:pStyle w:val="enumlev1"/>
        <w:jc w:val="both"/>
        <w:rPr>
          <w:lang w:val="en-US"/>
        </w:rPr>
      </w:pPr>
      <w:r w:rsidRPr="001C2A98">
        <w:rPr>
          <w:lang w:val="en-US"/>
        </w:rPr>
        <w:t>–</w:t>
      </w:r>
      <w:r w:rsidRPr="001C2A98">
        <w:rPr>
          <w:lang w:val="en-US"/>
        </w:rPr>
        <w:tab/>
      </w:r>
      <w:r w:rsidRPr="001C2A98">
        <w:rPr>
          <w:b/>
          <w:bCs/>
          <w:lang w:val="en-US"/>
        </w:rPr>
        <w:t>ICT Development Fund</w:t>
      </w:r>
    </w:p>
    <w:p w:rsidR="00C22BFF" w:rsidRPr="001C2A98" w:rsidRDefault="00C22BFF" w:rsidP="005C41A5">
      <w:pPr>
        <w:jc w:val="both"/>
        <w:rPr>
          <w:lang w:val="en-US"/>
        </w:rPr>
      </w:pPr>
      <w:r w:rsidRPr="001C2A98">
        <w:rPr>
          <w:lang w:val="en-US"/>
        </w:rPr>
        <w:t>In line with ITU</w:t>
      </w:r>
      <w:r w:rsidR="007A552E">
        <w:rPr>
          <w:lang w:val="en-US"/>
        </w:rPr>
        <w:t>’</w:t>
      </w:r>
      <w:r w:rsidRPr="001C2A98">
        <w:rPr>
          <w:lang w:val="en-US"/>
        </w:rPr>
        <w:t xml:space="preserve">s mission of fostering the expansion of modern communication services worldwide, the Council assigns a share of the surplus revenue derived from ITU TELECOM events to the ICT Development Fund (ICTDF), which serves to finance various national and regional development projects. In the case of project financing through the ICTDF, only the expenses are recognized in the statement of financial performance. At the closure of each </w:t>
      </w:r>
      <w:r>
        <w:rPr>
          <w:lang w:val="en-US"/>
        </w:rPr>
        <w:t xml:space="preserve">financial </w:t>
      </w:r>
      <w:r w:rsidRPr="001C2A98">
        <w:rPr>
          <w:lang w:val="en-US"/>
        </w:rPr>
        <w:t xml:space="preserve">period, the allocated own funds appearing on the balance sheet are reduced by the total amount of the expenses incurred during the same period. This same principle applies for projects financed under the development action plan, the funds available for these </w:t>
      </w:r>
      <w:proofErr w:type="spellStart"/>
      <w:r w:rsidRPr="001C2A98">
        <w:rPr>
          <w:lang w:val="en-US"/>
        </w:rPr>
        <w:t>programmes</w:t>
      </w:r>
      <w:proofErr w:type="spellEnd"/>
      <w:r w:rsidRPr="001C2A98">
        <w:rPr>
          <w:lang w:val="en-US"/>
        </w:rPr>
        <w:t xml:space="preserve"> having already been recognized as revenue in prior </w:t>
      </w:r>
      <w:r>
        <w:rPr>
          <w:lang w:val="en-US"/>
        </w:rPr>
        <w:t xml:space="preserve">financial </w:t>
      </w:r>
      <w:r w:rsidRPr="001C2A98">
        <w:rPr>
          <w:lang w:val="en-US"/>
        </w:rPr>
        <w:t>periods.</w:t>
      </w:r>
    </w:p>
    <w:p w:rsidR="00C22BFF" w:rsidRDefault="00C22BFF" w:rsidP="005C41A5">
      <w:pPr>
        <w:jc w:val="both"/>
        <w:rPr>
          <w:lang w:val="en-US"/>
        </w:rPr>
      </w:pPr>
      <w:r w:rsidRPr="001C2A98">
        <w:rPr>
          <w:lang w:val="en-US"/>
        </w:rPr>
        <w:t>The ICTDF also registers contributions paid by members or third parties for the financing of ICT development projects.</w:t>
      </w:r>
    </w:p>
    <w:p w:rsidR="00C22BFF" w:rsidRPr="001C2A98" w:rsidRDefault="00C22BFF" w:rsidP="005C41A5">
      <w:pPr>
        <w:pStyle w:val="enumlev1"/>
        <w:jc w:val="both"/>
        <w:rPr>
          <w:b/>
          <w:bCs/>
          <w:lang w:val="en-US"/>
        </w:rPr>
      </w:pPr>
      <w:r w:rsidRPr="001C2A98">
        <w:rPr>
          <w:lang w:val="en-US"/>
        </w:rPr>
        <w:t>–</w:t>
      </w:r>
      <w:r w:rsidRPr="001C2A98">
        <w:rPr>
          <w:lang w:val="en-US"/>
        </w:rPr>
        <w:tab/>
      </w:r>
      <w:r w:rsidRPr="001C2A98">
        <w:rPr>
          <w:b/>
          <w:bCs/>
          <w:lang w:val="en-US"/>
        </w:rPr>
        <w:t>ITU TELECOM Exhibition Working Capital Fund</w:t>
      </w:r>
    </w:p>
    <w:p w:rsidR="00B72F90" w:rsidRPr="00B72F90" w:rsidRDefault="00B72F90" w:rsidP="00D20740">
      <w:pPr>
        <w:jc w:val="both"/>
        <w:rPr>
          <w:lang w:val="en-US"/>
        </w:rPr>
      </w:pPr>
      <w:r w:rsidRPr="00B72F90">
        <w:rPr>
          <w:lang w:val="en-US"/>
        </w:rPr>
        <w:t xml:space="preserve">ITU Telecom events provide a global platform for governments, corporates and Small </w:t>
      </w:r>
      <w:r w:rsidR="00C35D3F">
        <w:rPr>
          <w:lang w:val="en-US"/>
        </w:rPr>
        <w:t xml:space="preserve">and </w:t>
      </w:r>
      <w:r w:rsidRPr="00B72F90">
        <w:rPr>
          <w:lang w:val="en-US"/>
        </w:rPr>
        <w:t>Medium Enterprises (SMEs) in order to accelerate ICT innovation for social and economic development.  The events comprise an Exhibition showcasing innovative service, applications and solutions, and investment</w:t>
      </w:r>
      <w:r w:rsidR="00C70EA1">
        <w:rPr>
          <w:lang w:val="en-US"/>
        </w:rPr>
        <w:t>s</w:t>
      </w:r>
      <w:r w:rsidRPr="00B72F90">
        <w:rPr>
          <w:lang w:val="en-US"/>
        </w:rPr>
        <w:t xml:space="preserve"> and partnership opportunities from around the world; and a world-class Leadership Summit and Forum offering debates at the highest level on the latest issues in the ICT industry while exploring in-depth developments in technology, policy and regulatory issues, strategy and business models in the digital economy. ITU Telecom events </w:t>
      </w:r>
      <w:r w:rsidR="0004364D">
        <w:rPr>
          <w:lang w:val="en-US"/>
        </w:rPr>
        <w:t xml:space="preserve">also </w:t>
      </w:r>
      <w:r w:rsidRPr="00B72F90">
        <w:rPr>
          <w:lang w:val="en-US"/>
        </w:rPr>
        <w:t>bring together participants at the highest level including Heads of State, Ministers, Regulators, C-level executives and other influential leaders.</w:t>
      </w:r>
    </w:p>
    <w:p w:rsidR="00B72F90" w:rsidRDefault="00B72F90" w:rsidP="00485971">
      <w:pPr>
        <w:jc w:val="both"/>
        <w:rPr>
          <w:lang w:val="en-US"/>
        </w:rPr>
      </w:pPr>
      <w:r w:rsidRPr="00B72F90">
        <w:rPr>
          <w:lang w:val="en-US"/>
        </w:rPr>
        <w:t xml:space="preserve">Following the closure of accounts of each ITU Telecom event, any surplus revenue or excess expense </w:t>
      </w:r>
      <w:r w:rsidR="00485971">
        <w:rPr>
          <w:lang w:val="en-US"/>
        </w:rPr>
        <w:t xml:space="preserve">is </w:t>
      </w:r>
      <w:r w:rsidRPr="00B72F90">
        <w:rPr>
          <w:lang w:val="en-US"/>
        </w:rPr>
        <w:t>transferred to the Exhibition Working Capital Fund, the balance of which is entered in the financial statement</w:t>
      </w:r>
      <w:r w:rsidR="00C70EA1">
        <w:rPr>
          <w:lang w:val="en-US"/>
        </w:rPr>
        <w:t>s</w:t>
      </w:r>
      <w:r w:rsidRPr="00B72F90">
        <w:rPr>
          <w:lang w:val="en-US"/>
        </w:rPr>
        <w:t xml:space="preserve"> of the Union. </w:t>
      </w:r>
      <w:r w:rsidR="00485971">
        <w:rPr>
          <w:lang w:val="en-US"/>
        </w:rPr>
        <w:t xml:space="preserve"> </w:t>
      </w:r>
      <w:r w:rsidRPr="00B72F90">
        <w:rPr>
          <w:lang w:val="en-US"/>
        </w:rPr>
        <w:t xml:space="preserve">Subject to Council’s approval, funds may be transferred from </w:t>
      </w:r>
      <w:r w:rsidR="00014050">
        <w:rPr>
          <w:lang w:val="en-US"/>
        </w:rPr>
        <w:t xml:space="preserve">the </w:t>
      </w:r>
      <w:r w:rsidRPr="00B72F90">
        <w:rPr>
          <w:lang w:val="en-US"/>
        </w:rPr>
        <w:t xml:space="preserve">Exhibition Working Capital Fund to </w:t>
      </w:r>
      <w:r w:rsidR="00014050">
        <w:rPr>
          <w:lang w:val="en-US"/>
        </w:rPr>
        <w:t xml:space="preserve">the </w:t>
      </w:r>
      <w:r w:rsidRPr="00B72F90">
        <w:rPr>
          <w:lang w:val="en-US"/>
        </w:rPr>
        <w:t>ICT Development Fund</w:t>
      </w:r>
      <w:r>
        <w:rPr>
          <w:lang w:val="en-US"/>
        </w:rPr>
        <w:t>.</w:t>
      </w:r>
    </w:p>
    <w:p w:rsidR="00884AD0" w:rsidRPr="00884AD0" w:rsidRDefault="00C22BFF" w:rsidP="001572ED">
      <w:pPr>
        <w:pStyle w:val="enumlev1"/>
        <w:keepNext/>
        <w:keepLines/>
        <w:jc w:val="both"/>
        <w:rPr>
          <w:b/>
          <w:bCs/>
          <w:lang w:val="en-US"/>
        </w:rPr>
      </w:pPr>
      <w:r w:rsidRPr="00D56677">
        <w:rPr>
          <w:lang w:val="en-US"/>
        </w:rPr>
        <w:t>–</w:t>
      </w:r>
      <w:r w:rsidRPr="00D56677">
        <w:rPr>
          <w:lang w:val="en-US"/>
        </w:rPr>
        <w:tab/>
      </w:r>
      <w:r w:rsidRPr="00D56677">
        <w:rPr>
          <w:b/>
          <w:bCs/>
          <w:lang w:val="en-US"/>
        </w:rPr>
        <w:t xml:space="preserve">Reserves related to </w:t>
      </w:r>
      <w:r w:rsidR="00C81B79">
        <w:rPr>
          <w:b/>
          <w:bCs/>
          <w:lang w:val="en-US"/>
        </w:rPr>
        <w:t>Extra-budgetary</w:t>
      </w:r>
      <w:r w:rsidRPr="00D56677">
        <w:rPr>
          <w:b/>
          <w:bCs/>
          <w:lang w:val="en-US"/>
        </w:rPr>
        <w:t xml:space="preserve"> projects</w:t>
      </w:r>
    </w:p>
    <w:p w:rsidR="00224A06" w:rsidRPr="00224A06" w:rsidRDefault="00C22BFF" w:rsidP="00EE46B4">
      <w:pPr>
        <w:keepNext/>
        <w:keepLines/>
        <w:jc w:val="both"/>
        <w:rPr>
          <w:b/>
          <w:lang w:val="en-US"/>
        </w:rPr>
      </w:pPr>
      <w:r w:rsidRPr="00D56677">
        <w:rPr>
          <w:lang w:val="en-US"/>
        </w:rPr>
        <w:t>The Union has set up a reserve to receive any remaining balances from closed projects. This reserve will be used to finance new projects or regional initiatives, as well as to cover certain projects in deficit.</w:t>
      </w:r>
    </w:p>
    <w:p w:rsidR="0022373A" w:rsidRDefault="0022373A" w:rsidP="005C41A5">
      <w:pPr>
        <w:pStyle w:val="Heading5"/>
        <w:jc w:val="both"/>
        <w:rPr>
          <w:u w:val="single"/>
          <w:lang w:val="en-US"/>
        </w:rPr>
      </w:pPr>
      <w:r w:rsidRPr="001C2A98">
        <w:rPr>
          <w:u w:val="single"/>
          <w:lang w:val="en-US"/>
        </w:rPr>
        <w:t>Recognition of revenue</w:t>
      </w:r>
      <w:bookmarkEnd w:id="57"/>
      <w:bookmarkEnd w:id="58"/>
    </w:p>
    <w:p w:rsidR="005626E8" w:rsidRPr="005626E8" w:rsidRDefault="005626E8" w:rsidP="003E5D14">
      <w:pPr>
        <w:pStyle w:val="ListParagraph"/>
        <w:spacing w:before="120"/>
        <w:ind w:left="0"/>
      </w:pPr>
      <w:r>
        <w:rPr>
          <w:rFonts w:ascii="Calibri" w:eastAsia="Times New Roman" w:hAnsi="Calibri"/>
          <w:szCs w:val="20"/>
          <w:lang w:eastAsia="en-US"/>
        </w:rPr>
        <w:t>The</w:t>
      </w:r>
      <w:r w:rsidRPr="005626E8">
        <w:rPr>
          <w:rFonts w:ascii="Calibri" w:eastAsia="Times New Roman" w:hAnsi="Calibri"/>
          <w:szCs w:val="20"/>
          <w:lang w:eastAsia="en-US"/>
        </w:rPr>
        <w:t xml:space="preserve"> financial statements are drawn up on the basis of accrual accounting. Revenue is recognized at the beginning of each period for membership contributions (regular budget), or when contributions are confirmed in writing (voluntary contributions).</w:t>
      </w:r>
    </w:p>
    <w:p w:rsidR="0022373A" w:rsidRPr="001C2A98" w:rsidRDefault="0022373A" w:rsidP="005C41A5">
      <w:pPr>
        <w:jc w:val="both"/>
        <w:rPr>
          <w:lang w:val="en-US"/>
        </w:rPr>
      </w:pPr>
      <w:r w:rsidRPr="001C2A98">
        <w:rPr>
          <w:lang w:val="en-US"/>
        </w:rPr>
        <w:t>Revenue comprises assessed contributions, voluntary contributions and other recovered revenues.</w:t>
      </w:r>
    </w:p>
    <w:p w:rsidR="000E2B5E" w:rsidRDefault="0022373A" w:rsidP="005C41A5">
      <w:pPr>
        <w:jc w:val="both"/>
        <w:rPr>
          <w:lang w:val="en-US"/>
        </w:rPr>
      </w:pPr>
      <w:r w:rsidRPr="001C2A98">
        <w:rPr>
          <w:u w:val="single"/>
          <w:lang w:val="en-US"/>
        </w:rPr>
        <w:t>Assessed contributions</w:t>
      </w:r>
      <w:r w:rsidRPr="001C2A98">
        <w:rPr>
          <w:lang w:val="en-US"/>
        </w:rPr>
        <w:t>: This refers mainly to contributions from Member States, Sector Members and Associates. The Plenipotentiary Conference establishes the upper limit of the contributory unit to serve as the basis for calculating the Union</w:t>
      </w:r>
      <w:r w:rsidR="007A552E">
        <w:rPr>
          <w:lang w:val="en-US"/>
        </w:rPr>
        <w:t>’</w:t>
      </w:r>
      <w:r w:rsidRPr="001C2A98">
        <w:rPr>
          <w:lang w:val="en-US"/>
        </w:rPr>
        <w:t>s revenue for the biennial budgets for the next four years. Member States and Sector Members are free to choose their class of contribution for defraying Union expenses in accordance with the relevant provisions of the ITU Constitution, and pay, in respect of the year of their accession or admission, a contribution calculated as from the first day of the month of accession or admission. This revenue is used for the purpose of implementing the Union</w:t>
      </w:r>
      <w:r w:rsidR="007A552E">
        <w:rPr>
          <w:lang w:val="en-US"/>
        </w:rPr>
        <w:t>’</w:t>
      </w:r>
      <w:r w:rsidRPr="001C2A98">
        <w:rPr>
          <w:lang w:val="en-US"/>
        </w:rPr>
        <w:t>s activities as defined by the Plenipotentiary Conference.</w:t>
      </w:r>
    </w:p>
    <w:p w:rsidR="0022373A" w:rsidRPr="001C2A98" w:rsidRDefault="0022373A" w:rsidP="005C41A5">
      <w:pPr>
        <w:tabs>
          <w:tab w:val="clear" w:pos="567"/>
          <w:tab w:val="clear" w:pos="1134"/>
          <w:tab w:val="clear" w:pos="1701"/>
          <w:tab w:val="clear" w:pos="2268"/>
          <w:tab w:val="clear" w:pos="2835"/>
        </w:tabs>
        <w:overflowPunct/>
        <w:autoSpaceDE/>
        <w:autoSpaceDN/>
        <w:adjustRightInd/>
        <w:jc w:val="both"/>
        <w:textAlignment w:val="auto"/>
        <w:rPr>
          <w:lang w:val="en-US"/>
        </w:rPr>
      </w:pPr>
      <w:r w:rsidRPr="001C2A98">
        <w:rPr>
          <w:u w:val="single"/>
          <w:lang w:val="en-US"/>
        </w:rPr>
        <w:t>Other recovered revenues</w:t>
      </w:r>
      <w:r w:rsidRPr="001C2A98">
        <w:rPr>
          <w:lang w:val="en-US"/>
        </w:rPr>
        <w:t xml:space="preserve"> comprise the products and services for which ITU applies the principle of cost recovery, namely:</w:t>
      </w:r>
    </w:p>
    <w:p w:rsidR="0022373A" w:rsidRPr="001C2A98" w:rsidRDefault="0022373A" w:rsidP="005C41A5">
      <w:pPr>
        <w:pStyle w:val="enumlev1"/>
        <w:jc w:val="both"/>
        <w:rPr>
          <w:lang w:val="en-US"/>
        </w:rPr>
      </w:pPr>
      <w:r w:rsidRPr="001C2A98">
        <w:rPr>
          <w:lang w:val="en-US"/>
        </w:rPr>
        <w:t>–</w:t>
      </w:r>
      <w:r w:rsidRPr="001C2A98">
        <w:rPr>
          <w:lang w:val="en-US"/>
        </w:rPr>
        <w:tab/>
        <w:t xml:space="preserve">registration of universal international </w:t>
      </w:r>
      <w:proofErr w:type="spellStart"/>
      <w:r w:rsidRPr="001C2A98">
        <w:rPr>
          <w:lang w:val="en-US"/>
        </w:rPr>
        <w:t>freephone</w:t>
      </w:r>
      <w:proofErr w:type="spellEnd"/>
      <w:r w:rsidRPr="001C2A98">
        <w:rPr>
          <w:lang w:val="en-US"/>
        </w:rPr>
        <w:t xml:space="preserve"> numbers (UIFN)</w:t>
      </w:r>
      <w:r w:rsidR="00B2207F">
        <w:rPr>
          <w:lang w:val="en-US"/>
        </w:rPr>
        <w:t>;</w:t>
      </w:r>
    </w:p>
    <w:p w:rsidR="002560A2" w:rsidRDefault="0022373A" w:rsidP="005626E8">
      <w:pPr>
        <w:pStyle w:val="enumlev1"/>
        <w:jc w:val="both"/>
        <w:rPr>
          <w:lang w:val="en-US"/>
        </w:rPr>
      </w:pPr>
      <w:r w:rsidRPr="001C2A98">
        <w:rPr>
          <w:lang w:val="en-US"/>
        </w:rPr>
        <w:t>–</w:t>
      </w:r>
      <w:r w:rsidRPr="001C2A98">
        <w:rPr>
          <w:lang w:val="en-US"/>
        </w:rPr>
        <w:tab/>
        <w:t xml:space="preserve">Memorandum of Understanding on global mobile personal communication systems </w:t>
      </w:r>
      <w:r w:rsidR="001572ED">
        <w:rPr>
          <w:lang w:val="en-US"/>
        </w:rPr>
        <w:br/>
      </w:r>
      <w:r w:rsidRPr="001C2A98">
        <w:rPr>
          <w:lang w:val="en-US"/>
        </w:rPr>
        <w:t>(GMPCS-MoU)</w:t>
      </w:r>
      <w:r w:rsidR="00B2207F">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t>processing of satellite network filings</w:t>
      </w:r>
      <w:r w:rsidR="00B2207F">
        <w:rPr>
          <w:lang w:val="en-US"/>
        </w:rPr>
        <w:t>;</w:t>
      </w:r>
    </w:p>
    <w:p w:rsidR="002560A2" w:rsidRDefault="0022373A" w:rsidP="005C41A5">
      <w:pPr>
        <w:pStyle w:val="enumlev1"/>
        <w:jc w:val="both"/>
        <w:rPr>
          <w:lang w:val="en-US"/>
        </w:rPr>
      </w:pPr>
      <w:r w:rsidRPr="001C2A98">
        <w:rPr>
          <w:lang w:val="en-US"/>
        </w:rPr>
        <w:t>–</w:t>
      </w:r>
      <w:r w:rsidRPr="001C2A98">
        <w:rPr>
          <w:lang w:val="en-US"/>
        </w:rPr>
        <w:tab/>
        <w:t>publication sales</w:t>
      </w:r>
      <w:r w:rsidR="00B2207F">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t>project support revenue.</w:t>
      </w:r>
    </w:p>
    <w:p w:rsidR="0022373A" w:rsidRPr="001C2A98" w:rsidRDefault="0022373A" w:rsidP="005C41A5">
      <w:pPr>
        <w:jc w:val="both"/>
        <w:rPr>
          <w:lang w:val="en-US"/>
        </w:rPr>
      </w:pPr>
      <w:r w:rsidRPr="001C2A98">
        <w:rPr>
          <w:lang w:val="en-US"/>
        </w:rPr>
        <w:t xml:space="preserve">ITU receives contributions upfront for providing services for the registration of universal international </w:t>
      </w:r>
      <w:proofErr w:type="spellStart"/>
      <w:r w:rsidRPr="001C2A98">
        <w:rPr>
          <w:lang w:val="en-US"/>
        </w:rPr>
        <w:t>freephone</w:t>
      </w:r>
      <w:proofErr w:type="spellEnd"/>
      <w:r w:rsidRPr="001C2A98">
        <w:rPr>
          <w:lang w:val="en-US"/>
        </w:rPr>
        <w:t xml:space="preserve"> numbers (UIFN) and the registration of universal international premium-rate numbers (UIPRN) and universal international shared-cost numbers (UISCN).</w:t>
      </w:r>
    </w:p>
    <w:p w:rsidR="0022373A" w:rsidRPr="001F4955" w:rsidRDefault="0022373A" w:rsidP="001572ED">
      <w:pPr>
        <w:jc w:val="both"/>
        <w:rPr>
          <w:lang w:val="en-US"/>
        </w:rPr>
      </w:pPr>
      <w:r w:rsidRPr="00A929E6">
        <w:rPr>
          <w:lang w:val="en-US"/>
        </w:rPr>
        <w:t xml:space="preserve">Parties requesting these services must deposit upfront a sum of CHF </w:t>
      </w:r>
      <w:r w:rsidR="00B40141" w:rsidRPr="00A929E6">
        <w:rPr>
          <w:lang w:val="en-US"/>
        </w:rPr>
        <w:t>3</w:t>
      </w:r>
      <w:r w:rsidRPr="00A929E6">
        <w:rPr>
          <w:lang w:val="en-US"/>
        </w:rPr>
        <w:t>00</w:t>
      </w:r>
      <w:r w:rsidR="001F4955" w:rsidRPr="00A929E6">
        <w:rPr>
          <w:lang w:val="en-US"/>
        </w:rPr>
        <w:t xml:space="preserve"> per number in the Union’s accounts. Non </w:t>
      </w:r>
      <w:r w:rsidR="00B40141" w:rsidRPr="00A929E6">
        <w:rPr>
          <w:lang w:val="en-US"/>
        </w:rPr>
        <w:t xml:space="preserve">ITU-T and </w:t>
      </w:r>
      <w:r w:rsidR="00AB3CAC" w:rsidRPr="00A929E6">
        <w:rPr>
          <w:lang w:val="en-US"/>
        </w:rPr>
        <w:t xml:space="preserve">non </w:t>
      </w:r>
      <w:r w:rsidR="00B40141" w:rsidRPr="00A929E6">
        <w:rPr>
          <w:lang w:val="en-US"/>
        </w:rPr>
        <w:t>ITU</w:t>
      </w:r>
      <w:r w:rsidR="001F4955" w:rsidRPr="00A929E6">
        <w:rPr>
          <w:lang w:val="en-US"/>
        </w:rPr>
        <w:t xml:space="preserve">-R members are charged </w:t>
      </w:r>
      <w:r w:rsidR="00B40141" w:rsidRPr="00A929E6">
        <w:rPr>
          <w:lang w:val="en-US"/>
        </w:rPr>
        <w:t>an annual maintenance fee of CHF</w:t>
      </w:r>
      <w:r w:rsidR="0017709E" w:rsidRPr="00A929E6">
        <w:rPr>
          <w:lang w:val="en-US"/>
        </w:rPr>
        <w:t> </w:t>
      </w:r>
      <w:r w:rsidR="00B40141" w:rsidRPr="00A929E6">
        <w:rPr>
          <w:lang w:val="en-US"/>
        </w:rPr>
        <w:t xml:space="preserve">100 </w:t>
      </w:r>
      <w:r w:rsidRPr="00A929E6">
        <w:rPr>
          <w:lang w:val="en-US"/>
        </w:rPr>
        <w:t xml:space="preserve">per number </w:t>
      </w:r>
      <w:r w:rsidR="00143305" w:rsidRPr="00A929E6">
        <w:rPr>
          <w:lang w:val="en-US"/>
        </w:rPr>
        <w:t xml:space="preserve">to be </w:t>
      </w:r>
      <w:r w:rsidR="0017709E" w:rsidRPr="00A929E6">
        <w:rPr>
          <w:lang w:val="en-US"/>
        </w:rPr>
        <w:t xml:space="preserve">paid </w:t>
      </w:r>
      <w:r w:rsidRPr="00A929E6">
        <w:rPr>
          <w:lang w:val="en-US"/>
        </w:rPr>
        <w:t>in</w:t>
      </w:r>
      <w:r w:rsidR="0017709E" w:rsidRPr="00A929E6">
        <w:rPr>
          <w:lang w:val="en-US"/>
        </w:rPr>
        <w:t>to</w:t>
      </w:r>
      <w:r w:rsidRPr="00A929E6">
        <w:rPr>
          <w:lang w:val="en-US"/>
        </w:rPr>
        <w:t xml:space="preserve"> the Union</w:t>
      </w:r>
      <w:r w:rsidR="007A552E" w:rsidRPr="00A929E6">
        <w:rPr>
          <w:lang w:val="en-US"/>
        </w:rPr>
        <w:t>’</w:t>
      </w:r>
      <w:r w:rsidRPr="00A929E6">
        <w:rPr>
          <w:lang w:val="en-US"/>
        </w:rPr>
        <w:t>s accounts. As the numbers are used, ITU invoices its services. It is at the stage when the numbers are used that the Union recognizes revenue in its accounts. The corresponding invoices are settled from the account containing the customers</w:t>
      </w:r>
      <w:r w:rsidR="007A552E" w:rsidRPr="00A929E6">
        <w:rPr>
          <w:lang w:val="en-US"/>
        </w:rPr>
        <w:t>’</w:t>
      </w:r>
      <w:r w:rsidRPr="00A929E6">
        <w:rPr>
          <w:lang w:val="en-US"/>
        </w:rPr>
        <w:t xml:space="preserve"> deposits.</w:t>
      </w:r>
      <w:r w:rsidR="00B40141" w:rsidRPr="00A929E6">
        <w:rPr>
          <w:lang w:val="en-US"/>
        </w:rPr>
        <w:t xml:space="preserve"> Every year an invoice for the maintenance fee</w:t>
      </w:r>
      <w:r w:rsidR="00C838CC" w:rsidRPr="00A929E6">
        <w:rPr>
          <w:lang w:val="en-US"/>
        </w:rPr>
        <w:t xml:space="preserve"> of all the active numbers</w:t>
      </w:r>
      <w:r w:rsidR="00B40141" w:rsidRPr="00A929E6">
        <w:rPr>
          <w:lang w:val="en-US"/>
        </w:rPr>
        <w:t xml:space="preserve"> </w:t>
      </w:r>
      <w:r w:rsidR="00C838CC" w:rsidRPr="00A929E6">
        <w:rPr>
          <w:lang w:val="en-US"/>
        </w:rPr>
        <w:t xml:space="preserve">is </w:t>
      </w:r>
      <w:r w:rsidR="00B40141" w:rsidRPr="00A929E6">
        <w:rPr>
          <w:lang w:val="en-US"/>
        </w:rPr>
        <w:t xml:space="preserve">issued </w:t>
      </w:r>
      <w:r w:rsidR="00C838CC" w:rsidRPr="00A929E6">
        <w:rPr>
          <w:lang w:val="en-US"/>
        </w:rPr>
        <w:t xml:space="preserve">and sent to all non ITU-T and </w:t>
      </w:r>
      <w:r w:rsidR="00AB3CAC" w:rsidRPr="00A929E6">
        <w:rPr>
          <w:lang w:val="en-US"/>
        </w:rPr>
        <w:t xml:space="preserve">non </w:t>
      </w:r>
      <w:r w:rsidR="00C838CC" w:rsidRPr="00A929E6">
        <w:rPr>
          <w:lang w:val="en-US"/>
        </w:rPr>
        <w:t>ITU-R members.</w:t>
      </w:r>
    </w:p>
    <w:p w:rsidR="0022373A" w:rsidRPr="001C2A98" w:rsidRDefault="0022373A" w:rsidP="005C41A5">
      <w:pPr>
        <w:jc w:val="both"/>
        <w:rPr>
          <w:lang w:val="en-US"/>
        </w:rPr>
      </w:pPr>
      <w:r w:rsidRPr="001F4955">
        <w:rPr>
          <w:lang w:val="en-US"/>
        </w:rPr>
        <w:t>Voluntary contributions are recognized when there is an agreement signed by</w:t>
      </w:r>
      <w:r w:rsidRPr="001C2A98">
        <w:rPr>
          <w:lang w:val="en-US"/>
        </w:rPr>
        <w:t xml:space="preserve"> the donors. Contributions received which relate to future financial periods are recognized under deferred revenues. The balance of unused voluntary contributions at the date of closure is recognized under third-party funds. Other revenue pertaining to future financial periods is recognized under deferred revenues.</w:t>
      </w:r>
    </w:p>
    <w:p w:rsidR="00BE3C2E" w:rsidRDefault="0022373A" w:rsidP="00C10F21">
      <w:pPr>
        <w:jc w:val="both"/>
        <w:rPr>
          <w:lang w:val="en-US"/>
        </w:rPr>
      </w:pPr>
      <w:r w:rsidRPr="001C2A98">
        <w:rPr>
          <w:lang w:val="en-US"/>
        </w:rPr>
        <w:t>Revenue from sales of publications is recognized at the time when the publications are dispatched, and revenue from sales of services involving access to ITU statistics and data in electronic form is recognized at the time when the data become accessible.</w:t>
      </w:r>
    </w:p>
    <w:p w:rsidR="0022373A" w:rsidRPr="00C9132E" w:rsidRDefault="0022373A" w:rsidP="005C41A5">
      <w:pPr>
        <w:pStyle w:val="Heading5"/>
        <w:jc w:val="both"/>
        <w:rPr>
          <w:u w:val="single"/>
          <w:lang w:val="en-US"/>
        </w:rPr>
      </w:pPr>
      <w:bookmarkStart w:id="59" w:name="_Toc305764076"/>
      <w:bookmarkStart w:id="60" w:name="_Toc329011627"/>
      <w:r w:rsidRPr="00C9132E">
        <w:rPr>
          <w:u w:val="single"/>
          <w:lang w:val="en-US"/>
        </w:rPr>
        <w:t>Segment reporting</w:t>
      </w:r>
      <w:bookmarkEnd w:id="59"/>
      <w:bookmarkEnd w:id="60"/>
    </w:p>
    <w:p w:rsidR="0022373A" w:rsidRPr="004E2561" w:rsidRDefault="0022373A" w:rsidP="004C23C0">
      <w:pPr>
        <w:jc w:val="both"/>
        <w:rPr>
          <w:lang w:val="en-US"/>
        </w:rPr>
      </w:pPr>
      <w:r w:rsidRPr="00363757">
        <w:rPr>
          <w:lang w:val="en-US"/>
        </w:rPr>
        <w:t>Segment reporting is based on ITU</w:t>
      </w:r>
      <w:r w:rsidR="007A552E" w:rsidRPr="00363757">
        <w:rPr>
          <w:lang w:val="en-US"/>
        </w:rPr>
        <w:t>’</w:t>
      </w:r>
      <w:r w:rsidRPr="00363757">
        <w:rPr>
          <w:lang w:val="en-US"/>
        </w:rPr>
        <w:t xml:space="preserve">s main activities and sources of financing, and is done in a manner consistent with the structure of the financial information provided to the </w:t>
      </w:r>
      <w:r w:rsidR="007450E4" w:rsidRPr="00363757">
        <w:rPr>
          <w:lang w:val="en-US"/>
        </w:rPr>
        <w:t>Chief of the Financ</w:t>
      </w:r>
      <w:r w:rsidR="00405EF1" w:rsidRPr="00363757">
        <w:rPr>
          <w:lang w:val="en-US"/>
        </w:rPr>
        <w:t xml:space="preserve">ial </w:t>
      </w:r>
      <w:r w:rsidR="00405EF1" w:rsidRPr="001572ED">
        <w:rPr>
          <w:spacing w:val="-2"/>
          <w:lang w:val="en-US"/>
        </w:rPr>
        <w:t>Resources Management Depart</w:t>
      </w:r>
      <w:r w:rsidR="007450E4" w:rsidRPr="001572ED">
        <w:rPr>
          <w:spacing w:val="-2"/>
          <w:lang w:val="en-US"/>
        </w:rPr>
        <w:t>ment</w:t>
      </w:r>
      <w:r w:rsidRPr="001572ED">
        <w:rPr>
          <w:spacing w:val="-2"/>
          <w:lang w:val="en-US"/>
        </w:rPr>
        <w:t>. The segments reflect the ITU</w:t>
      </w:r>
      <w:r w:rsidR="007A552E" w:rsidRPr="001572ED">
        <w:rPr>
          <w:spacing w:val="-2"/>
          <w:lang w:val="en-US"/>
        </w:rPr>
        <w:t>’</w:t>
      </w:r>
      <w:r w:rsidR="004E2561" w:rsidRPr="001572ED">
        <w:rPr>
          <w:spacing w:val="-2"/>
          <w:lang w:val="en-US"/>
        </w:rPr>
        <w:t xml:space="preserve">s work </w:t>
      </w:r>
      <w:proofErr w:type="spellStart"/>
      <w:r w:rsidR="004E2561" w:rsidRPr="001572ED">
        <w:rPr>
          <w:spacing w:val="-2"/>
          <w:lang w:val="en-US"/>
        </w:rPr>
        <w:t>programme</w:t>
      </w:r>
      <w:proofErr w:type="spellEnd"/>
      <w:r w:rsidR="004E2561" w:rsidRPr="001572ED">
        <w:rPr>
          <w:spacing w:val="-2"/>
          <w:lang w:val="en-US"/>
        </w:rPr>
        <w:t xml:space="preserve"> for </w:t>
      </w:r>
      <w:r w:rsidR="00111BDD" w:rsidRPr="001572ED">
        <w:rPr>
          <w:spacing w:val="-2"/>
          <w:lang w:val="en-US"/>
        </w:rPr>
        <w:t>201</w:t>
      </w:r>
      <w:r w:rsidR="004C23C0">
        <w:rPr>
          <w:spacing w:val="-2"/>
          <w:lang w:val="en-US"/>
        </w:rPr>
        <w:t>8</w:t>
      </w:r>
      <w:r w:rsidR="00F136C1" w:rsidRPr="001572ED">
        <w:rPr>
          <w:spacing w:val="-2"/>
          <w:lang w:val="en-US"/>
        </w:rPr>
        <w:t>-20</w:t>
      </w:r>
      <w:r w:rsidR="004E2561" w:rsidRPr="001572ED">
        <w:rPr>
          <w:spacing w:val="-2"/>
          <w:lang w:val="en-US"/>
        </w:rPr>
        <w:t>1</w:t>
      </w:r>
      <w:r w:rsidR="004C23C0">
        <w:rPr>
          <w:spacing w:val="-2"/>
          <w:lang w:val="en-US"/>
        </w:rPr>
        <w:t>9</w:t>
      </w:r>
      <w:r w:rsidR="003E5D14" w:rsidRPr="001572ED">
        <w:rPr>
          <w:spacing w:val="-2"/>
          <w:lang w:val="en-US"/>
        </w:rPr>
        <w:t>:</w:t>
      </w:r>
      <w:r w:rsidR="00F136C1" w:rsidRPr="00363757">
        <w:rPr>
          <w:lang w:val="en-US"/>
        </w:rPr>
        <w:t xml:space="preserve"> </w:t>
      </w:r>
    </w:p>
    <w:p w:rsidR="00A929E6" w:rsidRDefault="00A929E6">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22373A" w:rsidRDefault="0022373A" w:rsidP="005C41A5">
      <w:pPr>
        <w:pStyle w:val="enumlev1"/>
        <w:jc w:val="both"/>
        <w:rPr>
          <w:lang w:val="en-US"/>
        </w:rPr>
      </w:pPr>
      <w:r w:rsidRPr="004E2561">
        <w:rPr>
          <w:lang w:val="en-US"/>
        </w:rPr>
        <w:t>–</w:t>
      </w:r>
      <w:r w:rsidRPr="004E2561">
        <w:rPr>
          <w:lang w:val="en-US"/>
        </w:rPr>
        <w:tab/>
        <w:t>General Secretariat</w:t>
      </w:r>
      <w:r w:rsidR="00B2207F">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t>Radiocommunication Sector (ITU-R): Management of international resources, namely the radio-frequency spectrum and satellite orbits</w:t>
      </w:r>
      <w:r w:rsidR="00B2207F">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t>Telecommunication Standardization Sector (ITU-T): Shaping harmonized working methods and establishment of flexible collaboration mechanisms to meet market needs</w:t>
      </w:r>
      <w:r w:rsidR="00B2207F">
        <w:rPr>
          <w:lang w:val="en-US"/>
        </w:rPr>
        <w:t>;</w:t>
      </w:r>
    </w:p>
    <w:p w:rsidR="0022373A" w:rsidRDefault="0022373A" w:rsidP="005C41A5">
      <w:pPr>
        <w:pStyle w:val="enumlev1"/>
        <w:jc w:val="both"/>
        <w:rPr>
          <w:lang w:val="en-US"/>
        </w:rPr>
      </w:pPr>
      <w:r w:rsidRPr="001C2A98">
        <w:rPr>
          <w:lang w:val="en-US"/>
        </w:rPr>
        <w:t>–</w:t>
      </w:r>
      <w:r w:rsidRPr="001C2A98">
        <w:rPr>
          <w:lang w:val="en-US"/>
        </w:rPr>
        <w:tab/>
        <w:t>Telecommunication Development Sector (ITU-D): Provision, under affordable conditions, of equitable and sustainable access to ICTs</w:t>
      </w:r>
      <w:r w:rsidR="00B2207F">
        <w:rPr>
          <w:lang w:val="en-US"/>
        </w:rPr>
        <w:t>;</w:t>
      </w:r>
    </w:p>
    <w:p w:rsidR="00734446" w:rsidRPr="00734446" w:rsidRDefault="00734446" w:rsidP="00E433D2">
      <w:pPr>
        <w:pStyle w:val="enumlev1"/>
        <w:numPr>
          <w:ilvl w:val="0"/>
          <w:numId w:val="24"/>
        </w:numPr>
        <w:ind w:left="567" w:hanging="567"/>
        <w:jc w:val="both"/>
        <w:rPr>
          <w:lang w:val="en-US"/>
        </w:rPr>
      </w:pPr>
      <w:r w:rsidRPr="00F85CF0">
        <w:rPr>
          <w:lang w:val="en-US"/>
        </w:rPr>
        <w:t>New Building fund</w:t>
      </w:r>
      <w:r w:rsidR="00E433D2">
        <w:rPr>
          <w:lang w:val="en-US"/>
        </w:rPr>
        <w:t xml:space="preserve"> which </w:t>
      </w:r>
      <w:r w:rsidRPr="00F85CF0">
        <w:rPr>
          <w:lang w:val="en-US"/>
        </w:rPr>
        <w:t>represent</w:t>
      </w:r>
      <w:r w:rsidR="00B742B2" w:rsidRPr="00F85CF0">
        <w:rPr>
          <w:lang w:val="en-US"/>
        </w:rPr>
        <w:t>s</w:t>
      </w:r>
      <w:r w:rsidRPr="00F85CF0">
        <w:rPr>
          <w:lang w:val="en-US"/>
        </w:rPr>
        <w:t xml:space="preserve"> the project</w:t>
      </w:r>
      <w:r>
        <w:rPr>
          <w:lang w:val="en-US"/>
        </w:rPr>
        <w:t xml:space="preserve"> o</w:t>
      </w:r>
      <w:r w:rsidR="00E433D2">
        <w:rPr>
          <w:lang w:val="en-US"/>
        </w:rPr>
        <w:t xml:space="preserve">n the </w:t>
      </w:r>
      <w:r>
        <w:rPr>
          <w:lang w:val="en-US"/>
        </w:rPr>
        <w:t>construction of the new headquarter</w:t>
      </w:r>
      <w:r w:rsidR="00E433D2">
        <w:rPr>
          <w:lang w:val="en-US"/>
        </w:rPr>
        <w:t>s</w:t>
      </w:r>
      <w:r>
        <w:rPr>
          <w:lang w:val="en-US"/>
        </w:rPr>
        <w:t xml:space="preserve"> premises</w:t>
      </w:r>
      <w:r w:rsidR="00346504">
        <w:rPr>
          <w:lang w:val="en-US"/>
        </w:rPr>
        <w:t>;</w:t>
      </w:r>
    </w:p>
    <w:p w:rsidR="00734446" w:rsidRPr="00734446" w:rsidRDefault="00734446" w:rsidP="00734446">
      <w:pPr>
        <w:pStyle w:val="enumlev1"/>
        <w:numPr>
          <w:ilvl w:val="0"/>
          <w:numId w:val="24"/>
        </w:numPr>
        <w:ind w:hanging="720"/>
        <w:jc w:val="both"/>
        <w:rPr>
          <w:lang w:val="en-US"/>
        </w:rPr>
      </w:pPr>
      <w:r w:rsidRPr="00B742B2">
        <w:rPr>
          <w:lang w:val="en-US"/>
        </w:rPr>
        <w:t>Old pension fund which regroup</w:t>
      </w:r>
      <w:r w:rsidR="00E433D2">
        <w:rPr>
          <w:lang w:val="en-US"/>
        </w:rPr>
        <w:t>s</w:t>
      </w:r>
      <w:r w:rsidRPr="00B742B2">
        <w:rPr>
          <w:lang w:val="en-US"/>
        </w:rPr>
        <w:t xml:space="preserve"> the </w:t>
      </w:r>
      <w:r w:rsidR="00EC02E5" w:rsidRPr="00B742B2">
        <w:rPr>
          <w:lang w:val="en-US"/>
        </w:rPr>
        <w:t>provident</w:t>
      </w:r>
      <w:r w:rsidRPr="00B742B2">
        <w:rPr>
          <w:lang w:val="en-US"/>
        </w:rPr>
        <w:t xml:space="preserve"> fund and the assistance fund</w:t>
      </w:r>
      <w:r w:rsidR="00E433D2">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t>Projects: UNDP funds, trust funds, ICT Development Fund and voluntary contributions</w:t>
      </w:r>
      <w:r w:rsidR="00B2207F">
        <w:rPr>
          <w:lang w:val="en-US"/>
        </w:rPr>
        <w:t>;</w:t>
      </w:r>
    </w:p>
    <w:p w:rsidR="005F3F1F" w:rsidRDefault="0022373A" w:rsidP="005C41A5">
      <w:pPr>
        <w:pStyle w:val="enumlev1"/>
        <w:jc w:val="both"/>
        <w:rPr>
          <w:lang w:val="en-US"/>
        </w:rPr>
      </w:pPr>
      <w:r w:rsidRPr="001C2A98">
        <w:rPr>
          <w:lang w:val="en-US"/>
        </w:rPr>
        <w:t>–</w:t>
      </w:r>
      <w:r w:rsidRPr="001C2A98">
        <w:rPr>
          <w:lang w:val="en-US"/>
        </w:rPr>
        <w:tab/>
      </w:r>
      <w:r w:rsidR="007450E4">
        <w:rPr>
          <w:lang w:val="en-US"/>
        </w:rPr>
        <w:t xml:space="preserve">ITU </w:t>
      </w:r>
      <w:r w:rsidRPr="001C2A98">
        <w:rPr>
          <w:lang w:val="en-US"/>
        </w:rPr>
        <w:t>TELECOM.</w:t>
      </w:r>
    </w:p>
    <w:p w:rsidR="0022373A" w:rsidRDefault="0022373A" w:rsidP="005C41A5">
      <w:pPr>
        <w:jc w:val="both"/>
        <w:rPr>
          <w:lang w:val="en-US"/>
        </w:rPr>
      </w:pPr>
      <w:r w:rsidRPr="001C2A98">
        <w:rPr>
          <w:lang w:val="en-US"/>
        </w:rPr>
        <w:t>On account of the nature of ITU</w:t>
      </w:r>
      <w:r w:rsidR="007A552E">
        <w:rPr>
          <w:lang w:val="en-US"/>
        </w:rPr>
        <w:t>’</w:t>
      </w:r>
      <w:r w:rsidRPr="001C2A98">
        <w:rPr>
          <w:lang w:val="en-US"/>
        </w:rPr>
        <w:t>s activities, its tangible and intangible fixed assets are used jointly by all its Sectors and are not managed by the individual Sectors. The Union</w:t>
      </w:r>
      <w:r w:rsidR="007A552E">
        <w:rPr>
          <w:lang w:val="en-US"/>
        </w:rPr>
        <w:t>’</w:t>
      </w:r>
      <w:r w:rsidRPr="001C2A98">
        <w:rPr>
          <w:lang w:val="en-US"/>
        </w:rPr>
        <w:t xml:space="preserve">s assets and liabilities, other than those representing its net assets, fall under the ownership or responsibility of the organization as a whole and do not constitute assets and liabilities of its component parts. </w:t>
      </w:r>
      <w:r w:rsidR="009070CC" w:rsidRPr="001C2A98">
        <w:rPr>
          <w:lang w:val="en-US"/>
        </w:rPr>
        <w:t>Extra budgetary</w:t>
      </w:r>
      <w:r w:rsidRPr="001C2A98">
        <w:rPr>
          <w:lang w:val="en-US"/>
        </w:rPr>
        <w:t xml:space="preserve"> funds do not have any fixed assets. Assets and liabilities represent a wide range of activities that are common to the constituent parts of the Union. Any allocation of assets and liabilities to the different Sectors would inevitably be arbitrary and incoherent. It would thus run counter to the principles of IPSAS 18. It is for this reason that individual assets and liabilities will not be segmented.</w:t>
      </w:r>
    </w:p>
    <w:p w:rsidR="0022373A" w:rsidRPr="00844D34" w:rsidRDefault="0022373A" w:rsidP="005C41A5">
      <w:pPr>
        <w:pStyle w:val="Heading5"/>
        <w:jc w:val="both"/>
        <w:rPr>
          <w:u w:val="single"/>
          <w:lang w:val="en-US"/>
        </w:rPr>
      </w:pPr>
      <w:bookmarkStart w:id="61" w:name="_Toc305764077"/>
      <w:bookmarkStart w:id="62" w:name="_Toc329011628"/>
      <w:r w:rsidRPr="005F3F1F">
        <w:rPr>
          <w:u w:val="single"/>
          <w:lang w:val="en-US"/>
        </w:rPr>
        <w:t xml:space="preserve">Budget </w:t>
      </w:r>
      <w:r w:rsidRPr="00844D34">
        <w:rPr>
          <w:u w:val="single"/>
          <w:lang w:val="en-US"/>
        </w:rPr>
        <w:t>comparison</w:t>
      </w:r>
      <w:bookmarkEnd w:id="61"/>
      <w:bookmarkEnd w:id="62"/>
    </w:p>
    <w:p w:rsidR="002560A2" w:rsidRDefault="0022373A" w:rsidP="004C6943">
      <w:pPr>
        <w:jc w:val="both"/>
        <w:rPr>
          <w:lang w:val="en-US"/>
        </w:rPr>
      </w:pPr>
      <w:r w:rsidRPr="00BD38D2">
        <w:rPr>
          <w:lang w:val="en-US"/>
        </w:rPr>
        <w:t xml:space="preserve">The </w:t>
      </w:r>
      <w:r w:rsidR="00390394" w:rsidRPr="00BD38D2">
        <w:rPr>
          <w:lang w:val="en-US"/>
        </w:rPr>
        <w:t xml:space="preserve">draft </w:t>
      </w:r>
      <w:r w:rsidR="00844D34" w:rsidRPr="00BD38D2">
        <w:rPr>
          <w:lang w:val="en-US"/>
        </w:rPr>
        <w:t xml:space="preserve">budget of the Union for </w:t>
      </w:r>
      <w:r w:rsidR="00111BDD" w:rsidRPr="00BD38D2">
        <w:rPr>
          <w:lang w:val="en-US"/>
        </w:rPr>
        <w:t>201</w:t>
      </w:r>
      <w:r w:rsidR="00F26FE9">
        <w:rPr>
          <w:lang w:val="en-US"/>
        </w:rPr>
        <w:t>8</w:t>
      </w:r>
      <w:r w:rsidR="00844D34" w:rsidRPr="00BD38D2">
        <w:rPr>
          <w:lang w:val="en-US"/>
        </w:rPr>
        <w:t>-201</w:t>
      </w:r>
      <w:r w:rsidR="00F26FE9">
        <w:rPr>
          <w:lang w:val="en-US"/>
        </w:rPr>
        <w:t>9</w:t>
      </w:r>
      <w:r w:rsidRPr="00BD38D2">
        <w:rPr>
          <w:lang w:val="en-US"/>
        </w:rPr>
        <w:t xml:space="preserve"> </w:t>
      </w:r>
      <w:r w:rsidR="00390394" w:rsidRPr="00BD38D2">
        <w:rPr>
          <w:lang w:val="en-US"/>
        </w:rPr>
        <w:t>is based on</w:t>
      </w:r>
      <w:r w:rsidRPr="00BD38D2">
        <w:rPr>
          <w:lang w:val="en-US"/>
        </w:rPr>
        <w:t xml:space="preserve"> Decision 5 (Rev. </w:t>
      </w:r>
      <w:r w:rsidR="004C6943">
        <w:rPr>
          <w:lang w:val="en-US"/>
        </w:rPr>
        <w:t>Duba</w:t>
      </w:r>
      <w:r w:rsidR="001D1A57">
        <w:rPr>
          <w:lang w:val="en-US"/>
        </w:rPr>
        <w:t>i</w:t>
      </w:r>
      <w:r w:rsidR="004C6943">
        <w:rPr>
          <w:lang w:val="en-US"/>
        </w:rPr>
        <w:t>,</w:t>
      </w:r>
      <w:r w:rsidR="00983BAA" w:rsidRPr="00BD38D2">
        <w:rPr>
          <w:lang w:val="en-US"/>
        </w:rPr>
        <w:t xml:space="preserve"> </w:t>
      </w:r>
      <w:r w:rsidRPr="00BD38D2">
        <w:rPr>
          <w:lang w:val="en-US"/>
        </w:rPr>
        <w:t>20</w:t>
      </w:r>
      <w:r w:rsidR="00390394" w:rsidRPr="00BD38D2">
        <w:rPr>
          <w:lang w:val="en-US"/>
        </w:rPr>
        <w:t>1</w:t>
      </w:r>
      <w:r w:rsidR="004C6943">
        <w:rPr>
          <w:lang w:val="en-US"/>
        </w:rPr>
        <w:t>8</w:t>
      </w:r>
      <w:r w:rsidRPr="00BD38D2">
        <w:rPr>
          <w:lang w:val="en-US"/>
        </w:rPr>
        <w:t xml:space="preserve">) entitled </w:t>
      </w:r>
      <w:r w:rsidR="007A552E" w:rsidRPr="00BD38D2">
        <w:rPr>
          <w:lang w:val="en-US"/>
        </w:rPr>
        <w:t>“</w:t>
      </w:r>
      <w:r w:rsidRPr="00BD38D2">
        <w:rPr>
          <w:lang w:val="en-US"/>
        </w:rPr>
        <w:t xml:space="preserve">Income and expenditure </w:t>
      </w:r>
      <w:r w:rsidR="00C3351C" w:rsidRPr="00BD38D2">
        <w:rPr>
          <w:lang w:val="en-US"/>
        </w:rPr>
        <w:t>for the Union for the period 201</w:t>
      </w:r>
      <w:r w:rsidR="00386A24">
        <w:rPr>
          <w:lang w:val="en-US"/>
        </w:rPr>
        <w:t>6</w:t>
      </w:r>
      <w:r w:rsidRPr="00BD38D2">
        <w:rPr>
          <w:lang w:val="en-US"/>
        </w:rPr>
        <w:t>-201</w:t>
      </w:r>
      <w:r w:rsidR="00386A24">
        <w:rPr>
          <w:lang w:val="en-US"/>
        </w:rPr>
        <w:t>9</w:t>
      </w:r>
      <w:r w:rsidR="007A552E" w:rsidRPr="00BD38D2">
        <w:rPr>
          <w:lang w:val="en-US"/>
        </w:rPr>
        <w:t>”</w:t>
      </w:r>
      <w:r w:rsidRPr="00BD38D2">
        <w:rPr>
          <w:lang w:val="en-US"/>
        </w:rPr>
        <w:t xml:space="preserve"> and the strat</w:t>
      </w:r>
      <w:r w:rsidR="00C3351C" w:rsidRPr="00BD38D2">
        <w:rPr>
          <w:lang w:val="en-US"/>
        </w:rPr>
        <w:t>egic plan for the Union for 201</w:t>
      </w:r>
      <w:r w:rsidR="00386A24">
        <w:rPr>
          <w:lang w:val="en-US"/>
        </w:rPr>
        <w:t>6</w:t>
      </w:r>
      <w:r w:rsidR="00C3351C" w:rsidRPr="00BD38D2">
        <w:rPr>
          <w:lang w:val="en-US"/>
        </w:rPr>
        <w:t>-201</w:t>
      </w:r>
      <w:r w:rsidR="00386A24">
        <w:rPr>
          <w:lang w:val="en-US"/>
        </w:rPr>
        <w:t>9</w:t>
      </w:r>
      <w:r w:rsidRPr="00BD38D2">
        <w:rPr>
          <w:lang w:val="en-US"/>
        </w:rPr>
        <w:t xml:space="preserve"> set out in Resolution 71 (</w:t>
      </w:r>
      <w:r w:rsidR="00390394" w:rsidRPr="00BD38D2">
        <w:rPr>
          <w:lang w:val="en-US"/>
        </w:rPr>
        <w:t xml:space="preserve">Rev. </w:t>
      </w:r>
      <w:r w:rsidR="004C6943">
        <w:rPr>
          <w:lang w:val="en-US"/>
        </w:rPr>
        <w:t>Dubai</w:t>
      </w:r>
      <w:r w:rsidR="00386A24" w:rsidRPr="00BD38D2">
        <w:rPr>
          <w:lang w:val="en-US"/>
        </w:rPr>
        <w:t>, 201</w:t>
      </w:r>
      <w:r w:rsidR="004C6943">
        <w:rPr>
          <w:lang w:val="en-US"/>
        </w:rPr>
        <w:t>8</w:t>
      </w:r>
      <w:r w:rsidRPr="00BD38D2">
        <w:rPr>
          <w:lang w:val="en-US"/>
        </w:rPr>
        <w:t>)</w:t>
      </w:r>
      <w:r w:rsidR="00390394" w:rsidRPr="00BD38D2">
        <w:rPr>
          <w:lang w:val="en-US"/>
        </w:rPr>
        <w:t xml:space="preserve"> of the </w:t>
      </w:r>
      <w:r w:rsidRPr="00BD38D2">
        <w:rPr>
          <w:lang w:val="en-US"/>
        </w:rPr>
        <w:t>Plenipotentiary Confer</w:t>
      </w:r>
      <w:r w:rsidR="00C3351C" w:rsidRPr="00BD38D2">
        <w:rPr>
          <w:lang w:val="en-US"/>
        </w:rPr>
        <w:t>ence.</w:t>
      </w:r>
    </w:p>
    <w:p w:rsidR="0022373A" w:rsidRPr="00BD38D2" w:rsidRDefault="00C3351C" w:rsidP="00BF7758">
      <w:pPr>
        <w:jc w:val="both"/>
        <w:rPr>
          <w:lang w:val="en-US"/>
        </w:rPr>
      </w:pPr>
      <w:r w:rsidRPr="00BD38D2">
        <w:rPr>
          <w:lang w:val="en-US"/>
        </w:rPr>
        <w:t xml:space="preserve">Furthermore, the </w:t>
      </w:r>
      <w:proofErr w:type="spellStart"/>
      <w:r w:rsidRPr="00BD38D2">
        <w:rPr>
          <w:lang w:val="en-US"/>
        </w:rPr>
        <w:t>programme</w:t>
      </w:r>
      <w:proofErr w:type="spellEnd"/>
      <w:r w:rsidR="0022373A" w:rsidRPr="00BD38D2">
        <w:rPr>
          <w:lang w:val="en-US"/>
        </w:rPr>
        <w:t xml:space="preserve"> budget is coordinated with the operational plans of the Sectors and the General Secretariat.</w:t>
      </w:r>
    </w:p>
    <w:p w:rsidR="0022373A" w:rsidRPr="00BD38D2" w:rsidRDefault="0022373A" w:rsidP="00905753">
      <w:pPr>
        <w:jc w:val="both"/>
        <w:rPr>
          <w:lang w:val="en-US"/>
        </w:rPr>
      </w:pPr>
      <w:r w:rsidRPr="00BD38D2">
        <w:rPr>
          <w:lang w:val="en-US"/>
        </w:rPr>
        <w:t>Pursuant to IPSAS 24, the annual financial statements must include a comparison between budgeted amounts and actual amounts. The dr</w:t>
      </w:r>
      <w:r w:rsidR="00C3351C" w:rsidRPr="00BD38D2">
        <w:rPr>
          <w:lang w:val="en-US"/>
        </w:rPr>
        <w:t>aft budget of the Union for 201</w:t>
      </w:r>
      <w:r w:rsidR="00905753">
        <w:rPr>
          <w:lang w:val="en-US"/>
        </w:rPr>
        <w:t>8</w:t>
      </w:r>
      <w:r w:rsidR="00C3351C" w:rsidRPr="00BD38D2">
        <w:rPr>
          <w:lang w:val="en-US"/>
        </w:rPr>
        <w:t>-</w:t>
      </w:r>
      <w:r w:rsidR="00111BDD" w:rsidRPr="00BD38D2">
        <w:rPr>
          <w:lang w:val="en-US"/>
        </w:rPr>
        <w:t>201</w:t>
      </w:r>
      <w:r w:rsidR="00905753">
        <w:rPr>
          <w:lang w:val="en-US"/>
        </w:rPr>
        <w:t>8</w:t>
      </w:r>
      <w:r w:rsidRPr="00BD38D2">
        <w:rPr>
          <w:lang w:val="en-US"/>
        </w:rPr>
        <w:t xml:space="preserve"> is composed of two annual budgets. A budget estimate has been made for each of the financial years.</w:t>
      </w:r>
    </w:p>
    <w:p w:rsidR="0022373A" w:rsidRDefault="001F61C9" w:rsidP="00905753">
      <w:pPr>
        <w:jc w:val="both"/>
        <w:rPr>
          <w:lang w:val="en-US"/>
        </w:rPr>
      </w:pPr>
      <w:r w:rsidRPr="00B31F6F">
        <w:rPr>
          <w:lang w:val="en-US"/>
        </w:rPr>
        <w:t xml:space="preserve">The final budget for </w:t>
      </w:r>
      <w:r w:rsidR="00111BDD" w:rsidRPr="00B31F6F">
        <w:rPr>
          <w:lang w:val="en-US"/>
        </w:rPr>
        <w:t>201</w:t>
      </w:r>
      <w:r w:rsidR="00905753">
        <w:rPr>
          <w:lang w:val="en-US"/>
        </w:rPr>
        <w:t>8</w:t>
      </w:r>
      <w:r w:rsidR="00B31F6F" w:rsidRPr="00B31F6F">
        <w:rPr>
          <w:lang w:val="en-US"/>
        </w:rPr>
        <w:t xml:space="preserve"> </w:t>
      </w:r>
      <w:r w:rsidR="0022373A" w:rsidRPr="00B31F6F">
        <w:rPr>
          <w:lang w:val="en-US"/>
        </w:rPr>
        <w:t xml:space="preserve">was approved by the Council at its </w:t>
      </w:r>
      <w:r w:rsidR="004F546C" w:rsidRPr="00B31F6F">
        <w:rPr>
          <w:lang w:val="en-US"/>
        </w:rPr>
        <w:t>201</w:t>
      </w:r>
      <w:r w:rsidR="00905753">
        <w:rPr>
          <w:lang w:val="en-US"/>
        </w:rPr>
        <w:t>7</w:t>
      </w:r>
      <w:r w:rsidR="0022373A" w:rsidRPr="00B31F6F">
        <w:rPr>
          <w:lang w:val="en-US"/>
        </w:rPr>
        <w:t xml:space="preserve"> session by Resol</w:t>
      </w:r>
      <w:r w:rsidR="00390394" w:rsidRPr="00B31F6F">
        <w:rPr>
          <w:lang w:val="en-US"/>
        </w:rPr>
        <w:t>ution 13</w:t>
      </w:r>
      <w:r w:rsidR="00905753">
        <w:rPr>
          <w:lang w:val="en-US"/>
        </w:rPr>
        <w:t>87</w:t>
      </w:r>
      <w:r w:rsidR="0022373A" w:rsidRPr="00B31F6F">
        <w:rPr>
          <w:lang w:val="en-US"/>
        </w:rPr>
        <w:t xml:space="preserve">. Statement V contains a comparison of the final budget and actual amounts. Since the budget and the financial statements were not drawn up on the same basis, Statement V contains a reconciliation of the amounts in the budget and the amounts in Statement II (Statement of financial performance). </w:t>
      </w:r>
      <w:r w:rsidR="003774B3">
        <w:rPr>
          <w:lang w:val="en-US"/>
        </w:rPr>
        <w:t>The p</w:t>
      </w:r>
      <w:r w:rsidR="0022373A" w:rsidRPr="00B31F6F">
        <w:rPr>
          <w:lang w:val="en-US"/>
        </w:rPr>
        <w:t xml:space="preserve">erimeter differences reflect the incorporation of </w:t>
      </w:r>
      <w:r w:rsidR="009070CC" w:rsidRPr="00B31F6F">
        <w:rPr>
          <w:lang w:val="en-US"/>
        </w:rPr>
        <w:t>extra budgetary</w:t>
      </w:r>
      <w:r w:rsidR="0022373A" w:rsidRPr="00B31F6F">
        <w:rPr>
          <w:lang w:val="en-US"/>
        </w:rPr>
        <w:t xml:space="preserve"> funds in the Union</w:t>
      </w:r>
      <w:r w:rsidR="007A552E" w:rsidRPr="00B31F6F">
        <w:rPr>
          <w:lang w:val="en-US"/>
        </w:rPr>
        <w:t>’</w:t>
      </w:r>
      <w:r w:rsidR="0022373A" w:rsidRPr="00B31F6F">
        <w:rPr>
          <w:lang w:val="en-US"/>
        </w:rPr>
        <w:t>s financial statements.</w:t>
      </w:r>
    </w:p>
    <w:p w:rsidR="0022373A" w:rsidRPr="001C2A98" w:rsidRDefault="0022373A" w:rsidP="00406EAC">
      <w:pPr>
        <w:pStyle w:val="Heading5"/>
        <w:jc w:val="both"/>
        <w:rPr>
          <w:lang w:val="en-US"/>
        </w:rPr>
      </w:pPr>
      <w:bookmarkStart w:id="63" w:name="_Toc305764078"/>
      <w:bookmarkStart w:id="64" w:name="_Toc329011629"/>
      <w:r w:rsidRPr="00BD38D2">
        <w:rPr>
          <w:lang w:val="en-US"/>
        </w:rPr>
        <w:t xml:space="preserve">Note </w:t>
      </w:r>
      <w:r w:rsidR="00D86B0C">
        <w:rPr>
          <w:lang w:val="en-US"/>
        </w:rPr>
        <w:t>3</w:t>
      </w:r>
      <w:r w:rsidRPr="001C2A98">
        <w:rPr>
          <w:lang w:val="en-US"/>
        </w:rPr>
        <w:tab/>
        <w:t xml:space="preserve">Management of net assets </w:t>
      </w:r>
      <w:bookmarkEnd w:id="63"/>
      <w:bookmarkEnd w:id="64"/>
    </w:p>
    <w:p w:rsidR="0022373A" w:rsidRPr="001C2A98" w:rsidRDefault="0022373A" w:rsidP="005C41A5">
      <w:pPr>
        <w:tabs>
          <w:tab w:val="left" w:pos="7088"/>
        </w:tabs>
        <w:jc w:val="both"/>
        <w:rPr>
          <w:lang w:val="en-US"/>
        </w:rPr>
      </w:pPr>
      <w:r w:rsidRPr="001C2A98">
        <w:rPr>
          <w:lang w:val="en-US"/>
        </w:rPr>
        <w:t>The Union</w:t>
      </w:r>
      <w:r w:rsidR="007A552E">
        <w:rPr>
          <w:lang w:val="en-US"/>
        </w:rPr>
        <w:t>’</w:t>
      </w:r>
      <w:r w:rsidRPr="001C2A98">
        <w:rPr>
          <w:lang w:val="en-US"/>
        </w:rPr>
        <w:t>s net assets consist of own funds allocated to the organization or set aside for projects as well as unallocated own funds set aside for projects.</w:t>
      </w:r>
    </w:p>
    <w:p w:rsidR="002746F2" w:rsidRPr="002746F2" w:rsidRDefault="00844D34" w:rsidP="001D1A57">
      <w:pPr>
        <w:snapToGrid w:val="0"/>
        <w:spacing w:before="240"/>
        <w:jc w:val="both"/>
        <w:rPr>
          <w:lang w:val="en-US"/>
        </w:rPr>
      </w:pPr>
      <w:r w:rsidRPr="00716BCE">
        <w:rPr>
          <w:lang w:val="en-US"/>
        </w:rPr>
        <w:t xml:space="preserve">At 31 December </w:t>
      </w:r>
      <w:r w:rsidR="00111BDD" w:rsidRPr="00716BCE">
        <w:rPr>
          <w:lang w:val="en-US"/>
        </w:rPr>
        <w:t>201</w:t>
      </w:r>
      <w:r w:rsidR="004C23C0">
        <w:rPr>
          <w:lang w:val="en-US"/>
        </w:rPr>
        <w:t>8</w:t>
      </w:r>
      <w:r w:rsidR="002856FD" w:rsidRPr="00716BCE">
        <w:rPr>
          <w:lang w:val="en-US"/>
        </w:rPr>
        <w:t xml:space="preserve">, the assets of the Reserve Account stood </w:t>
      </w:r>
      <w:r w:rsidR="002856FD" w:rsidRPr="00EC02E5">
        <w:rPr>
          <w:lang w:val="en-US"/>
        </w:rPr>
        <w:t xml:space="preserve">at </w:t>
      </w:r>
      <w:r w:rsidR="002856FD" w:rsidRPr="00680702">
        <w:rPr>
          <w:lang w:val="en-US"/>
        </w:rPr>
        <w:t>CHF </w:t>
      </w:r>
      <w:r w:rsidRPr="00680702">
        <w:rPr>
          <w:lang w:val="en-US"/>
        </w:rPr>
        <w:t>27</w:t>
      </w:r>
      <w:r w:rsidR="00EC02E5" w:rsidRPr="00680702">
        <w:rPr>
          <w:lang w:val="en-US"/>
        </w:rPr>
        <w:t>.</w:t>
      </w:r>
      <w:r w:rsidR="00680702" w:rsidRPr="00680702">
        <w:rPr>
          <w:lang w:val="en-US"/>
        </w:rPr>
        <w:t>4</w:t>
      </w:r>
      <w:r w:rsidR="00380F00" w:rsidRPr="00EC02E5">
        <w:rPr>
          <w:lang w:val="en-US"/>
        </w:rPr>
        <w:t xml:space="preserve"> </w:t>
      </w:r>
      <w:r w:rsidR="002856FD" w:rsidRPr="00EC02E5">
        <w:rPr>
          <w:lang w:val="en-US"/>
        </w:rPr>
        <w:t>mill</w:t>
      </w:r>
      <w:r w:rsidRPr="00EC02E5">
        <w:rPr>
          <w:lang w:val="en-US"/>
        </w:rPr>
        <w:t>ion</w:t>
      </w:r>
      <w:r w:rsidRPr="00716BCE">
        <w:rPr>
          <w:lang w:val="en-US"/>
        </w:rPr>
        <w:t xml:space="preserve"> after allocation of the </w:t>
      </w:r>
      <w:r w:rsidR="00111BDD" w:rsidRPr="00716BCE">
        <w:rPr>
          <w:lang w:val="en-US"/>
        </w:rPr>
        <w:t>201</w:t>
      </w:r>
      <w:r w:rsidR="004C23C0">
        <w:rPr>
          <w:lang w:val="en-US"/>
        </w:rPr>
        <w:t>8</w:t>
      </w:r>
      <w:r w:rsidR="002856FD" w:rsidRPr="00716BCE">
        <w:rPr>
          <w:lang w:val="en-US"/>
        </w:rPr>
        <w:t xml:space="preserve"> surplus allocated to the Rese</w:t>
      </w:r>
      <w:r w:rsidRPr="00716BCE">
        <w:rPr>
          <w:lang w:val="en-US"/>
        </w:rPr>
        <w:t>rve Account</w:t>
      </w:r>
      <w:r w:rsidR="002856FD" w:rsidRPr="00716BCE">
        <w:rPr>
          <w:lang w:val="en-US"/>
        </w:rPr>
        <w:t>. The assets of the Reserve Account rep</w:t>
      </w:r>
      <w:r w:rsidRPr="00716BCE">
        <w:rPr>
          <w:lang w:val="en-US"/>
        </w:rPr>
        <w:t xml:space="preserve">resent </w:t>
      </w:r>
      <w:r w:rsidRPr="00680702">
        <w:rPr>
          <w:lang w:val="en-US"/>
        </w:rPr>
        <w:t>1</w:t>
      </w:r>
      <w:r w:rsidR="00EC02E5" w:rsidRPr="00680702">
        <w:rPr>
          <w:lang w:val="en-US"/>
        </w:rPr>
        <w:t>7</w:t>
      </w:r>
      <w:r w:rsidR="004139C1" w:rsidRPr="00680702">
        <w:rPr>
          <w:lang w:val="en-US"/>
        </w:rPr>
        <w:t>.</w:t>
      </w:r>
      <w:r w:rsidR="00680702" w:rsidRPr="00680702">
        <w:rPr>
          <w:lang w:val="en-US"/>
        </w:rPr>
        <w:t>1</w:t>
      </w:r>
      <w:r w:rsidR="008D32FB" w:rsidRPr="00680702">
        <w:rPr>
          <w:lang w:val="en-US"/>
        </w:rPr>
        <w:t> </w:t>
      </w:r>
      <w:r w:rsidRPr="00680702">
        <w:rPr>
          <w:lang w:val="en-US"/>
        </w:rPr>
        <w:t>per cent of the </w:t>
      </w:r>
      <w:r w:rsidR="00111BDD" w:rsidRPr="00680702">
        <w:rPr>
          <w:lang w:val="en-US"/>
        </w:rPr>
        <w:t>201</w:t>
      </w:r>
      <w:r w:rsidR="004C23C0" w:rsidRPr="00680702">
        <w:rPr>
          <w:lang w:val="en-US"/>
        </w:rPr>
        <w:t>8</w:t>
      </w:r>
      <w:r w:rsidR="002856FD" w:rsidRPr="00680702">
        <w:rPr>
          <w:lang w:val="en-US"/>
        </w:rPr>
        <w:t xml:space="preserve"> budget, which is significantly above the </w:t>
      </w:r>
      <w:r w:rsidR="008E7BCC" w:rsidRPr="00680702">
        <w:rPr>
          <w:lang w:val="en-US"/>
        </w:rPr>
        <w:t>six</w:t>
      </w:r>
      <w:r w:rsidR="002856FD" w:rsidRPr="00680702">
        <w:rPr>
          <w:lang w:val="en-US"/>
        </w:rPr>
        <w:t xml:space="preserve"> per cent threshold stipulated in Decision</w:t>
      </w:r>
      <w:r w:rsidR="002856FD" w:rsidRPr="00716BCE">
        <w:rPr>
          <w:lang w:val="en-US"/>
        </w:rPr>
        <w:t> 5 (Rev. </w:t>
      </w:r>
      <w:r w:rsidR="001D1A57">
        <w:rPr>
          <w:lang w:val="en-US"/>
        </w:rPr>
        <w:t>Dubai, 2018</w:t>
      </w:r>
      <w:r w:rsidR="002856FD" w:rsidRPr="00716BCE">
        <w:rPr>
          <w:lang w:val="en-US"/>
        </w:rPr>
        <w:t>) of the Plenipotentiary Conference.</w:t>
      </w:r>
    </w:p>
    <w:p w:rsidR="00C22BFF" w:rsidRDefault="00F34118" w:rsidP="00D86B0C">
      <w:pPr>
        <w:pStyle w:val="Heading5"/>
        <w:jc w:val="both"/>
        <w:rPr>
          <w:lang w:val="en-US"/>
        </w:rPr>
      </w:pPr>
      <w:r w:rsidRPr="00936114">
        <w:rPr>
          <w:lang w:val="en-US"/>
        </w:rPr>
        <w:t xml:space="preserve">Note </w:t>
      </w:r>
      <w:r w:rsidR="00D86B0C">
        <w:rPr>
          <w:lang w:val="en-US"/>
        </w:rPr>
        <w:t>4</w:t>
      </w:r>
      <w:r w:rsidR="00074F8B" w:rsidRPr="00936114">
        <w:rPr>
          <w:lang w:val="en-US"/>
        </w:rPr>
        <w:tab/>
        <w:t xml:space="preserve">Financial </w:t>
      </w:r>
      <w:r w:rsidR="00C22BFF" w:rsidRPr="00936114">
        <w:rPr>
          <w:lang w:val="en-US"/>
        </w:rPr>
        <w:t>risk</w:t>
      </w:r>
      <w:r w:rsidR="001C59DF" w:rsidRPr="00936114">
        <w:rPr>
          <w:lang w:val="en-US"/>
        </w:rPr>
        <w:t xml:space="preserve"> management</w:t>
      </w:r>
    </w:p>
    <w:p w:rsidR="003C55E5" w:rsidRDefault="0022373A" w:rsidP="00ED0279">
      <w:pPr>
        <w:snapToGrid w:val="0"/>
        <w:spacing w:after="120"/>
        <w:jc w:val="both"/>
        <w:rPr>
          <w:b/>
          <w:bCs/>
          <w:lang w:val="en-US"/>
        </w:rPr>
      </w:pPr>
      <w:r w:rsidRPr="001C2A98">
        <w:rPr>
          <w:lang w:val="en-US"/>
        </w:rPr>
        <w:t>In the course of its work, ITU is exposed</w:t>
      </w:r>
      <w:r w:rsidR="007072D0">
        <w:rPr>
          <w:lang w:val="en-US"/>
        </w:rPr>
        <w:t xml:space="preserve"> to a number of financial risks including</w:t>
      </w:r>
      <w:r w:rsidRPr="001C2A98">
        <w:rPr>
          <w:lang w:val="en-US"/>
        </w:rPr>
        <w:t xml:space="preserve"> </w:t>
      </w:r>
      <w:r w:rsidR="007072D0">
        <w:rPr>
          <w:lang w:val="en-US"/>
        </w:rPr>
        <w:t xml:space="preserve">credit risk, </w:t>
      </w:r>
      <w:r w:rsidRPr="001C2A98">
        <w:rPr>
          <w:lang w:val="en-US"/>
        </w:rPr>
        <w:t>market risk (</w:t>
      </w:r>
      <w:r w:rsidR="007072D0">
        <w:rPr>
          <w:lang w:val="en-US"/>
        </w:rPr>
        <w:t>Foreign exchange currency risk),</w:t>
      </w:r>
      <w:r w:rsidR="008D17AC">
        <w:rPr>
          <w:lang w:val="en-US"/>
        </w:rPr>
        <w:t xml:space="preserve"> </w:t>
      </w:r>
      <w:r w:rsidR="005D1217">
        <w:rPr>
          <w:lang w:val="en-US"/>
        </w:rPr>
        <w:t xml:space="preserve">interest rate risk </w:t>
      </w:r>
      <w:r w:rsidR="008D17AC">
        <w:rPr>
          <w:lang w:val="en-US"/>
        </w:rPr>
        <w:t xml:space="preserve">and </w:t>
      </w:r>
      <w:r w:rsidR="00E4298D">
        <w:rPr>
          <w:lang w:val="en-US"/>
        </w:rPr>
        <w:t>liquidity</w:t>
      </w:r>
      <w:r w:rsidRPr="001C2A98">
        <w:rPr>
          <w:lang w:val="en-US"/>
        </w:rPr>
        <w:t xml:space="preserve"> risk. This Note </w:t>
      </w:r>
      <w:r w:rsidR="00074F8B">
        <w:rPr>
          <w:lang w:val="en-US"/>
        </w:rPr>
        <w:t xml:space="preserve">presents information </w:t>
      </w:r>
      <w:r w:rsidR="000C7B24">
        <w:rPr>
          <w:lang w:val="en-US"/>
        </w:rPr>
        <w:t xml:space="preserve">on </w:t>
      </w:r>
      <w:r w:rsidR="00074F8B">
        <w:rPr>
          <w:lang w:val="en-US"/>
        </w:rPr>
        <w:t xml:space="preserve">ITU exposure to each of the above risks and </w:t>
      </w:r>
      <w:r w:rsidRPr="001C2A98">
        <w:rPr>
          <w:lang w:val="en-US"/>
        </w:rPr>
        <w:t>outlines the principles adopted by ITU to manage financial risks and preserve its capital. The management of financial risks is centralized under the responsibility of the Secretary-General.</w:t>
      </w:r>
    </w:p>
    <w:p w:rsidR="00A22F65" w:rsidRDefault="00A22F65">
      <w:pPr>
        <w:tabs>
          <w:tab w:val="clear" w:pos="567"/>
          <w:tab w:val="clear" w:pos="1134"/>
          <w:tab w:val="clear" w:pos="1701"/>
          <w:tab w:val="clear" w:pos="2268"/>
          <w:tab w:val="clear" w:pos="2835"/>
        </w:tabs>
        <w:overflowPunct/>
        <w:autoSpaceDE/>
        <w:autoSpaceDN/>
        <w:adjustRightInd/>
        <w:spacing w:before="0"/>
        <w:textAlignment w:val="auto"/>
        <w:rPr>
          <w:b/>
          <w:bCs/>
          <w:lang w:val="en-US"/>
        </w:rPr>
      </w:pPr>
      <w:r>
        <w:rPr>
          <w:b/>
          <w:bCs/>
          <w:lang w:val="en-US"/>
        </w:rPr>
        <w:br w:type="page"/>
      </w:r>
    </w:p>
    <w:p w:rsidR="00AC70CA" w:rsidRPr="00AB6FDF" w:rsidRDefault="00AC70CA" w:rsidP="005C41A5">
      <w:pPr>
        <w:snapToGrid w:val="0"/>
        <w:spacing w:after="120"/>
        <w:jc w:val="both"/>
        <w:rPr>
          <w:b/>
          <w:bCs/>
          <w:lang w:val="en-US"/>
        </w:rPr>
      </w:pPr>
      <w:r w:rsidRPr="00ED0279">
        <w:rPr>
          <w:b/>
          <w:bCs/>
          <w:lang w:val="en-US"/>
        </w:rPr>
        <w:t>Fair value</w:t>
      </w:r>
    </w:p>
    <w:p w:rsidR="00325F0E" w:rsidRPr="00FF5C0C" w:rsidRDefault="00AC70CA" w:rsidP="005C41A5">
      <w:pPr>
        <w:snapToGrid w:val="0"/>
        <w:spacing w:after="120"/>
        <w:jc w:val="both"/>
        <w:rPr>
          <w:b/>
          <w:bCs/>
          <w:lang w:val="en-US"/>
        </w:rPr>
      </w:pPr>
      <w:r>
        <w:rPr>
          <w:lang w:val="en-US"/>
        </w:rPr>
        <w:t>Set out below is a comparison by class of the carrying amounts and fair value of ITU</w:t>
      </w:r>
      <w:r w:rsidR="007A552E">
        <w:rPr>
          <w:lang w:val="en-US"/>
        </w:rPr>
        <w:t>’</w:t>
      </w:r>
      <w:r>
        <w:rPr>
          <w:lang w:val="en-US"/>
        </w:rPr>
        <w:t>s financial instruments</w:t>
      </w:r>
      <w:r w:rsidR="00325F0E">
        <w:rPr>
          <w:lang w:val="en-US"/>
        </w:rPr>
        <w:t>.</w:t>
      </w:r>
    </w:p>
    <w:tbl>
      <w:tblPr>
        <w:tblW w:w="5000" w:type="pct"/>
        <w:tblLook w:val="04A0" w:firstRow="1" w:lastRow="0" w:firstColumn="1" w:lastColumn="0" w:noHBand="0" w:noVBand="1"/>
      </w:tblPr>
      <w:tblGrid>
        <w:gridCol w:w="4855"/>
        <w:gridCol w:w="1400"/>
        <w:gridCol w:w="1001"/>
        <w:gridCol w:w="1382"/>
        <w:gridCol w:w="1123"/>
      </w:tblGrid>
      <w:tr w:rsidR="00CE08B8" w:rsidRPr="00CE08B8" w:rsidTr="00CE08B8">
        <w:trPr>
          <w:trHeight w:val="315"/>
        </w:trPr>
        <w:tc>
          <w:tcPr>
            <w:tcW w:w="248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CE08B8">
              <w:rPr>
                <w:rFonts w:cs="Arial"/>
                <w:b/>
                <w:bCs/>
                <w:color w:val="000000"/>
                <w:sz w:val="22"/>
                <w:szCs w:val="22"/>
                <w:lang w:val="en-US" w:eastAsia="zh-CN"/>
              </w:rPr>
              <w:t>In thousands of CHF</w:t>
            </w:r>
          </w:p>
        </w:tc>
        <w:tc>
          <w:tcPr>
            <w:tcW w:w="1230" w:type="pct"/>
            <w:gridSpan w:val="2"/>
            <w:tcBorders>
              <w:top w:val="single" w:sz="8" w:space="0" w:color="auto"/>
              <w:left w:val="nil"/>
              <w:bottom w:val="single" w:sz="8" w:space="0" w:color="auto"/>
              <w:right w:val="single" w:sz="8" w:space="0" w:color="000000"/>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CE08B8">
              <w:rPr>
                <w:rFonts w:cs="Arial"/>
                <w:b/>
                <w:bCs/>
                <w:color w:val="000000"/>
                <w:sz w:val="22"/>
                <w:szCs w:val="22"/>
                <w:lang w:val="en-US" w:eastAsia="zh-CN"/>
              </w:rPr>
              <w:t>Carrying amount</w:t>
            </w:r>
          </w:p>
        </w:tc>
        <w:tc>
          <w:tcPr>
            <w:tcW w:w="1283" w:type="pct"/>
            <w:gridSpan w:val="2"/>
            <w:tcBorders>
              <w:top w:val="single" w:sz="8" w:space="0" w:color="auto"/>
              <w:left w:val="nil"/>
              <w:bottom w:val="single" w:sz="8" w:space="0" w:color="auto"/>
              <w:right w:val="single" w:sz="8" w:space="0" w:color="000000"/>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CE08B8">
              <w:rPr>
                <w:rFonts w:cs="Arial"/>
                <w:b/>
                <w:bCs/>
                <w:color w:val="000000"/>
                <w:sz w:val="22"/>
                <w:szCs w:val="22"/>
                <w:lang w:val="en-US" w:eastAsia="zh-CN"/>
              </w:rPr>
              <w:t>Fair value</w:t>
            </w:r>
          </w:p>
        </w:tc>
      </w:tr>
      <w:tr w:rsidR="00CE08B8" w:rsidRPr="00CE08B8" w:rsidTr="00CE08B8">
        <w:trPr>
          <w:trHeight w:val="315"/>
        </w:trPr>
        <w:tc>
          <w:tcPr>
            <w:tcW w:w="2487" w:type="pct"/>
            <w:tcBorders>
              <w:top w:val="nil"/>
              <w:left w:val="single" w:sz="8" w:space="0" w:color="auto"/>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CE08B8">
              <w:rPr>
                <w:rFonts w:cs="Arial"/>
                <w:color w:val="000000"/>
                <w:sz w:val="22"/>
                <w:szCs w:val="22"/>
                <w:lang w:val="en-US" w:eastAsia="zh-CN"/>
              </w:rPr>
              <w:t xml:space="preserve">Financial assets </w:t>
            </w:r>
          </w:p>
        </w:tc>
        <w:tc>
          <w:tcPr>
            <w:tcW w:w="717"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2018</w:t>
            </w:r>
          </w:p>
        </w:tc>
        <w:tc>
          <w:tcPr>
            <w:tcW w:w="513"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2017</w:t>
            </w:r>
          </w:p>
        </w:tc>
        <w:tc>
          <w:tcPr>
            <w:tcW w:w="708"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2018</w:t>
            </w:r>
          </w:p>
        </w:tc>
        <w:tc>
          <w:tcPr>
            <w:tcW w:w="575"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2017</w:t>
            </w:r>
          </w:p>
        </w:tc>
      </w:tr>
      <w:tr w:rsidR="00CE08B8" w:rsidRPr="00CE08B8" w:rsidTr="00CE08B8">
        <w:trPr>
          <w:trHeight w:val="315"/>
        </w:trPr>
        <w:tc>
          <w:tcPr>
            <w:tcW w:w="2487" w:type="pct"/>
            <w:tcBorders>
              <w:top w:val="nil"/>
              <w:left w:val="single" w:sz="8" w:space="0" w:color="auto"/>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CE08B8">
              <w:rPr>
                <w:rFonts w:cs="Arial"/>
                <w:color w:val="000000"/>
                <w:sz w:val="22"/>
                <w:szCs w:val="22"/>
                <w:lang w:val="en-US" w:eastAsia="zh-CN"/>
              </w:rPr>
              <w:t>Cash and cash equivalent</w:t>
            </w:r>
          </w:p>
        </w:tc>
        <w:tc>
          <w:tcPr>
            <w:tcW w:w="717"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161</w:t>
            </w:r>
            <w:r>
              <w:rPr>
                <w:rFonts w:cs="Arial"/>
                <w:color w:val="000000"/>
                <w:sz w:val="22"/>
                <w:szCs w:val="22"/>
                <w:lang w:val="en-US" w:eastAsia="zh-CN"/>
              </w:rPr>
              <w:t>’</w:t>
            </w:r>
            <w:r w:rsidRPr="00CE08B8">
              <w:rPr>
                <w:rFonts w:cs="Arial"/>
                <w:color w:val="000000"/>
                <w:sz w:val="22"/>
                <w:szCs w:val="22"/>
                <w:lang w:val="en-US" w:eastAsia="zh-CN"/>
              </w:rPr>
              <w:t>826</w:t>
            </w:r>
          </w:p>
        </w:tc>
        <w:tc>
          <w:tcPr>
            <w:tcW w:w="513"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135</w:t>
            </w:r>
            <w:r>
              <w:rPr>
                <w:rFonts w:cs="Arial"/>
                <w:color w:val="000000"/>
                <w:sz w:val="22"/>
                <w:szCs w:val="22"/>
                <w:lang w:val="en-US" w:eastAsia="zh-CN"/>
              </w:rPr>
              <w:t>’</w:t>
            </w:r>
            <w:r w:rsidRPr="00CE08B8">
              <w:rPr>
                <w:rFonts w:cs="Arial"/>
                <w:color w:val="000000"/>
                <w:sz w:val="22"/>
                <w:szCs w:val="22"/>
                <w:lang w:val="en-US" w:eastAsia="zh-CN"/>
              </w:rPr>
              <w:t>297</w:t>
            </w:r>
          </w:p>
        </w:tc>
        <w:tc>
          <w:tcPr>
            <w:tcW w:w="708"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161</w:t>
            </w:r>
            <w:r>
              <w:rPr>
                <w:rFonts w:cs="Arial"/>
                <w:color w:val="000000"/>
                <w:sz w:val="22"/>
                <w:szCs w:val="22"/>
                <w:lang w:val="en-US" w:eastAsia="zh-CN"/>
              </w:rPr>
              <w:t>’</w:t>
            </w:r>
            <w:r w:rsidRPr="00CE08B8">
              <w:rPr>
                <w:rFonts w:cs="Arial"/>
                <w:color w:val="000000"/>
                <w:sz w:val="22"/>
                <w:szCs w:val="22"/>
                <w:lang w:val="en-US" w:eastAsia="zh-CN"/>
              </w:rPr>
              <w:t>826</w:t>
            </w:r>
          </w:p>
        </w:tc>
        <w:tc>
          <w:tcPr>
            <w:tcW w:w="575"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135</w:t>
            </w:r>
            <w:r>
              <w:rPr>
                <w:rFonts w:cs="Arial"/>
                <w:color w:val="000000"/>
                <w:sz w:val="22"/>
                <w:szCs w:val="22"/>
                <w:lang w:val="en-US" w:eastAsia="zh-CN"/>
              </w:rPr>
              <w:t>’</w:t>
            </w:r>
            <w:r w:rsidRPr="00CE08B8">
              <w:rPr>
                <w:rFonts w:cs="Arial"/>
                <w:color w:val="000000"/>
                <w:sz w:val="22"/>
                <w:szCs w:val="22"/>
                <w:lang w:val="en-US" w:eastAsia="zh-CN"/>
              </w:rPr>
              <w:t>297</w:t>
            </w:r>
          </w:p>
        </w:tc>
      </w:tr>
      <w:tr w:rsidR="00CE08B8" w:rsidRPr="00CE08B8" w:rsidTr="00CE08B8">
        <w:trPr>
          <w:trHeight w:val="615"/>
        </w:trPr>
        <w:tc>
          <w:tcPr>
            <w:tcW w:w="2487" w:type="pct"/>
            <w:tcBorders>
              <w:top w:val="nil"/>
              <w:left w:val="single" w:sz="8" w:space="0" w:color="auto"/>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CE08B8">
              <w:rPr>
                <w:rFonts w:cs="Arial"/>
                <w:color w:val="000000"/>
                <w:sz w:val="22"/>
                <w:szCs w:val="22"/>
                <w:lang w:val="en-US" w:eastAsia="zh-CN"/>
              </w:rPr>
              <w:t>Financial instruments at fair value through surplus/ deficit</w:t>
            </w:r>
          </w:p>
        </w:tc>
        <w:tc>
          <w:tcPr>
            <w:tcW w:w="717"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48</w:t>
            </w:r>
            <w:r>
              <w:rPr>
                <w:rFonts w:cs="Arial"/>
                <w:color w:val="000000"/>
                <w:sz w:val="22"/>
                <w:szCs w:val="22"/>
                <w:lang w:val="en-US" w:eastAsia="zh-CN"/>
              </w:rPr>
              <w:t>’</w:t>
            </w:r>
            <w:r w:rsidRPr="00CE08B8">
              <w:rPr>
                <w:rFonts w:cs="Arial"/>
                <w:color w:val="000000"/>
                <w:sz w:val="22"/>
                <w:szCs w:val="22"/>
                <w:lang w:val="en-US" w:eastAsia="zh-CN"/>
              </w:rPr>
              <w:t>996</w:t>
            </w:r>
          </w:p>
        </w:tc>
        <w:tc>
          <w:tcPr>
            <w:tcW w:w="513"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31</w:t>
            </w:r>
            <w:r>
              <w:rPr>
                <w:rFonts w:cs="Arial"/>
                <w:color w:val="000000"/>
                <w:sz w:val="22"/>
                <w:szCs w:val="22"/>
                <w:lang w:val="en-US" w:eastAsia="zh-CN"/>
              </w:rPr>
              <w:t>’</w:t>
            </w:r>
            <w:r w:rsidRPr="00CE08B8">
              <w:rPr>
                <w:rFonts w:cs="Arial"/>
                <w:color w:val="000000"/>
                <w:sz w:val="22"/>
                <w:szCs w:val="22"/>
                <w:lang w:val="en-US" w:eastAsia="zh-CN"/>
              </w:rPr>
              <w:t>363</w:t>
            </w:r>
          </w:p>
        </w:tc>
        <w:tc>
          <w:tcPr>
            <w:tcW w:w="708"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48</w:t>
            </w:r>
            <w:r>
              <w:rPr>
                <w:rFonts w:cs="Arial"/>
                <w:color w:val="000000"/>
                <w:sz w:val="22"/>
                <w:szCs w:val="22"/>
                <w:lang w:val="en-US" w:eastAsia="zh-CN"/>
              </w:rPr>
              <w:t>’</w:t>
            </w:r>
            <w:r w:rsidRPr="00CE08B8">
              <w:rPr>
                <w:rFonts w:cs="Arial"/>
                <w:color w:val="000000"/>
                <w:sz w:val="22"/>
                <w:szCs w:val="22"/>
                <w:lang w:val="en-US" w:eastAsia="zh-CN"/>
              </w:rPr>
              <w:t>996</w:t>
            </w:r>
          </w:p>
        </w:tc>
        <w:tc>
          <w:tcPr>
            <w:tcW w:w="575"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31</w:t>
            </w:r>
            <w:r>
              <w:rPr>
                <w:rFonts w:cs="Arial"/>
                <w:color w:val="000000"/>
                <w:sz w:val="22"/>
                <w:szCs w:val="22"/>
                <w:lang w:val="en-US" w:eastAsia="zh-CN"/>
              </w:rPr>
              <w:t>’</w:t>
            </w:r>
            <w:r w:rsidRPr="00CE08B8">
              <w:rPr>
                <w:rFonts w:cs="Arial"/>
                <w:color w:val="000000"/>
                <w:sz w:val="22"/>
                <w:szCs w:val="22"/>
                <w:lang w:val="en-US" w:eastAsia="zh-CN"/>
              </w:rPr>
              <w:t>363</w:t>
            </w:r>
          </w:p>
        </w:tc>
      </w:tr>
      <w:tr w:rsidR="00CE08B8" w:rsidRPr="00CE08B8" w:rsidTr="00CE08B8">
        <w:trPr>
          <w:trHeight w:val="315"/>
        </w:trPr>
        <w:tc>
          <w:tcPr>
            <w:tcW w:w="2487" w:type="pct"/>
            <w:tcBorders>
              <w:top w:val="nil"/>
              <w:left w:val="single" w:sz="8" w:space="0" w:color="auto"/>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CE08B8">
              <w:rPr>
                <w:rFonts w:cs="Arial"/>
                <w:color w:val="000000"/>
                <w:sz w:val="22"/>
                <w:szCs w:val="22"/>
                <w:lang w:val="en-US" w:eastAsia="zh-CN"/>
              </w:rPr>
              <w:t>Receivable from exchange transactions – current</w:t>
            </w:r>
          </w:p>
        </w:tc>
        <w:tc>
          <w:tcPr>
            <w:tcW w:w="717"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5</w:t>
            </w:r>
            <w:r>
              <w:rPr>
                <w:rFonts w:cs="Arial"/>
                <w:color w:val="000000"/>
                <w:sz w:val="22"/>
                <w:szCs w:val="22"/>
                <w:lang w:val="en-US" w:eastAsia="zh-CN"/>
              </w:rPr>
              <w:t>’</w:t>
            </w:r>
            <w:r w:rsidRPr="00CE08B8">
              <w:rPr>
                <w:rFonts w:cs="Arial"/>
                <w:color w:val="000000"/>
                <w:sz w:val="22"/>
                <w:szCs w:val="22"/>
                <w:lang w:val="en-US" w:eastAsia="zh-CN"/>
              </w:rPr>
              <w:t>407</w:t>
            </w:r>
          </w:p>
        </w:tc>
        <w:tc>
          <w:tcPr>
            <w:tcW w:w="513"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8</w:t>
            </w:r>
            <w:r>
              <w:rPr>
                <w:rFonts w:cs="Arial"/>
                <w:color w:val="000000"/>
                <w:sz w:val="22"/>
                <w:szCs w:val="22"/>
                <w:lang w:val="en-US" w:eastAsia="zh-CN"/>
              </w:rPr>
              <w:t>’</w:t>
            </w:r>
            <w:r w:rsidRPr="00CE08B8">
              <w:rPr>
                <w:rFonts w:cs="Arial"/>
                <w:color w:val="000000"/>
                <w:sz w:val="22"/>
                <w:szCs w:val="22"/>
                <w:lang w:val="en-US" w:eastAsia="zh-CN"/>
              </w:rPr>
              <w:t>934</w:t>
            </w:r>
          </w:p>
        </w:tc>
        <w:tc>
          <w:tcPr>
            <w:tcW w:w="708"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5</w:t>
            </w:r>
            <w:r>
              <w:rPr>
                <w:rFonts w:cs="Arial"/>
                <w:color w:val="000000"/>
                <w:sz w:val="22"/>
                <w:szCs w:val="22"/>
                <w:lang w:val="en-US" w:eastAsia="zh-CN"/>
              </w:rPr>
              <w:t>’</w:t>
            </w:r>
            <w:r w:rsidRPr="00CE08B8">
              <w:rPr>
                <w:rFonts w:cs="Arial"/>
                <w:color w:val="000000"/>
                <w:sz w:val="22"/>
                <w:szCs w:val="22"/>
                <w:lang w:val="en-US" w:eastAsia="zh-CN"/>
              </w:rPr>
              <w:t>407</w:t>
            </w:r>
          </w:p>
        </w:tc>
        <w:tc>
          <w:tcPr>
            <w:tcW w:w="575"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8</w:t>
            </w:r>
            <w:r>
              <w:rPr>
                <w:rFonts w:cs="Arial"/>
                <w:color w:val="000000"/>
                <w:sz w:val="22"/>
                <w:szCs w:val="22"/>
                <w:lang w:val="en-US" w:eastAsia="zh-CN"/>
              </w:rPr>
              <w:t>’</w:t>
            </w:r>
            <w:r w:rsidRPr="00CE08B8">
              <w:rPr>
                <w:rFonts w:cs="Arial"/>
                <w:color w:val="000000"/>
                <w:sz w:val="22"/>
                <w:szCs w:val="22"/>
                <w:lang w:val="en-US" w:eastAsia="zh-CN"/>
              </w:rPr>
              <w:t>934</w:t>
            </w:r>
          </w:p>
        </w:tc>
      </w:tr>
      <w:tr w:rsidR="00CE08B8" w:rsidRPr="00CE08B8" w:rsidTr="00CE08B8">
        <w:trPr>
          <w:trHeight w:val="315"/>
        </w:trPr>
        <w:tc>
          <w:tcPr>
            <w:tcW w:w="2487" w:type="pct"/>
            <w:tcBorders>
              <w:top w:val="nil"/>
              <w:left w:val="single" w:sz="8" w:space="0" w:color="auto"/>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CE08B8">
              <w:rPr>
                <w:rFonts w:cs="Arial"/>
                <w:color w:val="000000"/>
                <w:sz w:val="22"/>
                <w:szCs w:val="22"/>
                <w:lang w:val="en-US" w:eastAsia="zh-CN"/>
              </w:rPr>
              <w:t>Receivable from non-exchange transaction- current</w:t>
            </w:r>
          </w:p>
        </w:tc>
        <w:tc>
          <w:tcPr>
            <w:tcW w:w="717"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85</w:t>
            </w:r>
            <w:r>
              <w:rPr>
                <w:rFonts w:cs="Arial"/>
                <w:color w:val="000000"/>
                <w:sz w:val="22"/>
                <w:szCs w:val="22"/>
                <w:lang w:val="en-US" w:eastAsia="zh-CN"/>
              </w:rPr>
              <w:t>’</w:t>
            </w:r>
            <w:r w:rsidRPr="00CE08B8">
              <w:rPr>
                <w:rFonts w:cs="Arial"/>
                <w:color w:val="000000"/>
                <w:sz w:val="22"/>
                <w:szCs w:val="22"/>
                <w:lang w:val="en-US" w:eastAsia="zh-CN"/>
              </w:rPr>
              <w:t>356</w:t>
            </w:r>
          </w:p>
        </w:tc>
        <w:tc>
          <w:tcPr>
            <w:tcW w:w="513"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88</w:t>
            </w:r>
            <w:r>
              <w:rPr>
                <w:rFonts w:cs="Arial"/>
                <w:color w:val="000000"/>
                <w:sz w:val="22"/>
                <w:szCs w:val="22"/>
                <w:lang w:val="en-US" w:eastAsia="zh-CN"/>
              </w:rPr>
              <w:t>’</w:t>
            </w:r>
            <w:r w:rsidRPr="00CE08B8">
              <w:rPr>
                <w:rFonts w:cs="Arial"/>
                <w:color w:val="000000"/>
                <w:sz w:val="22"/>
                <w:szCs w:val="22"/>
                <w:lang w:val="en-US" w:eastAsia="zh-CN"/>
              </w:rPr>
              <w:t>139</w:t>
            </w:r>
          </w:p>
        </w:tc>
        <w:tc>
          <w:tcPr>
            <w:tcW w:w="708"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85</w:t>
            </w:r>
            <w:r>
              <w:rPr>
                <w:rFonts w:cs="Arial"/>
                <w:color w:val="000000"/>
                <w:sz w:val="22"/>
                <w:szCs w:val="22"/>
                <w:lang w:val="en-US" w:eastAsia="zh-CN"/>
              </w:rPr>
              <w:t>’</w:t>
            </w:r>
            <w:r w:rsidRPr="00CE08B8">
              <w:rPr>
                <w:rFonts w:cs="Arial"/>
                <w:color w:val="000000"/>
                <w:sz w:val="22"/>
                <w:szCs w:val="22"/>
                <w:lang w:val="en-US" w:eastAsia="zh-CN"/>
              </w:rPr>
              <w:t>356</w:t>
            </w:r>
          </w:p>
        </w:tc>
        <w:tc>
          <w:tcPr>
            <w:tcW w:w="575"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88</w:t>
            </w:r>
            <w:r>
              <w:rPr>
                <w:rFonts w:cs="Arial"/>
                <w:color w:val="000000"/>
                <w:sz w:val="22"/>
                <w:szCs w:val="22"/>
                <w:lang w:val="en-US" w:eastAsia="zh-CN"/>
              </w:rPr>
              <w:t>’</w:t>
            </w:r>
            <w:r w:rsidRPr="00CE08B8">
              <w:rPr>
                <w:rFonts w:cs="Arial"/>
                <w:color w:val="000000"/>
                <w:sz w:val="22"/>
                <w:szCs w:val="22"/>
                <w:lang w:val="en-US" w:eastAsia="zh-CN"/>
              </w:rPr>
              <w:t>139</w:t>
            </w:r>
          </w:p>
        </w:tc>
      </w:tr>
    </w:tbl>
    <w:p w:rsidR="00930754" w:rsidRDefault="00930754" w:rsidP="002573DC">
      <w:pPr>
        <w:snapToGrid w:val="0"/>
        <w:spacing w:before="0"/>
        <w:jc w:val="both"/>
        <w:rPr>
          <w:lang w:val="en-US"/>
        </w:rPr>
      </w:pPr>
    </w:p>
    <w:tbl>
      <w:tblPr>
        <w:tblW w:w="5000" w:type="pct"/>
        <w:tblLook w:val="04A0" w:firstRow="1" w:lastRow="0" w:firstColumn="1" w:lastColumn="0" w:noHBand="0" w:noVBand="1"/>
      </w:tblPr>
      <w:tblGrid>
        <w:gridCol w:w="4855"/>
        <w:gridCol w:w="1400"/>
        <w:gridCol w:w="1001"/>
        <w:gridCol w:w="1382"/>
        <w:gridCol w:w="1123"/>
      </w:tblGrid>
      <w:tr w:rsidR="00CE08B8" w:rsidRPr="00CE08B8" w:rsidTr="00CE08B8">
        <w:trPr>
          <w:trHeight w:val="315"/>
        </w:trPr>
        <w:tc>
          <w:tcPr>
            <w:tcW w:w="248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CE08B8">
              <w:rPr>
                <w:rFonts w:cs="Arial"/>
                <w:b/>
                <w:bCs/>
                <w:color w:val="000000"/>
                <w:sz w:val="22"/>
                <w:szCs w:val="22"/>
                <w:lang w:val="en-US" w:eastAsia="zh-CN"/>
              </w:rPr>
              <w:t>In thousands of CHF</w:t>
            </w:r>
          </w:p>
        </w:tc>
        <w:tc>
          <w:tcPr>
            <w:tcW w:w="1230" w:type="pct"/>
            <w:gridSpan w:val="2"/>
            <w:tcBorders>
              <w:top w:val="single" w:sz="8" w:space="0" w:color="auto"/>
              <w:left w:val="nil"/>
              <w:bottom w:val="single" w:sz="8" w:space="0" w:color="auto"/>
              <w:right w:val="single" w:sz="8" w:space="0" w:color="000000"/>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CE08B8">
              <w:rPr>
                <w:rFonts w:cs="Arial"/>
                <w:b/>
                <w:bCs/>
                <w:color w:val="000000"/>
                <w:sz w:val="22"/>
                <w:szCs w:val="22"/>
                <w:lang w:val="en-US" w:eastAsia="zh-CN"/>
              </w:rPr>
              <w:t>Carrying amount</w:t>
            </w:r>
          </w:p>
        </w:tc>
        <w:tc>
          <w:tcPr>
            <w:tcW w:w="1283" w:type="pct"/>
            <w:gridSpan w:val="2"/>
            <w:tcBorders>
              <w:top w:val="single" w:sz="8" w:space="0" w:color="auto"/>
              <w:left w:val="nil"/>
              <w:bottom w:val="single" w:sz="8" w:space="0" w:color="auto"/>
              <w:right w:val="single" w:sz="8" w:space="0" w:color="000000"/>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CE08B8">
              <w:rPr>
                <w:rFonts w:cs="Arial"/>
                <w:b/>
                <w:bCs/>
                <w:color w:val="000000"/>
                <w:sz w:val="22"/>
                <w:szCs w:val="22"/>
                <w:lang w:val="en-US" w:eastAsia="zh-CN"/>
              </w:rPr>
              <w:t>Fair value</w:t>
            </w:r>
          </w:p>
        </w:tc>
      </w:tr>
      <w:tr w:rsidR="00CE08B8" w:rsidRPr="00CE08B8" w:rsidTr="00CE08B8">
        <w:trPr>
          <w:trHeight w:val="315"/>
        </w:trPr>
        <w:tc>
          <w:tcPr>
            <w:tcW w:w="2487" w:type="pct"/>
            <w:tcBorders>
              <w:top w:val="nil"/>
              <w:left w:val="single" w:sz="8" w:space="0" w:color="auto"/>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CE08B8">
              <w:rPr>
                <w:rFonts w:cs="Arial"/>
                <w:color w:val="000000"/>
                <w:sz w:val="22"/>
                <w:szCs w:val="22"/>
                <w:lang w:val="en-US" w:eastAsia="zh-CN"/>
              </w:rPr>
              <w:t xml:space="preserve">Financial liabilities </w:t>
            </w:r>
          </w:p>
        </w:tc>
        <w:tc>
          <w:tcPr>
            <w:tcW w:w="717"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2018</w:t>
            </w:r>
          </w:p>
        </w:tc>
        <w:tc>
          <w:tcPr>
            <w:tcW w:w="513"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2017</w:t>
            </w:r>
          </w:p>
        </w:tc>
        <w:tc>
          <w:tcPr>
            <w:tcW w:w="708"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2018</w:t>
            </w:r>
          </w:p>
        </w:tc>
        <w:tc>
          <w:tcPr>
            <w:tcW w:w="575"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2017</w:t>
            </w:r>
          </w:p>
        </w:tc>
      </w:tr>
      <w:tr w:rsidR="00CE08B8" w:rsidRPr="00CE08B8" w:rsidTr="00CE08B8">
        <w:trPr>
          <w:trHeight w:val="315"/>
        </w:trPr>
        <w:tc>
          <w:tcPr>
            <w:tcW w:w="2487" w:type="pct"/>
            <w:tcBorders>
              <w:top w:val="nil"/>
              <w:left w:val="single" w:sz="8" w:space="0" w:color="auto"/>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CE08B8">
              <w:rPr>
                <w:rFonts w:cs="Arial"/>
                <w:color w:val="000000"/>
                <w:sz w:val="22"/>
                <w:szCs w:val="22"/>
                <w:lang w:val="en-US" w:eastAsia="zh-CN"/>
              </w:rPr>
              <w:t>Borrowings</w:t>
            </w:r>
          </w:p>
        </w:tc>
        <w:tc>
          <w:tcPr>
            <w:tcW w:w="717"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43</w:t>
            </w:r>
            <w:r>
              <w:rPr>
                <w:rFonts w:cs="Arial"/>
                <w:color w:val="000000"/>
                <w:sz w:val="22"/>
                <w:szCs w:val="22"/>
                <w:lang w:val="en-US" w:eastAsia="zh-CN"/>
              </w:rPr>
              <w:t>’</w:t>
            </w:r>
            <w:r w:rsidRPr="00CE08B8">
              <w:rPr>
                <w:rFonts w:cs="Arial"/>
                <w:color w:val="000000"/>
                <w:sz w:val="22"/>
                <w:szCs w:val="22"/>
                <w:lang w:val="en-US" w:eastAsia="zh-CN"/>
              </w:rPr>
              <w:t>193</w:t>
            </w:r>
          </w:p>
        </w:tc>
        <w:tc>
          <w:tcPr>
            <w:tcW w:w="513"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43</w:t>
            </w:r>
            <w:r>
              <w:rPr>
                <w:rFonts w:cs="Arial"/>
                <w:color w:val="000000"/>
                <w:sz w:val="22"/>
                <w:szCs w:val="22"/>
                <w:lang w:val="en-US" w:eastAsia="zh-CN"/>
              </w:rPr>
              <w:t>’</w:t>
            </w:r>
            <w:r w:rsidRPr="00CE08B8">
              <w:rPr>
                <w:rFonts w:cs="Arial"/>
                <w:color w:val="000000"/>
                <w:sz w:val="22"/>
                <w:szCs w:val="22"/>
                <w:lang w:val="en-US" w:eastAsia="zh-CN"/>
              </w:rPr>
              <w:t>019</w:t>
            </w:r>
          </w:p>
        </w:tc>
        <w:tc>
          <w:tcPr>
            <w:tcW w:w="708"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43</w:t>
            </w:r>
            <w:r>
              <w:rPr>
                <w:rFonts w:cs="Arial"/>
                <w:color w:val="000000"/>
                <w:sz w:val="22"/>
                <w:szCs w:val="22"/>
                <w:lang w:val="en-US" w:eastAsia="zh-CN"/>
              </w:rPr>
              <w:t>’</w:t>
            </w:r>
            <w:r w:rsidRPr="00CE08B8">
              <w:rPr>
                <w:rFonts w:cs="Arial"/>
                <w:color w:val="000000"/>
                <w:sz w:val="22"/>
                <w:szCs w:val="22"/>
                <w:lang w:val="en-US" w:eastAsia="zh-CN"/>
              </w:rPr>
              <w:t>193</w:t>
            </w:r>
          </w:p>
        </w:tc>
        <w:tc>
          <w:tcPr>
            <w:tcW w:w="575"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43</w:t>
            </w:r>
            <w:r>
              <w:rPr>
                <w:rFonts w:cs="Arial"/>
                <w:color w:val="000000"/>
                <w:sz w:val="22"/>
                <w:szCs w:val="22"/>
                <w:lang w:val="en-US" w:eastAsia="zh-CN"/>
              </w:rPr>
              <w:t>’</w:t>
            </w:r>
            <w:r w:rsidRPr="00CE08B8">
              <w:rPr>
                <w:rFonts w:cs="Arial"/>
                <w:color w:val="000000"/>
                <w:sz w:val="22"/>
                <w:szCs w:val="22"/>
                <w:lang w:val="en-US" w:eastAsia="zh-CN"/>
              </w:rPr>
              <w:t>019</w:t>
            </w:r>
          </w:p>
        </w:tc>
      </w:tr>
      <w:tr w:rsidR="00CE08B8" w:rsidRPr="00CE08B8" w:rsidTr="00CE08B8">
        <w:trPr>
          <w:trHeight w:val="315"/>
        </w:trPr>
        <w:tc>
          <w:tcPr>
            <w:tcW w:w="2487" w:type="pct"/>
            <w:tcBorders>
              <w:top w:val="nil"/>
              <w:left w:val="single" w:sz="8" w:space="0" w:color="auto"/>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CE08B8">
              <w:rPr>
                <w:rFonts w:cs="Arial"/>
                <w:color w:val="000000"/>
                <w:sz w:val="22"/>
                <w:szCs w:val="22"/>
                <w:lang w:val="en-US" w:eastAsia="zh-CN"/>
              </w:rPr>
              <w:t>Payables from exchange transactions</w:t>
            </w:r>
          </w:p>
        </w:tc>
        <w:tc>
          <w:tcPr>
            <w:tcW w:w="717"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4</w:t>
            </w:r>
            <w:r>
              <w:rPr>
                <w:rFonts w:cs="Arial"/>
                <w:color w:val="000000"/>
                <w:sz w:val="22"/>
                <w:szCs w:val="22"/>
                <w:lang w:val="en-US" w:eastAsia="zh-CN"/>
              </w:rPr>
              <w:t>’</w:t>
            </w:r>
            <w:r w:rsidRPr="00CE08B8">
              <w:rPr>
                <w:rFonts w:cs="Arial"/>
                <w:color w:val="000000"/>
                <w:sz w:val="22"/>
                <w:szCs w:val="22"/>
                <w:lang w:val="en-US" w:eastAsia="zh-CN"/>
              </w:rPr>
              <w:t>660</w:t>
            </w:r>
          </w:p>
        </w:tc>
        <w:tc>
          <w:tcPr>
            <w:tcW w:w="513"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5</w:t>
            </w:r>
            <w:r>
              <w:rPr>
                <w:rFonts w:cs="Arial"/>
                <w:color w:val="000000"/>
                <w:sz w:val="22"/>
                <w:szCs w:val="22"/>
                <w:lang w:val="en-US" w:eastAsia="zh-CN"/>
              </w:rPr>
              <w:t>’</w:t>
            </w:r>
            <w:r w:rsidRPr="00CE08B8">
              <w:rPr>
                <w:rFonts w:cs="Arial"/>
                <w:color w:val="000000"/>
                <w:sz w:val="22"/>
                <w:szCs w:val="22"/>
                <w:lang w:val="en-US" w:eastAsia="zh-CN"/>
              </w:rPr>
              <w:t>103</w:t>
            </w:r>
          </w:p>
        </w:tc>
        <w:tc>
          <w:tcPr>
            <w:tcW w:w="708"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4</w:t>
            </w:r>
            <w:r>
              <w:rPr>
                <w:rFonts w:cs="Arial"/>
                <w:color w:val="000000"/>
                <w:sz w:val="22"/>
                <w:szCs w:val="22"/>
                <w:lang w:val="en-US" w:eastAsia="zh-CN"/>
              </w:rPr>
              <w:t>’</w:t>
            </w:r>
            <w:r w:rsidRPr="00CE08B8">
              <w:rPr>
                <w:rFonts w:cs="Arial"/>
                <w:color w:val="000000"/>
                <w:sz w:val="22"/>
                <w:szCs w:val="22"/>
                <w:lang w:val="en-US" w:eastAsia="zh-CN"/>
              </w:rPr>
              <w:t>660</w:t>
            </w:r>
          </w:p>
        </w:tc>
        <w:tc>
          <w:tcPr>
            <w:tcW w:w="575" w:type="pct"/>
            <w:tcBorders>
              <w:top w:val="nil"/>
              <w:left w:val="nil"/>
              <w:bottom w:val="single" w:sz="8" w:space="0" w:color="auto"/>
              <w:right w:val="single" w:sz="8" w:space="0" w:color="auto"/>
            </w:tcBorders>
            <w:shd w:val="clear" w:color="auto" w:fill="auto"/>
            <w:vAlign w:val="center"/>
            <w:hideMark/>
          </w:tcPr>
          <w:p w:rsidR="00CE08B8" w:rsidRPr="00CE08B8" w:rsidRDefault="00CE08B8" w:rsidP="00CE08B8">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5</w:t>
            </w:r>
            <w:r>
              <w:rPr>
                <w:rFonts w:cs="Arial"/>
                <w:color w:val="000000"/>
                <w:sz w:val="22"/>
                <w:szCs w:val="22"/>
                <w:lang w:val="en-US" w:eastAsia="zh-CN"/>
              </w:rPr>
              <w:t>’</w:t>
            </w:r>
            <w:r w:rsidRPr="00CE08B8">
              <w:rPr>
                <w:rFonts w:cs="Arial"/>
                <w:color w:val="000000"/>
                <w:sz w:val="22"/>
                <w:szCs w:val="22"/>
                <w:lang w:val="en-US" w:eastAsia="zh-CN"/>
              </w:rPr>
              <w:t>103</w:t>
            </w:r>
          </w:p>
        </w:tc>
      </w:tr>
    </w:tbl>
    <w:p w:rsidR="002573DC" w:rsidRDefault="002573DC" w:rsidP="00224A06">
      <w:pPr>
        <w:snapToGrid w:val="0"/>
        <w:spacing w:before="0"/>
        <w:jc w:val="both"/>
        <w:rPr>
          <w:lang w:val="en-US"/>
        </w:rPr>
      </w:pPr>
    </w:p>
    <w:p w:rsidR="00325F0E" w:rsidRDefault="008A7383" w:rsidP="00224A06">
      <w:pPr>
        <w:snapToGrid w:val="0"/>
        <w:spacing w:before="0"/>
        <w:jc w:val="both"/>
        <w:rPr>
          <w:lang w:val="en-US"/>
        </w:rPr>
      </w:pPr>
      <w:r>
        <w:rPr>
          <w:lang w:val="en-US"/>
        </w:rPr>
        <w:t>The fair value of the financial asse</w:t>
      </w:r>
      <w:r w:rsidR="00074F8B">
        <w:rPr>
          <w:lang w:val="en-US"/>
        </w:rPr>
        <w:t>t</w:t>
      </w:r>
      <w:r>
        <w:rPr>
          <w:lang w:val="en-US"/>
        </w:rPr>
        <w:t>s and liabilities are included at the amount at which the instrument could be exchanged in a current transaction between willing parties, other than in a forced sale or liquidation.</w:t>
      </w:r>
    </w:p>
    <w:p w:rsidR="008A7383" w:rsidRDefault="008A7383" w:rsidP="005C41A5">
      <w:pPr>
        <w:jc w:val="both"/>
        <w:rPr>
          <w:lang w:val="en-US"/>
        </w:rPr>
      </w:pPr>
      <w:r>
        <w:rPr>
          <w:lang w:val="en-US"/>
        </w:rPr>
        <w:t>The following methods and assumptions were used to estimate the fair value:</w:t>
      </w:r>
    </w:p>
    <w:p w:rsidR="008A7383" w:rsidRDefault="008A7383" w:rsidP="005C41A5">
      <w:pPr>
        <w:tabs>
          <w:tab w:val="clear" w:pos="567"/>
          <w:tab w:val="left" w:pos="284"/>
        </w:tabs>
        <w:snapToGrid w:val="0"/>
        <w:ind w:left="284" w:hanging="284"/>
        <w:jc w:val="both"/>
        <w:rPr>
          <w:lang w:val="en-US"/>
        </w:rPr>
      </w:pPr>
      <w:r>
        <w:rPr>
          <w:lang w:val="en-US"/>
        </w:rPr>
        <w:t>-</w:t>
      </w:r>
      <w:r w:rsidR="00B95B4C">
        <w:rPr>
          <w:lang w:val="en-US"/>
        </w:rPr>
        <w:tab/>
      </w:r>
      <w:r>
        <w:rPr>
          <w:lang w:val="en-US"/>
        </w:rPr>
        <w:t>Cash and cash equivalents, short term deposits, receivable</w:t>
      </w:r>
      <w:r w:rsidR="003D0C8F">
        <w:rPr>
          <w:lang w:val="en-US"/>
        </w:rPr>
        <w:t>s</w:t>
      </w:r>
      <w:r>
        <w:rPr>
          <w:lang w:val="en-US"/>
        </w:rPr>
        <w:t xml:space="preserve"> from exchange transactions, other receivables, payables from exchange transactions</w:t>
      </w:r>
      <w:r w:rsidR="00074F8B">
        <w:rPr>
          <w:lang w:val="en-US"/>
        </w:rPr>
        <w:t xml:space="preserve">, and other </w:t>
      </w:r>
      <w:r>
        <w:rPr>
          <w:lang w:val="en-US"/>
        </w:rPr>
        <w:t xml:space="preserve">payables approximate their carrying amounts largely </w:t>
      </w:r>
      <w:r w:rsidR="00E06365">
        <w:rPr>
          <w:lang w:val="en-US"/>
        </w:rPr>
        <w:t>due to the short</w:t>
      </w:r>
      <w:r w:rsidR="003D0C8F">
        <w:rPr>
          <w:lang w:val="en-US"/>
        </w:rPr>
        <w:t>-</w:t>
      </w:r>
      <w:r w:rsidR="00E06365">
        <w:rPr>
          <w:lang w:val="en-US"/>
        </w:rPr>
        <w:t xml:space="preserve">term </w:t>
      </w:r>
      <w:r w:rsidR="00B95B4C">
        <w:rPr>
          <w:lang w:val="en-US"/>
        </w:rPr>
        <w:t>maturities of these investments;</w:t>
      </w:r>
    </w:p>
    <w:p w:rsidR="00E06365" w:rsidRDefault="00AB6FDF" w:rsidP="00224A06">
      <w:pPr>
        <w:tabs>
          <w:tab w:val="clear" w:pos="567"/>
          <w:tab w:val="left" w:pos="284"/>
        </w:tabs>
        <w:snapToGrid w:val="0"/>
        <w:jc w:val="both"/>
        <w:rPr>
          <w:lang w:val="en-US"/>
        </w:rPr>
      </w:pPr>
      <w:r>
        <w:rPr>
          <w:lang w:val="en-US"/>
        </w:rPr>
        <w:t>-</w:t>
      </w:r>
      <w:r w:rsidR="00B95B4C">
        <w:rPr>
          <w:lang w:val="en-US"/>
        </w:rPr>
        <w:tab/>
      </w:r>
      <w:r>
        <w:rPr>
          <w:lang w:val="en-US"/>
        </w:rPr>
        <w:t>Short</w:t>
      </w:r>
      <w:r w:rsidR="008E7BCC">
        <w:rPr>
          <w:lang w:val="en-US"/>
        </w:rPr>
        <w:t>-</w:t>
      </w:r>
      <w:r>
        <w:rPr>
          <w:lang w:val="en-US"/>
        </w:rPr>
        <w:t xml:space="preserve"> and long-term receivables ar</w:t>
      </w:r>
      <w:r w:rsidR="00B95B4C">
        <w:rPr>
          <w:lang w:val="en-US"/>
        </w:rPr>
        <w:t xml:space="preserve">e valued as disclosed in Note </w:t>
      </w:r>
      <w:r w:rsidR="006C5B22">
        <w:rPr>
          <w:lang w:val="en-US"/>
        </w:rPr>
        <w:t>2</w:t>
      </w:r>
      <w:r w:rsidR="00B95B4C">
        <w:rPr>
          <w:lang w:val="en-US"/>
        </w:rPr>
        <w:t>;</w:t>
      </w:r>
    </w:p>
    <w:p w:rsidR="00E06365" w:rsidRDefault="00E06365" w:rsidP="006C5B22">
      <w:pPr>
        <w:tabs>
          <w:tab w:val="clear" w:pos="567"/>
          <w:tab w:val="left" w:pos="284"/>
        </w:tabs>
        <w:jc w:val="both"/>
        <w:rPr>
          <w:lang w:val="en-US"/>
        </w:rPr>
      </w:pPr>
      <w:r>
        <w:rPr>
          <w:lang w:val="en-US"/>
        </w:rPr>
        <w:t>-</w:t>
      </w:r>
      <w:r w:rsidR="00B95B4C">
        <w:rPr>
          <w:lang w:val="en-US"/>
        </w:rPr>
        <w:tab/>
      </w:r>
      <w:r w:rsidR="00AB6FDF">
        <w:rPr>
          <w:lang w:val="en-US"/>
        </w:rPr>
        <w:t>Borrowing</w:t>
      </w:r>
      <w:r w:rsidR="00ED6261">
        <w:rPr>
          <w:lang w:val="en-US"/>
        </w:rPr>
        <w:t>s</w:t>
      </w:r>
      <w:r w:rsidR="00AB6FDF">
        <w:rPr>
          <w:lang w:val="en-US"/>
        </w:rPr>
        <w:t xml:space="preserve"> are valued as disclosed in </w:t>
      </w:r>
      <w:r w:rsidR="00B95B4C">
        <w:rPr>
          <w:lang w:val="en-US"/>
        </w:rPr>
        <w:t>N</w:t>
      </w:r>
      <w:r w:rsidR="00AB6FDF">
        <w:rPr>
          <w:lang w:val="en-US"/>
        </w:rPr>
        <w:t xml:space="preserve">ote </w:t>
      </w:r>
      <w:r w:rsidR="006C5B22">
        <w:rPr>
          <w:lang w:val="en-US"/>
        </w:rPr>
        <w:t>2</w:t>
      </w:r>
      <w:r w:rsidR="00AB6FDF">
        <w:rPr>
          <w:lang w:val="en-US"/>
        </w:rPr>
        <w:t>.</w:t>
      </w:r>
    </w:p>
    <w:p w:rsidR="00181704" w:rsidRDefault="00007623" w:rsidP="005C41A5">
      <w:pPr>
        <w:snapToGrid w:val="0"/>
        <w:spacing w:after="120"/>
        <w:jc w:val="both"/>
        <w:rPr>
          <w:b/>
          <w:bCs/>
          <w:lang w:val="en-US"/>
        </w:rPr>
      </w:pPr>
      <w:r w:rsidRPr="00ED6261">
        <w:rPr>
          <w:b/>
          <w:bCs/>
          <w:lang w:val="en-US"/>
        </w:rPr>
        <w:t>Fair value hierarchy</w:t>
      </w:r>
    </w:p>
    <w:p w:rsidR="00007623" w:rsidRDefault="00007623" w:rsidP="005C41A5">
      <w:pPr>
        <w:spacing w:after="120"/>
        <w:jc w:val="both"/>
        <w:rPr>
          <w:lang w:val="en-US"/>
        </w:rPr>
      </w:pPr>
      <w:r>
        <w:rPr>
          <w:lang w:val="en-US"/>
        </w:rPr>
        <w:t>ITU uses the following hierarchy for determining and disclosing the fair value of financial instruments by valuation technique:</w:t>
      </w:r>
    </w:p>
    <w:p w:rsidR="00007623" w:rsidRDefault="00EC7882" w:rsidP="005C41A5">
      <w:pPr>
        <w:spacing w:after="120"/>
        <w:jc w:val="both"/>
        <w:rPr>
          <w:lang w:val="en-US"/>
        </w:rPr>
      </w:pPr>
      <w:r>
        <w:rPr>
          <w:lang w:val="en-US"/>
        </w:rPr>
        <w:t>Level 1: Q</w:t>
      </w:r>
      <w:r w:rsidR="00007623">
        <w:rPr>
          <w:lang w:val="en-US"/>
        </w:rPr>
        <w:t>uoted prices in active markets for identical assets and liabilities</w:t>
      </w:r>
      <w:r w:rsidR="003D0C8F">
        <w:rPr>
          <w:lang w:val="en-US"/>
        </w:rPr>
        <w:t>;</w:t>
      </w:r>
    </w:p>
    <w:p w:rsidR="00007623" w:rsidRDefault="00EC7882" w:rsidP="005C41A5">
      <w:pPr>
        <w:spacing w:after="120"/>
        <w:jc w:val="both"/>
        <w:rPr>
          <w:lang w:val="en-US"/>
        </w:rPr>
      </w:pPr>
      <w:r>
        <w:rPr>
          <w:lang w:val="en-US"/>
        </w:rPr>
        <w:t>Level 2: I</w:t>
      </w:r>
      <w:r w:rsidR="00007623">
        <w:rPr>
          <w:lang w:val="en-US"/>
        </w:rPr>
        <w:t xml:space="preserve">nputs other than quoted prices included within Level 1 that are observable for the </w:t>
      </w:r>
      <w:r>
        <w:rPr>
          <w:lang w:val="en-US"/>
        </w:rPr>
        <w:t>asset or liability, either directly or indirectly</w:t>
      </w:r>
      <w:r w:rsidR="003D0C8F">
        <w:rPr>
          <w:lang w:val="en-US"/>
        </w:rPr>
        <w:t>;</w:t>
      </w:r>
    </w:p>
    <w:p w:rsidR="00EC7882" w:rsidRDefault="00EC7882" w:rsidP="005C41A5">
      <w:pPr>
        <w:spacing w:after="120"/>
        <w:jc w:val="both"/>
        <w:rPr>
          <w:lang w:val="en-US"/>
        </w:rPr>
      </w:pPr>
      <w:r>
        <w:rPr>
          <w:lang w:val="en-US"/>
        </w:rPr>
        <w:t>Level 3: Techniques</w:t>
      </w:r>
      <w:r w:rsidR="008F7AA6">
        <w:rPr>
          <w:lang w:val="en-US"/>
        </w:rPr>
        <w:t>,</w:t>
      </w:r>
      <w:r>
        <w:rPr>
          <w:lang w:val="en-US"/>
        </w:rPr>
        <w:t xml:space="preserve"> which use input</w:t>
      </w:r>
      <w:r w:rsidR="008F7AA6">
        <w:rPr>
          <w:lang w:val="en-US"/>
        </w:rPr>
        <w:t xml:space="preserve">s </w:t>
      </w:r>
      <w:r>
        <w:rPr>
          <w:lang w:val="en-US"/>
        </w:rPr>
        <w:t>that have a significant effect on the recorded fair value</w:t>
      </w:r>
      <w:r w:rsidR="008F7AA6">
        <w:rPr>
          <w:lang w:val="en-US"/>
        </w:rPr>
        <w:t>,</w:t>
      </w:r>
      <w:r>
        <w:rPr>
          <w:lang w:val="en-US"/>
        </w:rPr>
        <w:t xml:space="preserve"> that are not based on observable market data.</w:t>
      </w:r>
    </w:p>
    <w:p w:rsidR="00ED6261" w:rsidRPr="00A17696" w:rsidRDefault="00EC7882" w:rsidP="0046501B">
      <w:pPr>
        <w:spacing w:before="0"/>
        <w:jc w:val="both"/>
        <w:rPr>
          <w:lang w:val="en-US"/>
        </w:rPr>
      </w:pPr>
      <w:r>
        <w:rPr>
          <w:lang w:val="en-US"/>
        </w:rPr>
        <w:t xml:space="preserve">At 31 </w:t>
      </w:r>
      <w:r w:rsidRPr="00A17696">
        <w:rPr>
          <w:lang w:val="en-US"/>
        </w:rPr>
        <w:t xml:space="preserve">December </w:t>
      </w:r>
      <w:r w:rsidR="00111BDD">
        <w:rPr>
          <w:lang w:val="en-US"/>
        </w:rPr>
        <w:t>201</w:t>
      </w:r>
      <w:r w:rsidR="004C23C0">
        <w:rPr>
          <w:lang w:val="en-US"/>
        </w:rPr>
        <w:t>8</w:t>
      </w:r>
      <w:r w:rsidRPr="00A17696">
        <w:rPr>
          <w:lang w:val="en-US"/>
        </w:rPr>
        <w:t xml:space="preserve">, </w:t>
      </w:r>
      <w:r w:rsidR="00ED6261" w:rsidRPr="00A17696">
        <w:rPr>
          <w:lang w:val="en-US"/>
        </w:rPr>
        <w:t>all investments are bank deposits and short-term bank investments and valued at their fair value in the Statement of Financial Situation.</w:t>
      </w:r>
    </w:p>
    <w:p w:rsidR="00CE08B8" w:rsidRDefault="00CE08B8" w:rsidP="0046501B">
      <w:pPr>
        <w:pStyle w:val="enumlev1"/>
        <w:spacing w:before="0"/>
        <w:jc w:val="both"/>
        <w:rPr>
          <w:lang w:val="en-US"/>
        </w:rPr>
      </w:pPr>
    </w:p>
    <w:p w:rsidR="0022373A" w:rsidRPr="001C2A98" w:rsidRDefault="0022373A" w:rsidP="0046501B">
      <w:pPr>
        <w:pStyle w:val="enumlev1"/>
        <w:spacing w:before="0"/>
        <w:jc w:val="both"/>
        <w:rPr>
          <w:lang w:val="en-US"/>
        </w:rPr>
      </w:pPr>
      <w:r w:rsidRPr="00A17696">
        <w:rPr>
          <w:lang w:val="en-US"/>
        </w:rPr>
        <w:t>a)</w:t>
      </w:r>
      <w:r w:rsidRPr="00A17696">
        <w:rPr>
          <w:lang w:val="en-US"/>
        </w:rPr>
        <w:tab/>
        <w:t>Credit risk</w:t>
      </w:r>
    </w:p>
    <w:p w:rsidR="003A694A" w:rsidRDefault="0022373A" w:rsidP="00ED0279">
      <w:pPr>
        <w:pStyle w:val="enumlev1"/>
        <w:jc w:val="both"/>
        <w:rPr>
          <w:lang w:val="en-US"/>
        </w:rPr>
      </w:pPr>
      <w:r w:rsidRPr="001C2A98">
        <w:rPr>
          <w:lang w:val="en-US"/>
        </w:rPr>
        <w:tab/>
      </w:r>
      <w:r w:rsidR="00451448">
        <w:rPr>
          <w:lang w:val="en-US"/>
        </w:rPr>
        <w:t xml:space="preserve">Credit risk is the risk of financial loss to ITU if customers or counterparties to financial </w:t>
      </w:r>
      <w:r w:rsidR="00451448" w:rsidRPr="00F830AE">
        <w:rPr>
          <w:lang w:val="en-US"/>
        </w:rPr>
        <w:t>instruments fail to meet their contractual obligations, and arises principally from investments, receivables</w:t>
      </w:r>
      <w:r w:rsidR="00451448">
        <w:rPr>
          <w:lang w:val="en-US"/>
        </w:rPr>
        <w:t xml:space="preserve"> and cash and cash equivalents. The carrying amount of financial assets represents the maximum credit exposure. The maximum exposure to credit risk as at 31 December was:</w:t>
      </w:r>
    </w:p>
    <w:p w:rsidR="0046501B" w:rsidRDefault="0046501B">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451448" w:rsidRDefault="00451448" w:rsidP="007072D0">
      <w:pPr>
        <w:pStyle w:val="enumlev1"/>
        <w:rPr>
          <w:lang w:val="en-US"/>
        </w:rPr>
      </w:pPr>
    </w:p>
    <w:tbl>
      <w:tblPr>
        <w:tblStyle w:val="TableGrid"/>
        <w:tblW w:w="0" w:type="auto"/>
        <w:tblInd w:w="1555" w:type="dxa"/>
        <w:tblLook w:val="04A0" w:firstRow="1" w:lastRow="0" w:firstColumn="1" w:lastColumn="0" w:noHBand="0" w:noVBand="1"/>
      </w:tblPr>
      <w:tblGrid>
        <w:gridCol w:w="3369"/>
        <w:gridCol w:w="1984"/>
        <w:gridCol w:w="1559"/>
      </w:tblGrid>
      <w:tr w:rsidR="00451448" w:rsidTr="00F76CFD">
        <w:tc>
          <w:tcPr>
            <w:tcW w:w="3369" w:type="dxa"/>
          </w:tcPr>
          <w:p w:rsidR="00451448" w:rsidRPr="002F699A" w:rsidRDefault="008F7AA6" w:rsidP="007072D0">
            <w:pPr>
              <w:pStyle w:val="enumlev1"/>
              <w:ind w:left="0" w:firstLine="0"/>
              <w:rPr>
                <w:b/>
                <w:bCs/>
                <w:sz w:val="22"/>
                <w:lang w:val="en-US"/>
              </w:rPr>
            </w:pPr>
            <w:r w:rsidRPr="002F699A">
              <w:rPr>
                <w:b/>
                <w:bCs/>
                <w:sz w:val="22"/>
                <w:lang w:val="en-US"/>
              </w:rPr>
              <w:t>In thousands of CHF</w:t>
            </w:r>
          </w:p>
        </w:tc>
        <w:tc>
          <w:tcPr>
            <w:tcW w:w="1984" w:type="dxa"/>
            <w:vAlign w:val="center"/>
          </w:tcPr>
          <w:p w:rsidR="00451448" w:rsidRPr="002F699A" w:rsidRDefault="00451448" w:rsidP="002F699A">
            <w:pPr>
              <w:tabs>
                <w:tab w:val="clear" w:pos="567"/>
                <w:tab w:val="clear" w:pos="1134"/>
                <w:tab w:val="clear" w:pos="1701"/>
                <w:tab w:val="clear" w:pos="2268"/>
                <w:tab w:val="clear" w:pos="2835"/>
              </w:tabs>
              <w:overflowPunct/>
              <w:spacing w:before="40" w:after="40"/>
              <w:jc w:val="right"/>
              <w:textAlignment w:val="auto"/>
              <w:rPr>
                <w:rFonts w:cs="Calibri"/>
                <w:b/>
                <w:bCs/>
                <w:color w:val="000000"/>
                <w:sz w:val="22"/>
                <w:lang w:val="en-US" w:eastAsia="zh-CN"/>
              </w:rPr>
            </w:pPr>
            <w:r w:rsidRPr="002F699A">
              <w:rPr>
                <w:rFonts w:cs="Calibri"/>
                <w:b/>
                <w:bCs/>
                <w:color w:val="000000"/>
                <w:sz w:val="22"/>
                <w:lang w:val="en-US" w:eastAsia="zh-CN"/>
              </w:rPr>
              <w:t>31.12.</w:t>
            </w:r>
            <w:r w:rsidR="00111BDD" w:rsidRPr="002F699A">
              <w:rPr>
                <w:rFonts w:cs="Calibri"/>
                <w:b/>
                <w:bCs/>
                <w:color w:val="000000"/>
                <w:sz w:val="22"/>
                <w:lang w:val="en-US" w:eastAsia="zh-CN"/>
              </w:rPr>
              <w:t>201</w:t>
            </w:r>
            <w:r w:rsidR="002F699A" w:rsidRPr="002F699A">
              <w:rPr>
                <w:rFonts w:cs="Calibri"/>
                <w:b/>
                <w:bCs/>
                <w:color w:val="000000"/>
                <w:sz w:val="22"/>
                <w:lang w:val="en-US" w:eastAsia="zh-CN"/>
              </w:rPr>
              <w:t>8</w:t>
            </w:r>
          </w:p>
        </w:tc>
        <w:tc>
          <w:tcPr>
            <w:tcW w:w="1559" w:type="dxa"/>
            <w:vAlign w:val="center"/>
          </w:tcPr>
          <w:p w:rsidR="00451448" w:rsidRPr="002F699A" w:rsidRDefault="00451448" w:rsidP="002F699A">
            <w:pPr>
              <w:tabs>
                <w:tab w:val="clear" w:pos="567"/>
                <w:tab w:val="clear" w:pos="1134"/>
                <w:tab w:val="clear" w:pos="1701"/>
                <w:tab w:val="clear" w:pos="2268"/>
                <w:tab w:val="clear" w:pos="2835"/>
              </w:tabs>
              <w:overflowPunct/>
              <w:spacing w:before="40" w:after="40"/>
              <w:jc w:val="right"/>
              <w:textAlignment w:val="auto"/>
              <w:rPr>
                <w:rFonts w:cs="Calibri"/>
                <w:b/>
                <w:bCs/>
                <w:color w:val="000000"/>
                <w:sz w:val="22"/>
                <w:lang w:val="en-US" w:eastAsia="zh-CN"/>
              </w:rPr>
            </w:pPr>
            <w:r w:rsidRPr="002F699A">
              <w:rPr>
                <w:rFonts w:cs="Calibri"/>
                <w:b/>
                <w:bCs/>
                <w:color w:val="000000"/>
                <w:sz w:val="22"/>
                <w:lang w:val="en-US" w:eastAsia="zh-CN"/>
              </w:rPr>
              <w:t>31.12.201</w:t>
            </w:r>
            <w:r w:rsidR="002F699A" w:rsidRPr="002F699A">
              <w:rPr>
                <w:rFonts w:cs="Calibri"/>
                <w:b/>
                <w:bCs/>
                <w:color w:val="000000"/>
                <w:sz w:val="22"/>
                <w:lang w:val="en-US" w:eastAsia="zh-CN"/>
              </w:rPr>
              <w:t>7</w:t>
            </w:r>
          </w:p>
        </w:tc>
      </w:tr>
      <w:tr w:rsidR="002F699A" w:rsidRPr="00DD56B0" w:rsidTr="00F76CFD">
        <w:tc>
          <w:tcPr>
            <w:tcW w:w="3369" w:type="dxa"/>
          </w:tcPr>
          <w:p w:rsidR="002F699A" w:rsidRPr="002F699A" w:rsidRDefault="002F699A" w:rsidP="002F699A">
            <w:pPr>
              <w:pStyle w:val="enumlev1"/>
              <w:ind w:left="0" w:firstLine="0"/>
              <w:rPr>
                <w:sz w:val="22"/>
                <w:lang w:val="en-US"/>
              </w:rPr>
            </w:pPr>
            <w:r w:rsidRPr="002F699A">
              <w:rPr>
                <w:sz w:val="22"/>
                <w:lang w:val="en-US"/>
              </w:rPr>
              <w:t>Investments</w:t>
            </w:r>
          </w:p>
        </w:tc>
        <w:tc>
          <w:tcPr>
            <w:tcW w:w="1984" w:type="dxa"/>
          </w:tcPr>
          <w:p w:rsidR="002F699A" w:rsidRPr="002F699A" w:rsidRDefault="002F699A" w:rsidP="002F699A">
            <w:pPr>
              <w:pStyle w:val="enumlev1"/>
              <w:ind w:left="0" w:firstLine="0"/>
              <w:jc w:val="right"/>
              <w:rPr>
                <w:sz w:val="22"/>
                <w:lang w:val="en-US"/>
              </w:rPr>
            </w:pPr>
            <w:r>
              <w:rPr>
                <w:sz w:val="22"/>
                <w:lang w:val="en-US"/>
              </w:rPr>
              <w:t>48</w:t>
            </w:r>
            <w:r w:rsidRPr="002F699A">
              <w:rPr>
                <w:sz w:val="22"/>
                <w:lang w:val="en-US"/>
              </w:rPr>
              <w:t>’</w:t>
            </w:r>
            <w:r>
              <w:rPr>
                <w:sz w:val="22"/>
                <w:lang w:val="en-US"/>
              </w:rPr>
              <w:t>996</w:t>
            </w:r>
          </w:p>
        </w:tc>
        <w:tc>
          <w:tcPr>
            <w:tcW w:w="1559" w:type="dxa"/>
          </w:tcPr>
          <w:p w:rsidR="002F699A" w:rsidRPr="002F699A" w:rsidRDefault="002F699A" w:rsidP="002F699A">
            <w:pPr>
              <w:pStyle w:val="enumlev1"/>
              <w:ind w:left="0" w:firstLine="0"/>
              <w:jc w:val="right"/>
              <w:rPr>
                <w:sz w:val="22"/>
                <w:lang w:val="en-US"/>
              </w:rPr>
            </w:pPr>
            <w:r w:rsidRPr="002F699A">
              <w:rPr>
                <w:sz w:val="22"/>
                <w:lang w:val="en-US"/>
              </w:rPr>
              <w:t>31’363</w:t>
            </w:r>
          </w:p>
        </w:tc>
      </w:tr>
      <w:tr w:rsidR="002F699A" w:rsidRPr="00DD56B0" w:rsidTr="00F76CFD">
        <w:tc>
          <w:tcPr>
            <w:tcW w:w="3369" w:type="dxa"/>
          </w:tcPr>
          <w:p w:rsidR="002F699A" w:rsidRPr="002F699A" w:rsidRDefault="002F699A" w:rsidP="002F699A">
            <w:pPr>
              <w:pStyle w:val="enumlev1"/>
              <w:ind w:left="0" w:firstLine="0"/>
              <w:rPr>
                <w:sz w:val="22"/>
                <w:lang w:val="en-US"/>
              </w:rPr>
            </w:pPr>
            <w:r w:rsidRPr="002F699A">
              <w:rPr>
                <w:sz w:val="22"/>
                <w:lang w:val="en-US"/>
              </w:rPr>
              <w:t>Receivables</w:t>
            </w:r>
          </w:p>
        </w:tc>
        <w:tc>
          <w:tcPr>
            <w:tcW w:w="1984" w:type="dxa"/>
          </w:tcPr>
          <w:p w:rsidR="002F699A" w:rsidRPr="002F699A" w:rsidRDefault="002F699A" w:rsidP="002F699A">
            <w:pPr>
              <w:pStyle w:val="enumlev1"/>
              <w:ind w:left="0" w:firstLine="0"/>
              <w:jc w:val="right"/>
              <w:rPr>
                <w:sz w:val="22"/>
                <w:lang w:val="en-US"/>
              </w:rPr>
            </w:pPr>
            <w:r>
              <w:rPr>
                <w:sz w:val="22"/>
                <w:lang w:val="en-US"/>
              </w:rPr>
              <w:t>97</w:t>
            </w:r>
            <w:r w:rsidRPr="002F699A">
              <w:rPr>
                <w:sz w:val="22"/>
                <w:lang w:val="en-US"/>
              </w:rPr>
              <w:t>’</w:t>
            </w:r>
            <w:r>
              <w:rPr>
                <w:sz w:val="22"/>
                <w:lang w:val="en-US"/>
              </w:rPr>
              <w:t>746</w:t>
            </w:r>
          </w:p>
        </w:tc>
        <w:tc>
          <w:tcPr>
            <w:tcW w:w="1559" w:type="dxa"/>
          </w:tcPr>
          <w:p w:rsidR="002F699A" w:rsidRPr="002F699A" w:rsidRDefault="002F699A" w:rsidP="002F699A">
            <w:pPr>
              <w:pStyle w:val="enumlev1"/>
              <w:ind w:left="0" w:firstLine="0"/>
              <w:jc w:val="right"/>
              <w:rPr>
                <w:sz w:val="22"/>
                <w:lang w:val="en-US"/>
              </w:rPr>
            </w:pPr>
            <w:r w:rsidRPr="002F699A">
              <w:rPr>
                <w:sz w:val="22"/>
                <w:lang w:val="en-US"/>
              </w:rPr>
              <w:t>104’575</w:t>
            </w:r>
          </w:p>
        </w:tc>
      </w:tr>
      <w:tr w:rsidR="002F699A" w:rsidRPr="00DD56B0" w:rsidTr="00F76CFD">
        <w:tc>
          <w:tcPr>
            <w:tcW w:w="3369" w:type="dxa"/>
          </w:tcPr>
          <w:p w:rsidR="002F699A" w:rsidRPr="002F699A" w:rsidRDefault="002F699A" w:rsidP="002F699A">
            <w:pPr>
              <w:pStyle w:val="enumlev1"/>
              <w:ind w:left="0" w:firstLine="0"/>
              <w:rPr>
                <w:sz w:val="22"/>
                <w:lang w:val="en-US"/>
              </w:rPr>
            </w:pPr>
            <w:r w:rsidRPr="002F699A">
              <w:rPr>
                <w:sz w:val="22"/>
                <w:lang w:val="en-US"/>
              </w:rPr>
              <w:t>Cash and cash equivalents</w:t>
            </w:r>
          </w:p>
        </w:tc>
        <w:tc>
          <w:tcPr>
            <w:tcW w:w="1984" w:type="dxa"/>
          </w:tcPr>
          <w:p w:rsidR="002F699A" w:rsidRPr="002F699A" w:rsidRDefault="002F699A" w:rsidP="002F699A">
            <w:pPr>
              <w:pStyle w:val="enumlev1"/>
              <w:ind w:left="0" w:firstLine="0"/>
              <w:jc w:val="right"/>
              <w:rPr>
                <w:sz w:val="22"/>
                <w:lang w:val="en-US"/>
              </w:rPr>
            </w:pPr>
            <w:r w:rsidRPr="002F699A">
              <w:rPr>
                <w:sz w:val="22"/>
                <w:lang w:val="en-US"/>
              </w:rPr>
              <w:t>1</w:t>
            </w:r>
            <w:r>
              <w:rPr>
                <w:sz w:val="22"/>
                <w:lang w:val="en-US"/>
              </w:rPr>
              <w:t>61</w:t>
            </w:r>
            <w:r w:rsidRPr="002F699A">
              <w:rPr>
                <w:sz w:val="22"/>
                <w:lang w:val="en-US"/>
              </w:rPr>
              <w:t>’</w:t>
            </w:r>
            <w:r>
              <w:rPr>
                <w:sz w:val="22"/>
                <w:lang w:val="en-US"/>
              </w:rPr>
              <w:t>826</w:t>
            </w:r>
          </w:p>
        </w:tc>
        <w:tc>
          <w:tcPr>
            <w:tcW w:w="1559" w:type="dxa"/>
          </w:tcPr>
          <w:p w:rsidR="002F699A" w:rsidRPr="002F699A" w:rsidRDefault="002F699A" w:rsidP="002F699A">
            <w:pPr>
              <w:pStyle w:val="enumlev1"/>
              <w:ind w:left="0" w:firstLine="0"/>
              <w:jc w:val="right"/>
              <w:rPr>
                <w:sz w:val="22"/>
                <w:lang w:val="en-US"/>
              </w:rPr>
            </w:pPr>
            <w:r w:rsidRPr="002F699A">
              <w:rPr>
                <w:sz w:val="22"/>
                <w:lang w:val="en-US"/>
              </w:rPr>
              <w:t>135’297</w:t>
            </w:r>
          </w:p>
        </w:tc>
      </w:tr>
      <w:tr w:rsidR="002F699A" w:rsidTr="00F76CFD">
        <w:tc>
          <w:tcPr>
            <w:tcW w:w="3369" w:type="dxa"/>
          </w:tcPr>
          <w:p w:rsidR="002F699A" w:rsidRPr="002F699A" w:rsidRDefault="002F699A" w:rsidP="002F699A">
            <w:pPr>
              <w:pStyle w:val="enumlev1"/>
              <w:ind w:left="0" w:firstLine="0"/>
              <w:rPr>
                <w:sz w:val="22"/>
                <w:lang w:val="en-US"/>
              </w:rPr>
            </w:pPr>
            <w:r w:rsidRPr="002F699A">
              <w:rPr>
                <w:sz w:val="22"/>
                <w:lang w:val="en-US"/>
              </w:rPr>
              <w:t>Maximum exposure to credit risk</w:t>
            </w:r>
          </w:p>
        </w:tc>
        <w:tc>
          <w:tcPr>
            <w:tcW w:w="1984" w:type="dxa"/>
          </w:tcPr>
          <w:p w:rsidR="002F699A" w:rsidRPr="002F699A" w:rsidRDefault="002F699A" w:rsidP="002F699A">
            <w:pPr>
              <w:pStyle w:val="enumlev1"/>
              <w:ind w:left="0" w:firstLine="0"/>
              <w:jc w:val="right"/>
              <w:rPr>
                <w:sz w:val="22"/>
                <w:lang w:val="en-US"/>
              </w:rPr>
            </w:pPr>
            <w:r>
              <w:rPr>
                <w:sz w:val="22"/>
                <w:lang w:val="en-US"/>
              </w:rPr>
              <w:t>308</w:t>
            </w:r>
            <w:r w:rsidRPr="002F699A">
              <w:rPr>
                <w:sz w:val="22"/>
                <w:lang w:val="en-US"/>
              </w:rPr>
              <w:t>’</w:t>
            </w:r>
            <w:r>
              <w:rPr>
                <w:sz w:val="22"/>
                <w:lang w:val="en-US"/>
              </w:rPr>
              <w:t>568</w:t>
            </w:r>
          </w:p>
        </w:tc>
        <w:tc>
          <w:tcPr>
            <w:tcW w:w="1559" w:type="dxa"/>
          </w:tcPr>
          <w:p w:rsidR="002F699A" w:rsidRPr="002F699A" w:rsidRDefault="002F699A" w:rsidP="002F699A">
            <w:pPr>
              <w:pStyle w:val="enumlev1"/>
              <w:ind w:left="0" w:firstLine="0"/>
              <w:jc w:val="right"/>
              <w:rPr>
                <w:sz w:val="22"/>
                <w:lang w:val="en-US"/>
              </w:rPr>
            </w:pPr>
            <w:r w:rsidRPr="002F699A">
              <w:rPr>
                <w:sz w:val="22"/>
                <w:lang w:val="en-US"/>
              </w:rPr>
              <w:t>271’235</w:t>
            </w:r>
          </w:p>
        </w:tc>
      </w:tr>
    </w:tbl>
    <w:p w:rsidR="00451448" w:rsidRDefault="00451448" w:rsidP="007072D0">
      <w:pPr>
        <w:pStyle w:val="enumlev1"/>
        <w:rPr>
          <w:lang w:val="en-US"/>
        </w:rPr>
      </w:pPr>
    </w:p>
    <w:p w:rsidR="00451448" w:rsidRDefault="00524570" w:rsidP="0046501B">
      <w:pPr>
        <w:pStyle w:val="enumlev1"/>
        <w:spacing w:before="0"/>
        <w:jc w:val="both"/>
        <w:rPr>
          <w:lang w:val="en-US"/>
        </w:rPr>
      </w:pPr>
      <w:r>
        <w:rPr>
          <w:lang w:val="en-US"/>
        </w:rPr>
        <w:t>b)</w:t>
      </w:r>
      <w:r w:rsidR="0022373A" w:rsidRPr="001C2A98">
        <w:rPr>
          <w:lang w:val="en-US"/>
        </w:rPr>
        <w:tab/>
      </w:r>
      <w:r w:rsidR="00451448">
        <w:rPr>
          <w:lang w:val="en-US"/>
        </w:rPr>
        <w:t>Credit quality</w:t>
      </w:r>
    </w:p>
    <w:p w:rsidR="00524570" w:rsidRDefault="008F7AA6" w:rsidP="005C41A5">
      <w:pPr>
        <w:pStyle w:val="enumlev1"/>
        <w:jc w:val="both"/>
        <w:rPr>
          <w:lang w:val="en-US"/>
        </w:rPr>
      </w:pPr>
      <w:r>
        <w:rPr>
          <w:lang w:val="en-US"/>
        </w:rPr>
        <w:tab/>
        <w:t>Credit</w:t>
      </w:r>
      <w:r w:rsidR="00451448">
        <w:rPr>
          <w:lang w:val="en-US"/>
        </w:rPr>
        <w:t xml:space="preserve"> quality is </w:t>
      </w:r>
      <w:r w:rsidR="00445819">
        <w:rPr>
          <w:lang w:val="en-US"/>
        </w:rPr>
        <w:t xml:space="preserve">the </w:t>
      </w:r>
      <w:r w:rsidR="00451448">
        <w:rPr>
          <w:lang w:val="en-US"/>
        </w:rPr>
        <w:t xml:space="preserve">assessed risk of default attached to counterparties to which ITU extend credit as well as </w:t>
      </w:r>
      <w:r w:rsidR="00445819">
        <w:rPr>
          <w:lang w:val="en-US"/>
        </w:rPr>
        <w:t>those</w:t>
      </w:r>
      <w:r w:rsidR="00451448">
        <w:rPr>
          <w:lang w:val="en-US"/>
        </w:rPr>
        <w:t xml:space="preserve"> parties with whom ITU invests</w:t>
      </w:r>
      <w:r w:rsidR="00830CA5">
        <w:rPr>
          <w:lang w:val="en-US"/>
        </w:rPr>
        <w:t>.</w:t>
      </w:r>
    </w:p>
    <w:p w:rsidR="00445819" w:rsidRDefault="00445819" w:rsidP="005C41A5">
      <w:pPr>
        <w:pStyle w:val="enumlev1"/>
        <w:jc w:val="both"/>
        <w:rPr>
          <w:lang w:val="en-US"/>
        </w:rPr>
      </w:pPr>
      <w:r>
        <w:rPr>
          <w:lang w:val="en-US"/>
        </w:rPr>
        <w:tab/>
      </w:r>
      <w:r w:rsidRPr="001C2A98">
        <w:rPr>
          <w:lang w:val="en-US"/>
        </w:rPr>
        <w:t>Measures such as the sending of quarterly statements</w:t>
      </w:r>
      <w:r>
        <w:rPr>
          <w:lang w:val="en-US"/>
        </w:rPr>
        <w:t xml:space="preserve"> and</w:t>
      </w:r>
      <w:r w:rsidRPr="001C2A98">
        <w:rPr>
          <w:lang w:val="en-US"/>
        </w:rPr>
        <w:t xml:space="preserve"> suspension of participation in the work of ITU have been introduced to ensure that Member States, Sector Members and Associates settle their arrears. </w:t>
      </w:r>
      <w:r>
        <w:rPr>
          <w:lang w:val="en-US"/>
        </w:rPr>
        <w:t>Furthermore, the loss of voting right has been introduced for Member States to encourage a timely settling of their arrears.</w:t>
      </w:r>
    </w:p>
    <w:p w:rsidR="00A219E0" w:rsidRDefault="00445819" w:rsidP="009D3F2E">
      <w:pPr>
        <w:pStyle w:val="enumlev1"/>
        <w:jc w:val="both"/>
        <w:rPr>
          <w:lang w:val="en-US"/>
        </w:rPr>
      </w:pPr>
      <w:r>
        <w:rPr>
          <w:lang w:val="en-US"/>
        </w:rPr>
        <w:tab/>
      </w:r>
      <w:r w:rsidRPr="001C2A98">
        <w:rPr>
          <w:lang w:val="en-US"/>
        </w:rPr>
        <w:t xml:space="preserve">ITU mitigates </w:t>
      </w:r>
      <w:r>
        <w:rPr>
          <w:lang w:val="en-US"/>
        </w:rPr>
        <w:t>credit risks on cash and cash</w:t>
      </w:r>
      <w:r w:rsidRPr="001C2A98">
        <w:rPr>
          <w:lang w:val="en-US"/>
        </w:rPr>
        <w:t xml:space="preserve"> equivalents and on investments by spreading them among several banking institutions</w:t>
      </w:r>
      <w:r>
        <w:rPr>
          <w:lang w:val="en-US"/>
        </w:rPr>
        <w:t xml:space="preserve"> with </w:t>
      </w:r>
      <w:r w:rsidR="001572ED">
        <w:rPr>
          <w:lang w:val="en-US"/>
        </w:rPr>
        <w:t>high-grade</w:t>
      </w:r>
      <w:r>
        <w:rPr>
          <w:lang w:val="en-US"/>
        </w:rPr>
        <w:t xml:space="preserve"> credit ratings</w:t>
      </w:r>
      <w:r w:rsidRPr="001C2A98">
        <w:rPr>
          <w:lang w:val="en-US"/>
        </w:rPr>
        <w:t>.</w:t>
      </w:r>
      <w:r>
        <w:rPr>
          <w:lang w:val="en-US"/>
        </w:rPr>
        <w:t xml:space="preserve"> </w:t>
      </w:r>
      <w:r w:rsidRPr="00445819">
        <w:rPr>
          <w:lang w:val="en-US"/>
        </w:rPr>
        <w:t>A</w:t>
      </w:r>
      <w:r>
        <w:rPr>
          <w:lang w:val="en-US"/>
        </w:rPr>
        <w:t>ccording to A</w:t>
      </w:r>
      <w:r w:rsidRPr="00445819">
        <w:rPr>
          <w:lang w:val="en-US"/>
        </w:rPr>
        <w:t>rticle 16 of the Financial Regulations and Financial Rules</w:t>
      </w:r>
      <w:r>
        <w:rPr>
          <w:lang w:val="en-US"/>
        </w:rPr>
        <w:t>, t</w:t>
      </w:r>
      <w:r w:rsidRPr="00445819">
        <w:rPr>
          <w:lang w:val="en-US"/>
        </w:rPr>
        <w:t>he Secretary-General choose</w:t>
      </w:r>
      <w:r>
        <w:rPr>
          <w:lang w:val="en-US"/>
        </w:rPr>
        <w:t>s</w:t>
      </w:r>
      <w:r w:rsidRPr="00445819">
        <w:rPr>
          <w:lang w:val="en-US"/>
        </w:rPr>
        <w:t xml:space="preserve"> the banks or other institutions in which the Union</w:t>
      </w:r>
      <w:r w:rsidR="007A552E">
        <w:rPr>
          <w:lang w:val="en-US"/>
        </w:rPr>
        <w:t>’</w:t>
      </w:r>
      <w:r w:rsidRPr="00445819">
        <w:rPr>
          <w:lang w:val="en-US"/>
        </w:rPr>
        <w:t>s funds are to be deposited. In this respect, the Secretary-General shall ensure that funds are invested in such a way as</w:t>
      </w:r>
      <w:r>
        <w:rPr>
          <w:lang w:val="en-US"/>
        </w:rPr>
        <w:t xml:space="preserve"> </w:t>
      </w:r>
      <w:r w:rsidRPr="00445819">
        <w:rPr>
          <w:lang w:val="en-US"/>
        </w:rPr>
        <w:t>to place primary emphasis on minimizing the risk to principal funds while</w:t>
      </w:r>
      <w:r>
        <w:rPr>
          <w:lang w:val="en-US"/>
        </w:rPr>
        <w:t xml:space="preserve"> </w:t>
      </w:r>
      <w:r w:rsidRPr="00445819">
        <w:rPr>
          <w:lang w:val="en-US"/>
        </w:rPr>
        <w:t>ensuring the liquidity necessary to meet the Union</w:t>
      </w:r>
      <w:r w:rsidR="007A552E">
        <w:rPr>
          <w:lang w:val="en-US"/>
        </w:rPr>
        <w:t>’</w:t>
      </w:r>
      <w:r w:rsidRPr="00445819">
        <w:rPr>
          <w:lang w:val="en-US"/>
        </w:rPr>
        <w:t>s cash-flow requirements.</w:t>
      </w:r>
      <w:r>
        <w:rPr>
          <w:lang w:val="en-US"/>
        </w:rPr>
        <w:t xml:space="preserve"> ITU does not make deposits with banks with a </w:t>
      </w:r>
      <w:r w:rsidR="00A219E0">
        <w:rPr>
          <w:lang w:val="en-US"/>
        </w:rPr>
        <w:t>credit</w:t>
      </w:r>
      <w:r>
        <w:rPr>
          <w:lang w:val="en-US"/>
        </w:rPr>
        <w:t xml:space="preserve"> rating below A3.</w:t>
      </w:r>
    </w:p>
    <w:p w:rsidR="00445819" w:rsidRPr="00445819" w:rsidRDefault="00445819" w:rsidP="005C41A5">
      <w:pPr>
        <w:pStyle w:val="enumlev1"/>
        <w:jc w:val="both"/>
        <w:rPr>
          <w:lang w:val="en-US"/>
        </w:rPr>
      </w:pPr>
      <w:r w:rsidRPr="00445819">
        <w:rPr>
          <w:lang w:val="en-US"/>
        </w:rPr>
        <w:tab/>
        <w:t>In addition to these criteria, investments shall be selected on the basis of</w:t>
      </w:r>
      <w:r>
        <w:rPr>
          <w:lang w:val="en-US"/>
        </w:rPr>
        <w:t xml:space="preserve"> </w:t>
      </w:r>
      <w:r w:rsidRPr="00445819">
        <w:rPr>
          <w:lang w:val="en-US"/>
        </w:rPr>
        <w:t>achieving the highest reasonable rate of return and shall accord with the</w:t>
      </w:r>
      <w:r>
        <w:rPr>
          <w:lang w:val="en-US"/>
        </w:rPr>
        <w:t xml:space="preserve"> </w:t>
      </w:r>
      <w:r w:rsidRPr="00445819">
        <w:rPr>
          <w:lang w:val="en-US"/>
        </w:rPr>
        <w:t>principles of the United Nations.</w:t>
      </w:r>
    </w:p>
    <w:p w:rsidR="00445819" w:rsidRDefault="00445819" w:rsidP="005C41A5">
      <w:pPr>
        <w:pStyle w:val="enumlev1"/>
        <w:jc w:val="both"/>
        <w:rPr>
          <w:lang w:val="en-US"/>
        </w:rPr>
      </w:pPr>
      <w:r>
        <w:rPr>
          <w:lang w:val="en-US"/>
        </w:rPr>
        <w:tab/>
        <w:t>The Secretary-General</w:t>
      </w:r>
      <w:r w:rsidRPr="00445819">
        <w:rPr>
          <w:lang w:val="en-US"/>
        </w:rPr>
        <w:t xml:space="preserve"> designate</w:t>
      </w:r>
      <w:r>
        <w:rPr>
          <w:lang w:val="en-US"/>
        </w:rPr>
        <w:t>s</w:t>
      </w:r>
      <w:r w:rsidRPr="00445819">
        <w:rPr>
          <w:lang w:val="en-US"/>
        </w:rPr>
        <w:t xml:space="preserve"> the banks in which the funds of the</w:t>
      </w:r>
      <w:r>
        <w:rPr>
          <w:lang w:val="en-US"/>
        </w:rPr>
        <w:t xml:space="preserve"> </w:t>
      </w:r>
      <w:r w:rsidRPr="00445819">
        <w:rPr>
          <w:lang w:val="en-US"/>
        </w:rPr>
        <w:t>Union shall be kept, shall establish all bank accounts required for the Union</w:t>
      </w:r>
      <w:r>
        <w:rPr>
          <w:lang w:val="en-US"/>
        </w:rPr>
        <w:t xml:space="preserve"> </w:t>
      </w:r>
      <w:r w:rsidRPr="00445819">
        <w:rPr>
          <w:lang w:val="en-US"/>
        </w:rPr>
        <w:t>and shall designate those officials to whom signing authority is delegated for</w:t>
      </w:r>
      <w:r>
        <w:rPr>
          <w:lang w:val="en-US"/>
        </w:rPr>
        <w:t xml:space="preserve"> </w:t>
      </w:r>
      <w:r w:rsidRPr="00445819">
        <w:rPr>
          <w:lang w:val="en-US"/>
        </w:rPr>
        <w:t>the operation of those accou</w:t>
      </w:r>
      <w:r>
        <w:rPr>
          <w:lang w:val="en-US"/>
        </w:rPr>
        <w:t>nts. The Secretary-General</w:t>
      </w:r>
      <w:r w:rsidRPr="00445819">
        <w:rPr>
          <w:lang w:val="en-US"/>
        </w:rPr>
        <w:t xml:space="preserve"> also authorize</w:t>
      </w:r>
      <w:r>
        <w:rPr>
          <w:lang w:val="en-US"/>
        </w:rPr>
        <w:t xml:space="preserve">s </w:t>
      </w:r>
      <w:r w:rsidRPr="00445819">
        <w:rPr>
          <w:lang w:val="en-US"/>
        </w:rPr>
        <w:t>all bank account closures.</w:t>
      </w:r>
    </w:p>
    <w:p w:rsidR="005D1217" w:rsidRDefault="0022373A" w:rsidP="005C41A5">
      <w:pPr>
        <w:pStyle w:val="enumlev1"/>
        <w:jc w:val="both"/>
        <w:rPr>
          <w:lang w:val="en-US"/>
        </w:rPr>
      </w:pPr>
      <w:r w:rsidRPr="001C2A98">
        <w:rPr>
          <w:lang w:val="en-US"/>
        </w:rPr>
        <w:t>c)</w:t>
      </w:r>
      <w:r w:rsidRPr="001C2A98">
        <w:rPr>
          <w:lang w:val="en-US"/>
        </w:rPr>
        <w:tab/>
      </w:r>
      <w:r w:rsidR="005D1217">
        <w:rPr>
          <w:lang w:val="en-US"/>
        </w:rPr>
        <w:t>Interest rate risk</w:t>
      </w:r>
    </w:p>
    <w:p w:rsidR="00A92380" w:rsidRPr="00CC1CC4" w:rsidRDefault="005D1217" w:rsidP="001572ED">
      <w:pPr>
        <w:pStyle w:val="enumlev1"/>
        <w:jc w:val="both"/>
        <w:rPr>
          <w:lang w:val="en-US"/>
        </w:rPr>
      </w:pPr>
      <w:r>
        <w:rPr>
          <w:lang w:val="en-US"/>
        </w:rPr>
        <w:tab/>
      </w:r>
      <w:r w:rsidR="00A92380">
        <w:rPr>
          <w:lang w:val="en-US"/>
        </w:rPr>
        <w:t xml:space="preserve">ITU is </w:t>
      </w:r>
      <w:r w:rsidR="00A92380" w:rsidRPr="00CC1CC4">
        <w:rPr>
          <w:lang w:val="en-US"/>
        </w:rPr>
        <w:t>exposed to interest rate risks through its short term investments.</w:t>
      </w:r>
      <w:r w:rsidR="001A316A" w:rsidRPr="00CC1CC4">
        <w:rPr>
          <w:lang w:val="en-US"/>
        </w:rPr>
        <w:t xml:space="preserve"> </w:t>
      </w:r>
      <w:r w:rsidR="00327A6D">
        <w:rPr>
          <w:lang w:val="en-US"/>
        </w:rPr>
        <w:t>Further to the introduction</w:t>
      </w:r>
      <w:r w:rsidR="00505975">
        <w:rPr>
          <w:lang w:val="en-US"/>
        </w:rPr>
        <w:t xml:space="preserve"> of the negative interest </w:t>
      </w:r>
      <w:r w:rsidR="00327A6D">
        <w:rPr>
          <w:lang w:val="en-US"/>
        </w:rPr>
        <w:t>in 201</w:t>
      </w:r>
      <w:r w:rsidR="00295484">
        <w:rPr>
          <w:lang w:val="en-US"/>
        </w:rPr>
        <w:t>5</w:t>
      </w:r>
      <w:r w:rsidR="00327A6D">
        <w:rPr>
          <w:lang w:val="en-US"/>
        </w:rPr>
        <w:t xml:space="preserve"> </w:t>
      </w:r>
      <w:r w:rsidR="00505975">
        <w:rPr>
          <w:lang w:val="en-US"/>
        </w:rPr>
        <w:t>on cash in hand by the financial institutions, ITU had review</w:t>
      </w:r>
      <w:r w:rsidR="00327A6D">
        <w:rPr>
          <w:lang w:val="en-US"/>
        </w:rPr>
        <w:t>ed</w:t>
      </w:r>
      <w:r w:rsidR="00505975">
        <w:rPr>
          <w:lang w:val="en-US"/>
        </w:rPr>
        <w:t xml:space="preserve"> carefully its policy in order to avoid impacting the cash and cash equivalent. </w:t>
      </w:r>
      <w:r w:rsidR="007E0B11">
        <w:rPr>
          <w:lang w:val="en-US"/>
        </w:rPr>
        <w:t xml:space="preserve">Since </w:t>
      </w:r>
      <w:r w:rsidR="005B4D90">
        <w:rPr>
          <w:lang w:val="en-US"/>
        </w:rPr>
        <w:t xml:space="preserve">then, </w:t>
      </w:r>
      <w:r w:rsidR="007C0913">
        <w:rPr>
          <w:lang w:val="en-US"/>
        </w:rPr>
        <w:t xml:space="preserve">the </w:t>
      </w:r>
      <w:r w:rsidR="00327A6D">
        <w:rPr>
          <w:lang w:val="en-US"/>
        </w:rPr>
        <w:t xml:space="preserve">ITU </w:t>
      </w:r>
      <w:r w:rsidR="005B4D90">
        <w:rPr>
          <w:lang w:val="en-US"/>
        </w:rPr>
        <w:t xml:space="preserve">has </w:t>
      </w:r>
      <w:r w:rsidR="00327A6D">
        <w:rPr>
          <w:lang w:val="en-US"/>
        </w:rPr>
        <w:t xml:space="preserve">succeeded </w:t>
      </w:r>
      <w:r w:rsidR="007213E3">
        <w:rPr>
          <w:lang w:val="en-US"/>
        </w:rPr>
        <w:t xml:space="preserve">in securing </w:t>
      </w:r>
      <w:r w:rsidR="007E0B11">
        <w:rPr>
          <w:lang w:val="en-US"/>
        </w:rPr>
        <w:t>all the funds, despite the need of a careful and daily monitoring.</w:t>
      </w:r>
    </w:p>
    <w:p w:rsidR="0022373A" w:rsidRPr="001C2A98" w:rsidRDefault="005D1217" w:rsidP="005C41A5">
      <w:pPr>
        <w:pStyle w:val="enumlev1"/>
        <w:jc w:val="both"/>
        <w:rPr>
          <w:lang w:val="en-US"/>
        </w:rPr>
      </w:pPr>
      <w:r w:rsidRPr="00CC1CC4">
        <w:rPr>
          <w:lang w:val="en-US"/>
        </w:rPr>
        <w:t>d)</w:t>
      </w:r>
      <w:r w:rsidRPr="00CC1CC4">
        <w:rPr>
          <w:lang w:val="en-US"/>
        </w:rPr>
        <w:tab/>
      </w:r>
      <w:r w:rsidR="0022373A" w:rsidRPr="00CC1CC4">
        <w:rPr>
          <w:lang w:val="en-US"/>
        </w:rPr>
        <w:t>Liquidity risk</w:t>
      </w:r>
    </w:p>
    <w:p w:rsidR="00C74307" w:rsidRDefault="0022373A" w:rsidP="005C41A5">
      <w:pPr>
        <w:pStyle w:val="enumlev1"/>
        <w:jc w:val="both"/>
        <w:rPr>
          <w:lang w:val="en-US"/>
        </w:rPr>
      </w:pPr>
      <w:r w:rsidRPr="001C2A98">
        <w:rPr>
          <w:lang w:val="en-US"/>
        </w:rPr>
        <w:tab/>
        <w:t xml:space="preserve">Liquidity risk </w:t>
      </w:r>
      <w:r w:rsidR="00C74307">
        <w:rPr>
          <w:lang w:val="en-US"/>
        </w:rPr>
        <w:t>is the risk of ITU not being able to meet its obligations as they fall due. ITU approach to managing liquidity risk is to ensure that sufficient liquidity is available to meet its liabilities when due. ITU ensures that it has sufficient cash on demand to meet expected operating expenses through the use of cash flow forecasts.</w:t>
      </w:r>
    </w:p>
    <w:p w:rsidR="001A316A" w:rsidRDefault="00C74307" w:rsidP="005C41A5">
      <w:pPr>
        <w:pStyle w:val="enumlev1"/>
        <w:jc w:val="both"/>
        <w:rPr>
          <w:lang w:val="en-US"/>
        </w:rPr>
      </w:pPr>
      <w:r>
        <w:rPr>
          <w:lang w:val="en-US"/>
        </w:rPr>
        <w:tab/>
      </w:r>
      <w:r w:rsidR="0022373A" w:rsidRPr="001C2A98">
        <w:rPr>
          <w:lang w:val="en-US"/>
        </w:rPr>
        <w:t xml:space="preserve">Liquidity risk may be considered negligible </w:t>
      </w:r>
      <w:r>
        <w:rPr>
          <w:lang w:val="en-US"/>
        </w:rPr>
        <w:t xml:space="preserve">as, </w:t>
      </w:r>
      <w:r w:rsidRPr="001C2A98">
        <w:rPr>
          <w:lang w:val="en-US"/>
        </w:rPr>
        <w:t>in accordance with Article 17 of the Financial Regulations</w:t>
      </w:r>
      <w:r>
        <w:rPr>
          <w:lang w:val="en-US"/>
        </w:rPr>
        <w:t xml:space="preserve">, </w:t>
      </w:r>
      <w:r w:rsidR="008E5B5E">
        <w:rPr>
          <w:lang w:val="en-US"/>
        </w:rPr>
        <w:t xml:space="preserve">advances of funds from </w:t>
      </w:r>
      <w:r>
        <w:rPr>
          <w:lang w:val="en-US"/>
        </w:rPr>
        <w:t xml:space="preserve">the Government of the Swiss Confederation </w:t>
      </w:r>
      <w:r w:rsidR="008E5B5E">
        <w:rPr>
          <w:lang w:val="en-US"/>
        </w:rPr>
        <w:t>will be granted under conditions to be stipulated to meet temporary cash requirements of the Union.</w:t>
      </w:r>
    </w:p>
    <w:p w:rsidR="003C55E5" w:rsidRDefault="001A316A" w:rsidP="00ED0279">
      <w:pPr>
        <w:pStyle w:val="enumlev1"/>
        <w:jc w:val="both"/>
        <w:rPr>
          <w:lang w:val="en-US"/>
        </w:rPr>
      </w:pPr>
      <w:r>
        <w:rPr>
          <w:lang w:val="en-US"/>
        </w:rPr>
        <w:tab/>
      </w:r>
      <w:r w:rsidR="0043416A">
        <w:rPr>
          <w:lang w:val="en-US"/>
        </w:rPr>
        <w:t>The primary objective of managing ITU</w:t>
      </w:r>
      <w:r w:rsidR="007A552E">
        <w:rPr>
          <w:lang w:val="en-US"/>
        </w:rPr>
        <w:t>’</w:t>
      </w:r>
      <w:r w:rsidR="0043416A">
        <w:rPr>
          <w:lang w:val="en-US"/>
        </w:rPr>
        <w:t>s capital is to ensure that there is sufficient cash available to support ITU</w:t>
      </w:r>
      <w:r w:rsidR="007A552E">
        <w:rPr>
          <w:lang w:val="en-US"/>
        </w:rPr>
        <w:t>’</w:t>
      </w:r>
      <w:r w:rsidR="0043416A">
        <w:rPr>
          <w:lang w:val="en-US"/>
        </w:rPr>
        <w:t>s funding requirements, including capital expenditure, to ensure that ITU remains financially sound.</w:t>
      </w:r>
    </w:p>
    <w:p w:rsidR="00F6144A" w:rsidRDefault="00F6144A">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D073A3" w:rsidRDefault="001A316A" w:rsidP="005C41A5">
      <w:pPr>
        <w:pStyle w:val="enumlev1"/>
        <w:jc w:val="both"/>
        <w:rPr>
          <w:lang w:val="en-US"/>
        </w:rPr>
      </w:pPr>
      <w:r>
        <w:rPr>
          <w:lang w:val="en-US"/>
        </w:rPr>
        <w:t>e)</w:t>
      </w:r>
      <w:r>
        <w:rPr>
          <w:lang w:val="en-US"/>
        </w:rPr>
        <w:tab/>
      </w:r>
      <w:r w:rsidR="00D073A3">
        <w:rPr>
          <w:lang w:val="en-US"/>
        </w:rPr>
        <w:t>Currency risk</w:t>
      </w:r>
    </w:p>
    <w:p w:rsidR="00D073A3" w:rsidRPr="005D1217" w:rsidRDefault="00D073A3" w:rsidP="005C41A5">
      <w:pPr>
        <w:pStyle w:val="enumlev1"/>
        <w:ind w:firstLine="0"/>
        <w:jc w:val="both"/>
        <w:rPr>
          <w:lang w:val="en-US"/>
        </w:rPr>
      </w:pPr>
      <w:r w:rsidRPr="001C2A98">
        <w:rPr>
          <w:lang w:val="en-US"/>
        </w:rPr>
        <w:t>ITU</w:t>
      </w:r>
      <w:r>
        <w:rPr>
          <w:lang w:val="en-US"/>
        </w:rPr>
        <w:t xml:space="preserve"> receives Member </w:t>
      </w:r>
      <w:r w:rsidR="00EF3DCD">
        <w:rPr>
          <w:lang w:val="en-US"/>
        </w:rPr>
        <w:t>St</w:t>
      </w:r>
      <w:r>
        <w:rPr>
          <w:lang w:val="en-US"/>
        </w:rPr>
        <w:t xml:space="preserve">ates and regular budget contributions in CHF and </w:t>
      </w:r>
      <w:r w:rsidR="00C81B79">
        <w:rPr>
          <w:lang w:val="en-US"/>
        </w:rPr>
        <w:t>Extra-budgetary</w:t>
      </w:r>
      <w:r>
        <w:rPr>
          <w:lang w:val="en-US"/>
        </w:rPr>
        <w:t xml:space="preserve"> contributions in other currencies than the CHF. </w:t>
      </w:r>
      <w:r w:rsidRPr="001C2A98">
        <w:rPr>
          <w:lang w:val="en-US"/>
        </w:rPr>
        <w:t>ITU does not have recourse to fixed-term exchange contracts, futures, swaps or currency options</w:t>
      </w:r>
      <w:r>
        <w:rPr>
          <w:lang w:val="en-US"/>
        </w:rPr>
        <w:t xml:space="preserve"> to hedge realized or unrealized foreign exchanges gains or losses. </w:t>
      </w:r>
      <w:r w:rsidRPr="00D073A3">
        <w:rPr>
          <w:lang w:val="en-US"/>
        </w:rPr>
        <w:t>When possible, natural hedging is applied by assigning the necessary currencies directly to the appropriate bank accounts.</w:t>
      </w:r>
    </w:p>
    <w:p w:rsidR="00EE259B" w:rsidRDefault="00DD56B0" w:rsidP="000536EE">
      <w:pPr>
        <w:pStyle w:val="enumlev1"/>
        <w:ind w:firstLine="0"/>
        <w:jc w:val="both"/>
        <w:rPr>
          <w:lang w:val="en-US"/>
        </w:rPr>
      </w:pPr>
      <w:r w:rsidRPr="004C71C0">
        <w:rPr>
          <w:lang w:val="en-US"/>
        </w:rPr>
        <w:t xml:space="preserve">It is to be noted that the </w:t>
      </w:r>
      <w:r w:rsidR="009E3B74" w:rsidRPr="004C71C0">
        <w:rPr>
          <w:lang w:val="en-US"/>
        </w:rPr>
        <w:t>new Health Insurance scheme</w:t>
      </w:r>
      <w:r w:rsidRPr="004C71C0">
        <w:rPr>
          <w:lang w:val="en-US"/>
        </w:rPr>
        <w:t xml:space="preserve"> is managed in </w:t>
      </w:r>
      <w:r w:rsidR="0028127C">
        <w:rPr>
          <w:lang w:val="en-US"/>
        </w:rPr>
        <w:t xml:space="preserve">Swiss </w:t>
      </w:r>
      <w:r w:rsidR="000536EE">
        <w:rPr>
          <w:lang w:val="en-US"/>
        </w:rPr>
        <w:t>F</w:t>
      </w:r>
      <w:r w:rsidR="0028127C">
        <w:rPr>
          <w:lang w:val="en-US"/>
        </w:rPr>
        <w:t>rancs</w:t>
      </w:r>
      <w:r w:rsidRPr="004C71C0">
        <w:rPr>
          <w:lang w:val="en-US"/>
        </w:rPr>
        <w:t>, which is significantly reducing exposure to exchange rates</w:t>
      </w:r>
      <w:r w:rsidR="009E3B74" w:rsidRPr="004C71C0">
        <w:rPr>
          <w:lang w:val="en-US"/>
        </w:rPr>
        <w:t xml:space="preserve"> fluctuation</w:t>
      </w:r>
      <w:r w:rsidR="004C71C0" w:rsidRPr="004C71C0">
        <w:rPr>
          <w:lang w:val="en-US"/>
        </w:rPr>
        <w:t>s. T</w:t>
      </w:r>
      <w:r w:rsidR="00D073A3" w:rsidRPr="004C71C0">
        <w:rPr>
          <w:lang w:val="en-US"/>
        </w:rPr>
        <w:t xml:space="preserve">he Union is </w:t>
      </w:r>
      <w:r w:rsidR="009E3B74" w:rsidRPr="004C71C0">
        <w:rPr>
          <w:lang w:val="en-US"/>
        </w:rPr>
        <w:t xml:space="preserve">still </w:t>
      </w:r>
      <w:r w:rsidR="00D073A3" w:rsidRPr="004C71C0">
        <w:rPr>
          <w:lang w:val="en-US"/>
        </w:rPr>
        <w:t xml:space="preserve">exposed to foreign exchange gains or losses arising from the </w:t>
      </w:r>
      <w:r w:rsidR="009E3B74" w:rsidRPr="004C71C0">
        <w:rPr>
          <w:lang w:val="en-US"/>
        </w:rPr>
        <w:t>payment of contributions to the UNJSPF</w:t>
      </w:r>
      <w:r w:rsidR="00D073A3" w:rsidRPr="004C71C0">
        <w:rPr>
          <w:lang w:val="en-US"/>
        </w:rPr>
        <w:t xml:space="preserve"> in US</w:t>
      </w:r>
      <w:r w:rsidR="009E3B74" w:rsidRPr="004C71C0">
        <w:rPr>
          <w:lang w:val="en-US"/>
        </w:rPr>
        <w:t>D</w:t>
      </w:r>
      <w:r w:rsidR="00D073A3" w:rsidRPr="004C71C0">
        <w:rPr>
          <w:lang w:val="en-US"/>
        </w:rPr>
        <w:t xml:space="preserve">. </w:t>
      </w:r>
      <w:r w:rsidR="004C71C0" w:rsidRPr="004C71C0">
        <w:rPr>
          <w:lang w:val="en-US"/>
        </w:rPr>
        <w:t xml:space="preserve">However, since </w:t>
      </w:r>
      <w:r w:rsidR="009E3B74" w:rsidRPr="004C71C0">
        <w:rPr>
          <w:lang w:val="en-US"/>
        </w:rPr>
        <w:t xml:space="preserve">the Professional staff contributions are defined in USD and </w:t>
      </w:r>
      <w:r w:rsidR="00322D20">
        <w:rPr>
          <w:lang w:val="en-US"/>
        </w:rPr>
        <w:t xml:space="preserve">the </w:t>
      </w:r>
      <w:r w:rsidR="009E3B74" w:rsidRPr="004C71C0">
        <w:rPr>
          <w:lang w:val="en-US"/>
        </w:rPr>
        <w:t>General Staff contribution</w:t>
      </w:r>
      <w:r w:rsidR="0028127C">
        <w:rPr>
          <w:lang w:val="en-US"/>
        </w:rPr>
        <w:t>s</w:t>
      </w:r>
      <w:r w:rsidR="009E3B74" w:rsidRPr="004C71C0">
        <w:rPr>
          <w:lang w:val="en-US"/>
        </w:rPr>
        <w:t xml:space="preserve"> are defined in CHF </w:t>
      </w:r>
      <w:r w:rsidR="0028127C">
        <w:rPr>
          <w:lang w:val="en-US"/>
        </w:rPr>
        <w:t>and</w:t>
      </w:r>
      <w:r w:rsidR="009E3B74" w:rsidRPr="004C71C0">
        <w:rPr>
          <w:lang w:val="en-US"/>
        </w:rPr>
        <w:t xml:space="preserve"> the number of staff in these </w:t>
      </w:r>
      <w:r w:rsidR="004C71C0" w:rsidRPr="004C71C0">
        <w:rPr>
          <w:lang w:val="en-US"/>
        </w:rPr>
        <w:t xml:space="preserve">two </w:t>
      </w:r>
      <w:r w:rsidR="009E3B74" w:rsidRPr="004C71C0">
        <w:rPr>
          <w:lang w:val="en-US"/>
        </w:rPr>
        <w:t>categories is equally distributed, the exchange rates fluctuation</w:t>
      </w:r>
      <w:r w:rsidR="004C71C0" w:rsidRPr="004C71C0">
        <w:rPr>
          <w:lang w:val="en-US"/>
        </w:rPr>
        <w:t>s tend</w:t>
      </w:r>
      <w:r w:rsidR="009E3B74" w:rsidRPr="004C71C0">
        <w:rPr>
          <w:lang w:val="en-US"/>
        </w:rPr>
        <w:t xml:space="preserve"> to </w:t>
      </w:r>
      <w:r w:rsidR="004C71C0" w:rsidRPr="004C71C0">
        <w:rPr>
          <w:lang w:val="en-US"/>
        </w:rPr>
        <w:t>counterbalance</w:t>
      </w:r>
      <w:r w:rsidR="009E3B74" w:rsidRPr="004C71C0">
        <w:rPr>
          <w:lang w:val="en-US"/>
        </w:rPr>
        <w:t>.</w:t>
      </w:r>
    </w:p>
    <w:p w:rsidR="00D073A3" w:rsidRDefault="00C81B79" w:rsidP="00884AD0">
      <w:pPr>
        <w:pStyle w:val="enumlev1"/>
        <w:ind w:firstLine="0"/>
        <w:jc w:val="both"/>
        <w:rPr>
          <w:lang w:val="en-US"/>
        </w:rPr>
      </w:pPr>
      <w:r>
        <w:rPr>
          <w:lang w:val="en-US"/>
        </w:rPr>
        <w:t>Extra-budgetary</w:t>
      </w:r>
      <w:r w:rsidR="00D073A3" w:rsidRPr="009E3B74">
        <w:rPr>
          <w:lang w:val="en-US"/>
        </w:rPr>
        <w:t xml:space="preserve"> contributions are managed in the currency of the contribution and converted in CHF for presentation purposes.</w:t>
      </w:r>
    </w:p>
    <w:p w:rsidR="00D073A3" w:rsidRDefault="003200DC" w:rsidP="005C41A5">
      <w:pPr>
        <w:pStyle w:val="enumlev1"/>
        <w:tabs>
          <w:tab w:val="left" w:pos="0"/>
        </w:tabs>
        <w:spacing w:before="120" w:after="120"/>
        <w:ind w:left="0" w:firstLine="0"/>
        <w:jc w:val="both"/>
        <w:rPr>
          <w:lang w:val="en-US"/>
        </w:rPr>
      </w:pPr>
      <w:r>
        <w:rPr>
          <w:lang w:val="en-US"/>
        </w:rPr>
        <w:t>f)</w:t>
      </w:r>
      <w:r>
        <w:rPr>
          <w:lang w:val="en-US"/>
        </w:rPr>
        <w:tab/>
      </w:r>
      <w:r w:rsidR="00D073A3">
        <w:rPr>
          <w:lang w:val="en-US"/>
        </w:rPr>
        <w:t>Market risk</w:t>
      </w:r>
    </w:p>
    <w:p w:rsidR="00F2562A" w:rsidRDefault="00D073A3" w:rsidP="00884AD0">
      <w:pPr>
        <w:pStyle w:val="enumlev1"/>
        <w:snapToGrid w:val="0"/>
        <w:spacing w:before="0"/>
        <w:ind w:firstLine="0"/>
        <w:jc w:val="both"/>
        <w:rPr>
          <w:lang w:val="en-US"/>
        </w:rPr>
      </w:pPr>
      <w:r>
        <w:rPr>
          <w:lang w:val="en-US"/>
        </w:rPr>
        <w:t>Market risk is the risk of changes in market prices, such as foreign-exchange rates and interest rates, affecting ITU</w:t>
      </w:r>
      <w:r w:rsidR="007A552E">
        <w:rPr>
          <w:lang w:val="en-US"/>
        </w:rPr>
        <w:t>’</w:t>
      </w:r>
      <w:r>
        <w:rPr>
          <w:lang w:val="en-US"/>
        </w:rPr>
        <w:t xml:space="preserve">s income or the value of its financial instruments holdings. The objective of market risk management is to manage and control market risk exposures within acceptable parameters, while optimizing the return on the risk. </w:t>
      </w:r>
    </w:p>
    <w:p w:rsidR="00D073A3" w:rsidRDefault="00D073A3" w:rsidP="004C23C0">
      <w:pPr>
        <w:pStyle w:val="enumlev1"/>
        <w:tabs>
          <w:tab w:val="clear" w:pos="567"/>
          <w:tab w:val="left" w:pos="0"/>
        </w:tabs>
        <w:snapToGrid w:val="0"/>
        <w:spacing w:before="120" w:after="120"/>
        <w:ind w:left="0" w:firstLine="0"/>
        <w:rPr>
          <w:lang w:val="en-US"/>
        </w:rPr>
      </w:pPr>
      <w:r>
        <w:rPr>
          <w:lang w:val="en-US"/>
        </w:rPr>
        <w:t>The maturity profile</w:t>
      </w:r>
      <w:r w:rsidR="005C41A5">
        <w:rPr>
          <w:lang w:val="en-US"/>
        </w:rPr>
        <w:t>s</w:t>
      </w:r>
      <w:r>
        <w:rPr>
          <w:lang w:val="en-US"/>
        </w:rPr>
        <w:t xml:space="preserve"> on financial instruments as at 31 December </w:t>
      </w:r>
      <w:r w:rsidR="00111BDD">
        <w:rPr>
          <w:lang w:val="en-US"/>
        </w:rPr>
        <w:t>201</w:t>
      </w:r>
      <w:r w:rsidR="004C23C0">
        <w:rPr>
          <w:lang w:val="en-US"/>
        </w:rPr>
        <w:t>8</w:t>
      </w:r>
      <w:r>
        <w:rPr>
          <w:lang w:val="en-US"/>
        </w:rPr>
        <w:t xml:space="preserve"> are as follow</w:t>
      </w:r>
      <w:r w:rsidR="005C41A5">
        <w:rPr>
          <w:lang w:val="en-US"/>
        </w:rPr>
        <w:t>s</w:t>
      </w:r>
      <w:r>
        <w:rPr>
          <w:lang w:val="en-US"/>
        </w:rPr>
        <w:t>:</w:t>
      </w:r>
    </w:p>
    <w:tbl>
      <w:tblPr>
        <w:tblStyle w:val="TableGrid"/>
        <w:tblW w:w="5000" w:type="pct"/>
        <w:tblLook w:val="04A0" w:firstRow="1" w:lastRow="0" w:firstColumn="1" w:lastColumn="0" w:noHBand="0" w:noVBand="1"/>
      </w:tblPr>
      <w:tblGrid>
        <w:gridCol w:w="2689"/>
        <w:gridCol w:w="1559"/>
        <w:gridCol w:w="1354"/>
        <w:gridCol w:w="1495"/>
        <w:gridCol w:w="1339"/>
        <w:gridCol w:w="1335"/>
      </w:tblGrid>
      <w:tr w:rsidR="009F3607" w:rsidRPr="00E51001" w:rsidTr="00AF2101">
        <w:tc>
          <w:tcPr>
            <w:tcW w:w="1376" w:type="pct"/>
          </w:tcPr>
          <w:p w:rsidR="009F3607" w:rsidRPr="00AF2101" w:rsidRDefault="009F3607" w:rsidP="00524570">
            <w:pPr>
              <w:pStyle w:val="enumlev1"/>
              <w:tabs>
                <w:tab w:val="clear" w:pos="567"/>
                <w:tab w:val="left" w:pos="0"/>
              </w:tabs>
              <w:ind w:left="0" w:firstLine="0"/>
              <w:jc w:val="center"/>
              <w:rPr>
                <w:b/>
                <w:bCs/>
                <w:sz w:val="22"/>
                <w:lang w:val="en-US"/>
              </w:rPr>
            </w:pPr>
            <w:r w:rsidRPr="00AF2101">
              <w:rPr>
                <w:b/>
                <w:bCs/>
                <w:sz w:val="22"/>
                <w:lang w:val="en-US"/>
              </w:rPr>
              <w:t>In thousands of CHF</w:t>
            </w:r>
          </w:p>
        </w:tc>
        <w:tc>
          <w:tcPr>
            <w:tcW w:w="798" w:type="pct"/>
          </w:tcPr>
          <w:p w:rsidR="009F3607" w:rsidRPr="00AF2101" w:rsidRDefault="009F3607" w:rsidP="00524570">
            <w:pPr>
              <w:pStyle w:val="enumlev1"/>
              <w:tabs>
                <w:tab w:val="clear" w:pos="567"/>
                <w:tab w:val="left" w:pos="0"/>
              </w:tabs>
              <w:ind w:left="0" w:firstLine="0"/>
              <w:jc w:val="center"/>
              <w:rPr>
                <w:b/>
                <w:bCs/>
                <w:sz w:val="22"/>
                <w:lang w:val="en-US"/>
              </w:rPr>
            </w:pPr>
            <w:r w:rsidRPr="00AF2101">
              <w:rPr>
                <w:b/>
                <w:bCs/>
                <w:sz w:val="22"/>
                <w:lang w:val="en-US"/>
              </w:rPr>
              <w:t>Weighted average interest rate</w:t>
            </w:r>
          </w:p>
        </w:tc>
        <w:tc>
          <w:tcPr>
            <w:tcW w:w="693" w:type="pct"/>
          </w:tcPr>
          <w:p w:rsidR="009F3607" w:rsidRPr="00AF2101" w:rsidRDefault="009F3607" w:rsidP="00524570">
            <w:pPr>
              <w:pStyle w:val="enumlev1"/>
              <w:tabs>
                <w:tab w:val="clear" w:pos="567"/>
                <w:tab w:val="left" w:pos="0"/>
              </w:tabs>
              <w:ind w:left="0" w:firstLine="0"/>
              <w:jc w:val="center"/>
              <w:rPr>
                <w:b/>
                <w:bCs/>
                <w:sz w:val="22"/>
                <w:lang w:val="en-US"/>
              </w:rPr>
            </w:pPr>
            <w:r w:rsidRPr="00AF2101">
              <w:rPr>
                <w:b/>
                <w:bCs/>
                <w:sz w:val="22"/>
                <w:lang w:val="en-US"/>
              </w:rPr>
              <w:t>1 year or less</w:t>
            </w:r>
          </w:p>
        </w:tc>
        <w:tc>
          <w:tcPr>
            <w:tcW w:w="765" w:type="pct"/>
          </w:tcPr>
          <w:p w:rsidR="009F3607" w:rsidRPr="00AF2101" w:rsidRDefault="009F3607" w:rsidP="00524570">
            <w:pPr>
              <w:pStyle w:val="enumlev1"/>
              <w:tabs>
                <w:tab w:val="clear" w:pos="567"/>
                <w:tab w:val="left" w:pos="0"/>
              </w:tabs>
              <w:jc w:val="center"/>
              <w:rPr>
                <w:b/>
                <w:bCs/>
                <w:sz w:val="22"/>
                <w:lang w:val="en-US"/>
              </w:rPr>
            </w:pPr>
            <w:r w:rsidRPr="00AF2101">
              <w:rPr>
                <w:b/>
                <w:bCs/>
                <w:sz w:val="22"/>
                <w:lang w:val="en-US"/>
              </w:rPr>
              <w:t>&lt;10 years</w:t>
            </w:r>
          </w:p>
        </w:tc>
        <w:tc>
          <w:tcPr>
            <w:tcW w:w="685" w:type="pct"/>
          </w:tcPr>
          <w:p w:rsidR="009F3607" w:rsidRPr="00AF2101" w:rsidRDefault="009F3607" w:rsidP="00524570">
            <w:pPr>
              <w:pStyle w:val="enumlev1"/>
              <w:tabs>
                <w:tab w:val="clear" w:pos="567"/>
                <w:tab w:val="left" w:pos="0"/>
              </w:tabs>
              <w:ind w:left="0" w:firstLine="0"/>
              <w:jc w:val="center"/>
              <w:rPr>
                <w:b/>
                <w:bCs/>
                <w:sz w:val="22"/>
                <w:lang w:val="en-US"/>
              </w:rPr>
            </w:pPr>
            <w:r w:rsidRPr="00AF2101">
              <w:rPr>
                <w:b/>
                <w:bCs/>
                <w:sz w:val="22"/>
                <w:lang w:val="en-US"/>
              </w:rPr>
              <w:t>&gt;10 years</w:t>
            </w:r>
          </w:p>
        </w:tc>
        <w:tc>
          <w:tcPr>
            <w:tcW w:w="683" w:type="pct"/>
          </w:tcPr>
          <w:p w:rsidR="009F3607" w:rsidRPr="00AF2101" w:rsidRDefault="009F3607" w:rsidP="00524570">
            <w:pPr>
              <w:pStyle w:val="enumlev1"/>
              <w:tabs>
                <w:tab w:val="clear" w:pos="567"/>
                <w:tab w:val="left" w:pos="0"/>
              </w:tabs>
              <w:ind w:left="0" w:firstLine="0"/>
              <w:jc w:val="center"/>
              <w:rPr>
                <w:b/>
                <w:bCs/>
                <w:sz w:val="22"/>
                <w:lang w:val="en-US"/>
              </w:rPr>
            </w:pPr>
            <w:r w:rsidRPr="00AF2101">
              <w:rPr>
                <w:b/>
                <w:bCs/>
                <w:sz w:val="22"/>
                <w:lang w:val="en-US"/>
              </w:rPr>
              <w:t>Total</w:t>
            </w:r>
          </w:p>
        </w:tc>
      </w:tr>
      <w:tr w:rsidR="009F3607" w:rsidRPr="00E51001" w:rsidTr="00AF2101">
        <w:tc>
          <w:tcPr>
            <w:tcW w:w="1376" w:type="pct"/>
          </w:tcPr>
          <w:p w:rsidR="009F3607" w:rsidRPr="00AF2101" w:rsidRDefault="009F3607" w:rsidP="00D073A3">
            <w:pPr>
              <w:pStyle w:val="enumlev1"/>
              <w:tabs>
                <w:tab w:val="clear" w:pos="567"/>
                <w:tab w:val="left" w:pos="0"/>
              </w:tabs>
              <w:ind w:left="0" w:firstLine="0"/>
              <w:rPr>
                <w:b/>
                <w:bCs/>
                <w:sz w:val="22"/>
                <w:lang w:val="en-US"/>
              </w:rPr>
            </w:pPr>
            <w:r w:rsidRPr="00AF2101">
              <w:rPr>
                <w:b/>
                <w:bCs/>
                <w:sz w:val="22"/>
                <w:lang w:val="en-US"/>
              </w:rPr>
              <w:t>Financial assets</w:t>
            </w:r>
          </w:p>
        </w:tc>
        <w:tc>
          <w:tcPr>
            <w:tcW w:w="798" w:type="pct"/>
          </w:tcPr>
          <w:p w:rsidR="009F3607" w:rsidRPr="00AF2101" w:rsidRDefault="009F3607" w:rsidP="003200DC">
            <w:pPr>
              <w:pStyle w:val="enumlev1"/>
              <w:tabs>
                <w:tab w:val="clear" w:pos="567"/>
                <w:tab w:val="left" w:pos="0"/>
              </w:tabs>
              <w:ind w:left="0" w:firstLine="0"/>
              <w:jc w:val="right"/>
              <w:rPr>
                <w:sz w:val="22"/>
                <w:lang w:val="en-US"/>
              </w:rPr>
            </w:pPr>
          </w:p>
        </w:tc>
        <w:tc>
          <w:tcPr>
            <w:tcW w:w="693" w:type="pct"/>
          </w:tcPr>
          <w:p w:rsidR="009F3607" w:rsidRPr="00AF2101" w:rsidRDefault="009F3607" w:rsidP="003200DC">
            <w:pPr>
              <w:pStyle w:val="enumlev1"/>
              <w:tabs>
                <w:tab w:val="clear" w:pos="567"/>
                <w:tab w:val="left" w:pos="0"/>
              </w:tabs>
              <w:ind w:left="0" w:firstLine="0"/>
              <w:jc w:val="right"/>
              <w:rPr>
                <w:sz w:val="22"/>
                <w:lang w:val="en-US"/>
              </w:rPr>
            </w:pPr>
          </w:p>
        </w:tc>
        <w:tc>
          <w:tcPr>
            <w:tcW w:w="765" w:type="pct"/>
          </w:tcPr>
          <w:p w:rsidR="009F3607" w:rsidRPr="00AF2101" w:rsidRDefault="009F3607" w:rsidP="003200DC">
            <w:pPr>
              <w:pStyle w:val="enumlev1"/>
              <w:tabs>
                <w:tab w:val="clear" w:pos="567"/>
                <w:tab w:val="left" w:pos="0"/>
              </w:tabs>
              <w:ind w:left="0" w:firstLine="0"/>
              <w:jc w:val="right"/>
              <w:rPr>
                <w:sz w:val="22"/>
                <w:lang w:val="en-US"/>
              </w:rPr>
            </w:pPr>
          </w:p>
        </w:tc>
        <w:tc>
          <w:tcPr>
            <w:tcW w:w="685" w:type="pct"/>
          </w:tcPr>
          <w:p w:rsidR="009F3607" w:rsidRPr="00AF2101" w:rsidRDefault="009F3607" w:rsidP="003200DC">
            <w:pPr>
              <w:pStyle w:val="enumlev1"/>
              <w:tabs>
                <w:tab w:val="clear" w:pos="567"/>
                <w:tab w:val="left" w:pos="0"/>
              </w:tabs>
              <w:ind w:left="0" w:firstLine="0"/>
              <w:jc w:val="right"/>
              <w:rPr>
                <w:sz w:val="22"/>
                <w:lang w:val="en-US"/>
              </w:rPr>
            </w:pPr>
          </w:p>
        </w:tc>
        <w:tc>
          <w:tcPr>
            <w:tcW w:w="683" w:type="pct"/>
          </w:tcPr>
          <w:p w:rsidR="009F3607" w:rsidRPr="00AF2101" w:rsidRDefault="009F3607" w:rsidP="003200DC">
            <w:pPr>
              <w:pStyle w:val="enumlev1"/>
              <w:tabs>
                <w:tab w:val="clear" w:pos="567"/>
                <w:tab w:val="left" w:pos="0"/>
              </w:tabs>
              <w:ind w:left="0" w:firstLine="0"/>
              <w:jc w:val="right"/>
              <w:rPr>
                <w:sz w:val="22"/>
                <w:lang w:val="en-US"/>
              </w:rPr>
            </w:pPr>
          </w:p>
        </w:tc>
      </w:tr>
      <w:tr w:rsidR="001F0354" w:rsidRPr="00E51001" w:rsidTr="00AF2101">
        <w:tc>
          <w:tcPr>
            <w:tcW w:w="1376" w:type="pct"/>
          </w:tcPr>
          <w:p w:rsidR="001F0354" w:rsidRPr="00AF2101" w:rsidRDefault="001F0354" w:rsidP="001F0354">
            <w:pPr>
              <w:pStyle w:val="enumlev1"/>
              <w:tabs>
                <w:tab w:val="clear" w:pos="567"/>
                <w:tab w:val="left" w:pos="0"/>
              </w:tabs>
              <w:ind w:left="0" w:firstLine="0"/>
              <w:rPr>
                <w:sz w:val="22"/>
                <w:lang w:val="en-US"/>
              </w:rPr>
            </w:pPr>
            <w:r w:rsidRPr="00AF2101">
              <w:rPr>
                <w:sz w:val="22"/>
                <w:lang w:val="en-US"/>
              </w:rPr>
              <w:t>Investments</w:t>
            </w:r>
          </w:p>
        </w:tc>
        <w:tc>
          <w:tcPr>
            <w:tcW w:w="798" w:type="pct"/>
          </w:tcPr>
          <w:p w:rsidR="001F0354" w:rsidRPr="00AF2101" w:rsidRDefault="001F0354" w:rsidP="001F0354">
            <w:pPr>
              <w:pStyle w:val="enumlev1"/>
              <w:tabs>
                <w:tab w:val="clear" w:pos="567"/>
                <w:tab w:val="left" w:pos="0"/>
              </w:tabs>
              <w:ind w:left="0" w:firstLine="0"/>
              <w:jc w:val="right"/>
              <w:rPr>
                <w:sz w:val="22"/>
                <w:highlight w:val="yellow"/>
                <w:lang w:val="en-US"/>
              </w:rPr>
            </w:pPr>
          </w:p>
        </w:tc>
        <w:tc>
          <w:tcPr>
            <w:tcW w:w="693" w:type="pct"/>
          </w:tcPr>
          <w:p w:rsidR="001F0354" w:rsidRPr="00AF2101" w:rsidRDefault="002F699A" w:rsidP="002F699A">
            <w:pPr>
              <w:pStyle w:val="enumlev1"/>
              <w:tabs>
                <w:tab w:val="clear" w:pos="567"/>
                <w:tab w:val="left" w:pos="0"/>
              </w:tabs>
              <w:ind w:left="0" w:firstLine="0"/>
              <w:jc w:val="right"/>
              <w:rPr>
                <w:sz w:val="22"/>
                <w:lang w:val="en-US"/>
              </w:rPr>
            </w:pPr>
            <w:r w:rsidRPr="00AF2101">
              <w:rPr>
                <w:sz w:val="22"/>
                <w:lang w:val="en-US"/>
              </w:rPr>
              <w:t>48</w:t>
            </w:r>
            <w:r w:rsidR="001F0354" w:rsidRPr="00AF2101">
              <w:rPr>
                <w:sz w:val="22"/>
                <w:lang w:val="en-US"/>
              </w:rPr>
              <w:t>’</w:t>
            </w:r>
            <w:r w:rsidRPr="00AF2101">
              <w:rPr>
                <w:sz w:val="22"/>
                <w:lang w:val="en-US"/>
              </w:rPr>
              <w:t>996</w:t>
            </w:r>
          </w:p>
        </w:tc>
        <w:tc>
          <w:tcPr>
            <w:tcW w:w="765" w:type="pct"/>
          </w:tcPr>
          <w:p w:rsidR="001F0354" w:rsidRPr="00AF2101" w:rsidRDefault="001F0354" w:rsidP="001F0354">
            <w:pPr>
              <w:pStyle w:val="enumlev1"/>
              <w:tabs>
                <w:tab w:val="clear" w:pos="567"/>
                <w:tab w:val="left" w:pos="0"/>
              </w:tabs>
              <w:ind w:left="0" w:firstLine="0"/>
              <w:jc w:val="right"/>
              <w:rPr>
                <w:sz w:val="22"/>
                <w:lang w:val="en-US"/>
              </w:rPr>
            </w:pPr>
            <w:r w:rsidRPr="00AF2101">
              <w:rPr>
                <w:sz w:val="22"/>
                <w:lang w:val="en-US"/>
              </w:rPr>
              <w:t>0</w:t>
            </w:r>
          </w:p>
        </w:tc>
        <w:tc>
          <w:tcPr>
            <w:tcW w:w="685" w:type="pct"/>
          </w:tcPr>
          <w:p w:rsidR="001F0354" w:rsidRPr="00AF2101" w:rsidRDefault="001F0354" w:rsidP="001F0354">
            <w:pPr>
              <w:pStyle w:val="enumlev1"/>
              <w:tabs>
                <w:tab w:val="clear" w:pos="567"/>
                <w:tab w:val="left" w:pos="0"/>
              </w:tabs>
              <w:ind w:left="0" w:firstLine="0"/>
              <w:jc w:val="right"/>
              <w:rPr>
                <w:sz w:val="22"/>
                <w:lang w:val="en-US"/>
              </w:rPr>
            </w:pPr>
            <w:r w:rsidRPr="00AF2101">
              <w:rPr>
                <w:sz w:val="22"/>
                <w:lang w:val="en-US"/>
              </w:rPr>
              <w:t>0</w:t>
            </w:r>
          </w:p>
        </w:tc>
        <w:tc>
          <w:tcPr>
            <w:tcW w:w="683" w:type="pct"/>
          </w:tcPr>
          <w:p w:rsidR="001F0354" w:rsidRPr="00AF2101" w:rsidRDefault="00C25DD6" w:rsidP="00C25DD6">
            <w:pPr>
              <w:pStyle w:val="enumlev1"/>
              <w:tabs>
                <w:tab w:val="clear" w:pos="567"/>
                <w:tab w:val="left" w:pos="0"/>
              </w:tabs>
              <w:ind w:left="0" w:firstLine="0"/>
              <w:jc w:val="right"/>
              <w:rPr>
                <w:sz w:val="22"/>
                <w:lang w:val="en-US"/>
              </w:rPr>
            </w:pPr>
            <w:r w:rsidRPr="00AF2101">
              <w:rPr>
                <w:sz w:val="22"/>
                <w:lang w:val="en-US"/>
              </w:rPr>
              <w:t>48</w:t>
            </w:r>
            <w:r w:rsidR="001F0354" w:rsidRPr="00AF2101">
              <w:rPr>
                <w:sz w:val="22"/>
                <w:lang w:val="en-US"/>
              </w:rPr>
              <w:t>’</w:t>
            </w:r>
            <w:r w:rsidRPr="00AF2101">
              <w:rPr>
                <w:sz w:val="22"/>
                <w:lang w:val="en-US"/>
              </w:rPr>
              <w:t>996</w:t>
            </w:r>
          </w:p>
        </w:tc>
      </w:tr>
      <w:tr w:rsidR="001F0354" w:rsidRPr="00E51001" w:rsidTr="00AF2101">
        <w:tc>
          <w:tcPr>
            <w:tcW w:w="1376" w:type="pct"/>
          </w:tcPr>
          <w:p w:rsidR="001F0354" w:rsidRPr="00AF2101" w:rsidRDefault="001F0354" w:rsidP="001F0354">
            <w:pPr>
              <w:pStyle w:val="enumlev1"/>
              <w:tabs>
                <w:tab w:val="clear" w:pos="567"/>
                <w:tab w:val="left" w:pos="0"/>
              </w:tabs>
              <w:ind w:left="0" w:firstLine="0"/>
              <w:rPr>
                <w:sz w:val="22"/>
                <w:lang w:val="en-US"/>
              </w:rPr>
            </w:pPr>
            <w:r w:rsidRPr="00AF2101">
              <w:rPr>
                <w:sz w:val="22"/>
                <w:lang w:val="en-US"/>
              </w:rPr>
              <w:t>Cash and cash equivalent</w:t>
            </w:r>
          </w:p>
        </w:tc>
        <w:tc>
          <w:tcPr>
            <w:tcW w:w="798" w:type="pct"/>
          </w:tcPr>
          <w:p w:rsidR="001F0354" w:rsidRPr="00AF2101" w:rsidRDefault="001F0354" w:rsidP="001F0354">
            <w:pPr>
              <w:pStyle w:val="enumlev1"/>
              <w:tabs>
                <w:tab w:val="clear" w:pos="567"/>
                <w:tab w:val="left" w:pos="0"/>
              </w:tabs>
              <w:ind w:left="0" w:firstLine="0"/>
              <w:jc w:val="right"/>
              <w:rPr>
                <w:sz w:val="22"/>
                <w:highlight w:val="yellow"/>
                <w:lang w:val="en-US"/>
              </w:rPr>
            </w:pPr>
          </w:p>
        </w:tc>
        <w:tc>
          <w:tcPr>
            <w:tcW w:w="693" w:type="pct"/>
          </w:tcPr>
          <w:p w:rsidR="001F0354" w:rsidRPr="00AF2101" w:rsidRDefault="001F0354" w:rsidP="002F699A">
            <w:pPr>
              <w:pStyle w:val="enumlev1"/>
              <w:tabs>
                <w:tab w:val="clear" w:pos="567"/>
                <w:tab w:val="left" w:pos="0"/>
              </w:tabs>
              <w:ind w:left="0" w:firstLine="0"/>
              <w:jc w:val="right"/>
              <w:rPr>
                <w:sz w:val="22"/>
                <w:lang w:val="en-US"/>
              </w:rPr>
            </w:pPr>
            <w:r w:rsidRPr="00AF2101">
              <w:rPr>
                <w:sz w:val="22"/>
                <w:lang w:val="en-US"/>
              </w:rPr>
              <w:t>1</w:t>
            </w:r>
            <w:r w:rsidR="002F699A" w:rsidRPr="00AF2101">
              <w:rPr>
                <w:sz w:val="22"/>
                <w:lang w:val="en-US"/>
              </w:rPr>
              <w:t>61</w:t>
            </w:r>
            <w:r w:rsidRPr="00AF2101">
              <w:rPr>
                <w:sz w:val="22"/>
                <w:lang w:val="en-US"/>
              </w:rPr>
              <w:t>’</w:t>
            </w:r>
            <w:r w:rsidR="002F699A" w:rsidRPr="00AF2101">
              <w:rPr>
                <w:sz w:val="22"/>
                <w:lang w:val="en-US"/>
              </w:rPr>
              <w:t>826</w:t>
            </w:r>
          </w:p>
        </w:tc>
        <w:tc>
          <w:tcPr>
            <w:tcW w:w="765" w:type="pct"/>
          </w:tcPr>
          <w:p w:rsidR="001F0354" w:rsidRPr="00AF2101" w:rsidRDefault="001F0354" w:rsidP="001F0354">
            <w:pPr>
              <w:pStyle w:val="enumlev1"/>
              <w:tabs>
                <w:tab w:val="clear" w:pos="567"/>
                <w:tab w:val="left" w:pos="0"/>
              </w:tabs>
              <w:ind w:left="0" w:firstLine="0"/>
              <w:jc w:val="right"/>
              <w:rPr>
                <w:sz w:val="22"/>
                <w:lang w:val="en-US"/>
              </w:rPr>
            </w:pPr>
            <w:r w:rsidRPr="00AF2101">
              <w:rPr>
                <w:sz w:val="22"/>
                <w:lang w:val="en-US"/>
              </w:rPr>
              <w:t>0</w:t>
            </w:r>
          </w:p>
        </w:tc>
        <w:tc>
          <w:tcPr>
            <w:tcW w:w="685" w:type="pct"/>
          </w:tcPr>
          <w:p w:rsidR="001F0354" w:rsidRPr="00AF2101" w:rsidRDefault="001F0354" w:rsidP="001F0354">
            <w:pPr>
              <w:pStyle w:val="enumlev1"/>
              <w:tabs>
                <w:tab w:val="clear" w:pos="567"/>
                <w:tab w:val="left" w:pos="0"/>
              </w:tabs>
              <w:ind w:left="0" w:firstLine="0"/>
              <w:jc w:val="right"/>
              <w:rPr>
                <w:sz w:val="22"/>
                <w:lang w:val="en-US"/>
              </w:rPr>
            </w:pPr>
            <w:r w:rsidRPr="00AF2101">
              <w:rPr>
                <w:sz w:val="22"/>
                <w:lang w:val="en-US"/>
              </w:rPr>
              <w:t>0</w:t>
            </w:r>
          </w:p>
        </w:tc>
        <w:tc>
          <w:tcPr>
            <w:tcW w:w="683" w:type="pct"/>
          </w:tcPr>
          <w:p w:rsidR="001F0354" w:rsidRPr="00AF2101" w:rsidRDefault="001F0354" w:rsidP="00C25DD6">
            <w:pPr>
              <w:pStyle w:val="enumlev1"/>
              <w:tabs>
                <w:tab w:val="clear" w:pos="567"/>
                <w:tab w:val="left" w:pos="0"/>
              </w:tabs>
              <w:ind w:left="0" w:firstLine="0"/>
              <w:jc w:val="right"/>
              <w:rPr>
                <w:sz w:val="22"/>
                <w:lang w:val="en-US"/>
              </w:rPr>
            </w:pPr>
            <w:r w:rsidRPr="00AF2101">
              <w:rPr>
                <w:sz w:val="22"/>
                <w:lang w:val="en-US"/>
              </w:rPr>
              <w:t>1</w:t>
            </w:r>
            <w:r w:rsidR="00C25DD6" w:rsidRPr="00AF2101">
              <w:rPr>
                <w:sz w:val="22"/>
                <w:lang w:val="en-US"/>
              </w:rPr>
              <w:t>61</w:t>
            </w:r>
            <w:r w:rsidRPr="00AF2101">
              <w:rPr>
                <w:sz w:val="22"/>
                <w:lang w:val="en-US"/>
              </w:rPr>
              <w:t>’</w:t>
            </w:r>
            <w:r w:rsidR="00C25DD6" w:rsidRPr="00AF2101">
              <w:rPr>
                <w:sz w:val="22"/>
                <w:lang w:val="en-US"/>
              </w:rPr>
              <w:t>826</w:t>
            </w:r>
          </w:p>
        </w:tc>
      </w:tr>
      <w:tr w:rsidR="001F0354" w:rsidRPr="00E51001" w:rsidTr="00AF2101">
        <w:tc>
          <w:tcPr>
            <w:tcW w:w="1376" w:type="pct"/>
          </w:tcPr>
          <w:p w:rsidR="001F0354" w:rsidRPr="00AF2101" w:rsidRDefault="001F0354" w:rsidP="001F0354">
            <w:pPr>
              <w:pStyle w:val="enumlev1"/>
              <w:tabs>
                <w:tab w:val="clear" w:pos="567"/>
                <w:tab w:val="left" w:pos="0"/>
              </w:tabs>
              <w:ind w:left="0" w:firstLine="0"/>
              <w:rPr>
                <w:b/>
                <w:bCs/>
                <w:sz w:val="22"/>
                <w:lang w:val="en-US"/>
              </w:rPr>
            </w:pPr>
            <w:r w:rsidRPr="00AF2101">
              <w:rPr>
                <w:b/>
                <w:bCs/>
                <w:sz w:val="22"/>
                <w:lang w:val="en-US"/>
              </w:rPr>
              <w:t>Total financial assets</w:t>
            </w:r>
          </w:p>
        </w:tc>
        <w:tc>
          <w:tcPr>
            <w:tcW w:w="798" w:type="pct"/>
          </w:tcPr>
          <w:p w:rsidR="001F0354" w:rsidRPr="00AF2101" w:rsidRDefault="001F0354" w:rsidP="001F0354">
            <w:pPr>
              <w:pStyle w:val="enumlev1"/>
              <w:tabs>
                <w:tab w:val="clear" w:pos="567"/>
                <w:tab w:val="left" w:pos="0"/>
              </w:tabs>
              <w:ind w:left="0" w:firstLine="0"/>
              <w:jc w:val="right"/>
              <w:rPr>
                <w:sz w:val="22"/>
                <w:highlight w:val="yellow"/>
                <w:lang w:val="en-US"/>
              </w:rPr>
            </w:pPr>
          </w:p>
        </w:tc>
        <w:tc>
          <w:tcPr>
            <w:tcW w:w="693" w:type="pct"/>
          </w:tcPr>
          <w:p w:rsidR="001F0354" w:rsidRPr="00AF2101" w:rsidRDefault="002F699A" w:rsidP="002F699A">
            <w:pPr>
              <w:pStyle w:val="enumlev1"/>
              <w:tabs>
                <w:tab w:val="clear" w:pos="567"/>
                <w:tab w:val="left" w:pos="0"/>
              </w:tabs>
              <w:ind w:left="0" w:firstLine="0"/>
              <w:jc w:val="right"/>
              <w:rPr>
                <w:sz w:val="22"/>
                <w:lang w:val="en-US"/>
              </w:rPr>
            </w:pPr>
            <w:r w:rsidRPr="00AF2101">
              <w:rPr>
                <w:sz w:val="22"/>
                <w:lang w:val="en-US"/>
              </w:rPr>
              <w:t>210</w:t>
            </w:r>
            <w:r w:rsidR="001F0354" w:rsidRPr="00AF2101">
              <w:rPr>
                <w:sz w:val="22"/>
                <w:lang w:val="en-US"/>
              </w:rPr>
              <w:t>’</w:t>
            </w:r>
            <w:r w:rsidRPr="00AF2101">
              <w:rPr>
                <w:sz w:val="22"/>
                <w:lang w:val="en-US"/>
              </w:rPr>
              <w:t>822</w:t>
            </w:r>
          </w:p>
        </w:tc>
        <w:tc>
          <w:tcPr>
            <w:tcW w:w="765" w:type="pct"/>
          </w:tcPr>
          <w:p w:rsidR="001F0354" w:rsidRPr="00AF2101" w:rsidRDefault="001F0354" w:rsidP="001F0354">
            <w:pPr>
              <w:pStyle w:val="enumlev1"/>
              <w:tabs>
                <w:tab w:val="clear" w:pos="567"/>
                <w:tab w:val="left" w:pos="0"/>
              </w:tabs>
              <w:ind w:left="0" w:firstLine="0"/>
              <w:jc w:val="right"/>
              <w:rPr>
                <w:sz w:val="22"/>
                <w:lang w:val="en-US"/>
              </w:rPr>
            </w:pPr>
            <w:r w:rsidRPr="00AF2101">
              <w:rPr>
                <w:sz w:val="22"/>
                <w:lang w:val="en-US"/>
              </w:rPr>
              <w:t>0</w:t>
            </w:r>
          </w:p>
        </w:tc>
        <w:tc>
          <w:tcPr>
            <w:tcW w:w="685" w:type="pct"/>
          </w:tcPr>
          <w:p w:rsidR="001F0354" w:rsidRPr="00AF2101" w:rsidRDefault="001F0354" w:rsidP="001F0354">
            <w:pPr>
              <w:pStyle w:val="enumlev1"/>
              <w:tabs>
                <w:tab w:val="clear" w:pos="567"/>
                <w:tab w:val="left" w:pos="0"/>
              </w:tabs>
              <w:ind w:left="0" w:firstLine="0"/>
              <w:jc w:val="right"/>
              <w:rPr>
                <w:sz w:val="22"/>
                <w:lang w:val="en-US"/>
              </w:rPr>
            </w:pPr>
            <w:r w:rsidRPr="00AF2101">
              <w:rPr>
                <w:sz w:val="22"/>
                <w:lang w:val="en-US"/>
              </w:rPr>
              <w:t>0</w:t>
            </w:r>
          </w:p>
        </w:tc>
        <w:tc>
          <w:tcPr>
            <w:tcW w:w="683" w:type="pct"/>
          </w:tcPr>
          <w:p w:rsidR="001F0354" w:rsidRPr="00AF2101" w:rsidRDefault="00C25DD6" w:rsidP="00C25DD6">
            <w:pPr>
              <w:pStyle w:val="enumlev1"/>
              <w:tabs>
                <w:tab w:val="clear" w:pos="567"/>
                <w:tab w:val="left" w:pos="0"/>
              </w:tabs>
              <w:ind w:left="0" w:firstLine="0"/>
              <w:jc w:val="right"/>
              <w:rPr>
                <w:sz w:val="22"/>
                <w:lang w:val="en-US"/>
              </w:rPr>
            </w:pPr>
            <w:r w:rsidRPr="00AF2101">
              <w:rPr>
                <w:sz w:val="22"/>
                <w:lang w:val="en-US"/>
              </w:rPr>
              <w:t>210</w:t>
            </w:r>
            <w:r w:rsidR="001F0354" w:rsidRPr="00AF2101">
              <w:rPr>
                <w:sz w:val="22"/>
                <w:lang w:val="en-US"/>
              </w:rPr>
              <w:t>’</w:t>
            </w:r>
            <w:r w:rsidRPr="00AF2101">
              <w:rPr>
                <w:sz w:val="22"/>
                <w:lang w:val="en-US"/>
              </w:rPr>
              <w:t>822</w:t>
            </w:r>
          </w:p>
        </w:tc>
      </w:tr>
      <w:tr w:rsidR="009F3607" w:rsidRPr="00E51001" w:rsidTr="00AF2101">
        <w:tc>
          <w:tcPr>
            <w:tcW w:w="1376" w:type="pct"/>
          </w:tcPr>
          <w:p w:rsidR="009F3607" w:rsidRPr="00AF2101" w:rsidRDefault="009F3607" w:rsidP="00D073A3">
            <w:pPr>
              <w:pStyle w:val="enumlev1"/>
              <w:tabs>
                <w:tab w:val="clear" w:pos="567"/>
                <w:tab w:val="left" w:pos="0"/>
              </w:tabs>
              <w:ind w:left="0" w:firstLine="0"/>
              <w:rPr>
                <w:b/>
                <w:bCs/>
                <w:sz w:val="22"/>
                <w:lang w:val="en-US"/>
              </w:rPr>
            </w:pPr>
            <w:r w:rsidRPr="00AF2101">
              <w:rPr>
                <w:b/>
                <w:bCs/>
                <w:sz w:val="22"/>
                <w:lang w:val="en-US"/>
              </w:rPr>
              <w:t>Financial liabilities</w:t>
            </w:r>
          </w:p>
        </w:tc>
        <w:tc>
          <w:tcPr>
            <w:tcW w:w="798" w:type="pct"/>
          </w:tcPr>
          <w:p w:rsidR="009F3607" w:rsidRPr="00AF2101" w:rsidRDefault="009F3607" w:rsidP="003200DC">
            <w:pPr>
              <w:pStyle w:val="enumlev1"/>
              <w:tabs>
                <w:tab w:val="clear" w:pos="567"/>
                <w:tab w:val="left" w:pos="0"/>
              </w:tabs>
              <w:ind w:left="0" w:firstLine="0"/>
              <w:jc w:val="right"/>
              <w:rPr>
                <w:sz w:val="22"/>
                <w:highlight w:val="yellow"/>
                <w:lang w:val="en-US"/>
              </w:rPr>
            </w:pPr>
          </w:p>
        </w:tc>
        <w:tc>
          <w:tcPr>
            <w:tcW w:w="693" w:type="pct"/>
          </w:tcPr>
          <w:p w:rsidR="009F3607" w:rsidRPr="00AF2101" w:rsidRDefault="009F3607" w:rsidP="003200DC">
            <w:pPr>
              <w:pStyle w:val="enumlev1"/>
              <w:tabs>
                <w:tab w:val="clear" w:pos="567"/>
                <w:tab w:val="left" w:pos="0"/>
              </w:tabs>
              <w:ind w:left="0" w:firstLine="0"/>
              <w:jc w:val="right"/>
              <w:rPr>
                <w:sz w:val="22"/>
                <w:lang w:val="en-US"/>
              </w:rPr>
            </w:pPr>
          </w:p>
        </w:tc>
        <w:tc>
          <w:tcPr>
            <w:tcW w:w="765" w:type="pct"/>
          </w:tcPr>
          <w:p w:rsidR="009F3607" w:rsidRPr="00AF2101" w:rsidRDefault="009F3607" w:rsidP="003200DC">
            <w:pPr>
              <w:pStyle w:val="enumlev1"/>
              <w:tabs>
                <w:tab w:val="clear" w:pos="567"/>
                <w:tab w:val="left" w:pos="0"/>
              </w:tabs>
              <w:ind w:left="0" w:firstLine="0"/>
              <w:jc w:val="right"/>
              <w:rPr>
                <w:sz w:val="22"/>
                <w:lang w:val="en-US"/>
              </w:rPr>
            </w:pPr>
          </w:p>
        </w:tc>
        <w:tc>
          <w:tcPr>
            <w:tcW w:w="685" w:type="pct"/>
          </w:tcPr>
          <w:p w:rsidR="009F3607" w:rsidRPr="00AF2101" w:rsidRDefault="009F3607" w:rsidP="003200DC">
            <w:pPr>
              <w:pStyle w:val="enumlev1"/>
              <w:tabs>
                <w:tab w:val="clear" w:pos="567"/>
                <w:tab w:val="left" w:pos="0"/>
              </w:tabs>
              <w:ind w:left="0" w:firstLine="0"/>
              <w:jc w:val="right"/>
              <w:rPr>
                <w:sz w:val="22"/>
                <w:lang w:val="en-US"/>
              </w:rPr>
            </w:pPr>
          </w:p>
        </w:tc>
        <w:tc>
          <w:tcPr>
            <w:tcW w:w="683" w:type="pct"/>
          </w:tcPr>
          <w:p w:rsidR="009F3607" w:rsidRPr="00AF2101" w:rsidRDefault="009F3607" w:rsidP="003200DC">
            <w:pPr>
              <w:pStyle w:val="enumlev1"/>
              <w:tabs>
                <w:tab w:val="clear" w:pos="567"/>
                <w:tab w:val="left" w:pos="0"/>
              </w:tabs>
              <w:ind w:left="0" w:firstLine="0"/>
              <w:jc w:val="right"/>
              <w:rPr>
                <w:sz w:val="22"/>
                <w:lang w:val="en-US"/>
              </w:rPr>
            </w:pPr>
          </w:p>
        </w:tc>
      </w:tr>
      <w:tr w:rsidR="009E3B74" w:rsidRPr="00E51001" w:rsidTr="00AF2101">
        <w:tc>
          <w:tcPr>
            <w:tcW w:w="1376" w:type="pct"/>
          </w:tcPr>
          <w:p w:rsidR="009E3B74" w:rsidRPr="00AF2101" w:rsidRDefault="009E3B74" w:rsidP="00D073A3">
            <w:pPr>
              <w:pStyle w:val="enumlev1"/>
              <w:tabs>
                <w:tab w:val="clear" w:pos="567"/>
                <w:tab w:val="left" w:pos="0"/>
              </w:tabs>
              <w:ind w:left="0" w:firstLine="0"/>
              <w:rPr>
                <w:sz w:val="22"/>
                <w:lang w:val="en-US"/>
              </w:rPr>
            </w:pPr>
            <w:r w:rsidRPr="00AF2101">
              <w:rPr>
                <w:sz w:val="22"/>
                <w:lang w:val="en-US"/>
              </w:rPr>
              <w:t>Borrowings</w:t>
            </w:r>
          </w:p>
        </w:tc>
        <w:tc>
          <w:tcPr>
            <w:tcW w:w="798" w:type="pct"/>
          </w:tcPr>
          <w:p w:rsidR="009E3B74" w:rsidRPr="00AF2101" w:rsidRDefault="00BB0F0D" w:rsidP="003200DC">
            <w:pPr>
              <w:pStyle w:val="enumlev1"/>
              <w:tabs>
                <w:tab w:val="clear" w:pos="567"/>
                <w:tab w:val="left" w:pos="0"/>
              </w:tabs>
              <w:ind w:left="0" w:firstLine="0"/>
              <w:jc w:val="right"/>
              <w:rPr>
                <w:sz w:val="22"/>
                <w:lang w:val="en-US"/>
              </w:rPr>
            </w:pPr>
            <w:r w:rsidRPr="00AF2101">
              <w:rPr>
                <w:sz w:val="22"/>
                <w:lang w:val="en-US"/>
              </w:rPr>
              <w:t>0%</w:t>
            </w:r>
          </w:p>
        </w:tc>
        <w:tc>
          <w:tcPr>
            <w:tcW w:w="693" w:type="pct"/>
          </w:tcPr>
          <w:p w:rsidR="009E3B74" w:rsidRPr="00AF2101" w:rsidRDefault="009E3B74" w:rsidP="003200DC">
            <w:pPr>
              <w:pStyle w:val="enumlev1"/>
              <w:tabs>
                <w:tab w:val="clear" w:pos="567"/>
                <w:tab w:val="left" w:pos="0"/>
              </w:tabs>
              <w:ind w:left="0" w:firstLine="0"/>
              <w:jc w:val="right"/>
              <w:rPr>
                <w:sz w:val="22"/>
                <w:lang w:val="en-US"/>
              </w:rPr>
            </w:pPr>
            <w:r w:rsidRPr="00AF2101">
              <w:rPr>
                <w:sz w:val="22"/>
                <w:lang w:val="en-US"/>
              </w:rPr>
              <w:t>1’493</w:t>
            </w:r>
          </w:p>
        </w:tc>
        <w:tc>
          <w:tcPr>
            <w:tcW w:w="765" w:type="pct"/>
          </w:tcPr>
          <w:p w:rsidR="009E3B74" w:rsidRPr="00AF2101" w:rsidRDefault="00BB0F0D" w:rsidP="00F71A5B">
            <w:pPr>
              <w:pStyle w:val="enumlev1"/>
              <w:tabs>
                <w:tab w:val="clear" w:pos="567"/>
                <w:tab w:val="left" w:pos="0"/>
              </w:tabs>
              <w:ind w:left="0" w:firstLine="0"/>
              <w:jc w:val="right"/>
              <w:rPr>
                <w:sz w:val="22"/>
                <w:lang w:val="en-US"/>
              </w:rPr>
            </w:pPr>
            <w:r w:rsidRPr="00AF2101">
              <w:rPr>
                <w:sz w:val="22"/>
                <w:lang w:val="en-US"/>
              </w:rPr>
              <w:t>1</w:t>
            </w:r>
            <w:r w:rsidR="00F71A5B" w:rsidRPr="00AF2101">
              <w:rPr>
                <w:sz w:val="22"/>
                <w:lang w:val="en-US"/>
              </w:rPr>
              <w:t>4</w:t>
            </w:r>
            <w:r w:rsidRPr="00AF2101">
              <w:rPr>
                <w:sz w:val="22"/>
                <w:lang w:val="en-US"/>
              </w:rPr>
              <w:t>’</w:t>
            </w:r>
            <w:r w:rsidR="003C2DE9" w:rsidRPr="00AF2101">
              <w:rPr>
                <w:sz w:val="22"/>
                <w:lang w:val="en-US"/>
              </w:rPr>
              <w:t>219</w:t>
            </w:r>
          </w:p>
        </w:tc>
        <w:tc>
          <w:tcPr>
            <w:tcW w:w="685" w:type="pct"/>
          </w:tcPr>
          <w:p w:rsidR="009E3B74" w:rsidRPr="00AF2101" w:rsidRDefault="00F71A5B" w:rsidP="00C25DD6">
            <w:pPr>
              <w:pStyle w:val="enumlev1"/>
              <w:tabs>
                <w:tab w:val="clear" w:pos="567"/>
                <w:tab w:val="left" w:pos="0"/>
              </w:tabs>
              <w:ind w:left="0" w:firstLine="0"/>
              <w:jc w:val="right"/>
              <w:rPr>
                <w:sz w:val="22"/>
                <w:lang w:val="en-US"/>
              </w:rPr>
            </w:pPr>
            <w:r w:rsidRPr="00AF2101">
              <w:rPr>
                <w:sz w:val="22"/>
                <w:lang w:val="en-US"/>
              </w:rPr>
              <w:t>2</w:t>
            </w:r>
            <w:r w:rsidR="003C2DE9" w:rsidRPr="00AF2101">
              <w:rPr>
                <w:sz w:val="22"/>
                <w:lang w:val="en-US"/>
              </w:rPr>
              <w:t>7</w:t>
            </w:r>
            <w:r w:rsidR="00BB0F0D" w:rsidRPr="00AF2101">
              <w:rPr>
                <w:sz w:val="22"/>
                <w:lang w:val="en-US"/>
              </w:rPr>
              <w:t>’</w:t>
            </w:r>
            <w:r w:rsidR="00C25DD6" w:rsidRPr="00AF2101">
              <w:rPr>
                <w:sz w:val="22"/>
                <w:lang w:val="en-US"/>
              </w:rPr>
              <w:t>481</w:t>
            </w:r>
          </w:p>
        </w:tc>
        <w:tc>
          <w:tcPr>
            <w:tcW w:w="683" w:type="pct"/>
          </w:tcPr>
          <w:p w:rsidR="009E3B74" w:rsidRPr="00AF2101" w:rsidRDefault="00BB0F0D" w:rsidP="00C25DD6">
            <w:pPr>
              <w:pStyle w:val="enumlev1"/>
              <w:tabs>
                <w:tab w:val="clear" w:pos="567"/>
                <w:tab w:val="left" w:pos="0"/>
              </w:tabs>
              <w:ind w:left="0" w:firstLine="0"/>
              <w:jc w:val="right"/>
              <w:rPr>
                <w:sz w:val="22"/>
                <w:lang w:val="en-US"/>
              </w:rPr>
            </w:pPr>
            <w:r w:rsidRPr="00AF2101">
              <w:rPr>
                <w:sz w:val="22"/>
                <w:lang w:val="en-US"/>
              </w:rPr>
              <w:t>4</w:t>
            </w:r>
            <w:r w:rsidR="00F71A5B" w:rsidRPr="00AF2101">
              <w:rPr>
                <w:sz w:val="22"/>
                <w:lang w:val="en-US"/>
              </w:rPr>
              <w:t>3</w:t>
            </w:r>
            <w:r w:rsidRPr="00AF2101">
              <w:rPr>
                <w:sz w:val="22"/>
                <w:lang w:val="en-US"/>
              </w:rPr>
              <w:t>’</w:t>
            </w:r>
            <w:r w:rsidR="00C25DD6" w:rsidRPr="00AF2101">
              <w:rPr>
                <w:sz w:val="22"/>
                <w:lang w:val="en-US"/>
              </w:rPr>
              <w:t>193</w:t>
            </w:r>
          </w:p>
        </w:tc>
      </w:tr>
      <w:tr w:rsidR="009E3B74" w:rsidRPr="00E51001" w:rsidTr="00AF2101">
        <w:tc>
          <w:tcPr>
            <w:tcW w:w="1376" w:type="pct"/>
          </w:tcPr>
          <w:p w:rsidR="009E3B74" w:rsidRPr="00AF2101" w:rsidRDefault="009E3B74" w:rsidP="00D073A3">
            <w:pPr>
              <w:pStyle w:val="enumlev1"/>
              <w:tabs>
                <w:tab w:val="clear" w:pos="567"/>
                <w:tab w:val="left" w:pos="0"/>
              </w:tabs>
              <w:ind w:left="0" w:firstLine="0"/>
              <w:rPr>
                <w:b/>
                <w:bCs/>
                <w:sz w:val="22"/>
                <w:lang w:val="en-US"/>
              </w:rPr>
            </w:pPr>
            <w:r w:rsidRPr="00AF2101">
              <w:rPr>
                <w:b/>
                <w:bCs/>
                <w:sz w:val="22"/>
                <w:lang w:val="en-US"/>
              </w:rPr>
              <w:t>Total liabilities</w:t>
            </w:r>
          </w:p>
        </w:tc>
        <w:tc>
          <w:tcPr>
            <w:tcW w:w="798" w:type="pct"/>
          </w:tcPr>
          <w:p w:rsidR="009E3B74" w:rsidRPr="00AF2101" w:rsidRDefault="009E3B74" w:rsidP="003200DC">
            <w:pPr>
              <w:pStyle w:val="enumlev1"/>
              <w:tabs>
                <w:tab w:val="clear" w:pos="567"/>
                <w:tab w:val="left" w:pos="0"/>
              </w:tabs>
              <w:ind w:left="0" w:firstLine="0"/>
              <w:jc w:val="right"/>
              <w:rPr>
                <w:sz w:val="22"/>
                <w:highlight w:val="yellow"/>
                <w:lang w:val="en-US"/>
              </w:rPr>
            </w:pPr>
          </w:p>
        </w:tc>
        <w:tc>
          <w:tcPr>
            <w:tcW w:w="693" w:type="pct"/>
          </w:tcPr>
          <w:p w:rsidR="009E3B74" w:rsidRPr="00AF2101" w:rsidRDefault="009E3B74" w:rsidP="003200DC">
            <w:pPr>
              <w:pStyle w:val="enumlev1"/>
              <w:tabs>
                <w:tab w:val="clear" w:pos="567"/>
                <w:tab w:val="left" w:pos="0"/>
              </w:tabs>
              <w:ind w:left="0" w:firstLine="0"/>
              <w:jc w:val="right"/>
              <w:rPr>
                <w:sz w:val="22"/>
                <w:lang w:val="en-US"/>
              </w:rPr>
            </w:pPr>
            <w:r w:rsidRPr="00AF2101">
              <w:rPr>
                <w:sz w:val="22"/>
                <w:lang w:val="en-US"/>
              </w:rPr>
              <w:t>1’493</w:t>
            </w:r>
          </w:p>
        </w:tc>
        <w:tc>
          <w:tcPr>
            <w:tcW w:w="765" w:type="pct"/>
          </w:tcPr>
          <w:p w:rsidR="009E3B74" w:rsidRPr="00AF2101" w:rsidRDefault="00BB0F0D" w:rsidP="00C25DD6">
            <w:pPr>
              <w:pStyle w:val="enumlev1"/>
              <w:tabs>
                <w:tab w:val="clear" w:pos="567"/>
                <w:tab w:val="left" w:pos="0"/>
              </w:tabs>
              <w:ind w:left="0" w:firstLine="0"/>
              <w:jc w:val="right"/>
              <w:rPr>
                <w:sz w:val="22"/>
                <w:lang w:val="en-US"/>
              </w:rPr>
            </w:pPr>
            <w:r w:rsidRPr="00AF2101">
              <w:rPr>
                <w:sz w:val="22"/>
                <w:lang w:val="en-US"/>
              </w:rPr>
              <w:t>1</w:t>
            </w:r>
            <w:r w:rsidR="00F71A5B" w:rsidRPr="00AF2101">
              <w:rPr>
                <w:sz w:val="22"/>
                <w:lang w:val="en-US"/>
              </w:rPr>
              <w:t>4</w:t>
            </w:r>
            <w:r w:rsidRPr="00AF2101">
              <w:rPr>
                <w:sz w:val="22"/>
                <w:lang w:val="en-US"/>
              </w:rPr>
              <w:t>’</w:t>
            </w:r>
            <w:r w:rsidR="00C25DD6" w:rsidRPr="00AF2101">
              <w:rPr>
                <w:sz w:val="22"/>
                <w:lang w:val="en-US"/>
              </w:rPr>
              <w:t>219</w:t>
            </w:r>
          </w:p>
        </w:tc>
        <w:tc>
          <w:tcPr>
            <w:tcW w:w="685" w:type="pct"/>
          </w:tcPr>
          <w:p w:rsidR="009E3B74" w:rsidRPr="00AF2101" w:rsidRDefault="00F71A5B" w:rsidP="00C25DD6">
            <w:pPr>
              <w:pStyle w:val="enumlev1"/>
              <w:tabs>
                <w:tab w:val="clear" w:pos="567"/>
                <w:tab w:val="left" w:pos="0"/>
              </w:tabs>
              <w:ind w:left="0" w:firstLine="0"/>
              <w:jc w:val="right"/>
              <w:rPr>
                <w:sz w:val="22"/>
                <w:lang w:val="en-US"/>
              </w:rPr>
            </w:pPr>
            <w:r w:rsidRPr="00AF2101">
              <w:rPr>
                <w:sz w:val="22"/>
                <w:lang w:val="en-US"/>
              </w:rPr>
              <w:t>2</w:t>
            </w:r>
            <w:r w:rsidR="003C2DE9" w:rsidRPr="00AF2101">
              <w:rPr>
                <w:sz w:val="22"/>
                <w:lang w:val="en-US"/>
              </w:rPr>
              <w:t>7</w:t>
            </w:r>
            <w:r w:rsidR="00BB0F0D" w:rsidRPr="00AF2101">
              <w:rPr>
                <w:sz w:val="22"/>
                <w:lang w:val="en-US"/>
              </w:rPr>
              <w:t>’</w:t>
            </w:r>
            <w:r w:rsidR="00C25DD6" w:rsidRPr="00AF2101">
              <w:rPr>
                <w:sz w:val="22"/>
                <w:lang w:val="en-US"/>
              </w:rPr>
              <w:t>481</w:t>
            </w:r>
          </w:p>
        </w:tc>
        <w:tc>
          <w:tcPr>
            <w:tcW w:w="683" w:type="pct"/>
          </w:tcPr>
          <w:p w:rsidR="009E3B74" w:rsidRPr="00AF2101" w:rsidRDefault="00BB0F0D" w:rsidP="00C25DD6">
            <w:pPr>
              <w:pStyle w:val="enumlev1"/>
              <w:tabs>
                <w:tab w:val="clear" w:pos="567"/>
                <w:tab w:val="left" w:pos="0"/>
              </w:tabs>
              <w:ind w:left="0" w:firstLine="0"/>
              <w:jc w:val="right"/>
              <w:rPr>
                <w:sz w:val="22"/>
                <w:lang w:val="en-US"/>
              </w:rPr>
            </w:pPr>
            <w:r w:rsidRPr="00AF2101">
              <w:rPr>
                <w:sz w:val="22"/>
                <w:lang w:val="en-US"/>
              </w:rPr>
              <w:t>4</w:t>
            </w:r>
            <w:r w:rsidR="00F71A5B" w:rsidRPr="00AF2101">
              <w:rPr>
                <w:sz w:val="22"/>
                <w:lang w:val="en-US"/>
              </w:rPr>
              <w:t>3’</w:t>
            </w:r>
            <w:r w:rsidR="00C25DD6" w:rsidRPr="00AF2101">
              <w:rPr>
                <w:sz w:val="22"/>
                <w:lang w:val="en-US"/>
              </w:rPr>
              <w:t>193</w:t>
            </w:r>
          </w:p>
        </w:tc>
      </w:tr>
    </w:tbl>
    <w:p w:rsidR="00B65DBE" w:rsidRDefault="00B65DBE" w:rsidP="006A440E">
      <w:pPr>
        <w:pStyle w:val="Heading5"/>
        <w:jc w:val="both"/>
        <w:rPr>
          <w:lang w:val="en-US"/>
        </w:rPr>
      </w:pPr>
      <w:bookmarkStart w:id="65" w:name="_Toc305764079"/>
      <w:bookmarkStart w:id="66" w:name="_Toc329011630"/>
    </w:p>
    <w:p w:rsidR="00EE259B" w:rsidRPr="00EE259B" w:rsidRDefault="0022373A" w:rsidP="006A440E">
      <w:pPr>
        <w:pStyle w:val="Heading5"/>
        <w:jc w:val="both"/>
        <w:rPr>
          <w:lang w:val="en-US"/>
        </w:rPr>
      </w:pPr>
      <w:r w:rsidRPr="001C2A98">
        <w:rPr>
          <w:lang w:val="en-US"/>
        </w:rPr>
        <w:t xml:space="preserve">Note </w:t>
      </w:r>
      <w:r w:rsidR="006A440E">
        <w:rPr>
          <w:lang w:val="en-US"/>
        </w:rPr>
        <w:t>5</w:t>
      </w:r>
      <w:r w:rsidRPr="001C2A98">
        <w:rPr>
          <w:lang w:val="en-US"/>
        </w:rPr>
        <w:tab/>
        <w:t>Judgment and accounting estimates</w:t>
      </w:r>
      <w:bookmarkEnd w:id="65"/>
      <w:bookmarkEnd w:id="66"/>
    </w:p>
    <w:p w:rsidR="006E41FC" w:rsidRDefault="0022373A" w:rsidP="00BE3C2E">
      <w:pPr>
        <w:jc w:val="both"/>
        <w:rPr>
          <w:lang w:val="en-US"/>
        </w:rPr>
      </w:pPr>
      <w:r w:rsidRPr="001C2A98">
        <w:rPr>
          <w:lang w:val="en-US"/>
        </w:rPr>
        <w:t>Preparation of the financial statements under IPSAS calls for the use of estimates and/or assumptions having a bearing, on the one hand, on the amounts of the assets and liabilities disclosed and the disclosure of contingent assets and obligations at the date of the balance sheet and, on the other hand, on the amount of the revenues and expenses for the accounting period. Although the estimates are based on past experience and on various other factors deemed reasonable in the prevailing circumstances, the results actually obtained may differ from those foreseen when the estimates were made.</w:t>
      </w:r>
    </w:p>
    <w:p w:rsidR="0022373A" w:rsidRPr="001C2A98" w:rsidRDefault="0022373A" w:rsidP="005C41A5">
      <w:pPr>
        <w:jc w:val="both"/>
        <w:rPr>
          <w:lang w:val="en-US"/>
        </w:rPr>
      </w:pPr>
      <w:r w:rsidRPr="001C2A98">
        <w:rPr>
          <w:lang w:val="en-US"/>
        </w:rPr>
        <w:t>Areas entailing a high degree of judgment and complexity or in which assumptions and estimates have a negative impact on the establishment of the financial statements are:</w:t>
      </w:r>
    </w:p>
    <w:p w:rsidR="0022373A" w:rsidRPr="001C2A98" w:rsidRDefault="0022373A" w:rsidP="005C41A5">
      <w:pPr>
        <w:pStyle w:val="enumlev1"/>
        <w:jc w:val="both"/>
        <w:rPr>
          <w:lang w:val="en-US"/>
        </w:rPr>
      </w:pPr>
      <w:r w:rsidRPr="001C2A98">
        <w:rPr>
          <w:lang w:val="en-US"/>
        </w:rPr>
        <w:t>•</w:t>
      </w:r>
      <w:r w:rsidRPr="001C2A98">
        <w:rPr>
          <w:lang w:val="en-US"/>
        </w:rPr>
        <w:tab/>
        <w:t>post-employment benefits, particularly where the ASHI plan is concerned</w:t>
      </w:r>
      <w:r w:rsidR="00BF3DB3">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t>useful lives of fixed assets and their possible impairment</w:t>
      </w:r>
      <w:r w:rsidR="00BF3DB3">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t>provisions for receivables</w:t>
      </w:r>
      <w:r w:rsidR="00BF3DB3">
        <w:rPr>
          <w:lang w:val="en-US"/>
        </w:rPr>
        <w:t>;</w:t>
      </w:r>
      <w:r w:rsidRPr="001C2A98">
        <w:rPr>
          <w:lang w:val="en-US"/>
        </w:rPr>
        <w:t xml:space="preserve"> </w:t>
      </w:r>
    </w:p>
    <w:p w:rsidR="0022373A" w:rsidRPr="001C2A98" w:rsidRDefault="0022373A" w:rsidP="005C41A5">
      <w:pPr>
        <w:pStyle w:val="enumlev1"/>
        <w:jc w:val="both"/>
        <w:rPr>
          <w:lang w:val="en-US"/>
        </w:rPr>
      </w:pPr>
      <w:r w:rsidRPr="001C2A98">
        <w:rPr>
          <w:lang w:val="en-US"/>
        </w:rPr>
        <w:t>•</w:t>
      </w:r>
      <w:r w:rsidRPr="001C2A98">
        <w:rPr>
          <w:lang w:val="en-US"/>
        </w:rPr>
        <w:tab/>
        <w:t>probability of sale in stocks of publications</w:t>
      </w:r>
      <w:r w:rsidR="00BF3DB3">
        <w:rPr>
          <w:lang w:val="en-US"/>
        </w:rPr>
        <w:t>;</w:t>
      </w:r>
    </w:p>
    <w:p w:rsidR="0022373A" w:rsidRDefault="0022373A" w:rsidP="005C41A5">
      <w:pPr>
        <w:pStyle w:val="enumlev1"/>
        <w:jc w:val="both"/>
        <w:rPr>
          <w:lang w:val="en-US"/>
        </w:rPr>
      </w:pPr>
      <w:r w:rsidRPr="001C2A98">
        <w:rPr>
          <w:lang w:val="en-US"/>
        </w:rPr>
        <w:t>•</w:t>
      </w:r>
      <w:r w:rsidRPr="001C2A98">
        <w:rPr>
          <w:lang w:val="en-US"/>
        </w:rPr>
        <w:tab/>
        <w:t>deferred revenue from satellite network filings.</w:t>
      </w:r>
    </w:p>
    <w:p w:rsidR="0022373A" w:rsidRDefault="0022373A" w:rsidP="00E47170">
      <w:pPr>
        <w:pStyle w:val="Heading5"/>
        <w:spacing w:before="120" w:after="120"/>
        <w:jc w:val="both"/>
        <w:rPr>
          <w:lang w:val="en-US"/>
        </w:rPr>
      </w:pPr>
      <w:bookmarkStart w:id="67" w:name="_Toc305764081"/>
      <w:bookmarkStart w:id="68" w:name="_Toc329011631"/>
      <w:r w:rsidRPr="001C2A98">
        <w:rPr>
          <w:lang w:val="en-US"/>
        </w:rPr>
        <w:t xml:space="preserve">Note </w:t>
      </w:r>
      <w:r w:rsidR="006A440E">
        <w:rPr>
          <w:lang w:val="en-US"/>
        </w:rPr>
        <w:t>6</w:t>
      </w:r>
      <w:r w:rsidRPr="001C2A98">
        <w:rPr>
          <w:lang w:val="en-US"/>
        </w:rPr>
        <w:t xml:space="preserve"> </w:t>
      </w:r>
      <w:r w:rsidRPr="001C2A98">
        <w:rPr>
          <w:lang w:val="en-US"/>
        </w:rPr>
        <w:tab/>
      </w:r>
      <w:r w:rsidRPr="00ED0279">
        <w:rPr>
          <w:lang w:val="en-US"/>
        </w:rPr>
        <w:t>Cash and cash equivalents</w:t>
      </w:r>
      <w:bookmarkEnd w:id="67"/>
      <w:bookmarkEnd w:id="68"/>
    </w:p>
    <w:tbl>
      <w:tblPr>
        <w:tblW w:w="5000" w:type="pct"/>
        <w:tblLook w:val="04A0" w:firstRow="1" w:lastRow="0" w:firstColumn="1" w:lastColumn="0" w:noHBand="0" w:noVBand="1"/>
      </w:tblPr>
      <w:tblGrid>
        <w:gridCol w:w="5835"/>
        <w:gridCol w:w="1968"/>
        <w:gridCol w:w="1968"/>
      </w:tblGrid>
      <w:tr w:rsidR="00800C85" w:rsidRPr="00800C85" w:rsidTr="00800C85">
        <w:trPr>
          <w:trHeight w:val="499"/>
        </w:trPr>
        <w:tc>
          <w:tcPr>
            <w:tcW w:w="29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xml:space="preserve">In thousands of CHF </w:t>
            </w:r>
          </w:p>
        </w:tc>
        <w:tc>
          <w:tcPr>
            <w:tcW w:w="1007" w:type="pct"/>
            <w:tcBorders>
              <w:top w:val="single" w:sz="4" w:space="0" w:color="auto"/>
              <w:left w:val="nil"/>
              <w:bottom w:val="single" w:sz="4" w:space="0" w:color="auto"/>
              <w:right w:val="single" w:sz="4" w:space="0" w:color="auto"/>
            </w:tcBorders>
            <w:shd w:val="clear" w:color="auto" w:fill="auto"/>
            <w:noWrap/>
            <w:vAlign w:val="center"/>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800C85">
              <w:rPr>
                <w:rFonts w:asciiTheme="minorHAnsi" w:hAnsiTheme="minorHAnsi" w:cs="Arial"/>
                <w:b/>
                <w:bCs/>
                <w:color w:val="000000"/>
                <w:sz w:val="22"/>
                <w:szCs w:val="22"/>
                <w:lang w:val="en-US" w:eastAsia="zh-CN"/>
              </w:rPr>
              <w:t>31.12.2018</w:t>
            </w:r>
          </w:p>
        </w:tc>
        <w:tc>
          <w:tcPr>
            <w:tcW w:w="1007" w:type="pct"/>
            <w:tcBorders>
              <w:top w:val="single" w:sz="4" w:space="0" w:color="auto"/>
              <w:left w:val="nil"/>
              <w:bottom w:val="single" w:sz="4" w:space="0" w:color="auto"/>
              <w:right w:val="single" w:sz="4" w:space="0" w:color="auto"/>
            </w:tcBorders>
            <w:shd w:val="clear" w:color="auto" w:fill="auto"/>
            <w:noWrap/>
            <w:vAlign w:val="center"/>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800C85">
              <w:rPr>
                <w:rFonts w:asciiTheme="minorHAnsi" w:hAnsiTheme="minorHAnsi" w:cs="Arial"/>
                <w:b/>
                <w:bCs/>
                <w:color w:val="000000"/>
                <w:sz w:val="22"/>
                <w:szCs w:val="22"/>
                <w:lang w:val="en-US" w:eastAsia="zh-CN"/>
              </w:rPr>
              <w:t>31.12.2017</w:t>
            </w:r>
          </w:p>
        </w:tc>
      </w:tr>
      <w:tr w:rsidR="00800C85" w:rsidRPr="00800C85" w:rsidTr="00800C85">
        <w:trPr>
          <w:trHeight w:val="255"/>
        </w:trPr>
        <w:tc>
          <w:tcPr>
            <w:tcW w:w="2985" w:type="pct"/>
            <w:tcBorders>
              <w:top w:val="nil"/>
              <w:left w:val="single" w:sz="4" w:space="0" w:color="auto"/>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w:t>
            </w:r>
          </w:p>
        </w:tc>
        <w:tc>
          <w:tcPr>
            <w:tcW w:w="1007" w:type="pct"/>
            <w:tcBorders>
              <w:top w:val="nil"/>
              <w:left w:val="nil"/>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w:t>
            </w:r>
          </w:p>
        </w:tc>
        <w:tc>
          <w:tcPr>
            <w:tcW w:w="1007" w:type="pct"/>
            <w:tcBorders>
              <w:top w:val="single" w:sz="4" w:space="0" w:color="auto"/>
              <w:left w:val="nil"/>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w:t>
            </w:r>
          </w:p>
        </w:tc>
      </w:tr>
      <w:tr w:rsidR="00800C85" w:rsidRPr="00800C85" w:rsidTr="00800C85">
        <w:trPr>
          <w:trHeight w:val="255"/>
        </w:trPr>
        <w:tc>
          <w:tcPr>
            <w:tcW w:w="2985" w:type="pct"/>
            <w:tcBorders>
              <w:top w:val="nil"/>
              <w:left w:val="single" w:sz="4" w:space="0" w:color="auto"/>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Cash in CHF</w:t>
            </w:r>
          </w:p>
        </w:tc>
        <w:tc>
          <w:tcPr>
            <w:tcW w:w="1007" w:type="pct"/>
            <w:tcBorders>
              <w:top w:val="nil"/>
              <w:left w:val="nil"/>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xml:space="preserve">                     17 </w:t>
            </w:r>
          </w:p>
        </w:tc>
        <w:tc>
          <w:tcPr>
            <w:tcW w:w="1007" w:type="pct"/>
            <w:tcBorders>
              <w:top w:val="nil"/>
              <w:left w:val="nil"/>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xml:space="preserve">                     19 </w:t>
            </w:r>
          </w:p>
        </w:tc>
      </w:tr>
      <w:tr w:rsidR="00800C85" w:rsidRPr="00800C85" w:rsidTr="00800C85">
        <w:trPr>
          <w:trHeight w:val="255"/>
        </w:trPr>
        <w:tc>
          <w:tcPr>
            <w:tcW w:w="2985" w:type="pct"/>
            <w:tcBorders>
              <w:top w:val="nil"/>
              <w:left w:val="single" w:sz="4" w:space="0" w:color="auto"/>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Cash in foreign currency</w:t>
            </w:r>
          </w:p>
        </w:tc>
        <w:tc>
          <w:tcPr>
            <w:tcW w:w="1007" w:type="pct"/>
            <w:tcBorders>
              <w:top w:val="nil"/>
              <w:left w:val="nil"/>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xml:space="preserve">                     72 </w:t>
            </w:r>
          </w:p>
        </w:tc>
        <w:tc>
          <w:tcPr>
            <w:tcW w:w="1007" w:type="pct"/>
            <w:tcBorders>
              <w:top w:val="nil"/>
              <w:left w:val="nil"/>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xml:space="preserve">                   129 </w:t>
            </w:r>
          </w:p>
        </w:tc>
      </w:tr>
      <w:tr w:rsidR="00800C85" w:rsidRPr="00800C85" w:rsidTr="00800C85">
        <w:trPr>
          <w:trHeight w:val="255"/>
        </w:trPr>
        <w:tc>
          <w:tcPr>
            <w:tcW w:w="2985" w:type="pct"/>
            <w:tcBorders>
              <w:top w:val="nil"/>
              <w:left w:val="single" w:sz="4" w:space="0" w:color="auto"/>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xml:space="preserve">Postal accounts in CHF </w:t>
            </w:r>
          </w:p>
        </w:tc>
        <w:tc>
          <w:tcPr>
            <w:tcW w:w="1007" w:type="pct"/>
            <w:tcBorders>
              <w:top w:val="nil"/>
              <w:left w:val="nil"/>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xml:space="preserve">                   843 </w:t>
            </w:r>
          </w:p>
        </w:tc>
        <w:tc>
          <w:tcPr>
            <w:tcW w:w="1007" w:type="pct"/>
            <w:tcBorders>
              <w:top w:val="nil"/>
              <w:left w:val="nil"/>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xml:space="preserve">                   818 </w:t>
            </w:r>
          </w:p>
        </w:tc>
      </w:tr>
      <w:tr w:rsidR="00800C85" w:rsidRPr="00800C85" w:rsidTr="00800C85">
        <w:trPr>
          <w:trHeight w:val="255"/>
        </w:trPr>
        <w:tc>
          <w:tcPr>
            <w:tcW w:w="2985" w:type="pct"/>
            <w:tcBorders>
              <w:top w:val="nil"/>
              <w:left w:val="single" w:sz="4" w:space="0" w:color="auto"/>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Bank current accounts in CHF</w:t>
            </w:r>
          </w:p>
        </w:tc>
        <w:tc>
          <w:tcPr>
            <w:tcW w:w="1007" w:type="pct"/>
            <w:tcBorders>
              <w:top w:val="nil"/>
              <w:left w:val="nil"/>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xml:space="preserve">               25,695 </w:t>
            </w:r>
          </w:p>
        </w:tc>
        <w:tc>
          <w:tcPr>
            <w:tcW w:w="1007" w:type="pct"/>
            <w:tcBorders>
              <w:top w:val="nil"/>
              <w:left w:val="nil"/>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xml:space="preserve">               19,787 </w:t>
            </w:r>
          </w:p>
        </w:tc>
      </w:tr>
      <w:tr w:rsidR="00800C85" w:rsidRPr="00800C85" w:rsidTr="00800C85">
        <w:trPr>
          <w:trHeight w:val="255"/>
        </w:trPr>
        <w:tc>
          <w:tcPr>
            <w:tcW w:w="2985" w:type="pct"/>
            <w:tcBorders>
              <w:top w:val="nil"/>
              <w:left w:val="single" w:sz="4" w:space="0" w:color="auto"/>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Bank current accounts in foreign currency</w:t>
            </w:r>
          </w:p>
        </w:tc>
        <w:tc>
          <w:tcPr>
            <w:tcW w:w="1007" w:type="pct"/>
            <w:tcBorders>
              <w:top w:val="nil"/>
              <w:left w:val="nil"/>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xml:space="preserve">               25,444 </w:t>
            </w:r>
          </w:p>
        </w:tc>
        <w:tc>
          <w:tcPr>
            <w:tcW w:w="1007" w:type="pct"/>
            <w:tcBorders>
              <w:top w:val="nil"/>
              <w:left w:val="nil"/>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xml:space="preserve">               25,758 </w:t>
            </w:r>
          </w:p>
        </w:tc>
      </w:tr>
      <w:tr w:rsidR="00800C85" w:rsidRPr="00800C85" w:rsidTr="00800C85">
        <w:trPr>
          <w:trHeight w:val="255"/>
        </w:trPr>
        <w:tc>
          <w:tcPr>
            <w:tcW w:w="2985" w:type="pct"/>
            <w:tcBorders>
              <w:top w:val="nil"/>
              <w:left w:val="single" w:sz="4" w:space="0" w:color="auto"/>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xml:space="preserve">Sight accounts in CHF </w:t>
            </w:r>
          </w:p>
        </w:tc>
        <w:tc>
          <w:tcPr>
            <w:tcW w:w="1007" w:type="pct"/>
            <w:tcBorders>
              <w:top w:val="nil"/>
              <w:left w:val="nil"/>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xml:space="preserve">             109,754 </w:t>
            </w:r>
          </w:p>
        </w:tc>
        <w:tc>
          <w:tcPr>
            <w:tcW w:w="1007" w:type="pct"/>
            <w:tcBorders>
              <w:top w:val="nil"/>
              <w:left w:val="nil"/>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xml:space="preserve">               88,785 </w:t>
            </w:r>
          </w:p>
        </w:tc>
      </w:tr>
      <w:tr w:rsidR="00800C85" w:rsidRPr="00800C85" w:rsidTr="00800C85">
        <w:trPr>
          <w:trHeight w:val="255"/>
        </w:trPr>
        <w:tc>
          <w:tcPr>
            <w:tcW w:w="2985" w:type="pct"/>
            <w:tcBorders>
              <w:top w:val="nil"/>
              <w:left w:val="single" w:sz="4" w:space="0" w:color="auto"/>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w:t>
            </w:r>
          </w:p>
        </w:tc>
        <w:tc>
          <w:tcPr>
            <w:tcW w:w="1007" w:type="pct"/>
            <w:tcBorders>
              <w:top w:val="nil"/>
              <w:left w:val="nil"/>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w:t>
            </w:r>
          </w:p>
        </w:tc>
        <w:tc>
          <w:tcPr>
            <w:tcW w:w="1007" w:type="pct"/>
            <w:tcBorders>
              <w:top w:val="nil"/>
              <w:left w:val="nil"/>
              <w:bottom w:val="nil"/>
              <w:right w:val="single" w:sz="4" w:space="0" w:color="auto"/>
            </w:tcBorders>
            <w:shd w:val="clear" w:color="auto" w:fill="auto"/>
            <w:noWrap/>
            <w:vAlign w:val="bottom"/>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800C85">
              <w:rPr>
                <w:rFonts w:asciiTheme="minorHAnsi" w:hAnsiTheme="minorHAnsi" w:cs="Arial"/>
                <w:color w:val="000000"/>
                <w:sz w:val="22"/>
                <w:szCs w:val="22"/>
                <w:lang w:val="en-US" w:eastAsia="zh-CN"/>
              </w:rPr>
              <w:t> </w:t>
            </w:r>
          </w:p>
        </w:tc>
      </w:tr>
      <w:tr w:rsidR="00800C85" w:rsidRPr="00800C85" w:rsidTr="00800C85">
        <w:trPr>
          <w:trHeight w:val="499"/>
        </w:trPr>
        <w:tc>
          <w:tcPr>
            <w:tcW w:w="29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800C85">
              <w:rPr>
                <w:rFonts w:asciiTheme="minorHAnsi" w:hAnsiTheme="minorHAnsi" w:cs="Arial"/>
                <w:b/>
                <w:bCs/>
                <w:color w:val="000000"/>
                <w:sz w:val="22"/>
                <w:szCs w:val="22"/>
                <w:lang w:val="en-US" w:eastAsia="zh-CN"/>
              </w:rPr>
              <w:t>Cash and cash equivalents</w:t>
            </w:r>
          </w:p>
        </w:tc>
        <w:tc>
          <w:tcPr>
            <w:tcW w:w="1007" w:type="pct"/>
            <w:tcBorders>
              <w:top w:val="single" w:sz="4" w:space="0" w:color="auto"/>
              <w:left w:val="nil"/>
              <w:bottom w:val="single" w:sz="4" w:space="0" w:color="auto"/>
              <w:right w:val="single" w:sz="4" w:space="0" w:color="auto"/>
            </w:tcBorders>
            <w:shd w:val="clear" w:color="auto" w:fill="auto"/>
            <w:noWrap/>
            <w:vAlign w:val="center"/>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800C85">
              <w:rPr>
                <w:rFonts w:asciiTheme="minorHAnsi" w:hAnsiTheme="minorHAnsi" w:cs="Arial"/>
                <w:b/>
                <w:bCs/>
                <w:color w:val="000000"/>
                <w:sz w:val="22"/>
                <w:szCs w:val="22"/>
                <w:lang w:val="en-US" w:eastAsia="zh-CN"/>
              </w:rPr>
              <w:t xml:space="preserve">             161,826 </w:t>
            </w:r>
          </w:p>
        </w:tc>
        <w:tc>
          <w:tcPr>
            <w:tcW w:w="1007" w:type="pct"/>
            <w:tcBorders>
              <w:top w:val="single" w:sz="4" w:space="0" w:color="auto"/>
              <w:left w:val="nil"/>
              <w:bottom w:val="single" w:sz="4" w:space="0" w:color="auto"/>
              <w:right w:val="single" w:sz="4" w:space="0" w:color="auto"/>
            </w:tcBorders>
            <w:shd w:val="clear" w:color="auto" w:fill="auto"/>
            <w:noWrap/>
            <w:vAlign w:val="center"/>
            <w:hideMark/>
          </w:tcPr>
          <w:p w:rsidR="00800C85" w:rsidRPr="00800C85" w:rsidRDefault="00800C85" w:rsidP="00800C8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800C85">
              <w:rPr>
                <w:rFonts w:asciiTheme="minorHAnsi" w:hAnsiTheme="minorHAnsi" w:cs="Arial"/>
                <w:b/>
                <w:bCs/>
                <w:color w:val="000000"/>
                <w:sz w:val="22"/>
                <w:szCs w:val="22"/>
                <w:lang w:val="en-US" w:eastAsia="zh-CN"/>
              </w:rPr>
              <w:t xml:space="preserve">             135,297 </w:t>
            </w:r>
          </w:p>
        </w:tc>
      </w:tr>
    </w:tbl>
    <w:p w:rsidR="00800C85" w:rsidRPr="00800C85" w:rsidRDefault="00800C85" w:rsidP="00800C85">
      <w:pPr>
        <w:rPr>
          <w:lang w:val="en-US"/>
        </w:rPr>
      </w:pPr>
    </w:p>
    <w:p w:rsidR="0022373A" w:rsidRDefault="00CB5C3B" w:rsidP="00227D54">
      <w:pPr>
        <w:spacing w:before="0"/>
        <w:rPr>
          <w:lang w:val="en-US"/>
        </w:rPr>
      </w:pPr>
      <w:r>
        <w:rPr>
          <w:lang w:val="en-US"/>
        </w:rPr>
        <w:t xml:space="preserve">Cash deposits are held in </w:t>
      </w:r>
      <w:r w:rsidR="0022373A" w:rsidRPr="00BB58CE">
        <w:rPr>
          <w:lang w:val="en-US"/>
        </w:rPr>
        <w:t xml:space="preserve">bank and postal accounts </w:t>
      </w:r>
      <w:r>
        <w:rPr>
          <w:lang w:val="en-US"/>
        </w:rPr>
        <w:t>and</w:t>
      </w:r>
      <w:r w:rsidR="0022373A" w:rsidRPr="00BB58CE">
        <w:rPr>
          <w:lang w:val="en-US"/>
        </w:rPr>
        <w:t xml:space="preserve"> remunerated at the market ra</w:t>
      </w:r>
      <w:r>
        <w:rPr>
          <w:lang w:val="en-US"/>
        </w:rPr>
        <w:t>tes. The fair value of the cash deposits</w:t>
      </w:r>
      <w:r w:rsidR="0022373A" w:rsidRPr="00BB58CE">
        <w:rPr>
          <w:lang w:val="en-US"/>
        </w:rPr>
        <w:t xml:space="preserve"> is equivalent to the carrying amount.</w:t>
      </w:r>
    </w:p>
    <w:p w:rsidR="0022373A" w:rsidRPr="00643AD9" w:rsidRDefault="00643AD9" w:rsidP="002F6D8C">
      <w:pPr>
        <w:tabs>
          <w:tab w:val="clear" w:pos="567"/>
          <w:tab w:val="clear" w:pos="1134"/>
          <w:tab w:val="clear" w:pos="1701"/>
          <w:tab w:val="clear" w:pos="2268"/>
          <w:tab w:val="clear" w:pos="2835"/>
        </w:tabs>
        <w:overflowPunct/>
        <w:autoSpaceDE/>
        <w:autoSpaceDN/>
        <w:adjustRightInd/>
        <w:jc w:val="both"/>
        <w:textAlignment w:val="auto"/>
        <w:rPr>
          <w:lang w:val="en-US"/>
        </w:rPr>
      </w:pPr>
      <w:r w:rsidRPr="00643AD9">
        <w:rPr>
          <w:lang w:val="en-US"/>
        </w:rPr>
        <w:t xml:space="preserve">At 31 December </w:t>
      </w:r>
      <w:r w:rsidR="00111BDD">
        <w:rPr>
          <w:lang w:val="en-US"/>
        </w:rPr>
        <w:t>201</w:t>
      </w:r>
      <w:r w:rsidR="002F6D8C">
        <w:rPr>
          <w:lang w:val="en-US"/>
        </w:rPr>
        <w:t>8</w:t>
      </w:r>
      <w:r w:rsidR="0022373A" w:rsidRPr="00A014BC">
        <w:rPr>
          <w:lang w:val="en-US"/>
        </w:rPr>
        <w:t xml:space="preserve">, ITU has no credit line. The </w:t>
      </w:r>
      <w:r w:rsidR="00781AF1" w:rsidRPr="00A014BC">
        <w:rPr>
          <w:lang w:val="en-US"/>
        </w:rPr>
        <w:t>available</w:t>
      </w:r>
      <w:r w:rsidR="0022373A" w:rsidRPr="00643AD9">
        <w:rPr>
          <w:lang w:val="en-US"/>
        </w:rPr>
        <w:t xml:space="preserve"> cash is subject to the following restrictions: </w:t>
      </w:r>
    </w:p>
    <w:p w:rsidR="006B211B" w:rsidRPr="006B211B" w:rsidRDefault="0022373A" w:rsidP="000A77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cs="Courier New"/>
          <w:szCs w:val="24"/>
          <w:lang w:val="en-US" w:eastAsia="zh-CN"/>
        </w:rPr>
      </w:pPr>
      <w:r w:rsidRPr="00643AD9">
        <w:rPr>
          <w:lang w:val="en-US"/>
        </w:rPr>
        <w:t>–</w:t>
      </w:r>
      <w:r w:rsidRPr="00643AD9">
        <w:rPr>
          <w:lang w:val="en-US"/>
        </w:rPr>
        <w:tab/>
      </w:r>
      <w:r w:rsidRPr="00F26FE9">
        <w:rPr>
          <w:lang w:val="en-US"/>
        </w:rPr>
        <w:t xml:space="preserve">Sight accounts in </w:t>
      </w:r>
      <w:r w:rsidR="00BB58CE" w:rsidRPr="00F26FE9">
        <w:rPr>
          <w:lang w:val="en-US"/>
        </w:rPr>
        <w:t>favor</w:t>
      </w:r>
      <w:r w:rsidRPr="00F26FE9">
        <w:rPr>
          <w:lang w:val="en-US"/>
        </w:rPr>
        <w:t xml:space="preserve"> of beneficiaries of the ITU pension funds which have been operating as closed funds since the organization</w:t>
      </w:r>
      <w:r w:rsidR="007A552E" w:rsidRPr="00F26FE9">
        <w:rPr>
          <w:lang w:val="en-US"/>
        </w:rPr>
        <w:t>’</w:t>
      </w:r>
      <w:r w:rsidRPr="00F26FE9">
        <w:rPr>
          <w:lang w:val="en-US"/>
        </w:rPr>
        <w:t>s affiliation to UNJSPF and the Staff Health Insurance Fund</w:t>
      </w:r>
      <w:r w:rsidR="00A5229F" w:rsidRPr="00F26FE9">
        <w:rPr>
          <w:lang w:val="en-US"/>
        </w:rPr>
        <w:t>, in the amount of CHF </w:t>
      </w:r>
      <w:r w:rsidR="00FC1A76" w:rsidRPr="00F26FE9">
        <w:rPr>
          <w:lang w:val="en-US"/>
        </w:rPr>
        <w:t>6</w:t>
      </w:r>
      <w:r w:rsidR="000B6C0A" w:rsidRPr="00F26FE9">
        <w:rPr>
          <w:lang w:val="en-US"/>
        </w:rPr>
        <w:t>.</w:t>
      </w:r>
      <w:r w:rsidR="00F26FE9" w:rsidRPr="00F26FE9">
        <w:rPr>
          <w:lang w:val="en-US"/>
        </w:rPr>
        <w:t>4</w:t>
      </w:r>
      <w:r w:rsidR="008F4145" w:rsidRPr="00F26FE9">
        <w:rPr>
          <w:lang w:val="en-US"/>
        </w:rPr>
        <w:t xml:space="preserve"> million</w:t>
      </w:r>
      <w:r w:rsidR="001B7091" w:rsidRPr="00F26FE9">
        <w:rPr>
          <w:lang w:val="en-US"/>
        </w:rPr>
        <w:t>.</w:t>
      </w:r>
      <w:r w:rsidR="009F7D89" w:rsidRPr="00F26FE9">
        <w:rPr>
          <w:lang w:val="en-US"/>
        </w:rPr>
        <w:t xml:space="preserve"> </w:t>
      </w:r>
      <w:r w:rsidR="006B211B" w:rsidRPr="00F26FE9">
        <w:rPr>
          <w:rFonts w:cs="Courier New"/>
          <w:szCs w:val="24"/>
          <w:lang w:val="en"/>
        </w:rPr>
        <w:t xml:space="preserve">Sight accounts also comprise CHF </w:t>
      </w:r>
      <w:r w:rsidR="00F26FE9" w:rsidRPr="00F26FE9">
        <w:rPr>
          <w:rFonts w:cs="Courier New"/>
          <w:szCs w:val="24"/>
          <w:lang w:val="en"/>
        </w:rPr>
        <w:t>10</w:t>
      </w:r>
      <w:r w:rsidR="000A772A">
        <w:rPr>
          <w:rFonts w:cs="Courier New"/>
          <w:szCs w:val="24"/>
          <w:lang w:val="en"/>
        </w:rPr>
        <w:t>3</w:t>
      </w:r>
      <w:r w:rsidR="00F26FE9" w:rsidRPr="00F26FE9">
        <w:rPr>
          <w:rFonts w:cs="Courier New"/>
          <w:szCs w:val="24"/>
          <w:lang w:val="en"/>
        </w:rPr>
        <w:t>.</w:t>
      </w:r>
      <w:r w:rsidR="000A772A">
        <w:rPr>
          <w:rFonts w:cs="Courier New"/>
          <w:szCs w:val="24"/>
          <w:lang w:val="en"/>
        </w:rPr>
        <w:t>3</w:t>
      </w:r>
      <w:r w:rsidR="006B211B" w:rsidRPr="00F26FE9">
        <w:rPr>
          <w:rFonts w:cs="Courier New"/>
          <w:szCs w:val="24"/>
          <w:lang w:val="en"/>
        </w:rPr>
        <w:t xml:space="preserve"> million. Given the policy of negative interest on the financial market, this amount cannot be invested in short-term deposits. These amounts are therefore deposited in current accounts with partners with whom the ITU has been able to negotiate exemption ceilings.</w:t>
      </w:r>
    </w:p>
    <w:p w:rsidR="0022373A" w:rsidRPr="001C2A98" w:rsidRDefault="0022373A" w:rsidP="00E47170">
      <w:pPr>
        <w:pStyle w:val="Heading5"/>
        <w:spacing w:before="120"/>
        <w:jc w:val="both"/>
        <w:rPr>
          <w:lang w:val="en-US"/>
        </w:rPr>
      </w:pPr>
      <w:bookmarkStart w:id="69" w:name="_Toc305764082"/>
      <w:bookmarkStart w:id="70" w:name="_Toc329011632"/>
      <w:r w:rsidRPr="001C2A98">
        <w:rPr>
          <w:lang w:val="en-US"/>
        </w:rPr>
        <w:t xml:space="preserve">Note </w:t>
      </w:r>
      <w:r w:rsidR="009A0DC5">
        <w:rPr>
          <w:lang w:val="en-US"/>
        </w:rPr>
        <w:t>7</w:t>
      </w:r>
      <w:r w:rsidRPr="001C2A98">
        <w:rPr>
          <w:lang w:val="en-US"/>
        </w:rPr>
        <w:tab/>
      </w:r>
      <w:r w:rsidRPr="00ED0279">
        <w:rPr>
          <w:lang w:val="en-US"/>
        </w:rPr>
        <w:t>Investments</w:t>
      </w:r>
      <w:bookmarkEnd w:id="69"/>
      <w:bookmarkEnd w:id="70"/>
    </w:p>
    <w:p w:rsidR="00ED0279" w:rsidRDefault="0022373A" w:rsidP="00BC2788">
      <w:pPr>
        <w:snapToGrid w:val="0"/>
        <w:spacing w:after="120"/>
        <w:jc w:val="both"/>
        <w:rPr>
          <w:lang w:val="en-US"/>
        </w:rPr>
      </w:pPr>
      <w:r w:rsidRPr="001C2A98">
        <w:rPr>
          <w:lang w:val="en-US"/>
        </w:rPr>
        <w:t>Fixed-term investments are remunerated at market rates</w:t>
      </w:r>
      <w:r w:rsidR="00D87FEE">
        <w:rPr>
          <w:lang w:val="en-US"/>
        </w:rPr>
        <w:t xml:space="preserve"> and </w:t>
      </w:r>
      <w:r w:rsidR="00D87FEE" w:rsidRPr="00FA0E3D">
        <w:rPr>
          <w:lang w:val="en-US"/>
        </w:rPr>
        <w:t>classified as financial instruments at fair value through surplus/deficit</w:t>
      </w:r>
      <w:r w:rsidRPr="00FA0E3D">
        <w:rPr>
          <w:lang w:val="en-US"/>
        </w:rPr>
        <w:t>.</w:t>
      </w:r>
      <w:r w:rsidR="00D87FEE" w:rsidRPr="00FA0E3D">
        <w:rPr>
          <w:lang w:val="en-US"/>
        </w:rPr>
        <w:t xml:space="preserve"> The fair value of the cash deposits is equivalent to the carrying amount.</w:t>
      </w:r>
    </w:p>
    <w:tbl>
      <w:tblPr>
        <w:tblW w:w="5000" w:type="pct"/>
        <w:tblLook w:val="04A0" w:firstRow="1" w:lastRow="0" w:firstColumn="1" w:lastColumn="0" w:noHBand="0" w:noVBand="1"/>
      </w:tblPr>
      <w:tblGrid>
        <w:gridCol w:w="6271"/>
        <w:gridCol w:w="1751"/>
        <w:gridCol w:w="1749"/>
      </w:tblGrid>
      <w:tr w:rsidR="002F6D8C" w:rsidRPr="002F6D8C" w:rsidTr="002F6D8C">
        <w:trPr>
          <w:trHeight w:val="499"/>
        </w:trPr>
        <w:tc>
          <w:tcPr>
            <w:tcW w:w="3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D8C" w:rsidRPr="002F6D8C" w:rsidRDefault="002F6D8C" w:rsidP="002F6D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2"/>
                <w:szCs w:val="22"/>
                <w:lang w:val="en-US" w:eastAsia="zh-CN"/>
              </w:rPr>
            </w:pPr>
            <w:r w:rsidRPr="002F6D8C">
              <w:rPr>
                <w:rFonts w:asciiTheme="minorHAnsi" w:hAnsiTheme="minorHAnsi" w:cs="Arial"/>
                <w:sz w:val="22"/>
                <w:szCs w:val="22"/>
                <w:lang w:val="en-US" w:eastAsia="zh-CN"/>
              </w:rPr>
              <w:t xml:space="preserve">In thousands of CHF </w:t>
            </w: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rsidR="002F6D8C" w:rsidRPr="002F6D8C" w:rsidRDefault="002F6D8C" w:rsidP="002F6D8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2F6D8C">
              <w:rPr>
                <w:rFonts w:asciiTheme="minorHAnsi" w:hAnsiTheme="minorHAnsi" w:cs="Arial"/>
                <w:b/>
                <w:bCs/>
                <w:color w:val="000000"/>
                <w:sz w:val="22"/>
                <w:szCs w:val="22"/>
                <w:lang w:val="en-US" w:eastAsia="zh-CN"/>
              </w:rPr>
              <w:t>31.12.2018</w:t>
            </w: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rsidR="002F6D8C" w:rsidRPr="002F6D8C" w:rsidRDefault="002F6D8C" w:rsidP="002F6D8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2F6D8C">
              <w:rPr>
                <w:rFonts w:asciiTheme="minorHAnsi" w:hAnsiTheme="minorHAnsi" w:cs="Arial"/>
                <w:b/>
                <w:bCs/>
                <w:color w:val="000000"/>
                <w:sz w:val="22"/>
                <w:szCs w:val="22"/>
                <w:lang w:val="en-US" w:eastAsia="zh-CN"/>
              </w:rPr>
              <w:t>31.12.2017</w:t>
            </w:r>
          </w:p>
        </w:tc>
      </w:tr>
      <w:tr w:rsidR="002F6D8C" w:rsidRPr="002F6D8C" w:rsidTr="002F6D8C">
        <w:trPr>
          <w:trHeight w:val="255"/>
        </w:trPr>
        <w:tc>
          <w:tcPr>
            <w:tcW w:w="3209" w:type="pct"/>
            <w:tcBorders>
              <w:top w:val="nil"/>
              <w:left w:val="single" w:sz="4" w:space="0" w:color="auto"/>
              <w:bottom w:val="nil"/>
              <w:right w:val="single" w:sz="4" w:space="0" w:color="auto"/>
            </w:tcBorders>
            <w:shd w:val="clear" w:color="auto" w:fill="auto"/>
            <w:noWrap/>
            <w:vAlign w:val="bottom"/>
            <w:hideMark/>
          </w:tcPr>
          <w:p w:rsidR="002F6D8C" w:rsidRPr="002F6D8C" w:rsidRDefault="002F6D8C" w:rsidP="002F6D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w:t>
            </w:r>
          </w:p>
        </w:tc>
        <w:tc>
          <w:tcPr>
            <w:tcW w:w="896" w:type="pct"/>
            <w:tcBorders>
              <w:top w:val="nil"/>
              <w:left w:val="nil"/>
              <w:bottom w:val="nil"/>
              <w:right w:val="single" w:sz="4" w:space="0" w:color="auto"/>
            </w:tcBorders>
            <w:shd w:val="clear" w:color="auto" w:fill="auto"/>
            <w:noWrap/>
            <w:vAlign w:val="bottom"/>
            <w:hideMark/>
          </w:tcPr>
          <w:p w:rsidR="002F6D8C" w:rsidRPr="002F6D8C" w:rsidRDefault="002F6D8C"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w:t>
            </w:r>
          </w:p>
        </w:tc>
        <w:tc>
          <w:tcPr>
            <w:tcW w:w="896" w:type="pct"/>
            <w:tcBorders>
              <w:top w:val="nil"/>
              <w:left w:val="nil"/>
              <w:bottom w:val="nil"/>
              <w:right w:val="single" w:sz="4" w:space="0" w:color="auto"/>
            </w:tcBorders>
            <w:shd w:val="clear" w:color="auto" w:fill="auto"/>
            <w:noWrap/>
            <w:vAlign w:val="bottom"/>
            <w:hideMark/>
          </w:tcPr>
          <w:p w:rsidR="002F6D8C" w:rsidRPr="002F6D8C" w:rsidRDefault="002F6D8C"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w:t>
            </w:r>
          </w:p>
        </w:tc>
      </w:tr>
      <w:tr w:rsidR="002F6D8C" w:rsidRPr="002F6D8C" w:rsidTr="002F6D8C">
        <w:trPr>
          <w:trHeight w:val="255"/>
        </w:trPr>
        <w:tc>
          <w:tcPr>
            <w:tcW w:w="3209" w:type="pct"/>
            <w:tcBorders>
              <w:top w:val="nil"/>
              <w:left w:val="single" w:sz="4" w:space="0" w:color="auto"/>
              <w:bottom w:val="nil"/>
              <w:right w:val="single" w:sz="4" w:space="0" w:color="auto"/>
            </w:tcBorders>
            <w:shd w:val="clear" w:color="auto" w:fill="auto"/>
            <w:noWrap/>
            <w:vAlign w:val="bottom"/>
            <w:hideMark/>
          </w:tcPr>
          <w:p w:rsidR="002F6D8C" w:rsidRPr="002F6D8C" w:rsidRDefault="002F6D8C" w:rsidP="002F6D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Fixed-term investments</w:t>
            </w:r>
          </w:p>
        </w:tc>
        <w:tc>
          <w:tcPr>
            <w:tcW w:w="896" w:type="pct"/>
            <w:tcBorders>
              <w:top w:val="nil"/>
              <w:left w:val="nil"/>
              <w:bottom w:val="nil"/>
              <w:right w:val="single" w:sz="4" w:space="0" w:color="auto"/>
            </w:tcBorders>
            <w:shd w:val="clear" w:color="auto" w:fill="auto"/>
            <w:noWrap/>
            <w:vAlign w:val="bottom"/>
            <w:hideMark/>
          </w:tcPr>
          <w:p w:rsidR="002F6D8C" w:rsidRPr="002F6D8C" w:rsidRDefault="002F6D8C"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xml:space="preserve">              48,996 </w:t>
            </w:r>
          </w:p>
        </w:tc>
        <w:tc>
          <w:tcPr>
            <w:tcW w:w="896" w:type="pct"/>
            <w:tcBorders>
              <w:top w:val="nil"/>
              <w:left w:val="nil"/>
              <w:bottom w:val="nil"/>
              <w:right w:val="single" w:sz="4" w:space="0" w:color="auto"/>
            </w:tcBorders>
            <w:shd w:val="clear" w:color="auto" w:fill="auto"/>
            <w:noWrap/>
            <w:vAlign w:val="bottom"/>
            <w:hideMark/>
          </w:tcPr>
          <w:p w:rsidR="002F6D8C" w:rsidRPr="002F6D8C" w:rsidRDefault="002F6D8C"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xml:space="preserve">              31,363 </w:t>
            </w:r>
          </w:p>
        </w:tc>
      </w:tr>
      <w:tr w:rsidR="002F6D8C" w:rsidRPr="002F6D8C" w:rsidTr="002F6D8C">
        <w:trPr>
          <w:trHeight w:val="255"/>
        </w:trPr>
        <w:tc>
          <w:tcPr>
            <w:tcW w:w="3209" w:type="pct"/>
            <w:tcBorders>
              <w:top w:val="nil"/>
              <w:left w:val="single" w:sz="4" w:space="0" w:color="auto"/>
              <w:bottom w:val="nil"/>
              <w:right w:val="single" w:sz="4" w:space="0" w:color="auto"/>
            </w:tcBorders>
            <w:shd w:val="clear" w:color="auto" w:fill="auto"/>
            <w:noWrap/>
            <w:vAlign w:val="bottom"/>
            <w:hideMark/>
          </w:tcPr>
          <w:p w:rsidR="002F6D8C" w:rsidRPr="002F6D8C" w:rsidRDefault="002F6D8C" w:rsidP="002F6D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w:t>
            </w:r>
          </w:p>
        </w:tc>
        <w:tc>
          <w:tcPr>
            <w:tcW w:w="896" w:type="pct"/>
            <w:tcBorders>
              <w:top w:val="nil"/>
              <w:left w:val="nil"/>
              <w:bottom w:val="nil"/>
              <w:right w:val="single" w:sz="4" w:space="0" w:color="auto"/>
            </w:tcBorders>
            <w:shd w:val="clear" w:color="auto" w:fill="auto"/>
            <w:noWrap/>
            <w:vAlign w:val="bottom"/>
            <w:hideMark/>
          </w:tcPr>
          <w:p w:rsidR="002F6D8C" w:rsidRPr="002F6D8C" w:rsidRDefault="002F6D8C"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w:t>
            </w:r>
          </w:p>
        </w:tc>
        <w:tc>
          <w:tcPr>
            <w:tcW w:w="896" w:type="pct"/>
            <w:tcBorders>
              <w:top w:val="nil"/>
              <w:left w:val="nil"/>
              <w:bottom w:val="nil"/>
              <w:right w:val="single" w:sz="4" w:space="0" w:color="auto"/>
            </w:tcBorders>
            <w:shd w:val="clear" w:color="auto" w:fill="auto"/>
            <w:noWrap/>
            <w:vAlign w:val="bottom"/>
            <w:hideMark/>
          </w:tcPr>
          <w:p w:rsidR="002F6D8C" w:rsidRPr="002F6D8C" w:rsidRDefault="002F6D8C"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w:t>
            </w:r>
          </w:p>
        </w:tc>
      </w:tr>
      <w:tr w:rsidR="002F6D8C" w:rsidRPr="002F6D8C" w:rsidTr="002F6D8C">
        <w:trPr>
          <w:trHeight w:val="499"/>
        </w:trPr>
        <w:tc>
          <w:tcPr>
            <w:tcW w:w="3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6D8C" w:rsidRPr="002F6D8C" w:rsidRDefault="002F6D8C" w:rsidP="002F6D8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2F6D8C">
              <w:rPr>
                <w:rFonts w:asciiTheme="minorHAnsi" w:hAnsiTheme="minorHAnsi" w:cs="Arial"/>
                <w:b/>
                <w:bCs/>
                <w:color w:val="000000"/>
                <w:sz w:val="22"/>
                <w:szCs w:val="22"/>
                <w:lang w:val="en-US" w:eastAsia="zh-CN"/>
              </w:rPr>
              <w:t>Investments</w:t>
            </w: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rsidR="002F6D8C" w:rsidRPr="002F6D8C" w:rsidRDefault="002F6D8C"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2F6D8C">
              <w:rPr>
                <w:rFonts w:asciiTheme="minorHAnsi" w:hAnsiTheme="minorHAnsi" w:cs="Arial"/>
                <w:b/>
                <w:bCs/>
                <w:color w:val="000000"/>
                <w:sz w:val="22"/>
                <w:szCs w:val="22"/>
                <w:lang w:val="en-US" w:eastAsia="zh-CN"/>
              </w:rPr>
              <w:t xml:space="preserve">              48,996 </w:t>
            </w: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rsidR="002F6D8C" w:rsidRPr="002F6D8C" w:rsidRDefault="002F6D8C"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2F6D8C">
              <w:rPr>
                <w:rFonts w:asciiTheme="minorHAnsi" w:hAnsiTheme="minorHAnsi" w:cs="Arial"/>
                <w:b/>
                <w:bCs/>
                <w:color w:val="000000"/>
                <w:sz w:val="22"/>
                <w:szCs w:val="22"/>
                <w:lang w:val="en-US" w:eastAsia="zh-CN"/>
              </w:rPr>
              <w:t xml:space="preserve">              31,363 </w:t>
            </w:r>
          </w:p>
        </w:tc>
      </w:tr>
    </w:tbl>
    <w:p w:rsidR="00917542" w:rsidRDefault="00917542" w:rsidP="00BD4C15">
      <w:pPr>
        <w:tabs>
          <w:tab w:val="clear" w:pos="567"/>
          <w:tab w:val="clear" w:pos="1134"/>
          <w:tab w:val="clear" w:pos="1701"/>
          <w:tab w:val="clear" w:pos="2268"/>
          <w:tab w:val="clear" w:pos="2835"/>
        </w:tabs>
        <w:overflowPunct/>
        <w:autoSpaceDE/>
        <w:autoSpaceDN/>
        <w:adjustRightInd/>
        <w:spacing w:before="0"/>
        <w:textAlignment w:val="auto"/>
        <w:rPr>
          <w:rFonts w:cs="Arial"/>
          <w:szCs w:val="24"/>
          <w:lang w:val="en-US" w:eastAsia="fr-FR"/>
        </w:rPr>
      </w:pPr>
    </w:p>
    <w:p w:rsidR="00227D54" w:rsidRDefault="00227D54">
      <w:pPr>
        <w:tabs>
          <w:tab w:val="clear" w:pos="567"/>
          <w:tab w:val="clear" w:pos="1134"/>
          <w:tab w:val="clear" w:pos="1701"/>
          <w:tab w:val="clear" w:pos="2268"/>
          <w:tab w:val="clear" w:pos="2835"/>
        </w:tabs>
        <w:overflowPunct/>
        <w:autoSpaceDE/>
        <w:autoSpaceDN/>
        <w:adjustRightInd/>
        <w:spacing w:before="0"/>
        <w:textAlignment w:val="auto"/>
        <w:rPr>
          <w:rFonts w:cs="Arial"/>
          <w:szCs w:val="24"/>
          <w:lang w:val="en-US" w:eastAsia="fr-FR"/>
        </w:rPr>
      </w:pPr>
      <w:r>
        <w:rPr>
          <w:rFonts w:cs="Arial"/>
          <w:szCs w:val="24"/>
          <w:lang w:val="en-US" w:eastAsia="fr-FR"/>
        </w:rPr>
        <w:br w:type="page"/>
      </w:r>
    </w:p>
    <w:p w:rsidR="00C700DF" w:rsidRDefault="0022373A" w:rsidP="00BD4C15">
      <w:pPr>
        <w:tabs>
          <w:tab w:val="clear" w:pos="567"/>
          <w:tab w:val="clear" w:pos="1134"/>
          <w:tab w:val="clear" w:pos="1701"/>
          <w:tab w:val="clear" w:pos="2268"/>
          <w:tab w:val="clear" w:pos="2835"/>
        </w:tabs>
        <w:overflowPunct/>
        <w:autoSpaceDE/>
        <w:autoSpaceDN/>
        <w:adjustRightInd/>
        <w:spacing w:before="0"/>
        <w:textAlignment w:val="auto"/>
        <w:rPr>
          <w:rFonts w:cs="Arial"/>
          <w:szCs w:val="24"/>
          <w:lang w:val="en-US" w:eastAsia="fr-FR"/>
        </w:rPr>
      </w:pPr>
      <w:r w:rsidRPr="001C2A98">
        <w:rPr>
          <w:rFonts w:cs="Arial"/>
          <w:szCs w:val="24"/>
          <w:lang w:val="en-US" w:eastAsia="fr-FR"/>
        </w:rPr>
        <w:t xml:space="preserve">A breakdown of fixed-term investments by date of maturity (period remaining) and by currency is shown below: </w:t>
      </w:r>
    </w:p>
    <w:p w:rsidR="00C470E2" w:rsidRDefault="00C470E2" w:rsidP="00BD4C15">
      <w:pPr>
        <w:tabs>
          <w:tab w:val="clear" w:pos="567"/>
          <w:tab w:val="clear" w:pos="1134"/>
          <w:tab w:val="clear" w:pos="1701"/>
          <w:tab w:val="clear" w:pos="2268"/>
          <w:tab w:val="clear" w:pos="2835"/>
        </w:tabs>
        <w:overflowPunct/>
        <w:autoSpaceDE/>
        <w:autoSpaceDN/>
        <w:adjustRightInd/>
        <w:spacing w:before="0"/>
        <w:textAlignment w:val="auto"/>
        <w:rPr>
          <w:rFonts w:cs="Arial"/>
          <w:szCs w:val="24"/>
          <w:lang w:val="en-US" w:eastAsia="fr-FR"/>
        </w:rPr>
      </w:pPr>
    </w:p>
    <w:tbl>
      <w:tblPr>
        <w:tblW w:w="5000" w:type="pct"/>
        <w:tblLayout w:type="fixed"/>
        <w:tblLook w:val="04A0" w:firstRow="1" w:lastRow="0" w:firstColumn="1" w:lastColumn="0" w:noHBand="0" w:noVBand="1"/>
      </w:tblPr>
      <w:tblGrid>
        <w:gridCol w:w="2791"/>
        <w:gridCol w:w="236"/>
        <w:gridCol w:w="1513"/>
        <w:gridCol w:w="1128"/>
        <w:gridCol w:w="713"/>
        <w:gridCol w:w="1088"/>
        <w:gridCol w:w="1128"/>
        <w:gridCol w:w="1174"/>
      </w:tblGrid>
      <w:tr w:rsidR="002F6D8C" w:rsidRPr="001B7091" w:rsidTr="002F6D8C">
        <w:trPr>
          <w:trHeight w:val="499"/>
        </w:trPr>
        <w:tc>
          <w:tcPr>
            <w:tcW w:w="14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073B1A">
              <w:rPr>
                <w:rFonts w:asciiTheme="minorHAnsi" w:hAnsiTheme="minorHAnsi" w:cs="Arial"/>
                <w:b/>
                <w:bCs/>
                <w:color w:val="000000"/>
                <w:sz w:val="22"/>
                <w:szCs w:val="22"/>
                <w:lang w:val="en-US" w:eastAsia="zh-CN"/>
              </w:rPr>
              <w:t>In thousands for each currency</w:t>
            </w:r>
          </w:p>
        </w:tc>
        <w:tc>
          <w:tcPr>
            <w:tcW w:w="113" w:type="pct"/>
            <w:tcBorders>
              <w:top w:val="single" w:sz="4" w:space="0" w:color="auto"/>
              <w:left w:val="nil"/>
              <w:bottom w:val="single" w:sz="4" w:space="0" w:color="auto"/>
              <w:right w:val="nil"/>
            </w:tcBorders>
          </w:tcPr>
          <w:p w:rsidR="00C470E2" w:rsidRPr="001B7091"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p>
        </w:tc>
        <w:tc>
          <w:tcPr>
            <w:tcW w:w="1719"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470E2" w:rsidRPr="00073B1A" w:rsidRDefault="00C470E2" w:rsidP="002F6D8C">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0"/>
                <w:lang w:val="en-US" w:eastAsia="zh-CN"/>
              </w:rPr>
            </w:pPr>
            <w:r w:rsidRPr="00073B1A">
              <w:rPr>
                <w:rFonts w:asciiTheme="minorHAnsi" w:hAnsiTheme="minorHAnsi" w:cs="Arial"/>
                <w:b/>
                <w:bCs/>
                <w:color w:val="000000"/>
                <w:sz w:val="22"/>
                <w:szCs w:val="22"/>
                <w:lang w:val="en-US" w:eastAsia="zh-CN"/>
              </w:rPr>
              <w:t>31.12.201</w:t>
            </w:r>
            <w:r w:rsidR="002F6D8C" w:rsidRPr="00073B1A">
              <w:rPr>
                <w:rFonts w:asciiTheme="minorHAnsi" w:hAnsiTheme="minorHAnsi" w:cs="Arial"/>
                <w:b/>
                <w:bCs/>
                <w:color w:val="000000"/>
                <w:sz w:val="22"/>
                <w:szCs w:val="22"/>
                <w:lang w:val="en-US" w:eastAsia="zh-CN"/>
              </w:rPr>
              <w:t>8</w:t>
            </w:r>
          </w:p>
        </w:tc>
        <w:tc>
          <w:tcPr>
            <w:tcW w:w="173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470E2" w:rsidRPr="001B7091" w:rsidRDefault="00C470E2" w:rsidP="002F6D8C">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073B1A">
              <w:rPr>
                <w:rFonts w:asciiTheme="minorHAnsi" w:hAnsiTheme="minorHAnsi" w:cs="Arial"/>
                <w:b/>
                <w:bCs/>
                <w:color w:val="000000"/>
                <w:sz w:val="22"/>
                <w:szCs w:val="22"/>
                <w:lang w:val="en-US" w:eastAsia="zh-CN"/>
              </w:rPr>
              <w:t>31.12.201</w:t>
            </w:r>
            <w:r w:rsidR="002F6D8C" w:rsidRPr="00073B1A">
              <w:rPr>
                <w:rFonts w:asciiTheme="minorHAnsi" w:hAnsiTheme="minorHAnsi" w:cs="Arial"/>
                <w:b/>
                <w:bCs/>
                <w:color w:val="000000"/>
                <w:sz w:val="22"/>
                <w:szCs w:val="22"/>
                <w:lang w:val="en-US" w:eastAsia="zh-CN"/>
              </w:rPr>
              <w:t>7</w:t>
            </w:r>
          </w:p>
        </w:tc>
      </w:tr>
      <w:tr w:rsidR="002F6D8C" w:rsidRPr="001B7091" w:rsidTr="002F6D8C">
        <w:trPr>
          <w:trHeight w:val="255"/>
        </w:trPr>
        <w:tc>
          <w:tcPr>
            <w:tcW w:w="1429" w:type="pct"/>
            <w:tcBorders>
              <w:top w:val="nil"/>
              <w:left w:val="single" w:sz="4" w:space="0" w:color="auto"/>
              <w:bottom w:val="nil"/>
              <w:right w:val="single" w:sz="4" w:space="0" w:color="auto"/>
            </w:tcBorders>
            <w:shd w:val="clear" w:color="auto" w:fill="auto"/>
            <w:noWrap/>
            <w:vAlign w:val="bottom"/>
            <w:hideMark/>
          </w:tcPr>
          <w:p w:rsidR="00C470E2" w:rsidRPr="001B7091" w:rsidRDefault="00C470E2" w:rsidP="001572ED">
            <w:pPr>
              <w:keepNext/>
              <w:keepLines/>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20"/>
                <w:lang w:val="en-US" w:eastAsia="zh-CN"/>
              </w:rPr>
            </w:pPr>
            <w:r w:rsidRPr="001B7091">
              <w:rPr>
                <w:rFonts w:ascii="Arial" w:hAnsi="Arial" w:cs="Arial"/>
                <w:color w:val="000000"/>
                <w:sz w:val="20"/>
                <w:lang w:val="en-US" w:eastAsia="zh-CN"/>
              </w:rPr>
              <w:t> </w:t>
            </w:r>
          </w:p>
        </w:tc>
        <w:tc>
          <w:tcPr>
            <w:tcW w:w="113" w:type="pct"/>
            <w:tcBorders>
              <w:top w:val="nil"/>
              <w:left w:val="nil"/>
              <w:bottom w:val="nil"/>
              <w:right w:val="nil"/>
            </w:tcBorders>
          </w:tcPr>
          <w:p w:rsidR="00C470E2" w:rsidRPr="001B7091"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775" w:type="pct"/>
            <w:tcBorders>
              <w:top w:val="nil"/>
              <w:left w:val="nil"/>
              <w:bottom w:val="nil"/>
              <w:right w:val="single" w:sz="4" w:space="0" w:color="auto"/>
            </w:tcBorders>
            <w:shd w:val="clear" w:color="auto" w:fill="auto"/>
            <w:noWrap/>
            <w:vAlign w:val="bottom"/>
            <w:hideMark/>
          </w:tcPr>
          <w:p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CHF </w:t>
            </w:r>
          </w:p>
        </w:tc>
        <w:tc>
          <w:tcPr>
            <w:tcW w:w="578" w:type="pct"/>
            <w:tcBorders>
              <w:top w:val="nil"/>
              <w:left w:val="nil"/>
              <w:bottom w:val="nil"/>
              <w:right w:val="single" w:sz="4" w:space="0" w:color="auto"/>
            </w:tcBorders>
            <w:shd w:val="clear" w:color="auto" w:fill="auto"/>
            <w:noWrap/>
            <w:vAlign w:val="bottom"/>
            <w:hideMark/>
          </w:tcPr>
          <w:p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USD </w:t>
            </w:r>
          </w:p>
        </w:tc>
        <w:tc>
          <w:tcPr>
            <w:tcW w:w="366" w:type="pct"/>
            <w:tcBorders>
              <w:top w:val="nil"/>
              <w:left w:val="nil"/>
              <w:bottom w:val="nil"/>
              <w:right w:val="single" w:sz="4" w:space="0" w:color="auto"/>
            </w:tcBorders>
            <w:shd w:val="clear" w:color="auto" w:fill="auto"/>
            <w:noWrap/>
            <w:vAlign w:val="bottom"/>
            <w:hideMark/>
          </w:tcPr>
          <w:p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EUR </w:t>
            </w:r>
          </w:p>
        </w:tc>
        <w:tc>
          <w:tcPr>
            <w:tcW w:w="558" w:type="pct"/>
            <w:tcBorders>
              <w:top w:val="nil"/>
              <w:left w:val="nil"/>
              <w:bottom w:val="nil"/>
              <w:right w:val="single" w:sz="4" w:space="0" w:color="auto"/>
            </w:tcBorders>
            <w:shd w:val="clear" w:color="auto" w:fill="auto"/>
            <w:noWrap/>
            <w:vAlign w:val="bottom"/>
            <w:hideMark/>
          </w:tcPr>
          <w:p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CHF </w:t>
            </w:r>
          </w:p>
        </w:tc>
        <w:tc>
          <w:tcPr>
            <w:tcW w:w="578" w:type="pct"/>
            <w:tcBorders>
              <w:top w:val="nil"/>
              <w:left w:val="nil"/>
              <w:bottom w:val="nil"/>
              <w:right w:val="single" w:sz="4" w:space="0" w:color="auto"/>
            </w:tcBorders>
            <w:shd w:val="clear" w:color="auto" w:fill="auto"/>
            <w:noWrap/>
            <w:vAlign w:val="bottom"/>
            <w:hideMark/>
          </w:tcPr>
          <w:p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USD </w:t>
            </w:r>
          </w:p>
        </w:tc>
        <w:tc>
          <w:tcPr>
            <w:tcW w:w="602" w:type="pct"/>
            <w:tcBorders>
              <w:top w:val="nil"/>
              <w:left w:val="nil"/>
              <w:bottom w:val="nil"/>
              <w:right w:val="single" w:sz="4" w:space="0" w:color="auto"/>
            </w:tcBorders>
            <w:shd w:val="clear" w:color="auto" w:fill="auto"/>
            <w:noWrap/>
            <w:vAlign w:val="bottom"/>
            <w:hideMark/>
          </w:tcPr>
          <w:p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EUR </w:t>
            </w:r>
          </w:p>
        </w:tc>
      </w:tr>
      <w:tr w:rsidR="002F6D8C" w:rsidRPr="001B7091" w:rsidTr="002F6D8C">
        <w:trPr>
          <w:trHeight w:val="255"/>
        </w:trPr>
        <w:tc>
          <w:tcPr>
            <w:tcW w:w="1429" w:type="pct"/>
            <w:tcBorders>
              <w:top w:val="nil"/>
              <w:left w:val="single" w:sz="4" w:space="0" w:color="auto"/>
              <w:bottom w:val="nil"/>
              <w:right w:val="single" w:sz="4" w:space="0" w:color="auto"/>
            </w:tcBorders>
            <w:shd w:val="clear" w:color="auto" w:fill="auto"/>
            <w:noWrap/>
            <w:vAlign w:val="bottom"/>
            <w:hideMark/>
          </w:tcPr>
          <w:p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Maturity</w:t>
            </w:r>
          </w:p>
        </w:tc>
        <w:tc>
          <w:tcPr>
            <w:tcW w:w="113" w:type="pct"/>
            <w:tcBorders>
              <w:top w:val="nil"/>
              <w:left w:val="nil"/>
              <w:bottom w:val="nil"/>
              <w:right w:val="nil"/>
            </w:tcBorders>
          </w:tcPr>
          <w:p w:rsidR="00C470E2" w:rsidRPr="001B7091"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20"/>
                <w:lang w:val="en-US" w:eastAsia="zh-CN"/>
              </w:rPr>
            </w:pPr>
          </w:p>
        </w:tc>
        <w:tc>
          <w:tcPr>
            <w:tcW w:w="775" w:type="pct"/>
            <w:tcBorders>
              <w:top w:val="nil"/>
              <w:left w:val="nil"/>
              <w:bottom w:val="nil"/>
              <w:right w:val="single" w:sz="4" w:space="0" w:color="auto"/>
            </w:tcBorders>
            <w:shd w:val="clear" w:color="auto" w:fill="auto"/>
            <w:noWrap/>
            <w:vAlign w:val="bottom"/>
            <w:hideMark/>
          </w:tcPr>
          <w:p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78" w:type="pct"/>
            <w:tcBorders>
              <w:top w:val="nil"/>
              <w:left w:val="nil"/>
              <w:bottom w:val="nil"/>
              <w:right w:val="single" w:sz="4" w:space="0" w:color="auto"/>
            </w:tcBorders>
            <w:shd w:val="clear" w:color="auto" w:fill="auto"/>
            <w:noWrap/>
            <w:vAlign w:val="bottom"/>
            <w:hideMark/>
          </w:tcPr>
          <w:p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366" w:type="pct"/>
            <w:tcBorders>
              <w:top w:val="nil"/>
              <w:left w:val="nil"/>
              <w:bottom w:val="nil"/>
              <w:right w:val="single" w:sz="4" w:space="0" w:color="auto"/>
            </w:tcBorders>
            <w:shd w:val="clear" w:color="auto" w:fill="auto"/>
            <w:noWrap/>
            <w:vAlign w:val="bottom"/>
            <w:hideMark/>
          </w:tcPr>
          <w:p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58" w:type="pct"/>
            <w:tcBorders>
              <w:top w:val="nil"/>
              <w:left w:val="nil"/>
              <w:bottom w:val="nil"/>
              <w:right w:val="single" w:sz="4" w:space="0" w:color="auto"/>
            </w:tcBorders>
            <w:shd w:val="clear" w:color="auto" w:fill="auto"/>
            <w:noWrap/>
            <w:vAlign w:val="bottom"/>
            <w:hideMark/>
          </w:tcPr>
          <w:p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78" w:type="pct"/>
            <w:tcBorders>
              <w:top w:val="nil"/>
              <w:left w:val="nil"/>
              <w:bottom w:val="nil"/>
              <w:right w:val="single" w:sz="4" w:space="0" w:color="auto"/>
            </w:tcBorders>
            <w:shd w:val="clear" w:color="auto" w:fill="auto"/>
            <w:noWrap/>
            <w:vAlign w:val="bottom"/>
            <w:hideMark/>
          </w:tcPr>
          <w:p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602" w:type="pct"/>
            <w:tcBorders>
              <w:top w:val="nil"/>
              <w:left w:val="nil"/>
              <w:bottom w:val="nil"/>
              <w:right w:val="single" w:sz="4" w:space="0" w:color="auto"/>
            </w:tcBorders>
            <w:shd w:val="clear" w:color="auto" w:fill="auto"/>
            <w:noWrap/>
            <w:vAlign w:val="bottom"/>
            <w:hideMark/>
          </w:tcPr>
          <w:p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r>
      <w:tr w:rsidR="002F6D8C" w:rsidRPr="001B7091" w:rsidTr="002F6D8C">
        <w:trPr>
          <w:trHeight w:val="255"/>
        </w:trPr>
        <w:tc>
          <w:tcPr>
            <w:tcW w:w="1429" w:type="pct"/>
            <w:tcBorders>
              <w:top w:val="nil"/>
              <w:left w:val="single" w:sz="4" w:space="0" w:color="auto"/>
              <w:bottom w:val="nil"/>
              <w:right w:val="single" w:sz="4" w:space="0" w:color="auto"/>
            </w:tcBorders>
            <w:shd w:val="clear" w:color="auto" w:fill="auto"/>
            <w:noWrap/>
            <w:vAlign w:val="bottom"/>
            <w:hideMark/>
          </w:tcPr>
          <w:p w:rsidR="002F6D8C" w:rsidRPr="00073B1A" w:rsidRDefault="002F6D8C" w:rsidP="002F6D8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0 - 3 months </w:t>
            </w:r>
          </w:p>
        </w:tc>
        <w:tc>
          <w:tcPr>
            <w:tcW w:w="113" w:type="pct"/>
            <w:tcBorders>
              <w:top w:val="nil"/>
              <w:left w:val="nil"/>
              <w:bottom w:val="nil"/>
              <w:right w:val="nil"/>
            </w:tcBorders>
          </w:tcPr>
          <w:p w:rsidR="002F6D8C" w:rsidRPr="001B7091" w:rsidRDefault="002F6D8C" w:rsidP="002F6D8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p>
        </w:tc>
        <w:tc>
          <w:tcPr>
            <w:tcW w:w="775"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10,000</w:t>
            </w:r>
          </w:p>
        </w:tc>
        <w:tc>
          <w:tcPr>
            <w:tcW w:w="578"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12,312 </w:t>
            </w:r>
          </w:p>
        </w:tc>
        <w:tc>
          <w:tcPr>
            <w:tcW w:w="366"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w:t>
            </w:r>
          </w:p>
        </w:tc>
        <w:tc>
          <w:tcPr>
            <w:tcW w:w="558"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11 </w:t>
            </w:r>
          </w:p>
        </w:tc>
        <w:tc>
          <w:tcPr>
            <w:tcW w:w="578"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7,512 </w:t>
            </w:r>
          </w:p>
        </w:tc>
        <w:tc>
          <w:tcPr>
            <w:tcW w:w="602"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4 </w:t>
            </w:r>
          </w:p>
        </w:tc>
      </w:tr>
      <w:tr w:rsidR="002F6D8C" w:rsidRPr="001B7091" w:rsidTr="002F6D8C">
        <w:trPr>
          <w:trHeight w:val="255"/>
        </w:trPr>
        <w:tc>
          <w:tcPr>
            <w:tcW w:w="1429" w:type="pct"/>
            <w:tcBorders>
              <w:top w:val="nil"/>
              <w:left w:val="single" w:sz="4" w:space="0" w:color="auto"/>
              <w:bottom w:val="nil"/>
              <w:right w:val="single" w:sz="4" w:space="0" w:color="auto"/>
            </w:tcBorders>
            <w:shd w:val="clear" w:color="auto" w:fill="auto"/>
            <w:noWrap/>
            <w:vAlign w:val="bottom"/>
            <w:hideMark/>
          </w:tcPr>
          <w:p w:rsidR="002F6D8C" w:rsidRPr="00073B1A" w:rsidRDefault="002F6D8C" w:rsidP="002F6D8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4 - 6 months </w:t>
            </w:r>
          </w:p>
        </w:tc>
        <w:tc>
          <w:tcPr>
            <w:tcW w:w="113" w:type="pct"/>
            <w:tcBorders>
              <w:top w:val="nil"/>
              <w:left w:val="nil"/>
              <w:bottom w:val="nil"/>
              <w:right w:val="nil"/>
            </w:tcBorders>
          </w:tcPr>
          <w:p w:rsidR="002F6D8C" w:rsidRPr="001B7091" w:rsidRDefault="002F6D8C" w:rsidP="002F6D8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p>
        </w:tc>
        <w:tc>
          <w:tcPr>
            <w:tcW w:w="775"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78"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18,500 </w:t>
            </w:r>
          </w:p>
        </w:tc>
        <w:tc>
          <w:tcPr>
            <w:tcW w:w="366"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58"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78"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16,000 </w:t>
            </w:r>
          </w:p>
        </w:tc>
        <w:tc>
          <w:tcPr>
            <w:tcW w:w="602"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r>
      <w:tr w:rsidR="002F6D8C" w:rsidRPr="001B7091" w:rsidTr="002F6D8C">
        <w:trPr>
          <w:trHeight w:val="255"/>
        </w:trPr>
        <w:tc>
          <w:tcPr>
            <w:tcW w:w="1429" w:type="pct"/>
            <w:tcBorders>
              <w:top w:val="nil"/>
              <w:left w:val="single" w:sz="4" w:space="0" w:color="auto"/>
              <w:bottom w:val="nil"/>
              <w:right w:val="single" w:sz="4" w:space="0" w:color="auto"/>
            </w:tcBorders>
            <w:shd w:val="clear" w:color="auto" w:fill="auto"/>
            <w:noWrap/>
            <w:vAlign w:val="bottom"/>
            <w:hideMark/>
          </w:tcPr>
          <w:p w:rsidR="002F6D8C" w:rsidRPr="00073B1A" w:rsidRDefault="002F6D8C" w:rsidP="002F6D8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7 - 9 months</w:t>
            </w:r>
          </w:p>
        </w:tc>
        <w:tc>
          <w:tcPr>
            <w:tcW w:w="113" w:type="pct"/>
            <w:tcBorders>
              <w:top w:val="nil"/>
              <w:left w:val="nil"/>
              <w:bottom w:val="nil"/>
              <w:right w:val="nil"/>
            </w:tcBorders>
          </w:tcPr>
          <w:p w:rsidR="002F6D8C" w:rsidRPr="001B7091" w:rsidRDefault="002F6D8C" w:rsidP="002F6D8C">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p>
        </w:tc>
        <w:tc>
          <w:tcPr>
            <w:tcW w:w="775"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78"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8,000 </w:t>
            </w:r>
          </w:p>
        </w:tc>
        <w:tc>
          <w:tcPr>
            <w:tcW w:w="366"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58"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78"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xml:space="preserve">      8,000 </w:t>
            </w:r>
          </w:p>
        </w:tc>
        <w:tc>
          <w:tcPr>
            <w:tcW w:w="602" w:type="pct"/>
            <w:tcBorders>
              <w:top w:val="nil"/>
              <w:left w:val="nil"/>
              <w:bottom w:val="nil"/>
              <w:right w:val="single" w:sz="4" w:space="0" w:color="auto"/>
            </w:tcBorders>
            <w:shd w:val="clear" w:color="auto" w:fill="auto"/>
            <w:noWrap/>
            <w:vAlign w:val="bottom"/>
            <w:hideMark/>
          </w:tcPr>
          <w:p w:rsidR="002F6D8C" w:rsidRPr="00073B1A" w:rsidRDefault="002F6D8C"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r>
      <w:tr w:rsidR="002F6D8C" w:rsidRPr="001B7091" w:rsidTr="002F6D8C">
        <w:trPr>
          <w:trHeight w:val="255"/>
        </w:trPr>
        <w:tc>
          <w:tcPr>
            <w:tcW w:w="1429" w:type="pct"/>
            <w:tcBorders>
              <w:top w:val="nil"/>
              <w:left w:val="single" w:sz="4" w:space="0" w:color="auto"/>
              <w:bottom w:val="nil"/>
              <w:right w:val="single" w:sz="4" w:space="0" w:color="auto"/>
            </w:tcBorders>
            <w:shd w:val="clear" w:color="auto" w:fill="auto"/>
            <w:noWrap/>
            <w:vAlign w:val="bottom"/>
            <w:hideMark/>
          </w:tcPr>
          <w:p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over 9 months</w:t>
            </w:r>
          </w:p>
        </w:tc>
        <w:tc>
          <w:tcPr>
            <w:tcW w:w="113" w:type="pct"/>
            <w:tcBorders>
              <w:top w:val="nil"/>
              <w:left w:val="nil"/>
              <w:bottom w:val="nil"/>
              <w:right w:val="nil"/>
            </w:tcBorders>
          </w:tcPr>
          <w:p w:rsidR="00C470E2" w:rsidRPr="001B7091" w:rsidRDefault="00C470E2" w:rsidP="001572E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p>
        </w:tc>
        <w:tc>
          <w:tcPr>
            <w:tcW w:w="775" w:type="pct"/>
            <w:tcBorders>
              <w:top w:val="nil"/>
              <w:left w:val="nil"/>
              <w:bottom w:val="nil"/>
              <w:right w:val="single" w:sz="4" w:space="0" w:color="auto"/>
            </w:tcBorders>
            <w:shd w:val="clear" w:color="auto" w:fill="auto"/>
            <w:noWrap/>
            <w:vAlign w:val="bottom"/>
            <w:hideMark/>
          </w:tcPr>
          <w:p w:rsidR="00C470E2" w:rsidRPr="00073B1A" w:rsidRDefault="00C470E2"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78" w:type="pct"/>
            <w:tcBorders>
              <w:top w:val="nil"/>
              <w:left w:val="nil"/>
              <w:bottom w:val="nil"/>
              <w:right w:val="single" w:sz="4" w:space="0" w:color="auto"/>
            </w:tcBorders>
            <w:shd w:val="clear" w:color="auto" w:fill="auto"/>
            <w:noWrap/>
            <w:vAlign w:val="bottom"/>
            <w:hideMark/>
          </w:tcPr>
          <w:p w:rsidR="00C470E2" w:rsidRPr="00073B1A" w:rsidRDefault="00C470E2"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366" w:type="pct"/>
            <w:tcBorders>
              <w:top w:val="nil"/>
              <w:left w:val="nil"/>
              <w:bottom w:val="nil"/>
              <w:right w:val="single" w:sz="4" w:space="0" w:color="auto"/>
            </w:tcBorders>
            <w:shd w:val="clear" w:color="auto" w:fill="auto"/>
            <w:noWrap/>
            <w:vAlign w:val="bottom"/>
            <w:hideMark/>
          </w:tcPr>
          <w:p w:rsidR="00C470E2" w:rsidRPr="00073B1A" w:rsidRDefault="00C470E2"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58" w:type="pct"/>
            <w:tcBorders>
              <w:top w:val="nil"/>
              <w:left w:val="nil"/>
              <w:bottom w:val="nil"/>
              <w:right w:val="single" w:sz="4" w:space="0" w:color="auto"/>
            </w:tcBorders>
            <w:shd w:val="clear" w:color="auto" w:fill="auto"/>
            <w:noWrap/>
            <w:vAlign w:val="bottom"/>
            <w:hideMark/>
          </w:tcPr>
          <w:p w:rsidR="00C470E2" w:rsidRPr="00073B1A" w:rsidRDefault="00C470E2"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578" w:type="pct"/>
            <w:tcBorders>
              <w:top w:val="nil"/>
              <w:left w:val="nil"/>
              <w:bottom w:val="nil"/>
              <w:right w:val="single" w:sz="4" w:space="0" w:color="auto"/>
            </w:tcBorders>
            <w:shd w:val="clear" w:color="auto" w:fill="auto"/>
            <w:noWrap/>
            <w:vAlign w:val="bottom"/>
            <w:hideMark/>
          </w:tcPr>
          <w:p w:rsidR="00C470E2" w:rsidRPr="00073B1A" w:rsidRDefault="00C470E2"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c>
          <w:tcPr>
            <w:tcW w:w="602" w:type="pct"/>
            <w:tcBorders>
              <w:top w:val="nil"/>
              <w:left w:val="nil"/>
              <w:bottom w:val="nil"/>
              <w:right w:val="single" w:sz="4" w:space="0" w:color="auto"/>
            </w:tcBorders>
            <w:shd w:val="clear" w:color="auto" w:fill="auto"/>
            <w:noWrap/>
            <w:vAlign w:val="bottom"/>
            <w:hideMark/>
          </w:tcPr>
          <w:p w:rsidR="00C470E2" w:rsidRPr="00073B1A" w:rsidRDefault="00C470E2"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073B1A">
              <w:rPr>
                <w:rFonts w:asciiTheme="minorHAnsi" w:hAnsiTheme="minorHAnsi" w:cs="Arial"/>
                <w:color w:val="000000"/>
                <w:sz w:val="22"/>
                <w:szCs w:val="22"/>
                <w:lang w:val="en-US" w:eastAsia="zh-CN"/>
              </w:rPr>
              <w:t> </w:t>
            </w:r>
          </w:p>
        </w:tc>
      </w:tr>
      <w:tr w:rsidR="002F6D8C" w:rsidRPr="001B7091" w:rsidTr="002F6D8C">
        <w:trPr>
          <w:trHeight w:val="499"/>
        </w:trPr>
        <w:tc>
          <w:tcPr>
            <w:tcW w:w="14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70E2" w:rsidRPr="00073B1A" w:rsidRDefault="00C470E2" w:rsidP="001572ED">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073B1A">
              <w:rPr>
                <w:rFonts w:asciiTheme="minorHAnsi" w:hAnsiTheme="minorHAnsi" w:cs="Arial"/>
                <w:b/>
                <w:bCs/>
                <w:color w:val="000000"/>
                <w:sz w:val="22"/>
                <w:szCs w:val="22"/>
                <w:lang w:val="en-US" w:eastAsia="zh-CN"/>
              </w:rPr>
              <w:t>Investments</w:t>
            </w:r>
          </w:p>
        </w:tc>
        <w:tc>
          <w:tcPr>
            <w:tcW w:w="113" w:type="pct"/>
            <w:tcBorders>
              <w:top w:val="single" w:sz="4" w:space="0" w:color="auto"/>
              <w:left w:val="nil"/>
              <w:bottom w:val="single" w:sz="4" w:space="0" w:color="auto"/>
              <w:right w:val="nil"/>
            </w:tcBorders>
          </w:tcPr>
          <w:p w:rsidR="00C470E2" w:rsidRPr="001B7091" w:rsidRDefault="00C470E2" w:rsidP="001572ED">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p>
        </w:tc>
        <w:tc>
          <w:tcPr>
            <w:tcW w:w="775" w:type="pct"/>
            <w:tcBorders>
              <w:top w:val="single" w:sz="4" w:space="0" w:color="auto"/>
              <w:left w:val="nil"/>
              <w:bottom w:val="single" w:sz="4" w:space="0" w:color="auto"/>
              <w:right w:val="single" w:sz="4" w:space="0" w:color="auto"/>
            </w:tcBorders>
            <w:shd w:val="clear" w:color="auto" w:fill="auto"/>
            <w:noWrap/>
            <w:vAlign w:val="center"/>
            <w:hideMark/>
          </w:tcPr>
          <w:p w:rsidR="00C470E2" w:rsidRPr="00073B1A" w:rsidRDefault="00C470E2"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73B1A">
              <w:rPr>
                <w:rFonts w:asciiTheme="minorHAnsi" w:hAnsiTheme="minorHAnsi" w:cs="Arial"/>
                <w:b/>
                <w:bCs/>
                <w:color w:val="000000"/>
                <w:sz w:val="22"/>
                <w:szCs w:val="22"/>
                <w:lang w:val="en-US" w:eastAsia="zh-CN"/>
              </w:rPr>
              <w:t xml:space="preserve">         1</w:t>
            </w:r>
            <w:r w:rsidR="002F6D8C" w:rsidRPr="00073B1A">
              <w:rPr>
                <w:rFonts w:asciiTheme="minorHAnsi" w:hAnsiTheme="minorHAnsi" w:cs="Arial"/>
                <w:b/>
                <w:bCs/>
                <w:color w:val="000000"/>
                <w:sz w:val="22"/>
                <w:szCs w:val="22"/>
                <w:lang w:val="en-US" w:eastAsia="zh-CN"/>
              </w:rPr>
              <w:t>0,000</w:t>
            </w:r>
          </w:p>
        </w:tc>
        <w:tc>
          <w:tcPr>
            <w:tcW w:w="578" w:type="pct"/>
            <w:tcBorders>
              <w:top w:val="single" w:sz="4" w:space="0" w:color="auto"/>
              <w:left w:val="nil"/>
              <w:bottom w:val="single" w:sz="4" w:space="0" w:color="auto"/>
              <w:right w:val="single" w:sz="4" w:space="0" w:color="auto"/>
            </w:tcBorders>
            <w:shd w:val="clear" w:color="auto" w:fill="auto"/>
            <w:noWrap/>
            <w:vAlign w:val="center"/>
            <w:hideMark/>
          </w:tcPr>
          <w:p w:rsidR="00C470E2" w:rsidRPr="00073B1A" w:rsidRDefault="00C470E2"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73B1A">
              <w:rPr>
                <w:rFonts w:asciiTheme="minorHAnsi" w:hAnsiTheme="minorHAnsi" w:cs="Arial"/>
                <w:b/>
                <w:bCs/>
                <w:color w:val="000000"/>
                <w:sz w:val="22"/>
                <w:szCs w:val="22"/>
                <w:lang w:val="en-US" w:eastAsia="zh-CN"/>
              </w:rPr>
              <w:t xml:space="preserve">    3</w:t>
            </w:r>
            <w:r w:rsidR="002F6D8C" w:rsidRPr="00073B1A">
              <w:rPr>
                <w:rFonts w:asciiTheme="minorHAnsi" w:hAnsiTheme="minorHAnsi" w:cs="Arial"/>
                <w:b/>
                <w:bCs/>
                <w:color w:val="000000"/>
                <w:sz w:val="22"/>
                <w:szCs w:val="22"/>
                <w:lang w:val="en-US" w:eastAsia="zh-CN"/>
              </w:rPr>
              <w:t>8</w:t>
            </w:r>
            <w:r w:rsidRPr="00073B1A">
              <w:rPr>
                <w:rFonts w:asciiTheme="minorHAnsi" w:hAnsiTheme="minorHAnsi" w:cs="Arial"/>
                <w:b/>
                <w:bCs/>
                <w:color w:val="000000"/>
                <w:sz w:val="22"/>
                <w:szCs w:val="22"/>
                <w:lang w:val="en-US" w:eastAsia="zh-CN"/>
              </w:rPr>
              <w:t>,</w:t>
            </w:r>
            <w:r w:rsidR="002F6D8C" w:rsidRPr="00073B1A">
              <w:rPr>
                <w:rFonts w:asciiTheme="minorHAnsi" w:hAnsiTheme="minorHAnsi" w:cs="Arial"/>
                <w:b/>
                <w:bCs/>
                <w:color w:val="000000"/>
                <w:sz w:val="22"/>
                <w:szCs w:val="22"/>
                <w:lang w:val="en-US" w:eastAsia="zh-CN"/>
              </w:rPr>
              <w:t>812</w:t>
            </w:r>
            <w:r w:rsidRPr="00073B1A">
              <w:rPr>
                <w:rFonts w:asciiTheme="minorHAnsi" w:hAnsiTheme="minorHAnsi" w:cs="Arial"/>
                <w:b/>
                <w:bCs/>
                <w:color w:val="000000"/>
                <w:sz w:val="22"/>
                <w:szCs w:val="22"/>
                <w:lang w:val="en-US" w:eastAsia="zh-CN"/>
              </w:rPr>
              <w:t xml:space="preserve">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C470E2" w:rsidRPr="00073B1A" w:rsidRDefault="00C470E2"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73B1A">
              <w:rPr>
                <w:rFonts w:asciiTheme="minorHAnsi" w:hAnsiTheme="minorHAnsi" w:cs="Arial"/>
                <w:b/>
                <w:bCs/>
                <w:color w:val="000000"/>
                <w:sz w:val="22"/>
                <w:szCs w:val="22"/>
                <w:lang w:val="en-US" w:eastAsia="zh-CN"/>
              </w:rPr>
              <w:t xml:space="preserve">               </w:t>
            </w:r>
          </w:p>
        </w:tc>
        <w:tc>
          <w:tcPr>
            <w:tcW w:w="558" w:type="pct"/>
            <w:tcBorders>
              <w:top w:val="single" w:sz="4" w:space="0" w:color="auto"/>
              <w:left w:val="nil"/>
              <w:bottom w:val="single" w:sz="4" w:space="0" w:color="auto"/>
              <w:right w:val="single" w:sz="4" w:space="0" w:color="auto"/>
            </w:tcBorders>
            <w:shd w:val="clear" w:color="auto" w:fill="auto"/>
            <w:noWrap/>
            <w:vAlign w:val="center"/>
            <w:hideMark/>
          </w:tcPr>
          <w:p w:rsidR="00C470E2" w:rsidRPr="00073B1A" w:rsidRDefault="00C470E2"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73B1A">
              <w:rPr>
                <w:rFonts w:asciiTheme="minorHAnsi" w:hAnsiTheme="minorHAnsi" w:cs="Arial"/>
                <w:b/>
                <w:bCs/>
                <w:color w:val="000000"/>
                <w:sz w:val="22"/>
                <w:szCs w:val="22"/>
                <w:lang w:val="en-US" w:eastAsia="zh-CN"/>
              </w:rPr>
              <w:t xml:space="preserve">      </w:t>
            </w:r>
            <w:r w:rsidR="002F6D8C" w:rsidRPr="00073B1A">
              <w:rPr>
                <w:rFonts w:asciiTheme="minorHAnsi" w:hAnsiTheme="minorHAnsi" w:cs="Arial"/>
                <w:b/>
                <w:bCs/>
                <w:color w:val="000000"/>
                <w:sz w:val="22"/>
                <w:szCs w:val="22"/>
                <w:lang w:val="en-US" w:eastAsia="zh-CN"/>
              </w:rPr>
              <w:t>11</w:t>
            </w:r>
            <w:r w:rsidRPr="00073B1A">
              <w:rPr>
                <w:rFonts w:asciiTheme="minorHAnsi" w:hAnsiTheme="minorHAnsi" w:cs="Arial"/>
                <w:b/>
                <w:bCs/>
                <w:color w:val="000000"/>
                <w:sz w:val="22"/>
                <w:szCs w:val="22"/>
                <w:lang w:val="en-US" w:eastAsia="zh-CN"/>
              </w:rPr>
              <w:t xml:space="preserve"> </w:t>
            </w:r>
          </w:p>
        </w:tc>
        <w:tc>
          <w:tcPr>
            <w:tcW w:w="578" w:type="pct"/>
            <w:tcBorders>
              <w:top w:val="single" w:sz="4" w:space="0" w:color="auto"/>
              <w:left w:val="nil"/>
              <w:bottom w:val="single" w:sz="4" w:space="0" w:color="auto"/>
              <w:right w:val="single" w:sz="4" w:space="0" w:color="auto"/>
            </w:tcBorders>
            <w:shd w:val="clear" w:color="auto" w:fill="auto"/>
            <w:noWrap/>
            <w:vAlign w:val="center"/>
            <w:hideMark/>
          </w:tcPr>
          <w:p w:rsidR="00C470E2" w:rsidRPr="00073B1A" w:rsidRDefault="00C470E2"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73B1A">
              <w:rPr>
                <w:rFonts w:asciiTheme="minorHAnsi" w:hAnsiTheme="minorHAnsi" w:cs="Arial"/>
                <w:b/>
                <w:bCs/>
                <w:color w:val="000000"/>
                <w:sz w:val="22"/>
                <w:szCs w:val="22"/>
                <w:lang w:val="en-US" w:eastAsia="zh-CN"/>
              </w:rPr>
              <w:t xml:space="preserve">     </w:t>
            </w:r>
            <w:r w:rsidR="002F6D8C" w:rsidRPr="00073B1A">
              <w:rPr>
                <w:rFonts w:asciiTheme="minorHAnsi" w:hAnsiTheme="minorHAnsi" w:cs="Arial"/>
                <w:b/>
                <w:bCs/>
                <w:color w:val="000000"/>
                <w:sz w:val="22"/>
                <w:szCs w:val="22"/>
                <w:lang w:val="en-US" w:eastAsia="zh-CN"/>
              </w:rPr>
              <w:t>31,512</w:t>
            </w:r>
            <w:r w:rsidRPr="00073B1A">
              <w:rPr>
                <w:rFonts w:asciiTheme="minorHAnsi" w:hAnsiTheme="minorHAnsi" w:cs="Arial"/>
                <w:b/>
                <w:bCs/>
                <w:color w:val="000000"/>
                <w:sz w:val="22"/>
                <w:szCs w:val="22"/>
                <w:lang w:val="en-US" w:eastAsia="zh-CN"/>
              </w:rPr>
              <w:t xml:space="preserve"> </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rsidR="00C470E2" w:rsidRPr="00073B1A" w:rsidRDefault="00C470E2" w:rsidP="00F15482">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73B1A">
              <w:rPr>
                <w:rFonts w:asciiTheme="minorHAnsi" w:hAnsiTheme="minorHAnsi" w:cs="Arial"/>
                <w:b/>
                <w:bCs/>
                <w:color w:val="000000"/>
                <w:sz w:val="22"/>
                <w:szCs w:val="22"/>
                <w:lang w:val="en-US" w:eastAsia="zh-CN"/>
              </w:rPr>
              <w:t xml:space="preserve">              4 </w:t>
            </w:r>
          </w:p>
        </w:tc>
      </w:tr>
    </w:tbl>
    <w:p w:rsidR="0070318B" w:rsidRDefault="0070318B" w:rsidP="00224A06">
      <w:pPr>
        <w:tabs>
          <w:tab w:val="clear" w:pos="567"/>
          <w:tab w:val="clear" w:pos="1134"/>
          <w:tab w:val="clear" w:pos="1701"/>
          <w:tab w:val="clear" w:pos="2268"/>
          <w:tab w:val="clear" w:pos="2835"/>
        </w:tabs>
        <w:overflowPunct/>
        <w:autoSpaceDE/>
        <w:autoSpaceDN/>
        <w:snapToGrid w:val="0"/>
        <w:spacing w:before="0"/>
        <w:textAlignment w:val="auto"/>
        <w:rPr>
          <w:rFonts w:cs="Arial"/>
          <w:szCs w:val="24"/>
          <w:lang w:val="en-US" w:eastAsia="fr-FR"/>
        </w:rPr>
      </w:pPr>
    </w:p>
    <w:p w:rsidR="00560B06" w:rsidRPr="00560B06" w:rsidRDefault="00560B06" w:rsidP="001137C4">
      <w:pPr>
        <w:snapToGrid w:val="0"/>
        <w:spacing w:before="0"/>
        <w:jc w:val="both"/>
        <w:rPr>
          <w:lang w:val="en-US" w:eastAsia="fr-FR"/>
        </w:rPr>
      </w:pPr>
      <w:r w:rsidRPr="00560B06">
        <w:rPr>
          <w:lang w:val="en-US" w:eastAsia="fr-FR"/>
        </w:rPr>
        <w:t xml:space="preserve">A deposit in Swiss Francs has been made possible with the Swiss National Bank who grants to the </w:t>
      </w:r>
      <w:r w:rsidR="001137C4">
        <w:rPr>
          <w:lang w:val="en-US" w:eastAsia="fr-FR"/>
        </w:rPr>
        <w:t>i</w:t>
      </w:r>
      <w:r w:rsidRPr="00560B06">
        <w:rPr>
          <w:lang w:val="en-US" w:eastAsia="fr-FR"/>
        </w:rPr>
        <w:t xml:space="preserve">nternational </w:t>
      </w:r>
      <w:r w:rsidR="001137C4">
        <w:rPr>
          <w:lang w:val="en-US" w:eastAsia="fr-FR"/>
        </w:rPr>
        <w:t>o</w:t>
      </w:r>
      <w:r w:rsidRPr="00560B06">
        <w:rPr>
          <w:lang w:val="en-US" w:eastAsia="fr-FR"/>
        </w:rPr>
        <w:t>rganization</w:t>
      </w:r>
      <w:r w:rsidR="001137C4">
        <w:rPr>
          <w:lang w:val="en-US" w:eastAsia="fr-FR"/>
        </w:rPr>
        <w:t>s</w:t>
      </w:r>
      <w:r w:rsidRPr="00560B06">
        <w:rPr>
          <w:lang w:val="en-US" w:eastAsia="fr-FR"/>
        </w:rPr>
        <w:t xml:space="preserve"> a threshold of CHF 10 million without negative interest</w:t>
      </w:r>
      <w:r w:rsidR="001137C4">
        <w:rPr>
          <w:lang w:val="en-US" w:eastAsia="fr-FR"/>
        </w:rPr>
        <w:t>s</w:t>
      </w:r>
      <w:r w:rsidRPr="00560B06">
        <w:rPr>
          <w:lang w:val="en-US" w:eastAsia="fr-FR"/>
        </w:rPr>
        <w:t>.</w:t>
      </w:r>
    </w:p>
    <w:p w:rsidR="00224A06" w:rsidRDefault="00224A06" w:rsidP="001137C4">
      <w:pPr>
        <w:snapToGrid w:val="0"/>
        <w:spacing w:before="0"/>
        <w:jc w:val="both"/>
        <w:rPr>
          <w:lang w:val="en-US" w:eastAsia="fr-FR"/>
        </w:rPr>
      </w:pPr>
    </w:p>
    <w:p w:rsidR="0022373A" w:rsidRDefault="0022373A" w:rsidP="001137C4">
      <w:pPr>
        <w:pStyle w:val="Heading5"/>
        <w:spacing w:before="0"/>
        <w:jc w:val="both"/>
        <w:rPr>
          <w:lang w:val="en-US"/>
        </w:rPr>
      </w:pPr>
      <w:bookmarkStart w:id="71" w:name="_Toc305764083"/>
      <w:bookmarkStart w:id="72" w:name="_Toc329011633"/>
      <w:r w:rsidRPr="001C2A98">
        <w:rPr>
          <w:lang w:val="en-US"/>
        </w:rPr>
        <w:t xml:space="preserve">Note </w:t>
      </w:r>
      <w:r w:rsidR="00C700DF">
        <w:rPr>
          <w:lang w:val="en-US"/>
        </w:rPr>
        <w:t>8</w:t>
      </w:r>
      <w:r w:rsidRPr="001C2A98">
        <w:rPr>
          <w:lang w:val="en-US"/>
        </w:rPr>
        <w:tab/>
        <w:t>Receivables</w:t>
      </w:r>
      <w:bookmarkEnd w:id="71"/>
      <w:bookmarkEnd w:id="72"/>
    </w:p>
    <w:p w:rsidR="00B65DBE" w:rsidRPr="00B65DBE" w:rsidRDefault="00B65DBE" w:rsidP="001137C4">
      <w:pPr>
        <w:spacing w:before="0"/>
        <w:rPr>
          <w:lang w:val="en-US"/>
        </w:rPr>
      </w:pPr>
    </w:p>
    <w:p w:rsidR="00C700DF" w:rsidRDefault="0022373A" w:rsidP="001137C4">
      <w:pPr>
        <w:spacing w:before="0"/>
        <w:jc w:val="both"/>
        <w:rPr>
          <w:lang w:val="en-US"/>
        </w:rPr>
      </w:pPr>
      <w:r w:rsidRPr="00B367D2">
        <w:rPr>
          <w:lang w:val="en-US"/>
        </w:rPr>
        <w:t xml:space="preserve">Receivables represent as yet uncollected revenue that Member States, Sector Members and Associates have committed to pay to ITU in respect of annual contributions, purchase of publications, satellite network filings or other invoices. Amounts due on contributions bear interest from the beginning of the fourth month of each financial year of the Union at </w:t>
      </w:r>
      <w:r w:rsidR="00031055">
        <w:rPr>
          <w:lang w:val="en-US"/>
        </w:rPr>
        <w:t>three</w:t>
      </w:r>
      <w:r w:rsidRPr="00B367D2">
        <w:rPr>
          <w:lang w:val="en-US"/>
        </w:rPr>
        <w:t xml:space="preserve"> per cent per annum during the following three months, and at </w:t>
      </w:r>
      <w:r w:rsidR="00031055">
        <w:rPr>
          <w:lang w:val="en-US"/>
        </w:rPr>
        <w:t>six</w:t>
      </w:r>
      <w:r w:rsidRPr="00B367D2">
        <w:rPr>
          <w:lang w:val="en-US"/>
        </w:rPr>
        <w:t xml:space="preserve"> per cent per annum as from the beginning of the seventh month.</w:t>
      </w:r>
    </w:p>
    <w:p w:rsidR="0022373A" w:rsidRPr="00B367D2" w:rsidRDefault="0022373A" w:rsidP="00C700DF">
      <w:pPr>
        <w:jc w:val="both"/>
        <w:rPr>
          <w:lang w:val="en-US"/>
        </w:rPr>
      </w:pPr>
      <w:r w:rsidRPr="00B367D2">
        <w:rPr>
          <w:lang w:val="en-US"/>
        </w:rPr>
        <w:t>Non-current, non-exchange receivables represent receivables from the debt repayment schedules applicable to members having undertaken to repay such debts under an agreement spanning several financial periods.</w:t>
      </w:r>
    </w:p>
    <w:p w:rsidR="00BD4C15" w:rsidRDefault="0022373A" w:rsidP="00C700DF">
      <w:pPr>
        <w:snapToGrid w:val="0"/>
        <w:jc w:val="both"/>
        <w:rPr>
          <w:lang w:val="en-US"/>
        </w:rPr>
      </w:pPr>
      <w:r w:rsidRPr="00B367D2">
        <w:rPr>
          <w:lang w:val="en-US"/>
        </w:rPr>
        <w:t>Other receivables represent uncollected revenue for services associated with TELECOM and voluntary contributions.</w:t>
      </w:r>
    </w:p>
    <w:p w:rsidR="00EE259B" w:rsidRDefault="00BD4C15" w:rsidP="00917542">
      <w:pPr>
        <w:pStyle w:val="ListParagraph"/>
        <w:adjustRightInd w:val="0"/>
        <w:snapToGrid w:val="0"/>
        <w:spacing w:before="120"/>
        <w:ind w:left="0"/>
        <w:contextualSpacing w:val="0"/>
        <w:jc w:val="both"/>
        <w:rPr>
          <w:rFonts w:ascii="Calibri" w:eastAsia="Times New Roman" w:hAnsi="Calibri"/>
          <w:lang w:eastAsia="en-US"/>
        </w:rPr>
      </w:pPr>
      <w:r w:rsidRPr="009A6474">
        <w:rPr>
          <w:rFonts w:ascii="Calibri" w:eastAsia="Times New Roman" w:hAnsi="Calibri"/>
          <w:lang w:eastAsia="en-US"/>
        </w:rPr>
        <w:t xml:space="preserve">It is worth emphasizing that, since the implementation of IPSAS, a provision of 100 per cent has been recognized for all arrears, special arrears accounts and cancelled special arrears accounts. </w:t>
      </w:r>
      <w:r w:rsidR="00B75C1F" w:rsidRPr="009A6474">
        <w:rPr>
          <w:rFonts w:ascii="Calibri" w:eastAsia="Times New Roman" w:hAnsi="Calibri"/>
          <w:lang w:eastAsia="en-US"/>
        </w:rPr>
        <w:t xml:space="preserve">The main indicators show the Union’s immediate financial situation to be healthy, despite a level of debtors with 12 months or more overdue payments (arrears, special arrears accounts and cancelled special arrears accounts) totaling </w:t>
      </w:r>
      <w:r w:rsidR="00B75C1F" w:rsidRPr="00ED0279">
        <w:rPr>
          <w:rFonts w:ascii="Calibri" w:eastAsia="Times New Roman" w:hAnsi="Calibri"/>
          <w:lang w:eastAsia="en-US"/>
        </w:rPr>
        <w:t>CHF </w:t>
      </w:r>
      <w:r w:rsidR="00917542">
        <w:rPr>
          <w:rFonts w:ascii="Calibri" w:eastAsia="Times New Roman" w:hAnsi="Calibri"/>
          <w:lang w:eastAsia="en-US"/>
        </w:rPr>
        <w:t>39.7</w:t>
      </w:r>
      <w:r w:rsidR="00B75C1F" w:rsidRPr="00ED0279">
        <w:rPr>
          <w:rFonts w:ascii="Calibri" w:eastAsia="Times New Roman" w:hAnsi="Calibri"/>
          <w:lang w:eastAsia="en-US"/>
        </w:rPr>
        <w:t xml:space="preserve"> million at 31 December </w:t>
      </w:r>
      <w:r w:rsidR="00B75C1F" w:rsidRPr="009A6474">
        <w:rPr>
          <w:rFonts w:ascii="Calibri" w:eastAsia="Times New Roman" w:hAnsi="Calibri"/>
          <w:lang w:eastAsia="en-US"/>
        </w:rPr>
        <w:t xml:space="preserve"> (CHF </w:t>
      </w:r>
      <w:r w:rsidR="003F2DED">
        <w:rPr>
          <w:rFonts w:ascii="Calibri" w:eastAsia="Times New Roman" w:hAnsi="Calibri"/>
          <w:lang w:eastAsia="en-US"/>
        </w:rPr>
        <w:t>4</w:t>
      </w:r>
      <w:r w:rsidR="00917542">
        <w:rPr>
          <w:rFonts w:ascii="Calibri" w:eastAsia="Times New Roman" w:hAnsi="Calibri"/>
          <w:lang w:eastAsia="en-US"/>
        </w:rPr>
        <w:t>2</w:t>
      </w:r>
      <w:r w:rsidR="00B75C1F" w:rsidRPr="009A6474">
        <w:rPr>
          <w:rFonts w:ascii="Calibri" w:eastAsia="Times New Roman" w:hAnsi="Calibri"/>
          <w:lang w:eastAsia="en-US"/>
        </w:rPr>
        <w:t>.</w:t>
      </w:r>
      <w:r w:rsidR="00560B06">
        <w:rPr>
          <w:rFonts w:ascii="Calibri" w:eastAsia="Times New Roman" w:hAnsi="Calibri"/>
          <w:lang w:eastAsia="en-US"/>
        </w:rPr>
        <w:t>2</w:t>
      </w:r>
      <w:r w:rsidR="00B75C1F" w:rsidRPr="009A6474">
        <w:rPr>
          <w:rFonts w:ascii="Calibri" w:eastAsia="Times New Roman" w:hAnsi="Calibri"/>
          <w:lang w:eastAsia="en-US"/>
        </w:rPr>
        <w:t xml:space="preserve"> million at 31</w:t>
      </w:r>
      <w:r w:rsidR="009A6474" w:rsidRPr="009A6474">
        <w:rPr>
          <w:rFonts w:ascii="Calibri" w:eastAsia="Times New Roman" w:hAnsi="Calibri"/>
          <w:lang w:eastAsia="en-US"/>
        </w:rPr>
        <w:t> </w:t>
      </w:r>
      <w:r w:rsidR="00B75C1F" w:rsidRPr="009A6474">
        <w:rPr>
          <w:rFonts w:ascii="Calibri" w:eastAsia="Times New Roman" w:hAnsi="Calibri"/>
          <w:lang w:eastAsia="en-US"/>
        </w:rPr>
        <w:t>December</w:t>
      </w:r>
      <w:r w:rsidR="00FD1E76">
        <w:rPr>
          <w:rFonts w:ascii="Calibri" w:eastAsia="Times New Roman" w:hAnsi="Calibri"/>
          <w:lang w:eastAsia="en-US"/>
        </w:rPr>
        <w:t> </w:t>
      </w:r>
      <w:r w:rsidR="00B75C1F" w:rsidRPr="009A6474">
        <w:rPr>
          <w:rFonts w:ascii="Calibri" w:eastAsia="Times New Roman" w:hAnsi="Calibri"/>
          <w:lang w:eastAsia="en-US"/>
        </w:rPr>
        <w:t>201</w:t>
      </w:r>
      <w:r w:rsidR="00560B06">
        <w:rPr>
          <w:rFonts w:ascii="Calibri" w:eastAsia="Times New Roman" w:hAnsi="Calibri"/>
          <w:lang w:eastAsia="en-US"/>
        </w:rPr>
        <w:t>7</w:t>
      </w:r>
      <w:r w:rsidR="00B75C1F" w:rsidRPr="009A6474">
        <w:rPr>
          <w:rFonts w:ascii="Calibri" w:eastAsia="Times New Roman" w:hAnsi="Calibri"/>
          <w:lang w:eastAsia="en-US"/>
        </w:rPr>
        <w:t>).</w:t>
      </w:r>
      <w:r w:rsidR="009A6474" w:rsidRPr="009A6474">
        <w:rPr>
          <w:rFonts w:ascii="Calibri" w:eastAsia="Times New Roman" w:hAnsi="Calibri"/>
          <w:lang w:eastAsia="en-US"/>
        </w:rPr>
        <w:t xml:space="preserve">  </w:t>
      </w:r>
      <w:r w:rsidR="00B75C1F" w:rsidRPr="009A6474">
        <w:rPr>
          <w:rFonts w:ascii="Calibri" w:eastAsia="Times New Roman" w:hAnsi="Calibri"/>
          <w:lang w:eastAsia="en-US"/>
        </w:rPr>
        <w:t>The situation with respect to arrears in the Union’s regular budget at 31</w:t>
      </w:r>
      <w:r w:rsidR="009A6474" w:rsidRPr="009A6474">
        <w:rPr>
          <w:rFonts w:ascii="Calibri" w:eastAsia="Times New Roman" w:hAnsi="Calibri"/>
          <w:lang w:eastAsia="en-US"/>
        </w:rPr>
        <w:t> </w:t>
      </w:r>
      <w:r w:rsidR="00B75C1F" w:rsidRPr="009A6474">
        <w:rPr>
          <w:rFonts w:ascii="Calibri" w:eastAsia="Times New Roman" w:hAnsi="Calibri"/>
          <w:lang w:eastAsia="en-US"/>
        </w:rPr>
        <w:t>December 201</w:t>
      </w:r>
      <w:r w:rsidR="00560B06">
        <w:rPr>
          <w:rFonts w:ascii="Calibri" w:eastAsia="Times New Roman" w:hAnsi="Calibri"/>
          <w:lang w:eastAsia="en-US"/>
        </w:rPr>
        <w:t>8</w:t>
      </w:r>
      <w:r w:rsidR="00B75C1F" w:rsidRPr="009A6474">
        <w:rPr>
          <w:rFonts w:ascii="Calibri" w:eastAsia="Times New Roman" w:hAnsi="Calibri"/>
          <w:lang w:eastAsia="en-US"/>
        </w:rPr>
        <w:t xml:space="preserve"> is set out in </w:t>
      </w:r>
      <w:r w:rsidR="00B75C1F" w:rsidRPr="00BE3C2E">
        <w:rPr>
          <w:rFonts w:ascii="Calibri" w:eastAsia="Times New Roman" w:hAnsi="Calibri"/>
          <w:lang w:eastAsia="en-US"/>
        </w:rPr>
        <w:t xml:space="preserve">Annex </w:t>
      </w:r>
      <w:r w:rsidR="00302B1A">
        <w:rPr>
          <w:rFonts w:ascii="Calibri" w:eastAsia="Times New Roman" w:hAnsi="Calibri"/>
          <w:lang w:eastAsia="en-US"/>
        </w:rPr>
        <w:t>C</w:t>
      </w:r>
      <w:r w:rsidR="009A6474">
        <w:rPr>
          <w:rFonts w:ascii="Calibri" w:eastAsia="Times New Roman" w:hAnsi="Calibri"/>
          <w:lang w:eastAsia="en-US"/>
        </w:rPr>
        <w:t xml:space="preserve"> </w:t>
      </w:r>
      <w:r w:rsidR="00B75C1F" w:rsidRPr="009A6474">
        <w:rPr>
          <w:rFonts w:ascii="Calibri" w:eastAsia="Times New Roman" w:hAnsi="Calibri"/>
          <w:lang w:eastAsia="en-US"/>
        </w:rPr>
        <w:t>hereto.</w:t>
      </w:r>
    </w:p>
    <w:p w:rsidR="00D93704" w:rsidRDefault="00D93704">
      <w:p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br w:type="page"/>
      </w:r>
    </w:p>
    <w:p w:rsidR="00B65DBE" w:rsidRDefault="00B65DBE" w:rsidP="00560B06">
      <w:pPr>
        <w:pStyle w:val="ListParagraph"/>
        <w:adjustRightInd w:val="0"/>
        <w:snapToGrid w:val="0"/>
        <w:spacing w:before="120"/>
        <w:ind w:left="0"/>
        <w:contextualSpacing w:val="0"/>
        <w:jc w:val="both"/>
        <w:rPr>
          <w:rFonts w:ascii="Calibri" w:eastAsia="Times New Roman" w:hAnsi="Calibri"/>
          <w:lang w:eastAsia="en-US"/>
        </w:rPr>
      </w:pPr>
    </w:p>
    <w:tbl>
      <w:tblPr>
        <w:tblW w:w="5000" w:type="pct"/>
        <w:tblLook w:val="04A0" w:firstRow="1" w:lastRow="0" w:firstColumn="1" w:lastColumn="0" w:noHBand="0" w:noVBand="1"/>
      </w:tblPr>
      <w:tblGrid>
        <w:gridCol w:w="6932"/>
        <w:gridCol w:w="1423"/>
        <w:gridCol w:w="1416"/>
      </w:tblGrid>
      <w:tr w:rsidR="000D01C6" w:rsidRPr="00C22889" w:rsidTr="00B65DBE">
        <w:trPr>
          <w:trHeight w:val="499"/>
        </w:trPr>
        <w:tc>
          <w:tcPr>
            <w:tcW w:w="3547" w:type="pct"/>
            <w:tcBorders>
              <w:top w:val="single" w:sz="4" w:space="0" w:color="auto"/>
              <w:left w:val="single" w:sz="4" w:space="0" w:color="auto"/>
              <w:bottom w:val="single" w:sz="4" w:space="0" w:color="auto"/>
              <w:right w:val="nil"/>
            </w:tcBorders>
            <w:shd w:val="clear" w:color="auto" w:fill="auto"/>
            <w:noWrap/>
            <w:vAlign w:val="center"/>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In thousands of CHF </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31.12.2018</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31.12.2017</w:t>
            </w:r>
          </w:p>
        </w:tc>
      </w:tr>
      <w:tr w:rsidR="000D01C6" w:rsidRPr="00C22889" w:rsidTr="00B65DBE">
        <w:trPr>
          <w:trHeight w:val="255"/>
        </w:trPr>
        <w:tc>
          <w:tcPr>
            <w:tcW w:w="3547"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Current receivables – exchange transactions</w:t>
            </w:r>
          </w:p>
        </w:tc>
        <w:tc>
          <w:tcPr>
            <w:tcW w:w="728"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7,288 </w:t>
            </w:r>
          </w:p>
        </w:tc>
        <w:tc>
          <w:tcPr>
            <w:tcW w:w="725" w:type="pct"/>
            <w:tcBorders>
              <w:top w:val="nil"/>
              <w:left w:val="nil"/>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10,229 </w:t>
            </w:r>
          </w:p>
        </w:tc>
      </w:tr>
      <w:tr w:rsidR="000D01C6" w:rsidRPr="00C22889" w:rsidTr="00B65DBE">
        <w:trPr>
          <w:trHeight w:val="255"/>
        </w:trPr>
        <w:tc>
          <w:tcPr>
            <w:tcW w:w="3547"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Provision for losses on current receivables – exchange transactions</w:t>
            </w:r>
          </w:p>
        </w:tc>
        <w:tc>
          <w:tcPr>
            <w:tcW w:w="728"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-1,881 </w:t>
            </w:r>
          </w:p>
        </w:tc>
        <w:tc>
          <w:tcPr>
            <w:tcW w:w="725" w:type="pct"/>
            <w:tcBorders>
              <w:top w:val="nil"/>
              <w:left w:val="nil"/>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-1,296 </w:t>
            </w:r>
          </w:p>
        </w:tc>
      </w:tr>
      <w:tr w:rsidR="000D01C6" w:rsidRPr="00C22889" w:rsidTr="00B65DBE">
        <w:trPr>
          <w:trHeight w:val="255"/>
        </w:trPr>
        <w:tc>
          <w:tcPr>
            <w:tcW w:w="3547" w:type="pct"/>
            <w:tcBorders>
              <w:top w:val="nil"/>
              <w:left w:val="single" w:sz="4" w:space="0" w:color="auto"/>
              <w:bottom w:val="single" w:sz="4" w:space="0" w:color="auto"/>
              <w:right w:val="nil"/>
            </w:tcBorders>
            <w:shd w:val="clear" w:color="auto" w:fill="auto"/>
            <w:noWrap/>
            <w:vAlign w:val="center"/>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w:t>
            </w:r>
          </w:p>
        </w:tc>
        <w:tc>
          <w:tcPr>
            <w:tcW w:w="728" w:type="pct"/>
            <w:tcBorders>
              <w:top w:val="nil"/>
              <w:left w:val="single" w:sz="4" w:space="0" w:color="auto"/>
              <w:bottom w:val="nil"/>
              <w:right w:val="single" w:sz="4" w:space="0" w:color="auto"/>
            </w:tcBorders>
            <w:shd w:val="clear" w:color="auto" w:fill="auto"/>
            <w:noWrap/>
            <w:vAlign w:val="center"/>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w:t>
            </w:r>
          </w:p>
        </w:tc>
        <w:tc>
          <w:tcPr>
            <w:tcW w:w="725" w:type="pct"/>
            <w:tcBorders>
              <w:top w:val="nil"/>
              <w:left w:val="nil"/>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r>
      <w:tr w:rsidR="000D01C6" w:rsidRPr="00C22889" w:rsidTr="00B65DBE">
        <w:trPr>
          <w:trHeight w:val="499"/>
        </w:trPr>
        <w:tc>
          <w:tcPr>
            <w:tcW w:w="3547" w:type="pct"/>
            <w:tcBorders>
              <w:top w:val="nil"/>
              <w:left w:val="single" w:sz="4" w:space="0" w:color="auto"/>
              <w:bottom w:val="single" w:sz="4" w:space="0" w:color="auto"/>
              <w:right w:val="nil"/>
            </w:tcBorders>
            <w:shd w:val="clear" w:color="auto" w:fill="auto"/>
            <w:noWrap/>
            <w:vAlign w:val="center"/>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Current receivables – exchange transactions: net value</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             5,407 </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              8,934 </w:t>
            </w:r>
          </w:p>
        </w:tc>
      </w:tr>
      <w:tr w:rsidR="000D01C6" w:rsidRPr="00C22889" w:rsidTr="00B65DBE">
        <w:trPr>
          <w:trHeight w:val="255"/>
        </w:trPr>
        <w:tc>
          <w:tcPr>
            <w:tcW w:w="3547"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fr-CH" w:eastAsia="zh-CN"/>
              </w:rPr>
            </w:pPr>
            <w:proofErr w:type="spellStart"/>
            <w:r w:rsidRPr="00C22889">
              <w:rPr>
                <w:rFonts w:asciiTheme="minorHAnsi" w:hAnsiTheme="minorHAnsi" w:cs="Arial"/>
                <w:color w:val="000000"/>
                <w:sz w:val="22"/>
                <w:szCs w:val="22"/>
                <w:lang w:val="fr-CH" w:eastAsia="zh-CN"/>
              </w:rPr>
              <w:t>Current</w:t>
            </w:r>
            <w:proofErr w:type="spellEnd"/>
            <w:r w:rsidRPr="00C22889">
              <w:rPr>
                <w:rFonts w:asciiTheme="minorHAnsi" w:hAnsiTheme="minorHAnsi" w:cs="Arial"/>
                <w:color w:val="000000"/>
                <w:sz w:val="22"/>
                <w:szCs w:val="22"/>
                <w:lang w:val="fr-CH" w:eastAsia="zh-CN"/>
              </w:rPr>
              <w:t xml:space="preserve"> </w:t>
            </w:r>
            <w:proofErr w:type="spellStart"/>
            <w:r w:rsidRPr="00C22889">
              <w:rPr>
                <w:rFonts w:asciiTheme="minorHAnsi" w:hAnsiTheme="minorHAnsi" w:cs="Arial"/>
                <w:color w:val="000000"/>
                <w:sz w:val="22"/>
                <w:szCs w:val="22"/>
                <w:lang w:val="fr-CH" w:eastAsia="zh-CN"/>
              </w:rPr>
              <w:t>receivables</w:t>
            </w:r>
            <w:proofErr w:type="spellEnd"/>
            <w:r w:rsidRPr="00C22889">
              <w:rPr>
                <w:rFonts w:asciiTheme="minorHAnsi" w:hAnsiTheme="minorHAnsi" w:cs="Arial"/>
                <w:color w:val="000000"/>
                <w:sz w:val="22"/>
                <w:szCs w:val="22"/>
                <w:lang w:val="fr-CH" w:eastAsia="zh-CN"/>
              </w:rPr>
              <w:t xml:space="preserve"> – non-exchange transactions</w:t>
            </w:r>
          </w:p>
        </w:tc>
        <w:tc>
          <w:tcPr>
            <w:tcW w:w="728"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fr-CH" w:eastAsia="zh-CN"/>
              </w:rPr>
              <w:t xml:space="preserve">          </w:t>
            </w:r>
            <w:r w:rsidRPr="00C22889">
              <w:rPr>
                <w:rFonts w:asciiTheme="minorHAnsi" w:hAnsiTheme="minorHAnsi" w:cs="Arial"/>
                <w:color w:val="000000"/>
                <w:sz w:val="22"/>
                <w:szCs w:val="22"/>
                <w:lang w:val="en-US" w:eastAsia="zh-CN"/>
              </w:rPr>
              <w:t xml:space="preserve">109,812 </w:t>
            </w:r>
          </w:p>
        </w:tc>
        <w:tc>
          <w:tcPr>
            <w:tcW w:w="725" w:type="pct"/>
            <w:tcBorders>
              <w:top w:val="nil"/>
              <w:left w:val="nil"/>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34,253 </w:t>
            </w:r>
          </w:p>
        </w:tc>
      </w:tr>
      <w:tr w:rsidR="000D01C6" w:rsidRPr="00C22889" w:rsidTr="00B65DBE">
        <w:trPr>
          <w:trHeight w:val="255"/>
        </w:trPr>
        <w:tc>
          <w:tcPr>
            <w:tcW w:w="3547"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Provision for losses on current receivables – non-exchange transactions</w:t>
            </w:r>
          </w:p>
        </w:tc>
        <w:tc>
          <w:tcPr>
            <w:tcW w:w="728"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-24,456 </w:t>
            </w:r>
          </w:p>
        </w:tc>
        <w:tc>
          <w:tcPr>
            <w:tcW w:w="725" w:type="pct"/>
            <w:tcBorders>
              <w:top w:val="nil"/>
              <w:left w:val="nil"/>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-46,114 </w:t>
            </w:r>
          </w:p>
        </w:tc>
      </w:tr>
      <w:tr w:rsidR="000D01C6" w:rsidRPr="00C22889" w:rsidTr="00B65DBE">
        <w:trPr>
          <w:trHeight w:val="255"/>
        </w:trPr>
        <w:tc>
          <w:tcPr>
            <w:tcW w:w="3547"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728"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725" w:type="pct"/>
            <w:tcBorders>
              <w:top w:val="nil"/>
              <w:left w:val="nil"/>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r>
      <w:tr w:rsidR="000D01C6" w:rsidRPr="00C22889" w:rsidTr="00B65DBE">
        <w:trPr>
          <w:trHeight w:val="499"/>
        </w:trPr>
        <w:tc>
          <w:tcPr>
            <w:tcW w:w="3547" w:type="pct"/>
            <w:tcBorders>
              <w:top w:val="single" w:sz="4" w:space="0" w:color="auto"/>
              <w:left w:val="single" w:sz="4" w:space="0" w:color="auto"/>
              <w:bottom w:val="single" w:sz="4" w:space="0" w:color="auto"/>
              <w:right w:val="nil"/>
            </w:tcBorders>
            <w:shd w:val="clear" w:color="auto" w:fill="auto"/>
            <w:noWrap/>
            <w:vAlign w:val="center"/>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fr-CH" w:eastAsia="zh-CN"/>
              </w:rPr>
            </w:pPr>
            <w:proofErr w:type="spellStart"/>
            <w:r w:rsidRPr="00C22889">
              <w:rPr>
                <w:rFonts w:asciiTheme="minorHAnsi" w:hAnsiTheme="minorHAnsi" w:cs="Arial"/>
                <w:b/>
                <w:bCs/>
                <w:color w:val="000000"/>
                <w:sz w:val="22"/>
                <w:szCs w:val="22"/>
                <w:lang w:val="fr-CH" w:eastAsia="zh-CN"/>
              </w:rPr>
              <w:t>Current</w:t>
            </w:r>
            <w:proofErr w:type="spellEnd"/>
            <w:r w:rsidRPr="00C22889">
              <w:rPr>
                <w:rFonts w:asciiTheme="minorHAnsi" w:hAnsiTheme="minorHAnsi" w:cs="Arial"/>
                <w:b/>
                <w:bCs/>
                <w:color w:val="000000"/>
                <w:sz w:val="22"/>
                <w:szCs w:val="22"/>
                <w:lang w:val="fr-CH" w:eastAsia="zh-CN"/>
              </w:rPr>
              <w:t xml:space="preserve"> </w:t>
            </w:r>
            <w:proofErr w:type="spellStart"/>
            <w:r w:rsidRPr="00C22889">
              <w:rPr>
                <w:rFonts w:asciiTheme="minorHAnsi" w:hAnsiTheme="minorHAnsi" w:cs="Arial"/>
                <w:b/>
                <w:bCs/>
                <w:color w:val="000000"/>
                <w:sz w:val="22"/>
                <w:szCs w:val="22"/>
                <w:lang w:val="fr-CH" w:eastAsia="zh-CN"/>
              </w:rPr>
              <w:t>receivables</w:t>
            </w:r>
            <w:proofErr w:type="spellEnd"/>
            <w:r w:rsidRPr="00C22889">
              <w:rPr>
                <w:rFonts w:asciiTheme="minorHAnsi" w:hAnsiTheme="minorHAnsi" w:cs="Arial"/>
                <w:b/>
                <w:bCs/>
                <w:color w:val="000000"/>
                <w:sz w:val="22"/>
                <w:szCs w:val="22"/>
                <w:lang w:val="fr-CH" w:eastAsia="zh-CN"/>
              </w:rPr>
              <w:t xml:space="preserve"> – non-exchange transactions: net value</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fr-CH" w:eastAsia="zh-CN"/>
              </w:rPr>
              <w:t xml:space="preserve">           </w:t>
            </w:r>
            <w:r w:rsidRPr="00C22889">
              <w:rPr>
                <w:rFonts w:asciiTheme="minorHAnsi" w:hAnsiTheme="minorHAnsi" w:cs="Arial"/>
                <w:b/>
                <w:bCs/>
                <w:color w:val="000000"/>
                <w:sz w:val="22"/>
                <w:szCs w:val="22"/>
                <w:lang w:val="en-US" w:eastAsia="zh-CN"/>
              </w:rPr>
              <w:t xml:space="preserve">85,356 </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           88,139 </w:t>
            </w:r>
          </w:p>
        </w:tc>
      </w:tr>
      <w:tr w:rsidR="000D01C6" w:rsidRPr="00C22889" w:rsidTr="00B65DBE">
        <w:trPr>
          <w:trHeight w:val="255"/>
        </w:trPr>
        <w:tc>
          <w:tcPr>
            <w:tcW w:w="3547"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fr-CH" w:eastAsia="zh-CN"/>
              </w:rPr>
            </w:pPr>
            <w:r w:rsidRPr="00C22889">
              <w:rPr>
                <w:rFonts w:asciiTheme="minorHAnsi" w:hAnsiTheme="minorHAnsi" w:cs="Arial"/>
                <w:color w:val="000000"/>
                <w:sz w:val="22"/>
                <w:szCs w:val="22"/>
                <w:lang w:val="fr-CH" w:eastAsia="zh-CN"/>
              </w:rPr>
              <w:t>Non-</w:t>
            </w:r>
            <w:proofErr w:type="spellStart"/>
            <w:r w:rsidRPr="00C22889">
              <w:rPr>
                <w:rFonts w:asciiTheme="minorHAnsi" w:hAnsiTheme="minorHAnsi" w:cs="Arial"/>
                <w:color w:val="000000"/>
                <w:sz w:val="22"/>
                <w:szCs w:val="22"/>
                <w:lang w:val="fr-CH" w:eastAsia="zh-CN"/>
              </w:rPr>
              <w:t>current</w:t>
            </w:r>
            <w:proofErr w:type="spellEnd"/>
            <w:r w:rsidRPr="00C22889">
              <w:rPr>
                <w:rFonts w:asciiTheme="minorHAnsi" w:hAnsiTheme="minorHAnsi" w:cs="Arial"/>
                <w:color w:val="000000"/>
                <w:sz w:val="22"/>
                <w:szCs w:val="22"/>
                <w:lang w:val="fr-CH" w:eastAsia="zh-CN"/>
              </w:rPr>
              <w:t xml:space="preserve"> </w:t>
            </w:r>
            <w:proofErr w:type="spellStart"/>
            <w:r w:rsidRPr="00C22889">
              <w:rPr>
                <w:rFonts w:asciiTheme="minorHAnsi" w:hAnsiTheme="minorHAnsi" w:cs="Arial"/>
                <w:color w:val="000000"/>
                <w:sz w:val="22"/>
                <w:szCs w:val="22"/>
                <w:lang w:val="fr-CH" w:eastAsia="zh-CN"/>
              </w:rPr>
              <w:t>receivables</w:t>
            </w:r>
            <w:proofErr w:type="spellEnd"/>
            <w:r w:rsidRPr="00C22889">
              <w:rPr>
                <w:rFonts w:asciiTheme="minorHAnsi" w:hAnsiTheme="minorHAnsi" w:cs="Arial"/>
                <w:color w:val="000000"/>
                <w:sz w:val="22"/>
                <w:szCs w:val="22"/>
                <w:lang w:val="fr-CH" w:eastAsia="zh-CN"/>
              </w:rPr>
              <w:t xml:space="preserve"> – exchange transactions</w:t>
            </w:r>
          </w:p>
        </w:tc>
        <w:tc>
          <w:tcPr>
            <w:tcW w:w="728"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fr-CH" w:eastAsia="zh-CN"/>
              </w:rPr>
              <w:t xml:space="preserve">                    </w:t>
            </w:r>
            <w:r w:rsidRPr="00C22889">
              <w:rPr>
                <w:rFonts w:asciiTheme="minorHAnsi" w:hAnsiTheme="minorHAnsi" w:cs="Arial"/>
                <w:color w:val="000000"/>
                <w:sz w:val="22"/>
                <w:szCs w:val="22"/>
                <w:lang w:val="en-US" w:eastAsia="zh-CN"/>
              </w:rPr>
              <w:t xml:space="preserve">-   </w:t>
            </w:r>
          </w:p>
        </w:tc>
        <w:tc>
          <w:tcPr>
            <w:tcW w:w="725" w:type="pct"/>
            <w:tcBorders>
              <w:top w:val="nil"/>
              <w:left w:val="nil"/>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   </w:t>
            </w:r>
          </w:p>
        </w:tc>
      </w:tr>
      <w:tr w:rsidR="000D01C6" w:rsidRPr="00C22889" w:rsidTr="00B65DBE">
        <w:trPr>
          <w:trHeight w:val="255"/>
        </w:trPr>
        <w:tc>
          <w:tcPr>
            <w:tcW w:w="3547"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Provision for losses on non-current receivables – exchange transactions</w:t>
            </w:r>
          </w:p>
        </w:tc>
        <w:tc>
          <w:tcPr>
            <w:tcW w:w="728"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   </w:t>
            </w:r>
          </w:p>
        </w:tc>
        <w:tc>
          <w:tcPr>
            <w:tcW w:w="725" w:type="pct"/>
            <w:tcBorders>
              <w:top w:val="nil"/>
              <w:left w:val="nil"/>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   </w:t>
            </w:r>
          </w:p>
        </w:tc>
      </w:tr>
      <w:tr w:rsidR="000D01C6" w:rsidRPr="00C22889" w:rsidTr="00B65DBE">
        <w:trPr>
          <w:trHeight w:val="255"/>
        </w:trPr>
        <w:tc>
          <w:tcPr>
            <w:tcW w:w="3547"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728"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725" w:type="pct"/>
            <w:tcBorders>
              <w:top w:val="nil"/>
              <w:left w:val="nil"/>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r>
      <w:tr w:rsidR="000D01C6" w:rsidRPr="00C22889" w:rsidTr="00B65DBE">
        <w:trPr>
          <w:trHeight w:val="499"/>
        </w:trPr>
        <w:tc>
          <w:tcPr>
            <w:tcW w:w="3547" w:type="pct"/>
            <w:tcBorders>
              <w:top w:val="single" w:sz="4" w:space="0" w:color="auto"/>
              <w:left w:val="single" w:sz="4" w:space="0" w:color="auto"/>
              <w:bottom w:val="single" w:sz="4" w:space="0" w:color="auto"/>
              <w:right w:val="nil"/>
            </w:tcBorders>
            <w:shd w:val="clear" w:color="auto" w:fill="auto"/>
            <w:noWrap/>
            <w:vAlign w:val="center"/>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fr-CH" w:eastAsia="zh-CN"/>
              </w:rPr>
            </w:pPr>
            <w:r w:rsidRPr="00C22889">
              <w:rPr>
                <w:rFonts w:asciiTheme="minorHAnsi" w:hAnsiTheme="minorHAnsi" w:cs="Arial"/>
                <w:b/>
                <w:bCs/>
                <w:color w:val="000000"/>
                <w:sz w:val="22"/>
                <w:szCs w:val="22"/>
                <w:lang w:val="fr-CH" w:eastAsia="zh-CN"/>
              </w:rPr>
              <w:t>Non-</w:t>
            </w:r>
            <w:proofErr w:type="spellStart"/>
            <w:r w:rsidRPr="00C22889">
              <w:rPr>
                <w:rFonts w:asciiTheme="minorHAnsi" w:hAnsiTheme="minorHAnsi" w:cs="Arial"/>
                <w:b/>
                <w:bCs/>
                <w:color w:val="000000"/>
                <w:sz w:val="22"/>
                <w:szCs w:val="22"/>
                <w:lang w:val="fr-CH" w:eastAsia="zh-CN"/>
              </w:rPr>
              <w:t>current</w:t>
            </w:r>
            <w:proofErr w:type="spellEnd"/>
            <w:r w:rsidRPr="00C22889">
              <w:rPr>
                <w:rFonts w:asciiTheme="minorHAnsi" w:hAnsiTheme="minorHAnsi" w:cs="Arial"/>
                <w:b/>
                <w:bCs/>
                <w:color w:val="000000"/>
                <w:sz w:val="22"/>
                <w:szCs w:val="22"/>
                <w:lang w:val="fr-CH" w:eastAsia="zh-CN"/>
              </w:rPr>
              <w:t xml:space="preserve"> </w:t>
            </w:r>
            <w:proofErr w:type="spellStart"/>
            <w:r w:rsidRPr="00C22889">
              <w:rPr>
                <w:rFonts w:asciiTheme="minorHAnsi" w:hAnsiTheme="minorHAnsi" w:cs="Arial"/>
                <w:b/>
                <w:bCs/>
                <w:color w:val="000000"/>
                <w:sz w:val="22"/>
                <w:szCs w:val="22"/>
                <w:lang w:val="fr-CH" w:eastAsia="zh-CN"/>
              </w:rPr>
              <w:t>receivables</w:t>
            </w:r>
            <w:proofErr w:type="spellEnd"/>
            <w:r w:rsidRPr="00C22889">
              <w:rPr>
                <w:rFonts w:asciiTheme="minorHAnsi" w:hAnsiTheme="minorHAnsi" w:cs="Arial"/>
                <w:b/>
                <w:bCs/>
                <w:color w:val="000000"/>
                <w:sz w:val="22"/>
                <w:szCs w:val="22"/>
                <w:lang w:val="fr-CH" w:eastAsia="zh-CN"/>
              </w:rPr>
              <w:t xml:space="preserve"> – exchange transactions: net value</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fr-CH" w:eastAsia="zh-CN"/>
              </w:rPr>
              <w:t xml:space="preserve">                     </w:t>
            </w:r>
            <w:r w:rsidRPr="00C22889">
              <w:rPr>
                <w:rFonts w:asciiTheme="minorHAnsi" w:hAnsiTheme="minorHAnsi" w:cs="Arial"/>
                <w:b/>
                <w:bCs/>
                <w:color w:val="000000"/>
                <w:sz w:val="22"/>
                <w:szCs w:val="22"/>
                <w:lang w:val="en-US" w:eastAsia="zh-CN"/>
              </w:rPr>
              <w:t xml:space="preserve">-   </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                     -   </w:t>
            </w:r>
          </w:p>
        </w:tc>
      </w:tr>
      <w:tr w:rsidR="000D01C6" w:rsidRPr="00C22889" w:rsidTr="00B65DBE">
        <w:trPr>
          <w:trHeight w:val="255"/>
        </w:trPr>
        <w:tc>
          <w:tcPr>
            <w:tcW w:w="3547"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fr-CH" w:eastAsia="zh-CN"/>
              </w:rPr>
            </w:pPr>
            <w:r w:rsidRPr="00C22889">
              <w:rPr>
                <w:rFonts w:asciiTheme="minorHAnsi" w:hAnsiTheme="minorHAnsi" w:cs="Arial"/>
                <w:color w:val="000000"/>
                <w:sz w:val="22"/>
                <w:szCs w:val="22"/>
                <w:lang w:val="fr-CH" w:eastAsia="zh-CN"/>
              </w:rPr>
              <w:t>Non-</w:t>
            </w:r>
            <w:proofErr w:type="spellStart"/>
            <w:r w:rsidRPr="00C22889">
              <w:rPr>
                <w:rFonts w:asciiTheme="minorHAnsi" w:hAnsiTheme="minorHAnsi" w:cs="Arial"/>
                <w:color w:val="000000"/>
                <w:sz w:val="22"/>
                <w:szCs w:val="22"/>
                <w:lang w:val="fr-CH" w:eastAsia="zh-CN"/>
              </w:rPr>
              <w:t>current</w:t>
            </w:r>
            <w:proofErr w:type="spellEnd"/>
            <w:r w:rsidRPr="00C22889">
              <w:rPr>
                <w:rFonts w:asciiTheme="minorHAnsi" w:hAnsiTheme="minorHAnsi" w:cs="Arial"/>
                <w:color w:val="000000"/>
                <w:sz w:val="22"/>
                <w:szCs w:val="22"/>
                <w:lang w:val="fr-CH" w:eastAsia="zh-CN"/>
              </w:rPr>
              <w:t xml:space="preserve"> </w:t>
            </w:r>
            <w:proofErr w:type="spellStart"/>
            <w:r w:rsidRPr="00C22889">
              <w:rPr>
                <w:rFonts w:asciiTheme="minorHAnsi" w:hAnsiTheme="minorHAnsi" w:cs="Arial"/>
                <w:color w:val="000000"/>
                <w:sz w:val="22"/>
                <w:szCs w:val="22"/>
                <w:lang w:val="fr-CH" w:eastAsia="zh-CN"/>
              </w:rPr>
              <w:t>receivables</w:t>
            </w:r>
            <w:proofErr w:type="spellEnd"/>
            <w:r w:rsidRPr="00C22889">
              <w:rPr>
                <w:rFonts w:asciiTheme="minorHAnsi" w:hAnsiTheme="minorHAnsi" w:cs="Arial"/>
                <w:color w:val="000000"/>
                <w:sz w:val="22"/>
                <w:szCs w:val="22"/>
                <w:lang w:val="fr-CH" w:eastAsia="zh-CN"/>
              </w:rPr>
              <w:t xml:space="preserve"> – non-exchange transactions</w:t>
            </w:r>
          </w:p>
        </w:tc>
        <w:tc>
          <w:tcPr>
            <w:tcW w:w="728"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fr-CH" w:eastAsia="zh-CN"/>
              </w:rPr>
              <w:t xml:space="preserve">           </w:t>
            </w:r>
            <w:r w:rsidRPr="00C22889">
              <w:rPr>
                <w:rFonts w:asciiTheme="minorHAnsi" w:hAnsiTheme="minorHAnsi" w:cs="Arial"/>
                <w:color w:val="000000"/>
                <w:sz w:val="22"/>
                <w:szCs w:val="22"/>
                <w:lang w:val="en-US" w:eastAsia="zh-CN"/>
              </w:rPr>
              <w:t xml:space="preserve">16,606 </w:t>
            </w:r>
          </w:p>
        </w:tc>
        <w:tc>
          <w:tcPr>
            <w:tcW w:w="725" w:type="pct"/>
            <w:tcBorders>
              <w:top w:val="nil"/>
              <w:left w:val="nil"/>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7,021 </w:t>
            </w:r>
          </w:p>
        </w:tc>
      </w:tr>
      <w:tr w:rsidR="000D01C6" w:rsidRPr="00C22889" w:rsidTr="00B65DBE">
        <w:trPr>
          <w:trHeight w:val="255"/>
        </w:trPr>
        <w:tc>
          <w:tcPr>
            <w:tcW w:w="3547" w:type="pct"/>
            <w:tcBorders>
              <w:top w:val="nil"/>
              <w:left w:val="single" w:sz="4" w:space="0" w:color="auto"/>
              <w:bottom w:val="nil"/>
              <w:right w:val="nil"/>
            </w:tcBorders>
            <w:shd w:val="clear" w:color="auto" w:fill="auto"/>
            <w:noWrap/>
            <w:vAlign w:val="bottom"/>
            <w:hideMark/>
          </w:tcPr>
          <w:p w:rsidR="00C22889" w:rsidRPr="008C63E7"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fr-CH" w:eastAsia="zh-CN"/>
              </w:rPr>
            </w:pPr>
            <w:r w:rsidRPr="008C63E7">
              <w:rPr>
                <w:rFonts w:asciiTheme="minorHAnsi" w:hAnsiTheme="minorHAnsi" w:cs="Arial"/>
                <w:color w:val="000000"/>
                <w:sz w:val="22"/>
                <w:szCs w:val="22"/>
                <w:lang w:val="fr-CH" w:eastAsia="zh-CN"/>
              </w:rPr>
              <w:t xml:space="preserve">Provision for </w:t>
            </w:r>
            <w:proofErr w:type="spellStart"/>
            <w:r w:rsidRPr="008C63E7">
              <w:rPr>
                <w:rFonts w:asciiTheme="minorHAnsi" w:hAnsiTheme="minorHAnsi" w:cs="Arial"/>
                <w:color w:val="000000"/>
                <w:sz w:val="22"/>
                <w:szCs w:val="22"/>
                <w:lang w:val="fr-CH" w:eastAsia="zh-CN"/>
              </w:rPr>
              <w:t>losses</w:t>
            </w:r>
            <w:proofErr w:type="spellEnd"/>
            <w:r w:rsidRPr="008C63E7">
              <w:rPr>
                <w:rFonts w:asciiTheme="minorHAnsi" w:hAnsiTheme="minorHAnsi" w:cs="Arial"/>
                <w:color w:val="000000"/>
                <w:sz w:val="22"/>
                <w:szCs w:val="22"/>
                <w:lang w:val="fr-CH" w:eastAsia="zh-CN"/>
              </w:rPr>
              <w:t xml:space="preserve"> on non-</w:t>
            </w:r>
            <w:proofErr w:type="spellStart"/>
            <w:r w:rsidRPr="008C63E7">
              <w:rPr>
                <w:rFonts w:asciiTheme="minorHAnsi" w:hAnsiTheme="minorHAnsi" w:cs="Arial"/>
                <w:color w:val="000000"/>
                <w:sz w:val="22"/>
                <w:szCs w:val="22"/>
                <w:lang w:val="fr-CH" w:eastAsia="zh-CN"/>
              </w:rPr>
              <w:t>current</w:t>
            </w:r>
            <w:proofErr w:type="spellEnd"/>
            <w:r w:rsidRPr="008C63E7">
              <w:rPr>
                <w:rFonts w:asciiTheme="minorHAnsi" w:hAnsiTheme="minorHAnsi" w:cs="Arial"/>
                <w:color w:val="000000"/>
                <w:sz w:val="22"/>
                <w:szCs w:val="22"/>
                <w:lang w:val="fr-CH" w:eastAsia="zh-CN"/>
              </w:rPr>
              <w:t xml:space="preserve"> </w:t>
            </w:r>
            <w:proofErr w:type="spellStart"/>
            <w:r w:rsidRPr="008C63E7">
              <w:rPr>
                <w:rFonts w:asciiTheme="minorHAnsi" w:hAnsiTheme="minorHAnsi" w:cs="Arial"/>
                <w:color w:val="000000"/>
                <w:sz w:val="22"/>
                <w:szCs w:val="22"/>
                <w:lang w:val="fr-CH" w:eastAsia="zh-CN"/>
              </w:rPr>
              <w:t>receivables</w:t>
            </w:r>
            <w:proofErr w:type="spellEnd"/>
            <w:r w:rsidRPr="008C63E7">
              <w:rPr>
                <w:rFonts w:asciiTheme="minorHAnsi" w:hAnsiTheme="minorHAnsi" w:cs="Arial"/>
                <w:color w:val="000000"/>
                <w:sz w:val="22"/>
                <w:szCs w:val="22"/>
                <w:lang w:val="fr-CH" w:eastAsia="zh-CN"/>
              </w:rPr>
              <w:t xml:space="preserve"> – non-exchange transactions</w:t>
            </w:r>
          </w:p>
        </w:tc>
        <w:tc>
          <w:tcPr>
            <w:tcW w:w="728"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8C63E7">
              <w:rPr>
                <w:rFonts w:asciiTheme="minorHAnsi" w:hAnsiTheme="minorHAnsi" w:cs="Arial"/>
                <w:color w:val="000000"/>
                <w:sz w:val="22"/>
                <w:szCs w:val="22"/>
                <w:lang w:val="fr-CH" w:eastAsia="zh-CN"/>
              </w:rPr>
              <w:t xml:space="preserve">          </w:t>
            </w:r>
            <w:r w:rsidRPr="00C22889">
              <w:rPr>
                <w:rFonts w:asciiTheme="minorHAnsi" w:hAnsiTheme="minorHAnsi" w:cs="Arial"/>
                <w:color w:val="000000"/>
                <w:sz w:val="22"/>
                <w:szCs w:val="22"/>
                <w:lang w:val="en-US" w:eastAsia="zh-CN"/>
              </w:rPr>
              <w:t xml:space="preserve">-16,606 </w:t>
            </w:r>
          </w:p>
        </w:tc>
        <w:tc>
          <w:tcPr>
            <w:tcW w:w="725" w:type="pct"/>
            <w:tcBorders>
              <w:top w:val="nil"/>
              <w:left w:val="nil"/>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-7,021 </w:t>
            </w:r>
          </w:p>
        </w:tc>
      </w:tr>
      <w:tr w:rsidR="000D01C6" w:rsidRPr="00C22889" w:rsidTr="00B65DBE">
        <w:trPr>
          <w:trHeight w:val="255"/>
        </w:trPr>
        <w:tc>
          <w:tcPr>
            <w:tcW w:w="3547"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728"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725" w:type="pct"/>
            <w:tcBorders>
              <w:top w:val="nil"/>
              <w:left w:val="nil"/>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r>
      <w:tr w:rsidR="000D01C6" w:rsidRPr="00C22889" w:rsidTr="00B65DBE">
        <w:trPr>
          <w:trHeight w:val="499"/>
        </w:trPr>
        <w:tc>
          <w:tcPr>
            <w:tcW w:w="3547" w:type="pct"/>
            <w:tcBorders>
              <w:top w:val="single" w:sz="4" w:space="0" w:color="auto"/>
              <w:left w:val="single" w:sz="4" w:space="0" w:color="auto"/>
              <w:bottom w:val="single" w:sz="4" w:space="0" w:color="auto"/>
              <w:right w:val="nil"/>
            </w:tcBorders>
            <w:shd w:val="clear" w:color="auto" w:fill="auto"/>
            <w:noWrap/>
            <w:vAlign w:val="center"/>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fr-CH" w:eastAsia="zh-CN"/>
              </w:rPr>
            </w:pPr>
            <w:r w:rsidRPr="00C22889">
              <w:rPr>
                <w:rFonts w:asciiTheme="minorHAnsi" w:hAnsiTheme="minorHAnsi" w:cs="Arial"/>
                <w:b/>
                <w:bCs/>
                <w:color w:val="000000"/>
                <w:sz w:val="22"/>
                <w:szCs w:val="22"/>
                <w:lang w:val="fr-CH" w:eastAsia="zh-CN"/>
              </w:rPr>
              <w:t>Non-</w:t>
            </w:r>
            <w:proofErr w:type="spellStart"/>
            <w:r w:rsidRPr="00C22889">
              <w:rPr>
                <w:rFonts w:asciiTheme="minorHAnsi" w:hAnsiTheme="minorHAnsi" w:cs="Arial"/>
                <w:b/>
                <w:bCs/>
                <w:color w:val="000000"/>
                <w:sz w:val="22"/>
                <w:szCs w:val="22"/>
                <w:lang w:val="fr-CH" w:eastAsia="zh-CN"/>
              </w:rPr>
              <w:t>current</w:t>
            </w:r>
            <w:proofErr w:type="spellEnd"/>
            <w:r w:rsidRPr="00C22889">
              <w:rPr>
                <w:rFonts w:asciiTheme="minorHAnsi" w:hAnsiTheme="minorHAnsi" w:cs="Arial"/>
                <w:b/>
                <w:bCs/>
                <w:color w:val="000000"/>
                <w:sz w:val="22"/>
                <w:szCs w:val="22"/>
                <w:lang w:val="fr-CH" w:eastAsia="zh-CN"/>
              </w:rPr>
              <w:t xml:space="preserve"> </w:t>
            </w:r>
            <w:proofErr w:type="spellStart"/>
            <w:r w:rsidRPr="00C22889">
              <w:rPr>
                <w:rFonts w:asciiTheme="minorHAnsi" w:hAnsiTheme="minorHAnsi" w:cs="Arial"/>
                <w:b/>
                <w:bCs/>
                <w:color w:val="000000"/>
                <w:sz w:val="22"/>
                <w:szCs w:val="22"/>
                <w:lang w:val="fr-CH" w:eastAsia="zh-CN"/>
              </w:rPr>
              <w:t>receivables</w:t>
            </w:r>
            <w:proofErr w:type="spellEnd"/>
            <w:r w:rsidRPr="00C22889">
              <w:rPr>
                <w:rFonts w:asciiTheme="minorHAnsi" w:hAnsiTheme="minorHAnsi" w:cs="Arial"/>
                <w:b/>
                <w:bCs/>
                <w:color w:val="000000"/>
                <w:sz w:val="22"/>
                <w:szCs w:val="22"/>
                <w:lang w:val="fr-CH" w:eastAsia="zh-CN"/>
              </w:rPr>
              <w:t xml:space="preserve"> – non-exchange transactions: net value</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fr-CH" w:eastAsia="zh-CN"/>
              </w:rPr>
              <w:t xml:space="preserve">                   </w:t>
            </w:r>
            <w:r w:rsidRPr="00C22889">
              <w:rPr>
                <w:rFonts w:asciiTheme="minorHAnsi" w:hAnsiTheme="minorHAnsi" w:cs="Arial"/>
                <w:b/>
                <w:bCs/>
                <w:color w:val="000000"/>
                <w:sz w:val="22"/>
                <w:szCs w:val="22"/>
                <w:lang w:val="en-US" w:eastAsia="zh-CN"/>
              </w:rPr>
              <w:t xml:space="preserve">-   </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                      -   </w:t>
            </w:r>
          </w:p>
        </w:tc>
      </w:tr>
    </w:tbl>
    <w:p w:rsidR="0022373A" w:rsidRDefault="0022373A" w:rsidP="00F905D2">
      <w:pPr>
        <w:pStyle w:val="Heading5"/>
        <w:tabs>
          <w:tab w:val="clear" w:pos="1134"/>
          <w:tab w:val="left" w:pos="0"/>
          <w:tab w:val="left" w:pos="993"/>
        </w:tabs>
        <w:snapToGrid w:val="0"/>
        <w:spacing w:before="240" w:after="120"/>
        <w:ind w:left="0" w:firstLine="0"/>
        <w:rPr>
          <w:lang w:val="en-US"/>
        </w:rPr>
      </w:pPr>
      <w:bookmarkStart w:id="73" w:name="_Toc305764084"/>
      <w:bookmarkStart w:id="74" w:name="_Toc329011634"/>
      <w:r w:rsidRPr="001C2A98">
        <w:rPr>
          <w:lang w:val="en-US"/>
        </w:rPr>
        <w:t xml:space="preserve">Note </w:t>
      </w:r>
      <w:r w:rsidR="00BD4C15">
        <w:rPr>
          <w:lang w:val="en-US"/>
        </w:rPr>
        <w:t>9</w:t>
      </w:r>
      <w:r w:rsidRPr="001C2A98">
        <w:rPr>
          <w:lang w:val="en-US"/>
        </w:rPr>
        <w:tab/>
      </w:r>
      <w:r w:rsidRPr="00D477D8">
        <w:rPr>
          <w:lang w:val="en-US"/>
        </w:rPr>
        <w:t>Inventories</w:t>
      </w:r>
      <w:bookmarkEnd w:id="73"/>
      <w:bookmarkEnd w:id="74"/>
    </w:p>
    <w:p w:rsidR="00F2562A" w:rsidRDefault="0022373A" w:rsidP="00F905D2">
      <w:pPr>
        <w:jc w:val="both"/>
        <w:rPr>
          <w:lang w:val="en-US"/>
        </w:rPr>
      </w:pPr>
      <w:r w:rsidRPr="00383DBC">
        <w:rPr>
          <w:lang w:val="en-US"/>
        </w:rPr>
        <w:t>Publications include publications for sale and publications distributed free of charge. Supplies include paper to be used for the printing of ITU publications</w:t>
      </w:r>
      <w:r w:rsidR="008E5226">
        <w:rPr>
          <w:lang w:val="en-US"/>
        </w:rPr>
        <w:t xml:space="preserve"> and documents</w:t>
      </w:r>
      <w:r w:rsidRPr="00383DBC">
        <w:rPr>
          <w:lang w:val="en-US"/>
        </w:rPr>
        <w:t>, items handled by the Supplies and Stores Service and various consumables.</w:t>
      </w:r>
    </w:p>
    <w:p w:rsidR="00A33FF0" w:rsidRDefault="00A33FF0" w:rsidP="007111EB">
      <w:pPr>
        <w:snapToGrid w:val="0"/>
        <w:spacing w:before="0"/>
        <w:jc w:val="both"/>
        <w:rPr>
          <w:lang w:val="en-US"/>
        </w:rPr>
      </w:pPr>
    </w:p>
    <w:tbl>
      <w:tblPr>
        <w:tblW w:w="5000" w:type="pct"/>
        <w:tblLook w:val="04A0" w:firstRow="1" w:lastRow="0" w:firstColumn="1" w:lastColumn="0" w:noHBand="0" w:noVBand="1"/>
      </w:tblPr>
      <w:tblGrid>
        <w:gridCol w:w="6241"/>
        <w:gridCol w:w="1765"/>
        <w:gridCol w:w="1765"/>
      </w:tblGrid>
      <w:tr w:rsidR="00C22889" w:rsidRPr="00C22889" w:rsidTr="00C22889">
        <w:trPr>
          <w:trHeight w:val="765"/>
        </w:trPr>
        <w:tc>
          <w:tcPr>
            <w:tcW w:w="3194" w:type="pct"/>
            <w:tcBorders>
              <w:top w:val="single" w:sz="4" w:space="0" w:color="auto"/>
              <w:left w:val="single" w:sz="4" w:space="0" w:color="auto"/>
              <w:bottom w:val="single" w:sz="4" w:space="0" w:color="auto"/>
              <w:right w:val="nil"/>
            </w:tcBorders>
            <w:shd w:val="clear" w:color="auto" w:fill="auto"/>
            <w:noWrap/>
            <w:vAlign w:val="center"/>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In thousands of CHF </w:t>
            </w:r>
          </w:p>
        </w:tc>
        <w:tc>
          <w:tcPr>
            <w:tcW w:w="903" w:type="pct"/>
            <w:tcBorders>
              <w:top w:val="single" w:sz="4" w:space="0" w:color="auto"/>
              <w:left w:val="single" w:sz="4" w:space="0" w:color="auto"/>
              <w:bottom w:val="single" w:sz="4" w:space="0" w:color="auto"/>
              <w:right w:val="nil"/>
            </w:tcBorders>
            <w:shd w:val="clear" w:color="auto" w:fill="auto"/>
            <w:noWrap/>
            <w:vAlign w:val="center"/>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31.12.2018</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31.12.2017</w:t>
            </w:r>
          </w:p>
        </w:tc>
      </w:tr>
      <w:tr w:rsidR="00C22889" w:rsidRPr="00C22889" w:rsidTr="00C22889">
        <w:trPr>
          <w:trHeight w:val="255"/>
        </w:trPr>
        <w:tc>
          <w:tcPr>
            <w:tcW w:w="3194"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903"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903"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r>
      <w:tr w:rsidR="00C22889" w:rsidRPr="00C22889" w:rsidTr="00C22889">
        <w:trPr>
          <w:trHeight w:val="255"/>
        </w:trPr>
        <w:tc>
          <w:tcPr>
            <w:tcW w:w="3194"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Publications – gross value </w:t>
            </w:r>
          </w:p>
        </w:tc>
        <w:tc>
          <w:tcPr>
            <w:tcW w:w="903" w:type="pct"/>
            <w:tcBorders>
              <w:top w:val="nil"/>
              <w:left w:val="single" w:sz="4" w:space="0" w:color="auto"/>
              <w:bottom w:val="nil"/>
              <w:right w:val="nil"/>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334</w:t>
            </w:r>
          </w:p>
        </w:tc>
        <w:tc>
          <w:tcPr>
            <w:tcW w:w="903"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402 </w:t>
            </w:r>
          </w:p>
        </w:tc>
      </w:tr>
      <w:tr w:rsidR="00C22889" w:rsidRPr="00C22889" w:rsidTr="00C22889">
        <w:trPr>
          <w:trHeight w:val="270"/>
        </w:trPr>
        <w:tc>
          <w:tcPr>
            <w:tcW w:w="3194"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Depreciation</w:t>
            </w:r>
          </w:p>
        </w:tc>
        <w:tc>
          <w:tcPr>
            <w:tcW w:w="903" w:type="pct"/>
            <w:tcBorders>
              <w:top w:val="nil"/>
              <w:left w:val="single" w:sz="4" w:space="0" w:color="auto"/>
              <w:bottom w:val="nil"/>
              <w:right w:val="nil"/>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-203</w:t>
            </w:r>
          </w:p>
        </w:tc>
        <w:tc>
          <w:tcPr>
            <w:tcW w:w="903"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-186 </w:t>
            </w:r>
          </w:p>
        </w:tc>
      </w:tr>
      <w:tr w:rsidR="00C22889" w:rsidRPr="00C22889" w:rsidTr="00C22889">
        <w:trPr>
          <w:trHeight w:val="270"/>
        </w:trPr>
        <w:tc>
          <w:tcPr>
            <w:tcW w:w="3194" w:type="pct"/>
            <w:tcBorders>
              <w:top w:val="single" w:sz="8" w:space="0" w:color="auto"/>
              <w:left w:val="single" w:sz="8" w:space="0" w:color="auto"/>
              <w:bottom w:val="single" w:sz="8" w:space="0" w:color="auto"/>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Publications – net value</w:t>
            </w:r>
          </w:p>
        </w:tc>
        <w:tc>
          <w:tcPr>
            <w:tcW w:w="903" w:type="pct"/>
            <w:tcBorders>
              <w:top w:val="single" w:sz="8" w:space="0" w:color="auto"/>
              <w:left w:val="single" w:sz="4" w:space="0" w:color="auto"/>
              <w:bottom w:val="single" w:sz="8" w:space="0" w:color="auto"/>
              <w:right w:val="nil"/>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131</w:t>
            </w:r>
          </w:p>
        </w:tc>
        <w:tc>
          <w:tcPr>
            <w:tcW w:w="903"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216 </w:t>
            </w:r>
          </w:p>
        </w:tc>
      </w:tr>
      <w:tr w:rsidR="00C22889" w:rsidRPr="00C22889" w:rsidTr="00C22889">
        <w:trPr>
          <w:trHeight w:val="255"/>
        </w:trPr>
        <w:tc>
          <w:tcPr>
            <w:tcW w:w="3194"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Souvenirs – gross value</w:t>
            </w:r>
          </w:p>
        </w:tc>
        <w:tc>
          <w:tcPr>
            <w:tcW w:w="903" w:type="pct"/>
            <w:tcBorders>
              <w:top w:val="nil"/>
              <w:left w:val="single" w:sz="4" w:space="0" w:color="auto"/>
              <w:bottom w:val="nil"/>
              <w:right w:val="nil"/>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139</w:t>
            </w:r>
          </w:p>
        </w:tc>
        <w:tc>
          <w:tcPr>
            <w:tcW w:w="903"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129 </w:t>
            </w:r>
          </w:p>
        </w:tc>
      </w:tr>
      <w:tr w:rsidR="00C22889" w:rsidRPr="00C22889" w:rsidTr="00C22889">
        <w:trPr>
          <w:trHeight w:val="270"/>
        </w:trPr>
        <w:tc>
          <w:tcPr>
            <w:tcW w:w="3194"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Depreciation </w:t>
            </w:r>
          </w:p>
        </w:tc>
        <w:tc>
          <w:tcPr>
            <w:tcW w:w="903" w:type="pct"/>
            <w:tcBorders>
              <w:top w:val="nil"/>
              <w:left w:val="single" w:sz="4" w:space="0" w:color="auto"/>
              <w:bottom w:val="nil"/>
              <w:right w:val="nil"/>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-88</w:t>
            </w:r>
          </w:p>
        </w:tc>
        <w:tc>
          <w:tcPr>
            <w:tcW w:w="903"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-86 </w:t>
            </w:r>
          </w:p>
        </w:tc>
      </w:tr>
      <w:tr w:rsidR="00C22889" w:rsidRPr="00C22889" w:rsidTr="00C22889">
        <w:trPr>
          <w:trHeight w:val="270"/>
        </w:trPr>
        <w:tc>
          <w:tcPr>
            <w:tcW w:w="3194" w:type="pct"/>
            <w:tcBorders>
              <w:top w:val="single" w:sz="8" w:space="0" w:color="auto"/>
              <w:left w:val="single" w:sz="8" w:space="0" w:color="auto"/>
              <w:bottom w:val="single" w:sz="8" w:space="0" w:color="auto"/>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Souvenirs – net value</w:t>
            </w:r>
          </w:p>
        </w:tc>
        <w:tc>
          <w:tcPr>
            <w:tcW w:w="903" w:type="pct"/>
            <w:tcBorders>
              <w:top w:val="single" w:sz="8" w:space="0" w:color="auto"/>
              <w:left w:val="single" w:sz="4" w:space="0" w:color="auto"/>
              <w:bottom w:val="single" w:sz="8" w:space="0" w:color="auto"/>
              <w:right w:val="nil"/>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51</w:t>
            </w:r>
          </w:p>
        </w:tc>
        <w:tc>
          <w:tcPr>
            <w:tcW w:w="903"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43 </w:t>
            </w:r>
          </w:p>
        </w:tc>
      </w:tr>
      <w:tr w:rsidR="00C22889" w:rsidRPr="00C22889" w:rsidTr="00C22889">
        <w:trPr>
          <w:trHeight w:val="255"/>
        </w:trPr>
        <w:tc>
          <w:tcPr>
            <w:tcW w:w="3194"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Supplies – gross value</w:t>
            </w:r>
          </w:p>
        </w:tc>
        <w:tc>
          <w:tcPr>
            <w:tcW w:w="903" w:type="pct"/>
            <w:tcBorders>
              <w:top w:val="nil"/>
              <w:left w:val="single" w:sz="4" w:space="0" w:color="auto"/>
              <w:bottom w:val="nil"/>
              <w:right w:val="nil"/>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353</w:t>
            </w:r>
          </w:p>
        </w:tc>
        <w:tc>
          <w:tcPr>
            <w:tcW w:w="903"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402 </w:t>
            </w:r>
          </w:p>
        </w:tc>
      </w:tr>
      <w:tr w:rsidR="00C22889" w:rsidRPr="00C22889" w:rsidTr="00C22889">
        <w:trPr>
          <w:trHeight w:val="270"/>
        </w:trPr>
        <w:tc>
          <w:tcPr>
            <w:tcW w:w="3194" w:type="pct"/>
            <w:tcBorders>
              <w:top w:val="nil"/>
              <w:left w:val="single" w:sz="4" w:space="0" w:color="auto"/>
              <w:bottom w:val="nil"/>
              <w:right w:val="nil"/>
            </w:tcBorders>
            <w:shd w:val="clear" w:color="000000" w:fill="FFFFFF"/>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Depreciation</w:t>
            </w:r>
          </w:p>
        </w:tc>
        <w:tc>
          <w:tcPr>
            <w:tcW w:w="903"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0</w:t>
            </w:r>
          </w:p>
        </w:tc>
        <w:tc>
          <w:tcPr>
            <w:tcW w:w="903" w:type="pct"/>
            <w:tcBorders>
              <w:top w:val="nil"/>
              <w:left w:val="nil"/>
              <w:bottom w:val="nil"/>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   </w:t>
            </w:r>
          </w:p>
        </w:tc>
      </w:tr>
      <w:tr w:rsidR="00C22889" w:rsidRPr="00C22889" w:rsidTr="00C22889">
        <w:trPr>
          <w:trHeight w:val="270"/>
        </w:trPr>
        <w:tc>
          <w:tcPr>
            <w:tcW w:w="3194" w:type="pct"/>
            <w:tcBorders>
              <w:top w:val="single" w:sz="8" w:space="0" w:color="auto"/>
              <w:left w:val="single" w:sz="8" w:space="0" w:color="auto"/>
              <w:bottom w:val="single" w:sz="8" w:space="0" w:color="auto"/>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Supplies - net value</w:t>
            </w:r>
          </w:p>
        </w:tc>
        <w:tc>
          <w:tcPr>
            <w:tcW w:w="903" w:type="pct"/>
            <w:tcBorders>
              <w:top w:val="single" w:sz="8" w:space="0" w:color="auto"/>
              <w:left w:val="single" w:sz="4" w:space="0" w:color="auto"/>
              <w:bottom w:val="single" w:sz="8" w:space="0" w:color="auto"/>
              <w:right w:val="nil"/>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353</w:t>
            </w:r>
          </w:p>
        </w:tc>
        <w:tc>
          <w:tcPr>
            <w:tcW w:w="903"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402 </w:t>
            </w:r>
          </w:p>
        </w:tc>
      </w:tr>
      <w:tr w:rsidR="00C22889" w:rsidRPr="00C22889" w:rsidTr="00C22889">
        <w:trPr>
          <w:trHeight w:val="270"/>
        </w:trPr>
        <w:tc>
          <w:tcPr>
            <w:tcW w:w="3194" w:type="pct"/>
            <w:tcBorders>
              <w:top w:val="nil"/>
              <w:left w:val="single" w:sz="8" w:space="0" w:color="auto"/>
              <w:bottom w:val="single" w:sz="8" w:space="0" w:color="auto"/>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Inventories – net value</w:t>
            </w:r>
          </w:p>
        </w:tc>
        <w:tc>
          <w:tcPr>
            <w:tcW w:w="903" w:type="pct"/>
            <w:tcBorders>
              <w:top w:val="nil"/>
              <w:left w:val="single" w:sz="4" w:space="0" w:color="auto"/>
              <w:bottom w:val="single" w:sz="4" w:space="0" w:color="auto"/>
              <w:right w:val="nil"/>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535</w:t>
            </w:r>
          </w:p>
        </w:tc>
        <w:tc>
          <w:tcPr>
            <w:tcW w:w="903" w:type="pct"/>
            <w:tcBorders>
              <w:top w:val="nil"/>
              <w:left w:val="single" w:sz="4" w:space="0" w:color="auto"/>
              <w:bottom w:val="single" w:sz="4" w:space="0" w:color="auto"/>
              <w:right w:val="single" w:sz="4" w:space="0" w:color="auto"/>
            </w:tcBorders>
            <w:shd w:val="clear" w:color="auto" w:fill="auto"/>
            <w:noWrap/>
            <w:vAlign w:val="bottom"/>
            <w:hideMark/>
          </w:tcPr>
          <w:p w:rsidR="00C22889" w:rsidRPr="00C22889" w:rsidRDefault="00C22889" w:rsidP="00F15482">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                   661 </w:t>
            </w:r>
          </w:p>
        </w:tc>
      </w:tr>
    </w:tbl>
    <w:p w:rsidR="00A8162F" w:rsidRDefault="00A8162F">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227D54" w:rsidRDefault="00227D54">
      <w:pPr>
        <w:tabs>
          <w:tab w:val="clear" w:pos="567"/>
          <w:tab w:val="clear" w:pos="1134"/>
          <w:tab w:val="clear" w:pos="1701"/>
          <w:tab w:val="clear" w:pos="2268"/>
          <w:tab w:val="clear" w:pos="2835"/>
        </w:tabs>
        <w:overflowPunct/>
        <w:autoSpaceDE/>
        <w:autoSpaceDN/>
        <w:adjustRightInd/>
        <w:spacing w:before="0"/>
        <w:textAlignment w:val="auto"/>
        <w:rPr>
          <w:b/>
          <w:lang w:val="en-US"/>
        </w:rPr>
      </w:pPr>
      <w:bookmarkStart w:id="75" w:name="_Toc305764085"/>
      <w:bookmarkStart w:id="76" w:name="_Toc329011635"/>
      <w:r>
        <w:rPr>
          <w:lang w:val="en-US"/>
        </w:rPr>
        <w:br w:type="page"/>
      </w:r>
    </w:p>
    <w:p w:rsidR="0022373A" w:rsidRDefault="0022373A" w:rsidP="00A33FF0">
      <w:pPr>
        <w:pStyle w:val="Heading5"/>
        <w:snapToGrid w:val="0"/>
        <w:spacing w:before="0" w:after="240"/>
        <w:rPr>
          <w:lang w:val="en-US"/>
        </w:rPr>
      </w:pPr>
      <w:r w:rsidRPr="001C2A98">
        <w:rPr>
          <w:lang w:val="en-US"/>
        </w:rPr>
        <w:t>Note 1</w:t>
      </w:r>
      <w:r w:rsidR="00A33FF0">
        <w:rPr>
          <w:lang w:val="en-US"/>
        </w:rPr>
        <w:t>0</w:t>
      </w:r>
      <w:r w:rsidRPr="001C2A98">
        <w:rPr>
          <w:lang w:val="en-US"/>
        </w:rPr>
        <w:tab/>
      </w:r>
      <w:r w:rsidRPr="00D477D8">
        <w:rPr>
          <w:lang w:val="en-US"/>
        </w:rPr>
        <w:t>Other receivables</w:t>
      </w:r>
      <w:bookmarkEnd w:id="75"/>
      <w:bookmarkEnd w:id="76"/>
    </w:p>
    <w:tbl>
      <w:tblPr>
        <w:tblW w:w="5000" w:type="pct"/>
        <w:tblLook w:val="04A0" w:firstRow="1" w:lastRow="0" w:firstColumn="1" w:lastColumn="0" w:noHBand="0" w:noVBand="1"/>
      </w:tblPr>
      <w:tblGrid>
        <w:gridCol w:w="6271"/>
        <w:gridCol w:w="1751"/>
        <w:gridCol w:w="1749"/>
      </w:tblGrid>
      <w:tr w:rsidR="00C22889" w:rsidRPr="00C22889" w:rsidTr="00C22889">
        <w:trPr>
          <w:trHeight w:val="499"/>
        </w:trPr>
        <w:tc>
          <w:tcPr>
            <w:tcW w:w="3209" w:type="pct"/>
            <w:tcBorders>
              <w:top w:val="single" w:sz="4" w:space="0" w:color="auto"/>
              <w:left w:val="single" w:sz="4" w:space="0" w:color="auto"/>
              <w:bottom w:val="single" w:sz="4" w:space="0" w:color="auto"/>
              <w:right w:val="nil"/>
            </w:tcBorders>
            <w:shd w:val="clear" w:color="auto" w:fill="auto"/>
            <w:noWrap/>
            <w:vAlign w:val="center"/>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In thousands of CHF </w:t>
            </w:r>
          </w:p>
        </w:tc>
        <w:tc>
          <w:tcPr>
            <w:tcW w:w="896" w:type="pct"/>
            <w:tcBorders>
              <w:top w:val="single" w:sz="4" w:space="0" w:color="auto"/>
              <w:left w:val="single" w:sz="4" w:space="0" w:color="auto"/>
              <w:bottom w:val="single" w:sz="4" w:space="0" w:color="auto"/>
              <w:right w:val="nil"/>
            </w:tcBorders>
            <w:shd w:val="clear" w:color="auto" w:fill="auto"/>
            <w:noWrap/>
            <w:vAlign w:val="center"/>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31.12.2018</w:t>
            </w:r>
          </w:p>
        </w:tc>
        <w:tc>
          <w:tcPr>
            <w:tcW w:w="8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31.12.2017</w:t>
            </w:r>
          </w:p>
        </w:tc>
      </w:tr>
      <w:tr w:rsidR="00C22889" w:rsidRPr="00C22889" w:rsidTr="00C22889">
        <w:trPr>
          <w:trHeight w:val="285"/>
        </w:trPr>
        <w:tc>
          <w:tcPr>
            <w:tcW w:w="3209"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896"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896"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r>
      <w:tr w:rsidR="00C22889" w:rsidRPr="00C22889" w:rsidTr="00C22889">
        <w:trPr>
          <w:trHeight w:val="285"/>
        </w:trPr>
        <w:tc>
          <w:tcPr>
            <w:tcW w:w="3209"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Employee advances</w:t>
            </w:r>
          </w:p>
        </w:tc>
        <w:tc>
          <w:tcPr>
            <w:tcW w:w="896" w:type="pct"/>
            <w:tcBorders>
              <w:top w:val="nil"/>
              <w:left w:val="single" w:sz="4" w:space="0" w:color="auto"/>
              <w:bottom w:val="nil"/>
              <w:right w:val="nil"/>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1,762 </w:t>
            </w:r>
          </w:p>
        </w:tc>
        <w:tc>
          <w:tcPr>
            <w:tcW w:w="896"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1,723 </w:t>
            </w:r>
          </w:p>
        </w:tc>
      </w:tr>
      <w:tr w:rsidR="00C22889" w:rsidRPr="00C22889" w:rsidTr="00C22889">
        <w:trPr>
          <w:trHeight w:val="285"/>
        </w:trPr>
        <w:tc>
          <w:tcPr>
            <w:tcW w:w="3209"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UNDP current account</w:t>
            </w:r>
          </w:p>
        </w:tc>
        <w:tc>
          <w:tcPr>
            <w:tcW w:w="896" w:type="pct"/>
            <w:tcBorders>
              <w:top w:val="nil"/>
              <w:left w:val="single" w:sz="4" w:space="0" w:color="auto"/>
              <w:bottom w:val="nil"/>
              <w:right w:val="nil"/>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428 </w:t>
            </w:r>
          </w:p>
        </w:tc>
        <w:tc>
          <w:tcPr>
            <w:tcW w:w="896"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308 </w:t>
            </w:r>
          </w:p>
        </w:tc>
      </w:tr>
      <w:tr w:rsidR="00C22889" w:rsidRPr="00C22889" w:rsidTr="00C22889">
        <w:trPr>
          <w:trHeight w:val="285"/>
        </w:trPr>
        <w:tc>
          <w:tcPr>
            <w:tcW w:w="3209"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Yugoslavia</w:t>
            </w:r>
          </w:p>
        </w:tc>
        <w:tc>
          <w:tcPr>
            <w:tcW w:w="896"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1,189 </w:t>
            </w:r>
          </w:p>
        </w:tc>
        <w:tc>
          <w:tcPr>
            <w:tcW w:w="896" w:type="pct"/>
            <w:tcBorders>
              <w:top w:val="nil"/>
              <w:left w:val="nil"/>
              <w:bottom w:val="nil"/>
              <w:right w:val="single" w:sz="4" w:space="0" w:color="auto"/>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1,189 </w:t>
            </w:r>
          </w:p>
        </w:tc>
      </w:tr>
      <w:tr w:rsidR="00C22889" w:rsidRPr="00C22889" w:rsidTr="00C22889">
        <w:trPr>
          <w:trHeight w:val="285"/>
        </w:trPr>
        <w:tc>
          <w:tcPr>
            <w:tcW w:w="3209"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Provision for debt Yugoslavia</w:t>
            </w:r>
          </w:p>
        </w:tc>
        <w:tc>
          <w:tcPr>
            <w:tcW w:w="896"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-1,189 </w:t>
            </w:r>
          </w:p>
        </w:tc>
        <w:tc>
          <w:tcPr>
            <w:tcW w:w="896" w:type="pct"/>
            <w:tcBorders>
              <w:top w:val="nil"/>
              <w:left w:val="nil"/>
              <w:bottom w:val="nil"/>
              <w:right w:val="single" w:sz="4" w:space="0" w:color="auto"/>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-1,189 </w:t>
            </w:r>
          </w:p>
        </w:tc>
      </w:tr>
      <w:tr w:rsidR="00C22889" w:rsidRPr="00C22889" w:rsidTr="00C22889">
        <w:trPr>
          <w:trHeight w:val="285"/>
        </w:trPr>
        <w:tc>
          <w:tcPr>
            <w:tcW w:w="3209"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Withholding tax</w:t>
            </w:r>
          </w:p>
        </w:tc>
        <w:tc>
          <w:tcPr>
            <w:tcW w:w="896"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1,872 </w:t>
            </w:r>
          </w:p>
        </w:tc>
        <w:tc>
          <w:tcPr>
            <w:tcW w:w="896" w:type="pct"/>
            <w:tcBorders>
              <w:top w:val="nil"/>
              <w:left w:val="nil"/>
              <w:bottom w:val="nil"/>
              <w:right w:val="single" w:sz="4" w:space="0" w:color="auto"/>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2,396 </w:t>
            </w:r>
          </w:p>
        </w:tc>
      </w:tr>
      <w:tr w:rsidR="00C22889" w:rsidRPr="00C22889" w:rsidTr="00C22889">
        <w:trPr>
          <w:trHeight w:val="285"/>
        </w:trPr>
        <w:tc>
          <w:tcPr>
            <w:tcW w:w="3209"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Pensions</w:t>
            </w:r>
          </w:p>
        </w:tc>
        <w:tc>
          <w:tcPr>
            <w:tcW w:w="896" w:type="pct"/>
            <w:tcBorders>
              <w:top w:val="nil"/>
              <w:left w:val="single" w:sz="4" w:space="0" w:color="auto"/>
              <w:bottom w:val="nil"/>
              <w:right w:val="nil"/>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236 </w:t>
            </w:r>
          </w:p>
        </w:tc>
        <w:tc>
          <w:tcPr>
            <w:tcW w:w="896"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239 </w:t>
            </w:r>
          </w:p>
        </w:tc>
      </w:tr>
      <w:tr w:rsidR="00C22889" w:rsidRPr="00C22889" w:rsidTr="00C22889">
        <w:trPr>
          <w:trHeight w:val="285"/>
        </w:trPr>
        <w:tc>
          <w:tcPr>
            <w:tcW w:w="3209"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Accrued interest</w:t>
            </w:r>
          </w:p>
        </w:tc>
        <w:tc>
          <w:tcPr>
            <w:tcW w:w="896" w:type="pct"/>
            <w:tcBorders>
              <w:top w:val="nil"/>
              <w:left w:val="single" w:sz="4" w:space="0" w:color="auto"/>
              <w:bottom w:val="nil"/>
              <w:right w:val="nil"/>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356 </w:t>
            </w:r>
          </w:p>
        </w:tc>
        <w:tc>
          <w:tcPr>
            <w:tcW w:w="896"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127 </w:t>
            </w:r>
          </w:p>
        </w:tc>
      </w:tr>
      <w:tr w:rsidR="00C22889" w:rsidRPr="00C22889" w:rsidTr="00C22889">
        <w:trPr>
          <w:trHeight w:val="285"/>
        </w:trPr>
        <w:tc>
          <w:tcPr>
            <w:tcW w:w="3209"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Accounts receivable</w:t>
            </w:r>
          </w:p>
        </w:tc>
        <w:tc>
          <w:tcPr>
            <w:tcW w:w="896" w:type="pct"/>
            <w:tcBorders>
              <w:top w:val="nil"/>
              <w:left w:val="single" w:sz="4" w:space="0" w:color="auto"/>
              <w:bottom w:val="nil"/>
              <w:right w:val="nil"/>
            </w:tcBorders>
            <w:shd w:val="clear" w:color="auto" w:fill="auto"/>
            <w:noWrap/>
            <w:vAlign w:val="bottom"/>
            <w:hideMark/>
          </w:tcPr>
          <w:p w:rsidR="00C22889" w:rsidRPr="00C22889" w:rsidRDefault="00C22889" w:rsidP="00ED0E2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w:t>
            </w:r>
            <w:r w:rsidR="00ED0E21">
              <w:rPr>
                <w:rFonts w:asciiTheme="minorHAnsi" w:hAnsiTheme="minorHAnsi" w:cs="Arial"/>
                <w:color w:val="000000"/>
                <w:sz w:val="22"/>
                <w:szCs w:val="22"/>
                <w:lang w:val="en-US" w:eastAsia="zh-CN"/>
              </w:rPr>
              <w:t>3</w:t>
            </w:r>
            <w:r w:rsidRPr="00C22889">
              <w:rPr>
                <w:rFonts w:asciiTheme="minorHAnsi" w:hAnsiTheme="minorHAnsi" w:cs="Arial"/>
                <w:color w:val="000000"/>
                <w:sz w:val="22"/>
                <w:szCs w:val="22"/>
                <w:lang w:val="en-US" w:eastAsia="zh-CN"/>
              </w:rPr>
              <w:t>,</w:t>
            </w:r>
            <w:r w:rsidR="00ED0E21">
              <w:rPr>
                <w:rFonts w:asciiTheme="minorHAnsi" w:hAnsiTheme="minorHAnsi" w:cs="Arial"/>
                <w:color w:val="000000"/>
                <w:sz w:val="22"/>
                <w:szCs w:val="22"/>
                <w:lang w:val="en-US" w:eastAsia="zh-CN"/>
              </w:rPr>
              <w:t>900</w:t>
            </w:r>
            <w:r w:rsidRPr="00C22889">
              <w:rPr>
                <w:rFonts w:asciiTheme="minorHAnsi" w:hAnsiTheme="minorHAnsi" w:cs="Arial"/>
                <w:color w:val="000000"/>
                <w:sz w:val="22"/>
                <w:szCs w:val="22"/>
                <w:lang w:val="en-US" w:eastAsia="zh-CN"/>
              </w:rPr>
              <w:t xml:space="preserve"> </w:t>
            </w:r>
          </w:p>
        </w:tc>
        <w:tc>
          <w:tcPr>
            <w:tcW w:w="896"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2,711 </w:t>
            </w:r>
          </w:p>
        </w:tc>
      </w:tr>
      <w:tr w:rsidR="00C22889" w:rsidRPr="00C22889" w:rsidTr="00C22889">
        <w:trPr>
          <w:trHeight w:val="285"/>
        </w:trPr>
        <w:tc>
          <w:tcPr>
            <w:tcW w:w="3209"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896" w:type="pct"/>
            <w:tcBorders>
              <w:top w:val="nil"/>
              <w:left w:val="single" w:sz="4" w:space="0" w:color="auto"/>
              <w:bottom w:val="nil"/>
              <w:right w:val="nil"/>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896"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r>
      <w:tr w:rsidR="00C22889" w:rsidRPr="00C22889" w:rsidTr="00C22889">
        <w:trPr>
          <w:trHeight w:val="210"/>
        </w:trPr>
        <w:tc>
          <w:tcPr>
            <w:tcW w:w="3209" w:type="pct"/>
            <w:tcBorders>
              <w:top w:val="nil"/>
              <w:left w:val="single" w:sz="4" w:space="0" w:color="auto"/>
              <w:bottom w:val="nil"/>
              <w:right w:val="nil"/>
            </w:tcBorders>
            <w:shd w:val="clear" w:color="auto" w:fill="auto"/>
            <w:noWrap/>
            <w:vAlign w:val="bottom"/>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896" w:type="pct"/>
            <w:tcBorders>
              <w:top w:val="nil"/>
              <w:left w:val="single" w:sz="4" w:space="0" w:color="auto"/>
              <w:bottom w:val="nil"/>
              <w:right w:val="nil"/>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896" w:type="pct"/>
            <w:tcBorders>
              <w:top w:val="nil"/>
              <w:left w:val="single" w:sz="4" w:space="0" w:color="auto"/>
              <w:bottom w:val="nil"/>
              <w:right w:val="single" w:sz="4" w:space="0" w:color="auto"/>
            </w:tcBorders>
            <w:shd w:val="clear" w:color="auto" w:fill="auto"/>
            <w:noWrap/>
            <w:vAlign w:val="bottom"/>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r>
      <w:tr w:rsidR="00C22889" w:rsidRPr="00C22889" w:rsidTr="00C22889">
        <w:trPr>
          <w:trHeight w:val="300"/>
        </w:trPr>
        <w:tc>
          <w:tcPr>
            <w:tcW w:w="3209" w:type="pct"/>
            <w:tcBorders>
              <w:top w:val="single" w:sz="4" w:space="0" w:color="auto"/>
              <w:left w:val="single" w:sz="4" w:space="0" w:color="auto"/>
              <w:bottom w:val="single" w:sz="4" w:space="0" w:color="auto"/>
              <w:right w:val="nil"/>
            </w:tcBorders>
            <w:shd w:val="clear" w:color="auto" w:fill="auto"/>
            <w:noWrap/>
            <w:vAlign w:val="center"/>
            <w:hideMark/>
          </w:tcPr>
          <w:p w:rsidR="00C22889" w:rsidRPr="00C22889" w:rsidRDefault="00C22889" w:rsidP="00C228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Other receivables</w:t>
            </w:r>
          </w:p>
        </w:tc>
        <w:tc>
          <w:tcPr>
            <w:tcW w:w="896" w:type="pct"/>
            <w:tcBorders>
              <w:top w:val="single" w:sz="4" w:space="0" w:color="auto"/>
              <w:left w:val="single" w:sz="4" w:space="0" w:color="auto"/>
              <w:bottom w:val="single" w:sz="4" w:space="0" w:color="auto"/>
              <w:right w:val="nil"/>
            </w:tcBorders>
            <w:shd w:val="clear" w:color="auto" w:fill="auto"/>
            <w:noWrap/>
            <w:vAlign w:val="center"/>
            <w:hideMark/>
          </w:tcPr>
          <w:p w:rsidR="00C22889" w:rsidRPr="00C22889" w:rsidRDefault="00C22889" w:rsidP="00ED0E2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              </w:t>
            </w:r>
            <w:r w:rsidR="00ED0E21">
              <w:rPr>
                <w:rFonts w:asciiTheme="minorHAnsi" w:hAnsiTheme="minorHAnsi" w:cs="Arial"/>
                <w:b/>
                <w:bCs/>
                <w:color w:val="000000"/>
                <w:sz w:val="22"/>
                <w:szCs w:val="22"/>
                <w:lang w:val="en-US" w:eastAsia="zh-CN"/>
              </w:rPr>
              <w:t>8</w:t>
            </w:r>
            <w:r w:rsidRPr="00C22889">
              <w:rPr>
                <w:rFonts w:asciiTheme="minorHAnsi" w:hAnsiTheme="minorHAnsi" w:cs="Arial"/>
                <w:b/>
                <w:bCs/>
                <w:color w:val="000000"/>
                <w:sz w:val="22"/>
                <w:szCs w:val="22"/>
                <w:lang w:val="en-US" w:eastAsia="zh-CN"/>
              </w:rPr>
              <w:t>,</w:t>
            </w:r>
            <w:r w:rsidR="00ED0E21">
              <w:rPr>
                <w:rFonts w:asciiTheme="minorHAnsi" w:hAnsiTheme="minorHAnsi" w:cs="Arial"/>
                <w:b/>
                <w:bCs/>
                <w:color w:val="000000"/>
                <w:sz w:val="22"/>
                <w:szCs w:val="22"/>
                <w:lang w:val="en-US" w:eastAsia="zh-CN"/>
              </w:rPr>
              <w:t>534</w:t>
            </w:r>
            <w:r w:rsidRPr="00C22889">
              <w:rPr>
                <w:rFonts w:asciiTheme="minorHAnsi" w:hAnsiTheme="minorHAnsi" w:cs="Arial"/>
                <w:b/>
                <w:bCs/>
                <w:color w:val="000000"/>
                <w:sz w:val="22"/>
                <w:szCs w:val="22"/>
                <w:lang w:val="en-US" w:eastAsia="zh-CN"/>
              </w:rPr>
              <w:t xml:space="preserve"> </w:t>
            </w:r>
          </w:p>
        </w:tc>
        <w:tc>
          <w:tcPr>
            <w:tcW w:w="8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89" w:rsidRPr="00C22889" w:rsidRDefault="00C22889" w:rsidP="000D01C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               7,505 </w:t>
            </w:r>
          </w:p>
        </w:tc>
      </w:tr>
    </w:tbl>
    <w:p w:rsidR="0022373A" w:rsidRPr="00D230AA" w:rsidRDefault="0022373A" w:rsidP="00560B06">
      <w:pPr>
        <w:snapToGrid w:val="0"/>
        <w:spacing w:before="240"/>
        <w:jc w:val="both"/>
        <w:rPr>
          <w:lang w:val="en-US"/>
        </w:rPr>
      </w:pPr>
      <w:r w:rsidRPr="00D230AA">
        <w:rPr>
          <w:lang w:val="en-US"/>
        </w:rPr>
        <w:t>Employee advances mainly comprise</w:t>
      </w:r>
      <w:r w:rsidR="00413613">
        <w:rPr>
          <w:lang w:val="en-US"/>
        </w:rPr>
        <w:t>d</w:t>
      </w:r>
      <w:r w:rsidRPr="00D230AA">
        <w:rPr>
          <w:lang w:val="en-US"/>
        </w:rPr>
        <w:t xml:space="preserve"> the payment of </w:t>
      </w:r>
      <w:r w:rsidR="00D230AA" w:rsidRPr="00D477D8">
        <w:rPr>
          <w:lang w:val="en-US"/>
        </w:rPr>
        <w:t>9</w:t>
      </w:r>
      <w:r w:rsidR="00560B06">
        <w:rPr>
          <w:lang w:val="en-US"/>
        </w:rPr>
        <w:t>7</w:t>
      </w:r>
      <w:r w:rsidRPr="00D230AA">
        <w:rPr>
          <w:lang w:val="en-US"/>
        </w:rPr>
        <w:t xml:space="preserve"> per cent of education expenses for staff members</w:t>
      </w:r>
      <w:r w:rsidR="007A552E" w:rsidRPr="00D230AA">
        <w:rPr>
          <w:lang w:val="en-US"/>
        </w:rPr>
        <w:t>’</w:t>
      </w:r>
      <w:r w:rsidR="00422870" w:rsidRPr="00D230AA">
        <w:rPr>
          <w:lang w:val="en-US"/>
        </w:rPr>
        <w:t xml:space="preserve"> </w:t>
      </w:r>
      <w:r w:rsidRPr="00D230AA">
        <w:rPr>
          <w:lang w:val="en-US"/>
        </w:rPr>
        <w:t>children.</w:t>
      </w:r>
    </w:p>
    <w:p w:rsidR="0022373A" w:rsidRPr="00D230AA" w:rsidRDefault="0022373A" w:rsidP="00560B06">
      <w:pPr>
        <w:jc w:val="both"/>
        <w:rPr>
          <w:lang w:val="en-US"/>
        </w:rPr>
      </w:pPr>
      <w:r w:rsidRPr="00D230AA">
        <w:rPr>
          <w:lang w:val="en-US"/>
        </w:rPr>
        <w:t>Tax at source comprises the withholding tax that is reimbursable by the Swiss Confederation</w:t>
      </w:r>
      <w:r w:rsidR="007A552E" w:rsidRPr="00D230AA">
        <w:rPr>
          <w:lang w:val="en-US"/>
        </w:rPr>
        <w:t>’</w:t>
      </w:r>
      <w:r w:rsidRPr="00D230AA">
        <w:rPr>
          <w:lang w:val="en-US"/>
        </w:rPr>
        <w:t>s Federal Tax Administration as well as the income tax to be recovered from the Government of the United States of America. The balance to be recovered from that administration stands at CHF </w:t>
      </w:r>
      <w:r w:rsidR="00560B06">
        <w:rPr>
          <w:lang w:val="en-US"/>
        </w:rPr>
        <w:t>1</w:t>
      </w:r>
      <w:r w:rsidR="00D230AA" w:rsidRPr="00D230AA">
        <w:rPr>
          <w:lang w:val="en-US"/>
        </w:rPr>
        <w:t>.</w:t>
      </w:r>
      <w:r w:rsidR="00560B06">
        <w:rPr>
          <w:lang w:val="en-US"/>
        </w:rPr>
        <w:t>7</w:t>
      </w:r>
      <w:r w:rsidR="0000145D" w:rsidRPr="00D230AA">
        <w:rPr>
          <w:lang w:val="en-US"/>
        </w:rPr>
        <w:t> </w:t>
      </w:r>
      <w:r w:rsidR="00422870" w:rsidRPr="00D230AA">
        <w:rPr>
          <w:lang w:val="en-US"/>
        </w:rPr>
        <w:t>million at the end</w:t>
      </w:r>
      <w:r w:rsidR="00717A84" w:rsidRPr="00D230AA">
        <w:rPr>
          <w:lang w:val="en-US"/>
        </w:rPr>
        <w:t xml:space="preserve"> of </w:t>
      </w:r>
      <w:r w:rsidR="00111BDD" w:rsidRPr="00D230AA">
        <w:rPr>
          <w:lang w:val="en-US"/>
        </w:rPr>
        <w:t>201</w:t>
      </w:r>
      <w:r w:rsidR="00560B06">
        <w:rPr>
          <w:lang w:val="en-US"/>
        </w:rPr>
        <w:t>8</w:t>
      </w:r>
      <w:r w:rsidRPr="00D230AA">
        <w:rPr>
          <w:lang w:val="en-US"/>
        </w:rPr>
        <w:t>.</w:t>
      </w:r>
    </w:p>
    <w:p w:rsidR="0022373A" w:rsidRPr="00D230AA" w:rsidRDefault="0022373A" w:rsidP="005C41A5">
      <w:pPr>
        <w:jc w:val="both"/>
        <w:rPr>
          <w:lang w:val="en-US"/>
        </w:rPr>
      </w:pPr>
      <w:r w:rsidRPr="00D230AA">
        <w:rPr>
          <w:lang w:val="en-US"/>
        </w:rPr>
        <w:t>The debt of the former Federal Republic of Yugoslavia has been provisioned at 100 per cent. The amounts due have not yet been settled. The Union is awaiting a decision by the United Nations General Assembly regarding the handling of this debt.</w:t>
      </w:r>
    </w:p>
    <w:p w:rsidR="00D230AA" w:rsidRDefault="0022373A" w:rsidP="00560B06">
      <w:pPr>
        <w:jc w:val="both"/>
        <w:rPr>
          <w:lang w:val="en-US"/>
        </w:rPr>
      </w:pPr>
      <w:r w:rsidRPr="00D230AA">
        <w:rPr>
          <w:lang w:val="en-US"/>
        </w:rPr>
        <w:t xml:space="preserve">Accounts receivable mainly </w:t>
      </w:r>
      <w:r w:rsidR="009C75F8" w:rsidRPr="00D230AA">
        <w:rPr>
          <w:lang w:val="en-US"/>
        </w:rPr>
        <w:t>represent</w:t>
      </w:r>
      <w:r w:rsidR="00413613">
        <w:rPr>
          <w:lang w:val="en-US"/>
        </w:rPr>
        <w:t>ed</w:t>
      </w:r>
      <w:r w:rsidRPr="00D230AA">
        <w:rPr>
          <w:lang w:val="en-US"/>
        </w:rPr>
        <w:t xml:space="preserve"> </w:t>
      </w:r>
      <w:r w:rsidR="00D230AA" w:rsidRPr="00D230AA">
        <w:rPr>
          <w:lang w:val="en-US"/>
        </w:rPr>
        <w:t xml:space="preserve">the prepaid expenses related to </w:t>
      </w:r>
      <w:r w:rsidR="00283CD7">
        <w:rPr>
          <w:lang w:val="en-US"/>
        </w:rPr>
        <w:t>the budget 201</w:t>
      </w:r>
      <w:r w:rsidR="00560B06">
        <w:rPr>
          <w:lang w:val="en-US"/>
        </w:rPr>
        <w:t>8</w:t>
      </w:r>
      <w:r w:rsidR="00D230AA" w:rsidRPr="00D230AA">
        <w:rPr>
          <w:lang w:val="en-US"/>
        </w:rPr>
        <w:t>.</w:t>
      </w:r>
    </w:p>
    <w:p w:rsidR="0022373A" w:rsidRPr="001C2A98" w:rsidRDefault="0022373A" w:rsidP="00AA1577">
      <w:pPr>
        <w:pStyle w:val="Heading5"/>
        <w:spacing w:before="240" w:after="200"/>
        <w:rPr>
          <w:lang w:val="en-US"/>
        </w:rPr>
      </w:pPr>
      <w:bookmarkStart w:id="77" w:name="_Toc305764086"/>
      <w:bookmarkStart w:id="78" w:name="_Toc329011636"/>
      <w:r w:rsidRPr="001C2A98">
        <w:rPr>
          <w:lang w:val="en-US"/>
        </w:rPr>
        <w:t>Note 1</w:t>
      </w:r>
      <w:r w:rsidR="00C83CFB">
        <w:rPr>
          <w:lang w:val="en-US"/>
        </w:rPr>
        <w:t>1</w:t>
      </w:r>
      <w:r w:rsidRPr="001C2A98">
        <w:rPr>
          <w:lang w:val="en-US"/>
        </w:rPr>
        <w:tab/>
      </w:r>
      <w:r w:rsidRPr="00B742B2">
        <w:rPr>
          <w:lang w:val="en-US"/>
        </w:rPr>
        <w:t>Property</w:t>
      </w:r>
      <w:r w:rsidR="00C83CFB" w:rsidRPr="00B742B2">
        <w:rPr>
          <w:lang w:val="en-US"/>
        </w:rPr>
        <w:t xml:space="preserve"> </w:t>
      </w:r>
      <w:r w:rsidRPr="00B742B2">
        <w:rPr>
          <w:lang w:val="en-US"/>
        </w:rPr>
        <w:t>and equipment</w:t>
      </w:r>
      <w:bookmarkEnd w:id="77"/>
      <w:bookmarkEnd w:id="78"/>
    </w:p>
    <w:p w:rsidR="0022373A" w:rsidRPr="001C2A98" w:rsidRDefault="0022373A" w:rsidP="005C41A5">
      <w:pPr>
        <w:jc w:val="both"/>
        <w:rPr>
          <w:lang w:val="en-US"/>
        </w:rPr>
      </w:pPr>
      <w:r w:rsidRPr="001C2A98">
        <w:rPr>
          <w:lang w:val="en-US"/>
        </w:rPr>
        <w:t xml:space="preserve">The ITU buildings </w:t>
      </w:r>
      <w:r w:rsidR="007A7D5C">
        <w:rPr>
          <w:lang w:val="en-US"/>
        </w:rPr>
        <w:t>comprise</w:t>
      </w:r>
      <w:r w:rsidRPr="001C2A98">
        <w:rPr>
          <w:lang w:val="en-US"/>
        </w:rPr>
        <w:t xml:space="preserve"> the following: </w:t>
      </w:r>
    </w:p>
    <w:p w:rsidR="0022373A" w:rsidRPr="001C2A98" w:rsidRDefault="0022373A" w:rsidP="005C41A5">
      <w:pPr>
        <w:pStyle w:val="enumlev1"/>
        <w:jc w:val="both"/>
        <w:rPr>
          <w:lang w:val="en-US"/>
        </w:rPr>
      </w:pPr>
      <w:r w:rsidRPr="001C2A98">
        <w:rPr>
          <w:lang w:val="en-US"/>
        </w:rPr>
        <w:t>–</w:t>
      </w:r>
      <w:r w:rsidRPr="001C2A98">
        <w:rPr>
          <w:lang w:val="en-US"/>
        </w:rPr>
        <w:tab/>
        <w:t xml:space="preserve">Tower building, rue de </w:t>
      </w:r>
      <w:proofErr w:type="spellStart"/>
      <w:r w:rsidRPr="001C2A98">
        <w:rPr>
          <w:lang w:val="en-US"/>
        </w:rPr>
        <w:t>Varembé</w:t>
      </w:r>
      <w:proofErr w:type="spellEnd"/>
      <w:r w:rsidRPr="001C2A98">
        <w:rPr>
          <w:lang w:val="en-US"/>
        </w:rPr>
        <w:t>, Geneva</w:t>
      </w:r>
      <w:r w:rsidR="00BF3DB3">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r>
      <w:proofErr w:type="spellStart"/>
      <w:r w:rsidRPr="001C2A98">
        <w:rPr>
          <w:lang w:val="en-US"/>
        </w:rPr>
        <w:t>Varembé</w:t>
      </w:r>
      <w:proofErr w:type="spellEnd"/>
      <w:r w:rsidRPr="001C2A98">
        <w:rPr>
          <w:lang w:val="en-US"/>
        </w:rPr>
        <w:t xml:space="preserve"> building, rue de </w:t>
      </w:r>
      <w:proofErr w:type="spellStart"/>
      <w:r w:rsidRPr="001C2A98">
        <w:rPr>
          <w:lang w:val="en-US"/>
        </w:rPr>
        <w:t>Varembé</w:t>
      </w:r>
      <w:proofErr w:type="spellEnd"/>
      <w:r w:rsidRPr="001C2A98">
        <w:rPr>
          <w:lang w:val="en-US"/>
        </w:rPr>
        <w:t>, Geneva</w:t>
      </w:r>
      <w:r w:rsidR="00BF3DB3">
        <w:rPr>
          <w:lang w:val="en-US"/>
        </w:rPr>
        <w:t>;</w:t>
      </w:r>
    </w:p>
    <w:p w:rsidR="0022373A" w:rsidRPr="001C2A98" w:rsidRDefault="0022373A" w:rsidP="005C41A5">
      <w:pPr>
        <w:pStyle w:val="enumlev1"/>
        <w:jc w:val="both"/>
        <w:rPr>
          <w:lang w:val="en-US"/>
        </w:rPr>
      </w:pPr>
      <w:r w:rsidRPr="001C2A98">
        <w:rPr>
          <w:lang w:val="en-US"/>
        </w:rPr>
        <w:t>–</w:t>
      </w:r>
      <w:r w:rsidRPr="001C2A98">
        <w:rPr>
          <w:lang w:val="en-US"/>
        </w:rPr>
        <w:tab/>
        <w:t xml:space="preserve">Extension C and Cafeteria, rue de </w:t>
      </w:r>
      <w:proofErr w:type="spellStart"/>
      <w:r w:rsidRPr="001C2A98">
        <w:rPr>
          <w:lang w:val="en-US"/>
        </w:rPr>
        <w:t>Varembé</w:t>
      </w:r>
      <w:proofErr w:type="spellEnd"/>
      <w:r w:rsidRPr="001C2A98">
        <w:rPr>
          <w:lang w:val="en-US"/>
        </w:rPr>
        <w:t>, Geneva</w:t>
      </w:r>
      <w:r w:rsidR="00BF3DB3">
        <w:rPr>
          <w:lang w:val="en-US"/>
        </w:rPr>
        <w:t>;</w:t>
      </w:r>
    </w:p>
    <w:p w:rsidR="003A694A" w:rsidRDefault="0022373A" w:rsidP="005C41A5">
      <w:pPr>
        <w:pStyle w:val="enumlev1"/>
        <w:jc w:val="both"/>
        <w:rPr>
          <w:lang w:val="en-US"/>
        </w:rPr>
      </w:pPr>
      <w:r w:rsidRPr="001C2A98">
        <w:rPr>
          <w:lang w:val="en-US"/>
        </w:rPr>
        <w:t>–</w:t>
      </w:r>
      <w:r w:rsidRPr="001C2A98">
        <w:rPr>
          <w:lang w:val="en-US"/>
        </w:rPr>
        <w:tab/>
      </w:r>
      <w:proofErr w:type="spellStart"/>
      <w:r w:rsidRPr="001C2A98">
        <w:rPr>
          <w:lang w:val="en-US"/>
        </w:rPr>
        <w:t>Montbrillant</w:t>
      </w:r>
      <w:proofErr w:type="spellEnd"/>
      <w:r w:rsidRPr="001C2A98">
        <w:rPr>
          <w:lang w:val="en-US"/>
        </w:rPr>
        <w:t xml:space="preserve"> building, rue de </w:t>
      </w:r>
      <w:proofErr w:type="spellStart"/>
      <w:r w:rsidRPr="001C2A98">
        <w:rPr>
          <w:lang w:val="en-US"/>
        </w:rPr>
        <w:t>Varembé</w:t>
      </w:r>
      <w:proofErr w:type="spellEnd"/>
      <w:r w:rsidRPr="001C2A98">
        <w:rPr>
          <w:lang w:val="en-US"/>
        </w:rPr>
        <w:t>, Geneva.</w:t>
      </w:r>
    </w:p>
    <w:p w:rsidR="0022373A" w:rsidRPr="00BC07FF" w:rsidRDefault="007A7D5C" w:rsidP="00A4540F">
      <w:pPr>
        <w:pStyle w:val="enumlev1"/>
        <w:snapToGrid w:val="0"/>
        <w:spacing w:before="120"/>
        <w:ind w:left="0" w:firstLine="0"/>
        <w:jc w:val="both"/>
        <w:rPr>
          <w:lang w:val="en-US"/>
        </w:rPr>
      </w:pPr>
      <w:r w:rsidRPr="00BC07FF">
        <w:rPr>
          <w:lang w:val="en-US"/>
        </w:rPr>
        <w:t xml:space="preserve">These buildings were valued at an amount determined independently by external consultants for the IPSAS first financial statements in 2010. This value represented the estimated value of the buildings </w:t>
      </w:r>
      <w:r w:rsidR="008D0674" w:rsidRPr="00BC07FF">
        <w:rPr>
          <w:lang w:val="en-US"/>
        </w:rPr>
        <w:t>at their completion</w:t>
      </w:r>
      <w:r w:rsidRPr="00BC07FF">
        <w:rPr>
          <w:lang w:val="en-US"/>
        </w:rPr>
        <w:t xml:space="preserve"> </w:t>
      </w:r>
      <w:r w:rsidR="008D0674" w:rsidRPr="00BC07FF">
        <w:rPr>
          <w:lang w:val="en-US"/>
        </w:rPr>
        <w:t xml:space="preserve">as well as </w:t>
      </w:r>
      <w:r w:rsidRPr="00BC07FF">
        <w:rPr>
          <w:lang w:val="en-US"/>
        </w:rPr>
        <w:t xml:space="preserve">the estimated value of renovations and repairs </w:t>
      </w:r>
      <w:r w:rsidR="008D0674" w:rsidRPr="00BC07FF">
        <w:rPr>
          <w:lang w:val="en-US"/>
        </w:rPr>
        <w:t>accomplished</w:t>
      </w:r>
      <w:r w:rsidRPr="00BC07FF">
        <w:rPr>
          <w:lang w:val="en-US"/>
        </w:rPr>
        <w:t xml:space="preserve"> since </w:t>
      </w:r>
      <w:r w:rsidR="008D0674" w:rsidRPr="00BC07FF">
        <w:rPr>
          <w:lang w:val="en-US"/>
        </w:rPr>
        <w:t>the occupation of the buildings, after deduction of</w:t>
      </w:r>
      <w:r w:rsidRPr="00BC07FF">
        <w:rPr>
          <w:lang w:val="en-US"/>
        </w:rPr>
        <w:t xml:space="preserve"> accumulated depreciation.</w:t>
      </w:r>
    </w:p>
    <w:p w:rsidR="0022373A" w:rsidRDefault="0022373A" w:rsidP="00560B06">
      <w:pPr>
        <w:snapToGrid w:val="0"/>
        <w:jc w:val="both"/>
        <w:rPr>
          <w:lang w:val="en-US"/>
        </w:rPr>
      </w:pPr>
      <w:r w:rsidRPr="00BC07FF">
        <w:rPr>
          <w:lang w:val="en-US"/>
        </w:rPr>
        <w:t>The changes in the net carrying amount of property, and e</w:t>
      </w:r>
      <w:r w:rsidR="00950C99" w:rsidRPr="00BC07FF">
        <w:rPr>
          <w:lang w:val="en-US"/>
        </w:rPr>
        <w:t xml:space="preserve">quipment, including low value assets, </w:t>
      </w:r>
      <w:r w:rsidR="00794B42" w:rsidRPr="00BC07FF">
        <w:rPr>
          <w:lang w:val="en-US"/>
        </w:rPr>
        <w:t xml:space="preserve">during the </w:t>
      </w:r>
      <w:r w:rsidR="00111BDD" w:rsidRPr="00BC07FF">
        <w:rPr>
          <w:lang w:val="en-US"/>
        </w:rPr>
        <w:t>201</w:t>
      </w:r>
      <w:r w:rsidR="00560B06">
        <w:rPr>
          <w:lang w:val="en-US"/>
        </w:rPr>
        <w:t>8</w:t>
      </w:r>
      <w:r w:rsidR="00781AF1" w:rsidRPr="00BC07FF">
        <w:rPr>
          <w:lang w:val="en-US"/>
        </w:rPr>
        <w:t xml:space="preserve"> period </w:t>
      </w:r>
      <w:r w:rsidRPr="00BC07FF">
        <w:rPr>
          <w:lang w:val="en-US"/>
        </w:rPr>
        <w:t>are explained below.</w:t>
      </w:r>
    </w:p>
    <w:p w:rsidR="008F1584" w:rsidRDefault="003966D7" w:rsidP="00905753">
      <w:pPr>
        <w:snapToGrid w:val="0"/>
        <w:jc w:val="both"/>
        <w:rPr>
          <w:lang w:val="en-US"/>
        </w:rPr>
      </w:pPr>
      <w:r w:rsidRPr="00BC07FF">
        <w:rPr>
          <w:lang w:val="en-US"/>
        </w:rPr>
        <w:t xml:space="preserve">As of </w:t>
      </w:r>
      <w:r w:rsidR="00794B42" w:rsidRPr="00BC07FF">
        <w:rPr>
          <w:lang w:val="en-US"/>
        </w:rPr>
        <w:t xml:space="preserve">December </w:t>
      </w:r>
      <w:r w:rsidR="00111BDD" w:rsidRPr="00BC07FF">
        <w:rPr>
          <w:lang w:val="en-US"/>
        </w:rPr>
        <w:t>201</w:t>
      </w:r>
      <w:r w:rsidR="00905753">
        <w:rPr>
          <w:lang w:val="en-US"/>
        </w:rPr>
        <w:t>8</w:t>
      </w:r>
      <w:r w:rsidR="0022373A" w:rsidRPr="00BC07FF">
        <w:rPr>
          <w:lang w:val="en-US"/>
        </w:rPr>
        <w:t>, no property, or equipment had been pledged as security for debt.</w:t>
      </w:r>
    </w:p>
    <w:p w:rsidR="00C63AC8" w:rsidRDefault="008F1584" w:rsidP="00840990">
      <w:pPr>
        <w:snapToGrid w:val="0"/>
        <w:jc w:val="both"/>
        <w:rPr>
          <w:lang w:val="en-US"/>
        </w:rPr>
      </w:pPr>
      <w:r w:rsidRPr="00E96BCB">
        <w:rPr>
          <w:lang w:val="en-US"/>
        </w:rPr>
        <w:t>At the end of 201</w:t>
      </w:r>
      <w:r w:rsidR="00905753">
        <w:rPr>
          <w:lang w:val="en-US"/>
        </w:rPr>
        <w:t>8</w:t>
      </w:r>
      <w:r w:rsidRPr="00E96BCB">
        <w:rPr>
          <w:lang w:val="en-US"/>
        </w:rPr>
        <w:t xml:space="preserve">, the value of the items not present in the physical stock amounted to </w:t>
      </w:r>
      <w:r w:rsidRPr="00840990">
        <w:rPr>
          <w:lang w:val="en-US"/>
        </w:rPr>
        <w:t>CHF</w:t>
      </w:r>
      <w:r w:rsidR="00D05A7B" w:rsidRPr="00840990">
        <w:rPr>
          <w:lang w:val="en-US"/>
        </w:rPr>
        <w:t> </w:t>
      </w:r>
      <w:r w:rsidR="00560B06" w:rsidRPr="00840990">
        <w:rPr>
          <w:lang w:val="en-US"/>
        </w:rPr>
        <w:t>164.575</w:t>
      </w:r>
      <w:r w:rsidRPr="00840990">
        <w:rPr>
          <w:lang w:val="en-US"/>
        </w:rPr>
        <w:t xml:space="preserve"> compared to CHF</w:t>
      </w:r>
      <w:r w:rsidR="00D05A7B" w:rsidRPr="00840990">
        <w:rPr>
          <w:lang w:val="en-US"/>
        </w:rPr>
        <w:t> </w:t>
      </w:r>
      <w:r w:rsidR="00D83679" w:rsidRPr="00840990">
        <w:rPr>
          <w:lang w:val="en-US"/>
        </w:rPr>
        <w:t>2</w:t>
      </w:r>
      <w:r w:rsidR="00560B06" w:rsidRPr="00840990">
        <w:rPr>
          <w:lang w:val="en-US"/>
        </w:rPr>
        <w:t>9</w:t>
      </w:r>
      <w:r w:rsidR="00D83679" w:rsidRPr="00840990">
        <w:rPr>
          <w:lang w:val="en-US"/>
        </w:rPr>
        <w:t>.</w:t>
      </w:r>
      <w:r w:rsidR="00560B06" w:rsidRPr="00840990">
        <w:rPr>
          <w:lang w:val="en-US"/>
        </w:rPr>
        <w:t>971</w:t>
      </w:r>
      <w:r w:rsidRPr="00840990">
        <w:rPr>
          <w:lang w:val="en-US"/>
        </w:rPr>
        <w:t xml:space="preserve"> in 201</w:t>
      </w:r>
      <w:r w:rsidR="00840990" w:rsidRPr="00840990">
        <w:rPr>
          <w:lang w:val="en-US"/>
        </w:rPr>
        <w:t>7</w:t>
      </w:r>
      <w:r w:rsidR="00CB54FB" w:rsidRPr="00840990">
        <w:rPr>
          <w:lang w:val="en-US"/>
        </w:rPr>
        <w:t>.</w:t>
      </w:r>
    </w:p>
    <w:p w:rsidR="00227D54" w:rsidRDefault="00227D54">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DF0BAD" w:rsidRDefault="00DF0BAD" w:rsidP="00FF2EDE">
      <w:pPr>
        <w:snapToGrid w:val="0"/>
        <w:spacing w:before="0"/>
        <w:jc w:val="both"/>
        <w:rPr>
          <w:lang w:val="en-US"/>
        </w:rPr>
      </w:pPr>
    </w:p>
    <w:tbl>
      <w:tblPr>
        <w:tblW w:w="5000" w:type="pct"/>
        <w:tblLook w:val="04A0" w:firstRow="1" w:lastRow="0" w:firstColumn="1" w:lastColumn="0" w:noHBand="0" w:noVBand="1"/>
      </w:tblPr>
      <w:tblGrid>
        <w:gridCol w:w="2671"/>
        <w:gridCol w:w="973"/>
        <w:gridCol w:w="846"/>
        <w:gridCol w:w="992"/>
        <w:gridCol w:w="1128"/>
        <w:gridCol w:w="1018"/>
        <w:gridCol w:w="1001"/>
        <w:gridCol w:w="1142"/>
      </w:tblGrid>
      <w:tr w:rsidR="004C53D1" w:rsidRPr="004C53D1" w:rsidTr="004C53D1">
        <w:trPr>
          <w:trHeight w:val="900"/>
        </w:trPr>
        <w:tc>
          <w:tcPr>
            <w:tcW w:w="1406" w:type="pct"/>
            <w:tcBorders>
              <w:top w:val="single" w:sz="4" w:space="0" w:color="auto"/>
              <w:left w:val="single" w:sz="4" w:space="0" w:color="auto"/>
              <w:bottom w:val="nil"/>
              <w:right w:val="nil"/>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bookmarkStart w:id="79" w:name="_Toc305764087"/>
            <w:bookmarkStart w:id="80" w:name="_Toc329011637"/>
            <w:r w:rsidRPr="004C53D1">
              <w:rPr>
                <w:rFonts w:asciiTheme="minorHAnsi" w:hAnsiTheme="minorHAnsi" w:cs="Arial"/>
                <w:b/>
                <w:bCs/>
                <w:color w:val="000000"/>
                <w:sz w:val="20"/>
                <w:lang w:val="en-US" w:eastAsia="zh-CN"/>
              </w:rPr>
              <w:t>Categories of asset</w:t>
            </w:r>
          </w:p>
        </w:tc>
        <w:tc>
          <w:tcPr>
            <w:tcW w:w="510" w:type="pct"/>
            <w:tcBorders>
              <w:top w:val="single" w:sz="4" w:space="0" w:color="auto"/>
              <w:left w:val="nil"/>
              <w:bottom w:val="nil"/>
              <w:right w:val="nil"/>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Buildings</w:t>
            </w:r>
          </w:p>
        </w:tc>
        <w:tc>
          <w:tcPr>
            <w:tcW w:w="486" w:type="pct"/>
            <w:tcBorders>
              <w:top w:val="single" w:sz="4" w:space="0" w:color="auto"/>
              <w:left w:val="nil"/>
              <w:bottom w:val="nil"/>
              <w:right w:val="nil"/>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Mach. &amp; equip.</w:t>
            </w:r>
          </w:p>
        </w:tc>
        <w:tc>
          <w:tcPr>
            <w:tcW w:w="520" w:type="pct"/>
            <w:tcBorders>
              <w:top w:val="single" w:sz="4" w:space="0" w:color="auto"/>
              <w:left w:val="nil"/>
              <w:bottom w:val="nil"/>
              <w:right w:val="nil"/>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Furniture &amp; fixtures</w:t>
            </w:r>
          </w:p>
        </w:tc>
        <w:tc>
          <w:tcPr>
            <w:tcW w:w="593" w:type="pct"/>
            <w:tcBorders>
              <w:top w:val="single" w:sz="4" w:space="0" w:color="auto"/>
              <w:left w:val="nil"/>
              <w:bottom w:val="nil"/>
              <w:right w:val="nil"/>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Computer equipment</w:t>
            </w:r>
          </w:p>
        </w:tc>
        <w:tc>
          <w:tcPr>
            <w:tcW w:w="474" w:type="pct"/>
            <w:tcBorders>
              <w:top w:val="single" w:sz="4" w:space="0" w:color="auto"/>
              <w:left w:val="nil"/>
              <w:bottom w:val="nil"/>
              <w:right w:val="nil"/>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Vehicles</w:t>
            </w:r>
          </w:p>
        </w:tc>
        <w:tc>
          <w:tcPr>
            <w:tcW w:w="467" w:type="pct"/>
            <w:tcBorders>
              <w:top w:val="single" w:sz="4" w:space="0" w:color="auto"/>
              <w:left w:val="nil"/>
              <w:bottom w:val="nil"/>
              <w:right w:val="nil"/>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Low value asset</w:t>
            </w:r>
          </w:p>
        </w:tc>
        <w:tc>
          <w:tcPr>
            <w:tcW w:w="545" w:type="pct"/>
            <w:tcBorders>
              <w:top w:val="single" w:sz="4" w:space="0" w:color="auto"/>
              <w:left w:val="nil"/>
              <w:bottom w:val="nil"/>
              <w:right w:val="single" w:sz="4" w:space="0" w:color="auto"/>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Total </w:t>
            </w:r>
          </w:p>
        </w:tc>
      </w:tr>
      <w:tr w:rsidR="004C53D1" w:rsidRPr="004C53D1" w:rsidTr="004C53D1">
        <w:trPr>
          <w:trHeight w:val="300"/>
        </w:trPr>
        <w:tc>
          <w:tcPr>
            <w:tcW w:w="1406" w:type="pct"/>
            <w:tcBorders>
              <w:top w:val="single" w:sz="4" w:space="0" w:color="auto"/>
              <w:left w:val="single" w:sz="4" w:space="0" w:color="auto"/>
              <w:bottom w:val="single" w:sz="4" w:space="0" w:color="auto"/>
              <w:right w:val="nil"/>
            </w:tcBorders>
            <w:shd w:val="clear" w:color="auto" w:fill="auto"/>
            <w:vAlign w:val="center"/>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Cost at 1 January</w:t>
            </w:r>
          </w:p>
        </w:tc>
        <w:tc>
          <w:tcPr>
            <w:tcW w:w="510" w:type="pct"/>
            <w:tcBorders>
              <w:top w:val="single" w:sz="4" w:space="0" w:color="auto"/>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124,877 </w:t>
            </w:r>
          </w:p>
        </w:tc>
        <w:tc>
          <w:tcPr>
            <w:tcW w:w="486" w:type="pct"/>
            <w:tcBorders>
              <w:top w:val="single" w:sz="4" w:space="0" w:color="auto"/>
              <w:left w:val="nil"/>
              <w:bottom w:val="single" w:sz="4" w:space="0" w:color="auto"/>
              <w:right w:val="nil"/>
            </w:tcBorders>
            <w:shd w:val="clear" w:color="000000" w:fill="FFFFFF"/>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2,149 </w:t>
            </w:r>
          </w:p>
        </w:tc>
        <w:tc>
          <w:tcPr>
            <w:tcW w:w="520" w:type="pct"/>
            <w:tcBorders>
              <w:top w:val="single" w:sz="4" w:space="0" w:color="auto"/>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1,641 </w:t>
            </w:r>
          </w:p>
        </w:tc>
        <w:tc>
          <w:tcPr>
            <w:tcW w:w="593" w:type="pct"/>
            <w:tcBorders>
              <w:top w:val="single" w:sz="4" w:space="0" w:color="auto"/>
              <w:left w:val="nil"/>
              <w:bottom w:val="single" w:sz="4" w:space="0" w:color="auto"/>
              <w:right w:val="nil"/>
            </w:tcBorders>
            <w:shd w:val="clear" w:color="000000" w:fill="FFFFFF"/>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9,019 </w:t>
            </w:r>
          </w:p>
        </w:tc>
        <w:tc>
          <w:tcPr>
            <w:tcW w:w="474" w:type="pct"/>
            <w:tcBorders>
              <w:top w:val="single" w:sz="4" w:space="0" w:color="auto"/>
              <w:left w:val="nil"/>
              <w:bottom w:val="single" w:sz="4" w:space="0" w:color="auto"/>
              <w:right w:val="nil"/>
            </w:tcBorders>
            <w:shd w:val="clear" w:color="auto" w:fill="auto"/>
            <w:noWrap/>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384 </w:t>
            </w:r>
          </w:p>
        </w:tc>
        <w:tc>
          <w:tcPr>
            <w:tcW w:w="467" w:type="pct"/>
            <w:tcBorders>
              <w:top w:val="single" w:sz="4" w:space="0" w:color="auto"/>
              <w:left w:val="nil"/>
              <w:bottom w:val="nil"/>
              <w:right w:val="nil"/>
            </w:tcBorders>
            <w:shd w:val="clear" w:color="auto" w:fill="auto"/>
            <w:noWrap/>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15,092</w:t>
            </w:r>
          </w:p>
        </w:tc>
        <w:tc>
          <w:tcPr>
            <w:tcW w:w="545" w:type="pct"/>
            <w:tcBorders>
              <w:top w:val="single" w:sz="4" w:space="0" w:color="auto"/>
              <w:left w:val="nil"/>
              <w:bottom w:val="nil"/>
              <w:right w:val="single" w:sz="4" w:space="0" w:color="auto"/>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1</w:t>
            </w:r>
            <w:r w:rsidR="006A3AEB">
              <w:rPr>
                <w:rFonts w:asciiTheme="minorHAnsi" w:hAnsiTheme="minorHAnsi" w:cs="Arial"/>
                <w:b/>
                <w:bCs/>
                <w:color w:val="000000"/>
                <w:sz w:val="20"/>
                <w:lang w:val="en-US" w:eastAsia="zh-CN"/>
              </w:rPr>
              <w:t>53</w:t>
            </w:r>
            <w:r w:rsidRPr="004C53D1">
              <w:rPr>
                <w:rFonts w:asciiTheme="minorHAnsi" w:hAnsiTheme="minorHAnsi" w:cs="Arial"/>
                <w:b/>
                <w:bCs/>
                <w:color w:val="000000"/>
                <w:sz w:val="20"/>
                <w:lang w:val="en-US" w:eastAsia="zh-CN"/>
              </w:rPr>
              <w:t>,</w:t>
            </w:r>
            <w:r w:rsidR="006A3AEB">
              <w:rPr>
                <w:rFonts w:asciiTheme="minorHAnsi" w:hAnsiTheme="minorHAnsi" w:cs="Arial"/>
                <w:b/>
                <w:bCs/>
                <w:color w:val="000000"/>
                <w:sz w:val="20"/>
                <w:lang w:val="en-US" w:eastAsia="zh-CN"/>
              </w:rPr>
              <w:t>160</w:t>
            </w:r>
            <w:r w:rsidRPr="004C53D1">
              <w:rPr>
                <w:rFonts w:asciiTheme="minorHAnsi" w:hAnsiTheme="minorHAnsi" w:cs="Arial"/>
                <w:b/>
                <w:bCs/>
                <w:color w:val="000000"/>
                <w:sz w:val="20"/>
                <w:lang w:val="en-US" w:eastAsia="zh-CN"/>
              </w:rPr>
              <w:t xml:space="preserve"> </w:t>
            </w:r>
          </w:p>
        </w:tc>
      </w:tr>
      <w:tr w:rsidR="004C53D1" w:rsidRPr="004C53D1" w:rsidTr="004C53D1">
        <w:trPr>
          <w:trHeight w:val="300"/>
        </w:trPr>
        <w:tc>
          <w:tcPr>
            <w:tcW w:w="1406" w:type="pct"/>
            <w:tcBorders>
              <w:top w:val="nil"/>
              <w:left w:val="single" w:sz="4" w:space="0" w:color="auto"/>
              <w:bottom w:val="nil"/>
              <w:right w:val="nil"/>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Additions</w:t>
            </w:r>
          </w:p>
        </w:tc>
        <w:tc>
          <w:tcPr>
            <w:tcW w:w="510"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486"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20"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47 </w:t>
            </w:r>
          </w:p>
        </w:tc>
        <w:tc>
          <w:tcPr>
            <w:tcW w:w="593"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346 </w:t>
            </w:r>
          </w:p>
        </w:tc>
        <w:tc>
          <w:tcPr>
            <w:tcW w:w="474"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467" w:type="pct"/>
            <w:tcBorders>
              <w:top w:val="single" w:sz="4" w:space="0" w:color="auto"/>
              <w:left w:val="nil"/>
              <w:bottom w:val="nil"/>
              <w:right w:val="nil"/>
            </w:tcBorders>
            <w:shd w:val="clear" w:color="auto" w:fill="auto"/>
            <w:noWrap/>
            <w:vAlign w:val="center"/>
            <w:hideMark/>
          </w:tcPr>
          <w:p w:rsidR="004C53D1" w:rsidRPr="004C53D1" w:rsidRDefault="006A3AEB"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Pr>
                <w:rFonts w:asciiTheme="minorHAnsi" w:hAnsiTheme="minorHAnsi" w:cs="Arial"/>
                <w:b/>
                <w:bCs/>
                <w:color w:val="000000"/>
                <w:sz w:val="20"/>
                <w:lang w:val="en-US" w:eastAsia="zh-CN"/>
              </w:rPr>
              <w:t>799</w:t>
            </w:r>
          </w:p>
        </w:tc>
        <w:tc>
          <w:tcPr>
            <w:tcW w:w="545" w:type="pct"/>
            <w:tcBorders>
              <w:top w:val="single" w:sz="4" w:space="0" w:color="auto"/>
              <w:left w:val="nil"/>
              <w:bottom w:val="nil"/>
              <w:right w:val="single" w:sz="4" w:space="0" w:color="auto"/>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w:t>
            </w:r>
            <w:r w:rsidR="00A92FE0">
              <w:rPr>
                <w:rFonts w:asciiTheme="minorHAnsi" w:hAnsiTheme="minorHAnsi" w:cs="Arial"/>
                <w:b/>
                <w:bCs/>
                <w:color w:val="000000"/>
                <w:sz w:val="20"/>
                <w:lang w:val="en-US" w:eastAsia="zh-CN"/>
              </w:rPr>
              <w:t>1,192</w:t>
            </w:r>
            <w:r w:rsidRPr="004C53D1">
              <w:rPr>
                <w:rFonts w:asciiTheme="minorHAnsi" w:hAnsiTheme="minorHAnsi" w:cs="Arial"/>
                <w:b/>
                <w:bCs/>
                <w:color w:val="000000"/>
                <w:sz w:val="20"/>
                <w:lang w:val="en-US" w:eastAsia="zh-CN"/>
              </w:rPr>
              <w:t xml:space="preserve"> </w:t>
            </w:r>
          </w:p>
        </w:tc>
      </w:tr>
      <w:tr w:rsidR="004C53D1" w:rsidRPr="004C53D1" w:rsidTr="004C53D1">
        <w:trPr>
          <w:trHeight w:val="300"/>
        </w:trPr>
        <w:tc>
          <w:tcPr>
            <w:tcW w:w="1406" w:type="pct"/>
            <w:tcBorders>
              <w:top w:val="nil"/>
              <w:left w:val="single" w:sz="4" w:space="0" w:color="auto"/>
              <w:bottom w:val="nil"/>
              <w:right w:val="nil"/>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Gifts</w:t>
            </w:r>
          </w:p>
        </w:tc>
        <w:tc>
          <w:tcPr>
            <w:tcW w:w="510"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486"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20"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w:t>
            </w:r>
          </w:p>
        </w:tc>
        <w:tc>
          <w:tcPr>
            <w:tcW w:w="593"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474"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467"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45" w:type="pct"/>
            <w:tcBorders>
              <w:top w:val="nil"/>
              <w:left w:val="nil"/>
              <w:bottom w:val="nil"/>
              <w:right w:val="single" w:sz="4" w:space="0" w:color="auto"/>
            </w:tcBorders>
            <w:shd w:val="clear" w:color="auto" w:fill="auto"/>
            <w:noWrap/>
            <w:vAlign w:val="bottom"/>
            <w:hideMark/>
          </w:tcPr>
          <w:p w:rsidR="004C53D1" w:rsidRPr="004C53D1" w:rsidRDefault="002F6D53"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w:t>
            </w:r>
            <w:r w:rsidR="004C53D1" w:rsidRPr="004C53D1">
              <w:rPr>
                <w:rFonts w:asciiTheme="minorHAnsi" w:hAnsiTheme="minorHAnsi" w:cs="Arial"/>
                <w:color w:val="000000"/>
                <w:sz w:val="20"/>
                <w:lang w:val="en-US" w:eastAsia="zh-CN"/>
              </w:rPr>
              <w:t xml:space="preserve">                  </w:t>
            </w:r>
          </w:p>
        </w:tc>
      </w:tr>
      <w:tr w:rsidR="004C53D1" w:rsidRPr="004C53D1" w:rsidTr="006A3AEB">
        <w:trPr>
          <w:trHeight w:val="300"/>
        </w:trPr>
        <w:tc>
          <w:tcPr>
            <w:tcW w:w="1406" w:type="pct"/>
            <w:tcBorders>
              <w:top w:val="nil"/>
              <w:left w:val="single" w:sz="4" w:space="0" w:color="auto"/>
              <w:bottom w:val="nil"/>
              <w:right w:val="nil"/>
            </w:tcBorders>
            <w:shd w:val="clear" w:color="auto" w:fill="auto"/>
            <w:vAlign w:val="center"/>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Disposals</w:t>
            </w:r>
          </w:p>
        </w:tc>
        <w:tc>
          <w:tcPr>
            <w:tcW w:w="510" w:type="pct"/>
            <w:tcBorders>
              <w:top w:val="nil"/>
              <w:left w:val="nil"/>
              <w:bottom w:val="nil"/>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486" w:type="pct"/>
            <w:tcBorders>
              <w:top w:val="nil"/>
              <w:left w:val="nil"/>
              <w:bottom w:val="nil"/>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-76 </w:t>
            </w:r>
          </w:p>
        </w:tc>
        <w:tc>
          <w:tcPr>
            <w:tcW w:w="520" w:type="pct"/>
            <w:tcBorders>
              <w:top w:val="nil"/>
              <w:left w:val="nil"/>
              <w:bottom w:val="nil"/>
              <w:right w:val="nil"/>
            </w:tcBorders>
            <w:shd w:val="clear" w:color="auto" w:fill="auto"/>
            <w:vAlign w:val="center"/>
            <w:hideMark/>
          </w:tcPr>
          <w:p w:rsidR="004C53D1" w:rsidRPr="004C53D1" w:rsidRDefault="006A3AEB"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-5</w:t>
            </w:r>
          </w:p>
        </w:tc>
        <w:tc>
          <w:tcPr>
            <w:tcW w:w="593" w:type="pct"/>
            <w:tcBorders>
              <w:top w:val="nil"/>
              <w:left w:val="nil"/>
              <w:bottom w:val="nil"/>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-822 </w:t>
            </w:r>
          </w:p>
        </w:tc>
        <w:tc>
          <w:tcPr>
            <w:tcW w:w="474" w:type="pct"/>
            <w:tcBorders>
              <w:top w:val="nil"/>
              <w:left w:val="nil"/>
              <w:bottom w:val="nil"/>
              <w:right w:val="nil"/>
            </w:tcBorders>
            <w:shd w:val="clear" w:color="auto" w:fill="auto"/>
            <w:noWrap/>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-124 </w:t>
            </w:r>
          </w:p>
        </w:tc>
        <w:tc>
          <w:tcPr>
            <w:tcW w:w="467" w:type="pct"/>
            <w:tcBorders>
              <w:top w:val="nil"/>
              <w:left w:val="nil"/>
              <w:bottom w:val="nil"/>
              <w:right w:val="nil"/>
            </w:tcBorders>
            <w:shd w:val="clear" w:color="auto" w:fill="auto"/>
            <w:noWrap/>
            <w:vAlign w:val="center"/>
            <w:hideMark/>
          </w:tcPr>
          <w:p w:rsidR="004C53D1" w:rsidRPr="004C53D1" w:rsidRDefault="006A3AEB"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-807</w:t>
            </w:r>
          </w:p>
        </w:tc>
        <w:tc>
          <w:tcPr>
            <w:tcW w:w="545" w:type="pct"/>
            <w:tcBorders>
              <w:top w:val="nil"/>
              <w:left w:val="nil"/>
              <w:bottom w:val="nil"/>
              <w:right w:val="single" w:sz="4" w:space="0" w:color="auto"/>
            </w:tcBorders>
            <w:shd w:val="clear" w:color="auto" w:fill="auto"/>
            <w:noWrap/>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-1,</w:t>
            </w:r>
            <w:r w:rsidR="006A3AEB">
              <w:rPr>
                <w:rFonts w:asciiTheme="minorHAnsi" w:hAnsiTheme="minorHAnsi" w:cs="Arial"/>
                <w:color w:val="000000"/>
                <w:sz w:val="20"/>
                <w:lang w:val="en-US" w:eastAsia="zh-CN"/>
              </w:rPr>
              <w:t>834</w:t>
            </w:r>
            <w:r w:rsidRPr="004C53D1">
              <w:rPr>
                <w:rFonts w:asciiTheme="minorHAnsi" w:hAnsiTheme="minorHAnsi" w:cs="Arial"/>
                <w:color w:val="000000"/>
                <w:sz w:val="20"/>
                <w:lang w:val="en-US" w:eastAsia="zh-CN"/>
              </w:rPr>
              <w:t xml:space="preserve"> </w:t>
            </w:r>
          </w:p>
        </w:tc>
      </w:tr>
      <w:tr w:rsidR="004C53D1" w:rsidRPr="004C53D1" w:rsidTr="004C53D1">
        <w:trPr>
          <w:trHeight w:val="300"/>
        </w:trPr>
        <w:tc>
          <w:tcPr>
            <w:tcW w:w="1406" w:type="pct"/>
            <w:tcBorders>
              <w:top w:val="nil"/>
              <w:left w:val="single" w:sz="4" w:space="0" w:color="auto"/>
              <w:bottom w:val="nil"/>
              <w:right w:val="nil"/>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Impairment losses</w:t>
            </w:r>
          </w:p>
        </w:tc>
        <w:tc>
          <w:tcPr>
            <w:tcW w:w="510"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486"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20"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93"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474"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467"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45" w:type="pct"/>
            <w:tcBorders>
              <w:top w:val="nil"/>
              <w:left w:val="nil"/>
              <w:bottom w:val="nil"/>
              <w:right w:val="single" w:sz="4" w:space="0" w:color="auto"/>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   </w:t>
            </w:r>
          </w:p>
        </w:tc>
      </w:tr>
      <w:tr w:rsidR="004C53D1" w:rsidRPr="004C53D1" w:rsidTr="004C53D1">
        <w:trPr>
          <w:trHeight w:val="300"/>
        </w:trPr>
        <w:tc>
          <w:tcPr>
            <w:tcW w:w="1406" w:type="pct"/>
            <w:tcBorders>
              <w:top w:val="nil"/>
              <w:left w:val="single" w:sz="4" w:space="0" w:color="auto"/>
              <w:bottom w:val="nil"/>
              <w:right w:val="nil"/>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Reclassifications &amp; corrections</w:t>
            </w:r>
          </w:p>
        </w:tc>
        <w:tc>
          <w:tcPr>
            <w:tcW w:w="510"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486"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20"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93"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474"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467"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45" w:type="pct"/>
            <w:tcBorders>
              <w:top w:val="nil"/>
              <w:left w:val="nil"/>
              <w:bottom w:val="nil"/>
              <w:right w:val="single" w:sz="4" w:space="0" w:color="auto"/>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   </w:t>
            </w:r>
          </w:p>
        </w:tc>
      </w:tr>
      <w:tr w:rsidR="004C53D1" w:rsidRPr="004C53D1" w:rsidTr="004C53D1">
        <w:trPr>
          <w:trHeight w:val="300"/>
        </w:trPr>
        <w:tc>
          <w:tcPr>
            <w:tcW w:w="1406" w:type="pct"/>
            <w:tcBorders>
              <w:top w:val="nil"/>
              <w:left w:val="single" w:sz="4" w:space="0" w:color="auto"/>
              <w:bottom w:val="nil"/>
              <w:right w:val="nil"/>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Revaluations</w:t>
            </w:r>
          </w:p>
        </w:tc>
        <w:tc>
          <w:tcPr>
            <w:tcW w:w="510"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486"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20"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93"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474"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467"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45" w:type="pct"/>
            <w:tcBorders>
              <w:top w:val="nil"/>
              <w:left w:val="nil"/>
              <w:bottom w:val="single" w:sz="4" w:space="0" w:color="auto"/>
              <w:right w:val="single" w:sz="4" w:space="0" w:color="auto"/>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   </w:t>
            </w:r>
          </w:p>
        </w:tc>
      </w:tr>
      <w:tr w:rsidR="004C53D1" w:rsidRPr="004C53D1" w:rsidTr="004C53D1">
        <w:trPr>
          <w:trHeight w:val="300"/>
        </w:trPr>
        <w:tc>
          <w:tcPr>
            <w:tcW w:w="1406" w:type="pct"/>
            <w:tcBorders>
              <w:top w:val="single" w:sz="4" w:space="0" w:color="auto"/>
              <w:left w:val="single" w:sz="4" w:space="0" w:color="auto"/>
              <w:bottom w:val="single" w:sz="4" w:space="0" w:color="auto"/>
              <w:right w:val="nil"/>
            </w:tcBorders>
            <w:shd w:val="clear" w:color="auto" w:fill="auto"/>
            <w:vAlign w:val="center"/>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Cost at 31 December</w:t>
            </w:r>
          </w:p>
        </w:tc>
        <w:tc>
          <w:tcPr>
            <w:tcW w:w="510" w:type="pct"/>
            <w:tcBorders>
              <w:top w:val="single" w:sz="4" w:space="0" w:color="auto"/>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124,877 </w:t>
            </w:r>
          </w:p>
        </w:tc>
        <w:tc>
          <w:tcPr>
            <w:tcW w:w="486" w:type="pct"/>
            <w:tcBorders>
              <w:top w:val="single" w:sz="4" w:space="0" w:color="auto"/>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2,073 </w:t>
            </w:r>
          </w:p>
        </w:tc>
        <w:tc>
          <w:tcPr>
            <w:tcW w:w="520" w:type="pct"/>
            <w:tcBorders>
              <w:top w:val="single" w:sz="4" w:space="0" w:color="auto"/>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1,683 </w:t>
            </w:r>
          </w:p>
        </w:tc>
        <w:tc>
          <w:tcPr>
            <w:tcW w:w="593" w:type="pct"/>
            <w:tcBorders>
              <w:top w:val="single" w:sz="4" w:space="0" w:color="auto"/>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8,542 </w:t>
            </w:r>
          </w:p>
        </w:tc>
        <w:tc>
          <w:tcPr>
            <w:tcW w:w="474" w:type="pct"/>
            <w:tcBorders>
              <w:top w:val="single" w:sz="4" w:space="0" w:color="auto"/>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259 </w:t>
            </w:r>
          </w:p>
        </w:tc>
        <w:tc>
          <w:tcPr>
            <w:tcW w:w="467" w:type="pct"/>
            <w:tcBorders>
              <w:top w:val="single" w:sz="4" w:space="0" w:color="auto"/>
              <w:left w:val="nil"/>
              <w:bottom w:val="single" w:sz="4" w:space="0" w:color="auto"/>
              <w:right w:val="nil"/>
            </w:tcBorders>
            <w:shd w:val="clear" w:color="auto" w:fill="auto"/>
            <w:noWrap/>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15,0</w:t>
            </w:r>
            <w:r w:rsidR="006A3AEB">
              <w:rPr>
                <w:rFonts w:asciiTheme="minorHAnsi" w:hAnsiTheme="minorHAnsi" w:cs="Arial"/>
                <w:b/>
                <w:bCs/>
                <w:color w:val="000000"/>
                <w:sz w:val="20"/>
                <w:lang w:val="en-US" w:eastAsia="zh-CN"/>
              </w:rPr>
              <w:t>84</w:t>
            </w:r>
          </w:p>
        </w:tc>
        <w:tc>
          <w:tcPr>
            <w:tcW w:w="545" w:type="pct"/>
            <w:tcBorders>
              <w:top w:val="nil"/>
              <w:left w:val="nil"/>
              <w:bottom w:val="single" w:sz="4" w:space="0" w:color="auto"/>
              <w:right w:val="single" w:sz="4" w:space="0" w:color="auto"/>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w:t>
            </w:r>
            <w:r w:rsidR="006A3AEB">
              <w:rPr>
                <w:rFonts w:asciiTheme="minorHAnsi" w:hAnsiTheme="minorHAnsi" w:cs="Arial"/>
                <w:b/>
                <w:bCs/>
                <w:color w:val="000000"/>
                <w:sz w:val="20"/>
                <w:lang w:val="en-US" w:eastAsia="zh-CN"/>
              </w:rPr>
              <w:t>152</w:t>
            </w:r>
            <w:r w:rsidRPr="004C53D1">
              <w:rPr>
                <w:rFonts w:asciiTheme="minorHAnsi" w:hAnsiTheme="minorHAnsi" w:cs="Arial"/>
                <w:b/>
                <w:bCs/>
                <w:color w:val="000000"/>
                <w:sz w:val="20"/>
                <w:lang w:val="en-US" w:eastAsia="zh-CN"/>
              </w:rPr>
              <w:t>,</w:t>
            </w:r>
            <w:r w:rsidR="006A3AEB">
              <w:rPr>
                <w:rFonts w:asciiTheme="minorHAnsi" w:hAnsiTheme="minorHAnsi" w:cs="Arial"/>
                <w:b/>
                <w:bCs/>
                <w:color w:val="000000"/>
                <w:sz w:val="20"/>
                <w:lang w:val="en-US" w:eastAsia="zh-CN"/>
              </w:rPr>
              <w:t>518</w:t>
            </w:r>
            <w:r w:rsidRPr="004C53D1">
              <w:rPr>
                <w:rFonts w:asciiTheme="minorHAnsi" w:hAnsiTheme="minorHAnsi" w:cs="Arial"/>
                <w:b/>
                <w:bCs/>
                <w:color w:val="000000"/>
                <w:sz w:val="20"/>
                <w:lang w:val="en-US" w:eastAsia="zh-CN"/>
              </w:rPr>
              <w:t xml:space="preserve"> </w:t>
            </w:r>
          </w:p>
        </w:tc>
      </w:tr>
      <w:tr w:rsidR="004C53D1" w:rsidRPr="004C53D1" w:rsidTr="004C53D1">
        <w:trPr>
          <w:trHeight w:val="300"/>
        </w:trPr>
        <w:tc>
          <w:tcPr>
            <w:tcW w:w="1406" w:type="pct"/>
            <w:tcBorders>
              <w:top w:val="nil"/>
              <w:left w:val="single" w:sz="4" w:space="0" w:color="auto"/>
              <w:bottom w:val="single" w:sz="4" w:space="0" w:color="auto"/>
              <w:right w:val="nil"/>
            </w:tcBorders>
            <w:shd w:val="clear" w:color="auto" w:fill="auto"/>
            <w:vAlign w:val="center"/>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Depreciation at 1 January</w:t>
            </w:r>
          </w:p>
        </w:tc>
        <w:tc>
          <w:tcPr>
            <w:tcW w:w="510" w:type="pct"/>
            <w:tcBorders>
              <w:top w:val="nil"/>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27,153 </w:t>
            </w:r>
          </w:p>
        </w:tc>
        <w:tc>
          <w:tcPr>
            <w:tcW w:w="486" w:type="pct"/>
            <w:tcBorders>
              <w:top w:val="nil"/>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2,083 </w:t>
            </w:r>
          </w:p>
        </w:tc>
        <w:tc>
          <w:tcPr>
            <w:tcW w:w="520" w:type="pct"/>
            <w:tcBorders>
              <w:top w:val="nil"/>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1,585 </w:t>
            </w:r>
          </w:p>
        </w:tc>
        <w:tc>
          <w:tcPr>
            <w:tcW w:w="593" w:type="pct"/>
            <w:tcBorders>
              <w:top w:val="nil"/>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7,927 </w:t>
            </w:r>
          </w:p>
        </w:tc>
        <w:tc>
          <w:tcPr>
            <w:tcW w:w="474" w:type="pct"/>
            <w:tcBorders>
              <w:top w:val="nil"/>
              <w:left w:val="nil"/>
              <w:bottom w:val="single" w:sz="4" w:space="0" w:color="auto"/>
              <w:right w:val="nil"/>
            </w:tcBorders>
            <w:shd w:val="clear" w:color="auto" w:fill="auto"/>
            <w:noWrap/>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319 </w:t>
            </w:r>
          </w:p>
        </w:tc>
        <w:tc>
          <w:tcPr>
            <w:tcW w:w="467" w:type="pct"/>
            <w:tcBorders>
              <w:top w:val="nil"/>
              <w:left w:val="nil"/>
              <w:bottom w:val="nil"/>
              <w:right w:val="nil"/>
            </w:tcBorders>
            <w:shd w:val="clear" w:color="auto" w:fill="auto"/>
            <w:noWrap/>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15,092</w:t>
            </w:r>
          </w:p>
        </w:tc>
        <w:tc>
          <w:tcPr>
            <w:tcW w:w="545" w:type="pct"/>
            <w:tcBorders>
              <w:top w:val="nil"/>
              <w:left w:val="nil"/>
              <w:bottom w:val="nil"/>
              <w:right w:val="single" w:sz="4" w:space="0" w:color="auto"/>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w:t>
            </w:r>
            <w:r w:rsidR="006A3AEB">
              <w:rPr>
                <w:rFonts w:asciiTheme="minorHAnsi" w:hAnsiTheme="minorHAnsi" w:cs="Arial"/>
                <w:b/>
                <w:bCs/>
                <w:color w:val="000000"/>
                <w:sz w:val="20"/>
                <w:lang w:val="en-US" w:eastAsia="zh-CN"/>
              </w:rPr>
              <w:t>54</w:t>
            </w:r>
            <w:r w:rsidRPr="004C53D1">
              <w:rPr>
                <w:rFonts w:asciiTheme="minorHAnsi" w:hAnsiTheme="minorHAnsi" w:cs="Arial"/>
                <w:b/>
                <w:bCs/>
                <w:color w:val="000000"/>
                <w:sz w:val="20"/>
                <w:lang w:val="en-US" w:eastAsia="zh-CN"/>
              </w:rPr>
              <w:t>,</w:t>
            </w:r>
            <w:r w:rsidR="006A3AEB">
              <w:rPr>
                <w:rFonts w:asciiTheme="minorHAnsi" w:hAnsiTheme="minorHAnsi" w:cs="Arial"/>
                <w:b/>
                <w:bCs/>
                <w:color w:val="000000"/>
                <w:sz w:val="20"/>
                <w:lang w:val="en-US" w:eastAsia="zh-CN"/>
              </w:rPr>
              <w:t>160</w:t>
            </w:r>
            <w:r w:rsidRPr="004C53D1">
              <w:rPr>
                <w:rFonts w:asciiTheme="minorHAnsi" w:hAnsiTheme="minorHAnsi" w:cs="Arial"/>
                <w:b/>
                <w:bCs/>
                <w:color w:val="000000"/>
                <w:sz w:val="20"/>
                <w:lang w:val="en-US" w:eastAsia="zh-CN"/>
              </w:rPr>
              <w:t xml:space="preserve"> </w:t>
            </w:r>
          </w:p>
        </w:tc>
      </w:tr>
      <w:tr w:rsidR="004C53D1" w:rsidRPr="004C53D1" w:rsidTr="006A3AEB">
        <w:trPr>
          <w:trHeight w:val="300"/>
        </w:trPr>
        <w:tc>
          <w:tcPr>
            <w:tcW w:w="1406" w:type="pct"/>
            <w:tcBorders>
              <w:top w:val="nil"/>
              <w:left w:val="single" w:sz="4" w:space="0" w:color="auto"/>
              <w:bottom w:val="nil"/>
              <w:right w:val="nil"/>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Recognized during the year</w:t>
            </w:r>
          </w:p>
        </w:tc>
        <w:tc>
          <w:tcPr>
            <w:tcW w:w="510" w:type="pct"/>
            <w:tcBorders>
              <w:top w:val="nil"/>
              <w:left w:val="nil"/>
              <w:bottom w:val="nil"/>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3,066 </w:t>
            </w:r>
          </w:p>
        </w:tc>
        <w:tc>
          <w:tcPr>
            <w:tcW w:w="486" w:type="pct"/>
            <w:tcBorders>
              <w:top w:val="nil"/>
              <w:left w:val="nil"/>
              <w:bottom w:val="nil"/>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22 </w:t>
            </w:r>
          </w:p>
        </w:tc>
        <w:tc>
          <w:tcPr>
            <w:tcW w:w="520" w:type="pct"/>
            <w:tcBorders>
              <w:top w:val="nil"/>
              <w:left w:val="nil"/>
              <w:bottom w:val="nil"/>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24 </w:t>
            </w:r>
          </w:p>
        </w:tc>
        <w:tc>
          <w:tcPr>
            <w:tcW w:w="593" w:type="pct"/>
            <w:tcBorders>
              <w:top w:val="nil"/>
              <w:left w:val="nil"/>
              <w:bottom w:val="nil"/>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640 </w:t>
            </w:r>
          </w:p>
        </w:tc>
        <w:tc>
          <w:tcPr>
            <w:tcW w:w="474" w:type="pct"/>
            <w:tcBorders>
              <w:top w:val="nil"/>
              <w:left w:val="nil"/>
              <w:bottom w:val="nil"/>
              <w:right w:val="nil"/>
            </w:tcBorders>
            <w:shd w:val="clear" w:color="auto" w:fill="auto"/>
            <w:noWrap/>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17 </w:t>
            </w:r>
          </w:p>
        </w:tc>
        <w:tc>
          <w:tcPr>
            <w:tcW w:w="467" w:type="pct"/>
            <w:tcBorders>
              <w:top w:val="single" w:sz="4" w:space="0" w:color="auto"/>
              <w:left w:val="nil"/>
              <w:bottom w:val="nil"/>
              <w:right w:val="nil"/>
            </w:tcBorders>
            <w:shd w:val="clear" w:color="auto" w:fill="auto"/>
            <w:noWrap/>
            <w:vAlign w:val="center"/>
            <w:hideMark/>
          </w:tcPr>
          <w:p w:rsidR="004C53D1" w:rsidRPr="004C53D1" w:rsidRDefault="006A3AEB"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Pr>
                <w:rFonts w:asciiTheme="minorHAnsi" w:hAnsiTheme="minorHAnsi" w:cs="Arial"/>
                <w:b/>
                <w:bCs/>
                <w:color w:val="000000"/>
                <w:sz w:val="20"/>
                <w:lang w:val="en-US" w:eastAsia="zh-CN"/>
              </w:rPr>
              <w:t>799</w:t>
            </w:r>
          </w:p>
        </w:tc>
        <w:tc>
          <w:tcPr>
            <w:tcW w:w="545" w:type="pct"/>
            <w:tcBorders>
              <w:top w:val="single" w:sz="4" w:space="0" w:color="auto"/>
              <w:left w:val="nil"/>
              <w:bottom w:val="nil"/>
              <w:right w:val="single" w:sz="4" w:space="0" w:color="auto"/>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3,769 </w:t>
            </w:r>
          </w:p>
        </w:tc>
      </w:tr>
      <w:tr w:rsidR="004C53D1" w:rsidRPr="004C53D1" w:rsidTr="006A3AEB">
        <w:trPr>
          <w:trHeight w:val="300"/>
        </w:trPr>
        <w:tc>
          <w:tcPr>
            <w:tcW w:w="1406" w:type="pct"/>
            <w:tcBorders>
              <w:top w:val="nil"/>
              <w:left w:val="single" w:sz="4" w:space="0" w:color="auto"/>
              <w:bottom w:val="nil"/>
              <w:right w:val="nil"/>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Disposals</w:t>
            </w:r>
          </w:p>
        </w:tc>
        <w:tc>
          <w:tcPr>
            <w:tcW w:w="510" w:type="pct"/>
            <w:tcBorders>
              <w:top w:val="nil"/>
              <w:left w:val="nil"/>
              <w:bottom w:val="nil"/>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486" w:type="pct"/>
            <w:tcBorders>
              <w:top w:val="nil"/>
              <w:left w:val="nil"/>
              <w:bottom w:val="nil"/>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-76 </w:t>
            </w:r>
          </w:p>
        </w:tc>
        <w:tc>
          <w:tcPr>
            <w:tcW w:w="520" w:type="pct"/>
            <w:tcBorders>
              <w:top w:val="nil"/>
              <w:left w:val="nil"/>
              <w:bottom w:val="nil"/>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-5 </w:t>
            </w:r>
          </w:p>
        </w:tc>
        <w:tc>
          <w:tcPr>
            <w:tcW w:w="593" w:type="pct"/>
            <w:tcBorders>
              <w:top w:val="nil"/>
              <w:left w:val="nil"/>
              <w:bottom w:val="nil"/>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-822 </w:t>
            </w:r>
          </w:p>
        </w:tc>
        <w:tc>
          <w:tcPr>
            <w:tcW w:w="474" w:type="pct"/>
            <w:tcBorders>
              <w:top w:val="nil"/>
              <w:left w:val="nil"/>
              <w:bottom w:val="nil"/>
              <w:right w:val="nil"/>
            </w:tcBorders>
            <w:shd w:val="clear" w:color="auto" w:fill="auto"/>
            <w:noWrap/>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 xml:space="preserve">         -124 </w:t>
            </w:r>
          </w:p>
        </w:tc>
        <w:tc>
          <w:tcPr>
            <w:tcW w:w="467" w:type="pct"/>
            <w:tcBorders>
              <w:top w:val="nil"/>
              <w:left w:val="nil"/>
              <w:bottom w:val="nil"/>
              <w:right w:val="nil"/>
            </w:tcBorders>
            <w:shd w:val="clear" w:color="auto" w:fill="auto"/>
            <w:noWrap/>
            <w:vAlign w:val="center"/>
            <w:hideMark/>
          </w:tcPr>
          <w:p w:rsidR="004C53D1" w:rsidRPr="004C53D1" w:rsidRDefault="006A3AEB"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-807</w:t>
            </w:r>
          </w:p>
        </w:tc>
        <w:tc>
          <w:tcPr>
            <w:tcW w:w="545" w:type="pct"/>
            <w:tcBorders>
              <w:top w:val="nil"/>
              <w:left w:val="nil"/>
              <w:bottom w:val="nil"/>
              <w:right w:val="single" w:sz="4" w:space="0" w:color="auto"/>
            </w:tcBorders>
            <w:shd w:val="clear" w:color="auto" w:fill="auto"/>
            <w:noWrap/>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-1,028 </w:t>
            </w:r>
          </w:p>
        </w:tc>
      </w:tr>
      <w:tr w:rsidR="004C53D1" w:rsidRPr="004C53D1" w:rsidTr="004C53D1">
        <w:trPr>
          <w:trHeight w:val="300"/>
        </w:trPr>
        <w:tc>
          <w:tcPr>
            <w:tcW w:w="1406" w:type="pct"/>
            <w:tcBorders>
              <w:top w:val="nil"/>
              <w:left w:val="single" w:sz="4" w:space="0" w:color="auto"/>
              <w:bottom w:val="nil"/>
              <w:right w:val="nil"/>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Impairment losses</w:t>
            </w:r>
          </w:p>
        </w:tc>
        <w:tc>
          <w:tcPr>
            <w:tcW w:w="510"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486"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20"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93"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474"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467"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45" w:type="pct"/>
            <w:tcBorders>
              <w:top w:val="nil"/>
              <w:left w:val="nil"/>
              <w:bottom w:val="nil"/>
              <w:right w:val="single" w:sz="4" w:space="0" w:color="auto"/>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   </w:t>
            </w:r>
          </w:p>
        </w:tc>
      </w:tr>
      <w:tr w:rsidR="004C53D1" w:rsidRPr="004C53D1" w:rsidTr="004C53D1">
        <w:trPr>
          <w:trHeight w:val="300"/>
        </w:trPr>
        <w:tc>
          <w:tcPr>
            <w:tcW w:w="1406" w:type="pct"/>
            <w:tcBorders>
              <w:top w:val="nil"/>
              <w:left w:val="single" w:sz="4" w:space="0" w:color="auto"/>
              <w:bottom w:val="nil"/>
              <w:right w:val="nil"/>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Reclassifications &amp; corrections</w:t>
            </w:r>
          </w:p>
        </w:tc>
        <w:tc>
          <w:tcPr>
            <w:tcW w:w="510"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486"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20"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93"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474"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467"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45" w:type="pct"/>
            <w:tcBorders>
              <w:top w:val="nil"/>
              <w:left w:val="nil"/>
              <w:bottom w:val="nil"/>
              <w:right w:val="single" w:sz="4" w:space="0" w:color="auto"/>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   </w:t>
            </w:r>
          </w:p>
        </w:tc>
      </w:tr>
      <w:tr w:rsidR="004C53D1" w:rsidRPr="004C53D1" w:rsidTr="004C53D1">
        <w:trPr>
          <w:trHeight w:val="300"/>
        </w:trPr>
        <w:tc>
          <w:tcPr>
            <w:tcW w:w="1406" w:type="pct"/>
            <w:tcBorders>
              <w:top w:val="nil"/>
              <w:left w:val="single" w:sz="4" w:space="0" w:color="auto"/>
              <w:bottom w:val="nil"/>
              <w:right w:val="nil"/>
            </w:tcBorders>
            <w:shd w:val="clear" w:color="auto" w:fill="auto"/>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C53D1">
              <w:rPr>
                <w:rFonts w:asciiTheme="minorHAnsi" w:hAnsiTheme="minorHAnsi" w:cs="Arial"/>
                <w:color w:val="000000"/>
                <w:sz w:val="20"/>
                <w:lang w:val="en-US" w:eastAsia="zh-CN"/>
              </w:rPr>
              <w:t>Revaluations</w:t>
            </w:r>
          </w:p>
        </w:tc>
        <w:tc>
          <w:tcPr>
            <w:tcW w:w="510"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p>
        </w:tc>
        <w:tc>
          <w:tcPr>
            <w:tcW w:w="486"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20"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93" w:type="pct"/>
            <w:tcBorders>
              <w:top w:val="nil"/>
              <w:left w:val="nil"/>
              <w:bottom w:val="nil"/>
              <w:right w:val="nil"/>
            </w:tcBorders>
            <w:shd w:val="clear" w:color="auto" w:fill="auto"/>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474"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467" w:type="pct"/>
            <w:tcBorders>
              <w:top w:val="nil"/>
              <w:left w:val="nil"/>
              <w:bottom w:val="nil"/>
              <w:right w:val="nil"/>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val="en-US" w:eastAsia="zh-CN"/>
              </w:rPr>
            </w:pPr>
          </w:p>
        </w:tc>
        <w:tc>
          <w:tcPr>
            <w:tcW w:w="545" w:type="pct"/>
            <w:tcBorders>
              <w:top w:val="nil"/>
              <w:left w:val="nil"/>
              <w:bottom w:val="nil"/>
              <w:right w:val="single" w:sz="4" w:space="0" w:color="auto"/>
            </w:tcBorders>
            <w:shd w:val="clear" w:color="auto" w:fill="auto"/>
            <w:noWrap/>
            <w:vAlign w:val="bottom"/>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   </w:t>
            </w:r>
          </w:p>
        </w:tc>
      </w:tr>
      <w:tr w:rsidR="004C53D1" w:rsidRPr="004C53D1" w:rsidTr="004C53D1">
        <w:trPr>
          <w:trHeight w:val="300"/>
        </w:trPr>
        <w:tc>
          <w:tcPr>
            <w:tcW w:w="1406" w:type="pct"/>
            <w:tcBorders>
              <w:top w:val="single" w:sz="4" w:space="0" w:color="auto"/>
              <w:left w:val="single" w:sz="4" w:space="0" w:color="auto"/>
              <w:bottom w:val="single" w:sz="4" w:space="0" w:color="auto"/>
              <w:right w:val="nil"/>
            </w:tcBorders>
            <w:shd w:val="clear" w:color="auto" w:fill="auto"/>
            <w:vAlign w:val="center"/>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Depreciation at 31 December</w:t>
            </w:r>
          </w:p>
        </w:tc>
        <w:tc>
          <w:tcPr>
            <w:tcW w:w="510" w:type="pct"/>
            <w:tcBorders>
              <w:top w:val="single" w:sz="4" w:space="0" w:color="auto"/>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30,219 </w:t>
            </w:r>
          </w:p>
        </w:tc>
        <w:tc>
          <w:tcPr>
            <w:tcW w:w="486" w:type="pct"/>
            <w:tcBorders>
              <w:top w:val="single" w:sz="4" w:space="0" w:color="auto"/>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2,029 </w:t>
            </w:r>
          </w:p>
        </w:tc>
        <w:tc>
          <w:tcPr>
            <w:tcW w:w="520" w:type="pct"/>
            <w:tcBorders>
              <w:top w:val="single" w:sz="4" w:space="0" w:color="auto"/>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1,604 </w:t>
            </w:r>
          </w:p>
        </w:tc>
        <w:tc>
          <w:tcPr>
            <w:tcW w:w="593" w:type="pct"/>
            <w:tcBorders>
              <w:top w:val="single" w:sz="4" w:space="0" w:color="auto"/>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7,746 </w:t>
            </w:r>
          </w:p>
        </w:tc>
        <w:tc>
          <w:tcPr>
            <w:tcW w:w="474" w:type="pct"/>
            <w:tcBorders>
              <w:top w:val="single" w:sz="4" w:space="0" w:color="auto"/>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212 </w:t>
            </w:r>
          </w:p>
        </w:tc>
        <w:tc>
          <w:tcPr>
            <w:tcW w:w="467" w:type="pct"/>
            <w:tcBorders>
              <w:top w:val="single" w:sz="4" w:space="0" w:color="auto"/>
              <w:left w:val="nil"/>
              <w:bottom w:val="single" w:sz="4" w:space="0" w:color="auto"/>
              <w:right w:val="nil"/>
            </w:tcBorders>
            <w:shd w:val="clear" w:color="auto" w:fill="auto"/>
            <w:noWrap/>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15,0</w:t>
            </w:r>
            <w:r w:rsidR="006A3AEB">
              <w:rPr>
                <w:rFonts w:asciiTheme="minorHAnsi" w:hAnsiTheme="minorHAnsi" w:cs="Arial"/>
                <w:b/>
                <w:bCs/>
                <w:color w:val="000000"/>
                <w:sz w:val="20"/>
                <w:lang w:val="en-US" w:eastAsia="zh-CN"/>
              </w:rPr>
              <w:t>84</w:t>
            </w:r>
            <w:r w:rsidRPr="004C53D1">
              <w:rPr>
                <w:rFonts w:asciiTheme="minorHAnsi" w:hAnsiTheme="minorHAnsi" w:cs="Arial"/>
                <w:b/>
                <w:bCs/>
                <w:color w:val="000000"/>
                <w:sz w:val="20"/>
                <w:lang w:val="en-US" w:eastAsia="zh-CN"/>
              </w:rPr>
              <w:t xml:space="preserve"> </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w:t>
            </w:r>
            <w:r w:rsidR="006A3AEB">
              <w:rPr>
                <w:rFonts w:asciiTheme="minorHAnsi" w:hAnsiTheme="minorHAnsi" w:cs="Arial"/>
                <w:b/>
                <w:bCs/>
                <w:color w:val="000000"/>
                <w:sz w:val="20"/>
                <w:lang w:val="en-US" w:eastAsia="zh-CN"/>
              </w:rPr>
              <w:t>56</w:t>
            </w:r>
            <w:r w:rsidRPr="004C53D1">
              <w:rPr>
                <w:rFonts w:asciiTheme="minorHAnsi" w:hAnsiTheme="minorHAnsi" w:cs="Arial"/>
                <w:b/>
                <w:bCs/>
                <w:color w:val="000000"/>
                <w:sz w:val="20"/>
                <w:lang w:val="en-US" w:eastAsia="zh-CN"/>
              </w:rPr>
              <w:t>,</w:t>
            </w:r>
            <w:r w:rsidR="006A3AEB">
              <w:rPr>
                <w:rFonts w:asciiTheme="minorHAnsi" w:hAnsiTheme="minorHAnsi" w:cs="Arial"/>
                <w:b/>
                <w:bCs/>
                <w:color w:val="000000"/>
                <w:sz w:val="20"/>
                <w:lang w:val="en-US" w:eastAsia="zh-CN"/>
              </w:rPr>
              <w:t>893</w:t>
            </w:r>
            <w:r w:rsidRPr="004C53D1">
              <w:rPr>
                <w:rFonts w:asciiTheme="minorHAnsi" w:hAnsiTheme="minorHAnsi" w:cs="Arial"/>
                <w:b/>
                <w:bCs/>
                <w:color w:val="000000"/>
                <w:sz w:val="20"/>
                <w:lang w:val="en-US" w:eastAsia="zh-CN"/>
              </w:rPr>
              <w:t xml:space="preserve"> </w:t>
            </w:r>
          </w:p>
        </w:tc>
      </w:tr>
      <w:tr w:rsidR="004C53D1" w:rsidRPr="004C53D1" w:rsidTr="006A3AEB">
        <w:trPr>
          <w:trHeight w:val="300"/>
        </w:trPr>
        <w:tc>
          <w:tcPr>
            <w:tcW w:w="1406" w:type="pct"/>
            <w:tcBorders>
              <w:top w:val="nil"/>
              <w:left w:val="single" w:sz="4" w:space="0" w:color="auto"/>
              <w:bottom w:val="single" w:sz="4" w:space="0" w:color="auto"/>
              <w:right w:val="nil"/>
            </w:tcBorders>
            <w:shd w:val="clear" w:color="auto" w:fill="auto"/>
            <w:vAlign w:val="center"/>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Net carrying amount at 1 January</w:t>
            </w:r>
          </w:p>
        </w:tc>
        <w:tc>
          <w:tcPr>
            <w:tcW w:w="510" w:type="pct"/>
            <w:tcBorders>
              <w:top w:val="nil"/>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7,723 </w:t>
            </w:r>
          </w:p>
        </w:tc>
        <w:tc>
          <w:tcPr>
            <w:tcW w:w="486" w:type="pct"/>
            <w:tcBorders>
              <w:top w:val="nil"/>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66 </w:t>
            </w:r>
          </w:p>
        </w:tc>
        <w:tc>
          <w:tcPr>
            <w:tcW w:w="520" w:type="pct"/>
            <w:tcBorders>
              <w:top w:val="nil"/>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56 </w:t>
            </w:r>
          </w:p>
        </w:tc>
        <w:tc>
          <w:tcPr>
            <w:tcW w:w="593" w:type="pct"/>
            <w:tcBorders>
              <w:top w:val="nil"/>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1,091 </w:t>
            </w:r>
          </w:p>
        </w:tc>
        <w:tc>
          <w:tcPr>
            <w:tcW w:w="474" w:type="pct"/>
            <w:tcBorders>
              <w:top w:val="nil"/>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64 </w:t>
            </w:r>
          </w:p>
        </w:tc>
        <w:tc>
          <w:tcPr>
            <w:tcW w:w="467" w:type="pct"/>
            <w:tcBorders>
              <w:top w:val="nil"/>
              <w:left w:val="nil"/>
              <w:bottom w:val="single" w:sz="4" w:space="0" w:color="auto"/>
              <w:right w:val="nil"/>
            </w:tcBorders>
            <w:shd w:val="clear" w:color="auto" w:fill="auto"/>
            <w:noWrap/>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   </w:t>
            </w:r>
          </w:p>
        </w:tc>
        <w:tc>
          <w:tcPr>
            <w:tcW w:w="545" w:type="pct"/>
            <w:tcBorders>
              <w:top w:val="nil"/>
              <w:left w:val="nil"/>
              <w:bottom w:val="nil"/>
              <w:right w:val="single" w:sz="4" w:space="0" w:color="auto"/>
            </w:tcBorders>
            <w:shd w:val="clear" w:color="auto" w:fill="auto"/>
            <w:noWrap/>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99,000 </w:t>
            </w:r>
          </w:p>
        </w:tc>
      </w:tr>
      <w:tr w:rsidR="004C53D1" w:rsidRPr="004C53D1" w:rsidTr="004C53D1">
        <w:trPr>
          <w:trHeight w:val="600"/>
        </w:trPr>
        <w:tc>
          <w:tcPr>
            <w:tcW w:w="1406" w:type="pct"/>
            <w:tcBorders>
              <w:top w:val="nil"/>
              <w:left w:val="single" w:sz="4" w:space="0" w:color="auto"/>
              <w:bottom w:val="single" w:sz="4" w:space="0" w:color="auto"/>
              <w:right w:val="nil"/>
            </w:tcBorders>
            <w:shd w:val="clear" w:color="auto" w:fill="auto"/>
            <w:vAlign w:val="center"/>
            <w:hideMark/>
          </w:tcPr>
          <w:p w:rsidR="004C53D1" w:rsidRPr="004C53D1" w:rsidRDefault="004C53D1" w:rsidP="004C53D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Net carrying amount at 31 December</w:t>
            </w:r>
          </w:p>
        </w:tc>
        <w:tc>
          <w:tcPr>
            <w:tcW w:w="510" w:type="pct"/>
            <w:tcBorders>
              <w:top w:val="nil"/>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94,657 </w:t>
            </w:r>
          </w:p>
        </w:tc>
        <w:tc>
          <w:tcPr>
            <w:tcW w:w="486" w:type="pct"/>
            <w:tcBorders>
              <w:top w:val="nil"/>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44 </w:t>
            </w:r>
          </w:p>
        </w:tc>
        <w:tc>
          <w:tcPr>
            <w:tcW w:w="520" w:type="pct"/>
            <w:tcBorders>
              <w:top w:val="nil"/>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79 </w:t>
            </w:r>
          </w:p>
        </w:tc>
        <w:tc>
          <w:tcPr>
            <w:tcW w:w="593" w:type="pct"/>
            <w:tcBorders>
              <w:top w:val="nil"/>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797 </w:t>
            </w:r>
          </w:p>
        </w:tc>
        <w:tc>
          <w:tcPr>
            <w:tcW w:w="474" w:type="pct"/>
            <w:tcBorders>
              <w:top w:val="nil"/>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48 </w:t>
            </w:r>
          </w:p>
        </w:tc>
        <w:tc>
          <w:tcPr>
            <w:tcW w:w="467" w:type="pct"/>
            <w:tcBorders>
              <w:top w:val="nil"/>
              <w:left w:val="nil"/>
              <w:bottom w:val="single" w:sz="4" w:space="0" w:color="auto"/>
              <w:right w:val="nil"/>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4C53D1" w:rsidRPr="004C53D1" w:rsidRDefault="004C53D1" w:rsidP="002F6D5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C53D1">
              <w:rPr>
                <w:rFonts w:asciiTheme="minorHAnsi" w:hAnsiTheme="minorHAnsi" w:cs="Arial"/>
                <w:b/>
                <w:bCs/>
                <w:color w:val="000000"/>
                <w:sz w:val="20"/>
                <w:lang w:val="en-US" w:eastAsia="zh-CN"/>
              </w:rPr>
              <w:t xml:space="preserve">        </w:t>
            </w:r>
            <w:r w:rsidR="006A3AEB">
              <w:rPr>
                <w:rFonts w:asciiTheme="minorHAnsi" w:hAnsiTheme="minorHAnsi" w:cs="Arial"/>
                <w:b/>
                <w:bCs/>
                <w:color w:val="000000"/>
                <w:sz w:val="20"/>
                <w:lang w:val="en-US" w:eastAsia="zh-CN"/>
              </w:rPr>
              <w:t>9</w:t>
            </w:r>
            <w:r w:rsidRPr="004C53D1">
              <w:rPr>
                <w:rFonts w:asciiTheme="minorHAnsi" w:hAnsiTheme="minorHAnsi" w:cs="Arial"/>
                <w:b/>
                <w:bCs/>
                <w:color w:val="000000"/>
                <w:sz w:val="20"/>
                <w:lang w:val="en-US" w:eastAsia="zh-CN"/>
              </w:rPr>
              <w:t xml:space="preserve">5,625 </w:t>
            </w:r>
          </w:p>
        </w:tc>
      </w:tr>
    </w:tbl>
    <w:p w:rsidR="0022373A" w:rsidRDefault="0022373A" w:rsidP="00C83CFB">
      <w:pPr>
        <w:pStyle w:val="Heading5"/>
        <w:spacing w:after="200"/>
        <w:jc w:val="both"/>
        <w:rPr>
          <w:lang w:val="en-US"/>
        </w:rPr>
      </w:pPr>
      <w:r w:rsidRPr="001C2A98">
        <w:rPr>
          <w:lang w:val="en-US"/>
        </w:rPr>
        <w:t>Note 1</w:t>
      </w:r>
      <w:r w:rsidR="00C83CFB">
        <w:rPr>
          <w:lang w:val="en-US"/>
        </w:rPr>
        <w:t>2</w:t>
      </w:r>
      <w:r w:rsidRPr="001C2A98">
        <w:rPr>
          <w:lang w:val="en-US"/>
        </w:rPr>
        <w:tab/>
        <w:t>Intangible assets</w:t>
      </w:r>
      <w:bookmarkEnd w:id="79"/>
      <w:bookmarkEnd w:id="80"/>
    </w:p>
    <w:tbl>
      <w:tblPr>
        <w:tblW w:w="5000" w:type="pct"/>
        <w:tblLook w:val="04A0" w:firstRow="1" w:lastRow="0" w:firstColumn="1" w:lastColumn="0" w:noHBand="0" w:noVBand="1"/>
      </w:tblPr>
      <w:tblGrid>
        <w:gridCol w:w="3246"/>
        <w:gridCol w:w="1319"/>
        <w:gridCol w:w="1425"/>
        <w:gridCol w:w="1321"/>
        <w:gridCol w:w="1425"/>
        <w:gridCol w:w="1035"/>
      </w:tblGrid>
      <w:tr w:rsidR="00EB2BB4" w:rsidRPr="00EB2BB4" w:rsidTr="00EB2BB4">
        <w:trPr>
          <w:trHeight w:val="255"/>
        </w:trPr>
        <w:tc>
          <w:tcPr>
            <w:tcW w:w="1688" w:type="pct"/>
            <w:tcBorders>
              <w:top w:val="single" w:sz="4" w:space="0" w:color="auto"/>
              <w:left w:val="single" w:sz="4" w:space="0" w:color="auto"/>
              <w:bottom w:val="nil"/>
              <w:right w:val="nil"/>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EB2BB4">
              <w:rPr>
                <w:rFonts w:cs="Arial"/>
                <w:b/>
                <w:bCs/>
                <w:color w:val="000000"/>
                <w:sz w:val="20"/>
                <w:lang w:val="en-US" w:eastAsia="zh-CN"/>
              </w:rPr>
              <w:t>Category of asset</w:t>
            </w:r>
          </w:p>
        </w:tc>
        <w:tc>
          <w:tcPr>
            <w:tcW w:w="702" w:type="pct"/>
            <w:tcBorders>
              <w:top w:val="single" w:sz="4" w:space="0" w:color="auto"/>
              <w:left w:val="single" w:sz="4" w:space="0" w:color="auto"/>
              <w:bottom w:val="single" w:sz="4" w:space="0" w:color="auto"/>
              <w:right w:val="nil"/>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EB2BB4">
              <w:rPr>
                <w:rFonts w:cs="Arial"/>
                <w:b/>
                <w:bCs/>
                <w:color w:val="000000"/>
                <w:sz w:val="20"/>
                <w:lang w:val="en-US" w:eastAsia="zh-CN"/>
              </w:rPr>
              <w:t>Internal Dev</w:t>
            </w:r>
          </w:p>
        </w:tc>
        <w:tc>
          <w:tcPr>
            <w:tcW w:w="1405" w:type="pct"/>
            <w:gridSpan w:val="2"/>
            <w:tcBorders>
              <w:top w:val="single" w:sz="4" w:space="0" w:color="auto"/>
              <w:left w:val="nil"/>
              <w:bottom w:val="single" w:sz="4" w:space="0" w:color="auto"/>
              <w:right w:val="single" w:sz="4" w:space="0" w:color="auto"/>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EB2BB4">
              <w:rPr>
                <w:rFonts w:cs="Arial"/>
                <w:b/>
                <w:bCs/>
                <w:color w:val="000000"/>
                <w:sz w:val="20"/>
                <w:lang w:val="en-US" w:eastAsia="zh-CN"/>
              </w:rPr>
              <w:t>Software</w:t>
            </w:r>
          </w:p>
        </w:tc>
        <w:tc>
          <w:tcPr>
            <w:tcW w:w="702" w:type="pct"/>
            <w:tcBorders>
              <w:top w:val="single" w:sz="4" w:space="0" w:color="auto"/>
              <w:left w:val="nil"/>
              <w:bottom w:val="single" w:sz="4" w:space="0" w:color="auto"/>
              <w:right w:val="single" w:sz="4" w:space="0" w:color="auto"/>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EB2BB4">
              <w:rPr>
                <w:rFonts w:cs="Arial"/>
                <w:b/>
                <w:bCs/>
                <w:color w:val="000000"/>
                <w:sz w:val="20"/>
                <w:lang w:val="en-US" w:eastAsia="zh-CN"/>
              </w:rPr>
              <w:t>Software LVA</w:t>
            </w:r>
          </w:p>
        </w:tc>
        <w:tc>
          <w:tcPr>
            <w:tcW w:w="503" w:type="pct"/>
            <w:tcBorders>
              <w:top w:val="single" w:sz="4" w:space="0" w:color="auto"/>
              <w:left w:val="nil"/>
              <w:bottom w:val="single" w:sz="4" w:space="0" w:color="auto"/>
              <w:right w:val="single" w:sz="4" w:space="0" w:color="auto"/>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EB2BB4">
              <w:rPr>
                <w:rFonts w:cs="Arial"/>
                <w:b/>
                <w:bCs/>
                <w:color w:val="000000"/>
                <w:sz w:val="20"/>
                <w:lang w:val="en-US" w:eastAsia="zh-CN"/>
              </w:rPr>
              <w:t xml:space="preserve">Total </w:t>
            </w:r>
          </w:p>
        </w:tc>
      </w:tr>
      <w:tr w:rsidR="00EB2BB4" w:rsidRPr="00EB2BB4" w:rsidTr="00EB2BB4">
        <w:trPr>
          <w:trHeight w:val="255"/>
        </w:trPr>
        <w:tc>
          <w:tcPr>
            <w:tcW w:w="1688" w:type="pct"/>
            <w:tcBorders>
              <w:top w:val="single" w:sz="4" w:space="0" w:color="auto"/>
              <w:left w:val="single" w:sz="4" w:space="0" w:color="auto"/>
              <w:bottom w:val="nil"/>
              <w:right w:val="nil"/>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EB2BB4">
              <w:rPr>
                <w:rFonts w:cs="Arial"/>
                <w:b/>
                <w:bCs/>
                <w:color w:val="000000"/>
                <w:sz w:val="20"/>
                <w:lang w:val="en-US" w:eastAsia="zh-CN"/>
              </w:rPr>
              <w:t> </w:t>
            </w:r>
          </w:p>
        </w:tc>
        <w:tc>
          <w:tcPr>
            <w:tcW w:w="702" w:type="pct"/>
            <w:tcBorders>
              <w:top w:val="nil"/>
              <w:left w:val="single" w:sz="4" w:space="0" w:color="auto"/>
              <w:bottom w:val="single" w:sz="4" w:space="0" w:color="auto"/>
              <w:right w:val="single" w:sz="4" w:space="0" w:color="auto"/>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EB2BB4">
              <w:rPr>
                <w:rFonts w:cs="Arial"/>
                <w:b/>
                <w:bCs/>
                <w:color w:val="000000"/>
                <w:sz w:val="20"/>
                <w:lang w:val="en-US" w:eastAsia="zh-CN"/>
              </w:rPr>
              <w:t>2018</w:t>
            </w:r>
          </w:p>
        </w:tc>
        <w:tc>
          <w:tcPr>
            <w:tcW w:w="702" w:type="pct"/>
            <w:tcBorders>
              <w:top w:val="nil"/>
              <w:left w:val="nil"/>
              <w:bottom w:val="single" w:sz="4" w:space="0" w:color="auto"/>
              <w:right w:val="single" w:sz="4" w:space="0" w:color="auto"/>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EB2BB4">
              <w:rPr>
                <w:rFonts w:cs="Arial"/>
                <w:b/>
                <w:bCs/>
                <w:color w:val="000000"/>
                <w:sz w:val="20"/>
                <w:lang w:val="en-US" w:eastAsia="zh-CN"/>
              </w:rPr>
              <w:t>2018</w:t>
            </w:r>
          </w:p>
        </w:tc>
        <w:tc>
          <w:tcPr>
            <w:tcW w:w="702" w:type="pct"/>
            <w:tcBorders>
              <w:top w:val="nil"/>
              <w:left w:val="nil"/>
              <w:bottom w:val="single" w:sz="4" w:space="0" w:color="auto"/>
              <w:right w:val="single" w:sz="4" w:space="0" w:color="auto"/>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EB2BB4">
              <w:rPr>
                <w:rFonts w:cs="Arial"/>
                <w:b/>
                <w:bCs/>
                <w:color w:val="000000"/>
                <w:sz w:val="20"/>
                <w:lang w:val="en-US" w:eastAsia="zh-CN"/>
              </w:rPr>
              <w:t> </w:t>
            </w:r>
          </w:p>
        </w:tc>
        <w:tc>
          <w:tcPr>
            <w:tcW w:w="702" w:type="pct"/>
            <w:tcBorders>
              <w:top w:val="nil"/>
              <w:left w:val="nil"/>
              <w:bottom w:val="single" w:sz="4" w:space="0" w:color="auto"/>
              <w:right w:val="single" w:sz="4" w:space="0" w:color="auto"/>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EB2BB4">
              <w:rPr>
                <w:rFonts w:cs="Arial"/>
                <w:b/>
                <w:bCs/>
                <w:color w:val="000000"/>
                <w:sz w:val="20"/>
                <w:lang w:val="en-US" w:eastAsia="zh-CN"/>
              </w:rPr>
              <w:t>2017</w:t>
            </w:r>
          </w:p>
        </w:tc>
        <w:tc>
          <w:tcPr>
            <w:tcW w:w="503" w:type="pct"/>
            <w:tcBorders>
              <w:top w:val="nil"/>
              <w:left w:val="nil"/>
              <w:bottom w:val="single" w:sz="4" w:space="0" w:color="auto"/>
              <w:right w:val="single" w:sz="4" w:space="0" w:color="auto"/>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0"/>
                <w:lang w:val="en-US" w:eastAsia="zh-CN"/>
              </w:rPr>
            </w:pPr>
            <w:r w:rsidRPr="00EB2BB4">
              <w:rPr>
                <w:rFonts w:cs="Arial"/>
                <w:b/>
                <w:bCs/>
                <w:color w:val="000000"/>
                <w:sz w:val="20"/>
                <w:lang w:val="en-US" w:eastAsia="zh-CN"/>
              </w:rPr>
              <w:t> </w:t>
            </w:r>
          </w:p>
        </w:tc>
      </w:tr>
      <w:tr w:rsidR="00EB2BB4" w:rsidRPr="00EB2BB4" w:rsidTr="00EB2BB4">
        <w:trPr>
          <w:trHeight w:val="255"/>
        </w:trPr>
        <w:tc>
          <w:tcPr>
            <w:tcW w:w="1688" w:type="pct"/>
            <w:tcBorders>
              <w:top w:val="single" w:sz="4" w:space="0" w:color="auto"/>
              <w:left w:val="single" w:sz="4" w:space="0" w:color="auto"/>
              <w:bottom w:val="single" w:sz="4" w:space="0" w:color="auto"/>
              <w:right w:val="nil"/>
            </w:tcBorders>
            <w:shd w:val="clear" w:color="auto" w:fill="auto"/>
            <w:vAlign w:val="center"/>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EB2BB4">
              <w:rPr>
                <w:rFonts w:cs="Arial"/>
                <w:b/>
                <w:bCs/>
                <w:color w:val="000000"/>
                <w:sz w:val="20"/>
                <w:lang w:val="en-US" w:eastAsia="zh-CN"/>
              </w:rPr>
              <w:t>Cost at 1 January</w:t>
            </w:r>
          </w:p>
        </w:tc>
        <w:tc>
          <w:tcPr>
            <w:tcW w:w="702" w:type="pct"/>
            <w:tcBorders>
              <w:top w:val="nil"/>
              <w:left w:val="single" w:sz="4" w:space="0" w:color="auto"/>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1,854 </w:t>
            </w:r>
          </w:p>
        </w:tc>
        <w:tc>
          <w:tcPr>
            <w:tcW w:w="702" w:type="pct"/>
            <w:tcBorders>
              <w:top w:val="nil"/>
              <w:left w:val="nil"/>
              <w:bottom w:val="single" w:sz="4" w:space="0" w:color="auto"/>
              <w:right w:val="single" w:sz="4" w:space="0" w:color="auto"/>
            </w:tcBorders>
            <w:shd w:val="clear" w:color="000000" w:fill="FFFFFF"/>
            <w:noWrap/>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5,829 </w:t>
            </w:r>
          </w:p>
        </w:tc>
        <w:tc>
          <w:tcPr>
            <w:tcW w:w="702" w:type="pct"/>
            <w:tcBorders>
              <w:top w:val="nil"/>
              <w:left w:val="nil"/>
              <w:bottom w:val="single" w:sz="4" w:space="0" w:color="auto"/>
              <w:right w:val="single" w:sz="4" w:space="0" w:color="auto"/>
            </w:tcBorders>
            <w:shd w:val="clear" w:color="auto" w:fill="auto"/>
            <w:noWrap/>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w:t>
            </w:r>
          </w:p>
        </w:tc>
        <w:tc>
          <w:tcPr>
            <w:tcW w:w="702" w:type="pct"/>
            <w:tcBorders>
              <w:top w:val="nil"/>
              <w:left w:val="nil"/>
              <w:bottom w:val="single" w:sz="4" w:space="0" w:color="auto"/>
              <w:right w:val="single" w:sz="4" w:space="0" w:color="auto"/>
            </w:tcBorders>
            <w:shd w:val="clear" w:color="auto" w:fill="auto"/>
            <w:noWrap/>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629 </w:t>
            </w:r>
          </w:p>
        </w:tc>
        <w:tc>
          <w:tcPr>
            <w:tcW w:w="503" w:type="pct"/>
            <w:tcBorders>
              <w:top w:val="nil"/>
              <w:left w:val="nil"/>
              <w:bottom w:val="single" w:sz="4" w:space="0" w:color="auto"/>
              <w:right w:val="single" w:sz="4" w:space="0" w:color="auto"/>
            </w:tcBorders>
            <w:shd w:val="clear" w:color="000000" w:fill="FFFFFF"/>
            <w:noWrap/>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8,312 </w:t>
            </w:r>
          </w:p>
        </w:tc>
      </w:tr>
      <w:tr w:rsidR="00EB2BB4" w:rsidRPr="00EB2BB4" w:rsidTr="00EB2BB4">
        <w:trPr>
          <w:trHeight w:val="255"/>
        </w:trPr>
        <w:tc>
          <w:tcPr>
            <w:tcW w:w="1688" w:type="pct"/>
            <w:tcBorders>
              <w:top w:val="nil"/>
              <w:left w:val="single" w:sz="4" w:space="0" w:color="auto"/>
              <w:bottom w:val="nil"/>
              <w:right w:val="nil"/>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EB2BB4">
              <w:rPr>
                <w:rFonts w:cs="Arial"/>
                <w:color w:val="000000"/>
                <w:sz w:val="20"/>
                <w:lang w:val="en-US" w:eastAsia="zh-CN"/>
              </w:rPr>
              <w:t>Additions</w:t>
            </w:r>
          </w:p>
        </w:tc>
        <w:tc>
          <w:tcPr>
            <w:tcW w:w="702" w:type="pct"/>
            <w:tcBorders>
              <w:top w:val="nil"/>
              <w:left w:val="single" w:sz="4" w:space="0" w:color="auto"/>
              <w:bottom w:val="nil"/>
              <w:right w:val="single" w:sz="4" w:space="0" w:color="auto"/>
            </w:tcBorders>
            <w:shd w:val="clear" w:color="auto" w:fill="auto"/>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443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813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180 </w:t>
            </w:r>
          </w:p>
        </w:tc>
        <w:tc>
          <w:tcPr>
            <w:tcW w:w="503"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1,436 </w:t>
            </w:r>
          </w:p>
        </w:tc>
      </w:tr>
      <w:tr w:rsidR="00EB2BB4" w:rsidRPr="00EB2BB4" w:rsidTr="00EB2BB4">
        <w:trPr>
          <w:trHeight w:val="255"/>
        </w:trPr>
        <w:tc>
          <w:tcPr>
            <w:tcW w:w="1688" w:type="pct"/>
            <w:tcBorders>
              <w:top w:val="nil"/>
              <w:left w:val="single" w:sz="4" w:space="0" w:color="auto"/>
              <w:bottom w:val="nil"/>
              <w:right w:val="nil"/>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EB2BB4">
              <w:rPr>
                <w:rFonts w:cs="Arial"/>
                <w:color w:val="000000"/>
                <w:sz w:val="20"/>
                <w:lang w:val="en-US" w:eastAsia="zh-CN"/>
              </w:rPr>
              <w:t>Gifts</w:t>
            </w:r>
          </w:p>
        </w:tc>
        <w:tc>
          <w:tcPr>
            <w:tcW w:w="702" w:type="pct"/>
            <w:tcBorders>
              <w:top w:val="nil"/>
              <w:left w:val="single" w:sz="4" w:space="0" w:color="auto"/>
              <w:bottom w:val="nil"/>
              <w:right w:val="single" w:sz="4" w:space="0" w:color="auto"/>
            </w:tcBorders>
            <w:shd w:val="clear" w:color="auto" w:fill="auto"/>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503"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   </w:t>
            </w:r>
          </w:p>
        </w:tc>
      </w:tr>
      <w:tr w:rsidR="00EB2BB4" w:rsidRPr="00EB2BB4" w:rsidTr="00EB2BB4">
        <w:trPr>
          <w:trHeight w:val="255"/>
        </w:trPr>
        <w:tc>
          <w:tcPr>
            <w:tcW w:w="1688" w:type="pct"/>
            <w:tcBorders>
              <w:top w:val="nil"/>
              <w:left w:val="single" w:sz="4" w:space="0" w:color="auto"/>
              <w:bottom w:val="nil"/>
              <w:right w:val="nil"/>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EB2BB4">
              <w:rPr>
                <w:rFonts w:cs="Arial"/>
                <w:color w:val="000000"/>
                <w:sz w:val="20"/>
                <w:lang w:val="en-US" w:eastAsia="zh-CN"/>
              </w:rPr>
              <w:t>Disposals</w:t>
            </w:r>
          </w:p>
        </w:tc>
        <w:tc>
          <w:tcPr>
            <w:tcW w:w="702" w:type="pct"/>
            <w:tcBorders>
              <w:top w:val="nil"/>
              <w:left w:val="single" w:sz="4" w:space="0" w:color="auto"/>
              <w:bottom w:val="nil"/>
              <w:right w:val="single" w:sz="4" w:space="0" w:color="auto"/>
            </w:tcBorders>
            <w:shd w:val="clear" w:color="auto" w:fill="auto"/>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-186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-151 </w:t>
            </w:r>
          </w:p>
        </w:tc>
        <w:tc>
          <w:tcPr>
            <w:tcW w:w="503"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-337 </w:t>
            </w:r>
          </w:p>
        </w:tc>
      </w:tr>
      <w:tr w:rsidR="00EB2BB4" w:rsidRPr="00EB2BB4" w:rsidTr="00EB2BB4">
        <w:trPr>
          <w:trHeight w:val="255"/>
        </w:trPr>
        <w:tc>
          <w:tcPr>
            <w:tcW w:w="1688" w:type="pct"/>
            <w:tcBorders>
              <w:top w:val="nil"/>
              <w:left w:val="single" w:sz="4" w:space="0" w:color="auto"/>
              <w:bottom w:val="nil"/>
              <w:right w:val="nil"/>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EB2BB4">
              <w:rPr>
                <w:rFonts w:cs="Arial"/>
                <w:color w:val="000000"/>
                <w:sz w:val="20"/>
                <w:lang w:val="en-US" w:eastAsia="zh-CN"/>
              </w:rPr>
              <w:t>Impairment losses</w:t>
            </w:r>
          </w:p>
        </w:tc>
        <w:tc>
          <w:tcPr>
            <w:tcW w:w="702" w:type="pct"/>
            <w:tcBorders>
              <w:top w:val="nil"/>
              <w:left w:val="single" w:sz="4" w:space="0" w:color="auto"/>
              <w:bottom w:val="nil"/>
              <w:right w:val="single" w:sz="4" w:space="0" w:color="auto"/>
            </w:tcBorders>
            <w:shd w:val="clear" w:color="auto" w:fill="auto"/>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503"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   </w:t>
            </w:r>
          </w:p>
        </w:tc>
      </w:tr>
      <w:tr w:rsidR="00EB2BB4" w:rsidRPr="00EB2BB4" w:rsidTr="00EB2BB4">
        <w:trPr>
          <w:trHeight w:val="255"/>
        </w:trPr>
        <w:tc>
          <w:tcPr>
            <w:tcW w:w="1688" w:type="pct"/>
            <w:tcBorders>
              <w:top w:val="nil"/>
              <w:left w:val="single" w:sz="4" w:space="0" w:color="auto"/>
              <w:bottom w:val="nil"/>
              <w:right w:val="nil"/>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EB2BB4">
              <w:rPr>
                <w:rFonts w:cs="Arial"/>
                <w:color w:val="000000"/>
                <w:sz w:val="20"/>
                <w:lang w:val="en-US" w:eastAsia="zh-CN"/>
              </w:rPr>
              <w:t>Reclassifications &amp; corrections</w:t>
            </w:r>
          </w:p>
        </w:tc>
        <w:tc>
          <w:tcPr>
            <w:tcW w:w="702" w:type="pct"/>
            <w:tcBorders>
              <w:top w:val="nil"/>
              <w:left w:val="single" w:sz="4" w:space="0" w:color="auto"/>
              <w:bottom w:val="nil"/>
              <w:right w:val="single" w:sz="4" w:space="0" w:color="auto"/>
            </w:tcBorders>
            <w:shd w:val="clear" w:color="auto" w:fill="auto"/>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563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   </w:t>
            </w:r>
          </w:p>
        </w:tc>
        <w:tc>
          <w:tcPr>
            <w:tcW w:w="503"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563 </w:t>
            </w:r>
          </w:p>
        </w:tc>
      </w:tr>
      <w:tr w:rsidR="00EB2BB4" w:rsidRPr="00EB2BB4" w:rsidTr="00EB2BB4">
        <w:trPr>
          <w:trHeight w:val="255"/>
        </w:trPr>
        <w:tc>
          <w:tcPr>
            <w:tcW w:w="1688" w:type="pct"/>
            <w:tcBorders>
              <w:top w:val="nil"/>
              <w:left w:val="single" w:sz="4" w:space="0" w:color="auto"/>
              <w:bottom w:val="nil"/>
              <w:right w:val="nil"/>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EB2BB4">
              <w:rPr>
                <w:rFonts w:cs="Arial"/>
                <w:color w:val="000000"/>
                <w:sz w:val="20"/>
                <w:lang w:val="en-US" w:eastAsia="zh-CN"/>
              </w:rPr>
              <w:t>Revaluations</w:t>
            </w:r>
          </w:p>
        </w:tc>
        <w:tc>
          <w:tcPr>
            <w:tcW w:w="702" w:type="pct"/>
            <w:tcBorders>
              <w:top w:val="nil"/>
              <w:left w:val="single" w:sz="4" w:space="0" w:color="auto"/>
              <w:bottom w:val="nil"/>
              <w:right w:val="single" w:sz="4" w:space="0" w:color="auto"/>
            </w:tcBorders>
            <w:shd w:val="clear" w:color="auto" w:fill="auto"/>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503"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   </w:t>
            </w:r>
          </w:p>
        </w:tc>
      </w:tr>
      <w:tr w:rsidR="00EB2BB4" w:rsidRPr="00EB2BB4" w:rsidTr="00EB2BB4">
        <w:trPr>
          <w:trHeight w:val="255"/>
        </w:trPr>
        <w:tc>
          <w:tcPr>
            <w:tcW w:w="1688" w:type="pct"/>
            <w:tcBorders>
              <w:top w:val="single" w:sz="4" w:space="0" w:color="auto"/>
              <w:left w:val="single" w:sz="4" w:space="0" w:color="auto"/>
              <w:bottom w:val="single" w:sz="4" w:space="0" w:color="auto"/>
              <w:right w:val="nil"/>
            </w:tcBorders>
            <w:shd w:val="clear" w:color="auto" w:fill="auto"/>
            <w:vAlign w:val="center"/>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EB2BB4">
              <w:rPr>
                <w:rFonts w:cs="Arial"/>
                <w:b/>
                <w:bCs/>
                <w:color w:val="000000"/>
                <w:sz w:val="20"/>
                <w:lang w:val="en-US" w:eastAsia="zh-CN"/>
              </w:rPr>
              <w:t>Cost at 31 December</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w:t>
            </w:r>
            <w:r>
              <w:rPr>
                <w:rFonts w:cs="Arial"/>
                <w:b/>
                <w:bCs/>
                <w:color w:val="000000"/>
                <w:sz w:val="20"/>
                <w:lang w:val="en-US" w:eastAsia="zh-CN"/>
              </w:rPr>
              <w:t>2</w:t>
            </w:r>
            <w:r w:rsidRPr="00EB2BB4">
              <w:rPr>
                <w:rFonts w:cs="Arial"/>
                <w:b/>
                <w:bCs/>
                <w:color w:val="000000"/>
                <w:sz w:val="20"/>
                <w:lang w:val="en-US" w:eastAsia="zh-CN"/>
              </w:rPr>
              <w:t xml:space="preserve">,860 </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6,457 </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   </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659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9,975 </w:t>
            </w:r>
          </w:p>
        </w:tc>
      </w:tr>
      <w:tr w:rsidR="00EB2BB4" w:rsidRPr="00EB2BB4" w:rsidTr="00EB2BB4">
        <w:trPr>
          <w:trHeight w:val="255"/>
        </w:trPr>
        <w:tc>
          <w:tcPr>
            <w:tcW w:w="1688" w:type="pct"/>
            <w:tcBorders>
              <w:top w:val="nil"/>
              <w:left w:val="single" w:sz="4" w:space="0" w:color="auto"/>
              <w:bottom w:val="single" w:sz="4" w:space="0" w:color="auto"/>
              <w:right w:val="nil"/>
            </w:tcBorders>
            <w:shd w:val="clear" w:color="auto" w:fill="auto"/>
            <w:vAlign w:val="center"/>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EB2BB4">
              <w:rPr>
                <w:rFonts w:cs="Arial"/>
                <w:b/>
                <w:bCs/>
                <w:color w:val="000000"/>
                <w:sz w:val="20"/>
                <w:lang w:val="en-US" w:eastAsia="zh-CN"/>
              </w:rPr>
              <w:t>Depreciation at 1 January</w:t>
            </w:r>
          </w:p>
        </w:tc>
        <w:tc>
          <w:tcPr>
            <w:tcW w:w="702" w:type="pct"/>
            <w:tcBorders>
              <w:top w:val="nil"/>
              <w:left w:val="single" w:sz="4" w:space="0" w:color="auto"/>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1,390 </w:t>
            </w:r>
          </w:p>
        </w:tc>
        <w:tc>
          <w:tcPr>
            <w:tcW w:w="702" w:type="pct"/>
            <w:tcBorders>
              <w:top w:val="nil"/>
              <w:left w:val="nil"/>
              <w:bottom w:val="single" w:sz="4" w:space="0" w:color="auto"/>
              <w:right w:val="single" w:sz="4" w:space="0" w:color="auto"/>
            </w:tcBorders>
            <w:shd w:val="clear" w:color="auto" w:fill="auto"/>
            <w:noWrap/>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5,326 </w:t>
            </w:r>
          </w:p>
        </w:tc>
        <w:tc>
          <w:tcPr>
            <w:tcW w:w="702" w:type="pct"/>
            <w:tcBorders>
              <w:top w:val="nil"/>
              <w:left w:val="nil"/>
              <w:bottom w:val="single" w:sz="4" w:space="0" w:color="auto"/>
              <w:right w:val="single" w:sz="4" w:space="0" w:color="auto"/>
            </w:tcBorders>
            <w:shd w:val="clear" w:color="auto" w:fill="auto"/>
            <w:noWrap/>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w:t>
            </w:r>
          </w:p>
        </w:tc>
        <w:tc>
          <w:tcPr>
            <w:tcW w:w="702" w:type="pct"/>
            <w:tcBorders>
              <w:top w:val="nil"/>
              <w:left w:val="nil"/>
              <w:bottom w:val="single" w:sz="4" w:space="0" w:color="auto"/>
              <w:right w:val="single" w:sz="4" w:space="0" w:color="auto"/>
            </w:tcBorders>
            <w:shd w:val="clear" w:color="auto" w:fill="auto"/>
            <w:noWrap/>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629 </w:t>
            </w:r>
          </w:p>
        </w:tc>
        <w:tc>
          <w:tcPr>
            <w:tcW w:w="503" w:type="pct"/>
            <w:tcBorders>
              <w:top w:val="nil"/>
              <w:left w:val="nil"/>
              <w:bottom w:val="single" w:sz="4" w:space="0" w:color="auto"/>
              <w:right w:val="single" w:sz="4" w:space="0" w:color="auto"/>
            </w:tcBorders>
            <w:shd w:val="clear" w:color="auto" w:fill="auto"/>
            <w:noWrap/>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7,345 </w:t>
            </w:r>
          </w:p>
        </w:tc>
      </w:tr>
      <w:tr w:rsidR="00EB2BB4" w:rsidRPr="00EB2BB4" w:rsidTr="00EB2BB4">
        <w:trPr>
          <w:trHeight w:val="255"/>
        </w:trPr>
        <w:tc>
          <w:tcPr>
            <w:tcW w:w="1688" w:type="pct"/>
            <w:tcBorders>
              <w:top w:val="nil"/>
              <w:left w:val="single" w:sz="4" w:space="0" w:color="auto"/>
              <w:bottom w:val="nil"/>
              <w:right w:val="nil"/>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EB2BB4">
              <w:rPr>
                <w:rFonts w:cs="Arial"/>
                <w:color w:val="000000"/>
                <w:sz w:val="20"/>
                <w:lang w:val="en-US" w:eastAsia="zh-CN"/>
              </w:rPr>
              <w:t>Recognized during the year</w:t>
            </w:r>
          </w:p>
        </w:tc>
        <w:tc>
          <w:tcPr>
            <w:tcW w:w="702" w:type="pct"/>
            <w:tcBorders>
              <w:top w:val="nil"/>
              <w:left w:val="single" w:sz="4" w:space="0" w:color="auto"/>
              <w:bottom w:val="nil"/>
              <w:right w:val="single" w:sz="4" w:space="0" w:color="auto"/>
            </w:tcBorders>
            <w:shd w:val="clear" w:color="auto" w:fill="auto"/>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298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419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180 </w:t>
            </w:r>
          </w:p>
        </w:tc>
        <w:tc>
          <w:tcPr>
            <w:tcW w:w="503"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898 </w:t>
            </w:r>
          </w:p>
        </w:tc>
      </w:tr>
      <w:tr w:rsidR="00EB2BB4" w:rsidRPr="00EB2BB4" w:rsidTr="00EB2BB4">
        <w:trPr>
          <w:trHeight w:val="255"/>
        </w:trPr>
        <w:tc>
          <w:tcPr>
            <w:tcW w:w="1688" w:type="pct"/>
            <w:tcBorders>
              <w:top w:val="nil"/>
              <w:left w:val="single" w:sz="4" w:space="0" w:color="auto"/>
              <w:bottom w:val="nil"/>
              <w:right w:val="nil"/>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EB2BB4">
              <w:rPr>
                <w:rFonts w:cs="Arial"/>
                <w:color w:val="000000"/>
                <w:sz w:val="20"/>
                <w:lang w:val="en-US" w:eastAsia="zh-CN"/>
              </w:rPr>
              <w:t>Disposals</w:t>
            </w:r>
          </w:p>
        </w:tc>
        <w:tc>
          <w:tcPr>
            <w:tcW w:w="702" w:type="pct"/>
            <w:tcBorders>
              <w:top w:val="nil"/>
              <w:left w:val="single" w:sz="4" w:space="0" w:color="auto"/>
              <w:bottom w:val="nil"/>
              <w:right w:val="single" w:sz="4" w:space="0" w:color="auto"/>
            </w:tcBorders>
            <w:shd w:val="clear" w:color="auto" w:fill="auto"/>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-175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-151 </w:t>
            </w:r>
          </w:p>
        </w:tc>
        <w:tc>
          <w:tcPr>
            <w:tcW w:w="503"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-326 </w:t>
            </w:r>
          </w:p>
        </w:tc>
      </w:tr>
      <w:tr w:rsidR="00EB2BB4" w:rsidRPr="00EB2BB4" w:rsidTr="00EB2BB4">
        <w:trPr>
          <w:trHeight w:val="255"/>
        </w:trPr>
        <w:tc>
          <w:tcPr>
            <w:tcW w:w="1688" w:type="pct"/>
            <w:tcBorders>
              <w:top w:val="nil"/>
              <w:left w:val="single" w:sz="4" w:space="0" w:color="auto"/>
              <w:bottom w:val="nil"/>
              <w:right w:val="nil"/>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EB2BB4">
              <w:rPr>
                <w:rFonts w:cs="Arial"/>
                <w:color w:val="000000"/>
                <w:sz w:val="20"/>
                <w:lang w:val="en-US" w:eastAsia="zh-CN"/>
              </w:rPr>
              <w:t>Impairment losses</w:t>
            </w:r>
          </w:p>
        </w:tc>
        <w:tc>
          <w:tcPr>
            <w:tcW w:w="702" w:type="pct"/>
            <w:tcBorders>
              <w:top w:val="nil"/>
              <w:left w:val="single" w:sz="4" w:space="0" w:color="auto"/>
              <w:bottom w:val="nil"/>
              <w:right w:val="single" w:sz="4" w:space="0" w:color="auto"/>
            </w:tcBorders>
            <w:shd w:val="clear" w:color="auto" w:fill="auto"/>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503"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   </w:t>
            </w:r>
          </w:p>
        </w:tc>
      </w:tr>
      <w:tr w:rsidR="00EB2BB4" w:rsidRPr="00EB2BB4" w:rsidTr="00EB2BB4">
        <w:trPr>
          <w:trHeight w:val="255"/>
        </w:trPr>
        <w:tc>
          <w:tcPr>
            <w:tcW w:w="1688" w:type="pct"/>
            <w:tcBorders>
              <w:top w:val="nil"/>
              <w:left w:val="single" w:sz="4" w:space="0" w:color="auto"/>
              <w:bottom w:val="nil"/>
              <w:right w:val="nil"/>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EB2BB4">
              <w:rPr>
                <w:rFonts w:cs="Arial"/>
                <w:color w:val="000000"/>
                <w:sz w:val="20"/>
                <w:lang w:val="en-US" w:eastAsia="zh-CN"/>
              </w:rPr>
              <w:t>Reclassifications and corrections</w:t>
            </w:r>
          </w:p>
        </w:tc>
        <w:tc>
          <w:tcPr>
            <w:tcW w:w="702" w:type="pct"/>
            <w:tcBorders>
              <w:top w:val="nil"/>
              <w:left w:val="single" w:sz="4" w:space="0" w:color="auto"/>
              <w:bottom w:val="nil"/>
              <w:right w:val="single" w:sz="4" w:space="0" w:color="auto"/>
            </w:tcBorders>
            <w:shd w:val="clear" w:color="auto" w:fill="auto"/>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503"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   </w:t>
            </w:r>
          </w:p>
        </w:tc>
      </w:tr>
      <w:tr w:rsidR="00EB2BB4" w:rsidRPr="00EB2BB4" w:rsidTr="00EB2BB4">
        <w:trPr>
          <w:trHeight w:val="255"/>
        </w:trPr>
        <w:tc>
          <w:tcPr>
            <w:tcW w:w="1688" w:type="pct"/>
            <w:tcBorders>
              <w:top w:val="nil"/>
              <w:left w:val="single" w:sz="4" w:space="0" w:color="auto"/>
              <w:bottom w:val="nil"/>
              <w:right w:val="nil"/>
            </w:tcBorders>
            <w:shd w:val="clear" w:color="auto" w:fill="auto"/>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EB2BB4">
              <w:rPr>
                <w:rFonts w:cs="Arial"/>
                <w:color w:val="000000"/>
                <w:sz w:val="20"/>
                <w:lang w:val="en-US" w:eastAsia="zh-CN"/>
              </w:rPr>
              <w:t>Revaluations</w:t>
            </w:r>
          </w:p>
        </w:tc>
        <w:tc>
          <w:tcPr>
            <w:tcW w:w="702" w:type="pct"/>
            <w:tcBorders>
              <w:top w:val="nil"/>
              <w:left w:val="single" w:sz="4" w:space="0" w:color="auto"/>
              <w:bottom w:val="nil"/>
              <w:right w:val="single" w:sz="4" w:space="0" w:color="auto"/>
            </w:tcBorders>
            <w:shd w:val="clear" w:color="auto" w:fill="auto"/>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702"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503" w:type="pct"/>
            <w:tcBorders>
              <w:top w:val="nil"/>
              <w:left w:val="nil"/>
              <w:bottom w:val="nil"/>
              <w:right w:val="single" w:sz="4" w:space="0" w:color="auto"/>
            </w:tcBorders>
            <w:shd w:val="clear" w:color="auto" w:fill="auto"/>
            <w:noWrap/>
            <w:vAlign w:val="bottom"/>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   </w:t>
            </w:r>
          </w:p>
        </w:tc>
      </w:tr>
      <w:tr w:rsidR="00EB2BB4" w:rsidRPr="00EB2BB4" w:rsidTr="00EB2BB4">
        <w:trPr>
          <w:trHeight w:val="255"/>
        </w:trPr>
        <w:tc>
          <w:tcPr>
            <w:tcW w:w="1688" w:type="pct"/>
            <w:tcBorders>
              <w:top w:val="single" w:sz="4" w:space="0" w:color="auto"/>
              <w:left w:val="single" w:sz="4" w:space="0" w:color="auto"/>
              <w:bottom w:val="single" w:sz="4" w:space="0" w:color="auto"/>
              <w:right w:val="nil"/>
            </w:tcBorders>
            <w:shd w:val="clear" w:color="auto" w:fill="auto"/>
            <w:vAlign w:val="center"/>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EB2BB4">
              <w:rPr>
                <w:rFonts w:cs="Arial"/>
                <w:b/>
                <w:bCs/>
                <w:color w:val="000000"/>
                <w:sz w:val="20"/>
                <w:lang w:val="en-US" w:eastAsia="zh-CN"/>
              </w:rPr>
              <w:t>Depreciation at 31 December</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1,688 </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5,570 </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659 </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7,917 </w:t>
            </w:r>
          </w:p>
        </w:tc>
      </w:tr>
      <w:tr w:rsidR="00EB2BB4" w:rsidRPr="00EB2BB4" w:rsidTr="00EB2BB4">
        <w:trPr>
          <w:trHeight w:val="255"/>
        </w:trPr>
        <w:tc>
          <w:tcPr>
            <w:tcW w:w="1688" w:type="pct"/>
            <w:tcBorders>
              <w:top w:val="nil"/>
              <w:left w:val="single" w:sz="4" w:space="0" w:color="auto"/>
              <w:bottom w:val="single" w:sz="4" w:space="0" w:color="auto"/>
              <w:right w:val="nil"/>
            </w:tcBorders>
            <w:shd w:val="clear" w:color="auto" w:fill="auto"/>
            <w:vAlign w:val="center"/>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EB2BB4">
              <w:rPr>
                <w:rFonts w:cs="Arial"/>
                <w:b/>
                <w:bCs/>
                <w:color w:val="000000"/>
                <w:sz w:val="20"/>
                <w:lang w:val="en-US" w:eastAsia="zh-CN"/>
              </w:rPr>
              <w:t>Net carrying amount at 1 January</w:t>
            </w:r>
          </w:p>
        </w:tc>
        <w:tc>
          <w:tcPr>
            <w:tcW w:w="702" w:type="pct"/>
            <w:tcBorders>
              <w:top w:val="nil"/>
              <w:left w:val="single" w:sz="4" w:space="0" w:color="auto"/>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464 </w:t>
            </w:r>
          </w:p>
        </w:tc>
        <w:tc>
          <w:tcPr>
            <w:tcW w:w="702" w:type="pct"/>
            <w:tcBorders>
              <w:top w:val="nil"/>
              <w:left w:val="nil"/>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503 </w:t>
            </w:r>
          </w:p>
        </w:tc>
        <w:tc>
          <w:tcPr>
            <w:tcW w:w="702" w:type="pct"/>
            <w:tcBorders>
              <w:top w:val="nil"/>
              <w:left w:val="nil"/>
              <w:bottom w:val="single" w:sz="4" w:space="0" w:color="auto"/>
              <w:right w:val="single" w:sz="4" w:space="0" w:color="auto"/>
            </w:tcBorders>
            <w:shd w:val="clear" w:color="auto" w:fill="auto"/>
            <w:noWrap/>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w:t>
            </w:r>
          </w:p>
        </w:tc>
        <w:tc>
          <w:tcPr>
            <w:tcW w:w="702" w:type="pct"/>
            <w:tcBorders>
              <w:top w:val="nil"/>
              <w:left w:val="nil"/>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   </w:t>
            </w:r>
          </w:p>
        </w:tc>
        <w:tc>
          <w:tcPr>
            <w:tcW w:w="503" w:type="pct"/>
            <w:tcBorders>
              <w:top w:val="nil"/>
              <w:left w:val="nil"/>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967 </w:t>
            </w:r>
          </w:p>
        </w:tc>
      </w:tr>
      <w:tr w:rsidR="00EB2BB4" w:rsidRPr="00EB2BB4" w:rsidTr="00EB2BB4">
        <w:trPr>
          <w:trHeight w:val="510"/>
        </w:trPr>
        <w:tc>
          <w:tcPr>
            <w:tcW w:w="1688" w:type="pct"/>
            <w:tcBorders>
              <w:top w:val="nil"/>
              <w:left w:val="single" w:sz="4" w:space="0" w:color="auto"/>
              <w:bottom w:val="single" w:sz="4" w:space="0" w:color="auto"/>
              <w:right w:val="nil"/>
            </w:tcBorders>
            <w:shd w:val="clear" w:color="auto" w:fill="auto"/>
            <w:vAlign w:val="center"/>
            <w:hideMark/>
          </w:tcPr>
          <w:p w:rsidR="00EB2BB4" w:rsidRPr="00EB2BB4" w:rsidRDefault="00EB2BB4" w:rsidP="00EB2BB4">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EB2BB4">
              <w:rPr>
                <w:rFonts w:cs="Arial"/>
                <w:b/>
                <w:bCs/>
                <w:color w:val="000000"/>
                <w:sz w:val="20"/>
                <w:lang w:val="en-US" w:eastAsia="zh-CN"/>
              </w:rPr>
              <w:t xml:space="preserve">Net carrying amount at 31 December </w:t>
            </w:r>
          </w:p>
        </w:tc>
        <w:tc>
          <w:tcPr>
            <w:tcW w:w="702" w:type="pct"/>
            <w:tcBorders>
              <w:top w:val="nil"/>
              <w:left w:val="single" w:sz="4" w:space="0" w:color="auto"/>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1,172 </w:t>
            </w:r>
          </w:p>
        </w:tc>
        <w:tc>
          <w:tcPr>
            <w:tcW w:w="702" w:type="pct"/>
            <w:tcBorders>
              <w:top w:val="nil"/>
              <w:left w:val="nil"/>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886 </w:t>
            </w:r>
          </w:p>
        </w:tc>
        <w:tc>
          <w:tcPr>
            <w:tcW w:w="702" w:type="pct"/>
            <w:tcBorders>
              <w:top w:val="nil"/>
              <w:left w:val="nil"/>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   </w:t>
            </w:r>
          </w:p>
        </w:tc>
        <w:tc>
          <w:tcPr>
            <w:tcW w:w="702" w:type="pct"/>
            <w:tcBorders>
              <w:top w:val="nil"/>
              <w:left w:val="nil"/>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   </w:t>
            </w:r>
          </w:p>
        </w:tc>
        <w:tc>
          <w:tcPr>
            <w:tcW w:w="503" w:type="pct"/>
            <w:tcBorders>
              <w:top w:val="nil"/>
              <w:left w:val="nil"/>
              <w:bottom w:val="single" w:sz="4" w:space="0" w:color="auto"/>
              <w:right w:val="single" w:sz="4" w:space="0" w:color="auto"/>
            </w:tcBorders>
            <w:shd w:val="clear" w:color="auto" w:fill="auto"/>
            <w:vAlign w:val="center"/>
            <w:hideMark/>
          </w:tcPr>
          <w:p w:rsidR="00EB2BB4" w:rsidRPr="00EB2BB4" w:rsidRDefault="00EB2BB4"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2,058 </w:t>
            </w:r>
          </w:p>
        </w:tc>
      </w:tr>
    </w:tbl>
    <w:p w:rsidR="0081258F" w:rsidRDefault="008A5E54" w:rsidP="00F50CC9">
      <w:pPr>
        <w:spacing w:before="240"/>
        <w:jc w:val="both"/>
        <w:rPr>
          <w:lang w:val="en-US"/>
        </w:rPr>
      </w:pPr>
      <w:r w:rsidRPr="00BC07FF">
        <w:rPr>
          <w:lang w:val="en-US"/>
        </w:rPr>
        <w:t>According to</w:t>
      </w:r>
      <w:r w:rsidR="00FC69C0" w:rsidRPr="00BC07FF">
        <w:rPr>
          <w:lang w:val="en-US"/>
        </w:rPr>
        <w:t xml:space="preserve"> IPSA</w:t>
      </w:r>
      <w:r w:rsidR="0077576B" w:rsidRPr="00BC07FF">
        <w:rPr>
          <w:lang w:val="en-US"/>
        </w:rPr>
        <w:t>S</w:t>
      </w:r>
      <w:r w:rsidR="00FC69C0" w:rsidRPr="00BC07FF">
        <w:rPr>
          <w:lang w:val="en-US"/>
        </w:rPr>
        <w:t xml:space="preserve"> 31, </w:t>
      </w:r>
      <w:r w:rsidR="00383DBC" w:rsidRPr="00BC07FF">
        <w:rPr>
          <w:lang w:val="en-US"/>
        </w:rPr>
        <w:t xml:space="preserve">internal developments related to the </w:t>
      </w:r>
      <w:r w:rsidR="0081258F" w:rsidRPr="00BC07FF">
        <w:rPr>
          <w:lang w:val="en-US"/>
        </w:rPr>
        <w:t xml:space="preserve">improvement of services offered to members, specifically for the access, management and archiving of the Union documentation </w:t>
      </w:r>
      <w:r w:rsidR="00383DBC" w:rsidRPr="00BC07FF">
        <w:rPr>
          <w:lang w:val="en-US"/>
        </w:rPr>
        <w:t>have been capitalized.</w:t>
      </w:r>
      <w:r w:rsidR="00F50CC9">
        <w:rPr>
          <w:lang w:val="en-US"/>
        </w:rPr>
        <w:t xml:space="preserve"> </w:t>
      </w:r>
      <w:r w:rsidR="0081258F" w:rsidRPr="00BC07FF">
        <w:rPr>
          <w:lang w:val="en-US"/>
        </w:rPr>
        <w:t>Software</w:t>
      </w:r>
      <w:r w:rsidR="007A0272" w:rsidRPr="00BC07FF">
        <w:rPr>
          <w:lang w:val="en-US"/>
        </w:rPr>
        <w:t xml:space="preserve"> capitalized are</w:t>
      </w:r>
      <w:r w:rsidR="0081258F" w:rsidRPr="00BC07FF">
        <w:rPr>
          <w:lang w:val="en-US"/>
        </w:rPr>
        <w:t xml:space="preserve"> standard software and upgrade packages used in the Union</w:t>
      </w:r>
      <w:r w:rsidR="007A552E" w:rsidRPr="00BC07FF">
        <w:rPr>
          <w:lang w:val="en-US"/>
        </w:rPr>
        <w:t>’</w:t>
      </w:r>
      <w:r w:rsidR="0081258F" w:rsidRPr="00BC07FF">
        <w:rPr>
          <w:lang w:val="en-US"/>
        </w:rPr>
        <w:t>s operating activities.</w:t>
      </w:r>
    </w:p>
    <w:p w:rsidR="00733DC3" w:rsidRPr="00733DC3" w:rsidRDefault="000A6EEF" w:rsidP="00733DC3">
      <w:pPr>
        <w:pStyle w:val="Heading5"/>
        <w:spacing w:after="200"/>
        <w:jc w:val="both"/>
        <w:rPr>
          <w:lang w:val="fr-CH"/>
        </w:rPr>
      </w:pPr>
      <w:r w:rsidRPr="000A6EEF">
        <w:rPr>
          <w:lang w:val="fr-CH"/>
        </w:rPr>
        <w:t>Note 1</w:t>
      </w:r>
      <w:r>
        <w:rPr>
          <w:lang w:val="fr-CH"/>
        </w:rPr>
        <w:t>3</w:t>
      </w:r>
      <w:r w:rsidRPr="000A6EEF">
        <w:rPr>
          <w:lang w:val="fr-CH"/>
        </w:rPr>
        <w:tab/>
      </w:r>
      <w:proofErr w:type="spellStart"/>
      <w:r>
        <w:rPr>
          <w:lang w:val="fr-CH"/>
        </w:rPr>
        <w:t>Assets</w:t>
      </w:r>
      <w:proofErr w:type="spellEnd"/>
      <w:r>
        <w:rPr>
          <w:lang w:val="fr-CH"/>
        </w:rPr>
        <w:t xml:space="preserve"> </w:t>
      </w:r>
      <w:proofErr w:type="spellStart"/>
      <w:r>
        <w:rPr>
          <w:lang w:val="fr-CH"/>
        </w:rPr>
        <w:t>under</w:t>
      </w:r>
      <w:proofErr w:type="spellEnd"/>
      <w:r>
        <w:rPr>
          <w:lang w:val="fr-CH"/>
        </w:rPr>
        <w:t xml:space="preserve"> construction</w:t>
      </w:r>
    </w:p>
    <w:tbl>
      <w:tblPr>
        <w:tblW w:w="5000" w:type="pct"/>
        <w:tblLook w:val="04A0" w:firstRow="1" w:lastRow="0" w:firstColumn="1" w:lastColumn="0" w:noHBand="0" w:noVBand="1"/>
      </w:tblPr>
      <w:tblGrid>
        <w:gridCol w:w="4367"/>
        <w:gridCol w:w="2066"/>
        <w:gridCol w:w="2068"/>
        <w:gridCol w:w="1270"/>
      </w:tblGrid>
      <w:tr w:rsidR="00AD74AA" w:rsidRPr="00AD74AA" w:rsidTr="00AD74AA">
        <w:trPr>
          <w:trHeight w:val="480"/>
        </w:trPr>
        <w:tc>
          <w:tcPr>
            <w:tcW w:w="2235" w:type="pct"/>
            <w:tcBorders>
              <w:top w:val="single" w:sz="4" w:space="0" w:color="auto"/>
              <w:left w:val="single" w:sz="4" w:space="0" w:color="auto"/>
              <w:bottom w:val="nil"/>
              <w:right w:val="nil"/>
            </w:tcBorders>
            <w:shd w:val="clear" w:color="auto" w:fill="auto"/>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bookmarkStart w:id="81" w:name="_Toc329011638"/>
            <w:r w:rsidRPr="00AD74AA">
              <w:rPr>
                <w:rFonts w:cs="Arial"/>
                <w:b/>
                <w:bCs/>
                <w:color w:val="000000"/>
                <w:sz w:val="20"/>
                <w:lang w:val="en-US" w:eastAsia="zh-CN"/>
              </w:rPr>
              <w:t>Category of asset</w:t>
            </w:r>
          </w:p>
        </w:tc>
        <w:tc>
          <w:tcPr>
            <w:tcW w:w="1057" w:type="pct"/>
            <w:tcBorders>
              <w:top w:val="single" w:sz="4" w:space="0" w:color="auto"/>
              <w:left w:val="nil"/>
              <w:bottom w:val="nil"/>
              <w:right w:val="nil"/>
            </w:tcBorders>
            <w:shd w:val="clear" w:color="auto" w:fill="auto"/>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proofErr w:type="spellStart"/>
            <w:r w:rsidRPr="00AD74AA">
              <w:rPr>
                <w:rFonts w:ascii="Arial" w:hAnsi="Arial" w:cs="Arial"/>
                <w:b/>
                <w:bCs/>
                <w:color w:val="000000"/>
                <w:sz w:val="18"/>
                <w:szCs w:val="18"/>
                <w:lang w:val="en-US" w:eastAsia="zh-CN"/>
              </w:rPr>
              <w:t>BuildingUnder</w:t>
            </w:r>
            <w:proofErr w:type="spellEnd"/>
            <w:r w:rsidRPr="00AD74AA">
              <w:rPr>
                <w:rFonts w:ascii="Arial" w:hAnsi="Arial" w:cs="Arial"/>
                <w:b/>
                <w:bCs/>
                <w:color w:val="000000"/>
                <w:sz w:val="18"/>
                <w:szCs w:val="18"/>
                <w:lang w:val="en-US" w:eastAsia="zh-CN"/>
              </w:rPr>
              <w:t xml:space="preserve"> constr.</w:t>
            </w:r>
          </w:p>
        </w:tc>
        <w:tc>
          <w:tcPr>
            <w:tcW w:w="1058" w:type="pct"/>
            <w:tcBorders>
              <w:top w:val="single" w:sz="4" w:space="0" w:color="auto"/>
              <w:left w:val="nil"/>
              <w:bottom w:val="nil"/>
              <w:right w:val="nil"/>
            </w:tcBorders>
            <w:shd w:val="clear" w:color="auto" w:fill="auto"/>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Other Under constr.</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Total </w:t>
            </w:r>
          </w:p>
        </w:tc>
      </w:tr>
      <w:tr w:rsidR="00AD74AA" w:rsidRPr="00AD74AA" w:rsidTr="00AD74AA">
        <w:trPr>
          <w:trHeight w:val="255"/>
        </w:trPr>
        <w:tc>
          <w:tcPr>
            <w:tcW w:w="2235" w:type="pct"/>
            <w:tcBorders>
              <w:top w:val="single" w:sz="4" w:space="0" w:color="auto"/>
              <w:left w:val="single" w:sz="4" w:space="0" w:color="auto"/>
              <w:bottom w:val="single" w:sz="4" w:space="0" w:color="auto"/>
              <w:right w:val="nil"/>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AD74AA">
              <w:rPr>
                <w:rFonts w:cs="Arial"/>
                <w:b/>
                <w:bCs/>
                <w:color w:val="000000"/>
                <w:sz w:val="20"/>
                <w:lang w:val="en-US" w:eastAsia="zh-CN"/>
              </w:rPr>
              <w:t>Cost at 1 January</w:t>
            </w:r>
          </w:p>
        </w:tc>
        <w:tc>
          <w:tcPr>
            <w:tcW w:w="1057" w:type="pct"/>
            <w:tcBorders>
              <w:top w:val="single" w:sz="4" w:space="0" w:color="auto"/>
              <w:left w:val="nil"/>
              <w:bottom w:val="single" w:sz="4" w:space="0" w:color="auto"/>
              <w:right w:val="nil"/>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18"/>
                <w:szCs w:val="18"/>
                <w:lang w:val="en-US" w:eastAsia="zh-CN"/>
              </w:rPr>
            </w:pPr>
            <w:r w:rsidRPr="00AD74AA">
              <w:rPr>
                <w:rFonts w:ascii="Arial" w:hAnsi="Arial" w:cs="Arial"/>
                <w:b/>
                <w:bCs/>
                <w:sz w:val="18"/>
                <w:szCs w:val="18"/>
                <w:lang w:val="en-US" w:eastAsia="zh-CN"/>
              </w:rPr>
              <w:t xml:space="preserve">                            -   </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18"/>
                <w:szCs w:val="18"/>
                <w:lang w:val="en-US" w:eastAsia="zh-CN"/>
              </w:rPr>
            </w:pPr>
            <w:r w:rsidRPr="00AD74AA">
              <w:rPr>
                <w:rFonts w:ascii="Arial" w:hAnsi="Arial" w:cs="Arial"/>
                <w:b/>
                <w:bCs/>
                <w:sz w:val="18"/>
                <w:szCs w:val="18"/>
                <w:lang w:val="en-US" w:eastAsia="zh-CN"/>
              </w:rPr>
              <w:t xml:space="preserve">                         908 </w:t>
            </w:r>
          </w:p>
        </w:tc>
        <w:tc>
          <w:tcPr>
            <w:tcW w:w="650" w:type="pct"/>
            <w:tcBorders>
              <w:top w:val="nil"/>
              <w:left w:val="nil"/>
              <w:bottom w:val="single" w:sz="4" w:space="0" w:color="auto"/>
              <w:right w:val="single" w:sz="4" w:space="0" w:color="auto"/>
            </w:tcBorders>
            <w:shd w:val="clear" w:color="000000" w:fill="FFFFFF"/>
            <w:noWrap/>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           908 </w:t>
            </w:r>
          </w:p>
        </w:tc>
      </w:tr>
      <w:tr w:rsidR="00AD74AA" w:rsidRPr="00AD74AA" w:rsidTr="00AD74AA">
        <w:trPr>
          <w:trHeight w:val="255"/>
        </w:trPr>
        <w:tc>
          <w:tcPr>
            <w:tcW w:w="2235" w:type="pct"/>
            <w:tcBorders>
              <w:top w:val="nil"/>
              <w:left w:val="single" w:sz="4" w:space="0" w:color="auto"/>
              <w:bottom w:val="nil"/>
              <w:right w:val="nil"/>
            </w:tcBorders>
            <w:shd w:val="clear" w:color="auto" w:fill="auto"/>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AD74AA">
              <w:rPr>
                <w:rFonts w:cs="Arial"/>
                <w:color w:val="000000"/>
                <w:sz w:val="20"/>
                <w:lang w:val="en-US" w:eastAsia="zh-CN"/>
              </w:rPr>
              <w:t>Additions</w:t>
            </w:r>
          </w:p>
        </w:tc>
        <w:tc>
          <w:tcPr>
            <w:tcW w:w="1057" w:type="pct"/>
            <w:tcBorders>
              <w:top w:val="nil"/>
              <w:left w:val="nil"/>
              <w:bottom w:val="nil"/>
              <w:right w:val="nil"/>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18"/>
                <w:szCs w:val="18"/>
                <w:lang w:val="en-US" w:eastAsia="zh-CN"/>
              </w:rPr>
            </w:pPr>
            <w:r w:rsidRPr="00AD74AA">
              <w:rPr>
                <w:rFonts w:ascii="Arial" w:hAnsi="Arial" w:cs="Arial"/>
                <w:sz w:val="18"/>
                <w:szCs w:val="18"/>
                <w:lang w:val="en-US" w:eastAsia="zh-CN"/>
              </w:rPr>
              <w:t xml:space="preserve">                     1,326 </w:t>
            </w:r>
          </w:p>
        </w:tc>
        <w:tc>
          <w:tcPr>
            <w:tcW w:w="1058" w:type="pct"/>
            <w:tcBorders>
              <w:top w:val="nil"/>
              <w:left w:val="single" w:sz="4" w:space="0" w:color="auto"/>
              <w:bottom w:val="nil"/>
              <w:right w:val="single" w:sz="4" w:space="0" w:color="auto"/>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638 </w:t>
            </w:r>
          </w:p>
        </w:tc>
        <w:tc>
          <w:tcPr>
            <w:tcW w:w="650" w:type="pct"/>
            <w:tcBorders>
              <w:top w:val="nil"/>
              <w:left w:val="nil"/>
              <w:bottom w:val="nil"/>
              <w:right w:val="single" w:sz="4" w:space="0" w:color="auto"/>
            </w:tcBorders>
            <w:shd w:val="clear" w:color="auto" w:fill="auto"/>
            <w:noWrap/>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1,964 </w:t>
            </w:r>
          </w:p>
        </w:tc>
      </w:tr>
      <w:tr w:rsidR="00AD74AA" w:rsidRPr="00AD74AA" w:rsidTr="00AD74AA">
        <w:trPr>
          <w:trHeight w:val="255"/>
        </w:trPr>
        <w:tc>
          <w:tcPr>
            <w:tcW w:w="2235" w:type="pct"/>
            <w:tcBorders>
              <w:top w:val="nil"/>
              <w:left w:val="single" w:sz="4" w:space="0" w:color="auto"/>
              <w:bottom w:val="nil"/>
              <w:right w:val="nil"/>
            </w:tcBorders>
            <w:shd w:val="clear" w:color="auto" w:fill="auto"/>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AD74AA">
              <w:rPr>
                <w:rFonts w:cs="Arial"/>
                <w:color w:val="000000"/>
                <w:sz w:val="20"/>
                <w:lang w:val="en-US" w:eastAsia="zh-CN"/>
              </w:rPr>
              <w:t>Gifts</w:t>
            </w:r>
          </w:p>
        </w:tc>
        <w:tc>
          <w:tcPr>
            <w:tcW w:w="1057" w:type="pct"/>
            <w:tcBorders>
              <w:top w:val="nil"/>
              <w:left w:val="nil"/>
              <w:bottom w:val="nil"/>
              <w:right w:val="nil"/>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p>
        </w:tc>
        <w:tc>
          <w:tcPr>
            <w:tcW w:w="1058" w:type="pct"/>
            <w:tcBorders>
              <w:top w:val="nil"/>
              <w:left w:val="single" w:sz="4" w:space="0" w:color="auto"/>
              <w:bottom w:val="nil"/>
              <w:right w:val="single" w:sz="4" w:space="0" w:color="auto"/>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w:t>
            </w:r>
          </w:p>
        </w:tc>
        <w:tc>
          <w:tcPr>
            <w:tcW w:w="650" w:type="pct"/>
            <w:tcBorders>
              <w:top w:val="nil"/>
              <w:left w:val="nil"/>
              <w:bottom w:val="nil"/>
              <w:right w:val="single" w:sz="4" w:space="0" w:color="auto"/>
            </w:tcBorders>
            <w:shd w:val="clear" w:color="auto" w:fill="auto"/>
            <w:noWrap/>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 </w:t>
            </w:r>
          </w:p>
        </w:tc>
      </w:tr>
      <w:tr w:rsidR="00AD74AA" w:rsidRPr="00AD74AA" w:rsidTr="00AD74AA">
        <w:trPr>
          <w:trHeight w:val="255"/>
        </w:trPr>
        <w:tc>
          <w:tcPr>
            <w:tcW w:w="2235" w:type="pct"/>
            <w:tcBorders>
              <w:top w:val="nil"/>
              <w:left w:val="single" w:sz="4" w:space="0" w:color="auto"/>
              <w:bottom w:val="nil"/>
              <w:right w:val="nil"/>
            </w:tcBorders>
            <w:shd w:val="clear" w:color="auto" w:fill="auto"/>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AD74AA">
              <w:rPr>
                <w:rFonts w:cs="Arial"/>
                <w:color w:val="000000"/>
                <w:sz w:val="20"/>
                <w:lang w:val="en-US" w:eastAsia="zh-CN"/>
              </w:rPr>
              <w:t>Disposals</w:t>
            </w:r>
          </w:p>
        </w:tc>
        <w:tc>
          <w:tcPr>
            <w:tcW w:w="1057" w:type="pct"/>
            <w:tcBorders>
              <w:top w:val="nil"/>
              <w:left w:val="nil"/>
              <w:bottom w:val="nil"/>
              <w:right w:val="nil"/>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p>
        </w:tc>
        <w:tc>
          <w:tcPr>
            <w:tcW w:w="1058" w:type="pct"/>
            <w:tcBorders>
              <w:top w:val="nil"/>
              <w:left w:val="single" w:sz="4" w:space="0" w:color="auto"/>
              <w:bottom w:val="nil"/>
              <w:right w:val="single" w:sz="4" w:space="0" w:color="auto"/>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w:t>
            </w:r>
          </w:p>
        </w:tc>
        <w:tc>
          <w:tcPr>
            <w:tcW w:w="650" w:type="pct"/>
            <w:tcBorders>
              <w:top w:val="nil"/>
              <w:left w:val="nil"/>
              <w:bottom w:val="nil"/>
              <w:right w:val="single" w:sz="4" w:space="0" w:color="auto"/>
            </w:tcBorders>
            <w:shd w:val="clear" w:color="auto" w:fill="auto"/>
            <w:noWrap/>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 </w:t>
            </w:r>
          </w:p>
        </w:tc>
      </w:tr>
      <w:tr w:rsidR="00AD74AA" w:rsidRPr="00AD74AA" w:rsidTr="00AD74AA">
        <w:trPr>
          <w:trHeight w:val="255"/>
        </w:trPr>
        <w:tc>
          <w:tcPr>
            <w:tcW w:w="2235" w:type="pct"/>
            <w:tcBorders>
              <w:top w:val="nil"/>
              <w:left w:val="single" w:sz="4" w:space="0" w:color="auto"/>
              <w:bottom w:val="nil"/>
              <w:right w:val="nil"/>
            </w:tcBorders>
            <w:shd w:val="clear" w:color="auto" w:fill="auto"/>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AD74AA">
              <w:rPr>
                <w:rFonts w:cs="Arial"/>
                <w:color w:val="000000"/>
                <w:sz w:val="20"/>
                <w:lang w:val="en-US" w:eastAsia="zh-CN"/>
              </w:rPr>
              <w:t>Impairment losses</w:t>
            </w:r>
          </w:p>
        </w:tc>
        <w:tc>
          <w:tcPr>
            <w:tcW w:w="1057" w:type="pct"/>
            <w:tcBorders>
              <w:top w:val="nil"/>
              <w:left w:val="nil"/>
              <w:bottom w:val="nil"/>
              <w:right w:val="nil"/>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p>
        </w:tc>
        <w:tc>
          <w:tcPr>
            <w:tcW w:w="1058" w:type="pct"/>
            <w:tcBorders>
              <w:top w:val="nil"/>
              <w:left w:val="single" w:sz="4" w:space="0" w:color="auto"/>
              <w:bottom w:val="nil"/>
              <w:right w:val="single" w:sz="4" w:space="0" w:color="auto"/>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w:t>
            </w:r>
          </w:p>
        </w:tc>
        <w:tc>
          <w:tcPr>
            <w:tcW w:w="650" w:type="pct"/>
            <w:tcBorders>
              <w:top w:val="nil"/>
              <w:left w:val="nil"/>
              <w:bottom w:val="nil"/>
              <w:right w:val="single" w:sz="4" w:space="0" w:color="auto"/>
            </w:tcBorders>
            <w:shd w:val="clear" w:color="auto" w:fill="auto"/>
            <w:noWrap/>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 </w:t>
            </w:r>
          </w:p>
        </w:tc>
      </w:tr>
      <w:tr w:rsidR="00AD74AA" w:rsidRPr="00AD74AA" w:rsidTr="00AD74AA">
        <w:trPr>
          <w:trHeight w:val="255"/>
        </w:trPr>
        <w:tc>
          <w:tcPr>
            <w:tcW w:w="2235" w:type="pct"/>
            <w:tcBorders>
              <w:top w:val="nil"/>
              <w:left w:val="single" w:sz="4" w:space="0" w:color="auto"/>
              <w:bottom w:val="nil"/>
              <w:right w:val="nil"/>
            </w:tcBorders>
            <w:shd w:val="clear" w:color="auto" w:fill="auto"/>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AD74AA">
              <w:rPr>
                <w:rFonts w:cs="Arial"/>
                <w:color w:val="000000"/>
                <w:sz w:val="20"/>
                <w:lang w:val="en-US" w:eastAsia="zh-CN"/>
              </w:rPr>
              <w:t>Reclassifications &amp; corrections</w:t>
            </w:r>
          </w:p>
        </w:tc>
        <w:tc>
          <w:tcPr>
            <w:tcW w:w="1057" w:type="pct"/>
            <w:tcBorders>
              <w:top w:val="nil"/>
              <w:left w:val="nil"/>
              <w:bottom w:val="nil"/>
              <w:right w:val="nil"/>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p>
        </w:tc>
        <w:tc>
          <w:tcPr>
            <w:tcW w:w="1058" w:type="pct"/>
            <w:tcBorders>
              <w:top w:val="nil"/>
              <w:left w:val="single" w:sz="4" w:space="0" w:color="auto"/>
              <w:bottom w:val="nil"/>
              <w:right w:val="single" w:sz="4" w:space="0" w:color="auto"/>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-563 </w:t>
            </w:r>
          </w:p>
        </w:tc>
        <w:tc>
          <w:tcPr>
            <w:tcW w:w="650" w:type="pct"/>
            <w:tcBorders>
              <w:top w:val="nil"/>
              <w:left w:val="nil"/>
              <w:bottom w:val="nil"/>
              <w:right w:val="single" w:sz="4" w:space="0" w:color="auto"/>
            </w:tcBorders>
            <w:shd w:val="clear" w:color="auto" w:fill="auto"/>
            <w:noWrap/>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w:t>
            </w:r>
            <w:r>
              <w:rPr>
                <w:rFonts w:ascii="Arial" w:hAnsi="Arial" w:cs="Arial"/>
                <w:color w:val="000000"/>
                <w:sz w:val="18"/>
                <w:szCs w:val="18"/>
                <w:lang w:val="en-US" w:eastAsia="zh-CN"/>
              </w:rPr>
              <w:t>-</w:t>
            </w:r>
            <w:r w:rsidRPr="00AD74AA">
              <w:rPr>
                <w:rFonts w:ascii="Arial" w:hAnsi="Arial" w:cs="Arial"/>
                <w:color w:val="000000"/>
                <w:sz w:val="18"/>
                <w:szCs w:val="18"/>
                <w:lang w:val="en-US" w:eastAsia="zh-CN"/>
              </w:rPr>
              <w:t>563</w:t>
            </w:r>
          </w:p>
        </w:tc>
      </w:tr>
      <w:tr w:rsidR="00AD74AA" w:rsidRPr="00AD74AA" w:rsidTr="00AD74AA">
        <w:trPr>
          <w:trHeight w:val="255"/>
        </w:trPr>
        <w:tc>
          <w:tcPr>
            <w:tcW w:w="2235" w:type="pct"/>
            <w:tcBorders>
              <w:top w:val="nil"/>
              <w:left w:val="single" w:sz="4" w:space="0" w:color="auto"/>
              <w:bottom w:val="nil"/>
              <w:right w:val="nil"/>
            </w:tcBorders>
            <w:shd w:val="clear" w:color="auto" w:fill="auto"/>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AD74AA">
              <w:rPr>
                <w:rFonts w:cs="Arial"/>
                <w:color w:val="000000"/>
                <w:sz w:val="20"/>
                <w:lang w:val="en-US" w:eastAsia="zh-CN"/>
              </w:rPr>
              <w:t>Revaluations</w:t>
            </w:r>
          </w:p>
        </w:tc>
        <w:tc>
          <w:tcPr>
            <w:tcW w:w="1057" w:type="pct"/>
            <w:tcBorders>
              <w:top w:val="nil"/>
              <w:left w:val="nil"/>
              <w:bottom w:val="nil"/>
              <w:right w:val="nil"/>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p>
        </w:tc>
        <w:tc>
          <w:tcPr>
            <w:tcW w:w="1058" w:type="pct"/>
            <w:tcBorders>
              <w:top w:val="nil"/>
              <w:left w:val="single" w:sz="4" w:space="0" w:color="auto"/>
              <w:bottom w:val="nil"/>
              <w:right w:val="single" w:sz="4" w:space="0" w:color="auto"/>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w:t>
            </w:r>
          </w:p>
        </w:tc>
        <w:tc>
          <w:tcPr>
            <w:tcW w:w="650" w:type="pct"/>
            <w:tcBorders>
              <w:top w:val="nil"/>
              <w:left w:val="nil"/>
              <w:bottom w:val="nil"/>
              <w:right w:val="single" w:sz="4" w:space="0" w:color="auto"/>
            </w:tcBorders>
            <w:shd w:val="clear" w:color="auto" w:fill="auto"/>
            <w:noWrap/>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 </w:t>
            </w:r>
          </w:p>
        </w:tc>
      </w:tr>
      <w:tr w:rsidR="00AD74AA" w:rsidRPr="00AD74AA" w:rsidTr="00AD74AA">
        <w:trPr>
          <w:trHeight w:val="255"/>
        </w:trPr>
        <w:tc>
          <w:tcPr>
            <w:tcW w:w="2235" w:type="pct"/>
            <w:tcBorders>
              <w:top w:val="single" w:sz="4" w:space="0" w:color="auto"/>
              <w:left w:val="single" w:sz="4" w:space="0" w:color="auto"/>
              <w:bottom w:val="single" w:sz="4" w:space="0" w:color="auto"/>
              <w:right w:val="nil"/>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AD74AA">
              <w:rPr>
                <w:rFonts w:cs="Arial"/>
                <w:b/>
                <w:bCs/>
                <w:color w:val="000000"/>
                <w:sz w:val="20"/>
                <w:lang w:val="en-US" w:eastAsia="zh-CN"/>
              </w:rPr>
              <w:t>Cost at 31 December</w:t>
            </w:r>
          </w:p>
        </w:tc>
        <w:tc>
          <w:tcPr>
            <w:tcW w:w="1057" w:type="pct"/>
            <w:tcBorders>
              <w:top w:val="single" w:sz="4" w:space="0" w:color="auto"/>
              <w:left w:val="nil"/>
              <w:bottom w:val="single" w:sz="4" w:space="0" w:color="auto"/>
              <w:right w:val="nil"/>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                     1,326 </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                         983 </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        2,309 </w:t>
            </w:r>
          </w:p>
        </w:tc>
      </w:tr>
      <w:tr w:rsidR="00AD74AA" w:rsidRPr="00AD74AA" w:rsidTr="00AD74AA">
        <w:trPr>
          <w:trHeight w:val="255"/>
        </w:trPr>
        <w:tc>
          <w:tcPr>
            <w:tcW w:w="2235" w:type="pct"/>
            <w:tcBorders>
              <w:top w:val="nil"/>
              <w:left w:val="single" w:sz="4" w:space="0" w:color="auto"/>
              <w:bottom w:val="single" w:sz="4" w:space="0" w:color="auto"/>
              <w:right w:val="nil"/>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AD74AA">
              <w:rPr>
                <w:rFonts w:cs="Arial"/>
                <w:b/>
                <w:bCs/>
                <w:color w:val="000000"/>
                <w:sz w:val="20"/>
                <w:lang w:val="en-US" w:eastAsia="zh-CN"/>
              </w:rPr>
              <w:t>Depreciation at 1 January</w:t>
            </w:r>
          </w:p>
        </w:tc>
        <w:tc>
          <w:tcPr>
            <w:tcW w:w="1057" w:type="pct"/>
            <w:tcBorders>
              <w:top w:val="nil"/>
              <w:left w:val="nil"/>
              <w:bottom w:val="single" w:sz="4" w:space="0" w:color="auto"/>
              <w:right w:val="nil"/>
            </w:tcBorders>
            <w:shd w:val="clear" w:color="auto" w:fill="auto"/>
            <w:noWrap/>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w:t>
            </w:r>
          </w:p>
        </w:tc>
        <w:tc>
          <w:tcPr>
            <w:tcW w:w="1058" w:type="pct"/>
            <w:tcBorders>
              <w:top w:val="nil"/>
              <w:left w:val="single" w:sz="4" w:space="0" w:color="auto"/>
              <w:bottom w:val="single" w:sz="4" w:space="0" w:color="auto"/>
              <w:right w:val="single" w:sz="4" w:space="0" w:color="auto"/>
            </w:tcBorders>
            <w:shd w:val="clear" w:color="auto" w:fill="auto"/>
            <w:noWrap/>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                            -   </w:t>
            </w:r>
          </w:p>
        </w:tc>
        <w:tc>
          <w:tcPr>
            <w:tcW w:w="650" w:type="pct"/>
            <w:tcBorders>
              <w:top w:val="nil"/>
              <w:left w:val="nil"/>
              <w:bottom w:val="single" w:sz="4" w:space="0" w:color="auto"/>
              <w:right w:val="single" w:sz="4" w:space="0" w:color="auto"/>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                 - </w:t>
            </w:r>
          </w:p>
        </w:tc>
      </w:tr>
      <w:tr w:rsidR="00AD74AA" w:rsidRPr="00AD74AA" w:rsidTr="00AD74AA">
        <w:trPr>
          <w:trHeight w:val="255"/>
        </w:trPr>
        <w:tc>
          <w:tcPr>
            <w:tcW w:w="2235" w:type="pct"/>
            <w:tcBorders>
              <w:top w:val="nil"/>
              <w:left w:val="single" w:sz="4" w:space="0" w:color="auto"/>
              <w:bottom w:val="nil"/>
              <w:right w:val="nil"/>
            </w:tcBorders>
            <w:shd w:val="clear" w:color="auto" w:fill="auto"/>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AD74AA">
              <w:rPr>
                <w:rFonts w:cs="Arial"/>
                <w:color w:val="000000"/>
                <w:sz w:val="20"/>
                <w:lang w:val="en-US" w:eastAsia="zh-CN"/>
              </w:rPr>
              <w:t>Recognized during the year</w:t>
            </w:r>
          </w:p>
        </w:tc>
        <w:tc>
          <w:tcPr>
            <w:tcW w:w="1057" w:type="pct"/>
            <w:tcBorders>
              <w:top w:val="nil"/>
              <w:left w:val="nil"/>
              <w:bottom w:val="nil"/>
              <w:right w:val="nil"/>
            </w:tcBorders>
            <w:shd w:val="clear" w:color="auto" w:fill="auto"/>
            <w:noWrap/>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p>
        </w:tc>
        <w:tc>
          <w:tcPr>
            <w:tcW w:w="1058" w:type="pct"/>
            <w:tcBorders>
              <w:top w:val="nil"/>
              <w:left w:val="single" w:sz="4" w:space="0" w:color="auto"/>
              <w:bottom w:val="nil"/>
              <w:right w:val="single" w:sz="4" w:space="0" w:color="auto"/>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w:t>
            </w:r>
          </w:p>
        </w:tc>
        <w:tc>
          <w:tcPr>
            <w:tcW w:w="650" w:type="pct"/>
            <w:tcBorders>
              <w:top w:val="nil"/>
              <w:left w:val="nil"/>
              <w:bottom w:val="nil"/>
              <w:right w:val="single" w:sz="4" w:space="0" w:color="auto"/>
            </w:tcBorders>
            <w:shd w:val="clear" w:color="auto" w:fill="auto"/>
            <w:noWrap/>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 </w:t>
            </w:r>
          </w:p>
        </w:tc>
      </w:tr>
      <w:tr w:rsidR="00AD74AA" w:rsidRPr="00AD74AA" w:rsidTr="00AD74AA">
        <w:trPr>
          <w:trHeight w:val="255"/>
        </w:trPr>
        <w:tc>
          <w:tcPr>
            <w:tcW w:w="2235" w:type="pct"/>
            <w:tcBorders>
              <w:top w:val="nil"/>
              <w:left w:val="single" w:sz="4" w:space="0" w:color="auto"/>
              <w:bottom w:val="nil"/>
              <w:right w:val="nil"/>
            </w:tcBorders>
            <w:shd w:val="clear" w:color="auto" w:fill="auto"/>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AD74AA">
              <w:rPr>
                <w:rFonts w:cs="Arial"/>
                <w:color w:val="000000"/>
                <w:sz w:val="20"/>
                <w:lang w:val="en-US" w:eastAsia="zh-CN"/>
              </w:rPr>
              <w:t>Disposals</w:t>
            </w:r>
          </w:p>
        </w:tc>
        <w:tc>
          <w:tcPr>
            <w:tcW w:w="1057" w:type="pct"/>
            <w:tcBorders>
              <w:top w:val="nil"/>
              <w:left w:val="nil"/>
              <w:bottom w:val="nil"/>
              <w:right w:val="nil"/>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p>
        </w:tc>
        <w:tc>
          <w:tcPr>
            <w:tcW w:w="1058" w:type="pct"/>
            <w:tcBorders>
              <w:top w:val="nil"/>
              <w:left w:val="single" w:sz="4" w:space="0" w:color="auto"/>
              <w:bottom w:val="nil"/>
              <w:right w:val="single" w:sz="4" w:space="0" w:color="auto"/>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w:t>
            </w:r>
          </w:p>
        </w:tc>
        <w:tc>
          <w:tcPr>
            <w:tcW w:w="650" w:type="pct"/>
            <w:tcBorders>
              <w:top w:val="nil"/>
              <w:left w:val="nil"/>
              <w:bottom w:val="nil"/>
              <w:right w:val="single" w:sz="4" w:space="0" w:color="auto"/>
            </w:tcBorders>
            <w:shd w:val="clear" w:color="auto" w:fill="auto"/>
            <w:noWrap/>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 </w:t>
            </w:r>
          </w:p>
        </w:tc>
      </w:tr>
      <w:tr w:rsidR="00AD74AA" w:rsidRPr="00AD74AA" w:rsidTr="00AD74AA">
        <w:trPr>
          <w:trHeight w:val="255"/>
        </w:trPr>
        <w:tc>
          <w:tcPr>
            <w:tcW w:w="2235" w:type="pct"/>
            <w:tcBorders>
              <w:top w:val="nil"/>
              <w:left w:val="single" w:sz="4" w:space="0" w:color="auto"/>
              <w:bottom w:val="nil"/>
              <w:right w:val="nil"/>
            </w:tcBorders>
            <w:shd w:val="clear" w:color="auto" w:fill="auto"/>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AD74AA">
              <w:rPr>
                <w:rFonts w:cs="Arial"/>
                <w:color w:val="000000"/>
                <w:sz w:val="20"/>
                <w:lang w:val="en-US" w:eastAsia="zh-CN"/>
              </w:rPr>
              <w:t>Impairment losses</w:t>
            </w:r>
          </w:p>
        </w:tc>
        <w:tc>
          <w:tcPr>
            <w:tcW w:w="1057" w:type="pct"/>
            <w:tcBorders>
              <w:top w:val="nil"/>
              <w:left w:val="nil"/>
              <w:bottom w:val="nil"/>
              <w:right w:val="nil"/>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p>
        </w:tc>
        <w:tc>
          <w:tcPr>
            <w:tcW w:w="1058" w:type="pct"/>
            <w:tcBorders>
              <w:top w:val="nil"/>
              <w:left w:val="single" w:sz="4" w:space="0" w:color="auto"/>
              <w:bottom w:val="nil"/>
              <w:right w:val="single" w:sz="4" w:space="0" w:color="auto"/>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w:t>
            </w:r>
          </w:p>
        </w:tc>
        <w:tc>
          <w:tcPr>
            <w:tcW w:w="650" w:type="pct"/>
            <w:tcBorders>
              <w:top w:val="nil"/>
              <w:left w:val="nil"/>
              <w:bottom w:val="nil"/>
              <w:right w:val="single" w:sz="4" w:space="0" w:color="auto"/>
            </w:tcBorders>
            <w:shd w:val="clear" w:color="auto" w:fill="auto"/>
            <w:noWrap/>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 </w:t>
            </w:r>
          </w:p>
        </w:tc>
      </w:tr>
      <w:tr w:rsidR="00AD74AA" w:rsidRPr="00AD74AA" w:rsidTr="00AD74AA">
        <w:trPr>
          <w:trHeight w:val="255"/>
        </w:trPr>
        <w:tc>
          <w:tcPr>
            <w:tcW w:w="2235" w:type="pct"/>
            <w:tcBorders>
              <w:top w:val="nil"/>
              <w:left w:val="single" w:sz="4" w:space="0" w:color="auto"/>
              <w:bottom w:val="nil"/>
              <w:right w:val="nil"/>
            </w:tcBorders>
            <w:shd w:val="clear" w:color="auto" w:fill="auto"/>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AD74AA">
              <w:rPr>
                <w:rFonts w:cs="Arial"/>
                <w:color w:val="000000"/>
                <w:sz w:val="20"/>
                <w:lang w:val="en-US" w:eastAsia="zh-CN"/>
              </w:rPr>
              <w:t>Reclassifications and corrections</w:t>
            </w:r>
          </w:p>
        </w:tc>
        <w:tc>
          <w:tcPr>
            <w:tcW w:w="1057" w:type="pct"/>
            <w:tcBorders>
              <w:top w:val="nil"/>
              <w:left w:val="nil"/>
              <w:bottom w:val="nil"/>
              <w:right w:val="nil"/>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p>
        </w:tc>
        <w:tc>
          <w:tcPr>
            <w:tcW w:w="1058" w:type="pct"/>
            <w:tcBorders>
              <w:top w:val="nil"/>
              <w:left w:val="single" w:sz="4" w:space="0" w:color="auto"/>
              <w:bottom w:val="nil"/>
              <w:right w:val="single" w:sz="4" w:space="0" w:color="auto"/>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w:t>
            </w:r>
          </w:p>
        </w:tc>
        <w:tc>
          <w:tcPr>
            <w:tcW w:w="650" w:type="pct"/>
            <w:tcBorders>
              <w:top w:val="nil"/>
              <w:left w:val="nil"/>
              <w:bottom w:val="nil"/>
              <w:right w:val="single" w:sz="4" w:space="0" w:color="auto"/>
            </w:tcBorders>
            <w:shd w:val="clear" w:color="auto" w:fill="auto"/>
            <w:noWrap/>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 </w:t>
            </w:r>
          </w:p>
        </w:tc>
      </w:tr>
      <w:tr w:rsidR="00AD74AA" w:rsidRPr="00AD74AA" w:rsidTr="00AD74AA">
        <w:trPr>
          <w:trHeight w:val="255"/>
        </w:trPr>
        <w:tc>
          <w:tcPr>
            <w:tcW w:w="2235" w:type="pct"/>
            <w:tcBorders>
              <w:top w:val="nil"/>
              <w:left w:val="single" w:sz="4" w:space="0" w:color="auto"/>
              <w:bottom w:val="nil"/>
              <w:right w:val="nil"/>
            </w:tcBorders>
            <w:shd w:val="clear" w:color="auto" w:fill="auto"/>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r w:rsidRPr="00AD74AA">
              <w:rPr>
                <w:rFonts w:cs="Arial"/>
                <w:color w:val="000000"/>
                <w:sz w:val="20"/>
                <w:lang w:val="en-US" w:eastAsia="zh-CN"/>
              </w:rPr>
              <w:t>Revaluations</w:t>
            </w:r>
          </w:p>
        </w:tc>
        <w:tc>
          <w:tcPr>
            <w:tcW w:w="1057" w:type="pct"/>
            <w:tcBorders>
              <w:top w:val="nil"/>
              <w:left w:val="nil"/>
              <w:bottom w:val="nil"/>
              <w:right w:val="nil"/>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0"/>
                <w:lang w:val="en-US" w:eastAsia="zh-CN"/>
              </w:rPr>
            </w:pPr>
          </w:p>
        </w:tc>
        <w:tc>
          <w:tcPr>
            <w:tcW w:w="1058" w:type="pct"/>
            <w:tcBorders>
              <w:top w:val="nil"/>
              <w:left w:val="single" w:sz="4" w:space="0" w:color="auto"/>
              <w:bottom w:val="nil"/>
              <w:right w:val="single" w:sz="4" w:space="0" w:color="auto"/>
            </w:tcBorders>
            <w:shd w:val="clear" w:color="auto" w:fill="auto"/>
            <w:noWrap/>
            <w:vAlign w:val="bottom"/>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w:t>
            </w:r>
          </w:p>
        </w:tc>
        <w:tc>
          <w:tcPr>
            <w:tcW w:w="650" w:type="pct"/>
            <w:tcBorders>
              <w:top w:val="nil"/>
              <w:left w:val="nil"/>
              <w:bottom w:val="nil"/>
              <w:right w:val="single" w:sz="4" w:space="0" w:color="auto"/>
            </w:tcBorders>
            <w:shd w:val="clear" w:color="auto" w:fill="auto"/>
            <w:noWrap/>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 </w:t>
            </w:r>
          </w:p>
        </w:tc>
      </w:tr>
      <w:tr w:rsidR="00AD74AA" w:rsidRPr="00AD74AA" w:rsidTr="00AD74AA">
        <w:trPr>
          <w:trHeight w:val="255"/>
        </w:trPr>
        <w:tc>
          <w:tcPr>
            <w:tcW w:w="2235" w:type="pct"/>
            <w:tcBorders>
              <w:top w:val="single" w:sz="4" w:space="0" w:color="auto"/>
              <w:left w:val="single" w:sz="4" w:space="0" w:color="auto"/>
              <w:bottom w:val="single" w:sz="4" w:space="0" w:color="auto"/>
              <w:right w:val="nil"/>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AD74AA">
              <w:rPr>
                <w:rFonts w:cs="Arial"/>
                <w:b/>
                <w:bCs/>
                <w:color w:val="000000"/>
                <w:sz w:val="20"/>
                <w:lang w:val="en-US" w:eastAsia="zh-CN"/>
              </w:rPr>
              <w:t>Depreciation at 31 December</w:t>
            </w:r>
          </w:p>
        </w:tc>
        <w:tc>
          <w:tcPr>
            <w:tcW w:w="1057" w:type="pct"/>
            <w:tcBorders>
              <w:top w:val="single" w:sz="4" w:space="0" w:color="auto"/>
              <w:left w:val="nil"/>
              <w:bottom w:val="single" w:sz="4" w:space="0" w:color="auto"/>
              <w:right w:val="nil"/>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                            -   </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                            -   </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                 - </w:t>
            </w:r>
          </w:p>
        </w:tc>
      </w:tr>
      <w:tr w:rsidR="00AD74AA" w:rsidRPr="00AD74AA" w:rsidTr="00AD74AA">
        <w:trPr>
          <w:trHeight w:val="255"/>
        </w:trPr>
        <w:tc>
          <w:tcPr>
            <w:tcW w:w="2235" w:type="pct"/>
            <w:tcBorders>
              <w:top w:val="nil"/>
              <w:left w:val="single" w:sz="4" w:space="0" w:color="auto"/>
              <w:bottom w:val="single" w:sz="4" w:space="0" w:color="auto"/>
              <w:right w:val="nil"/>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AD74AA">
              <w:rPr>
                <w:rFonts w:cs="Arial"/>
                <w:b/>
                <w:bCs/>
                <w:color w:val="000000"/>
                <w:sz w:val="20"/>
                <w:lang w:val="en-US" w:eastAsia="zh-CN"/>
              </w:rPr>
              <w:t>Net carrying amount at 1 January</w:t>
            </w:r>
          </w:p>
        </w:tc>
        <w:tc>
          <w:tcPr>
            <w:tcW w:w="1057" w:type="pct"/>
            <w:tcBorders>
              <w:top w:val="nil"/>
              <w:left w:val="nil"/>
              <w:bottom w:val="single" w:sz="4" w:space="0" w:color="auto"/>
              <w:right w:val="nil"/>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                            -   </w:t>
            </w:r>
          </w:p>
        </w:tc>
        <w:tc>
          <w:tcPr>
            <w:tcW w:w="1058" w:type="pct"/>
            <w:tcBorders>
              <w:top w:val="nil"/>
              <w:left w:val="single" w:sz="4" w:space="0" w:color="auto"/>
              <w:bottom w:val="single" w:sz="4" w:space="0" w:color="auto"/>
              <w:right w:val="single" w:sz="4" w:space="0" w:color="auto"/>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                         908 </w:t>
            </w:r>
          </w:p>
        </w:tc>
        <w:tc>
          <w:tcPr>
            <w:tcW w:w="650" w:type="pct"/>
            <w:tcBorders>
              <w:top w:val="nil"/>
              <w:left w:val="nil"/>
              <w:bottom w:val="single" w:sz="4" w:space="0" w:color="auto"/>
              <w:right w:val="single" w:sz="4" w:space="0" w:color="auto"/>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           908 </w:t>
            </w:r>
          </w:p>
        </w:tc>
      </w:tr>
      <w:tr w:rsidR="00AD74AA" w:rsidRPr="00AD74AA" w:rsidTr="00AD74AA">
        <w:trPr>
          <w:trHeight w:val="255"/>
        </w:trPr>
        <w:tc>
          <w:tcPr>
            <w:tcW w:w="2235" w:type="pct"/>
            <w:tcBorders>
              <w:top w:val="nil"/>
              <w:left w:val="single" w:sz="4" w:space="0" w:color="auto"/>
              <w:bottom w:val="single" w:sz="4" w:space="0" w:color="auto"/>
              <w:right w:val="nil"/>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AD74AA">
              <w:rPr>
                <w:rFonts w:cs="Arial"/>
                <w:b/>
                <w:bCs/>
                <w:color w:val="000000"/>
                <w:sz w:val="20"/>
                <w:lang w:val="en-US" w:eastAsia="zh-CN"/>
              </w:rPr>
              <w:t xml:space="preserve">Net carrying amount at 31 December </w:t>
            </w:r>
          </w:p>
        </w:tc>
        <w:tc>
          <w:tcPr>
            <w:tcW w:w="1057" w:type="pct"/>
            <w:tcBorders>
              <w:top w:val="nil"/>
              <w:left w:val="nil"/>
              <w:bottom w:val="single" w:sz="4" w:space="0" w:color="auto"/>
              <w:right w:val="nil"/>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                     1,326 </w:t>
            </w:r>
          </w:p>
        </w:tc>
        <w:tc>
          <w:tcPr>
            <w:tcW w:w="1058" w:type="pct"/>
            <w:tcBorders>
              <w:top w:val="nil"/>
              <w:left w:val="single" w:sz="4" w:space="0" w:color="auto"/>
              <w:bottom w:val="single" w:sz="4" w:space="0" w:color="auto"/>
              <w:right w:val="single" w:sz="4" w:space="0" w:color="auto"/>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                         983 </w:t>
            </w:r>
          </w:p>
        </w:tc>
        <w:tc>
          <w:tcPr>
            <w:tcW w:w="650" w:type="pct"/>
            <w:tcBorders>
              <w:top w:val="nil"/>
              <w:left w:val="nil"/>
              <w:bottom w:val="single" w:sz="4" w:space="0" w:color="auto"/>
              <w:right w:val="single" w:sz="4" w:space="0" w:color="auto"/>
            </w:tcBorders>
            <w:shd w:val="clear" w:color="auto" w:fill="auto"/>
            <w:vAlign w:val="center"/>
            <w:hideMark/>
          </w:tcPr>
          <w:p w:rsidR="00AD74AA" w:rsidRPr="00AD74AA" w:rsidRDefault="00AD74AA" w:rsidP="00AD74AA">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        2,309 </w:t>
            </w:r>
          </w:p>
        </w:tc>
      </w:tr>
    </w:tbl>
    <w:p w:rsidR="00733DC3" w:rsidRPr="003E4412" w:rsidRDefault="00733DC3" w:rsidP="00ED779E">
      <w:pPr>
        <w:pStyle w:val="Heading5"/>
        <w:tabs>
          <w:tab w:val="clear" w:pos="1134"/>
        </w:tabs>
        <w:spacing w:after="200"/>
        <w:ind w:left="0" w:firstLine="0"/>
        <w:jc w:val="both"/>
        <w:rPr>
          <w:b w:val="0"/>
          <w:lang w:val="en-US"/>
        </w:rPr>
      </w:pPr>
      <w:r w:rsidRPr="00ED779E">
        <w:rPr>
          <w:b w:val="0"/>
          <w:lang w:val="en-US"/>
        </w:rPr>
        <w:t xml:space="preserve">It has been decided to disclose </w:t>
      </w:r>
      <w:r w:rsidR="00ED779E">
        <w:rPr>
          <w:b w:val="0"/>
          <w:lang w:val="en-US"/>
        </w:rPr>
        <w:t xml:space="preserve">separately </w:t>
      </w:r>
      <w:r w:rsidRPr="00ED779E">
        <w:rPr>
          <w:b w:val="0"/>
          <w:lang w:val="en-US"/>
        </w:rPr>
        <w:t>the asset</w:t>
      </w:r>
      <w:r w:rsidR="00ED779E">
        <w:rPr>
          <w:b w:val="0"/>
          <w:lang w:val="en-US"/>
        </w:rPr>
        <w:t>s</w:t>
      </w:r>
      <w:r w:rsidRPr="00ED779E">
        <w:rPr>
          <w:b w:val="0"/>
          <w:lang w:val="en-US"/>
        </w:rPr>
        <w:t xml:space="preserve"> under </w:t>
      </w:r>
      <w:r w:rsidR="003E4412" w:rsidRPr="00ED779E">
        <w:rPr>
          <w:b w:val="0"/>
          <w:lang w:val="en-US"/>
        </w:rPr>
        <w:t>construction</w:t>
      </w:r>
      <w:r w:rsidR="005213D3" w:rsidRPr="00ED779E">
        <w:rPr>
          <w:b w:val="0"/>
          <w:lang w:val="en-US"/>
        </w:rPr>
        <w:t xml:space="preserve"> in order to</w:t>
      </w:r>
      <w:r w:rsidR="003E4412" w:rsidRPr="00ED779E">
        <w:rPr>
          <w:b w:val="0"/>
          <w:lang w:val="en-US"/>
        </w:rPr>
        <w:t xml:space="preserve"> anticipate on the new building project and </w:t>
      </w:r>
      <w:r w:rsidR="005213D3" w:rsidRPr="00ED779E">
        <w:rPr>
          <w:b w:val="0"/>
          <w:lang w:val="en-US"/>
        </w:rPr>
        <w:t xml:space="preserve">thus </w:t>
      </w:r>
      <w:r w:rsidR="003E4412" w:rsidRPr="00ED779E">
        <w:rPr>
          <w:b w:val="0"/>
          <w:lang w:val="en-US"/>
        </w:rPr>
        <w:t xml:space="preserve">allow </w:t>
      </w:r>
      <w:r w:rsidR="005213D3" w:rsidRPr="00ED779E">
        <w:rPr>
          <w:b w:val="0"/>
          <w:lang w:val="en-US"/>
        </w:rPr>
        <w:t xml:space="preserve">for </w:t>
      </w:r>
      <w:r w:rsidR="003E4412" w:rsidRPr="00ED779E">
        <w:rPr>
          <w:b w:val="0"/>
          <w:lang w:val="en-US"/>
        </w:rPr>
        <w:t>a transparent follow up of the project during the construction phase.</w:t>
      </w:r>
    </w:p>
    <w:p w:rsidR="0022373A" w:rsidRDefault="0022373A" w:rsidP="000A6EEF">
      <w:pPr>
        <w:pStyle w:val="Heading5"/>
        <w:spacing w:after="200"/>
        <w:jc w:val="both"/>
        <w:rPr>
          <w:lang w:val="en-US"/>
        </w:rPr>
      </w:pPr>
      <w:r w:rsidRPr="000A6EEF">
        <w:rPr>
          <w:lang w:val="en-US"/>
        </w:rPr>
        <w:t>Note 1</w:t>
      </w:r>
      <w:r w:rsidR="000A6EEF" w:rsidRPr="000A6EEF">
        <w:rPr>
          <w:lang w:val="en-US"/>
        </w:rPr>
        <w:t>4</w:t>
      </w:r>
      <w:r w:rsidRPr="000A6EEF">
        <w:rPr>
          <w:lang w:val="en-US"/>
        </w:rPr>
        <w:tab/>
        <w:t>Suppliers and other creditors</w:t>
      </w:r>
      <w:bookmarkEnd w:id="81"/>
    </w:p>
    <w:tbl>
      <w:tblPr>
        <w:tblW w:w="5000" w:type="pct"/>
        <w:tblLook w:val="04A0" w:firstRow="1" w:lastRow="0" w:firstColumn="1" w:lastColumn="0" w:noHBand="0" w:noVBand="1"/>
      </w:tblPr>
      <w:tblGrid>
        <w:gridCol w:w="4651"/>
        <w:gridCol w:w="2560"/>
        <w:gridCol w:w="2560"/>
      </w:tblGrid>
      <w:tr w:rsidR="00F168E3" w:rsidRPr="00F168E3" w:rsidTr="00F168E3">
        <w:trPr>
          <w:trHeight w:val="499"/>
        </w:trPr>
        <w:tc>
          <w:tcPr>
            <w:tcW w:w="2380" w:type="pct"/>
            <w:tcBorders>
              <w:top w:val="single" w:sz="4" w:space="0" w:color="auto"/>
              <w:left w:val="single" w:sz="4" w:space="0" w:color="auto"/>
              <w:bottom w:val="single" w:sz="4" w:space="0" w:color="auto"/>
              <w:right w:val="nil"/>
            </w:tcBorders>
            <w:shd w:val="clear" w:color="auto" w:fill="auto"/>
            <w:noWrap/>
            <w:vAlign w:val="center"/>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F168E3">
              <w:rPr>
                <w:rFonts w:cs="Arial"/>
                <w:b/>
                <w:bCs/>
                <w:color w:val="000000"/>
                <w:sz w:val="22"/>
                <w:szCs w:val="22"/>
                <w:lang w:val="en-US" w:eastAsia="zh-CN"/>
              </w:rPr>
              <w:t>In thousands of CHF</w:t>
            </w:r>
          </w:p>
        </w:tc>
        <w:tc>
          <w:tcPr>
            <w:tcW w:w="1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F168E3">
              <w:rPr>
                <w:rFonts w:cs="Arial"/>
                <w:b/>
                <w:bCs/>
                <w:color w:val="000000"/>
                <w:sz w:val="22"/>
                <w:szCs w:val="22"/>
                <w:lang w:val="en-US" w:eastAsia="zh-CN"/>
              </w:rPr>
              <w:t>31.12.2018</w:t>
            </w:r>
          </w:p>
        </w:tc>
        <w:tc>
          <w:tcPr>
            <w:tcW w:w="1310" w:type="pct"/>
            <w:tcBorders>
              <w:top w:val="single" w:sz="4" w:space="0" w:color="auto"/>
              <w:left w:val="nil"/>
              <w:bottom w:val="single" w:sz="4" w:space="0" w:color="auto"/>
              <w:right w:val="single" w:sz="4" w:space="0" w:color="auto"/>
            </w:tcBorders>
            <w:shd w:val="clear" w:color="auto" w:fill="auto"/>
            <w:noWrap/>
            <w:vAlign w:val="center"/>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F168E3">
              <w:rPr>
                <w:rFonts w:cs="Arial"/>
                <w:b/>
                <w:bCs/>
                <w:color w:val="000000"/>
                <w:sz w:val="22"/>
                <w:szCs w:val="22"/>
                <w:lang w:val="en-US" w:eastAsia="zh-CN"/>
              </w:rPr>
              <w:t>31.12.2017</w:t>
            </w:r>
          </w:p>
        </w:tc>
      </w:tr>
      <w:tr w:rsidR="00F168E3" w:rsidRPr="00F168E3" w:rsidTr="00F168E3">
        <w:trPr>
          <w:trHeight w:val="300"/>
        </w:trPr>
        <w:tc>
          <w:tcPr>
            <w:tcW w:w="2380" w:type="pct"/>
            <w:tcBorders>
              <w:top w:val="nil"/>
              <w:left w:val="single" w:sz="4" w:space="0" w:color="auto"/>
              <w:bottom w:val="nil"/>
              <w:right w:val="nil"/>
            </w:tcBorders>
            <w:shd w:val="clear" w:color="auto" w:fill="auto"/>
            <w:noWrap/>
            <w:vAlign w:val="bottom"/>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F168E3">
              <w:rPr>
                <w:rFonts w:cs="Arial"/>
                <w:color w:val="000000"/>
                <w:sz w:val="22"/>
                <w:szCs w:val="22"/>
                <w:lang w:val="en-US" w:eastAsia="zh-CN"/>
              </w:rPr>
              <w:t> </w:t>
            </w:r>
          </w:p>
        </w:tc>
        <w:tc>
          <w:tcPr>
            <w:tcW w:w="1310" w:type="pct"/>
            <w:tcBorders>
              <w:top w:val="nil"/>
              <w:left w:val="single" w:sz="4" w:space="0" w:color="auto"/>
              <w:bottom w:val="nil"/>
              <w:right w:val="single" w:sz="4" w:space="0" w:color="auto"/>
            </w:tcBorders>
            <w:shd w:val="clear" w:color="auto" w:fill="auto"/>
            <w:noWrap/>
            <w:vAlign w:val="bottom"/>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F168E3">
              <w:rPr>
                <w:rFonts w:cs="Arial"/>
                <w:color w:val="000000"/>
                <w:sz w:val="22"/>
                <w:szCs w:val="22"/>
                <w:lang w:val="en-US" w:eastAsia="zh-CN"/>
              </w:rPr>
              <w:t> </w:t>
            </w:r>
          </w:p>
        </w:tc>
        <w:tc>
          <w:tcPr>
            <w:tcW w:w="1310" w:type="pct"/>
            <w:tcBorders>
              <w:top w:val="nil"/>
              <w:left w:val="nil"/>
              <w:bottom w:val="nil"/>
              <w:right w:val="single" w:sz="4" w:space="0" w:color="auto"/>
            </w:tcBorders>
            <w:shd w:val="clear" w:color="auto" w:fill="auto"/>
            <w:noWrap/>
            <w:vAlign w:val="bottom"/>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F168E3">
              <w:rPr>
                <w:rFonts w:cs="Arial"/>
                <w:color w:val="000000"/>
                <w:sz w:val="22"/>
                <w:szCs w:val="22"/>
                <w:lang w:val="en-US" w:eastAsia="zh-CN"/>
              </w:rPr>
              <w:t> </w:t>
            </w:r>
          </w:p>
        </w:tc>
      </w:tr>
      <w:tr w:rsidR="00F168E3" w:rsidRPr="00F168E3" w:rsidTr="00F168E3">
        <w:trPr>
          <w:trHeight w:val="300"/>
        </w:trPr>
        <w:tc>
          <w:tcPr>
            <w:tcW w:w="2380" w:type="pct"/>
            <w:tcBorders>
              <w:top w:val="nil"/>
              <w:left w:val="single" w:sz="4" w:space="0" w:color="auto"/>
              <w:bottom w:val="nil"/>
              <w:right w:val="nil"/>
            </w:tcBorders>
            <w:shd w:val="clear" w:color="auto" w:fill="auto"/>
            <w:noWrap/>
            <w:vAlign w:val="bottom"/>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F168E3">
              <w:rPr>
                <w:rFonts w:cs="Arial"/>
                <w:color w:val="000000"/>
                <w:sz w:val="22"/>
                <w:szCs w:val="22"/>
                <w:lang w:val="en-US" w:eastAsia="zh-CN"/>
              </w:rPr>
              <w:t>Suppliers</w:t>
            </w:r>
          </w:p>
        </w:tc>
        <w:tc>
          <w:tcPr>
            <w:tcW w:w="1310" w:type="pct"/>
            <w:tcBorders>
              <w:top w:val="nil"/>
              <w:left w:val="single" w:sz="4" w:space="0" w:color="auto"/>
              <w:bottom w:val="nil"/>
              <w:right w:val="single" w:sz="4" w:space="0" w:color="auto"/>
            </w:tcBorders>
            <w:shd w:val="clear" w:color="auto" w:fill="auto"/>
            <w:noWrap/>
            <w:vAlign w:val="bottom"/>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F168E3">
              <w:rPr>
                <w:rFonts w:cs="Arial"/>
                <w:color w:val="000000"/>
                <w:sz w:val="22"/>
                <w:szCs w:val="22"/>
                <w:lang w:val="en-US" w:eastAsia="zh-CN"/>
              </w:rPr>
              <w:t xml:space="preserve">                      4,660 </w:t>
            </w:r>
          </w:p>
        </w:tc>
        <w:tc>
          <w:tcPr>
            <w:tcW w:w="1310" w:type="pct"/>
            <w:tcBorders>
              <w:top w:val="nil"/>
              <w:left w:val="nil"/>
              <w:bottom w:val="nil"/>
              <w:right w:val="single" w:sz="4" w:space="0" w:color="auto"/>
            </w:tcBorders>
            <w:shd w:val="clear" w:color="auto" w:fill="auto"/>
            <w:noWrap/>
            <w:vAlign w:val="bottom"/>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F168E3">
              <w:rPr>
                <w:rFonts w:cs="Arial"/>
                <w:color w:val="000000"/>
                <w:sz w:val="22"/>
                <w:szCs w:val="22"/>
                <w:lang w:val="en-US" w:eastAsia="zh-CN"/>
              </w:rPr>
              <w:t xml:space="preserve">                      5,103 </w:t>
            </w:r>
          </w:p>
        </w:tc>
      </w:tr>
      <w:tr w:rsidR="00F168E3" w:rsidRPr="00F168E3" w:rsidTr="00F168E3">
        <w:trPr>
          <w:trHeight w:val="300"/>
        </w:trPr>
        <w:tc>
          <w:tcPr>
            <w:tcW w:w="2380" w:type="pct"/>
            <w:tcBorders>
              <w:top w:val="nil"/>
              <w:left w:val="single" w:sz="4" w:space="0" w:color="auto"/>
              <w:bottom w:val="nil"/>
              <w:right w:val="nil"/>
            </w:tcBorders>
            <w:shd w:val="clear" w:color="auto" w:fill="auto"/>
            <w:noWrap/>
            <w:vAlign w:val="bottom"/>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F168E3">
              <w:rPr>
                <w:rFonts w:cs="Arial"/>
                <w:color w:val="000000"/>
                <w:sz w:val="22"/>
                <w:szCs w:val="22"/>
                <w:lang w:val="en-US" w:eastAsia="zh-CN"/>
              </w:rPr>
              <w:t>Deposits received</w:t>
            </w:r>
          </w:p>
        </w:tc>
        <w:tc>
          <w:tcPr>
            <w:tcW w:w="1310" w:type="pct"/>
            <w:tcBorders>
              <w:top w:val="nil"/>
              <w:left w:val="single" w:sz="4" w:space="0" w:color="auto"/>
              <w:bottom w:val="nil"/>
              <w:right w:val="single" w:sz="4" w:space="0" w:color="auto"/>
            </w:tcBorders>
            <w:shd w:val="clear" w:color="auto" w:fill="auto"/>
            <w:noWrap/>
            <w:vAlign w:val="bottom"/>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F168E3">
              <w:rPr>
                <w:rFonts w:cs="Arial"/>
                <w:color w:val="000000"/>
                <w:sz w:val="22"/>
                <w:szCs w:val="22"/>
                <w:lang w:val="en-US" w:eastAsia="zh-CN"/>
              </w:rPr>
              <w:t xml:space="preserve">                      3,173 </w:t>
            </w:r>
          </w:p>
        </w:tc>
        <w:tc>
          <w:tcPr>
            <w:tcW w:w="1310" w:type="pct"/>
            <w:tcBorders>
              <w:top w:val="nil"/>
              <w:left w:val="nil"/>
              <w:bottom w:val="nil"/>
              <w:right w:val="single" w:sz="4" w:space="0" w:color="auto"/>
            </w:tcBorders>
            <w:shd w:val="clear" w:color="auto" w:fill="auto"/>
            <w:noWrap/>
            <w:vAlign w:val="bottom"/>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F168E3">
              <w:rPr>
                <w:rFonts w:cs="Arial"/>
                <w:color w:val="000000"/>
                <w:sz w:val="22"/>
                <w:szCs w:val="22"/>
                <w:lang w:val="en-US" w:eastAsia="zh-CN"/>
              </w:rPr>
              <w:t xml:space="preserve">                      2,583 </w:t>
            </w:r>
          </w:p>
        </w:tc>
      </w:tr>
      <w:tr w:rsidR="00F168E3" w:rsidRPr="00F168E3" w:rsidTr="00F168E3">
        <w:trPr>
          <w:trHeight w:val="300"/>
        </w:trPr>
        <w:tc>
          <w:tcPr>
            <w:tcW w:w="2380" w:type="pct"/>
            <w:tcBorders>
              <w:top w:val="nil"/>
              <w:left w:val="single" w:sz="4" w:space="0" w:color="auto"/>
              <w:bottom w:val="nil"/>
              <w:right w:val="nil"/>
            </w:tcBorders>
            <w:shd w:val="clear" w:color="auto" w:fill="auto"/>
            <w:noWrap/>
            <w:vAlign w:val="bottom"/>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proofErr w:type="spellStart"/>
            <w:r w:rsidRPr="00F168E3">
              <w:rPr>
                <w:rFonts w:cs="Arial"/>
                <w:color w:val="000000"/>
                <w:sz w:val="22"/>
                <w:szCs w:val="22"/>
                <w:lang w:val="en-US" w:eastAsia="zh-CN"/>
              </w:rPr>
              <w:t>Downpayments</w:t>
            </w:r>
            <w:proofErr w:type="spellEnd"/>
            <w:r w:rsidRPr="00F168E3">
              <w:rPr>
                <w:rFonts w:cs="Arial"/>
                <w:color w:val="000000"/>
                <w:sz w:val="22"/>
                <w:szCs w:val="22"/>
                <w:lang w:val="en-US" w:eastAsia="zh-CN"/>
              </w:rPr>
              <w:t xml:space="preserve"> received</w:t>
            </w:r>
          </w:p>
        </w:tc>
        <w:tc>
          <w:tcPr>
            <w:tcW w:w="1310" w:type="pct"/>
            <w:tcBorders>
              <w:top w:val="nil"/>
              <w:left w:val="single" w:sz="4" w:space="0" w:color="auto"/>
              <w:bottom w:val="nil"/>
              <w:right w:val="single" w:sz="4" w:space="0" w:color="auto"/>
            </w:tcBorders>
            <w:shd w:val="clear" w:color="auto" w:fill="auto"/>
            <w:noWrap/>
            <w:vAlign w:val="bottom"/>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F168E3">
              <w:rPr>
                <w:rFonts w:cs="Arial"/>
                <w:color w:val="000000"/>
                <w:sz w:val="22"/>
                <w:szCs w:val="22"/>
                <w:lang w:val="en-US" w:eastAsia="zh-CN"/>
              </w:rPr>
              <w:t xml:space="preserve">                      1,072 </w:t>
            </w:r>
          </w:p>
        </w:tc>
        <w:tc>
          <w:tcPr>
            <w:tcW w:w="1310" w:type="pct"/>
            <w:tcBorders>
              <w:top w:val="nil"/>
              <w:left w:val="nil"/>
              <w:bottom w:val="nil"/>
              <w:right w:val="single" w:sz="4" w:space="0" w:color="auto"/>
            </w:tcBorders>
            <w:shd w:val="clear" w:color="auto" w:fill="auto"/>
            <w:noWrap/>
            <w:vAlign w:val="bottom"/>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F168E3">
              <w:rPr>
                <w:rFonts w:cs="Arial"/>
                <w:color w:val="000000"/>
                <w:sz w:val="22"/>
                <w:szCs w:val="22"/>
                <w:lang w:val="en-US" w:eastAsia="zh-CN"/>
              </w:rPr>
              <w:t xml:space="preserve">                      1,985 </w:t>
            </w:r>
          </w:p>
        </w:tc>
      </w:tr>
      <w:tr w:rsidR="00F168E3" w:rsidRPr="00F168E3" w:rsidTr="00F168E3">
        <w:trPr>
          <w:trHeight w:val="300"/>
        </w:trPr>
        <w:tc>
          <w:tcPr>
            <w:tcW w:w="2380" w:type="pct"/>
            <w:tcBorders>
              <w:top w:val="nil"/>
              <w:left w:val="single" w:sz="4" w:space="0" w:color="auto"/>
              <w:bottom w:val="nil"/>
              <w:right w:val="nil"/>
            </w:tcBorders>
            <w:shd w:val="clear" w:color="auto" w:fill="auto"/>
            <w:noWrap/>
            <w:vAlign w:val="bottom"/>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F168E3">
              <w:rPr>
                <w:rFonts w:cs="Arial"/>
                <w:color w:val="000000"/>
                <w:sz w:val="22"/>
                <w:szCs w:val="22"/>
                <w:lang w:val="en-US" w:eastAsia="zh-CN"/>
              </w:rPr>
              <w:t> </w:t>
            </w:r>
          </w:p>
        </w:tc>
        <w:tc>
          <w:tcPr>
            <w:tcW w:w="1310" w:type="pct"/>
            <w:tcBorders>
              <w:top w:val="nil"/>
              <w:left w:val="single" w:sz="4" w:space="0" w:color="auto"/>
              <w:bottom w:val="single" w:sz="4" w:space="0" w:color="auto"/>
              <w:right w:val="single" w:sz="4" w:space="0" w:color="auto"/>
            </w:tcBorders>
            <w:shd w:val="clear" w:color="auto" w:fill="auto"/>
            <w:noWrap/>
            <w:vAlign w:val="bottom"/>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F168E3">
              <w:rPr>
                <w:rFonts w:cs="Arial"/>
                <w:color w:val="000000"/>
                <w:sz w:val="22"/>
                <w:szCs w:val="22"/>
                <w:lang w:val="en-US" w:eastAsia="zh-CN"/>
              </w:rPr>
              <w:t> </w:t>
            </w:r>
          </w:p>
        </w:tc>
        <w:tc>
          <w:tcPr>
            <w:tcW w:w="1310" w:type="pct"/>
            <w:tcBorders>
              <w:top w:val="nil"/>
              <w:left w:val="nil"/>
              <w:bottom w:val="single" w:sz="4" w:space="0" w:color="auto"/>
              <w:right w:val="single" w:sz="4" w:space="0" w:color="auto"/>
            </w:tcBorders>
            <w:shd w:val="clear" w:color="auto" w:fill="auto"/>
            <w:noWrap/>
            <w:vAlign w:val="bottom"/>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F168E3">
              <w:rPr>
                <w:rFonts w:cs="Arial"/>
                <w:color w:val="000000"/>
                <w:sz w:val="22"/>
                <w:szCs w:val="22"/>
                <w:lang w:val="en-US" w:eastAsia="zh-CN"/>
              </w:rPr>
              <w:t> </w:t>
            </w:r>
          </w:p>
        </w:tc>
      </w:tr>
      <w:tr w:rsidR="00F168E3" w:rsidRPr="00F168E3" w:rsidTr="00F168E3">
        <w:trPr>
          <w:trHeight w:val="499"/>
        </w:trPr>
        <w:tc>
          <w:tcPr>
            <w:tcW w:w="2380" w:type="pct"/>
            <w:tcBorders>
              <w:top w:val="single" w:sz="4" w:space="0" w:color="auto"/>
              <w:left w:val="single" w:sz="4" w:space="0" w:color="auto"/>
              <w:bottom w:val="single" w:sz="4" w:space="0" w:color="auto"/>
              <w:right w:val="nil"/>
            </w:tcBorders>
            <w:shd w:val="clear" w:color="auto" w:fill="auto"/>
            <w:noWrap/>
            <w:vAlign w:val="center"/>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F168E3">
              <w:rPr>
                <w:rFonts w:cs="Arial"/>
                <w:b/>
                <w:bCs/>
                <w:color w:val="000000"/>
                <w:sz w:val="22"/>
                <w:szCs w:val="22"/>
                <w:lang w:val="en-US" w:eastAsia="zh-CN"/>
              </w:rPr>
              <w:t>Suppliers and other creditors</w:t>
            </w:r>
          </w:p>
        </w:tc>
        <w:tc>
          <w:tcPr>
            <w:tcW w:w="1310" w:type="pct"/>
            <w:tcBorders>
              <w:top w:val="nil"/>
              <w:left w:val="single" w:sz="4" w:space="0" w:color="auto"/>
              <w:bottom w:val="single" w:sz="4" w:space="0" w:color="auto"/>
              <w:right w:val="single" w:sz="4" w:space="0" w:color="auto"/>
            </w:tcBorders>
            <w:shd w:val="clear" w:color="auto" w:fill="auto"/>
            <w:noWrap/>
            <w:vAlign w:val="center"/>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F168E3">
              <w:rPr>
                <w:rFonts w:cs="Arial"/>
                <w:b/>
                <w:bCs/>
                <w:color w:val="000000"/>
                <w:sz w:val="22"/>
                <w:szCs w:val="22"/>
                <w:lang w:val="en-US" w:eastAsia="zh-CN"/>
              </w:rPr>
              <w:t xml:space="preserve">                      8,905 </w:t>
            </w:r>
          </w:p>
        </w:tc>
        <w:tc>
          <w:tcPr>
            <w:tcW w:w="1310" w:type="pct"/>
            <w:tcBorders>
              <w:top w:val="nil"/>
              <w:left w:val="nil"/>
              <w:bottom w:val="single" w:sz="4" w:space="0" w:color="auto"/>
              <w:right w:val="single" w:sz="4" w:space="0" w:color="auto"/>
            </w:tcBorders>
            <w:shd w:val="clear" w:color="auto" w:fill="auto"/>
            <w:noWrap/>
            <w:vAlign w:val="center"/>
            <w:hideMark/>
          </w:tcPr>
          <w:p w:rsidR="00F168E3" w:rsidRPr="00F168E3" w:rsidRDefault="00F168E3" w:rsidP="00F168E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F168E3">
              <w:rPr>
                <w:rFonts w:cs="Arial"/>
                <w:b/>
                <w:bCs/>
                <w:color w:val="000000"/>
                <w:sz w:val="22"/>
                <w:szCs w:val="22"/>
                <w:lang w:val="en-US" w:eastAsia="zh-CN"/>
              </w:rPr>
              <w:t xml:space="preserve">                      9,671 </w:t>
            </w:r>
          </w:p>
        </w:tc>
      </w:tr>
    </w:tbl>
    <w:p w:rsidR="0022373A" w:rsidRPr="00AA4C70" w:rsidRDefault="0022373A" w:rsidP="00A4540F">
      <w:pPr>
        <w:spacing w:before="200"/>
        <w:jc w:val="both"/>
        <w:rPr>
          <w:lang w:val="en-US"/>
        </w:rPr>
      </w:pPr>
      <w:r w:rsidRPr="00AA4C70">
        <w:rPr>
          <w:color w:val="000000"/>
          <w:lang w:val="en-US"/>
        </w:rPr>
        <w:t xml:space="preserve">The amount shown for suppliers relates mainly to </w:t>
      </w:r>
      <w:r w:rsidR="007606DE" w:rsidRPr="00AA4C70">
        <w:rPr>
          <w:color w:val="000000"/>
          <w:lang w:val="en-US"/>
        </w:rPr>
        <w:t>unpaid invoices</w:t>
      </w:r>
      <w:r w:rsidRPr="00AA4C70">
        <w:rPr>
          <w:color w:val="000000"/>
          <w:lang w:val="en-US"/>
        </w:rPr>
        <w:t xml:space="preserve">, staff accounts and IOV invoices </w:t>
      </w:r>
      <w:r w:rsidR="007606DE" w:rsidRPr="00AA4C70">
        <w:rPr>
          <w:color w:val="000000"/>
          <w:lang w:val="en-US"/>
        </w:rPr>
        <w:t>open for</w:t>
      </w:r>
      <w:r w:rsidRPr="00AA4C70">
        <w:rPr>
          <w:color w:val="000000"/>
          <w:lang w:val="en-US"/>
        </w:rPr>
        <w:t xml:space="preserve"> settlement with UNDP.</w:t>
      </w:r>
    </w:p>
    <w:p w:rsidR="0022373A" w:rsidRPr="00AA4C70" w:rsidRDefault="0022373A" w:rsidP="00A4540F">
      <w:pPr>
        <w:jc w:val="both"/>
        <w:rPr>
          <w:lang w:val="en-US"/>
        </w:rPr>
      </w:pPr>
      <w:r w:rsidRPr="00AA4C70">
        <w:rPr>
          <w:lang w:val="en-US"/>
        </w:rPr>
        <w:t xml:space="preserve">Deposits </w:t>
      </w:r>
      <w:r w:rsidR="007606DE" w:rsidRPr="00AA4C70">
        <w:rPr>
          <w:lang w:val="en-US"/>
        </w:rPr>
        <w:t>have been received</w:t>
      </w:r>
      <w:r w:rsidRPr="00AA4C70">
        <w:rPr>
          <w:lang w:val="en-US"/>
        </w:rPr>
        <w:t xml:space="preserve"> for satellite network filings and for future publication purchases. These sums will be refunded to the beneficiaries or used to settle future contributions and/or invoices for satellite network filings and publications.</w:t>
      </w:r>
    </w:p>
    <w:p w:rsidR="00BA42A2" w:rsidRDefault="0022373A" w:rsidP="00560B06">
      <w:pPr>
        <w:jc w:val="both"/>
        <w:rPr>
          <w:lang w:val="en-US"/>
        </w:rPr>
      </w:pPr>
      <w:bookmarkStart w:id="82" w:name="_Toc328992862"/>
      <w:bookmarkStart w:id="83" w:name="_Toc305764088"/>
      <w:r w:rsidRPr="000A6EEF">
        <w:rPr>
          <w:lang w:val="en-US"/>
        </w:rPr>
        <w:t xml:space="preserve">The </w:t>
      </w:r>
      <w:r w:rsidR="00A825E2" w:rsidRPr="000A6EEF">
        <w:rPr>
          <w:lang w:val="en-US"/>
        </w:rPr>
        <w:t>down payments</w:t>
      </w:r>
      <w:r w:rsidRPr="000A6EEF">
        <w:rPr>
          <w:lang w:val="en-US"/>
        </w:rPr>
        <w:t xml:space="preserve"> </w:t>
      </w:r>
      <w:r w:rsidR="007606DE" w:rsidRPr="000A6EEF">
        <w:rPr>
          <w:lang w:val="en-US"/>
        </w:rPr>
        <w:t>are</w:t>
      </w:r>
      <w:r w:rsidRPr="000A6EEF">
        <w:rPr>
          <w:lang w:val="en-US"/>
        </w:rPr>
        <w:t xml:space="preserve"> advance payments made to the Union</w:t>
      </w:r>
      <w:r w:rsidR="007A552E" w:rsidRPr="000A6EEF">
        <w:rPr>
          <w:lang w:val="en-US"/>
        </w:rPr>
        <w:t>’</w:t>
      </w:r>
      <w:r w:rsidRPr="000A6EEF">
        <w:rPr>
          <w:lang w:val="en-US"/>
        </w:rPr>
        <w:t>s accounts by the host countries for the org</w:t>
      </w:r>
      <w:r w:rsidR="007606DE" w:rsidRPr="000A6EEF">
        <w:rPr>
          <w:lang w:val="en-US"/>
        </w:rPr>
        <w:t xml:space="preserve">anization of the </w:t>
      </w:r>
      <w:r w:rsidR="00111BDD" w:rsidRPr="000A6EEF">
        <w:rPr>
          <w:lang w:val="en-US"/>
        </w:rPr>
        <w:t>201</w:t>
      </w:r>
      <w:r w:rsidR="00560B06">
        <w:rPr>
          <w:lang w:val="en-US"/>
        </w:rPr>
        <w:t>8</w:t>
      </w:r>
      <w:r w:rsidR="00283CD7" w:rsidRPr="000A6EEF">
        <w:rPr>
          <w:lang w:val="en-US"/>
        </w:rPr>
        <w:t xml:space="preserve"> and 201</w:t>
      </w:r>
      <w:r w:rsidR="00560B06">
        <w:rPr>
          <w:lang w:val="en-US"/>
        </w:rPr>
        <w:t>9</w:t>
      </w:r>
      <w:r w:rsidR="00283CD7" w:rsidRPr="000A6EEF">
        <w:rPr>
          <w:lang w:val="en-US"/>
        </w:rPr>
        <w:t xml:space="preserve"> </w:t>
      </w:r>
      <w:r w:rsidR="00AA1577" w:rsidRPr="000A6EEF">
        <w:rPr>
          <w:lang w:val="en-US"/>
        </w:rPr>
        <w:t xml:space="preserve">events </w:t>
      </w:r>
      <w:r w:rsidR="00AA4C70" w:rsidRPr="000A6EEF">
        <w:rPr>
          <w:lang w:val="en-US"/>
        </w:rPr>
        <w:t xml:space="preserve">such as </w:t>
      </w:r>
      <w:r w:rsidR="001A386C" w:rsidRPr="000A6EEF">
        <w:rPr>
          <w:lang w:val="en-US"/>
        </w:rPr>
        <w:t>PP-18</w:t>
      </w:r>
      <w:bookmarkStart w:id="84" w:name="_Toc329011639"/>
      <w:bookmarkEnd w:id="82"/>
      <w:r w:rsidR="00A21F45">
        <w:rPr>
          <w:lang w:val="en-US"/>
        </w:rPr>
        <w:t xml:space="preserve"> or GSR 19.</w:t>
      </w:r>
    </w:p>
    <w:p w:rsidR="000638E2" w:rsidRDefault="000638E2">
      <w:pPr>
        <w:tabs>
          <w:tab w:val="clear" w:pos="567"/>
          <w:tab w:val="clear" w:pos="1134"/>
          <w:tab w:val="clear" w:pos="1701"/>
          <w:tab w:val="clear" w:pos="2268"/>
          <w:tab w:val="clear" w:pos="2835"/>
        </w:tabs>
        <w:overflowPunct/>
        <w:autoSpaceDE/>
        <w:autoSpaceDN/>
        <w:adjustRightInd/>
        <w:spacing w:before="0"/>
        <w:textAlignment w:val="auto"/>
        <w:rPr>
          <w:b/>
          <w:bCs/>
          <w:lang w:val="en-US"/>
        </w:rPr>
      </w:pPr>
      <w:r>
        <w:rPr>
          <w:b/>
          <w:bCs/>
          <w:lang w:val="en-US"/>
        </w:rPr>
        <w:br w:type="page"/>
      </w:r>
    </w:p>
    <w:p w:rsidR="0022373A" w:rsidRDefault="0022373A" w:rsidP="000A6EEF">
      <w:pPr>
        <w:tabs>
          <w:tab w:val="clear" w:pos="567"/>
          <w:tab w:val="clear" w:pos="1701"/>
          <w:tab w:val="clear" w:pos="2268"/>
          <w:tab w:val="clear" w:pos="2835"/>
        </w:tabs>
        <w:overflowPunct/>
        <w:autoSpaceDE/>
        <w:autoSpaceDN/>
        <w:adjustRightInd/>
        <w:spacing w:before="240" w:after="240"/>
        <w:textAlignment w:val="auto"/>
        <w:rPr>
          <w:b/>
          <w:bCs/>
          <w:lang w:val="en-US"/>
        </w:rPr>
      </w:pPr>
      <w:r w:rsidRPr="000A6EEF">
        <w:rPr>
          <w:b/>
          <w:bCs/>
          <w:lang w:val="en-US"/>
        </w:rPr>
        <w:t>Note 1</w:t>
      </w:r>
      <w:r w:rsidR="000A6EEF" w:rsidRPr="000A6EEF">
        <w:rPr>
          <w:b/>
          <w:bCs/>
          <w:lang w:val="en-US"/>
        </w:rPr>
        <w:t>5</w:t>
      </w:r>
      <w:r w:rsidRPr="000A6EEF">
        <w:rPr>
          <w:b/>
          <w:bCs/>
          <w:lang w:val="en-US"/>
        </w:rPr>
        <w:tab/>
        <w:t>Deferred revenue</w:t>
      </w:r>
      <w:bookmarkEnd w:id="83"/>
      <w:bookmarkEnd w:id="84"/>
    </w:p>
    <w:tbl>
      <w:tblPr>
        <w:tblW w:w="5000" w:type="pct"/>
        <w:tblLook w:val="04A0" w:firstRow="1" w:lastRow="0" w:firstColumn="1" w:lastColumn="0" w:noHBand="0" w:noVBand="1"/>
      </w:tblPr>
      <w:tblGrid>
        <w:gridCol w:w="6083"/>
        <w:gridCol w:w="1844"/>
        <w:gridCol w:w="1844"/>
      </w:tblGrid>
      <w:tr w:rsidR="00A72B2E" w:rsidRPr="00A72B2E" w:rsidTr="00A72B2E">
        <w:trPr>
          <w:trHeight w:val="499"/>
        </w:trPr>
        <w:tc>
          <w:tcPr>
            <w:tcW w:w="3167" w:type="pct"/>
            <w:tcBorders>
              <w:top w:val="single" w:sz="4" w:space="0" w:color="auto"/>
              <w:left w:val="single" w:sz="4" w:space="0" w:color="auto"/>
              <w:bottom w:val="single" w:sz="4" w:space="0" w:color="auto"/>
              <w:right w:val="nil"/>
            </w:tcBorders>
            <w:shd w:val="clear" w:color="auto" w:fill="auto"/>
            <w:noWrap/>
            <w:vAlign w:val="center"/>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A72B2E">
              <w:rPr>
                <w:rFonts w:cs="Arial"/>
                <w:b/>
                <w:bCs/>
                <w:color w:val="000000"/>
                <w:sz w:val="22"/>
                <w:szCs w:val="22"/>
                <w:lang w:val="en-US" w:eastAsia="zh-CN"/>
              </w:rPr>
              <w:t>In thousands of CHF</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A72B2E">
              <w:rPr>
                <w:rFonts w:cs="Arial"/>
                <w:b/>
                <w:bCs/>
                <w:color w:val="000000"/>
                <w:sz w:val="22"/>
                <w:szCs w:val="22"/>
                <w:lang w:val="en-US" w:eastAsia="zh-CN"/>
              </w:rPr>
              <w:t>31.12.2018</w:t>
            </w:r>
          </w:p>
        </w:tc>
        <w:tc>
          <w:tcPr>
            <w:tcW w:w="917" w:type="pct"/>
            <w:tcBorders>
              <w:top w:val="single" w:sz="4" w:space="0" w:color="auto"/>
              <w:left w:val="nil"/>
              <w:bottom w:val="single" w:sz="4" w:space="0" w:color="auto"/>
              <w:right w:val="single" w:sz="4" w:space="0" w:color="auto"/>
            </w:tcBorders>
            <w:shd w:val="clear" w:color="auto" w:fill="auto"/>
            <w:noWrap/>
            <w:vAlign w:val="center"/>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A72B2E">
              <w:rPr>
                <w:rFonts w:cs="Arial"/>
                <w:b/>
                <w:bCs/>
                <w:color w:val="000000"/>
                <w:sz w:val="22"/>
                <w:szCs w:val="22"/>
                <w:lang w:val="en-US" w:eastAsia="zh-CN"/>
              </w:rPr>
              <w:t>31.12.2017</w:t>
            </w:r>
          </w:p>
        </w:tc>
      </w:tr>
      <w:tr w:rsidR="00A72B2E" w:rsidRPr="00A72B2E" w:rsidTr="00A72B2E">
        <w:trPr>
          <w:trHeight w:val="300"/>
        </w:trPr>
        <w:tc>
          <w:tcPr>
            <w:tcW w:w="3167" w:type="pct"/>
            <w:tcBorders>
              <w:top w:val="nil"/>
              <w:left w:val="single" w:sz="4" w:space="0" w:color="auto"/>
              <w:bottom w:val="nil"/>
              <w:right w:val="nil"/>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72B2E">
              <w:rPr>
                <w:rFonts w:cs="Arial"/>
                <w:color w:val="000000"/>
                <w:sz w:val="22"/>
                <w:szCs w:val="22"/>
                <w:lang w:val="en-US" w:eastAsia="zh-CN"/>
              </w:rPr>
              <w:t> </w:t>
            </w:r>
          </w:p>
        </w:tc>
        <w:tc>
          <w:tcPr>
            <w:tcW w:w="917" w:type="pct"/>
            <w:tcBorders>
              <w:top w:val="nil"/>
              <w:left w:val="single" w:sz="4" w:space="0" w:color="auto"/>
              <w:bottom w:val="nil"/>
              <w:right w:val="single" w:sz="4" w:space="0" w:color="auto"/>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w:t>
            </w:r>
          </w:p>
        </w:tc>
        <w:tc>
          <w:tcPr>
            <w:tcW w:w="917" w:type="pct"/>
            <w:tcBorders>
              <w:top w:val="nil"/>
              <w:left w:val="nil"/>
              <w:bottom w:val="nil"/>
              <w:right w:val="single" w:sz="4" w:space="0" w:color="auto"/>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w:t>
            </w:r>
          </w:p>
        </w:tc>
      </w:tr>
      <w:tr w:rsidR="00A72B2E" w:rsidRPr="00A72B2E" w:rsidTr="00A72B2E">
        <w:trPr>
          <w:trHeight w:val="300"/>
        </w:trPr>
        <w:tc>
          <w:tcPr>
            <w:tcW w:w="3167" w:type="pct"/>
            <w:tcBorders>
              <w:top w:val="nil"/>
              <w:left w:val="single" w:sz="4" w:space="0" w:color="auto"/>
              <w:bottom w:val="nil"/>
              <w:right w:val="nil"/>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72B2E">
              <w:rPr>
                <w:rFonts w:cs="Arial"/>
                <w:color w:val="000000"/>
                <w:sz w:val="22"/>
                <w:szCs w:val="22"/>
                <w:lang w:val="en-US" w:eastAsia="zh-CN"/>
              </w:rPr>
              <w:t xml:space="preserve">Contributions - Member States </w:t>
            </w:r>
          </w:p>
        </w:tc>
        <w:tc>
          <w:tcPr>
            <w:tcW w:w="917" w:type="pct"/>
            <w:tcBorders>
              <w:top w:val="nil"/>
              <w:left w:val="single" w:sz="4" w:space="0" w:color="auto"/>
              <w:bottom w:val="nil"/>
              <w:right w:val="single" w:sz="4" w:space="0" w:color="auto"/>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109,551 </w:t>
            </w:r>
          </w:p>
        </w:tc>
        <w:tc>
          <w:tcPr>
            <w:tcW w:w="917" w:type="pct"/>
            <w:tcBorders>
              <w:top w:val="nil"/>
              <w:left w:val="nil"/>
              <w:bottom w:val="nil"/>
              <w:right w:val="single" w:sz="4" w:space="0" w:color="auto"/>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108,518 </w:t>
            </w:r>
          </w:p>
        </w:tc>
      </w:tr>
      <w:tr w:rsidR="00A72B2E" w:rsidRPr="00A72B2E" w:rsidTr="00A72B2E">
        <w:trPr>
          <w:trHeight w:val="300"/>
        </w:trPr>
        <w:tc>
          <w:tcPr>
            <w:tcW w:w="3167" w:type="pct"/>
            <w:tcBorders>
              <w:top w:val="nil"/>
              <w:left w:val="single" w:sz="4" w:space="0" w:color="auto"/>
              <w:bottom w:val="nil"/>
              <w:right w:val="nil"/>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72B2E">
              <w:rPr>
                <w:rFonts w:cs="Arial"/>
                <w:color w:val="000000"/>
                <w:sz w:val="22"/>
                <w:szCs w:val="22"/>
                <w:lang w:val="en-US" w:eastAsia="zh-CN"/>
              </w:rPr>
              <w:t xml:space="preserve">Contributions - Sector Members </w:t>
            </w:r>
          </w:p>
        </w:tc>
        <w:tc>
          <w:tcPr>
            <w:tcW w:w="917" w:type="pct"/>
            <w:tcBorders>
              <w:top w:val="nil"/>
              <w:left w:val="single" w:sz="4" w:space="0" w:color="auto"/>
              <w:bottom w:val="nil"/>
              <w:right w:val="single" w:sz="4" w:space="0" w:color="auto"/>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14,049 </w:t>
            </w:r>
          </w:p>
        </w:tc>
        <w:tc>
          <w:tcPr>
            <w:tcW w:w="917" w:type="pct"/>
            <w:tcBorders>
              <w:top w:val="nil"/>
              <w:left w:val="nil"/>
              <w:bottom w:val="nil"/>
              <w:right w:val="single" w:sz="4" w:space="0" w:color="auto"/>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14,085 </w:t>
            </w:r>
          </w:p>
        </w:tc>
      </w:tr>
      <w:tr w:rsidR="00A72B2E" w:rsidRPr="00A72B2E" w:rsidTr="00A72B2E">
        <w:trPr>
          <w:trHeight w:val="300"/>
        </w:trPr>
        <w:tc>
          <w:tcPr>
            <w:tcW w:w="3167" w:type="pct"/>
            <w:tcBorders>
              <w:top w:val="nil"/>
              <w:left w:val="single" w:sz="4" w:space="0" w:color="auto"/>
              <w:bottom w:val="nil"/>
              <w:right w:val="nil"/>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72B2E">
              <w:rPr>
                <w:rFonts w:cs="Arial"/>
                <w:color w:val="000000"/>
                <w:sz w:val="22"/>
                <w:szCs w:val="22"/>
                <w:lang w:val="en-US" w:eastAsia="zh-CN"/>
              </w:rPr>
              <w:t>Contributions - Associates</w:t>
            </w:r>
          </w:p>
        </w:tc>
        <w:tc>
          <w:tcPr>
            <w:tcW w:w="917" w:type="pct"/>
            <w:tcBorders>
              <w:top w:val="nil"/>
              <w:left w:val="single" w:sz="4" w:space="0" w:color="auto"/>
              <w:bottom w:val="nil"/>
              <w:right w:val="single" w:sz="4" w:space="0" w:color="auto"/>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1,925 </w:t>
            </w:r>
          </w:p>
        </w:tc>
        <w:tc>
          <w:tcPr>
            <w:tcW w:w="917" w:type="pct"/>
            <w:tcBorders>
              <w:top w:val="nil"/>
              <w:left w:val="nil"/>
              <w:bottom w:val="nil"/>
              <w:right w:val="single" w:sz="4" w:space="0" w:color="auto"/>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1,660 </w:t>
            </w:r>
          </w:p>
        </w:tc>
      </w:tr>
      <w:tr w:rsidR="00A72B2E" w:rsidRPr="00A72B2E" w:rsidTr="00A72B2E">
        <w:trPr>
          <w:trHeight w:val="300"/>
        </w:trPr>
        <w:tc>
          <w:tcPr>
            <w:tcW w:w="3167" w:type="pct"/>
            <w:tcBorders>
              <w:top w:val="nil"/>
              <w:left w:val="single" w:sz="4" w:space="0" w:color="auto"/>
              <w:bottom w:val="nil"/>
              <w:right w:val="nil"/>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72B2E">
              <w:rPr>
                <w:rFonts w:cs="Arial"/>
                <w:color w:val="000000"/>
                <w:sz w:val="22"/>
                <w:szCs w:val="22"/>
                <w:lang w:val="en-US" w:eastAsia="zh-CN"/>
              </w:rPr>
              <w:t>Contributions - Academia</w:t>
            </w:r>
          </w:p>
        </w:tc>
        <w:tc>
          <w:tcPr>
            <w:tcW w:w="917" w:type="pct"/>
            <w:tcBorders>
              <w:top w:val="nil"/>
              <w:left w:val="single" w:sz="4" w:space="0" w:color="auto"/>
              <w:bottom w:val="nil"/>
              <w:right w:val="single" w:sz="4" w:space="0" w:color="auto"/>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376 </w:t>
            </w:r>
          </w:p>
        </w:tc>
        <w:tc>
          <w:tcPr>
            <w:tcW w:w="917" w:type="pct"/>
            <w:tcBorders>
              <w:top w:val="nil"/>
              <w:left w:val="nil"/>
              <w:bottom w:val="nil"/>
              <w:right w:val="single" w:sz="4" w:space="0" w:color="auto"/>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328 </w:t>
            </w:r>
          </w:p>
        </w:tc>
      </w:tr>
      <w:tr w:rsidR="00A72B2E" w:rsidRPr="00A72B2E" w:rsidTr="00A72B2E">
        <w:trPr>
          <w:trHeight w:val="300"/>
        </w:trPr>
        <w:tc>
          <w:tcPr>
            <w:tcW w:w="3167" w:type="pct"/>
            <w:tcBorders>
              <w:top w:val="nil"/>
              <w:left w:val="single" w:sz="4" w:space="0" w:color="auto"/>
              <w:bottom w:val="nil"/>
              <w:right w:val="nil"/>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72B2E">
              <w:rPr>
                <w:rFonts w:cs="Arial"/>
                <w:color w:val="000000"/>
                <w:sz w:val="22"/>
                <w:szCs w:val="22"/>
                <w:lang w:val="en-US" w:eastAsia="zh-CN"/>
              </w:rPr>
              <w:t>Publications and miscellaneous</w:t>
            </w:r>
          </w:p>
        </w:tc>
        <w:tc>
          <w:tcPr>
            <w:tcW w:w="917" w:type="pct"/>
            <w:tcBorders>
              <w:top w:val="nil"/>
              <w:left w:val="single" w:sz="4" w:space="0" w:color="auto"/>
              <w:bottom w:val="nil"/>
              <w:right w:val="single" w:sz="4" w:space="0" w:color="auto"/>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   </w:t>
            </w:r>
          </w:p>
        </w:tc>
        <w:tc>
          <w:tcPr>
            <w:tcW w:w="917" w:type="pct"/>
            <w:tcBorders>
              <w:top w:val="nil"/>
              <w:left w:val="nil"/>
              <w:bottom w:val="nil"/>
              <w:right w:val="single" w:sz="4" w:space="0" w:color="auto"/>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   </w:t>
            </w:r>
          </w:p>
        </w:tc>
      </w:tr>
      <w:tr w:rsidR="00A72B2E" w:rsidRPr="00A72B2E" w:rsidTr="00A72B2E">
        <w:trPr>
          <w:trHeight w:val="300"/>
        </w:trPr>
        <w:tc>
          <w:tcPr>
            <w:tcW w:w="3167" w:type="pct"/>
            <w:tcBorders>
              <w:top w:val="nil"/>
              <w:left w:val="single" w:sz="4" w:space="0" w:color="auto"/>
              <w:bottom w:val="nil"/>
              <w:right w:val="nil"/>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72B2E">
              <w:rPr>
                <w:rFonts w:cs="Arial"/>
                <w:color w:val="000000"/>
                <w:sz w:val="22"/>
                <w:szCs w:val="22"/>
                <w:lang w:val="en-US" w:eastAsia="zh-CN"/>
              </w:rPr>
              <w:t>SNF</w:t>
            </w:r>
          </w:p>
        </w:tc>
        <w:tc>
          <w:tcPr>
            <w:tcW w:w="917" w:type="pct"/>
            <w:tcBorders>
              <w:top w:val="nil"/>
              <w:left w:val="single" w:sz="4" w:space="0" w:color="auto"/>
              <w:bottom w:val="nil"/>
              <w:right w:val="single" w:sz="4" w:space="0" w:color="auto"/>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5,614 </w:t>
            </w:r>
          </w:p>
        </w:tc>
        <w:tc>
          <w:tcPr>
            <w:tcW w:w="917" w:type="pct"/>
            <w:tcBorders>
              <w:top w:val="nil"/>
              <w:left w:val="nil"/>
              <w:bottom w:val="nil"/>
              <w:right w:val="single" w:sz="4" w:space="0" w:color="auto"/>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8,498 </w:t>
            </w:r>
          </w:p>
        </w:tc>
      </w:tr>
      <w:tr w:rsidR="00A72B2E" w:rsidRPr="00A72B2E" w:rsidTr="00A72B2E">
        <w:trPr>
          <w:trHeight w:val="300"/>
        </w:trPr>
        <w:tc>
          <w:tcPr>
            <w:tcW w:w="3167" w:type="pct"/>
            <w:tcBorders>
              <w:top w:val="nil"/>
              <w:left w:val="single" w:sz="4" w:space="0" w:color="auto"/>
              <w:bottom w:val="nil"/>
              <w:right w:val="nil"/>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72B2E">
              <w:rPr>
                <w:rFonts w:cs="Arial"/>
                <w:color w:val="000000"/>
                <w:sz w:val="22"/>
                <w:szCs w:val="22"/>
                <w:lang w:val="en-US" w:eastAsia="zh-CN"/>
              </w:rPr>
              <w:t>Contributions - Extra-budgetary</w:t>
            </w:r>
          </w:p>
        </w:tc>
        <w:tc>
          <w:tcPr>
            <w:tcW w:w="917" w:type="pct"/>
            <w:tcBorders>
              <w:top w:val="nil"/>
              <w:left w:val="single" w:sz="4" w:space="0" w:color="auto"/>
              <w:bottom w:val="nil"/>
              <w:right w:val="single" w:sz="4" w:space="0" w:color="auto"/>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4,759 </w:t>
            </w:r>
          </w:p>
        </w:tc>
        <w:tc>
          <w:tcPr>
            <w:tcW w:w="917" w:type="pct"/>
            <w:tcBorders>
              <w:top w:val="nil"/>
              <w:left w:val="nil"/>
              <w:bottom w:val="nil"/>
              <w:right w:val="single" w:sz="4" w:space="0" w:color="auto"/>
            </w:tcBorders>
            <w:shd w:val="clear" w:color="auto" w:fill="auto"/>
            <w:noWrap/>
            <w:vAlign w:val="bottom"/>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A72B2E">
              <w:rPr>
                <w:rFonts w:cs="Arial"/>
                <w:color w:val="000000"/>
                <w:sz w:val="22"/>
                <w:szCs w:val="22"/>
                <w:lang w:val="en-US" w:eastAsia="zh-CN"/>
              </w:rPr>
              <w:t xml:space="preserve">                      1,185 </w:t>
            </w:r>
          </w:p>
        </w:tc>
      </w:tr>
      <w:tr w:rsidR="00A72B2E" w:rsidRPr="00A72B2E" w:rsidTr="00A72B2E">
        <w:trPr>
          <w:trHeight w:val="499"/>
        </w:trPr>
        <w:tc>
          <w:tcPr>
            <w:tcW w:w="3167" w:type="pct"/>
            <w:tcBorders>
              <w:top w:val="single" w:sz="4" w:space="0" w:color="auto"/>
              <w:left w:val="single" w:sz="4" w:space="0" w:color="auto"/>
              <w:bottom w:val="single" w:sz="4" w:space="0" w:color="auto"/>
              <w:right w:val="nil"/>
            </w:tcBorders>
            <w:shd w:val="clear" w:color="auto" w:fill="auto"/>
            <w:noWrap/>
            <w:vAlign w:val="center"/>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A72B2E">
              <w:rPr>
                <w:rFonts w:cs="Arial"/>
                <w:b/>
                <w:bCs/>
                <w:color w:val="000000"/>
                <w:sz w:val="22"/>
                <w:szCs w:val="22"/>
                <w:lang w:val="en-US" w:eastAsia="zh-CN"/>
              </w:rPr>
              <w:t>Deferred revenue</w:t>
            </w:r>
          </w:p>
        </w:tc>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2"/>
                <w:szCs w:val="22"/>
                <w:lang w:val="en-US" w:eastAsia="zh-CN"/>
              </w:rPr>
            </w:pPr>
            <w:r w:rsidRPr="00A72B2E">
              <w:rPr>
                <w:rFonts w:cs="Arial"/>
                <w:b/>
                <w:bCs/>
                <w:sz w:val="22"/>
                <w:szCs w:val="22"/>
                <w:lang w:val="en-US" w:eastAsia="zh-CN"/>
              </w:rPr>
              <w:t xml:space="preserve">                  136,273 </w:t>
            </w:r>
          </w:p>
        </w:tc>
        <w:tc>
          <w:tcPr>
            <w:tcW w:w="917" w:type="pct"/>
            <w:tcBorders>
              <w:top w:val="single" w:sz="4" w:space="0" w:color="auto"/>
              <w:left w:val="nil"/>
              <w:bottom w:val="single" w:sz="4" w:space="0" w:color="auto"/>
              <w:right w:val="single" w:sz="4" w:space="0" w:color="auto"/>
            </w:tcBorders>
            <w:shd w:val="clear" w:color="auto" w:fill="auto"/>
            <w:noWrap/>
            <w:vAlign w:val="center"/>
            <w:hideMark/>
          </w:tcPr>
          <w:p w:rsidR="00A72B2E" w:rsidRPr="00A72B2E" w:rsidRDefault="00A72B2E" w:rsidP="00A72B2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A72B2E">
              <w:rPr>
                <w:rFonts w:cs="Arial"/>
                <w:b/>
                <w:bCs/>
                <w:color w:val="000000"/>
                <w:sz w:val="22"/>
                <w:szCs w:val="22"/>
                <w:lang w:val="en-US" w:eastAsia="zh-CN"/>
              </w:rPr>
              <w:t xml:space="preserve">                  134,275 </w:t>
            </w:r>
          </w:p>
        </w:tc>
      </w:tr>
    </w:tbl>
    <w:p w:rsidR="00A4540F" w:rsidRDefault="0088592C" w:rsidP="00A21F45">
      <w:pPr>
        <w:spacing w:before="240"/>
        <w:jc w:val="both"/>
        <w:rPr>
          <w:lang w:val="en-US"/>
        </w:rPr>
      </w:pPr>
      <w:r>
        <w:rPr>
          <w:lang w:val="en-US"/>
        </w:rPr>
        <w:t>In 201</w:t>
      </w:r>
      <w:r w:rsidR="00560B06">
        <w:rPr>
          <w:lang w:val="en-US"/>
        </w:rPr>
        <w:t>8</w:t>
      </w:r>
      <w:r w:rsidR="00D05A7B">
        <w:rPr>
          <w:lang w:val="en-US"/>
        </w:rPr>
        <w:t>,</w:t>
      </w:r>
      <w:r>
        <w:rPr>
          <w:lang w:val="en-US"/>
        </w:rPr>
        <w:t xml:space="preserve"> the deferred revenue for contributions represent</w:t>
      </w:r>
      <w:r w:rsidR="009E51A6">
        <w:rPr>
          <w:lang w:val="en-US"/>
        </w:rPr>
        <w:t>ed</w:t>
      </w:r>
      <w:r>
        <w:rPr>
          <w:lang w:val="en-US"/>
        </w:rPr>
        <w:t xml:space="preserve"> the revenue associated with the year</w:t>
      </w:r>
      <w:r w:rsidR="00E246D2">
        <w:rPr>
          <w:lang w:val="en-US"/>
        </w:rPr>
        <w:t> </w:t>
      </w:r>
      <w:r>
        <w:rPr>
          <w:lang w:val="en-US"/>
        </w:rPr>
        <w:t>201</w:t>
      </w:r>
      <w:r w:rsidR="001A386C">
        <w:rPr>
          <w:lang w:val="en-US"/>
        </w:rPr>
        <w:t>8</w:t>
      </w:r>
      <w:r>
        <w:rPr>
          <w:lang w:val="en-US"/>
        </w:rPr>
        <w:t xml:space="preserve">. </w:t>
      </w:r>
      <w:r w:rsidR="0022373A" w:rsidRPr="00AA4C70">
        <w:rPr>
          <w:lang w:val="en-US"/>
        </w:rPr>
        <w:t>The</w:t>
      </w:r>
      <w:r w:rsidR="006C7F68" w:rsidRPr="00AA4C70">
        <w:rPr>
          <w:lang w:val="en-US"/>
        </w:rPr>
        <w:t xml:space="preserve"> deferred revenue for satellite </w:t>
      </w:r>
      <w:r w:rsidR="0022373A" w:rsidRPr="00AA4C70">
        <w:rPr>
          <w:lang w:val="en-US"/>
        </w:rPr>
        <w:t xml:space="preserve">network filings relates to </w:t>
      </w:r>
      <w:r w:rsidR="00B354AF" w:rsidRPr="00AA4C70">
        <w:rPr>
          <w:lang w:val="en-US"/>
        </w:rPr>
        <w:t>requests prepared a</w:t>
      </w:r>
      <w:r w:rsidR="00C81B79" w:rsidRPr="00AA4C70">
        <w:rPr>
          <w:lang w:val="en-US"/>
        </w:rPr>
        <w:t>t</w:t>
      </w:r>
      <w:r w:rsidR="00B354AF" w:rsidRPr="00AA4C70">
        <w:rPr>
          <w:lang w:val="en-US"/>
        </w:rPr>
        <w:t xml:space="preserve"> the end of </w:t>
      </w:r>
      <w:r w:rsidR="00111BDD" w:rsidRPr="00AA4C70">
        <w:rPr>
          <w:lang w:val="en-US"/>
        </w:rPr>
        <w:t>201</w:t>
      </w:r>
      <w:r w:rsidR="00560B06">
        <w:rPr>
          <w:lang w:val="en-US"/>
        </w:rPr>
        <w:t>8</w:t>
      </w:r>
      <w:r w:rsidR="00B354AF" w:rsidRPr="00AA4C70">
        <w:rPr>
          <w:lang w:val="en-US"/>
        </w:rPr>
        <w:t xml:space="preserve"> with publication in 201</w:t>
      </w:r>
      <w:r w:rsidR="00560B06">
        <w:rPr>
          <w:lang w:val="en-US"/>
        </w:rPr>
        <w:t>9</w:t>
      </w:r>
      <w:r w:rsidR="00B354AF" w:rsidRPr="00AA4C70">
        <w:rPr>
          <w:lang w:val="en-US"/>
        </w:rPr>
        <w:t>.</w:t>
      </w:r>
      <w:bookmarkStart w:id="85" w:name="_Toc305764089"/>
      <w:bookmarkStart w:id="86" w:name="_Toc329011640"/>
      <w:r w:rsidR="00A21F45">
        <w:rPr>
          <w:lang w:val="en-US"/>
        </w:rPr>
        <w:t xml:space="preserve"> </w:t>
      </w:r>
    </w:p>
    <w:p w:rsidR="0022373A" w:rsidRDefault="0022373A" w:rsidP="00F43D87">
      <w:pPr>
        <w:tabs>
          <w:tab w:val="clear" w:pos="567"/>
          <w:tab w:val="clear" w:pos="1701"/>
          <w:tab w:val="clear" w:pos="2268"/>
          <w:tab w:val="clear" w:pos="2835"/>
        </w:tabs>
        <w:overflowPunct/>
        <w:autoSpaceDE/>
        <w:autoSpaceDN/>
        <w:adjustRightInd/>
        <w:spacing w:before="240" w:after="120"/>
        <w:textAlignment w:val="auto"/>
        <w:rPr>
          <w:b/>
          <w:bCs/>
          <w:lang w:val="en-US"/>
        </w:rPr>
      </w:pPr>
      <w:r w:rsidRPr="00FB42E8">
        <w:rPr>
          <w:b/>
          <w:bCs/>
          <w:lang w:val="en-US"/>
        </w:rPr>
        <w:t>Note 1</w:t>
      </w:r>
      <w:r w:rsidR="00A81A5E">
        <w:rPr>
          <w:b/>
          <w:bCs/>
          <w:lang w:val="en-US"/>
        </w:rPr>
        <w:t>6</w:t>
      </w:r>
      <w:r w:rsidRPr="001C2A98">
        <w:rPr>
          <w:lang w:val="en-US"/>
        </w:rPr>
        <w:tab/>
      </w:r>
      <w:r w:rsidRPr="00FB42E8">
        <w:rPr>
          <w:b/>
          <w:bCs/>
          <w:lang w:val="en-US"/>
        </w:rPr>
        <w:t>Borrowings and other financial debts</w:t>
      </w:r>
      <w:bookmarkEnd w:id="85"/>
      <w:bookmarkEnd w:id="86"/>
    </w:p>
    <w:tbl>
      <w:tblPr>
        <w:tblW w:w="5000" w:type="pct"/>
        <w:tblLook w:val="04A0" w:firstRow="1" w:lastRow="0" w:firstColumn="1" w:lastColumn="0" w:noHBand="0" w:noVBand="1"/>
      </w:tblPr>
      <w:tblGrid>
        <w:gridCol w:w="5415"/>
        <w:gridCol w:w="1264"/>
        <w:gridCol w:w="1627"/>
        <w:gridCol w:w="1465"/>
      </w:tblGrid>
      <w:tr w:rsidR="00295CF1" w:rsidRPr="00295CF1" w:rsidTr="00295CF1">
        <w:trPr>
          <w:trHeight w:val="1035"/>
        </w:trPr>
        <w:tc>
          <w:tcPr>
            <w:tcW w:w="27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295CF1">
              <w:rPr>
                <w:rFonts w:cs="Arial"/>
                <w:b/>
                <w:bCs/>
                <w:color w:val="000000"/>
                <w:sz w:val="22"/>
                <w:szCs w:val="22"/>
                <w:lang w:val="en-US" w:eastAsia="zh-CN"/>
              </w:rPr>
              <w:t>In thousands of CHF</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295CF1">
              <w:rPr>
                <w:rFonts w:cs="Arial"/>
                <w:b/>
                <w:bCs/>
                <w:color w:val="000000"/>
                <w:sz w:val="22"/>
                <w:szCs w:val="22"/>
                <w:lang w:val="en-US" w:eastAsia="zh-CN"/>
              </w:rPr>
              <w:t>Due date</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295CF1">
              <w:rPr>
                <w:rFonts w:cs="Arial"/>
                <w:b/>
                <w:bCs/>
                <w:color w:val="000000"/>
                <w:sz w:val="22"/>
                <w:szCs w:val="22"/>
                <w:lang w:val="en-US" w:eastAsia="zh-CN"/>
              </w:rPr>
              <w:t>31.12.2018</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295CF1">
              <w:rPr>
                <w:rFonts w:cs="Arial"/>
                <w:b/>
                <w:bCs/>
                <w:color w:val="000000"/>
                <w:sz w:val="22"/>
                <w:szCs w:val="22"/>
                <w:lang w:val="en-US" w:eastAsia="zh-CN"/>
              </w:rPr>
              <w:t>31.12.2017</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295CF1">
              <w:rPr>
                <w:rFonts w:cs="Arial"/>
                <w:color w:val="000000"/>
                <w:sz w:val="22"/>
                <w:szCs w:val="22"/>
                <w:lang w:val="en-US" w:eastAsia="zh-CN"/>
              </w:rPr>
              <w:t>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295CF1">
              <w:rPr>
                <w:rFonts w:cs="Arial"/>
                <w:color w:val="000000"/>
                <w:sz w:val="22"/>
                <w:szCs w:val="22"/>
                <w:lang w:val="en-US" w:eastAsia="zh-CN"/>
              </w:rPr>
              <w:t>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295CF1">
              <w:rPr>
                <w:rFonts w:cs="Arial"/>
                <w:color w:val="000000"/>
                <w:sz w:val="22"/>
                <w:szCs w:val="22"/>
                <w:lang w:val="en-US" w:eastAsia="zh-CN"/>
              </w:rPr>
              <w:t> </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u w:val="single"/>
                <w:lang w:val="en-US" w:eastAsia="zh-CN"/>
              </w:rPr>
            </w:pPr>
            <w:r w:rsidRPr="00295CF1">
              <w:rPr>
                <w:rFonts w:cs="Arial"/>
                <w:color w:val="000000"/>
                <w:sz w:val="22"/>
                <w:szCs w:val="22"/>
                <w:u w:val="single"/>
                <w:lang w:val="en-US" w:eastAsia="zh-CN"/>
              </w:rPr>
              <w:t>Amounts initially borrowed from FIPOI</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295CF1">
              <w:rPr>
                <w:rFonts w:cs="Arial"/>
                <w:color w:val="000000"/>
                <w:sz w:val="22"/>
                <w:szCs w:val="22"/>
                <w:lang w:val="en-US" w:eastAsia="zh-CN"/>
              </w:rPr>
              <w:t>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295CF1">
              <w:rPr>
                <w:rFonts w:cs="Arial"/>
                <w:color w:val="000000"/>
                <w:sz w:val="22"/>
                <w:szCs w:val="22"/>
                <w:lang w:val="en-US" w:eastAsia="zh-CN"/>
              </w:rPr>
              <w:t>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295CF1">
              <w:rPr>
                <w:rFonts w:cs="Arial"/>
                <w:color w:val="000000"/>
                <w:sz w:val="22"/>
                <w:szCs w:val="22"/>
                <w:lang w:val="en-US" w:eastAsia="zh-CN"/>
              </w:rPr>
              <w:t> </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295CF1">
              <w:rPr>
                <w:rFonts w:cs="Arial"/>
                <w:b/>
                <w:bCs/>
                <w:color w:val="000000"/>
                <w:sz w:val="22"/>
                <w:szCs w:val="22"/>
                <w:lang w:val="en-US" w:eastAsia="zh-CN"/>
              </w:rPr>
              <w:t> </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295CF1">
              <w:rPr>
                <w:rFonts w:cs="Arial"/>
                <w:color w:val="000000"/>
                <w:sz w:val="22"/>
                <w:szCs w:val="22"/>
                <w:lang w:val="en-US" w:eastAsia="zh-CN"/>
              </w:rPr>
              <w:t>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295CF1">
              <w:rPr>
                <w:rFonts w:cs="Arial"/>
                <w:color w:val="000000"/>
                <w:sz w:val="22"/>
                <w:szCs w:val="22"/>
                <w:lang w:val="en-US" w:eastAsia="zh-CN"/>
              </w:rPr>
              <w:t>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295CF1">
              <w:rPr>
                <w:rFonts w:cs="Arial"/>
                <w:color w:val="000000"/>
                <w:sz w:val="22"/>
                <w:szCs w:val="22"/>
                <w:lang w:val="en-US" w:eastAsia="zh-CN"/>
              </w:rPr>
              <w:t> </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xml:space="preserve">CHF 2'634'780 - </w:t>
            </w:r>
            <w:proofErr w:type="spellStart"/>
            <w:r w:rsidRPr="00295CF1">
              <w:rPr>
                <w:rFonts w:cs="Arial"/>
                <w:color w:val="000000"/>
                <w:sz w:val="22"/>
                <w:szCs w:val="22"/>
                <w:lang w:val="en-US" w:eastAsia="zh-CN"/>
              </w:rPr>
              <w:t>dès</w:t>
            </w:r>
            <w:proofErr w:type="spellEnd"/>
            <w:r w:rsidRPr="00295CF1">
              <w:rPr>
                <w:rFonts w:cs="Arial"/>
                <w:color w:val="000000"/>
                <w:sz w:val="22"/>
                <w:szCs w:val="22"/>
                <w:lang w:val="en-US" w:eastAsia="zh-CN"/>
              </w:rPr>
              <w:t xml:space="preserve"> 1990 </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2020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203.80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306 </w:t>
            </w:r>
          </w:p>
        </w:tc>
      </w:tr>
      <w:tr w:rsidR="00295CF1" w:rsidRPr="00295CF1" w:rsidTr="00295CF1">
        <w:trPr>
          <w:trHeight w:val="153"/>
        </w:trPr>
        <w:tc>
          <w:tcPr>
            <w:tcW w:w="2798" w:type="pct"/>
            <w:tcBorders>
              <w:top w:val="nil"/>
              <w:left w:val="single" w:sz="4" w:space="0" w:color="auto"/>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xml:space="preserve">CHF 19'627'590 - </w:t>
            </w:r>
            <w:proofErr w:type="spellStart"/>
            <w:r w:rsidRPr="00295CF1">
              <w:rPr>
                <w:rFonts w:cs="Arial"/>
                <w:color w:val="000000"/>
                <w:sz w:val="22"/>
                <w:szCs w:val="22"/>
                <w:lang w:val="en-US" w:eastAsia="zh-CN"/>
              </w:rPr>
              <w:t>dès</w:t>
            </w:r>
            <w:proofErr w:type="spellEnd"/>
            <w:r w:rsidRPr="00295CF1">
              <w:rPr>
                <w:rFonts w:cs="Arial"/>
                <w:color w:val="000000"/>
                <w:sz w:val="22"/>
                <w:szCs w:val="22"/>
                <w:lang w:val="en-US" w:eastAsia="zh-CN"/>
              </w:rPr>
              <w:t xml:space="preserve"> 1990 </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2039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9,299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9,742 </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xml:space="preserve">CHF 45'427'250 - </w:t>
            </w:r>
            <w:proofErr w:type="spellStart"/>
            <w:r w:rsidRPr="00295CF1">
              <w:rPr>
                <w:rFonts w:cs="Arial"/>
                <w:color w:val="000000"/>
                <w:sz w:val="22"/>
                <w:szCs w:val="22"/>
                <w:lang w:val="en-US" w:eastAsia="zh-CN"/>
              </w:rPr>
              <w:t>dès</w:t>
            </w:r>
            <w:proofErr w:type="spellEnd"/>
            <w:r w:rsidRPr="00295CF1">
              <w:rPr>
                <w:rFonts w:cs="Arial"/>
                <w:color w:val="000000"/>
                <w:sz w:val="22"/>
                <w:szCs w:val="22"/>
                <w:lang w:val="en-US" w:eastAsia="zh-CN"/>
              </w:rPr>
              <w:t xml:space="preserve"> 2002 </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2051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29,982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30,891 </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xml:space="preserve">CHF 2'000'000 - </w:t>
            </w:r>
            <w:proofErr w:type="spellStart"/>
            <w:r w:rsidRPr="00295CF1">
              <w:rPr>
                <w:rFonts w:cs="Arial"/>
                <w:color w:val="000000"/>
                <w:sz w:val="22"/>
                <w:szCs w:val="22"/>
                <w:lang w:val="en-US" w:eastAsia="zh-CN"/>
              </w:rPr>
              <w:t>dès</w:t>
            </w:r>
            <w:proofErr w:type="spellEnd"/>
            <w:r w:rsidRPr="00295CF1">
              <w:rPr>
                <w:rFonts w:cs="Arial"/>
                <w:color w:val="000000"/>
                <w:sz w:val="22"/>
                <w:szCs w:val="22"/>
                <w:lang w:val="en-US" w:eastAsia="zh-CN"/>
              </w:rPr>
              <w:t xml:space="preserve"> 2002 </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2051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1,320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1,360 </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New Building Project</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2,387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720 </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w:t>
            </w:r>
          </w:p>
        </w:tc>
      </w:tr>
      <w:tr w:rsidR="00295CF1" w:rsidRPr="00295CF1" w:rsidTr="00295CF1">
        <w:trPr>
          <w:trHeight w:val="499"/>
        </w:trPr>
        <w:tc>
          <w:tcPr>
            <w:tcW w:w="27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295CF1">
              <w:rPr>
                <w:rFonts w:cs="Arial"/>
                <w:b/>
                <w:bCs/>
                <w:color w:val="000000"/>
                <w:sz w:val="22"/>
                <w:szCs w:val="22"/>
                <w:lang w:val="en-US" w:eastAsia="zh-CN"/>
              </w:rPr>
              <w:t>Borrowings</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95CF1">
              <w:rPr>
                <w:rFonts w:cs="Arial"/>
                <w:b/>
                <w:bCs/>
                <w:color w:val="000000"/>
                <w:sz w:val="22"/>
                <w:szCs w:val="22"/>
                <w:lang w:val="en-US" w:eastAsia="zh-CN"/>
              </w:rPr>
              <w:t> </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95CF1">
              <w:rPr>
                <w:rFonts w:cs="Arial"/>
                <w:b/>
                <w:bCs/>
                <w:color w:val="000000"/>
                <w:sz w:val="22"/>
                <w:szCs w:val="22"/>
                <w:lang w:val="en-US" w:eastAsia="zh-CN"/>
              </w:rPr>
              <w:t xml:space="preserve">                43,193 </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95CF1">
              <w:rPr>
                <w:rFonts w:cs="Arial"/>
                <w:b/>
                <w:bCs/>
                <w:color w:val="000000"/>
                <w:sz w:val="22"/>
                <w:szCs w:val="22"/>
                <w:lang w:val="en-US" w:eastAsia="zh-CN"/>
              </w:rPr>
              <w:t xml:space="preserve">            43,019 </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of which short term</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1,493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1</w:t>
            </w:r>
            <w:r w:rsidR="000C4E6C">
              <w:rPr>
                <w:rFonts w:cs="Arial"/>
                <w:color w:val="000000"/>
                <w:sz w:val="22"/>
                <w:szCs w:val="22"/>
                <w:lang w:val="en-US" w:eastAsia="zh-CN"/>
              </w:rPr>
              <w:t>,</w:t>
            </w:r>
            <w:r w:rsidRPr="00295CF1">
              <w:rPr>
                <w:rFonts w:cs="Arial"/>
                <w:color w:val="000000"/>
                <w:sz w:val="22"/>
                <w:szCs w:val="22"/>
                <w:lang w:val="en-US" w:eastAsia="zh-CN"/>
              </w:rPr>
              <w:t>493</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of which long term</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41,699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41,526 </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w:t>
            </w:r>
          </w:p>
        </w:tc>
      </w:tr>
      <w:tr w:rsidR="00295CF1" w:rsidRPr="00295CF1" w:rsidTr="00295CF1">
        <w:trPr>
          <w:trHeight w:val="499"/>
        </w:trPr>
        <w:tc>
          <w:tcPr>
            <w:tcW w:w="27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295CF1">
              <w:rPr>
                <w:rFonts w:cs="Arial"/>
                <w:b/>
                <w:bCs/>
                <w:color w:val="000000"/>
                <w:sz w:val="22"/>
                <w:szCs w:val="22"/>
                <w:lang w:val="en-US" w:eastAsia="zh-CN"/>
              </w:rPr>
              <w:t>Borrowings</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95CF1">
              <w:rPr>
                <w:rFonts w:cs="Arial"/>
                <w:b/>
                <w:bCs/>
                <w:color w:val="000000"/>
                <w:sz w:val="22"/>
                <w:szCs w:val="22"/>
                <w:lang w:val="en-US" w:eastAsia="zh-CN"/>
              </w:rPr>
              <w:t> </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95CF1">
              <w:rPr>
                <w:rFonts w:cs="Arial"/>
                <w:b/>
                <w:bCs/>
                <w:color w:val="000000"/>
                <w:sz w:val="22"/>
                <w:szCs w:val="22"/>
                <w:lang w:val="en-US" w:eastAsia="zh-CN"/>
              </w:rPr>
              <w:t xml:space="preserve">                43,193 </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95CF1">
              <w:rPr>
                <w:rFonts w:cs="Arial"/>
                <w:b/>
                <w:bCs/>
                <w:color w:val="000000"/>
                <w:sz w:val="22"/>
                <w:szCs w:val="22"/>
                <w:lang w:val="en-US" w:eastAsia="zh-CN"/>
              </w:rPr>
              <w:t xml:space="preserve">            43,019 </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Borrowings - of which short term</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1</w:t>
            </w:r>
            <w:r w:rsidR="000C4E6C">
              <w:rPr>
                <w:rFonts w:cs="Arial"/>
                <w:color w:val="000000"/>
                <w:sz w:val="22"/>
                <w:szCs w:val="22"/>
                <w:lang w:val="en-US" w:eastAsia="zh-CN"/>
              </w:rPr>
              <w:t>,</w:t>
            </w:r>
            <w:r w:rsidRPr="00295CF1">
              <w:rPr>
                <w:rFonts w:cs="Arial"/>
                <w:color w:val="000000"/>
                <w:sz w:val="22"/>
                <w:szCs w:val="22"/>
                <w:lang w:val="en-US" w:eastAsia="zh-CN"/>
              </w:rPr>
              <w:t>493</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1,493 </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w:t>
            </w:r>
          </w:p>
        </w:tc>
      </w:tr>
      <w:tr w:rsidR="00295CF1" w:rsidRPr="00295CF1" w:rsidTr="00295CF1">
        <w:trPr>
          <w:trHeight w:val="300"/>
        </w:trPr>
        <w:tc>
          <w:tcPr>
            <w:tcW w:w="279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295CF1">
              <w:rPr>
                <w:rFonts w:cs="Arial"/>
                <w:b/>
                <w:bCs/>
                <w:color w:val="000000"/>
                <w:sz w:val="22"/>
                <w:szCs w:val="22"/>
                <w:lang w:val="en-US" w:eastAsia="zh-CN"/>
              </w:rPr>
              <w:t xml:space="preserve">Borrowings </w:t>
            </w:r>
            <w:r w:rsidR="00F43D87">
              <w:rPr>
                <w:rFonts w:cs="Arial"/>
                <w:b/>
                <w:bCs/>
                <w:color w:val="000000"/>
                <w:sz w:val="22"/>
                <w:szCs w:val="22"/>
                <w:lang w:val="en-US" w:eastAsia="zh-CN"/>
              </w:rPr>
              <w:t>–</w:t>
            </w:r>
            <w:r w:rsidRPr="00295CF1">
              <w:rPr>
                <w:rFonts w:cs="Arial"/>
                <w:b/>
                <w:bCs/>
                <w:color w:val="000000"/>
                <w:sz w:val="22"/>
                <w:szCs w:val="22"/>
                <w:lang w:val="en-US" w:eastAsia="zh-CN"/>
              </w:rPr>
              <w:t xml:space="preserve"> current</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95CF1">
              <w:rPr>
                <w:rFonts w:cs="Arial"/>
                <w:b/>
                <w:bCs/>
                <w:color w:val="000000"/>
                <w:sz w:val="22"/>
                <w:szCs w:val="22"/>
                <w:lang w:val="en-US" w:eastAsia="zh-CN"/>
              </w:rPr>
              <w:t> </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95CF1">
              <w:rPr>
                <w:rFonts w:cs="Arial"/>
                <w:b/>
                <w:bCs/>
                <w:color w:val="000000"/>
                <w:sz w:val="22"/>
                <w:szCs w:val="22"/>
                <w:lang w:val="en-US" w:eastAsia="zh-CN"/>
              </w:rPr>
              <w:t xml:space="preserve">                  1,493 </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95CF1">
              <w:rPr>
                <w:rFonts w:cs="Arial"/>
                <w:b/>
                <w:bCs/>
                <w:color w:val="000000"/>
                <w:sz w:val="22"/>
                <w:szCs w:val="22"/>
                <w:lang w:val="en-US" w:eastAsia="zh-CN"/>
              </w:rPr>
              <w:t xml:space="preserve">               1,493 </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000000" w:fill="FFFFFF"/>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000000" w:fill="FFFFFF"/>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Borrowings - of which long term</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41,699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xml:space="preserve">            41,526 </w:t>
            </w:r>
          </w:p>
        </w:tc>
      </w:tr>
      <w:tr w:rsidR="00295CF1" w:rsidRPr="00295CF1" w:rsidTr="00295CF1">
        <w:trPr>
          <w:trHeight w:val="300"/>
        </w:trPr>
        <w:tc>
          <w:tcPr>
            <w:tcW w:w="2798" w:type="pct"/>
            <w:tcBorders>
              <w:top w:val="nil"/>
              <w:left w:val="single" w:sz="4" w:space="0" w:color="auto"/>
              <w:bottom w:val="nil"/>
              <w:right w:val="single" w:sz="4" w:space="0" w:color="auto"/>
            </w:tcBorders>
            <w:shd w:val="clear" w:color="000000" w:fill="FFFFFF"/>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674" w:type="pct"/>
            <w:tcBorders>
              <w:top w:val="nil"/>
              <w:left w:val="nil"/>
              <w:bottom w:val="nil"/>
              <w:right w:val="single" w:sz="4" w:space="0" w:color="auto"/>
            </w:tcBorders>
            <w:shd w:val="clear" w:color="auto" w:fill="auto"/>
            <w:noWrap/>
            <w:vAlign w:val="bottom"/>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95CF1">
              <w:rPr>
                <w:rFonts w:cs="Arial"/>
                <w:color w:val="000000"/>
                <w:sz w:val="22"/>
                <w:szCs w:val="22"/>
                <w:lang w:val="en-US" w:eastAsia="zh-CN"/>
              </w:rPr>
              <w:t> </w:t>
            </w:r>
          </w:p>
        </w:tc>
        <w:tc>
          <w:tcPr>
            <w:tcW w:w="80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w:t>
            </w:r>
          </w:p>
        </w:tc>
        <w:tc>
          <w:tcPr>
            <w:tcW w:w="719" w:type="pct"/>
            <w:tcBorders>
              <w:top w:val="nil"/>
              <w:left w:val="nil"/>
              <w:bottom w:val="nil"/>
              <w:right w:val="single" w:sz="4" w:space="0" w:color="auto"/>
            </w:tcBorders>
            <w:shd w:val="clear" w:color="auto" w:fill="auto"/>
            <w:noWrap/>
            <w:vAlign w:val="bottom"/>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295CF1">
              <w:rPr>
                <w:rFonts w:cs="Arial"/>
                <w:color w:val="000000"/>
                <w:sz w:val="22"/>
                <w:szCs w:val="22"/>
                <w:lang w:val="en-US" w:eastAsia="zh-CN"/>
              </w:rPr>
              <w:t> </w:t>
            </w:r>
          </w:p>
        </w:tc>
      </w:tr>
      <w:tr w:rsidR="00295CF1" w:rsidRPr="00295CF1" w:rsidTr="00295CF1">
        <w:trPr>
          <w:trHeight w:val="300"/>
        </w:trPr>
        <w:tc>
          <w:tcPr>
            <w:tcW w:w="279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295CF1">
              <w:rPr>
                <w:rFonts w:cs="Arial"/>
                <w:b/>
                <w:bCs/>
                <w:color w:val="000000"/>
                <w:sz w:val="22"/>
                <w:szCs w:val="22"/>
                <w:lang w:val="en-US" w:eastAsia="zh-CN"/>
              </w:rPr>
              <w:t>Borrowings - non current</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295CF1" w:rsidRPr="00295CF1" w:rsidRDefault="00295CF1" w:rsidP="00295CF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95CF1">
              <w:rPr>
                <w:rFonts w:cs="Arial"/>
                <w:b/>
                <w:bCs/>
                <w:color w:val="000000"/>
                <w:sz w:val="22"/>
                <w:szCs w:val="22"/>
                <w:lang w:val="en-US" w:eastAsia="zh-CN"/>
              </w:rPr>
              <w:t> </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95CF1">
              <w:rPr>
                <w:rFonts w:cs="Arial"/>
                <w:b/>
                <w:bCs/>
                <w:color w:val="000000"/>
                <w:sz w:val="22"/>
                <w:szCs w:val="22"/>
                <w:lang w:val="en-US" w:eastAsia="zh-CN"/>
              </w:rPr>
              <w:t xml:space="preserve">                41,699 </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rsidR="00295CF1" w:rsidRPr="00295CF1" w:rsidRDefault="00295CF1"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95CF1">
              <w:rPr>
                <w:rFonts w:cs="Arial"/>
                <w:b/>
                <w:bCs/>
                <w:color w:val="000000"/>
                <w:sz w:val="22"/>
                <w:szCs w:val="22"/>
                <w:lang w:val="en-US" w:eastAsia="zh-CN"/>
              </w:rPr>
              <w:t xml:space="preserve">            41,526 </w:t>
            </w:r>
          </w:p>
        </w:tc>
      </w:tr>
    </w:tbl>
    <w:p w:rsidR="00183E85" w:rsidRDefault="00183E85" w:rsidP="00A21F45">
      <w:pPr>
        <w:spacing w:before="240"/>
        <w:jc w:val="both"/>
        <w:rPr>
          <w:lang w:val="en-US" w:eastAsia="fr-FR"/>
        </w:rPr>
      </w:pPr>
      <w:r>
        <w:rPr>
          <w:lang w:val="en-US" w:eastAsia="fr-FR"/>
        </w:rPr>
        <w:t>The reimbursement of the loan granted for the new ITU premise will start onl</w:t>
      </w:r>
      <w:r w:rsidR="005E55AF">
        <w:rPr>
          <w:lang w:val="en-US" w:eastAsia="fr-FR"/>
        </w:rPr>
        <w:t>y</w:t>
      </w:r>
      <w:r>
        <w:rPr>
          <w:lang w:val="en-US" w:eastAsia="fr-FR"/>
        </w:rPr>
        <w:t xml:space="preserve"> after the</w:t>
      </w:r>
      <w:r w:rsidR="005E55AF">
        <w:rPr>
          <w:lang w:val="en-US" w:eastAsia="fr-FR"/>
        </w:rPr>
        <w:t xml:space="preserve"> successful delivery of the new building at the </w:t>
      </w:r>
      <w:r w:rsidR="005E55AF" w:rsidRPr="00BF3AD9">
        <w:rPr>
          <w:lang w:val="en-US" w:eastAsia="fr-FR"/>
        </w:rPr>
        <w:t xml:space="preserve">earliest </w:t>
      </w:r>
      <w:r w:rsidR="00127D8B" w:rsidRPr="00BF3AD9">
        <w:rPr>
          <w:lang w:val="en-US" w:eastAsia="fr-FR"/>
        </w:rPr>
        <w:t>beginning</w:t>
      </w:r>
      <w:r w:rsidR="005E55AF" w:rsidRPr="00BF3AD9">
        <w:rPr>
          <w:lang w:val="en-US" w:eastAsia="fr-FR"/>
        </w:rPr>
        <w:t xml:space="preserve"> of 20</w:t>
      </w:r>
      <w:r w:rsidR="00E144C3" w:rsidRPr="00BF3AD9">
        <w:rPr>
          <w:lang w:val="en-US" w:eastAsia="fr-FR"/>
        </w:rPr>
        <w:t>2</w:t>
      </w:r>
      <w:r w:rsidR="00A21F45" w:rsidRPr="00BF3AD9">
        <w:rPr>
          <w:lang w:val="en-US" w:eastAsia="fr-FR"/>
        </w:rPr>
        <w:t>6</w:t>
      </w:r>
      <w:r w:rsidR="005E55AF" w:rsidRPr="00BF3AD9">
        <w:rPr>
          <w:lang w:val="en-US" w:eastAsia="fr-FR"/>
        </w:rPr>
        <w:t>.</w:t>
      </w:r>
    </w:p>
    <w:p w:rsidR="0022373A" w:rsidRDefault="0022373A" w:rsidP="00905753">
      <w:pPr>
        <w:snapToGrid w:val="0"/>
        <w:jc w:val="both"/>
        <w:rPr>
          <w:lang w:val="en-US" w:eastAsia="fr-FR"/>
        </w:rPr>
      </w:pPr>
      <w:r w:rsidRPr="002639B7">
        <w:rPr>
          <w:lang w:val="en-US" w:eastAsia="fr-FR"/>
        </w:rPr>
        <w:t>The present v</w:t>
      </w:r>
      <w:r w:rsidR="000552CF" w:rsidRPr="002639B7">
        <w:rPr>
          <w:lang w:val="en-US" w:eastAsia="fr-FR"/>
        </w:rPr>
        <w:t>alue of borrowings at 31.12.</w:t>
      </w:r>
      <w:r w:rsidR="00111BDD" w:rsidRPr="002639B7">
        <w:rPr>
          <w:lang w:val="en-US" w:eastAsia="fr-FR"/>
        </w:rPr>
        <w:t>201</w:t>
      </w:r>
      <w:r w:rsidR="00905753">
        <w:rPr>
          <w:lang w:val="en-US" w:eastAsia="fr-FR"/>
        </w:rPr>
        <w:t>8</w:t>
      </w:r>
      <w:r w:rsidR="000552CF" w:rsidRPr="002639B7">
        <w:rPr>
          <w:lang w:val="en-US" w:eastAsia="fr-FR"/>
        </w:rPr>
        <w:t xml:space="preserve"> is CHF </w:t>
      </w:r>
      <w:r w:rsidR="00BE0319" w:rsidRPr="002639B7">
        <w:rPr>
          <w:lang w:val="en-US" w:eastAsia="fr-FR"/>
        </w:rPr>
        <w:t>2</w:t>
      </w:r>
      <w:r w:rsidR="00905753">
        <w:rPr>
          <w:lang w:val="en-US" w:eastAsia="fr-FR"/>
        </w:rPr>
        <w:t>5.8</w:t>
      </w:r>
      <w:r w:rsidR="00A825E2" w:rsidRPr="002639B7">
        <w:rPr>
          <w:lang w:val="en-US" w:eastAsia="fr-FR"/>
        </w:rPr>
        <w:t xml:space="preserve"> million</w:t>
      </w:r>
      <w:r w:rsidRPr="002639B7">
        <w:rPr>
          <w:lang w:val="en-US" w:eastAsia="fr-FR"/>
        </w:rPr>
        <w:t>, as agai</w:t>
      </w:r>
      <w:r w:rsidR="00D956AC" w:rsidRPr="002639B7">
        <w:rPr>
          <w:lang w:val="en-US" w:eastAsia="fr-FR"/>
        </w:rPr>
        <w:t>nst CHF 2</w:t>
      </w:r>
      <w:r w:rsidR="00905753">
        <w:rPr>
          <w:lang w:val="en-US" w:eastAsia="fr-FR"/>
        </w:rPr>
        <w:t>6.5</w:t>
      </w:r>
      <w:r w:rsidR="00A825E2" w:rsidRPr="002639B7">
        <w:rPr>
          <w:lang w:val="en-US" w:eastAsia="fr-FR"/>
        </w:rPr>
        <w:t xml:space="preserve"> million</w:t>
      </w:r>
      <w:r w:rsidR="000552CF" w:rsidRPr="002639B7">
        <w:rPr>
          <w:lang w:val="en-US" w:eastAsia="fr-FR"/>
        </w:rPr>
        <w:t xml:space="preserve"> at 31.12.201</w:t>
      </w:r>
      <w:r w:rsidR="00905753">
        <w:rPr>
          <w:lang w:val="en-US" w:eastAsia="fr-FR"/>
        </w:rPr>
        <w:t>7</w:t>
      </w:r>
      <w:r w:rsidRPr="002639B7">
        <w:rPr>
          <w:lang w:val="en-US" w:eastAsia="fr-FR"/>
        </w:rPr>
        <w:t>. The difference in relation to the gross amount represents the present value of total unpaid interest up to the end of the borrowing term.</w:t>
      </w:r>
    </w:p>
    <w:p w:rsidR="0022373A" w:rsidRDefault="0022373A" w:rsidP="00A81A5E">
      <w:pPr>
        <w:pStyle w:val="Heading5"/>
        <w:tabs>
          <w:tab w:val="clear" w:pos="1134"/>
        </w:tabs>
        <w:spacing w:before="120" w:after="120"/>
        <w:jc w:val="both"/>
        <w:rPr>
          <w:lang w:val="en-US"/>
        </w:rPr>
      </w:pPr>
      <w:bookmarkStart w:id="87" w:name="_Toc305764090"/>
      <w:bookmarkStart w:id="88" w:name="_Toc329011641"/>
      <w:r w:rsidRPr="001C2A98">
        <w:rPr>
          <w:lang w:val="en-US"/>
        </w:rPr>
        <w:t>Note 1</w:t>
      </w:r>
      <w:r w:rsidR="00A81A5E">
        <w:rPr>
          <w:lang w:val="en-US"/>
        </w:rPr>
        <w:t>7</w:t>
      </w:r>
      <w:r w:rsidRPr="001C2A98">
        <w:rPr>
          <w:lang w:val="en-US"/>
        </w:rPr>
        <w:tab/>
        <w:t>Employee benefits</w:t>
      </w:r>
      <w:bookmarkEnd w:id="87"/>
      <w:bookmarkEnd w:id="88"/>
    </w:p>
    <w:p w:rsidR="005900CB" w:rsidRDefault="0022373A" w:rsidP="005900CB">
      <w:pPr>
        <w:spacing w:after="120"/>
        <w:jc w:val="both"/>
        <w:rPr>
          <w:rFonts w:eastAsia="SimSun"/>
          <w:szCs w:val="24"/>
          <w:lang w:val="en-US" w:eastAsia="fr-FR"/>
        </w:rPr>
      </w:pPr>
      <w:r w:rsidRPr="00D128FC">
        <w:rPr>
          <w:rFonts w:eastAsia="SimSun"/>
          <w:szCs w:val="24"/>
          <w:lang w:val="en-US" w:eastAsia="fr-FR"/>
        </w:rPr>
        <w:t>Employee benefits refer to all forms of consideration given by ITU in return for services rendered by its employees. They are recognized as and when they</w:t>
      </w:r>
      <w:r w:rsidR="007D4BBA">
        <w:rPr>
          <w:rFonts w:eastAsia="SimSun"/>
          <w:szCs w:val="24"/>
          <w:lang w:val="en-US" w:eastAsia="fr-FR"/>
        </w:rPr>
        <w:t xml:space="preserve"> are earn</w:t>
      </w:r>
      <w:r w:rsidRPr="00D128FC">
        <w:rPr>
          <w:rFonts w:eastAsia="SimSun"/>
          <w:szCs w:val="24"/>
          <w:lang w:val="en-US" w:eastAsia="fr-FR"/>
        </w:rPr>
        <w:t>ed by employees.</w:t>
      </w:r>
      <w:bookmarkStart w:id="89" w:name="_Toc305764091"/>
      <w:bookmarkStart w:id="90" w:name="_Toc329011642"/>
    </w:p>
    <w:p w:rsidR="0022373A" w:rsidRDefault="0022373A" w:rsidP="00284AFF">
      <w:pPr>
        <w:tabs>
          <w:tab w:val="clear" w:pos="1134"/>
          <w:tab w:val="left" w:pos="851"/>
        </w:tabs>
        <w:spacing w:after="120"/>
        <w:jc w:val="both"/>
        <w:rPr>
          <w:b/>
          <w:lang w:val="en-US"/>
        </w:rPr>
      </w:pPr>
      <w:r w:rsidRPr="005900CB">
        <w:rPr>
          <w:b/>
          <w:lang w:val="en-US"/>
        </w:rPr>
        <w:t>1</w:t>
      </w:r>
      <w:r w:rsidR="00284AFF">
        <w:rPr>
          <w:b/>
          <w:lang w:val="en-US"/>
        </w:rPr>
        <w:t>7</w:t>
      </w:r>
      <w:r w:rsidRPr="005900CB">
        <w:rPr>
          <w:b/>
          <w:lang w:val="en-US"/>
        </w:rPr>
        <w:t>.1</w:t>
      </w:r>
      <w:r w:rsidRPr="005900CB">
        <w:rPr>
          <w:b/>
          <w:lang w:val="en-US"/>
        </w:rPr>
        <w:tab/>
      </w:r>
      <w:r w:rsidR="003E0EC2">
        <w:rPr>
          <w:b/>
          <w:lang w:val="en-US"/>
        </w:rPr>
        <w:tab/>
      </w:r>
      <w:r w:rsidRPr="005900CB">
        <w:rPr>
          <w:b/>
          <w:lang w:val="en-US"/>
        </w:rPr>
        <w:t>Short-term employee benefits</w:t>
      </w:r>
      <w:bookmarkEnd w:id="89"/>
      <w:bookmarkEnd w:id="90"/>
    </w:p>
    <w:p w:rsidR="00DA2ABD" w:rsidRDefault="00794B42" w:rsidP="000C4E6C">
      <w:pPr>
        <w:keepNext/>
        <w:spacing w:before="0" w:after="60"/>
        <w:jc w:val="both"/>
        <w:rPr>
          <w:b/>
          <w:bCs/>
          <w:lang w:val="en-US"/>
        </w:rPr>
      </w:pPr>
      <w:r>
        <w:rPr>
          <w:b/>
          <w:bCs/>
          <w:lang w:val="en-US"/>
        </w:rPr>
        <w:t>Figures at 31.12.</w:t>
      </w:r>
      <w:r w:rsidR="00111BDD">
        <w:rPr>
          <w:b/>
          <w:bCs/>
          <w:lang w:val="en-US"/>
        </w:rPr>
        <w:t>201</w:t>
      </w:r>
      <w:r w:rsidR="000C4E6C">
        <w:rPr>
          <w:b/>
          <w:bCs/>
          <w:lang w:val="en-US"/>
        </w:rPr>
        <w:t>8</w:t>
      </w:r>
    </w:p>
    <w:p w:rsidR="00754E3B" w:rsidRDefault="00754E3B" w:rsidP="006D735A">
      <w:pPr>
        <w:keepNext/>
        <w:spacing w:before="0" w:after="60"/>
        <w:jc w:val="both"/>
        <w:rPr>
          <w:b/>
          <w:bCs/>
          <w:lang w:val="en-US"/>
        </w:rPr>
      </w:pPr>
    </w:p>
    <w:tbl>
      <w:tblPr>
        <w:tblW w:w="5000" w:type="pct"/>
        <w:tblLook w:val="04A0" w:firstRow="1" w:lastRow="0" w:firstColumn="1" w:lastColumn="0" w:noHBand="0" w:noVBand="1"/>
      </w:tblPr>
      <w:tblGrid>
        <w:gridCol w:w="3397"/>
        <w:gridCol w:w="1489"/>
        <w:gridCol w:w="2415"/>
        <w:gridCol w:w="2470"/>
      </w:tblGrid>
      <w:tr w:rsidR="00754E3B" w:rsidRPr="00754E3B" w:rsidTr="00754E3B">
        <w:trPr>
          <w:trHeight w:val="810"/>
        </w:trPr>
        <w:tc>
          <w:tcPr>
            <w:tcW w:w="1738" w:type="pct"/>
            <w:tcBorders>
              <w:top w:val="single" w:sz="4" w:space="0" w:color="auto"/>
              <w:left w:val="single" w:sz="4" w:space="0" w:color="auto"/>
              <w:bottom w:val="single" w:sz="4" w:space="0" w:color="auto"/>
              <w:right w:val="nil"/>
            </w:tcBorders>
            <w:shd w:val="clear" w:color="auto" w:fill="auto"/>
            <w:noWrap/>
            <w:vAlign w:val="bottom"/>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754E3B">
              <w:rPr>
                <w:rFonts w:cs="Arial"/>
                <w:color w:val="000000"/>
                <w:sz w:val="22"/>
                <w:szCs w:val="22"/>
                <w:lang w:val="en-US" w:eastAsia="zh-CN"/>
              </w:rPr>
              <w:t> </w:t>
            </w:r>
          </w:p>
        </w:tc>
        <w:tc>
          <w:tcPr>
            <w:tcW w:w="326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754E3B">
              <w:rPr>
                <w:rFonts w:cs="Arial"/>
                <w:b/>
                <w:bCs/>
                <w:color w:val="000000"/>
                <w:sz w:val="22"/>
                <w:szCs w:val="22"/>
                <w:lang w:val="en-US" w:eastAsia="zh-CN"/>
              </w:rPr>
              <w:t>Employee benefits – short term</w:t>
            </w:r>
          </w:p>
        </w:tc>
      </w:tr>
      <w:tr w:rsidR="00754E3B" w:rsidRPr="00754E3B" w:rsidTr="00754E3B">
        <w:trPr>
          <w:trHeight w:val="1095"/>
        </w:trPr>
        <w:tc>
          <w:tcPr>
            <w:tcW w:w="1738" w:type="pct"/>
            <w:tcBorders>
              <w:top w:val="nil"/>
              <w:left w:val="single" w:sz="4" w:space="0" w:color="auto"/>
              <w:bottom w:val="single" w:sz="4" w:space="0" w:color="auto"/>
              <w:right w:val="single" w:sz="4" w:space="0" w:color="auto"/>
            </w:tcBorders>
            <w:shd w:val="clear" w:color="auto" w:fill="auto"/>
            <w:noWrap/>
            <w:vAlign w:val="center"/>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754E3B">
              <w:rPr>
                <w:rFonts w:cs="Arial"/>
                <w:b/>
                <w:bCs/>
                <w:color w:val="000000"/>
                <w:sz w:val="22"/>
                <w:szCs w:val="22"/>
                <w:lang w:val="en-US" w:eastAsia="zh-CN"/>
              </w:rPr>
              <w:t>In thousands of CHF</w:t>
            </w:r>
          </w:p>
        </w:tc>
        <w:tc>
          <w:tcPr>
            <w:tcW w:w="762" w:type="pct"/>
            <w:tcBorders>
              <w:top w:val="nil"/>
              <w:left w:val="nil"/>
              <w:bottom w:val="single" w:sz="4" w:space="0" w:color="auto"/>
              <w:right w:val="single" w:sz="4" w:space="0" w:color="auto"/>
            </w:tcBorders>
            <w:shd w:val="clear" w:color="auto" w:fill="auto"/>
            <w:vAlign w:val="center"/>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754E3B">
              <w:rPr>
                <w:rFonts w:cs="Arial"/>
                <w:b/>
                <w:bCs/>
                <w:color w:val="000000"/>
                <w:sz w:val="22"/>
                <w:szCs w:val="22"/>
                <w:lang w:val="en-US" w:eastAsia="zh-CN"/>
              </w:rPr>
              <w:t xml:space="preserve">Overtime </w:t>
            </w:r>
          </w:p>
        </w:tc>
        <w:tc>
          <w:tcPr>
            <w:tcW w:w="1236" w:type="pct"/>
            <w:tcBorders>
              <w:top w:val="nil"/>
              <w:left w:val="nil"/>
              <w:bottom w:val="single" w:sz="4" w:space="0" w:color="auto"/>
              <w:right w:val="single" w:sz="4" w:space="0" w:color="auto"/>
            </w:tcBorders>
            <w:shd w:val="clear" w:color="auto" w:fill="auto"/>
            <w:vAlign w:val="center"/>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754E3B">
              <w:rPr>
                <w:rFonts w:cs="Arial"/>
                <w:b/>
                <w:bCs/>
                <w:color w:val="000000"/>
                <w:sz w:val="22"/>
                <w:szCs w:val="22"/>
                <w:lang w:val="en-US" w:eastAsia="zh-CN"/>
              </w:rPr>
              <w:t>Accumulated leave</w:t>
            </w:r>
          </w:p>
        </w:tc>
        <w:tc>
          <w:tcPr>
            <w:tcW w:w="1264" w:type="pct"/>
            <w:tcBorders>
              <w:top w:val="nil"/>
              <w:left w:val="nil"/>
              <w:bottom w:val="single" w:sz="4" w:space="0" w:color="auto"/>
              <w:right w:val="single" w:sz="4" w:space="0" w:color="auto"/>
            </w:tcBorders>
            <w:shd w:val="clear" w:color="auto" w:fill="auto"/>
            <w:vAlign w:val="center"/>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754E3B">
              <w:rPr>
                <w:rFonts w:cs="Arial"/>
                <w:b/>
                <w:bCs/>
                <w:color w:val="000000"/>
                <w:sz w:val="22"/>
                <w:szCs w:val="22"/>
                <w:lang w:val="en-US" w:eastAsia="zh-CN"/>
              </w:rPr>
              <w:t>Total employee benefits short term</w:t>
            </w:r>
          </w:p>
        </w:tc>
      </w:tr>
      <w:tr w:rsidR="00754E3B" w:rsidRPr="00754E3B" w:rsidTr="00754E3B">
        <w:trPr>
          <w:trHeight w:val="499"/>
        </w:trPr>
        <w:tc>
          <w:tcPr>
            <w:tcW w:w="1738" w:type="pct"/>
            <w:tcBorders>
              <w:top w:val="nil"/>
              <w:left w:val="single" w:sz="4" w:space="0" w:color="auto"/>
              <w:bottom w:val="single" w:sz="4" w:space="0" w:color="auto"/>
              <w:right w:val="single" w:sz="4" w:space="0" w:color="auto"/>
            </w:tcBorders>
            <w:shd w:val="clear" w:color="auto" w:fill="auto"/>
            <w:noWrap/>
            <w:vAlign w:val="center"/>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754E3B">
              <w:rPr>
                <w:rFonts w:cs="Arial"/>
                <w:b/>
                <w:bCs/>
                <w:color w:val="000000"/>
                <w:sz w:val="22"/>
                <w:szCs w:val="22"/>
                <w:lang w:val="en-US" w:eastAsia="zh-CN"/>
              </w:rPr>
              <w:t>Opening balance</w:t>
            </w:r>
          </w:p>
        </w:tc>
        <w:tc>
          <w:tcPr>
            <w:tcW w:w="762" w:type="pct"/>
            <w:tcBorders>
              <w:top w:val="nil"/>
              <w:left w:val="nil"/>
              <w:bottom w:val="single" w:sz="4" w:space="0" w:color="auto"/>
              <w:right w:val="single" w:sz="4" w:space="0" w:color="auto"/>
            </w:tcBorders>
            <w:shd w:val="clear" w:color="auto" w:fill="auto"/>
            <w:noWrap/>
            <w:vAlign w:val="center"/>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754E3B">
              <w:rPr>
                <w:rFonts w:cs="Arial"/>
                <w:b/>
                <w:bCs/>
                <w:color w:val="000000"/>
                <w:sz w:val="22"/>
                <w:szCs w:val="22"/>
                <w:lang w:val="en-US" w:eastAsia="zh-CN"/>
              </w:rPr>
              <w:t xml:space="preserve">                    51 </w:t>
            </w:r>
          </w:p>
        </w:tc>
        <w:tc>
          <w:tcPr>
            <w:tcW w:w="1236" w:type="pct"/>
            <w:tcBorders>
              <w:top w:val="nil"/>
              <w:left w:val="nil"/>
              <w:bottom w:val="single" w:sz="4" w:space="0" w:color="auto"/>
              <w:right w:val="single" w:sz="4" w:space="0" w:color="auto"/>
            </w:tcBorders>
            <w:shd w:val="clear" w:color="auto" w:fill="auto"/>
            <w:noWrap/>
            <w:vAlign w:val="center"/>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754E3B">
              <w:rPr>
                <w:rFonts w:cs="Arial"/>
                <w:b/>
                <w:bCs/>
                <w:color w:val="000000"/>
                <w:sz w:val="22"/>
                <w:szCs w:val="22"/>
                <w:lang w:val="en-US" w:eastAsia="zh-CN"/>
              </w:rPr>
              <w:t xml:space="preserve">                                 175 </w:t>
            </w:r>
          </w:p>
        </w:tc>
        <w:tc>
          <w:tcPr>
            <w:tcW w:w="1264" w:type="pct"/>
            <w:tcBorders>
              <w:top w:val="nil"/>
              <w:left w:val="nil"/>
              <w:bottom w:val="single" w:sz="4" w:space="0" w:color="auto"/>
              <w:right w:val="single" w:sz="4" w:space="0" w:color="auto"/>
            </w:tcBorders>
            <w:shd w:val="clear" w:color="auto" w:fill="auto"/>
            <w:noWrap/>
            <w:vAlign w:val="center"/>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754E3B">
              <w:rPr>
                <w:rFonts w:cs="Arial"/>
                <w:b/>
                <w:bCs/>
                <w:color w:val="000000"/>
                <w:sz w:val="22"/>
                <w:szCs w:val="22"/>
                <w:lang w:val="en-US" w:eastAsia="zh-CN"/>
              </w:rPr>
              <w:t xml:space="preserve">                                  226 </w:t>
            </w:r>
          </w:p>
        </w:tc>
      </w:tr>
      <w:tr w:rsidR="00754E3B" w:rsidRPr="00754E3B" w:rsidTr="00754E3B">
        <w:trPr>
          <w:trHeight w:val="300"/>
        </w:trPr>
        <w:tc>
          <w:tcPr>
            <w:tcW w:w="1738" w:type="pct"/>
            <w:tcBorders>
              <w:top w:val="nil"/>
              <w:left w:val="single" w:sz="4" w:space="0" w:color="auto"/>
              <w:bottom w:val="nil"/>
              <w:right w:val="single" w:sz="4" w:space="0" w:color="auto"/>
            </w:tcBorders>
            <w:shd w:val="clear" w:color="auto" w:fill="auto"/>
            <w:noWrap/>
            <w:vAlign w:val="bottom"/>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754E3B">
              <w:rPr>
                <w:rFonts w:cs="Arial"/>
                <w:color w:val="000000"/>
                <w:sz w:val="22"/>
                <w:szCs w:val="22"/>
                <w:lang w:val="en-US" w:eastAsia="zh-CN"/>
              </w:rPr>
              <w:t>Increase</w:t>
            </w:r>
          </w:p>
        </w:tc>
        <w:tc>
          <w:tcPr>
            <w:tcW w:w="762" w:type="pct"/>
            <w:tcBorders>
              <w:top w:val="nil"/>
              <w:left w:val="nil"/>
              <w:bottom w:val="nil"/>
              <w:right w:val="single" w:sz="4" w:space="0" w:color="auto"/>
            </w:tcBorders>
            <w:shd w:val="clear" w:color="auto" w:fill="auto"/>
            <w:noWrap/>
            <w:vAlign w:val="bottom"/>
            <w:hideMark/>
          </w:tcPr>
          <w:p w:rsidR="00754E3B" w:rsidRPr="00754E3B" w:rsidRDefault="00754E3B" w:rsidP="000C4E6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2"/>
                <w:szCs w:val="22"/>
                <w:lang w:val="en-US" w:eastAsia="zh-CN"/>
              </w:rPr>
            </w:pPr>
            <w:r w:rsidRPr="00754E3B">
              <w:rPr>
                <w:rFonts w:cs="Arial"/>
                <w:sz w:val="22"/>
                <w:szCs w:val="22"/>
                <w:lang w:val="en-US" w:eastAsia="zh-CN"/>
              </w:rPr>
              <w:t>39</w:t>
            </w:r>
          </w:p>
        </w:tc>
        <w:tc>
          <w:tcPr>
            <w:tcW w:w="1236" w:type="pct"/>
            <w:tcBorders>
              <w:top w:val="nil"/>
              <w:left w:val="nil"/>
              <w:bottom w:val="nil"/>
              <w:right w:val="single" w:sz="4" w:space="0" w:color="auto"/>
            </w:tcBorders>
            <w:shd w:val="clear" w:color="auto" w:fill="auto"/>
            <w:noWrap/>
            <w:vAlign w:val="bottom"/>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 xml:space="preserve">                                 148 </w:t>
            </w:r>
          </w:p>
        </w:tc>
        <w:tc>
          <w:tcPr>
            <w:tcW w:w="1264" w:type="pct"/>
            <w:tcBorders>
              <w:top w:val="nil"/>
              <w:left w:val="nil"/>
              <w:bottom w:val="nil"/>
              <w:right w:val="single" w:sz="4" w:space="0" w:color="auto"/>
            </w:tcBorders>
            <w:shd w:val="clear" w:color="auto" w:fill="auto"/>
            <w:noWrap/>
            <w:vAlign w:val="bottom"/>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 xml:space="preserve">                                  188 </w:t>
            </w:r>
          </w:p>
        </w:tc>
      </w:tr>
      <w:tr w:rsidR="00754E3B" w:rsidRPr="00754E3B" w:rsidTr="00754E3B">
        <w:trPr>
          <w:trHeight w:val="300"/>
        </w:trPr>
        <w:tc>
          <w:tcPr>
            <w:tcW w:w="1738" w:type="pct"/>
            <w:tcBorders>
              <w:top w:val="nil"/>
              <w:left w:val="single" w:sz="4" w:space="0" w:color="auto"/>
              <w:bottom w:val="nil"/>
              <w:right w:val="single" w:sz="4" w:space="0" w:color="auto"/>
            </w:tcBorders>
            <w:shd w:val="clear" w:color="auto" w:fill="auto"/>
            <w:noWrap/>
            <w:vAlign w:val="bottom"/>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754E3B">
              <w:rPr>
                <w:rFonts w:cs="Arial"/>
                <w:color w:val="000000"/>
                <w:sz w:val="22"/>
                <w:szCs w:val="22"/>
                <w:lang w:val="en-US" w:eastAsia="zh-CN"/>
              </w:rPr>
              <w:t>Used during year</w:t>
            </w:r>
          </w:p>
        </w:tc>
        <w:tc>
          <w:tcPr>
            <w:tcW w:w="762" w:type="pct"/>
            <w:tcBorders>
              <w:top w:val="nil"/>
              <w:left w:val="nil"/>
              <w:bottom w:val="nil"/>
              <w:right w:val="single" w:sz="4" w:space="0" w:color="auto"/>
            </w:tcBorders>
            <w:shd w:val="clear" w:color="auto" w:fill="auto"/>
            <w:noWrap/>
            <w:vAlign w:val="bottom"/>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-51</w:t>
            </w:r>
          </w:p>
        </w:tc>
        <w:tc>
          <w:tcPr>
            <w:tcW w:w="1236" w:type="pct"/>
            <w:tcBorders>
              <w:top w:val="nil"/>
              <w:left w:val="nil"/>
              <w:bottom w:val="nil"/>
              <w:right w:val="single" w:sz="4" w:space="0" w:color="auto"/>
            </w:tcBorders>
            <w:shd w:val="clear" w:color="auto" w:fill="auto"/>
            <w:noWrap/>
            <w:vAlign w:val="bottom"/>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 xml:space="preserve">                                  -80 </w:t>
            </w:r>
          </w:p>
        </w:tc>
        <w:tc>
          <w:tcPr>
            <w:tcW w:w="1264" w:type="pct"/>
            <w:tcBorders>
              <w:top w:val="nil"/>
              <w:left w:val="nil"/>
              <w:bottom w:val="nil"/>
              <w:right w:val="single" w:sz="4" w:space="0" w:color="auto"/>
            </w:tcBorders>
            <w:shd w:val="clear" w:color="auto" w:fill="auto"/>
            <w:noWrap/>
            <w:vAlign w:val="bottom"/>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 xml:space="preserve">                                -131 </w:t>
            </w:r>
          </w:p>
        </w:tc>
      </w:tr>
      <w:tr w:rsidR="00754E3B" w:rsidRPr="00754E3B" w:rsidTr="00754E3B">
        <w:trPr>
          <w:trHeight w:val="300"/>
        </w:trPr>
        <w:tc>
          <w:tcPr>
            <w:tcW w:w="1738" w:type="pct"/>
            <w:tcBorders>
              <w:top w:val="nil"/>
              <w:left w:val="single" w:sz="4" w:space="0" w:color="auto"/>
              <w:bottom w:val="nil"/>
              <w:right w:val="single" w:sz="4" w:space="0" w:color="auto"/>
            </w:tcBorders>
            <w:shd w:val="clear" w:color="auto" w:fill="auto"/>
            <w:noWrap/>
            <w:vAlign w:val="bottom"/>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754E3B">
              <w:rPr>
                <w:rFonts w:cs="Arial"/>
                <w:color w:val="000000"/>
                <w:sz w:val="22"/>
                <w:szCs w:val="22"/>
                <w:lang w:val="en-US" w:eastAsia="zh-CN"/>
              </w:rPr>
              <w:t>Release</w:t>
            </w:r>
          </w:p>
        </w:tc>
        <w:tc>
          <w:tcPr>
            <w:tcW w:w="762" w:type="pct"/>
            <w:tcBorders>
              <w:top w:val="nil"/>
              <w:left w:val="nil"/>
              <w:bottom w:val="nil"/>
              <w:right w:val="single" w:sz="4" w:space="0" w:color="auto"/>
            </w:tcBorders>
            <w:shd w:val="clear" w:color="auto" w:fill="auto"/>
            <w:noWrap/>
            <w:vAlign w:val="bottom"/>
            <w:hideMark/>
          </w:tcPr>
          <w:p w:rsidR="00754E3B" w:rsidRPr="00754E3B" w:rsidRDefault="00F41301"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754E3B" w:rsidRPr="00754E3B">
              <w:rPr>
                <w:rFonts w:cs="Arial"/>
                <w:color w:val="000000"/>
                <w:sz w:val="22"/>
                <w:szCs w:val="22"/>
                <w:lang w:val="en-US" w:eastAsia="zh-CN"/>
              </w:rPr>
              <w:t> </w:t>
            </w:r>
          </w:p>
        </w:tc>
        <w:tc>
          <w:tcPr>
            <w:tcW w:w="1236" w:type="pct"/>
            <w:tcBorders>
              <w:top w:val="nil"/>
              <w:left w:val="nil"/>
              <w:bottom w:val="nil"/>
              <w:right w:val="single" w:sz="4" w:space="0" w:color="auto"/>
            </w:tcBorders>
            <w:shd w:val="clear" w:color="auto" w:fill="auto"/>
            <w:noWrap/>
            <w:vAlign w:val="bottom"/>
            <w:hideMark/>
          </w:tcPr>
          <w:p w:rsidR="00754E3B" w:rsidRPr="00754E3B" w:rsidRDefault="00F41301"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754E3B" w:rsidRPr="00754E3B">
              <w:rPr>
                <w:rFonts w:cs="Arial"/>
                <w:color w:val="000000"/>
                <w:sz w:val="22"/>
                <w:szCs w:val="22"/>
                <w:lang w:val="en-US" w:eastAsia="zh-CN"/>
              </w:rPr>
              <w:t> </w:t>
            </w:r>
          </w:p>
        </w:tc>
        <w:tc>
          <w:tcPr>
            <w:tcW w:w="1264" w:type="pct"/>
            <w:tcBorders>
              <w:top w:val="nil"/>
              <w:left w:val="nil"/>
              <w:bottom w:val="nil"/>
              <w:right w:val="single" w:sz="4" w:space="0" w:color="auto"/>
            </w:tcBorders>
            <w:shd w:val="clear" w:color="auto" w:fill="auto"/>
            <w:noWrap/>
            <w:vAlign w:val="bottom"/>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 xml:space="preserve">                                     -   </w:t>
            </w:r>
          </w:p>
        </w:tc>
      </w:tr>
      <w:tr w:rsidR="00754E3B" w:rsidRPr="00754E3B" w:rsidTr="00754E3B">
        <w:trPr>
          <w:trHeight w:val="300"/>
        </w:trPr>
        <w:tc>
          <w:tcPr>
            <w:tcW w:w="1738" w:type="pct"/>
            <w:tcBorders>
              <w:top w:val="nil"/>
              <w:left w:val="single" w:sz="4" w:space="0" w:color="auto"/>
              <w:bottom w:val="nil"/>
              <w:right w:val="single" w:sz="4" w:space="0" w:color="auto"/>
            </w:tcBorders>
            <w:shd w:val="clear" w:color="auto" w:fill="auto"/>
            <w:noWrap/>
            <w:vAlign w:val="bottom"/>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754E3B">
              <w:rPr>
                <w:rFonts w:cs="Arial"/>
                <w:color w:val="000000"/>
                <w:sz w:val="22"/>
                <w:szCs w:val="22"/>
                <w:lang w:val="en-US" w:eastAsia="zh-CN"/>
              </w:rPr>
              <w:t>Transfer</w:t>
            </w:r>
          </w:p>
        </w:tc>
        <w:tc>
          <w:tcPr>
            <w:tcW w:w="762" w:type="pct"/>
            <w:tcBorders>
              <w:top w:val="nil"/>
              <w:left w:val="nil"/>
              <w:bottom w:val="nil"/>
              <w:right w:val="single" w:sz="4" w:space="0" w:color="auto"/>
            </w:tcBorders>
            <w:shd w:val="clear" w:color="auto" w:fill="auto"/>
            <w:noWrap/>
            <w:vAlign w:val="bottom"/>
            <w:hideMark/>
          </w:tcPr>
          <w:p w:rsidR="00754E3B" w:rsidRPr="00754E3B" w:rsidRDefault="00F41301"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754E3B" w:rsidRPr="00754E3B">
              <w:rPr>
                <w:rFonts w:cs="Arial"/>
                <w:color w:val="000000"/>
                <w:sz w:val="22"/>
                <w:szCs w:val="22"/>
                <w:lang w:val="en-US" w:eastAsia="zh-CN"/>
              </w:rPr>
              <w:t> </w:t>
            </w:r>
          </w:p>
        </w:tc>
        <w:tc>
          <w:tcPr>
            <w:tcW w:w="1236" w:type="pct"/>
            <w:tcBorders>
              <w:top w:val="nil"/>
              <w:left w:val="nil"/>
              <w:bottom w:val="nil"/>
              <w:right w:val="single" w:sz="4" w:space="0" w:color="auto"/>
            </w:tcBorders>
            <w:shd w:val="clear" w:color="auto" w:fill="auto"/>
            <w:noWrap/>
            <w:vAlign w:val="bottom"/>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 xml:space="preserve">                                  -95 </w:t>
            </w:r>
          </w:p>
        </w:tc>
        <w:tc>
          <w:tcPr>
            <w:tcW w:w="1264" w:type="pct"/>
            <w:tcBorders>
              <w:top w:val="nil"/>
              <w:left w:val="nil"/>
              <w:bottom w:val="nil"/>
              <w:right w:val="single" w:sz="4" w:space="0" w:color="auto"/>
            </w:tcBorders>
            <w:shd w:val="clear" w:color="auto" w:fill="auto"/>
            <w:noWrap/>
            <w:vAlign w:val="bottom"/>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 xml:space="preserve">                                  -95 </w:t>
            </w:r>
          </w:p>
        </w:tc>
      </w:tr>
      <w:tr w:rsidR="00754E3B" w:rsidRPr="00754E3B" w:rsidTr="00754E3B">
        <w:trPr>
          <w:trHeight w:val="300"/>
        </w:trPr>
        <w:tc>
          <w:tcPr>
            <w:tcW w:w="1738" w:type="pct"/>
            <w:tcBorders>
              <w:top w:val="nil"/>
              <w:left w:val="single" w:sz="4" w:space="0" w:color="auto"/>
              <w:bottom w:val="nil"/>
              <w:right w:val="nil"/>
            </w:tcBorders>
            <w:shd w:val="clear" w:color="auto" w:fill="auto"/>
            <w:noWrap/>
            <w:vAlign w:val="bottom"/>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754E3B">
              <w:rPr>
                <w:rFonts w:cs="Arial"/>
                <w:color w:val="000000"/>
                <w:sz w:val="22"/>
                <w:szCs w:val="22"/>
                <w:lang w:val="en-US" w:eastAsia="zh-CN"/>
              </w:rPr>
              <w:t>Unrealized exchange gain</w:t>
            </w:r>
          </w:p>
        </w:tc>
        <w:tc>
          <w:tcPr>
            <w:tcW w:w="762" w:type="pct"/>
            <w:tcBorders>
              <w:top w:val="nil"/>
              <w:left w:val="single" w:sz="4" w:space="0" w:color="auto"/>
              <w:bottom w:val="nil"/>
              <w:right w:val="single" w:sz="4" w:space="0" w:color="auto"/>
            </w:tcBorders>
            <w:shd w:val="clear" w:color="auto" w:fill="auto"/>
            <w:noWrap/>
            <w:vAlign w:val="bottom"/>
            <w:hideMark/>
          </w:tcPr>
          <w:p w:rsidR="00754E3B" w:rsidRPr="00754E3B" w:rsidRDefault="00F41301"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754E3B" w:rsidRPr="00754E3B">
              <w:rPr>
                <w:rFonts w:cs="Arial"/>
                <w:color w:val="000000"/>
                <w:sz w:val="22"/>
                <w:szCs w:val="22"/>
                <w:lang w:val="en-US" w:eastAsia="zh-CN"/>
              </w:rPr>
              <w:t> </w:t>
            </w:r>
          </w:p>
        </w:tc>
        <w:tc>
          <w:tcPr>
            <w:tcW w:w="1236" w:type="pct"/>
            <w:tcBorders>
              <w:top w:val="nil"/>
              <w:left w:val="nil"/>
              <w:bottom w:val="nil"/>
              <w:right w:val="single" w:sz="4" w:space="0" w:color="auto"/>
            </w:tcBorders>
            <w:shd w:val="clear" w:color="auto" w:fill="auto"/>
            <w:noWrap/>
            <w:vAlign w:val="bottom"/>
            <w:hideMark/>
          </w:tcPr>
          <w:p w:rsidR="00754E3B" w:rsidRPr="00754E3B" w:rsidRDefault="00F41301"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754E3B" w:rsidRPr="00754E3B">
              <w:rPr>
                <w:rFonts w:cs="Arial"/>
                <w:color w:val="000000"/>
                <w:sz w:val="22"/>
                <w:szCs w:val="22"/>
                <w:lang w:val="en-US" w:eastAsia="zh-CN"/>
              </w:rPr>
              <w:t> </w:t>
            </w:r>
          </w:p>
        </w:tc>
        <w:tc>
          <w:tcPr>
            <w:tcW w:w="1264" w:type="pct"/>
            <w:tcBorders>
              <w:top w:val="nil"/>
              <w:left w:val="nil"/>
              <w:bottom w:val="nil"/>
              <w:right w:val="single" w:sz="4" w:space="0" w:color="auto"/>
            </w:tcBorders>
            <w:shd w:val="clear" w:color="auto" w:fill="auto"/>
            <w:noWrap/>
            <w:vAlign w:val="bottom"/>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 xml:space="preserve">                                     -   </w:t>
            </w:r>
          </w:p>
        </w:tc>
      </w:tr>
      <w:tr w:rsidR="00754E3B" w:rsidRPr="00754E3B" w:rsidTr="00754E3B">
        <w:trPr>
          <w:trHeight w:val="499"/>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754E3B">
              <w:rPr>
                <w:rFonts w:cs="Arial"/>
                <w:b/>
                <w:bCs/>
                <w:color w:val="000000"/>
                <w:sz w:val="22"/>
                <w:szCs w:val="22"/>
                <w:lang w:val="en-US" w:eastAsia="zh-CN"/>
              </w:rPr>
              <w:t>Closing balance</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754E3B">
              <w:rPr>
                <w:rFonts w:cs="Arial"/>
                <w:b/>
                <w:bCs/>
                <w:color w:val="000000"/>
                <w:sz w:val="22"/>
                <w:szCs w:val="22"/>
                <w:lang w:val="en-US" w:eastAsia="zh-CN"/>
              </w:rPr>
              <w:t xml:space="preserve">                    39 </w:t>
            </w:r>
          </w:p>
        </w:tc>
        <w:tc>
          <w:tcPr>
            <w:tcW w:w="1236" w:type="pct"/>
            <w:tcBorders>
              <w:top w:val="single" w:sz="4" w:space="0" w:color="auto"/>
              <w:left w:val="nil"/>
              <w:bottom w:val="single" w:sz="4" w:space="0" w:color="auto"/>
              <w:right w:val="single" w:sz="4" w:space="0" w:color="auto"/>
            </w:tcBorders>
            <w:shd w:val="clear" w:color="auto" w:fill="auto"/>
            <w:noWrap/>
            <w:vAlign w:val="center"/>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754E3B">
              <w:rPr>
                <w:rFonts w:cs="Arial"/>
                <w:b/>
                <w:bCs/>
                <w:color w:val="000000"/>
                <w:sz w:val="22"/>
                <w:szCs w:val="22"/>
                <w:lang w:val="en-US" w:eastAsia="zh-CN"/>
              </w:rPr>
              <w:t xml:space="preserve">                                 148 </w:t>
            </w:r>
          </w:p>
        </w:tc>
        <w:tc>
          <w:tcPr>
            <w:tcW w:w="1264" w:type="pct"/>
            <w:tcBorders>
              <w:top w:val="single" w:sz="4" w:space="0" w:color="auto"/>
              <w:left w:val="nil"/>
              <w:bottom w:val="single" w:sz="4" w:space="0" w:color="auto"/>
              <w:right w:val="single" w:sz="4" w:space="0" w:color="auto"/>
            </w:tcBorders>
            <w:shd w:val="clear" w:color="auto" w:fill="auto"/>
            <w:noWrap/>
            <w:vAlign w:val="center"/>
            <w:hideMark/>
          </w:tcPr>
          <w:p w:rsidR="00754E3B" w:rsidRPr="00754E3B" w:rsidRDefault="00754E3B" w:rsidP="00754E3B">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754E3B">
              <w:rPr>
                <w:rFonts w:cs="Arial"/>
                <w:b/>
                <w:bCs/>
                <w:color w:val="000000"/>
                <w:sz w:val="22"/>
                <w:szCs w:val="22"/>
                <w:lang w:val="en-US" w:eastAsia="zh-CN"/>
              </w:rPr>
              <w:t xml:space="preserve">                                  187 </w:t>
            </w:r>
          </w:p>
        </w:tc>
      </w:tr>
    </w:tbl>
    <w:p w:rsidR="00DA2ABD" w:rsidRPr="00D82A95" w:rsidRDefault="00DA2ABD" w:rsidP="00D82A95">
      <w:pPr>
        <w:keepNext/>
        <w:snapToGrid w:val="0"/>
        <w:spacing w:before="0"/>
        <w:rPr>
          <w:b/>
          <w:bCs/>
          <w:sz w:val="18"/>
          <w:szCs w:val="18"/>
          <w:lang w:val="en-US"/>
        </w:rPr>
      </w:pPr>
    </w:p>
    <w:p w:rsidR="00CF1FDC" w:rsidRPr="00CF1FDC" w:rsidRDefault="00CF1FDC" w:rsidP="00227D54">
      <w:pPr>
        <w:keepNext/>
        <w:spacing w:before="0"/>
        <w:jc w:val="both"/>
        <w:rPr>
          <w:rFonts w:cs="Arial"/>
          <w:szCs w:val="24"/>
          <w:lang w:val="en-US"/>
        </w:rPr>
      </w:pPr>
      <w:r w:rsidRPr="00CF1FDC">
        <w:rPr>
          <w:rFonts w:cs="Arial"/>
          <w:szCs w:val="24"/>
          <w:lang w:val="en-US" w:eastAsia="fr-FR"/>
        </w:rPr>
        <w:t xml:space="preserve">Overtime is calculated in accordance with </w:t>
      </w:r>
      <w:r w:rsidRPr="00CF1FDC">
        <w:rPr>
          <w:rFonts w:cs="Arial"/>
          <w:szCs w:val="24"/>
          <w:lang w:val="en-US"/>
        </w:rPr>
        <w:t>the conditions established in the Staff Regulations and Staff Rules on the basis of local conditions and practices of local organizations of the United Nations common system.</w:t>
      </w:r>
    </w:p>
    <w:p w:rsidR="00DA2ABD" w:rsidRDefault="0022373A" w:rsidP="00227D54">
      <w:pPr>
        <w:spacing w:after="120"/>
        <w:jc w:val="both"/>
        <w:rPr>
          <w:rFonts w:cs="Arial"/>
          <w:szCs w:val="24"/>
          <w:lang w:val="en-US" w:eastAsia="fr-FR"/>
        </w:rPr>
      </w:pPr>
      <w:r w:rsidRPr="00CF1FDC">
        <w:rPr>
          <w:rFonts w:cs="Arial"/>
          <w:szCs w:val="24"/>
          <w:lang w:val="en-US" w:eastAsia="fr-FR"/>
        </w:rPr>
        <w:t>Accrued leave refers to leave accrued during the financial period.</w:t>
      </w:r>
    </w:p>
    <w:p w:rsidR="00F43D87" w:rsidRDefault="00F43D87">
      <w:pPr>
        <w:tabs>
          <w:tab w:val="clear" w:pos="567"/>
          <w:tab w:val="clear" w:pos="1134"/>
          <w:tab w:val="clear" w:pos="1701"/>
          <w:tab w:val="clear" w:pos="2268"/>
          <w:tab w:val="clear" w:pos="2835"/>
        </w:tabs>
        <w:overflowPunct/>
        <w:autoSpaceDE/>
        <w:autoSpaceDN/>
        <w:adjustRightInd/>
        <w:spacing w:before="0"/>
        <w:textAlignment w:val="auto"/>
        <w:rPr>
          <w:b/>
          <w:lang w:val="en-US"/>
        </w:rPr>
      </w:pPr>
      <w:bookmarkStart w:id="91" w:name="_Toc305764092"/>
      <w:bookmarkStart w:id="92" w:name="_Toc329011643"/>
      <w:r>
        <w:rPr>
          <w:lang w:val="en-US"/>
        </w:rPr>
        <w:br w:type="page"/>
      </w:r>
    </w:p>
    <w:p w:rsidR="0022373A" w:rsidRPr="001C2A98" w:rsidRDefault="0022373A" w:rsidP="00284AFF">
      <w:pPr>
        <w:pStyle w:val="Heading5"/>
        <w:tabs>
          <w:tab w:val="clear" w:pos="1134"/>
          <w:tab w:val="left" w:pos="851"/>
        </w:tabs>
        <w:ind w:left="0" w:firstLine="0"/>
        <w:rPr>
          <w:lang w:val="en-US"/>
        </w:rPr>
      </w:pPr>
      <w:r w:rsidRPr="00F41301">
        <w:rPr>
          <w:lang w:val="en-US"/>
        </w:rPr>
        <w:t>1</w:t>
      </w:r>
      <w:r w:rsidR="00284AFF" w:rsidRPr="00F41301">
        <w:rPr>
          <w:lang w:val="en-US"/>
        </w:rPr>
        <w:t>7</w:t>
      </w:r>
      <w:r w:rsidRPr="00F41301">
        <w:rPr>
          <w:lang w:val="en-US"/>
        </w:rPr>
        <w:t xml:space="preserve">.2 </w:t>
      </w:r>
      <w:r w:rsidR="00165BEF" w:rsidRPr="00F41301">
        <w:rPr>
          <w:lang w:val="en-US"/>
        </w:rPr>
        <w:tab/>
      </w:r>
      <w:r w:rsidR="003E0EC2" w:rsidRPr="00F41301">
        <w:rPr>
          <w:lang w:val="en-US"/>
        </w:rPr>
        <w:tab/>
      </w:r>
      <w:r w:rsidRPr="00F41301">
        <w:rPr>
          <w:lang w:val="en-US"/>
        </w:rPr>
        <w:t>Long-term employee benefits</w:t>
      </w:r>
      <w:bookmarkEnd w:id="91"/>
      <w:bookmarkEnd w:id="92"/>
    </w:p>
    <w:p w:rsidR="0022373A" w:rsidRDefault="00794B42" w:rsidP="00804CAC">
      <w:pPr>
        <w:keepNext/>
        <w:spacing w:before="240" w:after="240"/>
        <w:rPr>
          <w:b/>
          <w:bCs/>
          <w:lang w:val="en-US"/>
        </w:rPr>
      </w:pPr>
      <w:r>
        <w:rPr>
          <w:b/>
          <w:bCs/>
          <w:lang w:val="en-US"/>
        </w:rPr>
        <w:t>Figures at 31.12.</w:t>
      </w:r>
      <w:r w:rsidR="00111BDD">
        <w:rPr>
          <w:b/>
          <w:bCs/>
          <w:lang w:val="en-US"/>
        </w:rPr>
        <w:t>201</w:t>
      </w:r>
      <w:r w:rsidR="00804CAC">
        <w:rPr>
          <w:b/>
          <w:bCs/>
          <w:lang w:val="en-US"/>
        </w:rPr>
        <w:t>8</w:t>
      </w:r>
    </w:p>
    <w:tbl>
      <w:tblPr>
        <w:tblW w:w="5000" w:type="pct"/>
        <w:tblLayout w:type="fixed"/>
        <w:tblLook w:val="04A0" w:firstRow="1" w:lastRow="0" w:firstColumn="1" w:lastColumn="0" w:noHBand="0" w:noVBand="1"/>
      </w:tblPr>
      <w:tblGrid>
        <w:gridCol w:w="2655"/>
        <w:gridCol w:w="1173"/>
        <w:gridCol w:w="1134"/>
        <w:gridCol w:w="1893"/>
        <w:gridCol w:w="1662"/>
        <w:gridCol w:w="1259"/>
      </w:tblGrid>
      <w:tr w:rsidR="00672A3E" w:rsidRPr="00672A3E" w:rsidTr="00672A3E">
        <w:trPr>
          <w:trHeight w:val="855"/>
        </w:trPr>
        <w:tc>
          <w:tcPr>
            <w:tcW w:w="1358" w:type="pct"/>
            <w:tcBorders>
              <w:top w:val="nil"/>
              <w:left w:val="nil"/>
              <w:bottom w:val="nil"/>
              <w:right w:val="nil"/>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val="en-US" w:eastAsia="zh-CN"/>
              </w:rPr>
            </w:pPr>
          </w:p>
        </w:tc>
        <w:tc>
          <w:tcPr>
            <w:tcW w:w="3642"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672A3E">
              <w:rPr>
                <w:rFonts w:cs="Arial"/>
                <w:b/>
                <w:bCs/>
                <w:color w:val="000000"/>
                <w:sz w:val="22"/>
                <w:szCs w:val="22"/>
                <w:lang w:val="en-US" w:eastAsia="zh-CN"/>
              </w:rPr>
              <w:t>Employee benefits – long term</w:t>
            </w:r>
          </w:p>
        </w:tc>
      </w:tr>
      <w:tr w:rsidR="00672A3E" w:rsidRPr="00672A3E" w:rsidTr="00D75EBE">
        <w:trPr>
          <w:trHeight w:val="900"/>
        </w:trPr>
        <w:tc>
          <w:tcPr>
            <w:tcW w:w="1358" w:type="pct"/>
            <w:tcBorders>
              <w:top w:val="single" w:sz="4" w:space="0" w:color="auto"/>
              <w:left w:val="single" w:sz="4" w:space="0" w:color="auto"/>
              <w:bottom w:val="single" w:sz="4" w:space="0" w:color="auto"/>
              <w:right w:val="nil"/>
            </w:tcBorders>
            <w:shd w:val="clear" w:color="auto" w:fill="auto"/>
            <w:noWrap/>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672A3E">
              <w:rPr>
                <w:rFonts w:cs="Arial"/>
                <w:b/>
                <w:bCs/>
                <w:color w:val="000000"/>
                <w:sz w:val="22"/>
                <w:szCs w:val="22"/>
                <w:lang w:val="en-US" w:eastAsia="zh-CN"/>
              </w:rPr>
              <w:t>In thousands of CHF</w:t>
            </w:r>
          </w:p>
        </w:tc>
        <w:tc>
          <w:tcPr>
            <w:tcW w:w="600" w:type="pct"/>
            <w:tcBorders>
              <w:top w:val="nil"/>
              <w:left w:val="single" w:sz="4" w:space="0" w:color="auto"/>
              <w:bottom w:val="single" w:sz="4" w:space="0" w:color="auto"/>
              <w:right w:val="single" w:sz="4" w:space="0" w:color="auto"/>
            </w:tcBorders>
            <w:shd w:val="clear" w:color="auto" w:fill="auto"/>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672A3E">
              <w:rPr>
                <w:rFonts w:cs="Arial"/>
                <w:b/>
                <w:bCs/>
                <w:color w:val="000000"/>
                <w:sz w:val="22"/>
                <w:szCs w:val="22"/>
                <w:lang w:val="en-US" w:eastAsia="zh-CN"/>
              </w:rPr>
              <w:t>ASHI</w:t>
            </w:r>
          </w:p>
        </w:tc>
        <w:tc>
          <w:tcPr>
            <w:tcW w:w="580" w:type="pct"/>
            <w:tcBorders>
              <w:top w:val="nil"/>
              <w:left w:val="nil"/>
              <w:bottom w:val="single" w:sz="4" w:space="0" w:color="auto"/>
              <w:right w:val="single" w:sz="4" w:space="0" w:color="auto"/>
            </w:tcBorders>
            <w:shd w:val="clear" w:color="auto" w:fill="auto"/>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672A3E">
              <w:rPr>
                <w:rFonts w:cs="Arial"/>
                <w:b/>
                <w:bCs/>
                <w:color w:val="000000"/>
                <w:sz w:val="22"/>
                <w:szCs w:val="22"/>
                <w:lang w:val="en-US" w:eastAsia="zh-CN"/>
              </w:rPr>
              <w:t>Pensions</w:t>
            </w:r>
          </w:p>
        </w:tc>
        <w:tc>
          <w:tcPr>
            <w:tcW w:w="968" w:type="pct"/>
            <w:tcBorders>
              <w:top w:val="nil"/>
              <w:left w:val="nil"/>
              <w:bottom w:val="single" w:sz="4" w:space="0" w:color="auto"/>
              <w:right w:val="single" w:sz="4" w:space="0" w:color="auto"/>
            </w:tcBorders>
            <w:shd w:val="clear" w:color="auto" w:fill="auto"/>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672A3E">
              <w:rPr>
                <w:rFonts w:cs="Arial"/>
                <w:b/>
                <w:bCs/>
                <w:color w:val="000000"/>
                <w:sz w:val="22"/>
                <w:szCs w:val="22"/>
                <w:lang w:val="en-US" w:eastAsia="zh-CN"/>
              </w:rPr>
              <w:t>Installation/   repatriation</w:t>
            </w:r>
          </w:p>
        </w:tc>
        <w:tc>
          <w:tcPr>
            <w:tcW w:w="850" w:type="pct"/>
            <w:tcBorders>
              <w:top w:val="nil"/>
              <w:left w:val="nil"/>
              <w:bottom w:val="single" w:sz="4" w:space="0" w:color="auto"/>
              <w:right w:val="single" w:sz="4" w:space="0" w:color="auto"/>
            </w:tcBorders>
            <w:shd w:val="clear" w:color="auto" w:fill="auto"/>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672A3E">
              <w:rPr>
                <w:rFonts w:cs="Arial"/>
                <w:b/>
                <w:bCs/>
                <w:color w:val="000000"/>
                <w:sz w:val="22"/>
                <w:szCs w:val="22"/>
                <w:lang w:val="en-US" w:eastAsia="zh-CN"/>
              </w:rPr>
              <w:t>Accumulated leave</w:t>
            </w:r>
          </w:p>
        </w:tc>
        <w:tc>
          <w:tcPr>
            <w:tcW w:w="644" w:type="pct"/>
            <w:tcBorders>
              <w:top w:val="nil"/>
              <w:left w:val="nil"/>
              <w:bottom w:val="single" w:sz="4" w:space="0" w:color="auto"/>
              <w:right w:val="single" w:sz="4" w:space="0" w:color="auto"/>
            </w:tcBorders>
            <w:shd w:val="clear" w:color="auto" w:fill="auto"/>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672A3E">
              <w:rPr>
                <w:rFonts w:cs="Arial"/>
                <w:b/>
                <w:bCs/>
                <w:color w:val="000000"/>
                <w:sz w:val="22"/>
                <w:szCs w:val="22"/>
                <w:lang w:val="en-US" w:eastAsia="zh-CN"/>
              </w:rPr>
              <w:t>Total employee benefits long term</w:t>
            </w:r>
          </w:p>
        </w:tc>
      </w:tr>
      <w:tr w:rsidR="00672A3E" w:rsidRPr="00672A3E" w:rsidTr="00672A3E">
        <w:trPr>
          <w:trHeight w:val="300"/>
        </w:trPr>
        <w:tc>
          <w:tcPr>
            <w:tcW w:w="1358" w:type="pct"/>
            <w:tcBorders>
              <w:top w:val="nil"/>
              <w:left w:val="single" w:sz="4" w:space="0" w:color="auto"/>
              <w:bottom w:val="single" w:sz="4" w:space="0" w:color="auto"/>
              <w:right w:val="nil"/>
            </w:tcBorders>
            <w:shd w:val="clear" w:color="auto" w:fill="auto"/>
            <w:noWrap/>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672A3E">
              <w:rPr>
                <w:rFonts w:cs="Arial"/>
                <w:b/>
                <w:bCs/>
                <w:color w:val="000000"/>
                <w:sz w:val="22"/>
                <w:szCs w:val="22"/>
                <w:lang w:val="en-US" w:eastAsia="zh-CN"/>
              </w:rPr>
              <w:t>Opening balance</w:t>
            </w:r>
          </w:p>
        </w:tc>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6</w:t>
            </w:r>
            <w:r w:rsidRPr="00672A3E">
              <w:rPr>
                <w:rFonts w:cs="Arial"/>
                <w:b/>
                <w:bCs/>
                <w:color w:val="000000"/>
                <w:sz w:val="22"/>
                <w:szCs w:val="22"/>
                <w:lang w:val="en-US" w:eastAsia="zh-CN"/>
              </w:rPr>
              <w:t xml:space="preserve">17,250 </w:t>
            </w:r>
          </w:p>
        </w:tc>
        <w:tc>
          <w:tcPr>
            <w:tcW w:w="580" w:type="pct"/>
            <w:tcBorders>
              <w:top w:val="nil"/>
              <w:left w:val="nil"/>
              <w:bottom w:val="single" w:sz="4" w:space="0" w:color="auto"/>
              <w:right w:val="single" w:sz="4" w:space="0" w:color="auto"/>
            </w:tcBorders>
            <w:shd w:val="clear" w:color="auto" w:fill="auto"/>
            <w:noWrap/>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672A3E">
              <w:rPr>
                <w:rFonts w:cs="Arial"/>
                <w:b/>
                <w:bCs/>
                <w:color w:val="000000"/>
                <w:sz w:val="22"/>
                <w:szCs w:val="22"/>
                <w:lang w:val="en-US" w:eastAsia="zh-CN"/>
              </w:rPr>
              <w:t xml:space="preserve">            54 </w:t>
            </w:r>
          </w:p>
        </w:tc>
        <w:tc>
          <w:tcPr>
            <w:tcW w:w="968" w:type="pct"/>
            <w:tcBorders>
              <w:top w:val="nil"/>
              <w:left w:val="nil"/>
              <w:bottom w:val="single" w:sz="4" w:space="0" w:color="auto"/>
              <w:right w:val="single" w:sz="4" w:space="0" w:color="auto"/>
            </w:tcBorders>
            <w:shd w:val="clear" w:color="auto" w:fill="auto"/>
            <w:noWrap/>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672A3E">
              <w:rPr>
                <w:rFonts w:cs="Arial"/>
                <w:b/>
                <w:bCs/>
                <w:color w:val="000000"/>
                <w:sz w:val="22"/>
                <w:szCs w:val="22"/>
                <w:lang w:val="en-US" w:eastAsia="zh-CN"/>
              </w:rPr>
              <w:t xml:space="preserve">                12,485 </w:t>
            </w:r>
          </w:p>
        </w:tc>
        <w:tc>
          <w:tcPr>
            <w:tcW w:w="850" w:type="pct"/>
            <w:tcBorders>
              <w:top w:val="nil"/>
              <w:left w:val="nil"/>
              <w:bottom w:val="single" w:sz="4" w:space="0" w:color="auto"/>
              <w:right w:val="single" w:sz="4" w:space="0" w:color="auto"/>
            </w:tcBorders>
            <w:shd w:val="clear" w:color="auto" w:fill="auto"/>
            <w:noWrap/>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672A3E">
              <w:rPr>
                <w:rFonts w:cs="Arial"/>
                <w:b/>
                <w:bCs/>
                <w:color w:val="000000"/>
                <w:sz w:val="22"/>
                <w:szCs w:val="22"/>
                <w:lang w:val="en-US" w:eastAsia="zh-CN"/>
              </w:rPr>
              <w:t xml:space="preserve">           8,576 </w:t>
            </w:r>
          </w:p>
        </w:tc>
        <w:tc>
          <w:tcPr>
            <w:tcW w:w="644" w:type="pct"/>
            <w:tcBorders>
              <w:top w:val="nil"/>
              <w:left w:val="nil"/>
              <w:bottom w:val="single" w:sz="4" w:space="0" w:color="auto"/>
              <w:right w:val="single" w:sz="4" w:space="0" w:color="auto"/>
            </w:tcBorders>
            <w:shd w:val="clear" w:color="auto" w:fill="auto"/>
            <w:noWrap/>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672A3E">
              <w:rPr>
                <w:rFonts w:cs="Arial"/>
                <w:b/>
                <w:bCs/>
                <w:color w:val="000000"/>
                <w:sz w:val="22"/>
                <w:szCs w:val="22"/>
                <w:lang w:val="en-US" w:eastAsia="zh-CN"/>
              </w:rPr>
              <w:t xml:space="preserve">      638,365 </w:t>
            </w:r>
          </w:p>
        </w:tc>
      </w:tr>
      <w:tr w:rsidR="00672A3E" w:rsidRPr="00672A3E" w:rsidTr="00672A3E">
        <w:trPr>
          <w:trHeight w:val="300"/>
        </w:trPr>
        <w:tc>
          <w:tcPr>
            <w:tcW w:w="1358" w:type="pct"/>
            <w:tcBorders>
              <w:top w:val="nil"/>
              <w:left w:val="single" w:sz="4" w:space="0" w:color="auto"/>
              <w:bottom w:val="nil"/>
              <w:right w:val="single" w:sz="4" w:space="0" w:color="auto"/>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672A3E">
              <w:rPr>
                <w:rFonts w:cs="Arial"/>
                <w:color w:val="000000"/>
                <w:sz w:val="22"/>
                <w:szCs w:val="22"/>
                <w:lang w:val="en-US" w:eastAsia="zh-CN"/>
              </w:rPr>
              <w:t>Increase</w:t>
            </w:r>
          </w:p>
        </w:tc>
        <w:tc>
          <w:tcPr>
            <w:tcW w:w="600" w:type="pct"/>
            <w:tcBorders>
              <w:top w:val="nil"/>
              <w:left w:val="nil"/>
              <w:bottom w:val="nil"/>
              <w:right w:val="single" w:sz="4" w:space="0" w:color="auto"/>
            </w:tcBorders>
            <w:shd w:val="clear" w:color="auto" w:fill="auto"/>
            <w:noWrap/>
            <w:vAlign w:val="bottom"/>
          </w:tcPr>
          <w:p w:rsidR="00672A3E" w:rsidRPr="00672A3E" w:rsidRDefault="00F41301"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p>
        </w:tc>
        <w:tc>
          <w:tcPr>
            <w:tcW w:w="580" w:type="pct"/>
            <w:tcBorders>
              <w:top w:val="nil"/>
              <w:left w:val="nil"/>
              <w:bottom w:val="nil"/>
              <w:right w:val="single" w:sz="4" w:space="0" w:color="auto"/>
            </w:tcBorders>
            <w:shd w:val="clear" w:color="auto" w:fill="auto"/>
            <w:noWrap/>
            <w:vAlign w:val="bottom"/>
            <w:hideMark/>
          </w:tcPr>
          <w:p w:rsidR="00672A3E" w:rsidRPr="00672A3E" w:rsidRDefault="00F41301"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672A3E" w:rsidRPr="00672A3E">
              <w:rPr>
                <w:rFonts w:cs="Arial"/>
                <w:color w:val="000000"/>
                <w:sz w:val="22"/>
                <w:szCs w:val="22"/>
                <w:lang w:val="en-US" w:eastAsia="zh-CN"/>
              </w:rPr>
              <w:t> </w:t>
            </w:r>
          </w:p>
        </w:tc>
        <w:tc>
          <w:tcPr>
            <w:tcW w:w="968" w:type="pct"/>
            <w:tcBorders>
              <w:top w:val="nil"/>
              <w:left w:val="nil"/>
              <w:bottom w:val="nil"/>
              <w:right w:val="single" w:sz="4" w:space="0" w:color="auto"/>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xml:space="preserve">                778 </w:t>
            </w:r>
          </w:p>
        </w:tc>
        <w:tc>
          <w:tcPr>
            <w:tcW w:w="850" w:type="pct"/>
            <w:tcBorders>
              <w:top w:val="nil"/>
              <w:left w:val="nil"/>
              <w:bottom w:val="nil"/>
              <w:right w:val="single" w:sz="4" w:space="0" w:color="auto"/>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xml:space="preserve">           313 </w:t>
            </w:r>
          </w:p>
        </w:tc>
        <w:tc>
          <w:tcPr>
            <w:tcW w:w="644" w:type="pct"/>
            <w:tcBorders>
              <w:top w:val="nil"/>
              <w:left w:val="nil"/>
              <w:bottom w:val="nil"/>
              <w:right w:val="single" w:sz="4" w:space="0" w:color="auto"/>
            </w:tcBorders>
            <w:shd w:val="clear" w:color="auto" w:fill="auto"/>
            <w:noWrap/>
            <w:vAlign w:val="bottom"/>
            <w:hideMark/>
          </w:tcPr>
          <w:p w:rsidR="00672A3E" w:rsidRPr="00672A3E" w:rsidRDefault="00E053CC"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1,091</w:t>
            </w:r>
            <w:r w:rsidR="00672A3E" w:rsidRPr="00672A3E">
              <w:rPr>
                <w:rFonts w:cs="Arial"/>
                <w:color w:val="000000"/>
                <w:sz w:val="22"/>
                <w:szCs w:val="22"/>
                <w:lang w:val="en-US" w:eastAsia="zh-CN"/>
              </w:rPr>
              <w:t> </w:t>
            </w:r>
          </w:p>
        </w:tc>
      </w:tr>
      <w:tr w:rsidR="00672A3E" w:rsidRPr="00672A3E" w:rsidTr="00672A3E">
        <w:trPr>
          <w:trHeight w:val="300"/>
        </w:trPr>
        <w:tc>
          <w:tcPr>
            <w:tcW w:w="1358" w:type="pct"/>
            <w:tcBorders>
              <w:top w:val="nil"/>
              <w:left w:val="single" w:sz="4" w:space="0" w:color="auto"/>
              <w:bottom w:val="nil"/>
              <w:right w:val="single" w:sz="4" w:space="0" w:color="auto"/>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672A3E">
              <w:rPr>
                <w:rFonts w:cs="Arial"/>
                <w:color w:val="000000"/>
                <w:sz w:val="22"/>
                <w:szCs w:val="22"/>
                <w:lang w:val="en-US" w:eastAsia="zh-CN"/>
              </w:rPr>
              <w:t>Used during year</w:t>
            </w:r>
          </w:p>
        </w:tc>
        <w:tc>
          <w:tcPr>
            <w:tcW w:w="600" w:type="pct"/>
            <w:tcBorders>
              <w:top w:val="nil"/>
              <w:left w:val="nil"/>
              <w:bottom w:val="nil"/>
              <w:right w:val="single" w:sz="4" w:space="0" w:color="auto"/>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xml:space="preserve"> -65,010 </w:t>
            </w:r>
          </w:p>
        </w:tc>
        <w:tc>
          <w:tcPr>
            <w:tcW w:w="580" w:type="pct"/>
            <w:tcBorders>
              <w:top w:val="nil"/>
              <w:left w:val="nil"/>
              <w:bottom w:val="nil"/>
              <w:right w:val="single" w:sz="4" w:space="0" w:color="auto"/>
            </w:tcBorders>
            <w:shd w:val="clear" w:color="auto" w:fill="auto"/>
            <w:noWrap/>
            <w:vAlign w:val="bottom"/>
            <w:hideMark/>
          </w:tcPr>
          <w:p w:rsidR="00672A3E" w:rsidRPr="00672A3E" w:rsidRDefault="00F41301"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672A3E" w:rsidRPr="00672A3E">
              <w:rPr>
                <w:rFonts w:cs="Arial"/>
                <w:color w:val="000000"/>
                <w:sz w:val="22"/>
                <w:szCs w:val="22"/>
                <w:lang w:val="en-US" w:eastAsia="zh-CN"/>
              </w:rPr>
              <w:t> </w:t>
            </w:r>
          </w:p>
        </w:tc>
        <w:tc>
          <w:tcPr>
            <w:tcW w:w="968" w:type="pct"/>
            <w:tcBorders>
              <w:top w:val="nil"/>
              <w:left w:val="nil"/>
              <w:bottom w:val="nil"/>
              <w:right w:val="single" w:sz="4" w:space="0" w:color="auto"/>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xml:space="preserve">                        -575 </w:t>
            </w:r>
          </w:p>
        </w:tc>
        <w:tc>
          <w:tcPr>
            <w:tcW w:w="850" w:type="pct"/>
            <w:tcBorders>
              <w:top w:val="nil"/>
              <w:left w:val="nil"/>
              <w:bottom w:val="nil"/>
              <w:right w:val="single" w:sz="4" w:space="0" w:color="auto"/>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xml:space="preserve">               -119 </w:t>
            </w:r>
          </w:p>
        </w:tc>
        <w:tc>
          <w:tcPr>
            <w:tcW w:w="644" w:type="pct"/>
            <w:tcBorders>
              <w:top w:val="nil"/>
              <w:left w:val="nil"/>
              <w:bottom w:val="nil"/>
              <w:right w:val="single" w:sz="4" w:space="0" w:color="auto"/>
            </w:tcBorders>
            <w:shd w:val="clear" w:color="auto" w:fill="auto"/>
            <w:noWrap/>
            <w:vAlign w:val="bottom"/>
            <w:hideMark/>
          </w:tcPr>
          <w:p w:rsidR="00672A3E" w:rsidRPr="00672A3E" w:rsidRDefault="00E053CC"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-65,704</w:t>
            </w:r>
            <w:r w:rsidR="00672A3E" w:rsidRPr="00672A3E">
              <w:rPr>
                <w:rFonts w:cs="Arial"/>
                <w:color w:val="000000"/>
                <w:sz w:val="22"/>
                <w:szCs w:val="22"/>
                <w:lang w:val="en-US" w:eastAsia="zh-CN"/>
              </w:rPr>
              <w:t> </w:t>
            </w:r>
          </w:p>
        </w:tc>
      </w:tr>
      <w:tr w:rsidR="00672A3E" w:rsidRPr="00672A3E" w:rsidTr="00672A3E">
        <w:trPr>
          <w:trHeight w:val="300"/>
        </w:trPr>
        <w:tc>
          <w:tcPr>
            <w:tcW w:w="1358" w:type="pct"/>
            <w:tcBorders>
              <w:top w:val="nil"/>
              <w:left w:val="single" w:sz="4" w:space="0" w:color="auto"/>
              <w:bottom w:val="nil"/>
              <w:right w:val="single" w:sz="4" w:space="0" w:color="auto"/>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672A3E">
              <w:rPr>
                <w:rFonts w:cs="Arial"/>
                <w:color w:val="000000"/>
                <w:sz w:val="22"/>
                <w:szCs w:val="22"/>
                <w:lang w:val="en-US" w:eastAsia="zh-CN"/>
              </w:rPr>
              <w:t>Release</w:t>
            </w:r>
          </w:p>
        </w:tc>
        <w:tc>
          <w:tcPr>
            <w:tcW w:w="600" w:type="pct"/>
            <w:tcBorders>
              <w:top w:val="nil"/>
              <w:left w:val="nil"/>
              <w:bottom w:val="nil"/>
              <w:right w:val="single" w:sz="4" w:space="0" w:color="auto"/>
            </w:tcBorders>
            <w:shd w:val="clear" w:color="auto" w:fill="auto"/>
            <w:noWrap/>
            <w:vAlign w:val="bottom"/>
            <w:hideMark/>
          </w:tcPr>
          <w:p w:rsidR="00672A3E" w:rsidRPr="00672A3E" w:rsidRDefault="00F41301"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672A3E" w:rsidRPr="00672A3E">
              <w:rPr>
                <w:rFonts w:cs="Arial"/>
                <w:color w:val="000000"/>
                <w:sz w:val="22"/>
                <w:szCs w:val="22"/>
                <w:lang w:val="en-US" w:eastAsia="zh-CN"/>
              </w:rPr>
              <w:t> </w:t>
            </w:r>
          </w:p>
        </w:tc>
        <w:tc>
          <w:tcPr>
            <w:tcW w:w="580" w:type="pct"/>
            <w:tcBorders>
              <w:top w:val="nil"/>
              <w:left w:val="nil"/>
              <w:bottom w:val="nil"/>
              <w:right w:val="single" w:sz="4" w:space="0" w:color="auto"/>
            </w:tcBorders>
            <w:shd w:val="clear" w:color="auto" w:fill="auto"/>
            <w:noWrap/>
            <w:vAlign w:val="bottom"/>
            <w:hideMark/>
          </w:tcPr>
          <w:p w:rsidR="00672A3E" w:rsidRPr="00672A3E" w:rsidRDefault="00F41301"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672A3E" w:rsidRPr="00672A3E">
              <w:rPr>
                <w:rFonts w:cs="Arial"/>
                <w:color w:val="000000"/>
                <w:sz w:val="22"/>
                <w:szCs w:val="22"/>
                <w:lang w:val="en-US" w:eastAsia="zh-CN"/>
              </w:rPr>
              <w:t> </w:t>
            </w:r>
          </w:p>
        </w:tc>
        <w:tc>
          <w:tcPr>
            <w:tcW w:w="968" w:type="pct"/>
            <w:tcBorders>
              <w:top w:val="nil"/>
              <w:left w:val="nil"/>
              <w:bottom w:val="nil"/>
              <w:right w:val="single" w:sz="4" w:space="0" w:color="auto"/>
            </w:tcBorders>
            <w:shd w:val="clear" w:color="auto" w:fill="auto"/>
            <w:noWrap/>
            <w:vAlign w:val="bottom"/>
            <w:hideMark/>
          </w:tcPr>
          <w:p w:rsidR="00672A3E" w:rsidRPr="00672A3E" w:rsidRDefault="00672A3E" w:rsidP="00E053C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xml:space="preserve">                      -347 </w:t>
            </w:r>
          </w:p>
        </w:tc>
        <w:tc>
          <w:tcPr>
            <w:tcW w:w="850" w:type="pct"/>
            <w:tcBorders>
              <w:top w:val="nil"/>
              <w:left w:val="nil"/>
              <w:bottom w:val="nil"/>
              <w:right w:val="single" w:sz="4" w:space="0" w:color="auto"/>
            </w:tcBorders>
            <w:shd w:val="clear" w:color="auto" w:fill="auto"/>
            <w:noWrap/>
            <w:vAlign w:val="bottom"/>
            <w:hideMark/>
          </w:tcPr>
          <w:p w:rsidR="00672A3E" w:rsidRPr="00672A3E" w:rsidRDefault="00672A3E" w:rsidP="00E053CC">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xml:space="preserve">                      -88 </w:t>
            </w:r>
          </w:p>
        </w:tc>
        <w:tc>
          <w:tcPr>
            <w:tcW w:w="644" w:type="pct"/>
            <w:tcBorders>
              <w:top w:val="nil"/>
              <w:left w:val="nil"/>
              <w:bottom w:val="nil"/>
              <w:right w:val="single" w:sz="4" w:space="0" w:color="auto"/>
            </w:tcBorders>
            <w:shd w:val="clear" w:color="auto" w:fill="auto"/>
            <w:noWrap/>
            <w:vAlign w:val="bottom"/>
            <w:hideMark/>
          </w:tcPr>
          <w:p w:rsidR="00672A3E" w:rsidRPr="00672A3E" w:rsidRDefault="00E053CC"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-435</w:t>
            </w:r>
            <w:r w:rsidR="00672A3E" w:rsidRPr="00672A3E">
              <w:rPr>
                <w:rFonts w:cs="Arial"/>
                <w:color w:val="000000"/>
                <w:sz w:val="22"/>
                <w:szCs w:val="22"/>
                <w:lang w:val="en-US" w:eastAsia="zh-CN"/>
              </w:rPr>
              <w:t> </w:t>
            </w:r>
          </w:p>
        </w:tc>
      </w:tr>
      <w:tr w:rsidR="00672A3E" w:rsidRPr="00672A3E" w:rsidTr="00E053CC">
        <w:trPr>
          <w:trHeight w:val="300"/>
        </w:trPr>
        <w:tc>
          <w:tcPr>
            <w:tcW w:w="1358" w:type="pct"/>
            <w:tcBorders>
              <w:top w:val="nil"/>
              <w:left w:val="single" w:sz="4" w:space="0" w:color="auto"/>
              <w:bottom w:val="nil"/>
              <w:right w:val="nil"/>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672A3E">
              <w:rPr>
                <w:rFonts w:cs="Arial"/>
                <w:color w:val="000000"/>
                <w:sz w:val="22"/>
                <w:szCs w:val="22"/>
                <w:lang w:val="en-US" w:eastAsia="zh-CN"/>
              </w:rPr>
              <w:t>Transfer to/from short term</w:t>
            </w:r>
          </w:p>
        </w:tc>
        <w:tc>
          <w:tcPr>
            <w:tcW w:w="600" w:type="pct"/>
            <w:tcBorders>
              <w:top w:val="nil"/>
              <w:left w:val="single" w:sz="4" w:space="0" w:color="auto"/>
              <w:bottom w:val="nil"/>
              <w:right w:val="single" w:sz="4" w:space="0" w:color="auto"/>
            </w:tcBorders>
            <w:shd w:val="clear" w:color="auto" w:fill="auto"/>
            <w:noWrap/>
            <w:hideMark/>
          </w:tcPr>
          <w:p w:rsidR="00672A3E" w:rsidRPr="00672A3E" w:rsidRDefault="00F41301" w:rsidP="00F41301">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672A3E" w:rsidRPr="00672A3E">
              <w:rPr>
                <w:rFonts w:cs="Arial"/>
                <w:color w:val="000000"/>
                <w:sz w:val="22"/>
                <w:szCs w:val="22"/>
                <w:lang w:val="en-US" w:eastAsia="zh-CN"/>
              </w:rPr>
              <w:t> </w:t>
            </w:r>
          </w:p>
        </w:tc>
        <w:tc>
          <w:tcPr>
            <w:tcW w:w="580" w:type="pct"/>
            <w:tcBorders>
              <w:top w:val="nil"/>
              <w:left w:val="nil"/>
              <w:bottom w:val="nil"/>
              <w:right w:val="single" w:sz="4" w:space="0" w:color="auto"/>
            </w:tcBorders>
            <w:shd w:val="clear" w:color="auto" w:fill="auto"/>
            <w:noWrap/>
            <w:hideMark/>
          </w:tcPr>
          <w:p w:rsidR="00672A3E" w:rsidRPr="00672A3E" w:rsidRDefault="00F41301"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672A3E" w:rsidRPr="00672A3E">
              <w:rPr>
                <w:rFonts w:cs="Arial"/>
                <w:color w:val="000000"/>
                <w:sz w:val="22"/>
                <w:szCs w:val="22"/>
                <w:lang w:val="en-US" w:eastAsia="zh-CN"/>
              </w:rPr>
              <w:t> </w:t>
            </w:r>
          </w:p>
        </w:tc>
        <w:tc>
          <w:tcPr>
            <w:tcW w:w="968" w:type="pct"/>
            <w:tcBorders>
              <w:top w:val="nil"/>
              <w:left w:val="nil"/>
              <w:bottom w:val="nil"/>
              <w:right w:val="single" w:sz="4" w:space="0" w:color="auto"/>
            </w:tcBorders>
            <w:shd w:val="clear" w:color="auto" w:fill="auto"/>
            <w:noWrap/>
            <w:hideMark/>
          </w:tcPr>
          <w:p w:rsidR="00672A3E" w:rsidRPr="00672A3E" w:rsidRDefault="00F41301"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672A3E" w:rsidRPr="00672A3E">
              <w:rPr>
                <w:rFonts w:cs="Arial"/>
                <w:color w:val="000000"/>
                <w:sz w:val="22"/>
                <w:szCs w:val="22"/>
                <w:lang w:val="en-US" w:eastAsia="zh-CN"/>
              </w:rPr>
              <w:t> </w:t>
            </w:r>
          </w:p>
        </w:tc>
        <w:tc>
          <w:tcPr>
            <w:tcW w:w="850" w:type="pct"/>
            <w:tcBorders>
              <w:top w:val="nil"/>
              <w:left w:val="nil"/>
              <w:bottom w:val="nil"/>
              <w:right w:val="single" w:sz="4" w:space="0" w:color="auto"/>
            </w:tcBorders>
            <w:shd w:val="clear" w:color="auto" w:fill="auto"/>
            <w:noWrap/>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xml:space="preserve">                       95 </w:t>
            </w:r>
          </w:p>
        </w:tc>
        <w:tc>
          <w:tcPr>
            <w:tcW w:w="644" w:type="pct"/>
            <w:tcBorders>
              <w:top w:val="nil"/>
              <w:left w:val="nil"/>
              <w:bottom w:val="nil"/>
              <w:right w:val="single" w:sz="4" w:space="0" w:color="auto"/>
            </w:tcBorders>
            <w:shd w:val="clear" w:color="auto" w:fill="auto"/>
            <w:noWrap/>
            <w:hideMark/>
          </w:tcPr>
          <w:p w:rsidR="00E053CC" w:rsidRDefault="00E053CC"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95</w:t>
            </w:r>
          </w:p>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w:t>
            </w:r>
          </w:p>
        </w:tc>
      </w:tr>
      <w:tr w:rsidR="00672A3E" w:rsidRPr="00672A3E" w:rsidTr="00672A3E">
        <w:trPr>
          <w:trHeight w:val="300"/>
        </w:trPr>
        <w:tc>
          <w:tcPr>
            <w:tcW w:w="1358" w:type="pct"/>
            <w:tcBorders>
              <w:top w:val="nil"/>
              <w:left w:val="single" w:sz="4" w:space="0" w:color="auto"/>
              <w:bottom w:val="nil"/>
              <w:right w:val="nil"/>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672A3E">
              <w:rPr>
                <w:rFonts w:cs="Arial"/>
                <w:color w:val="000000"/>
                <w:sz w:val="22"/>
                <w:szCs w:val="22"/>
                <w:lang w:val="en-US" w:eastAsia="zh-CN"/>
              </w:rPr>
              <w:t>Unrealized exchange gain</w:t>
            </w:r>
          </w:p>
        </w:tc>
        <w:tc>
          <w:tcPr>
            <w:tcW w:w="600" w:type="pct"/>
            <w:tcBorders>
              <w:top w:val="nil"/>
              <w:left w:val="single" w:sz="4" w:space="0" w:color="auto"/>
              <w:bottom w:val="nil"/>
              <w:right w:val="single" w:sz="4" w:space="0" w:color="auto"/>
            </w:tcBorders>
            <w:shd w:val="clear" w:color="auto" w:fill="auto"/>
            <w:noWrap/>
            <w:vAlign w:val="bottom"/>
            <w:hideMark/>
          </w:tcPr>
          <w:p w:rsidR="00672A3E" w:rsidRPr="00672A3E" w:rsidRDefault="00F41301"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672A3E" w:rsidRPr="00672A3E">
              <w:rPr>
                <w:rFonts w:cs="Arial"/>
                <w:color w:val="000000"/>
                <w:sz w:val="22"/>
                <w:szCs w:val="22"/>
                <w:lang w:val="en-US" w:eastAsia="zh-CN"/>
              </w:rPr>
              <w:t> </w:t>
            </w:r>
          </w:p>
        </w:tc>
        <w:tc>
          <w:tcPr>
            <w:tcW w:w="580" w:type="pct"/>
            <w:tcBorders>
              <w:top w:val="nil"/>
              <w:left w:val="nil"/>
              <w:bottom w:val="nil"/>
              <w:right w:val="single" w:sz="4" w:space="0" w:color="auto"/>
            </w:tcBorders>
            <w:shd w:val="clear" w:color="auto" w:fill="auto"/>
            <w:noWrap/>
            <w:vAlign w:val="bottom"/>
            <w:hideMark/>
          </w:tcPr>
          <w:p w:rsidR="00672A3E" w:rsidRPr="00672A3E" w:rsidRDefault="00F41301"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672A3E" w:rsidRPr="00672A3E">
              <w:rPr>
                <w:rFonts w:cs="Arial"/>
                <w:color w:val="000000"/>
                <w:sz w:val="22"/>
                <w:szCs w:val="22"/>
                <w:lang w:val="en-US" w:eastAsia="zh-CN"/>
              </w:rPr>
              <w:t> </w:t>
            </w:r>
          </w:p>
        </w:tc>
        <w:tc>
          <w:tcPr>
            <w:tcW w:w="968" w:type="pct"/>
            <w:tcBorders>
              <w:top w:val="nil"/>
              <w:left w:val="nil"/>
              <w:bottom w:val="nil"/>
              <w:right w:val="single" w:sz="4" w:space="0" w:color="auto"/>
            </w:tcBorders>
            <w:shd w:val="clear" w:color="auto" w:fill="auto"/>
            <w:noWrap/>
            <w:vAlign w:val="bottom"/>
            <w:hideMark/>
          </w:tcPr>
          <w:p w:rsidR="00672A3E" w:rsidRPr="00672A3E" w:rsidRDefault="00F41301"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672A3E" w:rsidRPr="00672A3E">
              <w:rPr>
                <w:rFonts w:cs="Arial"/>
                <w:color w:val="000000"/>
                <w:sz w:val="22"/>
                <w:szCs w:val="22"/>
                <w:lang w:val="en-US" w:eastAsia="zh-CN"/>
              </w:rPr>
              <w:t> </w:t>
            </w:r>
          </w:p>
        </w:tc>
        <w:tc>
          <w:tcPr>
            <w:tcW w:w="850" w:type="pct"/>
            <w:tcBorders>
              <w:top w:val="nil"/>
              <w:left w:val="nil"/>
              <w:bottom w:val="nil"/>
              <w:right w:val="single" w:sz="4" w:space="0" w:color="auto"/>
            </w:tcBorders>
            <w:shd w:val="clear" w:color="auto" w:fill="auto"/>
            <w:noWrap/>
            <w:vAlign w:val="bottom"/>
            <w:hideMark/>
          </w:tcPr>
          <w:p w:rsidR="00672A3E" w:rsidRPr="00672A3E" w:rsidRDefault="00F41301"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672A3E" w:rsidRPr="00672A3E">
              <w:rPr>
                <w:rFonts w:cs="Arial"/>
                <w:color w:val="000000"/>
                <w:sz w:val="22"/>
                <w:szCs w:val="22"/>
                <w:lang w:val="en-US" w:eastAsia="zh-CN"/>
              </w:rPr>
              <w:t> </w:t>
            </w:r>
          </w:p>
        </w:tc>
        <w:tc>
          <w:tcPr>
            <w:tcW w:w="644" w:type="pct"/>
            <w:tcBorders>
              <w:top w:val="nil"/>
              <w:left w:val="nil"/>
              <w:bottom w:val="nil"/>
              <w:right w:val="single" w:sz="4" w:space="0" w:color="auto"/>
            </w:tcBorders>
            <w:shd w:val="clear" w:color="auto" w:fill="auto"/>
            <w:noWrap/>
            <w:vAlign w:val="bottom"/>
            <w:hideMark/>
          </w:tcPr>
          <w:p w:rsidR="00672A3E" w:rsidRPr="00672A3E" w:rsidRDefault="00F41301"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00672A3E" w:rsidRPr="00672A3E">
              <w:rPr>
                <w:rFonts w:cs="Arial"/>
                <w:color w:val="000000"/>
                <w:sz w:val="22"/>
                <w:szCs w:val="22"/>
                <w:lang w:val="en-US" w:eastAsia="zh-CN"/>
              </w:rPr>
              <w:t> </w:t>
            </w:r>
          </w:p>
        </w:tc>
      </w:tr>
      <w:tr w:rsidR="00672A3E" w:rsidRPr="00672A3E" w:rsidTr="00672A3E">
        <w:trPr>
          <w:trHeight w:val="300"/>
        </w:trPr>
        <w:tc>
          <w:tcPr>
            <w:tcW w:w="1358" w:type="pct"/>
            <w:tcBorders>
              <w:top w:val="nil"/>
              <w:left w:val="single" w:sz="4" w:space="0" w:color="auto"/>
              <w:bottom w:val="nil"/>
              <w:right w:val="nil"/>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672A3E">
              <w:rPr>
                <w:rFonts w:cs="Arial"/>
                <w:color w:val="000000"/>
                <w:sz w:val="22"/>
                <w:szCs w:val="22"/>
                <w:lang w:val="en-US" w:eastAsia="zh-CN"/>
              </w:rPr>
              <w:t> </w:t>
            </w:r>
          </w:p>
        </w:tc>
        <w:tc>
          <w:tcPr>
            <w:tcW w:w="600" w:type="pct"/>
            <w:tcBorders>
              <w:top w:val="nil"/>
              <w:left w:val="single" w:sz="4" w:space="0" w:color="auto"/>
              <w:bottom w:val="single" w:sz="4" w:space="0" w:color="auto"/>
              <w:right w:val="single" w:sz="4" w:space="0" w:color="auto"/>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w:t>
            </w:r>
          </w:p>
        </w:tc>
        <w:tc>
          <w:tcPr>
            <w:tcW w:w="580" w:type="pct"/>
            <w:tcBorders>
              <w:top w:val="nil"/>
              <w:left w:val="nil"/>
              <w:bottom w:val="single" w:sz="4" w:space="0" w:color="auto"/>
              <w:right w:val="single" w:sz="4" w:space="0" w:color="auto"/>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w:t>
            </w:r>
          </w:p>
        </w:tc>
        <w:tc>
          <w:tcPr>
            <w:tcW w:w="968" w:type="pct"/>
            <w:tcBorders>
              <w:top w:val="nil"/>
              <w:left w:val="nil"/>
              <w:bottom w:val="single" w:sz="4" w:space="0" w:color="auto"/>
              <w:right w:val="single" w:sz="4" w:space="0" w:color="auto"/>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w:t>
            </w:r>
          </w:p>
        </w:tc>
        <w:tc>
          <w:tcPr>
            <w:tcW w:w="850" w:type="pct"/>
            <w:tcBorders>
              <w:top w:val="nil"/>
              <w:left w:val="nil"/>
              <w:bottom w:val="single" w:sz="4" w:space="0" w:color="auto"/>
              <w:right w:val="single" w:sz="4" w:space="0" w:color="auto"/>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w:t>
            </w:r>
          </w:p>
        </w:tc>
        <w:tc>
          <w:tcPr>
            <w:tcW w:w="644" w:type="pct"/>
            <w:tcBorders>
              <w:top w:val="nil"/>
              <w:left w:val="nil"/>
              <w:bottom w:val="single" w:sz="4" w:space="0" w:color="auto"/>
              <w:right w:val="single" w:sz="4" w:space="0" w:color="auto"/>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 </w:t>
            </w:r>
          </w:p>
        </w:tc>
      </w:tr>
      <w:tr w:rsidR="00672A3E" w:rsidRPr="00672A3E" w:rsidTr="00672A3E">
        <w:trPr>
          <w:trHeight w:val="300"/>
        </w:trPr>
        <w:tc>
          <w:tcPr>
            <w:tcW w:w="1358" w:type="pct"/>
            <w:tcBorders>
              <w:top w:val="single" w:sz="4" w:space="0" w:color="auto"/>
              <w:left w:val="single" w:sz="4" w:space="0" w:color="auto"/>
              <w:bottom w:val="single" w:sz="4" w:space="0" w:color="auto"/>
              <w:right w:val="nil"/>
            </w:tcBorders>
            <w:shd w:val="clear" w:color="auto" w:fill="auto"/>
            <w:noWrap/>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672A3E">
              <w:rPr>
                <w:rFonts w:cs="Arial"/>
                <w:b/>
                <w:bCs/>
                <w:color w:val="000000"/>
                <w:sz w:val="22"/>
                <w:szCs w:val="22"/>
                <w:lang w:val="en-US" w:eastAsia="zh-CN"/>
              </w:rPr>
              <w:t>Closing balance</w:t>
            </w:r>
          </w:p>
        </w:tc>
        <w:tc>
          <w:tcPr>
            <w:tcW w:w="600" w:type="pct"/>
            <w:tcBorders>
              <w:top w:val="nil"/>
              <w:left w:val="single" w:sz="4" w:space="0" w:color="auto"/>
              <w:bottom w:val="single" w:sz="4" w:space="0" w:color="auto"/>
              <w:right w:val="single" w:sz="4" w:space="0" w:color="auto"/>
            </w:tcBorders>
            <w:shd w:val="clear" w:color="auto" w:fill="auto"/>
            <w:noWrap/>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ind w:right="110"/>
              <w:jc w:val="right"/>
              <w:textAlignment w:val="auto"/>
              <w:rPr>
                <w:rFonts w:cs="Arial"/>
                <w:b/>
                <w:bCs/>
                <w:color w:val="000000"/>
                <w:sz w:val="22"/>
                <w:szCs w:val="22"/>
                <w:lang w:val="en-US" w:eastAsia="zh-CN"/>
              </w:rPr>
            </w:pPr>
            <w:r>
              <w:rPr>
                <w:rFonts w:cs="Arial"/>
                <w:b/>
                <w:bCs/>
                <w:color w:val="000000"/>
                <w:sz w:val="22"/>
                <w:szCs w:val="22"/>
                <w:lang w:val="en-US" w:eastAsia="zh-CN"/>
              </w:rPr>
              <w:t>5</w:t>
            </w:r>
            <w:r w:rsidRPr="00672A3E">
              <w:rPr>
                <w:rFonts w:cs="Arial"/>
                <w:b/>
                <w:bCs/>
                <w:color w:val="000000"/>
                <w:sz w:val="22"/>
                <w:szCs w:val="22"/>
                <w:lang w:val="en-US" w:eastAsia="zh-CN"/>
              </w:rPr>
              <w:t xml:space="preserve">52,240 </w:t>
            </w:r>
          </w:p>
        </w:tc>
        <w:tc>
          <w:tcPr>
            <w:tcW w:w="580" w:type="pct"/>
            <w:tcBorders>
              <w:top w:val="nil"/>
              <w:left w:val="nil"/>
              <w:bottom w:val="single" w:sz="4" w:space="0" w:color="auto"/>
              <w:right w:val="single" w:sz="4" w:space="0" w:color="auto"/>
            </w:tcBorders>
            <w:shd w:val="clear" w:color="auto" w:fill="auto"/>
            <w:noWrap/>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672A3E">
              <w:rPr>
                <w:rFonts w:cs="Arial"/>
                <w:b/>
                <w:bCs/>
                <w:color w:val="000000"/>
                <w:sz w:val="22"/>
                <w:szCs w:val="22"/>
                <w:lang w:val="en-US" w:eastAsia="zh-CN"/>
              </w:rPr>
              <w:t xml:space="preserve">           54 </w:t>
            </w:r>
          </w:p>
        </w:tc>
        <w:tc>
          <w:tcPr>
            <w:tcW w:w="968" w:type="pct"/>
            <w:tcBorders>
              <w:top w:val="nil"/>
              <w:left w:val="nil"/>
              <w:bottom w:val="single" w:sz="4" w:space="0" w:color="auto"/>
              <w:right w:val="single" w:sz="4" w:space="0" w:color="auto"/>
            </w:tcBorders>
            <w:shd w:val="clear" w:color="auto" w:fill="auto"/>
            <w:noWrap/>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672A3E">
              <w:rPr>
                <w:rFonts w:cs="Arial"/>
                <w:b/>
                <w:bCs/>
                <w:color w:val="000000"/>
                <w:sz w:val="22"/>
                <w:szCs w:val="22"/>
                <w:lang w:val="en-US" w:eastAsia="zh-CN"/>
              </w:rPr>
              <w:t xml:space="preserve">                  12,341 </w:t>
            </w:r>
          </w:p>
        </w:tc>
        <w:tc>
          <w:tcPr>
            <w:tcW w:w="850" w:type="pct"/>
            <w:tcBorders>
              <w:top w:val="nil"/>
              <w:left w:val="nil"/>
              <w:bottom w:val="single" w:sz="4" w:space="0" w:color="auto"/>
              <w:right w:val="single" w:sz="4" w:space="0" w:color="auto"/>
            </w:tcBorders>
            <w:shd w:val="clear" w:color="auto" w:fill="auto"/>
            <w:noWrap/>
            <w:vAlign w:val="center"/>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672A3E">
              <w:rPr>
                <w:rFonts w:cs="Arial"/>
                <w:b/>
                <w:bCs/>
                <w:color w:val="000000"/>
                <w:sz w:val="22"/>
                <w:szCs w:val="22"/>
                <w:lang w:val="en-US" w:eastAsia="zh-CN"/>
              </w:rPr>
              <w:t xml:space="preserve">            8,777 </w:t>
            </w:r>
          </w:p>
        </w:tc>
        <w:tc>
          <w:tcPr>
            <w:tcW w:w="644" w:type="pct"/>
            <w:tcBorders>
              <w:top w:val="nil"/>
              <w:left w:val="nil"/>
              <w:bottom w:val="single" w:sz="4" w:space="0" w:color="auto"/>
              <w:right w:val="single" w:sz="4" w:space="0" w:color="auto"/>
            </w:tcBorders>
            <w:shd w:val="clear" w:color="auto" w:fill="auto"/>
            <w:noWrap/>
            <w:vAlign w:val="bottom"/>
            <w:hideMark/>
          </w:tcPr>
          <w:p w:rsidR="00672A3E" w:rsidRPr="00672A3E" w:rsidRDefault="00672A3E" w:rsidP="00672A3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672A3E">
              <w:rPr>
                <w:rFonts w:cs="Arial"/>
                <w:b/>
                <w:bCs/>
                <w:color w:val="000000"/>
                <w:sz w:val="22"/>
                <w:szCs w:val="22"/>
                <w:lang w:val="en-US" w:eastAsia="zh-CN"/>
              </w:rPr>
              <w:t xml:space="preserve">    573,412 </w:t>
            </w:r>
          </w:p>
        </w:tc>
      </w:tr>
    </w:tbl>
    <w:p w:rsidR="00727AB6" w:rsidRPr="001C2A98" w:rsidRDefault="0022373A" w:rsidP="00727AB6">
      <w:pPr>
        <w:spacing w:before="200"/>
        <w:jc w:val="both"/>
        <w:rPr>
          <w:lang w:val="en-US"/>
        </w:rPr>
      </w:pPr>
      <w:r w:rsidRPr="00D570CC">
        <w:rPr>
          <w:lang w:val="en-US"/>
        </w:rPr>
        <w:t xml:space="preserve">Long-term benefits are post-employment benefits, namely the ASHI plan, repatriation grant, accrued </w:t>
      </w:r>
      <w:r w:rsidR="00716BCE" w:rsidRPr="00D570CC">
        <w:rPr>
          <w:lang w:val="en-US"/>
        </w:rPr>
        <w:t>leave, and</w:t>
      </w:r>
      <w:r w:rsidRPr="00D570CC">
        <w:rPr>
          <w:lang w:val="en-US"/>
        </w:rPr>
        <w:t xml:space="preserve"> obligations under former pension and health insurance plans for some former ITU employees.</w:t>
      </w:r>
    </w:p>
    <w:p w:rsidR="0022373A" w:rsidRPr="00D570CC" w:rsidRDefault="0022373A" w:rsidP="00284AFF">
      <w:pPr>
        <w:pStyle w:val="Headingi"/>
        <w:jc w:val="both"/>
        <w:rPr>
          <w:lang w:val="en-US"/>
        </w:rPr>
      </w:pPr>
      <w:bookmarkStart w:id="93" w:name="_Toc305764093"/>
      <w:r w:rsidRPr="00D570CC">
        <w:rPr>
          <w:lang w:val="en-US"/>
        </w:rPr>
        <w:t>1</w:t>
      </w:r>
      <w:r w:rsidR="00284AFF">
        <w:rPr>
          <w:lang w:val="en-US"/>
        </w:rPr>
        <w:t>7</w:t>
      </w:r>
      <w:r w:rsidRPr="00D570CC">
        <w:rPr>
          <w:lang w:val="en-US"/>
        </w:rPr>
        <w:t>.2.1</w:t>
      </w:r>
      <w:r w:rsidRPr="00D570CC">
        <w:rPr>
          <w:lang w:val="en-US"/>
        </w:rPr>
        <w:tab/>
        <w:t>Actuarial valuation of post-employment benefits under the ASHI plan</w:t>
      </w:r>
      <w:bookmarkEnd w:id="93"/>
    </w:p>
    <w:p w:rsidR="00B56B3A" w:rsidRPr="006D735A" w:rsidRDefault="0022373A" w:rsidP="00935E68">
      <w:pPr>
        <w:jc w:val="both"/>
        <w:rPr>
          <w:iCs/>
          <w:lang w:val="en-US"/>
        </w:rPr>
      </w:pPr>
      <w:r w:rsidRPr="00D570CC">
        <w:rPr>
          <w:lang w:val="en-US"/>
        </w:rPr>
        <w:t>Th</w:t>
      </w:r>
      <w:r w:rsidR="00A825E2" w:rsidRPr="00D570CC">
        <w:rPr>
          <w:lang w:val="en-US"/>
        </w:rPr>
        <w:t xml:space="preserve">e </w:t>
      </w:r>
      <w:r w:rsidR="009070CC" w:rsidRPr="00D570CC">
        <w:rPr>
          <w:lang w:val="en-US"/>
        </w:rPr>
        <w:t>accounting for the A</w:t>
      </w:r>
      <w:r w:rsidR="008B6471" w:rsidRPr="00D570CC">
        <w:rPr>
          <w:lang w:val="en-US"/>
        </w:rPr>
        <w:t>SHI related</w:t>
      </w:r>
      <w:r w:rsidR="00A825E2" w:rsidRPr="00D570CC">
        <w:rPr>
          <w:lang w:val="en-US"/>
        </w:rPr>
        <w:t xml:space="preserve"> obligations is </w:t>
      </w:r>
      <w:r w:rsidR="009070CC" w:rsidRPr="00D570CC">
        <w:rPr>
          <w:lang w:val="en-US"/>
        </w:rPr>
        <w:t>based on</w:t>
      </w:r>
      <w:r w:rsidRPr="00D570CC">
        <w:rPr>
          <w:lang w:val="en-US"/>
        </w:rPr>
        <w:t xml:space="preserve"> an annual actuarial study carried out by an independen</w:t>
      </w:r>
      <w:r w:rsidR="00212CAA" w:rsidRPr="00D570CC">
        <w:rPr>
          <w:lang w:val="en-US"/>
        </w:rPr>
        <w:t>t consultancy</w:t>
      </w:r>
      <w:r w:rsidRPr="00D570CC">
        <w:rPr>
          <w:lang w:val="en-US"/>
        </w:rPr>
        <w:t>. The most recen</w:t>
      </w:r>
      <w:r w:rsidR="009070CC" w:rsidRPr="00D570CC">
        <w:rPr>
          <w:lang w:val="en-US"/>
        </w:rPr>
        <w:t>t valuat</w:t>
      </w:r>
      <w:r w:rsidR="00F46360" w:rsidRPr="00D570CC">
        <w:rPr>
          <w:lang w:val="en-US"/>
        </w:rPr>
        <w:t>ion, carried out in J</w:t>
      </w:r>
      <w:r w:rsidR="00E55D32" w:rsidRPr="00D570CC">
        <w:rPr>
          <w:lang w:val="en-US"/>
        </w:rPr>
        <w:t>anuary 201</w:t>
      </w:r>
      <w:r w:rsidR="00905753">
        <w:rPr>
          <w:lang w:val="en-US"/>
        </w:rPr>
        <w:t>9</w:t>
      </w:r>
      <w:r w:rsidR="00A825E2" w:rsidRPr="00D570CC">
        <w:rPr>
          <w:lang w:val="en-US"/>
        </w:rPr>
        <w:t xml:space="preserve">, established </w:t>
      </w:r>
      <w:r w:rsidR="00E55D32" w:rsidRPr="00D570CC">
        <w:rPr>
          <w:lang w:val="en-US"/>
        </w:rPr>
        <w:t xml:space="preserve">at </w:t>
      </w:r>
      <w:r w:rsidR="00E55D32" w:rsidRPr="00935E68">
        <w:rPr>
          <w:lang w:val="en-US"/>
        </w:rPr>
        <w:t xml:space="preserve">CHF </w:t>
      </w:r>
      <w:r w:rsidR="00935E68" w:rsidRPr="00935E68">
        <w:rPr>
          <w:lang w:val="en-US"/>
        </w:rPr>
        <w:t>552</w:t>
      </w:r>
      <w:r w:rsidR="00063D3A" w:rsidRPr="00935E68">
        <w:rPr>
          <w:lang w:val="en-US"/>
        </w:rPr>
        <w:t>.2</w:t>
      </w:r>
      <w:r w:rsidR="00935E68" w:rsidRPr="00935E68">
        <w:rPr>
          <w:lang w:val="en-US"/>
        </w:rPr>
        <w:t>4</w:t>
      </w:r>
      <w:r w:rsidRPr="00935E68">
        <w:rPr>
          <w:lang w:val="en-US"/>
        </w:rPr>
        <w:t xml:space="preserve"> million</w:t>
      </w:r>
      <w:r w:rsidRPr="00D570CC">
        <w:rPr>
          <w:lang w:val="en-US"/>
        </w:rPr>
        <w:t xml:space="preserve"> ITU</w:t>
      </w:r>
      <w:r w:rsidR="007A552E" w:rsidRPr="00D570CC">
        <w:rPr>
          <w:lang w:val="en-US"/>
        </w:rPr>
        <w:t>’</w:t>
      </w:r>
      <w:r w:rsidRPr="00D570CC">
        <w:rPr>
          <w:lang w:val="en-US"/>
        </w:rPr>
        <w:t>s obligations in respect of post-employment sickness benefits due to employees meeting the specifie</w:t>
      </w:r>
      <w:r w:rsidR="00E55D32" w:rsidRPr="00D570CC">
        <w:rPr>
          <w:lang w:val="en-US"/>
        </w:rPr>
        <w:t xml:space="preserve">d conditions at 31 December </w:t>
      </w:r>
      <w:r w:rsidR="00111BDD" w:rsidRPr="00D570CC">
        <w:rPr>
          <w:lang w:val="en-US"/>
        </w:rPr>
        <w:t>201</w:t>
      </w:r>
      <w:r w:rsidR="00905753">
        <w:rPr>
          <w:lang w:val="en-US"/>
        </w:rPr>
        <w:t>8</w:t>
      </w:r>
      <w:r w:rsidRPr="00D570CC">
        <w:rPr>
          <w:lang w:val="en-US"/>
        </w:rPr>
        <w:t>.</w:t>
      </w:r>
      <w:r w:rsidR="00212CAA" w:rsidRPr="00D570CC">
        <w:rPr>
          <w:lang w:val="en-US"/>
        </w:rPr>
        <w:t xml:space="preserve"> The actuarial study was carried out based on data provided by </w:t>
      </w:r>
      <w:r w:rsidR="009B5694" w:rsidRPr="00D570CC">
        <w:rPr>
          <w:lang w:val="en-US"/>
        </w:rPr>
        <w:t>the ITU</w:t>
      </w:r>
      <w:r w:rsidR="00CB6E08" w:rsidRPr="00D570CC">
        <w:rPr>
          <w:lang w:val="en-US"/>
        </w:rPr>
        <w:t>.</w:t>
      </w:r>
      <w:bookmarkStart w:id="94" w:name="_Toc305764094"/>
    </w:p>
    <w:p w:rsidR="0022373A" w:rsidRPr="00D570CC" w:rsidRDefault="0022373A" w:rsidP="00284AFF">
      <w:pPr>
        <w:pStyle w:val="Headingi"/>
        <w:jc w:val="both"/>
        <w:rPr>
          <w:lang w:val="en-US"/>
        </w:rPr>
      </w:pPr>
      <w:r w:rsidRPr="00D570CC">
        <w:rPr>
          <w:lang w:val="en-US"/>
        </w:rPr>
        <w:t>1</w:t>
      </w:r>
      <w:r w:rsidR="00284AFF">
        <w:rPr>
          <w:lang w:val="en-US"/>
        </w:rPr>
        <w:t>7</w:t>
      </w:r>
      <w:r w:rsidRPr="00D570CC">
        <w:rPr>
          <w:lang w:val="en-US"/>
        </w:rPr>
        <w:t>.2.2</w:t>
      </w:r>
      <w:r w:rsidRPr="00D570CC">
        <w:rPr>
          <w:lang w:val="en-US"/>
        </w:rPr>
        <w:tab/>
        <w:t xml:space="preserve">Actuarial valuation </w:t>
      </w:r>
      <w:r w:rsidRPr="00D570CC">
        <w:rPr>
          <w:lang w:val="en-US"/>
        </w:rPr>
        <w:sym w:font="Symbol" w:char="F02D"/>
      </w:r>
      <w:r w:rsidRPr="00D570CC">
        <w:rPr>
          <w:lang w:val="en-US"/>
        </w:rPr>
        <w:t xml:space="preserve"> assumptions and methods</w:t>
      </w:r>
      <w:bookmarkEnd w:id="94"/>
    </w:p>
    <w:p w:rsidR="009735A7" w:rsidRDefault="0022373A" w:rsidP="00905753">
      <w:pPr>
        <w:snapToGrid w:val="0"/>
        <w:jc w:val="both"/>
        <w:rPr>
          <w:lang w:val="en-US"/>
        </w:rPr>
      </w:pPr>
      <w:r w:rsidRPr="00D570CC">
        <w:rPr>
          <w:lang w:val="en-US"/>
        </w:rPr>
        <w:t>Within the framework of the valuation of obligations relating to t</w:t>
      </w:r>
      <w:r w:rsidR="00D0631B" w:rsidRPr="00D570CC">
        <w:rPr>
          <w:lang w:val="en-US"/>
        </w:rPr>
        <w:t>he ASHI plan at 31 December</w:t>
      </w:r>
      <w:r w:rsidR="000144D1" w:rsidRPr="00D570CC">
        <w:rPr>
          <w:lang w:val="en-US"/>
        </w:rPr>
        <w:t> </w:t>
      </w:r>
      <w:r w:rsidR="00111BDD" w:rsidRPr="00D570CC">
        <w:rPr>
          <w:lang w:val="en-US"/>
        </w:rPr>
        <w:t>201</w:t>
      </w:r>
      <w:r w:rsidR="00905753">
        <w:rPr>
          <w:lang w:val="en-US"/>
        </w:rPr>
        <w:t>8</w:t>
      </w:r>
      <w:r w:rsidRPr="00D570CC">
        <w:rPr>
          <w:lang w:val="en-US"/>
        </w:rPr>
        <w:t xml:space="preserve"> and of the contribution fo</w:t>
      </w:r>
      <w:r w:rsidR="00E55D32" w:rsidRPr="00D570CC">
        <w:rPr>
          <w:lang w:val="en-US"/>
        </w:rPr>
        <w:t xml:space="preserve">r the </w:t>
      </w:r>
      <w:r w:rsidR="00111BDD" w:rsidRPr="00D570CC">
        <w:rPr>
          <w:lang w:val="en-US"/>
        </w:rPr>
        <w:t>201</w:t>
      </w:r>
      <w:r w:rsidR="00905753">
        <w:rPr>
          <w:lang w:val="en-US"/>
        </w:rPr>
        <w:t>8</w:t>
      </w:r>
      <w:r w:rsidRPr="00D570CC">
        <w:rPr>
          <w:lang w:val="en-US"/>
        </w:rPr>
        <w:t xml:space="preserve"> period, ITU validates the assumptions and methods used by the actuaries. The assumptions and methods used for</w:t>
      </w:r>
      <w:r w:rsidR="00DF1AC5" w:rsidRPr="00D570CC">
        <w:rPr>
          <w:lang w:val="en-US"/>
        </w:rPr>
        <w:t xml:space="preserve"> the valuation covering the </w:t>
      </w:r>
      <w:r w:rsidR="00111BDD" w:rsidRPr="00D570CC">
        <w:rPr>
          <w:lang w:val="en-US"/>
        </w:rPr>
        <w:t>201</w:t>
      </w:r>
      <w:r w:rsidR="00905753">
        <w:rPr>
          <w:lang w:val="en-US"/>
        </w:rPr>
        <w:t>8</w:t>
      </w:r>
      <w:r w:rsidR="00601A76" w:rsidRPr="00D570CC">
        <w:rPr>
          <w:lang w:val="en-US"/>
        </w:rPr>
        <w:t> </w:t>
      </w:r>
      <w:r w:rsidRPr="00D570CC">
        <w:rPr>
          <w:lang w:val="en-US"/>
        </w:rPr>
        <w:t>period are described below.</w:t>
      </w:r>
    </w:p>
    <w:p w:rsidR="004F0546" w:rsidRDefault="004F0546" w:rsidP="000638E2">
      <w:pPr>
        <w:snapToGrid w:val="0"/>
        <w:spacing w:before="0"/>
        <w:jc w:val="both"/>
        <w:rPr>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6117"/>
      </w:tblGrid>
      <w:tr w:rsidR="00E023FA" w:rsidRPr="00E023FA" w:rsidTr="004F0546">
        <w:trPr>
          <w:trHeight w:val="276"/>
        </w:trPr>
        <w:tc>
          <w:tcPr>
            <w:tcW w:w="3659" w:type="dxa"/>
          </w:tcPr>
          <w:p w:rsidR="00E023FA" w:rsidRPr="000638E2" w:rsidRDefault="006D735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br w:type="page"/>
            </w:r>
            <w:r w:rsidR="00E023FA" w:rsidRPr="000638E2">
              <w:rPr>
                <w:sz w:val="16"/>
                <w:szCs w:val="16"/>
                <w:lang w:val="en-US"/>
              </w:rPr>
              <w:t>Discount rate</w:t>
            </w:r>
          </w:p>
        </w:tc>
        <w:tc>
          <w:tcPr>
            <w:tcW w:w="6117" w:type="dxa"/>
          </w:tcPr>
          <w:p w:rsidR="00E023FA" w:rsidRPr="000638E2" w:rsidRDefault="00600737" w:rsidP="00600737">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1</w:t>
            </w:r>
            <w:r w:rsidR="00E023FA" w:rsidRPr="000638E2">
              <w:rPr>
                <w:sz w:val="16"/>
                <w:szCs w:val="16"/>
                <w:lang w:val="en-US"/>
              </w:rPr>
              <w:t>.</w:t>
            </w:r>
            <w:r w:rsidRPr="000638E2">
              <w:rPr>
                <w:sz w:val="16"/>
                <w:szCs w:val="16"/>
                <w:lang w:val="en-US"/>
              </w:rPr>
              <w:t>2</w:t>
            </w:r>
            <w:r w:rsidR="00E023FA" w:rsidRPr="000638E2">
              <w:rPr>
                <w:sz w:val="16"/>
                <w:szCs w:val="16"/>
                <w:lang w:val="en-US"/>
              </w:rPr>
              <w:t>0% for 201</w:t>
            </w:r>
            <w:r w:rsidRPr="000638E2">
              <w:rPr>
                <w:sz w:val="16"/>
                <w:szCs w:val="16"/>
                <w:lang w:val="en-US"/>
              </w:rPr>
              <w:t>8</w:t>
            </w:r>
            <w:r w:rsidR="00E023FA" w:rsidRPr="000638E2">
              <w:rPr>
                <w:sz w:val="16"/>
                <w:szCs w:val="16"/>
                <w:lang w:val="en-US"/>
              </w:rPr>
              <w:t xml:space="preserve"> and 0.90% for 2017. </w:t>
            </w:r>
          </w:p>
        </w:tc>
      </w:tr>
      <w:tr w:rsidR="00E023FA" w:rsidRPr="00E023FA" w:rsidTr="004F0546">
        <w:trPr>
          <w:trHeight w:val="262"/>
        </w:trPr>
        <w:tc>
          <w:tcPr>
            <w:tcW w:w="3659"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Increase in medical costs</w:t>
            </w:r>
          </w:p>
        </w:tc>
        <w:tc>
          <w:tcPr>
            <w:tcW w:w="6117" w:type="dxa"/>
          </w:tcPr>
          <w:p w:rsidR="00E023FA" w:rsidRPr="000638E2" w:rsidRDefault="00E023FA" w:rsidP="00600737">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3.90% for 201</w:t>
            </w:r>
            <w:r w:rsidR="00600737" w:rsidRPr="000638E2">
              <w:rPr>
                <w:sz w:val="16"/>
                <w:szCs w:val="16"/>
                <w:lang w:val="en-US"/>
              </w:rPr>
              <w:t>9</w:t>
            </w:r>
            <w:r w:rsidRPr="000638E2">
              <w:rPr>
                <w:sz w:val="16"/>
                <w:szCs w:val="16"/>
                <w:lang w:val="en-US"/>
              </w:rPr>
              <w:t xml:space="preserve">, falling by 0.30% per year to 3.10%. </w:t>
            </w:r>
          </w:p>
        </w:tc>
      </w:tr>
      <w:tr w:rsidR="00E023FA" w:rsidRPr="00E023FA" w:rsidTr="004F0546">
        <w:trPr>
          <w:trHeight w:val="509"/>
        </w:trPr>
        <w:tc>
          <w:tcPr>
            <w:tcW w:w="3659"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Expected accounting rate of return on assets</w:t>
            </w:r>
          </w:p>
        </w:tc>
        <w:tc>
          <w:tcPr>
            <w:tcW w:w="6117" w:type="dxa"/>
          </w:tcPr>
          <w:p w:rsidR="00E023FA" w:rsidRPr="000638E2" w:rsidRDefault="00227D54" w:rsidP="00227D54">
            <w:pPr>
              <w:tabs>
                <w:tab w:val="clear" w:pos="567"/>
                <w:tab w:val="clear" w:pos="1134"/>
                <w:tab w:val="clear" w:pos="1701"/>
                <w:tab w:val="clear" w:pos="2268"/>
                <w:tab w:val="clear" w:pos="2835"/>
              </w:tabs>
              <w:spacing w:before="20" w:after="20"/>
              <w:rPr>
                <w:sz w:val="16"/>
                <w:szCs w:val="16"/>
                <w:highlight w:val="yellow"/>
                <w:lang w:val="en-US"/>
              </w:rPr>
            </w:pPr>
            <w:r>
              <w:rPr>
                <w:sz w:val="16"/>
                <w:szCs w:val="16"/>
                <w:lang w:val="en-US"/>
              </w:rPr>
              <w:t>N</w:t>
            </w:r>
            <w:r w:rsidR="00E023FA" w:rsidRPr="000638E2">
              <w:rPr>
                <w:sz w:val="16"/>
                <w:szCs w:val="16"/>
                <w:lang w:val="en-US"/>
              </w:rPr>
              <w:t>/A for 2018</w:t>
            </w:r>
          </w:p>
        </w:tc>
      </w:tr>
      <w:tr w:rsidR="00E023FA" w:rsidRPr="00E023FA" w:rsidTr="004F0546">
        <w:trPr>
          <w:trHeight w:val="509"/>
        </w:trPr>
        <w:tc>
          <w:tcPr>
            <w:tcW w:w="3659"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Salary increases</w:t>
            </w:r>
          </w:p>
        </w:tc>
        <w:tc>
          <w:tcPr>
            <w:tcW w:w="6117"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3.5% assumptions used for the latest UNJSPF actuarial valuation.</w:t>
            </w:r>
          </w:p>
        </w:tc>
      </w:tr>
      <w:tr w:rsidR="00E023FA" w:rsidRPr="00E023FA" w:rsidTr="004F0546">
        <w:trPr>
          <w:trHeight w:val="276"/>
        </w:trPr>
        <w:tc>
          <w:tcPr>
            <w:tcW w:w="3659"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Pension increases</w:t>
            </w:r>
          </w:p>
        </w:tc>
        <w:tc>
          <w:tcPr>
            <w:tcW w:w="6117"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2.50% for 2018 and 2017</w:t>
            </w:r>
          </w:p>
        </w:tc>
      </w:tr>
      <w:tr w:rsidR="00E023FA" w:rsidRPr="00E023FA" w:rsidTr="004F0546">
        <w:trPr>
          <w:trHeight w:val="1455"/>
        </w:trPr>
        <w:tc>
          <w:tcPr>
            <w:tcW w:w="3659"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Estimated annual average cost of claims for reimbursement of medical expenses in 2018 and variation in medical expenses according to age</w:t>
            </w:r>
          </w:p>
        </w:tc>
        <w:tc>
          <w:tcPr>
            <w:tcW w:w="6117"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The 2018 actuarial report is based on average cost of claims for reimbursement in CHF estimated at the end of the 2018 period as an average per age range of 50, 55, 60, 65, 70, 75 and 80 years at CHF 2’401, CHF 3’196, CHF 4’254, CHF 5’662, CHF 7’536, CHF 10’031, CHF 13’352 respectively, for men, and CHF 4’053, CHF 4’946, CHF 6’035, CHF 7’365, CHF 8’986, CHF 10’966, CHF 13’381, respectively, for women.</w:t>
            </w:r>
          </w:p>
        </w:tc>
      </w:tr>
      <w:tr w:rsidR="00E023FA" w:rsidRPr="00E023FA" w:rsidTr="004F0546">
        <w:trPr>
          <w:trHeight w:val="262"/>
        </w:trPr>
        <w:tc>
          <w:tcPr>
            <w:tcW w:w="3659"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Administrative expenses</w:t>
            </w:r>
          </w:p>
        </w:tc>
        <w:tc>
          <w:tcPr>
            <w:tcW w:w="6117"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The annual average administrative cost per person was estimated at CHF 225.81</w:t>
            </w:r>
          </w:p>
        </w:tc>
      </w:tr>
      <w:tr w:rsidR="00E023FA" w:rsidRPr="00E023FA" w:rsidTr="004F0546">
        <w:trPr>
          <w:trHeight w:val="1455"/>
        </w:trPr>
        <w:tc>
          <w:tcPr>
            <w:tcW w:w="3659"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Mortality</w:t>
            </w:r>
          </w:p>
        </w:tc>
        <w:tc>
          <w:tcPr>
            <w:tcW w:w="6117"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The mortality is based on the 2017 United Nations Mortality Tables respectively for current Actives, for Service Pensioners, Widows and Widowers and for Disability Pensioners. Base year is 2017 with generational improvement scale applied through 2037 for Current Healthy Inactive. No generational improvement scale is applied for Current Disabled Inactive.</w:t>
            </w:r>
          </w:p>
        </w:tc>
      </w:tr>
      <w:tr w:rsidR="00E023FA" w:rsidRPr="00E023FA" w:rsidTr="004F0546">
        <w:trPr>
          <w:trHeight w:val="374"/>
        </w:trPr>
        <w:tc>
          <w:tcPr>
            <w:tcW w:w="3659"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Valuation of assets</w:t>
            </w:r>
          </w:p>
        </w:tc>
        <w:tc>
          <w:tcPr>
            <w:tcW w:w="6117"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ITU has no more asset under the Guarantee Funds as of 31 December 2018.</w:t>
            </w:r>
          </w:p>
        </w:tc>
      </w:tr>
      <w:tr w:rsidR="00E023FA" w:rsidRPr="00E023FA" w:rsidTr="004F0546">
        <w:trPr>
          <w:trHeight w:val="742"/>
        </w:trPr>
        <w:tc>
          <w:tcPr>
            <w:tcW w:w="3659"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Disability rate</w:t>
            </w:r>
          </w:p>
        </w:tc>
        <w:tc>
          <w:tcPr>
            <w:tcW w:w="6117"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Varies according to age and gender and for Professional Staff and General Service Staff and increases with age. The rate is based on the United Nations Disability table.</w:t>
            </w:r>
          </w:p>
        </w:tc>
      </w:tr>
      <w:tr w:rsidR="00E023FA" w:rsidRPr="00E023FA" w:rsidTr="004F0546">
        <w:trPr>
          <w:trHeight w:val="509"/>
        </w:trPr>
        <w:tc>
          <w:tcPr>
            <w:tcW w:w="3659"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highlight w:val="yellow"/>
                <w:lang w:val="en-US"/>
              </w:rPr>
            </w:pPr>
            <w:r w:rsidRPr="000638E2">
              <w:rPr>
                <w:sz w:val="16"/>
                <w:szCs w:val="16"/>
                <w:lang w:val="en-US"/>
              </w:rPr>
              <w:t>Rates of conversion of benefit rights</w:t>
            </w:r>
          </w:p>
        </w:tc>
        <w:tc>
          <w:tcPr>
            <w:tcW w:w="6117"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Vary according to age and number of years of service, with requests for conversion being more frequent in the first year.</w:t>
            </w:r>
          </w:p>
        </w:tc>
      </w:tr>
      <w:tr w:rsidR="00E023FA" w:rsidRPr="00E023FA" w:rsidTr="004F0546">
        <w:trPr>
          <w:trHeight w:val="509"/>
        </w:trPr>
        <w:tc>
          <w:tcPr>
            <w:tcW w:w="3659"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Employee turnover</w:t>
            </w:r>
          </w:p>
        </w:tc>
        <w:tc>
          <w:tcPr>
            <w:tcW w:w="6117"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The separation rate for employees leaving the organizations considered in the valuation varies according to age and gender.</w:t>
            </w:r>
          </w:p>
        </w:tc>
      </w:tr>
      <w:tr w:rsidR="00E023FA" w:rsidRPr="00E023FA" w:rsidTr="004F0546">
        <w:trPr>
          <w:trHeight w:val="509"/>
        </w:trPr>
        <w:tc>
          <w:tcPr>
            <w:tcW w:w="3659"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Retirement rate</w:t>
            </w:r>
          </w:p>
        </w:tc>
        <w:tc>
          <w:tcPr>
            <w:tcW w:w="6117" w:type="dxa"/>
          </w:tcPr>
          <w:p w:rsidR="00E023FA" w:rsidRPr="000638E2" w:rsidRDefault="00E023FA" w:rsidP="004E276D">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For all staff, retirement rates are set equal to the rates from the 31 December 2015 valuation of UNJSPF. Rates vary according to age, years of service, professional categor</w:t>
            </w:r>
            <w:r w:rsidR="004E276D">
              <w:rPr>
                <w:sz w:val="16"/>
                <w:szCs w:val="16"/>
                <w:lang w:val="en-US"/>
              </w:rPr>
              <w:t>ies</w:t>
            </w:r>
            <w:r w:rsidRPr="000638E2">
              <w:rPr>
                <w:sz w:val="16"/>
                <w:szCs w:val="16"/>
                <w:lang w:val="en-US"/>
              </w:rPr>
              <w:t>.</w:t>
            </w:r>
          </w:p>
        </w:tc>
      </w:tr>
      <w:tr w:rsidR="00E023FA" w:rsidRPr="00E023FA" w:rsidTr="004F0546">
        <w:trPr>
          <w:trHeight w:val="262"/>
        </w:trPr>
        <w:tc>
          <w:tcPr>
            <w:tcW w:w="3659"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Participation</w:t>
            </w:r>
          </w:p>
        </w:tc>
        <w:tc>
          <w:tcPr>
            <w:tcW w:w="6117"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97.5% of future retirees will opt to participate in the CMIP.</w:t>
            </w:r>
          </w:p>
        </w:tc>
      </w:tr>
      <w:tr w:rsidR="00E023FA" w:rsidRPr="00E023FA" w:rsidTr="004F0546">
        <w:trPr>
          <w:trHeight w:val="509"/>
        </w:trPr>
        <w:tc>
          <w:tcPr>
            <w:tcW w:w="3659"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Spouse coverage</w:t>
            </w:r>
          </w:p>
        </w:tc>
        <w:tc>
          <w:tcPr>
            <w:tcW w:w="6117"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75% and 25% of male and female retirees have a spouse having requested affiliation to CMIP. Men are assumed to be five years older than their spouse.</w:t>
            </w:r>
          </w:p>
        </w:tc>
      </w:tr>
      <w:tr w:rsidR="00E023FA" w:rsidRPr="00E023FA" w:rsidTr="004F0546">
        <w:trPr>
          <w:trHeight w:val="756"/>
        </w:trPr>
        <w:tc>
          <w:tcPr>
            <w:tcW w:w="3659"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Actuarial method</w:t>
            </w:r>
          </w:p>
        </w:tc>
        <w:tc>
          <w:tcPr>
            <w:tcW w:w="6117"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Projected unit credit method with an allocation period beginning at 45 years of age to reflect the fact that employees must be at least 55 years old and have completed 10 years of service in order to be eligible.</w:t>
            </w:r>
          </w:p>
        </w:tc>
      </w:tr>
      <w:tr w:rsidR="00E023FA" w:rsidRPr="00E023FA" w:rsidTr="004F0546">
        <w:trPr>
          <w:trHeight w:val="742"/>
        </w:trPr>
        <w:tc>
          <w:tcPr>
            <w:tcW w:w="3659"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OCI approach</w:t>
            </w:r>
          </w:p>
        </w:tc>
        <w:tc>
          <w:tcPr>
            <w:tcW w:w="6117" w:type="dxa"/>
          </w:tcPr>
          <w:p w:rsidR="00E023FA" w:rsidRPr="000638E2" w:rsidRDefault="00E023FA" w:rsidP="00E023FA">
            <w:pPr>
              <w:tabs>
                <w:tab w:val="clear" w:pos="567"/>
                <w:tab w:val="clear" w:pos="1134"/>
                <w:tab w:val="clear" w:pos="1701"/>
                <w:tab w:val="clear" w:pos="2268"/>
                <w:tab w:val="clear" w:pos="2835"/>
              </w:tabs>
              <w:spacing w:before="20" w:after="20"/>
              <w:rPr>
                <w:sz w:val="16"/>
                <w:szCs w:val="16"/>
                <w:lang w:val="en-US"/>
              </w:rPr>
            </w:pPr>
            <w:r w:rsidRPr="000638E2">
              <w:rPr>
                <w:sz w:val="16"/>
                <w:szCs w:val="16"/>
                <w:lang w:val="en-US"/>
              </w:rPr>
              <w:t>All gains/losses are recognized in full immediately during the year in which they arise, but outside of profit and loss, through the Statement of Comprehensive Income (</w:t>
            </w:r>
            <w:proofErr w:type="spellStart"/>
            <w:r w:rsidRPr="000638E2">
              <w:rPr>
                <w:sz w:val="16"/>
                <w:szCs w:val="16"/>
                <w:lang w:val="en-US"/>
              </w:rPr>
              <w:t>SoCI</w:t>
            </w:r>
            <w:proofErr w:type="spellEnd"/>
            <w:r w:rsidRPr="000638E2">
              <w:rPr>
                <w:sz w:val="16"/>
                <w:szCs w:val="16"/>
                <w:lang w:val="en-US"/>
              </w:rPr>
              <w:t>).</w:t>
            </w:r>
          </w:p>
        </w:tc>
      </w:tr>
    </w:tbl>
    <w:p w:rsidR="00303CCC" w:rsidRDefault="0022373A" w:rsidP="00E20CED">
      <w:pPr>
        <w:spacing w:before="240"/>
        <w:jc w:val="both"/>
        <w:rPr>
          <w:lang w:val="en-US"/>
        </w:rPr>
      </w:pPr>
      <w:r w:rsidRPr="00EE7C7D">
        <w:rPr>
          <w:lang w:val="en-US"/>
        </w:rPr>
        <w:t xml:space="preserve">Staff members (and their spouses, dependent children and survivors) separating from service at age 55 or over are entitled to </w:t>
      </w:r>
      <w:r w:rsidR="00745575" w:rsidRPr="00EE7C7D">
        <w:rPr>
          <w:lang w:val="en-US"/>
        </w:rPr>
        <w:t>after</w:t>
      </w:r>
      <w:r w:rsidR="00063B70">
        <w:rPr>
          <w:lang w:val="en-US"/>
        </w:rPr>
        <w:t>-</w:t>
      </w:r>
      <w:r w:rsidR="00745575" w:rsidRPr="00EE7C7D">
        <w:rPr>
          <w:lang w:val="en-US"/>
        </w:rPr>
        <w:t>service</w:t>
      </w:r>
      <w:r w:rsidRPr="00EE7C7D">
        <w:rPr>
          <w:lang w:val="en-US"/>
        </w:rPr>
        <w:t xml:space="preserve"> health insurance coverage provided they have completed at least ten years</w:t>
      </w:r>
      <w:r w:rsidR="007A552E">
        <w:rPr>
          <w:lang w:val="en-US"/>
        </w:rPr>
        <w:t>’</w:t>
      </w:r>
      <w:r w:rsidRPr="00EE7C7D">
        <w:rPr>
          <w:lang w:val="en-US"/>
        </w:rPr>
        <w:t xml:space="preserve"> service with the United Nations or a specialized agency and were insured under the Staff Health Insurance Fund (</w:t>
      </w:r>
      <w:r w:rsidR="007F4321">
        <w:rPr>
          <w:lang w:val="en-US"/>
        </w:rPr>
        <w:t xml:space="preserve">CMIP) </w:t>
      </w:r>
      <w:r w:rsidRPr="00EE7C7D">
        <w:rPr>
          <w:lang w:val="en-US"/>
        </w:rPr>
        <w:t>during the five years immediately preceding their separation from service. The same benefits apply to staff members in receipt of a disability allowance from the United Nations Joint Staff Pension Fund. This regime is jointly financed, with ITU contributing 2/3 and the insured person 1/3.</w:t>
      </w:r>
    </w:p>
    <w:p w:rsidR="000C2557" w:rsidRDefault="0022373A" w:rsidP="00905753">
      <w:pPr>
        <w:spacing w:after="120"/>
        <w:jc w:val="both"/>
        <w:rPr>
          <w:lang w:val="en-US"/>
        </w:rPr>
      </w:pPr>
      <w:r w:rsidRPr="00EE7C7D">
        <w:rPr>
          <w:lang w:val="en-US"/>
        </w:rPr>
        <w:t>The following tables provide additional information and analyses concerning the liabilities arising from employee allowances, as well as valuation of the assets held by the Fund</w:t>
      </w:r>
      <w:r w:rsidR="00D0631B" w:rsidRPr="00EE7C7D">
        <w:rPr>
          <w:lang w:val="en-US"/>
        </w:rPr>
        <w:t xml:space="preserve"> according to the</w:t>
      </w:r>
      <w:r w:rsidRPr="00EE7C7D">
        <w:rPr>
          <w:lang w:val="en-US"/>
        </w:rPr>
        <w:t xml:space="preserve"> actuarial study performed to obtain</w:t>
      </w:r>
      <w:r w:rsidR="00EE7C7D">
        <w:rPr>
          <w:lang w:val="en-US"/>
        </w:rPr>
        <w:t xml:space="preserve"> the amounts at 31 December </w:t>
      </w:r>
      <w:r w:rsidR="00111BDD">
        <w:rPr>
          <w:lang w:val="en-US"/>
        </w:rPr>
        <w:t>201</w:t>
      </w:r>
      <w:r w:rsidR="00905753">
        <w:rPr>
          <w:lang w:val="en-US"/>
        </w:rPr>
        <w:t>8</w:t>
      </w:r>
      <w:r w:rsidRPr="00EE7C7D">
        <w:rPr>
          <w:lang w:val="en-US"/>
        </w:rPr>
        <w:t>.</w:t>
      </w:r>
    </w:p>
    <w:tbl>
      <w:tblPr>
        <w:tblW w:w="5075" w:type="pct"/>
        <w:jc w:val="center"/>
        <w:tblLook w:val="04A0" w:firstRow="1" w:lastRow="0" w:firstColumn="1" w:lastColumn="0" w:noHBand="0" w:noVBand="1"/>
      </w:tblPr>
      <w:tblGrid>
        <w:gridCol w:w="5703"/>
        <w:gridCol w:w="2037"/>
        <w:gridCol w:w="2178"/>
      </w:tblGrid>
      <w:tr w:rsidR="00E023FA" w:rsidRPr="00E023FA" w:rsidTr="0056293B">
        <w:trPr>
          <w:trHeight w:val="528"/>
          <w:jc w:val="center"/>
        </w:trPr>
        <w:tc>
          <w:tcPr>
            <w:tcW w:w="2875" w:type="pct"/>
            <w:tcBorders>
              <w:top w:val="single" w:sz="4" w:space="0" w:color="auto"/>
              <w:left w:val="single" w:sz="4" w:space="0" w:color="auto"/>
              <w:bottom w:val="single" w:sz="4" w:space="0" w:color="auto"/>
              <w:right w:val="nil"/>
            </w:tcBorders>
            <w:shd w:val="clear" w:color="auto" w:fill="auto"/>
            <w:vAlign w:val="center"/>
            <w:hideMark/>
          </w:tcPr>
          <w:p w:rsidR="00E023FA" w:rsidRPr="00E023FA" w:rsidRDefault="00E023FA" w:rsidP="00F51496">
            <w:pPr>
              <w:widowControl w:val="0"/>
              <w:kinsoku w:val="0"/>
              <w:rPr>
                <w:b/>
                <w:color w:val="000000"/>
                <w:sz w:val="22"/>
                <w:szCs w:val="18"/>
                <w:lang w:val="en-US"/>
              </w:rPr>
            </w:pPr>
            <w:r w:rsidRPr="00E023FA">
              <w:rPr>
                <w:b/>
                <w:color w:val="000000"/>
                <w:sz w:val="22"/>
                <w:szCs w:val="18"/>
                <w:lang w:val="en-US"/>
              </w:rPr>
              <w:t>Amount of obligations under the ASHI plan at 31 December 201</w:t>
            </w:r>
            <w:r w:rsidR="00F51496">
              <w:rPr>
                <w:b/>
                <w:color w:val="000000"/>
                <w:sz w:val="22"/>
                <w:szCs w:val="18"/>
                <w:lang w:val="en-US"/>
              </w:rPr>
              <w:t>8</w:t>
            </w:r>
            <w:r w:rsidRPr="00E023FA">
              <w:rPr>
                <w:b/>
                <w:color w:val="000000"/>
                <w:sz w:val="22"/>
                <w:szCs w:val="18"/>
                <w:lang w:val="en-US"/>
              </w:rPr>
              <w:t xml:space="preserve"> and 201</w:t>
            </w:r>
            <w:r w:rsidR="00F51496">
              <w:rPr>
                <w:b/>
                <w:color w:val="000000"/>
                <w:sz w:val="22"/>
                <w:szCs w:val="18"/>
                <w:lang w:val="en-US"/>
              </w:rPr>
              <w:t>7</w:t>
            </w:r>
            <w:r w:rsidRPr="00E023FA">
              <w:rPr>
                <w:b/>
                <w:color w:val="000000"/>
                <w:sz w:val="22"/>
                <w:szCs w:val="18"/>
                <w:lang w:val="en-US"/>
              </w:rPr>
              <w:t xml:space="preserve"> in the statement of</w:t>
            </w:r>
            <w:r w:rsidRPr="00E023FA">
              <w:rPr>
                <w:b/>
                <w:color w:val="000000"/>
                <w:sz w:val="22"/>
                <w:szCs w:val="18"/>
                <w:lang w:val="en-US"/>
              </w:rPr>
              <w:br/>
              <w:t>financial position</w:t>
            </w:r>
          </w:p>
          <w:p w:rsidR="00E023FA" w:rsidRPr="00E023FA" w:rsidRDefault="00E023FA" w:rsidP="00E023FA">
            <w:pPr>
              <w:widowControl w:val="0"/>
              <w:kinsoku w:val="0"/>
              <w:spacing w:before="60"/>
              <w:rPr>
                <w:bCs/>
                <w:color w:val="000000"/>
                <w:sz w:val="22"/>
                <w:szCs w:val="18"/>
                <w:lang w:val="en-US"/>
              </w:rPr>
            </w:pPr>
          </w:p>
        </w:tc>
        <w:tc>
          <w:tcPr>
            <w:tcW w:w="10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3FA" w:rsidRDefault="00E023FA" w:rsidP="00E023FA">
            <w:pPr>
              <w:widowControl w:val="0"/>
              <w:kinsoku w:val="0"/>
              <w:spacing w:before="60"/>
              <w:jc w:val="center"/>
              <w:rPr>
                <w:b/>
                <w:bCs/>
                <w:color w:val="000000"/>
                <w:sz w:val="22"/>
                <w:szCs w:val="18"/>
                <w:lang w:val="en-US"/>
              </w:rPr>
            </w:pPr>
            <w:r w:rsidRPr="00D6112E">
              <w:rPr>
                <w:b/>
                <w:bCs/>
                <w:color w:val="000000"/>
                <w:sz w:val="22"/>
                <w:szCs w:val="18"/>
                <w:lang w:val="en-US"/>
              </w:rPr>
              <w:t>In thousands of CHF</w:t>
            </w:r>
            <w:r w:rsidRPr="00D6112E">
              <w:rPr>
                <w:b/>
                <w:bCs/>
                <w:color w:val="000000"/>
                <w:sz w:val="22"/>
                <w:szCs w:val="18"/>
                <w:lang w:val="en-US"/>
              </w:rPr>
              <w:br/>
              <w:t>31.12.2018</w:t>
            </w:r>
          </w:p>
          <w:p w:rsidR="0056293B" w:rsidRPr="00D6112E" w:rsidRDefault="0056293B" w:rsidP="00E023FA">
            <w:pPr>
              <w:widowControl w:val="0"/>
              <w:kinsoku w:val="0"/>
              <w:spacing w:before="60"/>
              <w:jc w:val="center"/>
              <w:rPr>
                <w:b/>
                <w:color w:val="000000"/>
                <w:sz w:val="22"/>
                <w:szCs w:val="18"/>
                <w:lang w:val="en-US"/>
              </w:rPr>
            </w:pPr>
          </w:p>
        </w:tc>
        <w:tc>
          <w:tcPr>
            <w:tcW w:w="1099" w:type="pct"/>
            <w:tcBorders>
              <w:top w:val="single" w:sz="4" w:space="0" w:color="auto"/>
              <w:left w:val="single" w:sz="4" w:space="0" w:color="auto"/>
              <w:bottom w:val="single" w:sz="4" w:space="0" w:color="auto"/>
              <w:right w:val="single" w:sz="4" w:space="0" w:color="auto"/>
            </w:tcBorders>
            <w:vAlign w:val="center"/>
          </w:tcPr>
          <w:p w:rsidR="00E023FA" w:rsidRDefault="00E023FA" w:rsidP="0056293B">
            <w:pPr>
              <w:widowControl w:val="0"/>
              <w:kinsoku w:val="0"/>
              <w:spacing w:before="0"/>
              <w:jc w:val="center"/>
              <w:rPr>
                <w:b/>
                <w:bCs/>
                <w:color w:val="000000"/>
                <w:sz w:val="22"/>
                <w:szCs w:val="18"/>
                <w:lang w:val="en-US"/>
              </w:rPr>
            </w:pPr>
            <w:r w:rsidRPr="00D6112E">
              <w:rPr>
                <w:b/>
                <w:bCs/>
                <w:color w:val="000000"/>
                <w:sz w:val="22"/>
                <w:szCs w:val="18"/>
                <w:lang w:val="en-US"/>
              </w:rPr>
              <w:t>In thousands of CHF</w:t>
            </w:r>
            <w:r w:rsidRPr="00D6112E">
              <w:rPr>
                <w:b/>
                <w:bCs/>
                <w:color w:val="000000"/>
                <w:sz w:val="22"/>
                <w:szCs w:val="18"/>
                <w:lang w:val="en-US"/>
              </w:rPr>
              <w:br/>
              <w:t>31.12.2017</w:t>
            </w:r>
          </w:p>
          <w:p w:rsidR="0056293B" w:rsidRPr="00D6112E" w:rsidRDefault="0056293B" w:rsidP="0056293B">
            <w:pPr>
              <w:widowControl w:val="0"/>
              <w:kinsoku w:val="0"/>
              <w:spacing w:before="0"/>
              <w:rPr>
                <w:b/>
                <w:color w:val="000000"/>
                <w:sz w:val="22"/>
                <w:szCs w:val="18"/>
                <w:lang w:val="en-US"/>
              </w:rPr>
            </w:pPr>
          </w:p>
        </w:tc>
      </w:tr>
      <w:tr w:rsidR="00E023FA" w:rsidRPr="00E023FA" w:rsidTr="0056293B">
        <w:trPr>
          <w:trHeight w:val="264"/>
          <w:jc w:val="center"/>
        </w:trPr>
        <w:tc>
          <w:tcPr>
            <w:tcW w:w="2875" w:type="pct"/>
            <w:tcBorders>
              <w:top w:val="nil"/>
              <w:left w:val="single" w:sz="4" w:space="0" w:color="auto"/>
              <w:bottom w:val="nil"/>
              <w:right w:val="single" w:sz="4" w:space="0" w:color="auto"/>
            </w:tcBorders>
            <w:shd w:val="clear" w:color="auto" w:fill="auto"/>
            <w:hideMark/>
          </w:tcPr>
          <w:p w:rsidR="00E023FA" w:rsidRPr="00E023FA" w:rsidRDefault="00E023FA" w:rsidP="00E023FA">
            <w:pPr>
              <w:widowControl w:val="0"/>
              <w:kinsoku w:val="0"/>
              <w:spacing w:before="60" w:after="60"/>
              <w:rPr>
                <w:b/>
                <w:color w:val="000000"/>
                <w:sz w:val="22"/>
                <w:szCs w:val="18"/>
                <w:lang w:val="en-US"/>
              </w:rPr>
            </w:pPr>
            <w:r w:rsidRPr="00E023FA">
              <w:rPr>
                <w:bCs/>
                <w:color w:val="000000"/>
                <w:sz w:val="22"/>
                <w:szCs w:val="18"/>
                <w:lang w:val="en-US"/>
              </w:rPr>
              <w:t>Balance at 31 December 2018-2017</w:t>
            </w:r>
          </w:p>
        </w:tc>
        <w:tc>
          <w:tcPr>
            <w:tcW w:w="1027" w:type="pct"/>
            <w:tcBorders>
              <w:top w:val="single" w:sz="4" w:space="0" w:color="auto"/>
              <w:left w:val="single" w:sz="4" w:space="0" w:color="auto"/>
              <w:bottom w:val="nil"/>
              <w:right w:val="single" w:sz="4" w:space="0" w:color="auto"/>
            </w:tcBorders>
            <w:shd w:val="clear" w:color="auto" w:fill="auto"/>
          </w:tcPr>
          <w:p w:rsidR="00E023FA" w:rsidRPr="00D6112E" w:rsidRDefault="00E023FA" w:rsidP="00D6112E">
            <w:pPr>
              <w:widowControl w:val="0"/>
              <w:tabs>
                <w:tab w:val="clear" w:pos="1701"/>
              </w:tabs>
              <w:kinsoku w:val="0"/>
              <w:ind w:right="210"/>
              <w:jc w:val="right"/>
              <w:rPr>
                <w:color w:val="000000"/>
                <w:sz w:val="22"/>
                <w:szCs w:val="18"/>
                <w:lang w:val="en-US"/>
              </w:rPr>
            </w:pPr>
            <w:r w:rsidRPr="00D6112E">
              <w:rPr>
                <w:color w:val="000000"/>
                <w:sz w:val="22"/>
                <w:szCs w:val="18"/>
                <w:lang w:val="en-US"/>
              </w:rPr>
              <w:t>617</w:t>
            </w:r>
            <w:r w:rsidR="00D6112E" w:rsidRPr="00D6112E">
              <w:rPr>
                <w:color w:val="000000"/>
                <w:sz w:val="22"/>
                <w:szCs w:val="18"/>
                <w:lang w:val="en-US"/>
              </w:rPr>
              <w:t>,</w:t>
            </w:r>
            <w:r w:rsidRPr="00D6112E">
              <w:rPr>
                <w:color w:val="000000"/>
                <w:sz w:val="22"/>
                <w:szCs w:val="18"/>
                <w:lang w:val="en-US"/>
              </w:rPr>
              <w:t>250</w:t>
            </w:r>
          </w:p>
        </w:tc>
        <w:tc>
          <w:tcPr>
            <w:tcW w:w="1099" w:type="pct"/>
            <w:tcBorders>
              <w:top w:val="single" w:sz="4" w:space="0" w:color="auto"/>
              <w:left w:val="single" w:sz="4" w:space="0" w:color="auto"/>
              <w:bottom w:val="nil"/>
              <w:right w:val="single" w:sz="4" w:space="0" w:color="auto"/>
            </w:tcBorders>
          </w:tcPr>
          <w:p w:rsidR="00E023FA" w:rsidRPr="00D6112E" w:rsidRDefault="00E023FA" w:rsidP="00D6112E">
            <w:pPr>
              <w:widowControl w:val="0"/>
              <w:tabs>
                <w:tab w:val="clear" w:pos="1701"/>
              </w:tabs>
              <w:kinsoku w:val="0"/>
              <w:ind w:right="210"/>
              <w:jc w:val="right"/>
              <w:rPr>
                <w:color w:val="000000"/>
                <w:sz w:val="22"/>
                <w:szCs w:val="18"/>
                <w:lang w:val="en-US"/>
              </w:rPr>
            </w:pPr>
            <w:r w:rsidRPr="00D6112E">
              <w:rPr>
                <w:color w:val="000000"/>
                <w:sz w:val="22"/>
                <w:szCs w:val="18"/>
                <w:lang w:val="en-US"/>
              </w:rPr>
              <w:t>551</w:t>
            </w:r>
            <w:r w:rsidR="00D6112E" w:rsidRPr="00D6112E">
              <w:rPr>
                <w:color w:val="000000"/>
                <w:sz w:val="22"/>
                <w:szCs w:val="18"/>
                <w:lang w:val="en-US"/>
              </w:rPr>
              <w:t>,</w:t>
            </w:r>
            <w:r w:rsidRPr="00D6112E">
              <w:rPr>
                <w:color w:val="000000"/>
                <w:sz w:val="22"/>
                <w:szCs w:val="18"/>
                <w:lang w:val="en-US"/>
              </w:rPr>
              <w:t>911</w:t>
            </w:r>
          </w:p>
        </w:tc>
      </w:tr>
      <w:tr w:rsidR="00E023FA" w:rsidRPr="00E023FA" w:rsidTr="0056293B">
        <w:trPr>
          <w:trHeight w:val="336"/>
          <w:jc w:val="center"/>
        </w:trPr>
        <w:tc>
          <w:tcPr>
            <w:tcW w:w="2875" w:type="pct"/>
            <w:tcBorders>
              <w:top w:val="nil"/>
              <w:left w:val="single" w:sz="4" w:space="0" w:color="auto"/>
              <w:bottom w:val="nil"/>
              <w:right w:val="single" w:sz="4" w:space="0" w:color="auto"/>
            </w:tcBorders>
            <w:shd w:val="clear" w:color="auto" w:fill="auto"/>
            <w:hideMark/>
          </w:tcPr>
          <w:p w:rsidR="00E023FA" w:rsidRPr="00E023FA" w:rsidRDefault="00E023FA" w:rsidP="00E023FA">
            <w:pPr>
              <w:widowControl w:val="0"/>
              <w:kinsoku w:val="0"/>
              <w:spacing w:before="60" w:after="60"/>
              <w:rPr>
                <w:b/>
                <w:color w:val="000000"/>
                <w:sz w:val="22"/>
                <w:szCs w:val="18"/>
                <w:lang w:val="en-US"/>
              </w:rPr>
            </w:pPr>
            <w:r w:rsidRPr="00E023FA">
              <w:rPr>
                <w:color w:val="000000"/>
                <w:sz w:val="22"/>
                <w:szCs w:val="18"/>
                <w:lang w:val="en-US"/>
              </w:rPr>
              <w:t>Total expenses recognized in the statement of financial performance</w:t>
            </w:r>
          </w:p>
        </w:tc>
        <w:tc>
          <w:tcPr>
            <w:tcW w:w="1027" w:type="pct"/>
            <w:tcBorders>
              <w:top w:val="nil"/>
              <w:left w:val="single" w:sz="4" w:space="0" w:color="auto"/>
              <w:bottom w:val="nil"/>
              <w:right w:val="single" w:sz="4" w:space="0" w:color="auto"/>
            </w:tcBorders>
            <w:shd w:val="clear" w:color="auto" w:fill="auto"/>
          </w:tcPr>
          <w:p w:rsidR="00E023FA" w:rsidRPr="00D6112E" w:rsidRDefault="00E023FA" w:rsidP="00D6112E">
            <w:pPr>
              <w:widowControl w:val="0"/>
              <w:tabs>
                <w:tab w:val="clear" w:pos="1701"/>
              </w:tabs>
              <w:kinsoku w:val="0"/>
              <w:ind w:right="210"/>
              <w:jc w:val="right"/>
              <w:rPr>
                <w:color w:val="000000"/>
                <w:sz w:val="22"/>
                <w:szCs w:val="18"/>
                <w:lang w:val="en-US"/>
              </w:rPr>
            </w:pPr>
            <w:r w:rsidRPr="00D6112E">
              <w:rPr>
                <w:color w:val="000000"/>
                <w:sz w:val="22"/>
                <w:szCs w:val="18"/>
                <w:lang w:val="en-US"/>
              </w:rPr>
              <w:t>28</w:t>
            </w:r>
            <w:r w:rsidR="00D6112E" w:rsidRPr="00D6112E">
              <w:rPr>
                <w:color w:val="000000"/>
                <w:sz w:val="22"/>
                <w:szCs w:val="18"/>
                <w:lang w:val="en-US"/>
              </w:rPr>
              <w:t>,</w:t>
            </w:r>
            <w:r w:rsidRPr="00D6112E">
              <w:rPr>
                <w:color w:val="000000"/>
                <w:sz w:val="22"/>
                <w:szCs w:val="18"/>
                <w:lang w:val="en-US"/>
              </w:rPr>
              <w:t>548</w:t>
            </w:r>
          </w:p>
        </w:tc>
        <w:tc>
          <w:tcPr>
            <w:tcW w:w="1099" w:type="pct"/>
            <w:tcBorders>
              <w:top w:val="nil"/>
              <w:left w:val="single" w:sz="4" w:space="0" w:color="auto"/>
              <w:bottom w:val="nil"/>
              <w:right w:val="single" w:sz="4" w:space="0" w:color="auto"/>
            </w:tcBorders>
          </w:tcPr>
          <w:p w:rsidR="00E023FA" w:rsidRPr="00D6112E" w:rsidRDefault="00E023FA" w:rsidP="00D6112E">
            <w:pPr>
              <w:widowControl w:val="0"/>
              <w:tabs>
                <w:tab w:val="clear" w:pos="1701"/>
              </w:tabs>
              <w:kinsoku w:val="0"/>
              <w:ind w:right="210"/>
              <w:jc w:val="right"/>
              <w:rPr>
                <w:color w:val="000000"/>
                <w:sz w:val="22"/>
                <w:szCs w:val="18"/>
                <w:lang w:val="en-US"/>
              </w:rPr>
            </w:pPr>
            <w:r w:rsidRPr="00D6112E">
              <w:rPr>
                <w:color w:val="000000"/>
                <w:sz w:val="22"/>
                <w:szCs w:val="18"/>
                <w:lang w:val="en-US"/>
              </w:rPr>
              <w:t>25</w:t>
            </w:r>
            <w:r w:rsidR="00D6112E" w:rsidRPr="00D6112E">
              <w:rPr>
                <w:color w:val="000000"/>
                <w:sz w:val="22"/>
                <w:szCs w:val="18"/>
                <w:lang w:val="en-US"/>
              </w:rPr>
              <w:t>,</w:t>
            </w:r>
            <w:r w:rsidRPr="00D6112E">
              <w:rPr>
                <w:color w:val="000000"/>
                <w:sz w:val="22"/>
                <w:szCs w:val="18"/>
                <w:lang w:val="en-US"/>
              </w:rPr>
              <w:t>375</w:t>
            </w:r>
          </w:p>
        </w:tc>
      </w:tr>
      <w:tr w:rsidR="00E023FA" w:rsidRPr="00E023FA" w:rsidTr="0056293B">
        <w:trPr>
          <w:trHeight w:val="264"/>
          <w:jc w:val="center"/>
        </w:trPr>
        <w:tc>
          <w:tcPr>
            <w:tcW w:w="2875" w:type="pct"/>
            <w:tcBorders>
              <w:top w:val="nil"/>
              <w:left w:val="single" w:sz="4" w:space="0" w:color="auto"/>
              <w:bottom w:val="nil"/>
              <w:right w:val="single" w:sz="4" w:space="0" w:color="auto"/>
            </w:tcBorders>
            <w:shd w:val="clear" w:color="auto" w:fill="auto"/>
            <w:hideMark/>
          </w:tcPr>
          <w:p w:rsidR="00E023FA" w:rsidRPr="00E023FA" w:rsidRDefault="00E023FA" w:rsidP="00E023FA">
            <w:pPr>
              <w:widowControl w:val="0"/>
              <w:kinsoku w:val="0"/>
              <w:spacing w:before="60" w:after="60"/>
              <w:rPr>
                <w:b/>
                <w:color w:val="000000"/>
                <w:sz w:val="22"/>
                <w:szCs w:val="18"/>
                <w:lang w:val="en-US"/>
              </w:rPr>
            </w:pPr>
            <w:r w:rsidRPr="00E023FA">
              <w:rPr>
                <w:color w:val="000000"/>
                <w:sz w:val="22"/>
                <w:szCs w:val="18"/>
                <w:lang w:val="en-US"/>
              </w:rPr>
              <w:t>Actuarial losses recognized in net assets</w:t>
            </w:r>
          </w:p>
        </w:tc>
        <w:tc>
          <w:tcPr>
            <w:tcW w:w="1027" w:type="pct"/>
            <w:tcBorders>
              <w:top w:val="nil"/>
              <w:left w:val="single" w:sz="4" w:space="0" w:color="auto"/>
              <w:bottom w:val="nil"/>
              <w:right w:val="single" w:sz="4" w:space="0" w:color="auto"/>
            </w:tcBorders>
            <w:shd w:val="clear" w:color="auto" w:fill="auto"/>
          </w:tcPr>
          <w:p w:rsidR="00E023FA" w:rsidRPr="00D6112E" w:rsidRDefault="00E023FA" w:rsidP="00D6112E">
            <w:pPr>
              <w:widowControl w:val="0"/>
              <w:tabs>
                <w:tab w:val="clear" w:pos="1701"/>
              </w:tabs>
              <w:kinsoku w:val="0"/>
              <w:ind w:right="210"/>
              <w:jc w:val="right"/>
              <w:rPr>
                <w:color w:val="000000"/>
                <w:sz w:val="22"/>
                <w:szCs w:val="18"/>
                <w:lang w:val="en-US"/>
              </w:rPr>
            </w:pPr>
            <w:r w:rsidRPr="00D6112E">
              <w:rPr>
                <w:color w:val="000000"/>
                <w:sz w:val="22"/>
                <w:szCs w:val="18"/>
                <w:lang w:val="en-US"/>
              </w:rPr>
              <w:t>-87</w:t>
            </w:r>
            <w:r w:rsidR="00D6112E" w:rsidRPr="00D6112E">
              <w:rPr>
                <w:color w:val="000000"/>
                <w:sz w:val="22"/>
                <w:szCs w:val="18"/>
                <w:lang w:val="en-US"/>
              </w:rPr>
              <w:t>,</w:t>
            </w:r>
            <w:r w:rsidRPr="00D6112E">
              <w:rPr>
                <w:color w:val="000000"/>
                <w:sz w:val="22"/>
                <w:szCs w:val="18"/>
                <w:lang w:val="en-US"/>
              </w:rPr>
              <w:t>277</w:t>
            </w:r>
          </w:p>
        </w:tc>
        <w:tc>
          <w:tcPr>
            <w:tcW w:w="1099" w:type="pct"/>
            <w:tcBorders>
              <w:top w:val="nil"/>
              <w:left w:val="single" w:sz="4" w:space="0" w:color="auto"/>
              <w:bottom w:val="nil"/>
              <w:right w:val="single" w:sz="4" w:space="0" w:color="auto"/>
            </w:tcBorders>
          </w:tcPr>
          <w:p w:rsidR="00E023FA" w:rsidRPr="00D6112E" w:rsidRDefault="00E023FA" w:rsidP="00D6112E">
            <w:pPr>
              <w:widowControl w:val="0"/>
              <w:tabs>
                <w:tab w:val="clear" w:pos="1701"/>
              </w:tabs>
              <w:kinsoku w:val="0"/>
              <w:ind w:right="210"/>
              <w:jc w:val="right"/>
              <w:rPr>
                <w:color w:val="000000"/>
                <w:sz w:val="22"/>
                <w:szCs w:val="18"/>
                <w:lang w:val="en-US"/>
              </w:rPr>
            </w:pPr>
            <w:r w:rsidRPr="00D6112E">
              <w:rPr>
                <w:color w:val="000000"/>
                <w:sz w:val="22"/>
                <w:szCs w:val="18"/>
                <w:lang w:val="en-US"/>
              </w:rPr>
              <w:t>47</w:t>
            </w:r>
            <w:r w:rsidR="00D6112E" w:rsidRPr="00D6112E">
              <w:rPr>
                <w:color w:val="000000"/>
                <w:sz w:val="22"/>
                <w:szCs w:val="18"/>
                <w:lang w:val="en-US"/>
              </w:rPr>
              <w:t>,</w:t>
            </w:r>
            <w:r w:rsidRPr="00D6112E">
              <w:rPr>
                <w:color w:val="000000"/>
                <w:sz w:val="22"/>
                <w:szCs w:val="18"/>
                <w:lang w:val="en-US"/>
              </w:rPr>
              <w:t>125</w:t>
            </w:r>
          </w:p>
        </w:tc>
      </w:tr>
      <w:tr w:rsidR="00E023FA" w:rsidRPr="00E023FA" w:rsidTr="0056293B">
        <w:trPr>
          <w:trHeight w:val="264"/>
          <w:jc w:val="center"/>
        </w:trPr>
        <w:tc>
          <w:tcPr>
            <w:tcW w:w="2875" w:type="pct"/>
            <w:tcBorders>
              <w:top w:val="nil"/>
              <w:left w:val="single" w:sz="4" w:space="0" w:color="auto"/>
              <w:bottom w:val="nil"/>
              <w:right w:val="single" w:sz="4" w:space="0" w:color="auto"/>
            </w:tcBorders>
            <w:shd w:val="clear" w:color="auto" w:fill="auto"/>
            <w:vAlign w:val="bottom"/>
            <w:hideMark/>
          </w:tcPr>
          <w:p w:rsidR="00E023FA" w:rsidRPr="00E023FA" w:rsidRDefault="00E023FA" w:rsidP="00E023FA">
            <w:pPr>
              <w:widowControl w:val="0"/>
              <w:kinsoku w:val="0"/>
              <w:spacing w:before="60" w:after="60"/>
              <w:rPr>
                <w:b/>
                <w:color w:val="000000"/>
                <w:sz w:val="22"/>
                <w:szCs w:val="18"/>
                <w:lang w:val="en-US"/>
              </w:rPr>
            </w:pPr>
            <w:r w:rsidRPr="00E023FA">
              <w:rPr>
                <w:color w:val="000000"/>
                <w:sz w:val="22"/>
                <w:szCs w:val="18"/>
                <w:lang w:val="en-US"/>
              </w:rPr>
              <w:t>Contributions during the period</w:t>
            </w:r>
          </w:p>
        </w:tc>
        <w:tc>
          <w:tcPr>
            <w:tcW w:w="1027" w:type="pct"/>
            <w:tcBorders>
              <w:top w:val="nil"/>
              <w:left w:val="single" w:sz="4" w:space="0" w:color="auto"/>
              <w:bottom w:val="nil"/>
              <w:right w:val="single" w:sz="4" w:space="0" w:color="auto"/>
            </w:tcBorders>
            <w:shd w:val="clear" w:color="auto" w:fill="auto"/>
          </w:tcPr>
          <w:p w:rsidR="00E023FA" w:rsidRPr="00D6112E" w:rsidRDefault="00E023FA" w:rsidP="00D6112E">
            <w:pPr>
              <w:widowControl w:val="0"/>
              <w:tabs>
                <w:tab w:val="clear" w:pos="1701"/>
              </w:tabs>
              <w:kinsoku w:val="0"/>
              <w:ind w:right="210"/>
              <w:jc w:val="right"/>
              <w:rPr>
                <w:color w:val="000000"/>
                <w:sz w:val="22"/>
                <w:szCs w:val="18"/>
                <w:lang w:val="en-US"/>
              </w:rPr>
            </w:pPr>
            <w:r w:rsidRPr="00D6112E">
              <w:rPr>
                <w:color w:val="000000"/>
                <w:sz w:val="22"/>
                <w:szCs w:val="18"/>
                <w:lang w:val="en-US"/>
              </w:rPr>
              <w:t>-6</w:t>
            </w:r>
            <w:r w:rsidR="00D6112E" w:rsidRPr="00D6112E">
              <w:rPr>
                <w:color w:val="000000"/>
                <w:sz w:val="22"/>
                <w:szCs w:val="18"/>
                <w:lang w:val="en-US"/>
              </w:rPr>
              <w:t>,</w:t>
            </w:r>
            <w:r w:rsidRPr="00D6112E">
              <w:rPr>
                <w:color w:val="000000"/>
                <w:sz w:val="22"/>
                <w:szCs w:val="18"/>
                <w:lang w:val="en-US"/>
              </w:rPr>
              <w:t>281</w:t>
            </w:r>
          </w:p>
        </w:tc>
        <w:tc>
          <w:tcPr>
            <w:tcW w:w="1099" w:type="pct"/>
            <w:tcBorders>
              <w:top w:val="nil"/>
              <w:left w:val="single" w:sz="4" w:space="0" w:color="auto"/>
              <w:bottom w:val="nil"/>
              <w:right w:val="single" w:sz="4" w:space="0" w:color="auto"/>
            </w:tcBorders>
          </w:tcPr>
          <w:p w:rsidR="00E023FA" w:rsidRPr="00D6112E" w:rsidRDefault="00E023FA" w:rsidP="00D6112E">
            <w:pPr>
              <w:widowControl w:val="0"/>
              <w:tabs>
                <w:tab w:val="clear" w:pos="1701"/>
              </w:tabs>
              <w:kinsoku w:val="0"/>
              <w:ind w:right="210"/>
              <w:jc w:val="right"/>
              <w:rPr>
                <w:color w:val="000000"/>
                <w:sz w:val="22"/>
                <w:szCs w:val="18"/>
                <w:lang w:val="en-US"/>
              </w:rPr>
            </w:pPr>
            <w:r w:rsidRPr="00D6112E">
              <w:rPr>
                <w:color w:val="000000"/>
                <w:sz w:val="22"/>
                <w:szCs w:val="18"/>
                <w:lang w:val="en-US"/>
              </w:rPr>
              <w:t>-7</w:t>
            </w:r>
            <w:r w:rsidR="00D6112E" w:rsidRPr="00D6112E">
              <w:rPr>
                <w:color w:val="000000"/>
                <w:sz w:val="22"/>
                <w:szCs w:val="18"/>
                <w:lang w:val="en-US"/>
              </w:rPr>
              <w:t>,</w:t>
            </w:r>
            <w:r w:rsidRPr="00D6112E">
              <w:rPr>
                <w:color w:val="000000"/>
                <w:sz w:val="22"/>
                <w:szCs w:val="18"/>
                <w:lang w:val="en-US"/>
              </w:rPr>
              <w:t>161</w:t>
            </w:r>
          </w:p>
        </w:tc>
      </w:tr>
      <w:tr w:rsidR="00E023FA" w:rsidRPr="00E023FA" w:rsidTr="0056293B">
        <w:trPr>
          <w:trHeight w:val="264"/>
          <w:jc w:val="center"/>
        </w:trPr>
        <w:tc>
          <w:tcPr>
            <w:tcW w:w="2875" w:type="pct"/>
            <w:tcBorders>
              <w:top w:val="nil"/>
              <w:left w:val="single" w:sz="4" w:space="0" w:color="auto"/>
              <w:right w:val="single" w:sz="4" w:space="0" w:color="auto"/>
            </w:tcBorders>
            <w:shd w:val="clear" w:color="auto" w:fill="auto"/>
            <w:hideMark/>
          </w:tcPr>
          <w:p w:rsidR="00E023FA" w:rsidRPr="00E023FA" w:rsidRDefault="00E023FA" w:rsidP="00E023FA">
            <w:pPr>
              <w:widowControl w:val="0"/>
              <w:kinsoku w:val="0"/>
              <w:spacing w:before="60" w:after="120"/>
              <w:rPr>
                <w:b/>
                <w:color w:val="000000"/>
                <w:sz w:val="22"/>
                <w:szCs w:val="18"/>
                <w:lang w:val="en-US"/>
              </w:rPr>
            </w:pPr>
            <w:r w:rsidRPr="00E023FA">
              <w:rPr>
                <w:color w:val="000000"/>
                <w:sz w:val="22"/>
                <w:szCs w:val="18"/>
                <w:lang w:val="en-US"/>
              </w:rPr>
              <w:t>Unrealized exchange-rate loss / (gain)</w:t>
            </w:r>
          </w:p>
        </w:tc>
        <w:tc>
          <w:tcPr>
            <w:tcW w:w="1027" w:type="pct"/>
            <w:tcBorders>
              <w:top w:val="nil"/>
              <w:left w:val="single" w:sz="4" w:space="0" w:color="auto"/>
              <w:right w:val="single" w:sz="4" w:space="0" w:color="auto"/>
            </w:tcBorders>
            <w:shd w:val="clear" w:color="auto" w:fill="auto"/>
          </w:tcPr>
          <w:p w:rsidR="00E023FA" w:rsidRPr="00D6112E" w:rsidRDefault="00E023FA" w:rsidP="00D6112E">
            <w:pPr>
              <w:widowControl w:val="0"/>
              <w:tabs>
                <w:tab w:val="clear" w:pos="1701"/>
              </w:tabs>
              <w:kinsoku w:val="0"/>
              <w:ind w:right="210"/>
              <w:jc w:val="right"/>
              <w:rPr>
                <w:color w:val="000000"/>
                <w:sz w:val="22"/>
                <w:szCs w:val="18"/>
                <w:lang w:val="en-US"/>
              </w:rPr>
            </w:pPr>
            <w:r w:rsidRPr="00D6112E">
              <w:rPr>
                <w:color w:val="000000"/>
                <w:sz w:val="22"/>
                <w:szCs w:val="18"/>
                <w:lang w:val="en-US"/>
              </w:rPr>
              <w:t>0</w:t>
            </w:r>
          </w:p>
        </w:tc>
        <w:tc>
          <w:tcPr>
            <w:tcW w:w="1099" w:type="pct"/>
            <w:tcBorders>
              <w:top w:val="nil"/>
              <w:left w:val="single" w:sz="4" w:space="0" w:color="auto"/>
              <w:right w:val="single" w:sz="4" w:space="0" w:color="auto"/>
            </w:tcBorders>
          </w:tcPr>
          <w:p w:rsidR="00E023FA" w:rsidRPr="00D6112E" w:rsidRDefault="00E023FA" w:rsidP="00D6112E">
            <w:pPr>
              <w:widowControl w:val="0"/>
              <w:tabs>
                <w:tab w:val="clear" w:pos="1701"/>
              </w:tabs>
              <w:kinsoku w:val="0"/>
              <w:ind w:right="210"/>
              <w:jc w:val="right"/>
              <w:rPr>
                <w:color w:val="000000"/>
                <w:sz w:val="22"/>
                <w:szCs w:val="18"/>
                <w:lang w:val="en-US"/>
              </w:rPr>
            </w:pPr>
            <w:r w:rsidRPr="00D6112E">
              <w:rPr>
                <w:color w:val="000000"/>
                <w:sz w:val="22"/>
                <w:szCs w:val="18"/>
                <w:lang w:val="en-US"/>
              </w:rPr>
              <w:t>0</w:t>
            </w:r>
          </w:p>
        </w:tc>
      </w:tr>
      <w:tr w:rsidR="00E023FA" w:rsidRPr="00E023FA" w:rsidTr="0056293B">
        <w:trPr>
          <w:trHeight w:val="336"/>
          <w:jc w:val="center"/>
        </w:trPr>
        <w:tc>
          <w:tcPr>
            <w:tcW w:w="2875" w:type="pct"/>
            <w:tcBorders>
              <w:top w:val="nil"/>
              <w:left w:val="single" w:sz="4" w:space="0" w:color="auto"/>
              <w:bottom w:val="single" w:sz="4" w:space="0" w:color="auto"/>
              <w:right w:val="single" w:sz="4" w:space="0" w:color="auto"/>
            </w:tcBorders>
            <w:shd w:val="clear" w:color="auto" w:fill="auto"/>
            <w:hideMark/>
          </w:tcPr>
          <w:p w:rsidR="00E023FA" w:rsidRPr="00E023FA" w:rsidRDefault="00E023FA" w:rsidP="00E023FA">
            <w:pPr>
              <w:widowControl w:val="0"/>
              <w:kinsoku w:val="0"/>
              <w:rPr>
                <w:bCs/>
                <w:color w:val="000000"/>
                <w:sz w:val="22"/>
                <w:szCs w:val="18"/>
                <w:lang w:val="en-US"/>
              </w:rPr>
            </w:pPr>
            <w:r w:rsidRPr="00E023FA">
              <w:rPr>
                <w:bCs/>
                <w:color w:val="000000"/>
                <w:sz w:val="22"/>
                <w:szCs w:val="18"/>
                <w:lang w:val="en-US"/>
              </w:rPr>
              <w:t>Amount of obligations under the ASHI plan at 31 December 2018-2017</w:t>
            </w:r>
          </w:p>
        </w:tc>
        <w:tc>
          <w:tcPr>
            <w:tcW w:w="1027" w:type="pct"/>
            <w:tcBorders>
              <w:top w:val="nil"/>
              <w:left w:val="single" w:sz="4" w:space="0" w:color="auto"/>
              <w:bottom w:val="single" w:sz="4" w:space="0" w:color="auto"/>
              <w:right w:val="single" w:sz="4" w:space="0" w:color="auto"/>
            </w:tcBorders>
            <w:shd w:val="clear" w:color="auto" w:fill="auto"/>
          </w:tcPr>
          <w:p w:rsidR="00E023FA" w:rsidRPr="00D6112E" w:rsidRDefault="00E023FA" w:rsidP="00D6112E">
            <w:pPr>
              <w:widowControl w:val="0"/>
              <w:tabs>
                <w:tab w:val="clear" w:pos="1701"/>
              </w:tabs>
              <w:kinsoku w:val="0"/>
              <w:ind w:right="210"/>
              <w:jc w:val="right"/>
              <w:rPr>
                <w:color w:val="000000"/>
                <w:sz w:val="22"/>
                <w:szCs w:val="18"/>
                <w:lang w:val="en-US"/>
              </w:rPr>
            </w:pPr>
            <w:r w:rsidRPr="00D6112E">
              <w:rPr>
                <w:color w:val="000000"/>
                <w:sz w:val="22"/>
                <w:szCs w:val="18"/>
                <w:lang w:val="en-US"/>
              </w:rPr>
              <w:t>552</w:t>
            </w:r>
            <w:r w:rsidR="00D6112E" w:rsidRPr="00D6112E">
              <w:rPr>
                <w:color w:val="000000"/>
                <w:sz w:val="22"/>
                <w:szCs w:val="18"/>
                <w:lang w:val="en-US"/>
              </w:rPr>
              <w:t>,</w:t>
            </w:r>
            <w:r w:rsidRPr="00D6112E">
              <w:rPr>
                <w:color w:val="000000"/>
                <w:sz w:val="22"/>
                <w:szCs w:val="18"/>
                <w:lang w:val="en-US"/>
              </w:rPr>
              <w:t>240</w:t>
            </w:r>
          </w:p>
        </w:tc>
        <w:tc>
          <w:tcPr>
            <w:tcW w:w="1099" w:type="pct"/>
            <w:tcBorders>
              <w:top w:val="nil"/>
              <w:left w:val="single" w:sz="4" w:space="0" w:color="auto"/>
              <w:bottom w:val="single" w:sz="4" w:space="0" w:color="auto"/>
              <w:right w:val="single" w:sz="4" w:space="0" w:color="auto"/>
            </w:tcBorders>
          </w:tcPr>
          <w:p w:rsidR="00E023FA" w:rsidRPr="00D6112E" w:rsidRDefault="00E023FA" w:rsidP="00D6112E">
            <w:pPr>
              <w:widowControl w:val="0"/>
              <w:tabs>
                <w:tab w:val="clear" w:pos="1701"/>
              </w:tabs>
              <w:kinsoku w:val="0"/>
              <w:ind w:right="210"/>
              <w:jc w:val="right"/>
              <w:rPr>
                <w:color w:val="000000"/>
                <w:sz w:val="22"/>
                <w:szCs w:val="18"/>
                <w:lang w:val="en-US"/>
              </w:rPr>
            </w:pPr>
            <w:r w:rsidRPr="00D6112E">
              <w:rPr>
                <w:color w:val="000000"/>
                <w:sz w:val="22"/>
                <w:szCs w:val="18"/>
                <w:lang w:val="en-US"/>
              </w:rPr>
              <w:t>617</w:t>
            </w:r>
            <w:r w:rsidR="00D6112E" w:rsidRPr="00D6112E">
              <w:rPr>
                <w:color w:val="000000"/>
                <w:sz w:val="22"/>
                <w:szCs w:val="18"/>
                <w:lang w:val="en-US"/>
              </w:rPr>
              <w:t>,</w:t>
            </w:r>
            <w:r w:rsidRPr="00D6112E">
              <w:rPr>
                <w:color w:val="000000"/>
                <w:sz w:val="22"/>
                <w:szCs w:val="18"/>
                <w:lang w:val="en-US"/>
              </w:rPr>
              <w:t>250</w:t>
            </w:r>
          </w:p>
        </w:tc>
      </w:tr>
    </w:tbl>
    <w:p w:rsidR="00EE61B8" w:rsidRPr="00935427" w:rsidRDefault="00935427" w:rsidP="00227D54">
      <w:pPr>
        <w:spacing w:before="240"/>
        <w:jc w:val="both"/>
        <w:rPr>
          <w:sz w:val="22"/>
          <w:lang w:val="en-US" w:eastAsia="zh-CN"/>
        </w:rPr>
      </w:pPr>
      <w:r w:rsidRPr="00935427">
        <w:rPr>
          <w:lang w:eastAsia="en-GB"/>
        </w:rPr>
        <w:t xml:space="preserve">The ASHI-related obligation at 31 December 2018 amounts to CHF 552.24 million. This significant decrease compared to 2017  (CHF 617,250 ) is due to the gain emanating from the assumption change including the new medical claims table reflecting the good claims experience in the recent past  and also to  an increase </w:t>
      </w:r>
      <w:r>
        <w:rPr>
          <w:lang w:eastAsia="en-GB"/>
        </w:rPr>
        <w:t>in</w:t>
      </w:r>
      <w:r w:rsidRPr="00935427">
        <w:rPr>
          <w:lang w:eastAsia="en-GB"/>
        </w:rPr>
        <w:t xml:space="preserve"> the discount from 0.90 per cent in 2017 to 1.2 per cent in 2018. </w:t>
      </w:r>
    </w:p>
    <w:p w:rsidR="0022373A" w:rsidRDefault="0022373A" w:rsidP="00227D54">
      <w:pPr>
        <w:snapToGrid w:val="0"/>
        <w:spacing w:after="240"/>
        <w:jc w:val="both"/>
        <w:rPr>
          <w:lang w:val="en-US"/>
        </w:rPr>
      </w:pPr>
      <w:r w:rsidRPr="000D7C4D">
        <w:rPr>
          <w:lang w:val="en-US"/>
        </w:rPr>
        <w:t>The actuarial loss due to changes in actuarial estimates is recognized in net assets using the OCI method.</w:t>
      </w:r>
    </w:p>
    <w:tbl>
      <w:tblPr>
        <w:tblW w:w="9492" w:type="dxa"/>
        <w:jc w:val="center"/>
        <w:tblLook w:val="04A0" w:firstRow="1" w:lastRow="0" w:firstColumn="1" w:lastColumn="0" w:noHBand="0" w:noVBand="1"/>
      </w:tblPr>
      <w:tblGrid>
        <w:gridCol w:w="6086"/>
        <w:gridCol w:w="1559"/>
        <w:gridCol w:w="1847"/>
      </w:tblGrid>
      <w:tr w:rsidR="00972D89" w:rsidRPr="00972D89" w:rsidTr="00D6112E">
        <w:trPr>
          <w:trHeight w:val="315"/>
          <w:jc w:val="center"/>
        </w:trPr>
        <w:tc>
          <w:tcPr>
            <w:tcW w:w="6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72D89" w:rsidRPr="00851540" w:rsidRDefault="00972D89" w:rsidP="00972D89">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851540">
              <w:rPr>
                <w:b/>
                <w:bCs/>
                <w:color w:val="000000"/>
                <w:sz w:val="22"/>
                <w:szCs w:val="22"/>
                <w:lang w:val="en-US" w:eastAsia="zh-CN"/>
              </w:rPr>
              <w:t>Analysis of actuarial losses recognized in net assets</w:t>
            </w:r>
          </w:p>
        </w:tc>
        <w:tc>
          <w:tcPr>
            <w:tcW w:w="3406" w:type="dxa"/>
            <w:gridSpan w:val="2"/>
            <w:tcBorders>
              <w:top w:val="single" w:sz="8" w:space="0" w:color="auto"/>
              <w:left w:val="nil"/>
              <w:bottom w:val="single" w:sz="8" w:space="0" w:color="auto"/>
              <w:right w:val="single" w:sz="8" w:space="0" w:color="000000"/>
            </w:tcBorders>
            <w:shd w:val="clear" w:color="auto" w:fill="auto"/>
            <w:vAlign w:val="center"/>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00"/>
                <w:sz w:val="22"/>
                <w:szCs w:val="22"/>
                <w:lang w:val="en-US" w:eastAsia="zh-CN"/>
              </w:rPr>
            </w:pPr>
            <w:r w:rsidRPr="00972D89">
              <w:rPr>
                <w:b/>
                <w:bCs/>
                <w:i/>
                <w:iCs/>
                <w:color w:val="000000"/>
                <w:sz w:val="22"/>
                <w:szCs w:val="22"/>
                <w:lang w:val="en-US" w:eastAsia="zh-CN"/>
              </w:rPr>
              <w:t>In thousands of CHF</w:t>
            </w:r>
          </w:p>
        </w:tc>
      </w:tr>
      <w:tr w:rsidR="00972D89" w:rsidRPr="00972D89" w:rsidTr="00D6112E">
        <w:trPr>
          <w:trHeight w:val="300"/>
          <w:jc w:val="center"/>
        </w:trPr>
        <w:tc>
          <w:tcPr>
            <w:tcW w:w="6086" w:type="dxa"/>
            <w:tcBorders>
              <w:top w:val="nil"/>
              <w:left w:val="single" w:sz="8" w:space="0" w:color="auto"/>
              <w:bottom w:val="nil"/>
              <w:right w:val="single" w:sz="8" w:space="0" w:color="auto"/>
            </w:tcBorders>
            <w:shd w:val="clear" w:color="auto" w:fill="auto"/>
            <w:hideMark/>
          </w:tcPr>
          <w:p w:rsidR="00972D89" w:rsidRPr="00972D89" w:rsidRDefault="00972D89" w:rsidP="00972D89">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color w:val="000000"/>
                <w:sz w:val="20"/>
                <w:lang w:val="en-US" w:eastAsia="zh-CN"/>
              </w:rPr>
            </w:pPr>
            <w:r w:rsidRPr="00972D89">
              <w:rPr>
                <w:rFonts w:ascii="Times New Roman" w:hAnsi="Times New Roman"/>
                <w:color w:val="000000"/>
                <w:sz w:val="20"/>
                <w:lang w:val="en-US" w:eastAsia="zh-CN"/>
              </w:rPr>
              <w:t> </w:t>
            </w:r>
          </w:p>
        </w:tc>
        <w:tc>
          <w:tcPr>
            <w:tcW w:w="1559" w:type="dxa"/>
            <w:tcBorders>
              <w:top w:val="nil"/>
              <w:left w:val="nil"/>
              <w:bottom w:val="nil"/>
              <w:right w:val="nil"/>
            </w:tcBorders>
            <w:shd w:val="clear" w:color="auto" w:fill="auto"/>
            <w:vAlign w:val="center"/>
            <w:hideMark/>
          </w:tcPr>
          <w:p w:rsidR="00972D89" w:rsidRPr="00972D89" w:rsidRDefault="00972D89" w:rsidP="009F2354">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72D89">
              <w:rPr>
                <w:b/>
                <w:bCs/>
                <w:color w:val="000000"/>
                <w:sz w:val="22"/>
                <w:szCs w:val="22"/>
                <w:lang w:val="en-US" w:eastAsia="zh-CN"/>
              </w:rPr>
              <w:t>31.12.201</w:t>
            </w:r>
            <w:r w:rsidR="009F2354">
              <w:rPr>
                <w:b/>
                <w:bCs/>
                <w:color w:val="000000"/>
                <w:sz w:val="22"/>
                <w:szCs w:val="22"/>
                <w:lang w:val="en-US" w:eastAsia="zh-CN"/>
              </w:rPr>
              <w:t>8</w:t>
            </w:r>
          </w:p>
        </w:tc>
        <w:tc>
          <w:tcPr>
            <w:tcW w:w="1847" w:type="dxa"/>
            <w:tcBorders>
              <w:top w:val="nil"/>
              <w:left w:val="single" w:sz="8" w:space="0" w:color="auto"/>
              <w:bottom w:val="nil"/>
              <w:right w:val="single" w:sz="8" w:space="0" w:color="auto"/>
            </w:tcBorders>
            <w:shd w:val="clear" w:color="auto" w:fill="auto"/>
            <w:vAlign w:val="center"/>
            <w:hideMark/>
          </w:tcPr>
          <w:p w:rsidR="00972D89" w:rsidRPr="00972D89" w:rsidRDefault="00972D89" w:rsidP="009F2354">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972D89">
              <w:rPr>
                <w:b/>
                <w:bCs/>
                <w:color w:val="000000"/>
                <w:sz w:val="22"/>
                <w:szCs w:val="22"/>
                <w:lang w:val="en-US" w:eastAsia="zh-CN"/>
              </w:rPr>
              <w:t>31.12.201</w:t>
            </w:r>
            <w:r w:rsidR="009F2354">
              <w:rPr>
                <w:b/>
                <w:bCs/>
                <w:color w:val="000000"/>
                <w:sz w:val="22"/>
                <w:szCs w:val="22"/>
                <w:lang w:val="en-US" w:eastAsia="zh-CN"/>
              </w:rPr>
              <w:t>7</w:t>
            </w:r>
          </w:p>
        </w:tc>
      </w:tr>
      <w:tr w:rsidR="009F2354" w:rsidRPr="00972D89" w:rsidTr="00D6112E">
        <w:trPr>
          <w:trHeight w:val="300"/>
          <w:jc w:val="center"/>
        </w:trPr>
        <w:tc>
          <w:tcPr>
            <w:tcW w:w="6086" w:type="dxa"/>
            <w:tcBorders>
              <w:top w:val="nil"/>
              <w:left w:val="single" w:sz="8" w:space="0" w:color="auto"/>
              <w:bottom w:val="nil"/>
              <w:right w:val="single" w:sz="8" w:space="0" w:color="auto"/>
            </w:tcBorders>
            <w:shd w:val="clear" w:color="auto" w:fill="auto"/>
            <w:vAlign w:val="center"/>
            <w:hideMark/>
          </w:tcPr>
          <w:p w:rsidR="009F2354" w:rsidRPr="00972D89" w:rsidRDefault="009F2354" w:rsidP="009F2354">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72D89">
              <w:rPr>
                <w:color w:val="000000"/>
                <w:sz w:val="22"/>
                <w:szCs w:val="22"/>
                <w:lang w:val="en-US" w:eastAsia="zh-CN"/>
              </w:rPr>
              <w:t>Obligation due to changes in assumptions</w:t>
            </w:r>
          </w:p>
        </w:tc>
        <w:tc>
          <w:tcPr>
            <w:tcW w:w="1559" w:type="dxa"/>
            <w:tcBorders>
              <w:top w:val="nil"/>
              <w:left w:val="nil"/>
              <w:bottom w:val="nil"/>
              <w:right w:val="nil"/>
            </w:tcBorders>
            <w:shd w:val="clear" w:color="auto" w:fill="auto"/>
            <w:hideMark/>
          </w:tcPr>
          <w:p w:rsidR="009F2354" w:rsidRPr="009F2354" w:rsidRDefault="009F2354" w:rsidP="009F235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F2354">
              <w:rPr>
                <w:color w:val="000000"/>
                <w:sz w:val="22"/>
                <w:szCs w:val="22"/>
                <w:lang w:val="en-US" w:eastAsia="zh-CN"/>
              </w:rPr>
              <w:t xml:space="preserve">   -98,029 </w:t>
            </w:r>
          </w:p>
        </w:tc>
        <w:tc>
          <w:tcPr>
            <w:tcW w:w="1847" w:type="dxa"/>
            <w:tcBorders>
              <w:top w:val="nil"/>
              <w:left w:val="single" w:sz="8" w:space="0" w:color="auto"/>
              <w:bottom w:val="nil"/>
              <w:right w:val="single" w:sz="8" w:space="0" w:color="auto"/>
            </w:tcBorders>
            <w:shd w:val="clear" w:color="auto" w:fill="auto"/>
            <w:vAlign w:val="center"/>
            <w:hideMark/>
          </w:tcPr>
          <w:p w:rsidR="009F2354" w:rsidRPr="00972D89" w:rsidRDefault="009F2354" w:rsidP="009F235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72D89">
              <w:rPr>
                <w:color w:val="000000"/>
                <w:sz w:val="22"/>
                <w:szCs w:val="22"/>
                <w:lang w:val="en-US" w:eastAsia="zh-CN"/>
              </w:rPr>
              <w:t>75,452</w:t>
            </w:r>
          </w:p>
        </w:tc>
      </w:tr>
      <w:tr w:rsidR="009F2354" w:rsidRPr="00972D89" w:rsidTr="00D6112E">
        <w:trPr>
          <w:trHeight w:val="300"/>
          <w:jc w:val="center"/>
        </w:trPr>
        <w:tc>
          <w:tcPr>
            <w:tcW w:w="6086" w:type="dxa"/>
            <w:tcBorders>
              <w:top w:val="nil"/>
              <w:left w:val="single" w:sz="8" w:space="0" w:color="auto"/>
              <w:bottom w:val="nil"/>
              <w:right w:val="single" w:sz="8" w:space="0" w:color="auto"/>
            </w:tcBorders>
            <w:shd w:val="clear" w:color="auto" w:fill="auto"/>
            <w:vAlign w:val="center"/>
            <w:hideMark/>
          </w:tcPr>
          <w:p w:rsidR="009F2354" w:rsidRPr="00972D89" w:rsidRDefault="009F2354" w:rsidP="009F2354">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72D89">
              <w:rPr>
                <w:color w:val="000000"/>
                <w:sz w:val="22"/>
                <w:szCs w:val="22"/>
                <w:lang w:val="en-US" w:eastAsia="zh-CN"/>
              </w:rPr>
              <w:t>Obligation due to experience during the period</w:t>
            </w:r>
          </w:p>
        </w:tc>
        <w:tc>
          <w:tcPr>
            <w:tcW w:w="1559" w:type="dxa"/>
            <w:tcBorders>
              <w:top w:val="nil"/>
              <w:left w:val="nil"/>
              <w:bottom w:val="nil"/>
              <w:right w:val="nil"/>
            </w:tcBorders>
            <w:shd w:val="clear" w:color="auto" w:fill="auto"/>
            <w:hideMark/>
          </w:tcPr>
          <w:p w:rsidR="009F2354" w:rsidRPr="009F2354" w:rsidRDefault="009F2354" w:rsidP="009F235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F2354">
              <w:rPr>
                <w:color w:val="000000"/>
                <w:sz w:val="22"/>
                <w:szCs w:val="22"/>
                <w:lang w:val="en-US" w:eastAsia="zh-CN"/>
              </w:rPr>
              <w:t xml:space="preserve">    10,752 </w:t>
            </w:r>
          </w:p>
        </w:tc>
        <w:tc>
          <w:tcPr>
            <w:tcW w:w="1847" w:type="dxa"/>
            <w:tcBorders>
              <w:top w:val="nil"/>
              <w:left w:val="single" w:sz="8" w:space="0" w:color="auto"/>
              <w:bottom w:val="nil"/>
              <w:right w:val="single" w:sz="8" w:space="0" w:color="auto"/>
            </w:tcBorders>
            <w:shd w:val="clear" w:color="auto" w:fill="auto"/>
            <w:vAlign w:val="center"/>
            <w:hideMark/>
          </w:tcPr>
          <w:p w:rsidR="009F2354" w:rsidRPr="00972D89" w:rsidRDefault="009F2354" w:rsidP="009F235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72D89">
              <w:rPr>
                <w:color w:val="000000"/>
                <w:sz w:val="22"/>
                <w:szCs w:val="22"/>
                <w:lang w:val="en-US" w:eastAsia="zh-CN"/>
              </w:rPr>
              <w:t>-28,327</w:t>
            </w:r>
          </w:p>
        </w:tc>
      </w:tr>
      <w:tr w:rsidR="009F2354" w:rsidRPr="00972D89" w:rsidTr="00D6112E">
        <w:trPr>
          <w:trHeight w:val="300"/>
          <w:jc w:val="center"/>
        </w:trPr>
        <w:tc>
          <w:tcPr>
            <w:tcW w:w="6086" w:type="dxa"/>
            <w:tcBorders>
              <w:top w:val="nil"/>
              <w:left w:val="single" w:sz="8" w:space="0" w:color="auto"/>
              <w:bottom w:val="nil"/>
              <w:right w:val="single" w:sz="8" w:space="0" w:color="auto"/>
            </w:tcBorders>
            <w:shd w:val="clear" w:color="auto" w:fill="auto"/>
            <w:vAlign w:val="center"/>
            <w:hideMark/>
          </w:tcPr>
          <w:p w:rsidR="009F2354" w:rsidRPr="00972D89" w:rsidRDefault="009F2354" w:rsidP="009F2354">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72D89">
              <w:rPr>
                <w:color w:val="000000"/>
                <w:sz w:val="22"/>
                <w:szCs w:val="22"/>
                <w:lang w:val="en-US" w:eastAsia="zh-CN"/>
              </w:rPr>
              <w:t>Variation over the period</w:t>
            </w:r>
          </w:p>
        </w:tc>
        <w:tc>
          <w:tcPr>
            <w:tcW w:w="1559" w:type="dxa"/>
            <w:tcBorders>
              <w:top w:val="nil"/>
              <w:left w:val="nil"/>
              <w:bottom w:val="nil"/>
              <w:right w:val="nil"/>
            </w:tcBorders>
            <w:shd w:val="clear" w:color="auto" w:fill="auto"/>
            <w:hideMark/>
          </w:tcPr>
          <w:p w:rsidR="009F2354" w:rsidRPr="009F2354" w:rsidRDefault="009F2354" w:rsidP="009F235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F2354">
              <w:rPr>
                <w:color w:val="000000"/>
                <w:sz w:val="22"/>
                <w:szCs w:val="22"/>
                <w:lang w:val="en-US" w:eastAsia="zh-CN"/>
              </w:rPr>
              <w:t xml:space="preserve">              -87,277    </w:t>
            </w:r>
          </w:p>
        </w:tc>
        <w:tc>
          <w:tcPr>
            <w:tcW w:w="1847" w:type="dxa"/>
            <w:tcBorders>
              <w:top w:val="nil"/>
              <w:left w:val="single" w:sz="8" w:space="0" w:color="auto"/>
              <w:bottom w:val="nil"/>
              <w:right w:val="single" w:sz="8" w:space="0" w:color="auto"/>
            </w:tcBorders>
            <w:shd w:val="clear" w:color="auto" w:fill="auto"/>
            <w:vAlign w:val="center"/>
            <w:hideMark/>
          </w:tcPr>
          <w:p w:rsidR="009F2354" w:rsidRPr="00972D89" w:rsidRDefault="009F2354" w:rsidP="009F235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72D89">
              <w:rPr>
                <w:color w:val="000000"/>
                <w:sz w:val="22"/>
                <w:szCs w:val="22"/>
                <w:lang w:val="en-US" w:eastAsia="zh-CN"/>
              </w:rPr>
              <w:t>47,125</w:t>
            </w:r>
          </w:p>
        </w:tc>
      </w:tr>
      <w:tr w:rsidR="009F2354" w:rsidRPr="00972D89" w:rsidTr="00D6112E">
        <w:trPr>
          <w:trHeight w:val="615"/>
          <w:jc w:val="center"/>
        </w:trPr>
        <w:tc>
          <w:tcPr>
            <w:tcW w:w="6086" w:type="dxa"/>
            <w:tcBorders>
              <w:top w:val="nil"/>
              <w:left w:val="single" w:sz="8" w:space="0" w:color="auto"/>
              <w:bottom w:val="single" w:sz="8" w:space="0" w:color="auto"/>
              <w:right w:val="single" w:sz="8" w:space="0" w:color="auto"/>
            </w:tcBorders>
            <w:shd w:val="clear" w:color="auto" w:fill="auto"/>
            <w:vAlign w:val="center"/>
            <w:hideMark/>
          </w:tcPr>
          <w:p w:rsidR="009F2354" w:rsidRPr="00972D89" w:rsidRDefault="009F2354" w:rsidP="009F2354">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972D89">
              <w:rPr>
                <w:color w:val="000000"/>
                <w:sz w:val="22"/>
                <w:szCs w:val="22"/>
                <w:lang w:val="en-US" w:eastAsia="zh-CN"/>
              </w:rPr>
              <w:t>Cumulative amount recognized in net assets at 31 December </w:t>
            </w:r>
          </w:p>
        </w:tc>
        <w:tc>
          <w:tcPr>
            <w:tcW w:w="1559" w:type="dxa"/>
            <w:tcBorders>
              <w:top w:val="nil"/>
              <w:left w:val="nil"/>
              <w:bottom w:val="single" w:sz="8" w:space="0" w:color="auto"/>
              <w:right w:val="nil"/>
            </w:tcBorders>
            <w:shd w:val="clear" w:color="auto" w:fill="auto"/>
            <w:hideMark/>
          </w:tcPr>
          <w:p w:rsidR="009F2354" w:rsidRPr="009F2354" w:rsidRDefault="009F2354" w:rsidP="009F235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F2354">
              <w:rPr>
                <w:color w:val="000000"/>
                <w:sz w:val="22"/>
                <w:szCs w:val="22"/>
                <w:lang w:val="en-US" w:eastAsia="zh-CN"/>
              </w:rPr>
              <w:t xml:space="preserve">   </w:t>
            </w:r>
          </w:p>
          <w:p w:rsidR="009F2354" w:rsidRDefault="009F2354" w:rsidP="009F2354">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color w:val="000000"/>
                <w:sz w:val="20"/>
                <w:lang w:val="en-US" w:eastAsia="zh-CN"/>
              </w:rPr>
            </w:pPr>
            <w:r>
              <w:rPr>
                <w:rFonts w:ascii="Arial" w:hAnsi="Arial" w:cs="Arial"/>
                <w:color w:val="000000"/>
                <w:sz w:val="20"/>
              </w:rPr>
              <w:t xml:space="preserve">   282,427 </w:t>
            </w:r>
          </w:p>
          <w:p w:rsidR="009F2354" w:rsidRPr="009F2354" w:rsidRDefault="009F2354" w:rsidP="009F235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p>
        </w:tc>
        <w:tc>
          <w:tcPr>
            <w:tcW w:w="1847" w:type="dxa"/>
            <w:tcBorders>
              <w:top w:val="nil"/>
              <w:left w:val="single" w:sz="8" w:space="0" w:color="auto"/>
              <w:bottom w:val="single" w:sz="8" w:space="0" w:color="auto"/>
              <w:right w:val="single" w:sz="8" w:space="0" w:color="auto"/>
            </w:tcBorders>
            <w:shd w:val="clear" w:color="auto" w:fill="auto"/>
            <w:vAlign w:val="center"/>
            <w:hideMark/>
          </w:tcPr>
          <w:p w:rsidR="009F2354" w:rsidRPr="00972D89" w:rsidRDefault="009F2354" w:rsidP="009F235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972D89">
              <w:rPr>
                <w:color w:val="000000"/>
                <w:sz w:val="22"/>
                <w:szCs w:val="22"/>
                <w:lang w:val="en-US" w:eastAsia="zh-CN"/>
              </w:rPr>
              <w:t>369,704</w:t>
            </w:r>
          </w:p>
        </w:tc>
      </w:tr>
    </w:tbl>
    <w:p w:rsidR="00972D89" w:rsidRDefault="007050AA" w:rsidP="00921B69">
      <w:pPr>
        <w:snapToGrid w:val="0"/>
        <w:spacing w:before="240"/>
        <w:jc w:val="both"/>
        <w:rPr>
          <w:lang w:val="en-US"/>
        </w:rPr>
      </w:pPr>
      <w:r w:rsidRPr="007050AA">
        <w:rPr>
          <w:lang w:val="en-US"/>
        </w:rPr>
        <w:t>The decision o</w:t>
      </w:r>
      <w:r w:rsidR="001137C4">
        <w:rPr>
          <w:lang w:val="en-US"/>
        </w:rPr>
        <w:t>n</w:t>
      </w:r>
      <w:r w:rsidRPr="007050AA">
        <w:rPr>
          <w:lang w:val="en-US"/>
        </w:rPr>
        <w:t xml:space="preserve"> the arbitration between ITU and ILO </w:t>
      </w:r>
      <w:r w:rsidR="00921B69">
        <w:rPr>
          <w:lang w:val="en-US"/>
        </w:rPr>
        <w:t xml:space="preserve">regarding </w:t>
      </w:r>
      <w:r w:rsidR="00273504" w:rsidRPr="007050AA">
        <w:rPr>
          <w:lang w:val="en-US"/>
        </w:rPr>
        <w:t>the splitting of the guarantee fund</w:t>
      </w:r>
      <w:r w:rsidRPr="007050AA">
        <w:rPr>
          <w:lang w:val="en-US"/>
        </w:rPr>
        <w:t xml:space="preserve"> </w:t>
      </w:r>
      <w:r w:rsidR="00921B69">
        <w:rPr>
          <w:lang w:val="en-US"/>
        </w:rPr>
        <w:t xml:space="preserve">was made </w:t>
      </w:r>
      <w:r w:rsidRPr="007050AA">
        <w:rPr>
          <w:lang w:val="en-US"/>
        </w:rPr>
        <w:t>in July</w:t>
      </w:r>
      <w:r w:rsidR="00921B69">
        <w:rPr>
          <w:lang w:val="en-US"/>
        </w:rPr>
        <w:t xml:space="preserve"> 2018</w:t>
      </w:r>
      <w:r w:rsidR="00273504" w:rsidRPr="007050AA">
        <w:rPr>
          <w:lang w:val="en-US"/>
        </w:rPr>
        <w:t xml:space="preserve">. </w:t>
      </w:r>
      <w:r w:rsidR="00921B69">
        <w:rPr>
          <w:lang w:val="en-US"/>
        </w:rPr>
        <w:t xml:space="preserve"> </w:t>
      </w:r>
      <w:r w:rsidRPr="007050AA">
        <w:rPr>
          <w:lang w:val="en-US"/>
        </w:rPr>
        <w:t xml:space="preserve">An amount of USD 9.4 million </w:t>
      </w:r>
      <w:r w:rsidR="00921B69">
        <w:rPr>
          <w:lang w:val="en-US"/>
        </w:rPr>
        <w:t xml:space="preserve">was </w:t>
      </w:r>
      <w:r w:rsidRPr="007050AA">
        <w:rPr>
          <w:lang w:val="en-US"/>
        </w:rPr>
        <w:t xml:space="preserve">paid </w:t>
      </w:r>
      <w:r w:rsidR="00921B69">
        <w:rPr>
          <w:lang w:val="en-US"/>
        </w:rPr>
        <w:t xml:space="preserve">by ILO to the </w:t>
      </w:r>
      <w:r w:rsidRPr="007050AA">
        <w:rPr>
          <w:lang w:val="en-US"/>
        </w:rPr>
        <w:t>ITU. Th</w:t>
      </w:r>
      <w:r w:rsidR="00921B69">
        <w:rPr>
          <w:lang w:val="en-US"/>
        </w:rPr>
        <w:t>is</w:t>
      </w:r>
      <w:r w:rsidRPr="007050AA">
        <w:rPr>
          <w:lang w:val="en-US"/>
        </w:rPr>
        <w:t xml:space="preserve"> amount has been allocated to the guarantee fund of the health insurance scheme (CMIP). </w:t>
      </w:r>
    </w:p>
    <w:p w:rsidR="00EF0313" w:rsidRDefault="003D31F2" w:rsidP="006D735A">
      <w:pPr>
        <w:snapToGrid w:val="0"/>
        <w:spacing w:after="120"/>
        <w:jc w:val="both"/>
        <w:rPr>
          <w:lang w:val="en-US"/>
        </w:rPr>
      </w:pPr>
      <w:r w:rsidRPr="001C2A98">
        <w:rPr>
          <w:lang w:val="en-US"/>
        </w:rPr>
        <w:t>The following table shows the change in the net amount of the obligation at the end of the financial period.</w:t>
      </w:r>
    </w:p>
    <w:p w:rsidR="003D31F2" w:rsidRDefault="003D31F2" w:rsidP="006D735A">
      <w:pPr>
        <w:snapToGrid w:val="0"/>
        <w:spacing w:after="120"/>
        <w:jc w:val="both"/>
        <w:rPr>
          <w:lang w:val="en-US"/>
        </w:rPr>
      </w:pPr>
    </w:p>
    <w:tbl>
      <w:tblPr>
        <w:tblW w:w="949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6091"/>
        <w:gridCol w:w="1559"/>
        <w:gridCol w:w="1843"/>
      </w:tblGrid>
      <w:tr w:rsidR="003D31F2" w:rsidRPr="006D735A" w:rsidTr="00D6112E">
        <w:trPr>
          <w:trHeight w:val="567"/>
          <w:jc w:val="center"/>
        </w:trPr>
        <w:tc>
          <w:tcPr>
            <w:tcW w:w="6091" w:type="dxa"/>
            <w:tcBorders>
              <w:top w:val="single" w:sz="4" w:space="0" w:color="auto"/>
              <w:bottom w:val="single" w:sz="4" w:space="0" w:color="auto"/>
            </w:tcBorders>
            <w:shd w:val="clear" w:color="auto" w:fill="auto"/>
            <w:vAlign w:val="center"/>
            <w:hideMark/>
          </w:tcPr>
          <w:p w:rsidR="003D31F2" w:rsidRPr="00D6112E" w:rsidRDefault="003D31F2" w:rsidP="00104965">
            <w:pPr>
              <w:widowControl w:val="0"/>
              <w:kinsoku w:val="0"/>
              <w:spacing w:before="20"/>
              <w:rPr>
                <w:b/>
                <w:color w:val="000000"/>
                <w:sz w:val="22"/>
                <w:szCs w:val="22"/>
                <w:lang w:val="en-US"/>
              </w:rPr>
            </w:pPr>
            <w:r w:rsidRPr="00D6112E">
              <w:rPr>
                <w:b/>
                <w:color w:val="000000"/>
                <w:sz w:val="22"/>
                <w:szCs w:val="22"/>
                <w:lang w:val="en-US"/>
              </w:rPr>
              <w:t>Net amount of the obligation under the ASHI plan, as recognized in the statement of financial position</w:t>
            </w:r>
          </w:p>
        </w:tc>
        <w:tc>
          <w:tcPr>
            <w:tcW w:w="3402" w:type="dxa"/>
            <w:gridSpan w:val="2"/>
            <w:tcBorders>
              <w:top w:val="single" w:sz="4" w:space="0" w:color="auto"/>
              <w:bottom w:val="single" w:sz="4" w:space="0" w:color="auto"/>
            </w:tcBorders>
            <w:shd w:val="clear" w:color="auto" w:fill="auto"/>
            <w:noWrap/>
            <w:vAlign w:val="center"/>
            <w:hideMark/>
          </w:tcPr>
          <w:p w:rsidR="003D31F2" w:rsidRPr="00D6112E" w:rsidRDefault="003D31F2" w:rsidP="00104965">
            <w:pPr>
              <w:widowControl w:val="0"/>
              <w:kinsoku w:val="0"/>
              <w:spacing w:before="20"/>
              <w:jc w:val="center"/>
              <w:rPr>
                <w:bCs/>
                <w:color w:val="000000"/>
                <w:sz w:val="22"/>
                <w:szCs w:val="22"/>
                <w:lang w:val="en-US"/>
              </w:rPr>
            </w:pPr>
            <w:r w:rsidRPr="00D6112E">
              <w:rPr>
                <w:b/>
                <w:bCs/>
                <w:i/>
                <w:iCs/>
                <w:color w:val="000000"/>
                <w:sz w:val="22"/>
                <w:szCs w:val="22"/>
                <w:lang w:val="en-US"/>
              </w:rPr>
              <w:t>In thousands of CHF</w:t>
            </w:r>
          </w:p>
        </w:tc>
      </w:tr>
      <w:tr w:rsidR="003D31F2" w:rsidRPr="006D735A" w:rsidTr="00D6112E">
        <w:trPr>
          <w:trHeight w:val="360"/>
          <w:jc w:val="center"/>
        </w:trPr>
        <w:tc>
          <w:tcPr>
            <w:tcW w:w="6091" w:type="dxa"/>
            <w:tcBorders>
              <w:top w:val="single" w:sz="4" w:space="0" w:color="auto"/>
            </w:tcBorders>
            <w:shd w:val="clear" w:color="auto" w:fill="auto"/>
            <w:vAlign w:val="bottom"/>
            <w:hideMark/>
          </w:tcPr>
          <w:p w:rsidR="003D31F2" w:rsidRPr="00D6112E" w:rsidRDefault="003D31F2" w:rsidP="00104965">
            <w:pPr>
              <w:widowControl w:val="0"/>
              <w:kinsoku w:val="0"/>
              <w:spacing w:before="20"/>
              <w:rPr>
                <w:bCs/>
                <w:color w:val="000000"/>
                <w:sz w:val="22"/>
                <w:szCs w:val="22"/>
                <w:lang w:val="en-US"/>
              </w:rPr>
            </w:pPr>
          </w:p>
        </w:tc>
        <w:tc>
          <w:tcPr>
            <w:tcW w:w="1559" w:type="dxa"/>
            <w:tcBorders>
              <w:top w:val="single" w:sz="4" w:space="0" w:color="auto"/>
              <w:bottom w:val="nil"/>
              <w:right w:val="single" w:sz="4" w:space="0" w:color="auto"/>
            </w:tcBorders>
            <w:shd w:val="clear" w:color="auto" w:fill="auto"/>
            <w:noWrap/>
            <w:vAlign w:val="bottom"/>
            <w:hideMark/>
          </w:tcPr>
          <w:p w:rsidR="003D31F2" w:rsidRPr="00D6112E" w:rsidRDefault="003D31F2" w:rsidP="009F2354">
            <w:pPr>
              <w:widowControl w:val="0"/>
              <w:tabs>
                <w:tab w:val="clear" w:pos="1701"/>
              </w:tabs>
              <w:kinsoku w:val="0"/>
              <w:spacing w:before="20"/>
              <w:jc w:val="center"/>
              <w:rPr>
                <w:b/>
                <w:color w:val="000000"/>
                <w:sz w:val="22"/>
                <w:szCs w:val="22"/>
                <w:lang w:val="en-US"/>
              </w:rPr>
            </w:pPr>
            <w:r w:rsidRPr="00D6112E">
              <w:rPr>
                <w:b/>
                <w:color w:val="000000"/>
                <w:sz w:val="22"/>
                <w:szCs w:val="22"/>
                <w:lang w:val="en-US"/>
              </w:rPr>
              <w:t>31.12.</w:t>
            </w:r>
            <w:r w:rsidR="00111BDD" w:rsidRPr="00D6112E">
              <w:rPr>
                <w:b/>
                <w:color w:val="000000"/>
                <w:sz w:val="22"/>
                <w:szCs w:val="22"/>
                <w:lang w:val="en-US"/>
              </w:rPr>
              <w:t>201</w:t>
            </w:r>
            <w:r w:rsidR="009F2354" w:rsidRPr="00D6112E">
              <w:rPr>
                <w:b/>
                <w:color w:val="000000"/>
                <w:sz w:val="22"/>
                <w:szCs w:val="22"/>
                <w:lang w:val="en-US"/>
              </w:rPr>
              <w:t>8</w:t>
            </w:r>
          </w:p>
        </w:tc>
        <w:tc>
          <w:tcPr>
            <w:tcW w:w="1843" w:type="dxa"/>
            <w:tcBorders>
              <w:top w:val="single" w:sz="4" w:space="0" w:color="auto"/>
              <w:left w:val="single" w:sz="4" w:space="0" w:color="auto"/>
              <w:bottom w:val="nil"/>
            </w:tcBorders>
            <w:shd w:val="clear" w:color="auto" w:fill="auto"/>
            <w:noWrap/>
            <w:vAlign w:val="bottom"/>
            <w:hideMark/>
          </w:tcPr>
          <w:p w:rsidR="003D31F2" w:rsidRPr="00D6112E" w:rsidRDefault="003D31F2" w:rsidP="009F2354">
            <w:pPr>
              <w:widowControl w:val="0"/>
              <w:tabs>
                <w:tab w:val="clear" w:pos="1134"/>
                <w:tab w:val="clear" w:pos="1701"/>
              </w:tabs>
              <w:kinsoku w:val="0"/>
              <w:spacing w:before="20"/>
              <w:jc w:val="center"/>
              <w:rPr>
                <w:b/>
                <w:color w:val="000000"/>
                <w:sz w:val="22"/>
                <w:szCs w:val="22"/>
                <w:lang w:val="en-US"/>
              </w:rPr>
            </w:pPr>
            <w:r w:rsidRPr="00D6112E">
              <w:rPr>
                <w:b/>
                <w:color w:val="000000"/>
                <w:sz w:val="22"/>
                <w:szCs w:val="22"/>
                <w:lang w:val="en-US"/>
              </w:rPr>
              <w:t>31.12.201</w:t>
            </w:r>
            <w:r w:rsidR="009F2354" w:rsidRPr="00D6112E">
              <w:rPr>
                <w:b/>
                <w:color w:val="000000"/>
                <w:sz w:val="22"/>
                <w:szCs w:val="22"/>
                <w:lang w:val="en-US"/>
              </w:rPr>
              <w:t>7</w:t>
            </w:r>
          </w:p>
        </w:tc>
      </w:tr>
      <w:tr w:rsidR="009F2354" w:rsidRPr="006D735A" w:rsidTr="00D6112E">
        <w:trPr>
          <w:trHeight w:val="264"/>
          <w:jc w:val="center"/>
        </w:trPr>
        <w:tc>
          <w:tcPr>
            <w:tcW w:w="6091" w:type="dxa"/>
            <w:shd w:val="clear" w:color="auto" w:fill="auto"/>
            <w:hideMark/>
          </w:tcPr>
          <w:p w:rsidR="009F2354" w:rsidRPr="00D6112E" w:rsidRDefault="009F2354" w:rsidP="009F2354">
            <w:pPr>
              <w:widowControl w:val="0"/>
              <w:kinsoku w:val="0"/>
              <w:spacing w:before="20"/>
              <w:rPr>
                <w:b/>
                <w:color w:val="000000"/>
                <w:sz w:val="22"/>
                <w:szCs w:val="22"/>
                <w:lang w:val="en-US"/>
              </w:rPr>
            </w:pPr>
            <w:r w:rsidRPr="00D6112E">
              <w:rPr>
                <w:color w:val="000000"/>
                <w:sz w:val="22"/>
                <w:szCs w:val="22"/>
                <w:lang w:val="en-US"/>
              </w:rPr>
              <w:t>Present value</w:t>
            </w:r>
          </w:p>
        </w:tc>
        <w:tc>
          <w:tcPr>
            <w:tcW w:w="1559" w:type="dxa"/>
            <w:tcBorders>
              <w:top w:val="nil"/>
            </w:tcBorders>
            <w:shd w:val="clear" w:color="auto" w:fill="auto"/>
          </w:tcPr>
          <w:p w:rsidR="009F2354" w:rsidRPr="00D6112E" w:rsidRDefault="009F2354" w:rsidP="00D6112E">
            <w:pPr>
              <w:widowControl w:val="0"/>
              <w:tabs>
                <w:tab w:val="clear" w:pos="1701"/>
              </w:tabs>
              <w:kinsoku w:val="0"/>
              <w:spacing w:before="20"/>
              <w:ind w:right="105"/>
              <w:jc w:val="right"/>
              <w:rPr>
                <w:bCs/>
                <w:color w:val="000000"/>
                <w:sz w:val="22"/>
                <w:szCs w:val="22"/>
                <w:lang w:val="en-US"/>
              </w:rPr>
            </w:pPr>
            <w:r w:rsidRPr="00D6112E">
              <w:rPr>
                <w:bCs/>
                <w:color w:val="000000"/>
                <w:sz w:val="22"/>
                <w:szCs w:val="22"/>
                <w:lang w:val="en-US"/>
              </w:rPr>
              <w:t>552</w:t>
            </w:r>
            <w:r w:rsidR="00D6112E" w:rsidRPr="00D6112E">
              <w:rPr>
                <w:bCs/>
                <w:color w:val="000000"/>
                <w:sz w:val="22"/>
                <w:szCs w:val="22"/>
                <w:lang w:val="en-US"/>
              </w:rPr>
              <w:t>,</w:t>
            </w:r>
            <w:r w:rsidRPr="00D6112E">
              <w:rPr>
                <w:bCs/>
                <w:color w:val="000000"/>
                <w:sz w:val="22"/>
                <w:szCs w:val="22"/>
                <w:lang w:val="en-US"/>
              </w:rPr>
              <w:t>240</w:t>
            </w:r>
          </w:p>
        </w:tc>
        <w:tc>
          <w:tcPr>
            <w:tcW w:w="1843" w:type="dxa"/>
            <w:tcBorders>
              <w:top w:val="nil"/>
            </w:tcBorders>
            <w:shd w:val="clear" w:color="auto" w:fill="auto"/>
          </w:tcPr>
          <w:p w:rsidR="009F2354" w:rsidRPr="00D6112E" w:rsidRDefault="009F2354" w:rsidP="00D6112E">
            <w:pPr>
              <w:widowControl w:val="0"/>
              <w:tabs>
                <w:tab w:val="clear" w:pos="1701"/>
              </w:tabs>
              <w:kinsoku w:val="0"/>
              <w:spacing w:before="20"/>
              <w:ind w:right="105"/>
              <w:jc w:val="right"/>
              <w:rPr>
                <w:bCs/>
                <w:color w:val="000000"/>
                <w:sz w:val="22"/>
                <w:szCs w:val="22"/>
                <w:lang w:val="en-US"/>
              </w:rPr>
            </w:pPr>
            <w:r w:rsidRPr="00D6112E">
              <w:rPr>
                <w:bCs/>
                <w:color w:val="000000"/>
                <w:sz w:val="22"/>
                <w:szCs w:val="22"/>
                <w:lang w:val="en-US"/>
              </w:rPr>
              <w:t>617</w:t>
            </w:r>
            <w:r w:rsidR="00D6112E" w:rsidRPr="00D6112E">
              <w:rPr>
                <w:bCs/>
                <w:color w:val="000000"/>
                <w:sz w:val="22"/>
                <w:szCs w:val="22"/>
                <w:lang w:val="en-US"/>
              </w:rPr>
              <w:t>,</w:t>
            </w:r>
            <w:r w:rsidRPr="00D6112E">
              <w:rPr>
                <w:bCs/>
                <w:color w:val="000000"/>
                <w:sz w:val="22"/>
                <w:szCs w:val="22"/>
                <w:lang w:val="en-US"/>
              </w:rPr>
              <w:t>250</w:t>
            </w:r>
          </w:p>
        </w:tc>
      </w:tr>
      <w:tr w:rsidR="009F2354" w:rsidRPr="006D735A" w:rsidTr="00D6112E">
        <w:trPr>
          <w:trHeight w:val="264"/>
          <w:jc w:val="center"/>
        </w:trPr>
        <w:tc>
          <w:tcPr>
            <w:tcW w:w="6091" w:type="dxa"/>
            <w:shd w:val="clear" w:color="auto" w:fill="auto"/>
            <w:hideMark/>
          </w:tcPr>
          <w:p w:rsidR="009F2354" w:rsidRPr="00D6112E" w:rsidRDefault="009F2354" w:rsidP="009F2354">
            <w:pPr>
              <w:widowControl w:val="0"/>
              <w:kinsoku w:val="0"/>
              <w:spacing w:before="20"/>
              <w:rPr>
                <w:b/>
                <w:color w:val="000000"/>
                <w:sz w:val="22"/>
                <w:szCs w:val="22"/>
                <w:lang w:val="en-US"/>
              </w:rPr>
            </w:pPr>
            <w:r w:rsidRPr="00D6112E">
              <w:rPr>
                <w:color w:val="000000"/>
                <w:sz w:val="22"/>
                <w:szCs w:val="22"/>
                <w:lang w:val="en-US"/>
              </w:rPr>
              <w:t>Fair value of assets under the plan</w:t>
            </w:r>
          </w:p>
        </w:tc>
        <w:tc>
          <w:tcPr>
            <w:tcW w:w="1559" w:type="dxa"/>
            <w:shd w:val="clear" w:color="auto" w:fill="auto"/>
          </w:tcPr>
          <w:p w:rsidR="009F2354" w:rsidRPr="00D6112E" w:rsidRDefault="009F2354" w:rsidP="009F2354">
            <w:pPr>
              <w:widowControl w:val="0"/>
              <w:tabs>
                <w:tab w:val="clear" w:pos="1701"/>
              </w:tabs>
              <w:kinsoku w:val="0"/>
              <w:spacing w:before="20"/>
              <w:ind w:right="105"/>
              <w:jc w:val="right"/>
              <w:rPr>
                <w:bCs/>
                <w:color w:val="000000"/>
                <w:sz w:val="22"/>
                <w:szCs w:val="22"/>
                <w:lang w:val="en-US"/>
              </w:rPr>
            </w:pPr>
            <w:r w:rsidRPr="00D6112E">
              <w:rPr>
                <w:bCs/>
                <w:color w:val="000000"/>
                <w:sz w:val="22"/>
                <w:szCs w:val="22"/>
                <w:lang w:val="en-US"/>
              </w:rPr>
              <w:t>0</w:t>
            </w:r>
          </w:p>
        </w:tc>
        <w:tc>
          <w:tcPr>
            <w:tcW w:w="1843" w:type="dxa"/>
            <w:shd w:val="clear" w:color="auto" w:fill="auto"/>
          </w:tcPr>
          <w:p w:rsidR="009F2354" w:rsidRPr="00D6112E" w:rsidRDefault="009F2354" w:rsidP="009F2354">
            <w:pPr>
              <w:widowControl w:val="0"/>
              <w:tabs>
                <w:tab w:val="clear" w:pos="1701"/>
              </w:tabs>
              <w:kinsoku w:val="0"/>
              <w:spacing w:before="20"/>
              <w:ind w:right="105"/>
              <w:jc w:val="right"/>
              <w:rPr>
                <w:bCs/>
                <w:color w:val="000000"/>
                <w:sz w:val="22"/>
                <w:szCs w:val="22"/>
                <w:lang w:val="en-US"/>
              </w:rPr>
            </w:pPr>
            <w:r w:rsidRPr="00D6112E">
              <w:rPr>
                <w:bCs/>
                <w:color w:val="000000"/>
                <w:sz w:val="22"/>
                <w:szCs w:val="22"/>
                <w:lang w:val="en-US"/>
              </w:rPr>
              <w:t>0</w:t>
            </w:r>
          </w:p>
        </w:tc>
      </w:tr>
      <w:tr w:rsidR="009F2354" w:rsidRPr="006D735A" w:rsidTr="00D6112E">
        <w:trPr>
          <w:jc w:val="center"/>
        </w:trPr>
        <w:tc>
          <w:tcPr>
            <w:tcW w:w="6091" w:type="dxa"/>
            <w:shd w:val="clear" w:color="auto" w:fill="auto"/>
            <w:vAlign w:val="bottom"/>
            <w:hideMark/>
          </w:tcPr>
          <w:p w:rsidR="009F2354" w:rsidRPr="00D6112E" w:rsidRDefault="009F2354" w:rsidP="00D6112E">
            <w:pPr>
              <w:widowControl w:val="0"/>
              <w:kinsoku w:val="0"/>
              <w:spacing w:before="20"/>
              <w:rPr>
                <w:sz w:val="22"/>
                <w:szCs w:val="22"/>
                <w:lang w:val="en-US"/>
              </w:rPr>
            </w:pPr>
            <w:r w:rsidRPr="00D6112E">
              <w:rPr>
                <w:color w:val="000000"/>
                <w:sz w:val="22"/>
                <w:szCs w:val="22"/>
                <w:lang w:val="en-US"/>
              </w:rPr>
              <w:t>Obligation</w:t>
            </w:r>
            <w:r w:rsidRPr="00D6112E">
              <w:rPr>
                <w:bCs/>
                <w:color w:val="000000"/>
                <w:sz w:val="22"/>
                <w:szCs w:val="22"/>
                <w:lang w:val="en-US"/>
              </w:rPr>
              <w:t xml:space="preserve"> recognized in balance sheet at</w:t>
            </w:r>
            <w:r w:rsidR="00D6112E" w:rsidRPr="00D6112E">
              <w:rPr>
                <w:bCs/>
                <w:color w:val="000000"/>
                <w:sz w:val="22"/>
                <w:szCs w:val="22"/>
                <w:lang w:val="en-US"/>
              </w:rPr>
              <w:t xml:space="preserve"> </w:t>
            </w:r>
            <w:r w:rsidRPr="00D6112E">
              <w:rPr>
                <w:bCs/>
                <w:color w:val="000000"/>
                <w:sz w:val="22"/>
                <w:szCs w:val="22"/>
                <w:lang w:val="en-US"/>
              </w:rPr>
              <w:t>31 December </w:t>
            </w:r>
          </w:p>
        </w:tc>
        <w:tc>
          <w:tcPr>
            <w:tcW w:w="1559" w:type="dxa"/>
            <w:shd w:val="clear" w:color="auto" w:fill="auto"/>
          </w:tcPr>
          <w:p w:rsidR="009F2354" w:rsidRPr="00D6112E" w:rsidRDefault="009F2354" w:rsidP="00D6112E">
            <w:pPr>
              <w:widowControl w:val="0"/>
              <w:tabs>
                <w:tab w:val="clear" w:pos="1701"/>
              </w:tabs>
              <w:kinsoku w:val="0"/>
              <w:spacing w:before="20"/>
              <w:ind w:right="105"/>
              <w:jc w:val="right"/>
              <w:rPr>
                <w:bCs/>
                <w:color w:val="000000"/>
                <w:sz w:val="22"/>
                <w:szCs w:val="22"/>
                <w:lang w:val="en-US"/>
              </w:rPr>
            </w:pPr>
            <w:r w:rsidRPr="00D6112E">
              <w:rPr>
                <w:bCs/>
                <w:color w:val="000000"/>
                <w:sz w:val="22"/>
                <w:szCs w:val="22"/>
                <w:lang w:val="en-US"/>
              </w:rPr>
              <w:t>552</w:t>
            </w:r>
            <w:r w:rsidR="00D6112E" w:rsidRPr="00D6112E">
              <w:rPr>
                <w:bCs/>
                <w:color w:val="000000"/>
                <w:sz w:val="22"/>
                <w:szCs w:val="22"/>
                <w:lang w:val="en-US"/>
              </w:rPr>
              <w:t>,</w:t>
            </w:r>
            <w:r w:rsidRPr="00D6112E">
              <w:rPr>
                <w:bCs/>
                <w:color w:val="000000"/>
                <w:sz w:val="22"/>
                <w:szCs w:val="22"/>
                <w:lang w:val="en-US"/>
              </w:rPr>
              <w:t>240</w:t>
            </w:r>
          </w:p>
        </w:tc>
        <w:tc>
          <w:tcPr>
            <w:tcW w:w="1843" w:type="dxa"/>
            <w:shd w:val="clear" w:color="auto" w:fill="auto"/>
          </w:tcPr>
          <w:p w:rsidR="009F2354" w:rsidRPr="00D6112E" w:rsidRDefault="009F2354" w:rsidP="00D6112E">
            <w:pPr>
              <w:widowControl w:val="0"/>
              <w:tabs>
                <w:tab w:val="clear" w:pos="1701"/>
              </w:tabs>
              <w:kinsoku w:val="0"/>
              <w:spacing w:before="20"/>
              <w:ind w:right="105"/>
              <w:jc w:val="right"/>
              <w:rPr>
                <w:bCs/>
                <w:color w:val="000000"/>
                <w:sz w:val="22"/>
                <w:szCs w:val="22"/>
                <w:lang w:val="en-US"/>
              </w:rPr>
            </w:pPr>
            <w:r w:rsidRPr="00D6112E">
              <w:rPr>
                <w:bCs/>
                <w:color w:val="000000"/>
                <w:sz w:val="22"/>
                <w:szCs w:val="22"/>
                <w:lang w:val="en-US"/>
              </w:rPr>
              <w:t>617</w:t>
            </w:r>
            <w:r w:rsidR="00D6112E" w:rsidRPr="00D6112E">
              <w:rPr>
                <w:bCs/>
                <w:color w:val="000000"/>
                <w:sz w:val="22"/>
                <w:szCs w:val="22"/>
                <w:lang w:val="en-US"/>
              </w:rPr>
              <w:t>,</w:t>
            </w:r>
            <w:r w:rsidRPr="00D6112E">
              <w:rPr>
                <w:bCs/>
                <w:color w:val="000000"/>
                <w:sz w:val="22"/>
                <w:szCs w:val="22"/>
                <w:lang w:val="en-US"/>
              </w:rPr>
              <w:t>250</w:t>
            </w:r>
          </w:p>
        </w:tc>
      </w:tr>
    </w:tbl>
    <w:p w:rsidR="008617E3" w:rsidRPr="006D735A" w:rsidRDefault="008617E3" w:rsidP="00D2288C">
      <w:pPr>
        <w:tabs>
          <w:tab w:val="left" w:pos="794"/>
          <w:tab w:val="left" w:pos="1191"/>
          <w:tab w:val="left" w:pos="1588"/>
          <w:tab w:val="left" w:pos="1985"/>
          <w:tab w:val="left" w:pos="5157"/>
        </w:tabs>
        <w:snapToGrid w:val="0"/>
        <w:spacing w:before="0"/>
        <w:rPr>
          <w:rFonts w:cs="Arial"/>
          <w:sz w:val="20"/>
          <w:lang w:val="en-US"/>
        </w:rPr>
      </w:pPr>
    </w:p>
    <w:tbl>
      <w:tblPr>
        <w:tblW w:w="9533" w:type="dxa"/>
        <w:jc w:val="center"/>
        <w:tblLook w:val="04A0" w:firstRow="1" w:lastRow="0" w:firstColumn="1" w:lastColumn="0" w:noHBand="0" w:noVBand="1"/>
      </w:tblPr>
      <w:tblGrid>
        <w:gridCol w:w="5811"/>
        <w:gridCol w:w="1861"/>
        <w:gridCol w:w="1861"/>
      </w:tblGrid>
      <w:tr w:rsidR="0022373A" w:rsidRPr="006D735A" w:rsidTr="000E536A">
        <w:trPr>
          <w:trHeight w:val="567"/>
          <w:jc w:val="center"/>
        </w:trPr>
        <w:tc>
          <w:tcPr>
            <w:tcW w:w="5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73A" w:rsidRPr="00D6112E" w:rsidRDefault="008617E3" w:rsidP="000E536A">
            <w:pPr>
              <w:widowControl w:val="0"/>
              <w:kinsoku w:val="0"/>
              <w:spacing w:before="20"/>
              <w:rPr>
                <w:b/>
                <w:color w:val="000000"/>
                <w:sz w:val="22"/>
                <w:szCs w:val="22"/>
                <w:lang w:val="en-US"/>
              </w:rPr>
            </w:pPr>
            <w:r w:rsidRPr="00D6112E">
              <w:rPr>
                <w:rFonts w:cs="Arial"/>
                <w:sz w:val="22"/>
                <w:szCs w:val="22"/>
                <w:lang w:val="en-US"/>
              </w:rPr>
              <w:br w:type="page"/>
            </w:r>
            <w:r w:rsidR="0022373A" w:rsidRPr="00D6112E">
              <w:rPr>
                <w:b/>
                <w:color w:val="000000"/>
                <w:sz w:val="22"/>
                <w:szCs w:val="22"/>
                <w:lang w:val="en-US"/>
              </w:rPr>
              <w:t>Amounts recognized in the statement of financial performance</w:t>
            </w:r>
          </w:p>
        </w:tc>
        <w:tc>
          <w:tcPr>
            <w:tcW w:w="3722" w:type="dxa"/>
            <w:gridSpan w:val="2"/>
            <w:tcBorders>
              <w:top w:val="single" w:sz="4" w:space="0" w:color="auto"/>
              <w:left w:val="nil"/>
              <w:bottom w:val="single" w:sz="4" w:space="0" w:color="auto"/>
              <w:right w:val="single" w:sz="4" w:space="0" w:color="auto"/>
            </w:tcBorders>
            <w:shd w:val="clear" w:color="auto" w:fill="auto"/>
            <w:noWrap/>
            <w:vAlign w:val="center"/>
            <w:hideMark/>
          </w:tcPr>
          <w:p w:rsidR="0022373A" w:rsidRPr="00D6112E" w:rsidRDefault="0022373A" w:rsidP="000E536A">
            <w:pPr>
              <w:widowControl w:val="0"/>
              <w:kinsoku w:val="0"/>
              <w:spacing w:before="20"/>
              <w:jc w:val="center"/>
              <w:rPr>
                <w:b/>
                <w:bCs/>
                <w:i/>
                <w:iCs/>
                <w:color w:val="000000"/>
                <w:sz w:val="22"/>
                <w:szCs w:val="22"/>
                <w:lang w:val="en-US"/>
              </w:rPr>
            </w:pPr>
            <w:r w:rsidRPr="00D6112E">
              <w:rPr>
                <w:b/>
                <w:bCs/>
                <w:i/>
                <w:iCs/>
                <w:color w:val="000000"/>
                <w:sz w:val="22"/>
                <w:szCs w:val="22"/>
                <w:lang w:val="en-US"/>
              </w:rPr>
              <w:t>In thousands of CHF</w:t>
            </w:r>
          </w:p>
        </w:tc>
      </w:tr>
      <w:tr w:rsidR="0022373A" w:rsidRPr="006D735A" w:rsidTr="00BE52DF">
        <w:trPr>
          <w:trHeight w:val="264"/>
          <w:jc w:val="center"/>
        </w:trPr>
        <w:tc>
          <w:tcPr>
            <w:tcW w:w="5811" w:type="dxa"/>
            <w:tcBorders>
              <w:top w:val="single" w:sz="4" w:space="0" w:color="auto"/>
              <w:left w:val="single" w:sz="4" w:space="0" w:color="auto"/>
              <w:bottom w:val="nil"/>
              <w:right w:val="single" w:sz="4" w:space="0" w:color="auto"/>
            </w:tcBorders>
            <w:shd w:val="clear" w:color="auto" w:fill="auto"/>
            <w:hideMark/>
          </w:tcPr>
          <w:p w:rsidR="0022373A" w:rsidRPr="006D735A" w:rsidRDefault="0022373A" w:rsidP="005D3458">
            <w:pPr>
              <w:widowControl w:val="0"/>
              <w:kinsoku w:val="0"/>
              <w:spacing w:before="20"/>
              <w:jc w:val="center"/>
              <w:rPr>
                <w:b/>
                <w:i/>
                <w:iCs/>
                <w:color w:val="000000"/>
                <w:sz w:val="20"/>
                <w:lang w:val="en-US"/>
              </w:rPr>
            </w:pPr>
          </w:p>
        </w:tc>
        <w:tc>
          <w:tcPr>
            <w:tcW w:w="1861" w:type="dxa"/>
            <w:tcBorders>
              <w:top w:val="single" w:sz="4" w:space="0" w:color="auto"/>
              <w:left w:val="nil"/>
              <w:bottom w:val="nil"/>
              <w:right w:val="single" w:sz="4" w:space="0" w:color="auto"/>
            </w:tcBorders>
            <w:shd w:val="clear" w:color="auto" w:fill="auto"/>
            <w:noWrap/>
            <w:vAlign w:val="bottom"/>
            <w:hideMark/>
          </w:tcPr>
          <w:p w:rsidR="0022373A" w:rsidRPr="00D6112E" w:rsidRDefault="008F6441" w:rsidP="00244AF4">
            <w:pPr>
              <w:widowControl w:val="0"/>
              <w:kinsoku w:val="0"/>
              <w:spacing w:before="20"/>
              <w:jc w:val="center"/>
              <w:rPr>
                <w:b/>
                <w:color w:val="000000"/>
                <w:sz w:val="22"/>
                <w:szCs w:val="22"/>
                <w:lang w:val="en-US"/>
              </w:rPr>
            </w:pPr>
            <w:r w:rsidRPr="00D6112E">
              <w:rPr>
                <w:b/>
                <w:color w:val="000000"/>
                <w:sz w:val="22"/>
                <w:szCs w:val="22"/>
                <w:lang w:val="en-US"/>
              </w:rPr>
              <w:t>31.12.</w:t>
            </w:r>
            <w:r w:rsidR="00111BDD" w:rsidRPr="00D6112E">
              <w:rPr>
                <w:b/>
                <w:color w:val="000000"/>
                <w:sz w:val="22"/>
                <w:szCs w:val="22"/>
                <w:lang w:val="en-US"/>
              </w:rPr>
              <w:t>201</w:t>
            </w:r>
            <w:r w:rsidR="00244AF4" w:rsidRPr="00D6112E">
              <w:rPr>
                <w:b/>
                <w:color w:val="000000"/>
                <w:sz w:val="22"/>
                <w:szCs w:val="22"/>
                <w:lang w:val="en-US"/>
              </w:rPr>
              <w:t>8</w:t>
            </w:r>
          </w:p>
        </w:tc>
        <w:tc>
          <w:tcPr>
            <w:tcW w:w="1861" w:type="dxa"/>
            <w:tcBorders>
              <w:top w:val="single" w:sz="4" w:space="0" w:color="auto"/>
              <w:left w:val="nil"/>
              <w:bottom w:val="nil"/>
              <w:right w:val="single" w:sz="4" w:space="0" w:color="auto"/>
            </w:tcBorders>
            <w:vAlign w:val="bottom"/>
          </w:tcPr>
          <w:p w:rsidR="0022373A" w:rsidRPr="00D6112E" w:rsidRDefault="008F6441" w:rsidP="00244AF4">
            <w:pPr>
              <w:widowControl w:val="0"/>
              <w:kinsoku w:val="0"/>
              <w:spacing w:before="20"/>
              <w:jc w:val="center"/>
              <w:rPr>
                <w:b/>
                <w:color w:val="000000"/>
                <w:sz w:val="22"/>
                <w:szCs w:val="22"/>
                <w:lang w:val="en-US"/>
              </w:rPr>
            </w:pPr>
            <w:r w:rsidRPr="00D6112E">
              <w:rPr>
                <w:b/>
                <w:color w:val="000000"/>
                <w:sz w:val="22"/>
                <w:szCs w:val="22"/>
                <w:lang w:val="en-US"/>
              </w:rPr>
              <w:t>31.12.</w:t>
            </w:r>
            <w:r w:rsidR="0022373A" w:rsidRPr="00D6112E">
              <w:rPr>
                <w:b/>
                <w:color w:val="000000"/>
                <w:sz w:val="22"/>
                <w:szCs w:val="22"/>
                <w:lang w:val="en-US"/>
              </w:rPr>
              <w:t>201</w:t>
            </w:r>
            <w:r w:rsidR="00244AF4" w:rsidRPr="00D6112E">
              <w:rPr>
                <w:b/>
                <w:color w:val="000000"/>
                <w:sz w:val="22"/>
                <w:szCs w:val="22"/>
                <w:lang w:val="en-US"/>
              </w:rPr>
              <w:t>7</w:t>
            </w:r>
          </w:p>
        </w:tc>
      </w:tr>
      <w:tr w:rsidR="00334F08" w:rsidRPr="006D735A" w:rsidTr="00BE52DF">
        <w:trPr>
          <w:trHeight w:val="336"/>
          <w:jc w:val="center"/>
        </w:trPr>
        <w:tc>
          <w:tcPr>
            <w:tcW w:w="5811" w:type="dxa"/>
            <w:tcBorders>
              <w:top w:val="nil"/>
              <w:left w:val="single" w:sz="4" w:space="0" w:color="auto"/>
              <w:bottom w:val="nil"/>
              <w:right w:val="single" w:sz="4" w:space="0" w:color="auto"/>
            </w:tcBorders>
            <w:shd w:val="clear" w:color="auto" w:fill="auto"/>
            <w:hideMark/>
          </w:tcPr>
          <w:p w:rsidR="00334F08" w:rsidRPr="00D6112E" w:rsidRDefault="00334F08" w:rsidP="00334F08">
            <w:pPr>
              <w:widowControl w:val="0"/>
              <w:kinsoku w:val="0"/>
              <w:spacing w:before="20" w:after="60"/>
              <w:rPr>
                <w:bCs/>
                <w:color w:val="000000"/>
                <w:sz w:val="22"/>
                <w:szCs w:val="22"/>
                <w:lang w:val="en-US"/>
              </w:rPr>
            </w:pPr>
            <w:r w:rsidRPr="00D6112E">
              <w:rPr>
                <w:bCs/>
                <w:color w:val="000000"/>
                <w:sz w:val="22"/>
                <w:szCs w:val="22"/>
                <w:lang w:val="en-US"/>
              </w:rPr>
              <w:t>Updating of obligation and contributions for the period</w:t>
            </w:r>
          </w:p>
        </w:tc>
        <w:tc>
          <w:tcPr>
            <w:tcW w:w="1861" w:type="dxa"/>
            <w:tcBorders>
              <w:top w:val="nil"/>
              <w:left w:val="nil"/>
              <w:bottom w:val="nil"/>
              <w:right w:val="single" w:sz="4" w:space="0" w:color="auto"/>
            </w:tcBorders>
            <w:shd w:val="clear" w:color="auto" w:fill="auto"/>
            <w:noWrap/>
            <w:vAlign w:val="bottom"/>
          </w:tcPr>
          <w:p w:rsidR="00334F08" w:rsidRPr="00D6112E" w:rsidRDefault="00334F08" w:rsidP="00BB1F01">
            <w:pPr>
              <w:widowControl w:val="0"/>
              <w:tabs>
                <w:tab w:val="clear" w:pos="1701"/>
              </w:tabs>
              <w:kinsoku w:val="0"/>
              <w:spacing w:before="20"/>
              <w:ind w:right="60"/>
              <w:jc w:val="right"/>
              <w:rPr>
                <w:bCs/>
                <w:i/>
                <w:iCs/>
                <w:color w:val="000000"/>
                <w:sz w:val="22"/>
                <w:szCs w:val="22"/>
                <w:lang w:val="en-US"/>
              </w:rPr>
            </w:pPr>
          </w:p>
        </w:tc>
        <w:tc>
          <w:tcPr>
            <w:tcW w:w="1861" w:type="dxa"/>
            <w:tcBorders>
              <w:top w:val="nil"/>
              <w:left w:val="nil"/>
              <w:bottom w:val="nil"/>
              <w:right w:val="single" w:sz="4" w:space="0" w:color="auto"/>
            </w:tcBorders>
          </w:tcPr>
          <w:p w:rsidR="00334F08" w:rsidRPr="00D6112E" w:rsidRDefault="00334F08" w:rsidP="00BB1F01">
            <w:pPr>
              <w:widowControl w:val="0"/>
              <w:tabs>
                <w:tab w:val="clear" w:pos="1701"/>
              </w:tabs>
              <w:kinsoku w:val="0"/>
              <w:spacing w:before="20"/>
              <w:ind w:right="60"/>
              <w:jc w:val="right"/>
              <w:rPr>
                <w:bCs/>
                <w:i/>
                <w:iCs/>
                <w:color w:val="000000"/>
                <w:sz w:val="22"/>
                <w:szCs w:val="22"/>
                <w:lang w:val="en-US"/>
              </w:rPr>
            </w:pPr>
          </w:p>
        </w:tc>
      </w:tr>
      <w:tr w:rsidR="00244AF4" w:rsidRPr="006D735A" w:rsidTr="008A2F0A">
        <w:trPr>
          <w:trHeight w:val="264"/>
          <w:jc w:val="center"/>
        </w:trPr>
        <w:tc>
          <w:tcPr>
            <w:tcW w:w="5811" w:type="dxa"/>
            <w:tcBorders>
              <w:top w:val="nil"/>
              <w:left w:val="single" w:sz="4" w:space="0" w:color="auto"/>
              <w:bottom w:val="nil"/>
              <w:right w:val="single" w:sz="4" w:space="0" w:color="auto"/>
            </w:tcBorders>
            <w:shd w:val="clear" w:color="auto" w:fill="auto"/>
            <w:vAlign w:val="bottom"/>
            <w:hideMark/>
          </w:tcPr>
          <w:p w:rsidR="00244AF4" w:rsidRPr="00D6112E" w:rsidRDefault="00244AF4" w:rsidP="00244AF4">
            <w:pPr>
              <w:widowControl w:val="0"/>
              <w:kinsoku w:val="0"/>
              <w:spacing w:before="20" w:after="60"/>
              <w:rPr>
                <w:b/>
                <w:color w:val="000000"/>
                <w:sz w:val="22"/>
                <w:szCs w:val="22"/>
                <w:lang w:val="en-US"/>
              </w:rPr>
            </w:pPr>
            <w:r w:rsidRPr="00D6112E">
              <w:rPr>
                <w:color w:val="000000"/>
                <w:sz w:val="22"/>
                <w:szCs w:val="22"/>
                <w:lang w:val="en-US"/>
              </w:rPr>
              <w:t>Service costs</w:t>
            </w:r>
          </w:p>
        </w:tc>
        <w:tc>
          <w:tcPr>
            <w:tcW w:w="1861" w:type="dxa"/>
            <w:tcBorders>
              <w:top w:val="nil"/>
              <w:left w:val="nil"/>
              <w:bottom w:val="nil"/>
              <w:right w:val="single" w:sz="4" w:space="0" w:color="auto"/>
            </w:tcBorders>
            <w:shd w:val="clear" w:color="auto" w:fill="auto"/>
            <w:vAlign w:val="bottom"/>
          </w:tcPr>
          <w:p w:rsidR="00244AF4" w:rsidRPr="00D6112E" w:rsidRDefault="00244AF4" w:rsidP="00D6112E">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szCs w:val="22"/>
                <w:lang w:val="en-US"/>
              </w:rPr>
            </w:pPr>
            <w:r w:rsidRPr="00D6112E">
              <w:rPr>
                <w:bCs/>
                <w:color w:val="000000"/>
                <w:sz w:val="22"/>
                <w:szCs w:val="22"/>
                <w:lang w:val="en-US"/>
              </w:rPr>
              <w:t>23</w:t>
            </w:r>
            <w:r w:rsidR="00D6112E" w:rsidRPr="00D6112E">
              <w:rPr>
                <w:bCs/>
                <w:color w:val="000000"/>
                <w:sz w:val="22"/>
                <w:szCs w:val="22"/>
                <w:lang w:val="en-US"/>
              </w:rPr>
              <w:t>,</w:t>
            </w:r>
            <w:r w:rsidRPr="00D6112E">
              <w:rPr>
                <w:bCs/>
                <w:color w:val="000000"/>
                <w:sz w:val="22"/>
                <w:szCs w:val="22"/>
                <w:lang w:val="en-US"/>
              </w:rPr>
              <w:t>025</w:t>
            </w:r>
          </w:p>
        </w:tc>
        <w:tc>
          <w:tcPr>
            <w:tcW w:w="1861" w:type="dxa"/>
            <w:tcBorders>
              <w:top w:val="nil"/>
              <w:left w:val="nil"/>
              <w:bottom w:val="nil"/>
              <w:right w:val="single" w:sz="4" w:space="0" w:color="auto"/>
            </w:tcBorders>
            <w:vAlign w:val="bottom"/>
          </w:tcPr>
          <w:p w:rsidR="00244AF4" w:rsidRPr="00D6112E" w:rsidRDefault="00244AF4" w:rsidP="00D6112E">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szCs w:val="22"/>
                <w:lang w:val="en-US"/>
              </w:rPr>
            </w:pPr>
            <w:r w:rsidRPr="00D6112E">
              <w:rPr>
                <w:bCs/>
                <w:color w:val="000000"/>
                <w:sz w:val="22"/>
                <w:szCs w:val="22"/>
                <w:lang w:val="en-US"/>
              </w:rPr>
              <w:t>20</w:t>
            </w:r>
            <w:r w:rsidR="00D6112E" w:rsidRPr="00D6112E">
              <w:rPr>
                <w:bCs/>
                <w:color w:val="000000"/>
                <w:sz w:val="22"/>
                <w:szCs w:val="22"/>
                <w:lang w:val="en-US"/>
              </w:rPr>
              <w:t>,</w:t>
            </w:r>
            <w:r w:rsidRPr="00D6112E">
              <w:rPr>
                <w:bCs/>
                <w:color w:val="000000"/>
                <w:sz w:val="22"/>
                <w:szCs w:val="22"/>
                <w:lang w:val="en-US"/>
              </w:rPr>
              <w:t>337</w:t>
            </w:r>
          </w:p>
        </w:tc>
      </w:tr>
      <w:tr w:rsidR="00244AF4" w:rsidRPr="006D735A" w:rsidTr="008A2F0A">
        <w:trPr>
          <w:trHeight w:val="264"/>
          <w:jc w:val="center"/>
        </w:trPr>
        <w:tc>
          <w:tcPr>
            <w:tcW w:w="5811" w:type="dxa"/>
            <w:tcBorders>
              <w:top w:val="nil"/>
              <w:left w:val="single" w:sz="4" w:space="0" w:color="auto"/>
              <w:bottom w:val="nil"/>
              <w:right w:val="single" w:sz="4" w:space="0" w:color="auto"/>
            </w:tcBorders>
            <w:shd w:val="clear" w:color="auto" w:fill="auto"/>
            <w:vAlign w:val="bottom"/>
            <w:hideMark/>
          </w:tcPr>
          <w:p w:rsidR="00244AF4" w:rsidRPr="00D6112E" w:rsidRDefault="00244AF4" w:rsidP="00244AF4">
            <w:pPr>
              <w:widowControl w:val="0"/>
              <w:kinsoku w:val="0"/>
              <w:spacing w:before="20" w:after="60"/>
              <w:rPr>
                <w:b/>
                <w:color w:val="000000"/>
                <w:sz w:val="22"/>
                <w:szCs w:val="22"/>
                <w:lang w:val="en-US"/>
              </w:rPr>
            </w:pPr>
            <w:r w:rsidRPr="00D6112E">
              <w:rPr>
                <w:color w:val="000000"/>
                <w:sz w:val="22"/>
                <w:szCs w:val="22"/>
                <w:lang w:val="en-US"/>
              </w:rPr>
              <w:t>Finance charge</w:t>
            </w:r>
          </w:p>
        </w:tc>
        <w:tc>
          <w:tcPr>
            <w:tcW w:w="1861" w:type="dxa"/>
            <w:tcBorders>
              <w:top w:val="nil"/>
              <w:left w:val="nil"/>
              <w:bottom w:val="nil"/>
              <w:right w:val="single" w:sz="4" w:space="0" w:color="auto"/>
            </w:tcBorders>
            <w:shd w:val="clear" w:color="auto" w:fill="auto"/>
            <w:vAlign w:val="bottom"/>
          </w:tcPr>
          <w:p w:rsidR="00244AF4" w:rsidRPr="00D6112E" w:rsidRDefault="00244AF4" w:rsidP="00D6112E">
            <w:pPr>
              <w:tabs>
                <w:tab w:val="clear" w:pos="567"/>
                <w:tab w:val="clear" w:pos="1134"/>
                <w:tab w:val="clear" w:pos="1701"/>
                <w:tab w:val="clear" w:pos="2268"/>
                <w:tab w:val="clear" w:pos="2835"/>
              </w:tabs>
              <w:overflowPunct/>
              <w:autoSpaceDE/>
              <w:autoSpaceDN/>
              <w:adjustRightInd/>
              <w:spacing w:before="0"/>
              <w:jc w:val="right"/>
              <w:textAlignment w:val="auto"/>
              <w:rPr>
                <w:bCs/>
                <w:color w:val="000000"/>
                <w:sz w:val="22"/>
                <w:szCs w:val="22"/>
                <w:lang w:val="en-US"/>
              </w:rPr>
            </w:pPr>
            <w:r w:rsidRPr="00D6112E">
              <w:rPr>
                <w:bCs/>
                <w:color w:val="000000"/>
                <w:sz w:val="22"/>
                <w:szCs w:val="22"/>
                <w:lang w:val="en-US"/>
              </w:rPr>
              <w:t>5</w:t>
            </w:r>
            <w:r w:rsidR="00D6112E" w:rsidRPr="00D6112E">
              <w:rPr>
                <w:bCs/>
                <w:color w:val="000000"/>
                <w:sz w:val="22"/>
                <w:szCs w:val="22"/>
                <w:lang w:val="en-US"/>
              </w:rPr>
              <w:t>,</w:t>
            </w:r>
            <w:r w:rsidRPr="00D6112E">
              <w:rPr>
                <w:bCs/>
                <w:color w:val="000000"/>
                <w:sz w:val="22"/>
                <w:szCs w:val="22"/>
                <w:lang w:val="en-US"/>
              </w:rPr>
              <w:t>523</w:t>
            </w:r>
          </w:p>
        </w:tc>
        <w:tc>
          <w:tcPr>
            <w:tcW w:w="1861" w:type="dxa"/>
            <w:tcBorders>
              <w:top w:val="nil"/>
              <w:left w:val="nil"/>
              <w:bottom w:val="nil"/>
              <w:right w:val="single" w:sz="4" w:space="0" w:color="auto"/>
            </w:tcBorders>
            <w:vAlign w:val="bottom"/>
          </w:tcPr>
          <w:p w:rsidR="00244AF4" w:rsidRPr="00D6112E" w:rsidRDefault="00244AF4" w:rsidP="00D6112E">
            <w:pPr>
              <w:jc w:val="right"/>
              <w:rPr>
                <w:bCs/>
                <w:color w:val="000000"/>
                <w:sz w:val="22"/>
                <w:szCs w:val="22"/>
                <w:lang w:val="en-US"/>
              </w:rPr>
            </w:pPr>
            <w:r w:rsidRPr="00D6112E">
              <w:rPr>
                <w:bCs/>
                <w:color w:val="000000"/>
                <w:sz w:val="22"/>
                <w:szCs w:val="22"/>
                <w:lang w:val="en-US"/>
              </w:rPr>
              <w:t>5</w:t>
            </w:r>
            <w:r w:rsidR="00D6112E" w:rsidRPr="00D6112E">
              <w:rPr>
                <w:bCs/>
                <w:color w:val="000000"/>
                <w:sz w:val="22"/>
                <w:szCs w:val="22"/>
                <w:lang w:val="en-US"/>
              </w:rPr>
              <w:t>,</w:t>
            </w:r>
            <w:r w:rsidRPr="00D6112E">
              <w:rPr>
                <w:bCs/>
                <w:color w:val="000000"/>
                <w:sz w:val="22"/>
                <w:szCs w:val="22"/>
                <w:lang w:val="en-US"/>
              </w:rPr>
              <w:t>038</w:t>
            </w:r>
          </w:p>
        </w:tc>
      </w:tr>
      <w:tr w:rsidR="00244AF4" w:rsidRPr="006D735A" w:rsidTr="00477E6D">
        <w:trPr>
          <w:trHeight w:val="264"/>
          <w:jc w:val="center"/>
        </w:trPr>
        <w:tc>
          <w:tcPr>
            <w:tcW w:w="5811" w:type="dxa"/>
            <w:tcBorders>
              <w:top w:val="nil"/>
              <w:left w:val="single" w:sz="4" w:space="0" w:color="auto"/>
              <w:right w:val="single" w:sz="4" w:space="0" w:color="auto"/>
            </w:tcBorders>
            <w:shd w:val="clear" w:color="auto" w:fill="auto"/>
            <w:vAlign w:val="bottom"/>
            <w:hideMark/>
          </w:tcPr>
          <w:p w:rsidR="00244AF4" w:rsidRPr="00D6112E" w:rsidRDefault="00244AF4" w:rsidP="00244AF4">
            <w:pPr>
              <w:widowControl w:val="0"/>
              <w:kinsoku w:val="0"/>
              <w:spacing w:before="20" w:after="60"/>
              <w:rPr>
                <w:b/>
                <w:color w:val="000000"/>
                <w:sz w:val="22"/>
                <w:szCs w:val="22"/>
                <w:lang w:val="en-US"/>
              </w:rPr>
            </w:pPr>
            <w:r w:rsidRPr="00D6112E">
              <w:rPr>
                <w:color w:val="000000"/>
                <w:sz w:val="22"/>
                <w:szCs w:val="22"/>
                <w:lang w:val="en-US"/>
              </w:rPr>
              <w:t>Expected return on assets under the ASHI plan</w:t>
            </w:r>
          </w:p>
        </w:tc>
        <w:tc>
          <w:tcPr>
            <w:tcW w:w="1861" w:type="dxa"/>
            <w:tcBorders>
              <w:top w:val="nil"/>
              <w:left w:val="nil"/>
              <w:bottom w:val="single" w:sz="4" w:space="0" w:color="auto"/>
              <w:right w:val="single" w:sz="4" w:space="0" w:color="auto"/>
            </w:tcBorders>
            <w:shd w:val="clear" w:color="auto" w:fill="auto"/>
            <w:vAlign w:val="bottom"/>
          </w:tcPr>
          <w:p w:rsidR="00244AF4" w:rsidRPr="00D6112E" w:rsidRDefault="00244AF4" w:rsidP="00244AF4">
            <w:pPr>
              <w:widowControl w:val="0"/>
              <w:tabs>
                <w:tab w:val="clear" w:pos="1701"/>
              </w:tabs>
              <w:kinsoku w:val="0"/>
              <w:spacing w:before="20"/>
              <w:ind w:right="60"/>
              <w:jc w:val="right"/>
              <w:rPr>
                <w:bCs/>
                <w:color w:val="000000"/>
                <w:sz w:val="22"/>
                <w:szCs w:val="22"/>
                <w:lang w:val="en-US"/>
              </w:rPr>
            </w:pPr>
            <w:r w:rsidRPr="00D6112E">
              <w:rPr>
                <w:bCs/>
                <w:color w:val="000000"/>
                <w:sz w:val="22"/>
                <w:szCs w:val="22"/>
                <w:lang w:val="en-US"/>
              </w:rPr>
              <w:t>0</w:t>
            </w:r>
          </w:p>
        </w:tc>
        <w:tc>
          <w:tcPr>
            <w:tcW w:w="1861" w:type="dxa"/>
            <w:tcBorders>
              <w:top w:val="nil"/>
              <w:left w:val="nil"/>
              <w:bottom w:val="single" w:sz="4" w:space="0" w:color="auto"/>
              <w:right w:val="single" w:sz="4" w:space="0" w:color="auto"/>
            </w:tcBorders>
            <w:vAlign w:val="bottom"/>
          </w:tcPr>
          <w:p w:rsidR="00244AF4" w:rsidRPr="00D6112E" w:rsidRDefault="00244AF4" w:rsidP="00244AF4">
            <w:pPr>
              <w:widowControl w:val="0"/>
              <w:tabs>
                <w:tab w:val="clear" w:pos="1701"/>
              </w:tabs>
              <w:kinsoku w:val="0"/>
              <w:spacing w:before="20"/>
              <w:ind w:right="60"/>
              <w:jc w:val="right"/>
              <w:rPr>
                <w:bCs/>
                <w:color w:val="000000"/>
                <w:sz w:val="22"/>
                <w:szCs w:val="22"/>
                <w:lang w:val="en-US"/>
              </w:rPr>
            </w:pPr>
            <w:r w:rsidRPr="00D6112E">
              <w:rPr>
                <w:bCs/>
                <w:color w:val="000000"/>
                <w:sz w:val="22"/>
                <w:szCs w:val="22"/>
                <w:lang w:val="en-US"/>
              </w:rPr>
              <w:t>0</w:t>
            </w:r>
          </w:p>
        </w:tc>
      </w:tr>
      <w:tr w:rsidR="00244AF4" w:rsidRPr="006D735A" w:rsidTr="00477E6D">
        <w:trPr>
          <w:trHeight w:val="300"/>
          <w:jc w:val="center"/>
        </w:trPr>
        <w:tc>
          <w:tcPr>
            <w:tcW w:w="5811" w:type="dxa"/>
            <w:tcBorders>
              <w:top w:val="nil"/>
              <w:left w:val="single" w:sz="4" w:space="0" w:color="auto"/>
              <w:bottom w:val="single" w:sz="4" w:space="0" w:color="auto"/>
              <w:right w:val="single" w:sz="4" w:space="0" w:color="auto"/>
            </w:tcBorders>
            <w:shd w:val="clear" w:color="auto" w:fill="auto"/>
            <w:vAlign w:val="center"/>
            <w:hideMark/>
          </w:tcPr>
          <w:p w:rsidR="00244AF4" w:rsidRPr="00D6112E" w:rsidRDefault="00244AF4" w:rsidP="00244AF4">
            <w:pPr>
              <w:widowControl w:val="0"/>
              <w:kinsoku w:val="0"/>
              <w:spacing w:before="20" w:after="20"/>
              <w:rPr>
                <w:b/>
                <w:color w:val="000000"/>
                <w:sz w:val="22"/>
                <w:szCs w:val="22"/>
                <w:lang w:val="en-US"/>
              </w:rPr>
            </w:pPr>
            <w:r w:rsidRPr="00D6112E">
              <w:rPr>
                <w:color w:val="000000"/>
                <w:sz w:val="22"/>
                <w:szCs w:val="22"/>
                <w:lang w:val="en-US"/>
              </w:rPr>
              <w:t>Total</w:t>
            </w:r>
          </w:p>
        </w:tc>
        <w:tc>
          <w:tcPr>
            <w:tcW w:w="1861" w:type="dxa"/>
            <w:tcBorders>
              <w:top w:val="single" w:sz="4" w:space="0" w:color="auto"/>
              <w:left w:val="nil"/>
              <w:bottom w:val="single" w:sz="4" w:space="0" w:color="auto"/>
              <w:right w:val="single" w:sz="4" w:space="0" w:color="auto"/>
            </w:tcBorders>
            <w:shd w:val="clear" w:color="auto" w:fill="auto"/>
            <w:vAlign w:val="center"/>
          </w:tcPr>
          <w:p w:rsidR="00244AF4" w:rsidRPr="00D6112E" w:rsidRDefault="00244AF4" w:rsidP="00D6112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6112E">
              <w:rPr>
                <w:rFonts w:cs="Arial"/>
                <w:color w:val="000000"/>
                <w:sz w:val="22"/>
                <w:szCs w:val="22"/>
              </w:rPr>
              <w:t>28</w:t>
            </w:r>
            <w:r w:rsidR="00D6112E" w:rsidRPr="00D6112E">
              <w:rPr>
                <w:rFonts w:cs="Arial"/>
                <w:color w:val="000000"/>
                <w:sz w:val="22"/>
                <w:szCs w:val="22"/>
              </w:rPr>
              <w:t>,</w:t>
            </w:r>
            <w:r w:rsidRPr="00D6112E">
              <w:rPr>
                <w:rFonts w:cs="Arial"/>
                <w:color w:val="000000"/>
                <w:sz w:val="22"/>
                <w:szCs w:val="22"/>
              </w:rPr>
              <w:t>548</w:t>
            </w:r>
          </w:p>
        </w:tc>
        <w:tc>
          <w:tcPr>
            <w:tcW w:w="1861" w:type="dxa"/>
            <w:tcBorders>
              <w:top w:val="single" w:sz="4" w:space="0" w:color="auto"/>
              <w:left w:val="nil"/>
              <w:bottom w:val="single" w:sz="4" w:space="0" w:color="auto"/>
              <w:right w:val="single" w:sz="4" w:space="0" w:color="auto"/>
            </w:tcBorders>
            <w:vAlign w:val="center"/>
          </w:tcPr>
          <w:p w:rsidR="00244AF4" w:rsidRPr="00D6112E" w:rsidRDefault="00244AF4" w:rsidP="00D6112E">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6112E">
              <w:rPr>
                <w:rFonts w:cs="Arial"/>
                <w:color w:val="000000"/>
                <w:sz w:val="22"/>
                <w:szCs w:val="22"/>
              </w:rPr>
              <w:t>25</w:t>
            </w:r>
            <w:r w:rsidR="00D6112E" w:rsidRPr="00D6112E">
              <w:rPr>
                <w:rFonts w:cs="Arial"/>
                <w:color w:val="000000"/>
                <w:sz w:val="22"/>
                <w:szCs w:val="22"/>
              </w:rPr>
              <w:t>,</w:t>
            </w:r>
            <w:r w:rsidRPr="00D6112E">
              <w:rPr>
                <w:rFonts w:cs="Arial"/>
                <w:color w:val="000000"/>
                <w:sz w:val="22"/>
                <w:szCs w:val="22"/>
              </w:rPr>
              <w:t>375</w:t>
            </w:r>
          </w:p>
        </w:tc>
      </w:tr>
    </w:tbl>
    <w:p w:rsidR="0022373A" w:rsidRPr="003A5446" w:rsidRDefault="0022373A" w:rsidP="00905753">
      <w:pPr>
        <w:pStyle w:val="Headingi"/>
        <w:spacing w:before="240"/>
        <w:jc w:val="both"/>
        <w:rPr>
          <w:lang w:val="en-US"/>
        </w:rPr>
      </w:pPr>
      <w:bookmarkStart w:id="95" w:name="_Toc305764095"/>
      <w:r w:rsidRPr="001C2A98">
        <w:rPr>
          <w:lang w:val="en-US"/>
        </w:rPr>
        <w:t>1</w:t>
      </w:r>
      <w:r w:rsidR="00284AFF">
        <w:rPr>
          <w:lang w:val="en-US"/>
        </w:rPr>
        <w:t>7</w:t>
      </w:r>
      <w:r w:rsidRPr="001C2A98">
        <w:rPr>
          <w:lang w:val="en-US"/>
        </w:rPr>
        <w:t>.2.3</w:t>
      </w:r>
      <w:r w:rsidRPr="001C2A98">
        <w:rPr>
          <w:lang w:val="en-US"/>
        </w:rPr>
        <w:tab/>
      </w:r>
      <w:r w:rsidRPr="003A5446">
        <w:rPr>
          <w:lang w:val="en-US"/>
        </w:rPr>
        <w:t>ASHI plan, cost estimat</w:t>
      </w:r>
      <w:r w:rsidR="000A4526" w:rsidRPr="003A5446">
        <w:rPr>
          <w:lang w:val="en-US"/>
        </w:rPr>
        <w:t xml:space="preserve">es for the </w:t>
      </w:r>
      <w:r w:rsidR="00876DAD" w:rsidRPr="003A5446">
        <w:rPr>
          <w:lang w:val="en-US"/>
        </w:rPr>
        <w:t>201</w:t>
      </w:r>
      <w:r w:rsidR="00905753">
        <w:rPr>
          <w:lang w:val="en-US"/>
        </w:rPr>
        <w:t>8</w:t>
      </w:r>
      <w:r w:rsidRPr="003A5446">
        <w:rPr>
          <w:lang w:val="en-US"/>
        </w:rPr>
        <w:t xml:space="preserve"> period</w:t>
      </w:r>
      <w:bookmarkEnd w:id="95"/>
    </w:p>
    <w:p w:rsidR="00B202DD" w:rsidRPr="003A5446" w:rsidRDefault="0022373A" w:rsidP="00F74C94">
      <w:pPr>
        <w:jc w:val="both"/>
        <w:rPr>
          <w:lang w:val="en-US"/>
        </w:rPr>
      </w:pPr>
      <w:r w:rsidRPr="003A5446">
        <w:rPr>
          <w:lang w:val="en-US"/>
        </w:rPr>
        <w:t xml:space="preserve">A 1 per cent increase in healthcare </w:t>
      </w:r>
      <w:r w:rsidR="00F74C94">
        <w:rPr>
          <w:lang w:val="en-US"/>
        </w:rPr>
        <w:t>rate</w:t>
      </w:r>
      <w:r w:rsidRPr="003A5446">
        <w:rPr>
          <w:lang w:val="en-US"/>
        </w:rPr>
        <w:t xml:space="preserve"> would result in a rise in the aggregate of service cost and interest costs of CHF </w:t>
      </w:r>
      <w:r w:rsidR="00D04A12">
        <w:rPr>
          <w:lang w:val="en-US"/>
        </w:rPr>
        <w:t>1</w:t>
      </w:r>
      <w:r w:rsidR="00F74C94">
        <w:rPr>
          <w:lang w:val="en-US"/>
        </w:rPr>
        <w:t>1</w:t>
      </w:r>
      <w:r w:rsidR="00D04A12">
        <w:rPr>
          <w:lang w:val="en-US"/>
        </w:rPr>
        <w:t>.</w:t>
      </w:r>
      <w:r w:rsidR="00F74C94">
        <w:rPr>
          <w:lang w:val="en-US"/>
        </w:rPr>
        <w:t>980</w:t>
      </w:r>
      <w:r w:rsidR="004239A3" w:rsidRPr="003A5446">
        <w:rPr>
          <w:lang w:val="en-US"/>
        </w:rPr>
        <w:t> </w:t>
      </w:r>
      <w:r w:rsidR="000927AB" w:rsidRPr="003A5446">
        <w:rPr>
          <w:lang w:val="en-US"/>
        </w:rPr>
        <w:t>million</w:t>
      </w:r>
      <w:r w:rsidRPr="003A5446">
        <w:rPr>
          <w:lang w:val="en-US"/>
        </w:rPr>
        <w:t xml:space="preserve"> and have an impact on the defined-benefit obligation of HF </w:t>
      </w:r>
      <w:r w:rsidR="003A5446" w:rsidRPr="003A5446">
        <w:rPr>
          <w:lang w:val="en-US"/>
        </w:rPr>
        <w:t>1</w:t>
      </w:r>
      <w:r w:rsidR="00F74C94">
        <w:rPr>
          <w:lang w:val="en-US"/>
        </w:rPr>
        <w:t>49</w:t>
      </w:r>
      <w:r w:rsidR="003A5446" w:rsidRPr="003A5446">
        <w:rPr>
          <w:lang w:val="en-US"/>
        </w:rPr>
        <w:t>.</w:t>
      </w:r>
      <w:r w:rsidR="00F74C94">
        <w:rPr>
          <w:lang w:val="en-US"/>
        </w:rPr>
        <w:t>497</w:t>
      </w:r>
      <w:r w:rsidR="004239A3" w:rsidRPr="003A5446">
        <w:rPr>
          <w:lang w:val="en-US"/>
        </w:rPr>
        <w:t> </w:t>
      </w:r>
      <w:r w:rsidR="000927AB" w:rsidRPr="003A5446">
        <w:rPr>
          <w:lang w:val="en-US"/>
        </w:rPr>
        <w:t>million</w:t>
      </w:r>
      <w:r w:rsidRPr="003A5446">
        <w:rPr>
          <w:lang w:val="en-US"/>
        </w:rPr>
        <w:t xml:space="preserve">. A 1 per cent </w:t>
      </w:r>
      <w:r w:rsidR="00B00F6F" w:rsidRPr="003A5446">
        <w:rPr>
          <w:lang w:val="en-US"/>
        </w:rPr>
        <w:t xml:space="preserve">decrease </w:t>
      </w:r>
      <w:r w:rsidRPr="003A5446">
        <w:rPr>
          <w:lang w:val="en-US"/>
        </w:rPr>
        <w:t xml:space="preserve">would result in a </w:t>
      </w:r>
      <w:r w:rsidR="00B00F6F" w:rsidRPr="003A5446">
        <w:rPr>
          <w:lang w:val="en-US"/>
        </w:rPr>
        <w:t>reduction</w:t>
      </w:r>
      <w:r w:rsidR="000927AB" w:rsidRPr="003A5446">
        <w:rPr>
          <w:lang w:val="en-US"/>
        </w:rPr>
        <w:t xml:space="preserve"> </w:t>
      </w:r>
      <w:r w:rsidRPr="003A5446">
        <w:rPr>
          <w:lang w:val="en-US"/>
        </w:rPr>
        <w:t>of CHF </w:t>
      </w:r>
      <w:r w:rsidR="00F74C94">
        <w:rPr>
          <w:lang w:val="en-US"/>
        </w:rPr>
        <w:t>8</w:t>
      </w:r>
      <w:r w:rsidR="003A5446" w:rsidRPr="003A5446">
        <w:rPr>
          <w:lang w:val="en-US"/>
        </w:rPr>
        <w:t>.</w:t>
      </w:r>
      <w:r w:rsidR="00F74C94">
        <w:rPr>
          <w:lang w:val="en-US"/>
        </w:rPr>
        <w:t>537</w:t>
      </w:r>
      <w:r w:rsidR="000927AB" w:rsidRPr="003A5446">
        <w:rPr>
          <w:lang w:val="en-US"/>
        </w:rPr>
        <w:t xml:space="preserve"> million</w:t>
      </w:r>
      <w:r w:rsidRPr="003A5446">
        <w:rPr>
          <w:lang w:val="en-US"/>
        </w:rPr>
        <w:t xml:space="preserve"> in service cost and interest costs and of CHF </w:t>
      </w:r>
      <w:r w:rsidR="00D04A12">
        <w:rPr>
          <w:lang w:val="en-US"/>
        </w:rPr>
        <w:t>1</w:t>
      </w:r>
      <w:r w:rsidR="00F74C94">
        <w:rPr>
          <w:lang w:val="en-US"/>
        </w:rPr>
        <w:t>14</w:t>
      </w:r>
      <w:r w:rsidR="003A5446" w:rsidRPr="003A5446">
        <w:rPr>
          <w:lang w:val="en-US"/>
        </w:rPr>
        <w:t>.</w:t>
      </w:r>
      <w:r w:rsidR="00F74C94">
        <w:rPr>
          <w:lang w:val="en-US"/>
        </w:rPr>
        <w:t>495</w:t>
      </w:r>
      <w:r w:rsidR="004239A3" w:rsidRPr="003A5446">
        <w:rPr>
          <w:lang w:val="en-US"/>
        </w:rPr>
        <w:t> </w:t>
      </w:r>
      <w:r w:rsidR="000927AB" w:rsidRPr="003A5446">
        <w:rPr>
          <w:lang w:val="en-US"/>
        </w:rPr>
        <w:t>million</w:t>
      </w:r>
      <w:r w:rsidRPr="003A5446">
        <w:rPr>
          <w:lang w:val="en-US"/>
        </w:rPr>
        <w:t xml:space="preserve"> in the defined-benefit obligation.</w:t>
      </w:r>
    </w:p>
    <w:p w:rsidR="0022373A" w:rsidRPr="001C2A98" w:rsidRDefault="0022373A" w:rsidP="00284AFF">
      <w:pPr>
        <w:pStyle w:val="Headingi"/>
        <w:jc w:val="both"/>
        <w:rPr>
          <w:lang w:val="en-US"/>
        </w:rPr>
      </w:pPr>
      <w:bookmarkStart w:id="96" w:name="_Toc305764096"/>
      <w:r w:rsidRPr="003A5446">
        <w:rPr>
          <w:lang w:val="en-US"/>
        </w:rPr>
        <w:t>1</w:t>
      </w:r>
      <w:r w:rsidR="00284AFF">
        <w:rPr>
          <w:lang w:val="en-US"/>
        </w:rPr>
        <w:t>7</w:t>
      </w:r>
      <w:r w:rsidRPr="003A5446">
        <w:rPr>
          <w:lang w:val="en-US"/>
        </w:rPr>
        <w:t>.2.4</w:t>
      </w:r>
      <w:r w:rsidRPr="003A5446">
        <w:rPr>
          <w:lang w:val="en-US"/>
        </w:rPr>
        <w:tab/>
        <w:t>Repatriation</w:t>
      </w:r>
      <w:bookmarkEnd w:id="96"/>
    </w:p>
    <w:p w:rsidR="0022373A" w:rsidRPr="001C2A98" w:rsidRDefault="0022373A" w:rsidP="005C41A5">
      <w:pPr>
        <w:jc w:val="both"/>
        <w:rPr>
          <w:lang w:val="en-US"/>
        </w:rPr>
      </w:pPr>
      <w:r w:rsidRPr="001C2A98">
        <w:rPr>
          <w:lang w:val="en-US"/>
        </w:rPr>
        <w:t>In principle, a repatriation grant shall be payable to staff members whom the Union is obliged to repatriate. Detailed conditions and definitions relating to eligibility and requisite evidence of relocation shall be determined by the Secretary-General.</w:t>
      </w:r>
    </w:p>
    <w:p w:rsidR="0022373A" w:rsidRPr="001C2A98" w:rsidRDefault="0022373A" w:rsidP="00BE4C36">
      <w:pPr>
        <w:jc w:val="both"/>
        <w:rPr>
          <w:lang w:val="en-US"/>
        </w:rPr>
      </w:pPr>
      <w:r w:rsidRPr="00735886">
        <w:rPr>
          <w:lang w:val="en-US"/>
        </w:rPr>
        <w:t>Length of service, base salary and any language allowances were taken into account in calculating the total amount of th</w:t>
      </w:r>
      <w:r w:rsidR="00876DAD">
        <w:rPr>
          <w:lang w:val="en-US"/>
        </w:rPr>
        <w:t xml:space="preserve">e obligation at 31 </w:t>
      </w:r>
      <w:r w:rsidR="00876DAD" w:rsidRPr="00AD563E">
        <w:rPr>
          <w:lang w:val="en-US"/>
        </w:rPr>
        <w:t xml:space="preserve">December </w:t>
      </w:r>
      <w:r w:rsidR="00111BDD">
        <w:rPr>
          <w:lang w:val="en-US"/>
        </w:rPr>
        <w:t>201</w:t>
      </w:r>
      <w:r w:rsidR="00BE4C36">
        <w:rPr>
          <w:lang w:val="en-US"/>
        </w:rPr>
        <w:t>8</w:t>
      </w:r>
      <w:r w:rsidRPr="00AD563E">
        <w:rPr>
          <w:lang w:val="en-US"/>
        </w:rPr>
        <w:t xml:space="preserve">. The economic </w:t>
      </w:r>
      <w:r w:rsidRPr="003A5446">
        <w:rPr>
          <w:lang w:val="en-US"/>
        </w:rPr>
        <w:t xml:space="preserve">assumptions used are a discount rate of </w:t>
      </w:r>
      <w:r w:rsidR="00BE4C36">
        <w:rPr>
          <w:lang w:val="en-US"/>
        </w:rPr>
        <w:t>1.2</w:t>
      </w:r>
      <w:r w:rsidR="00AD563E" w:rsidRPr="003A5446">
        <w:rPr>
          <w:lang w:val="en-US"/>
        </w:rPr>
        <w:t xml:space="preserve"> </w:t>
      </w:r>
      <w:r w:rsidRPr="003A5446">
        <w:rPr>
          <w:lang w:val="en-US"/>
        </w:rPr>
        <w:t xml:space="preserve">per cent </w:t>
      </w:r>
      <w:r w:rsidR="00876DAD" w:rsidRPr="003A5446">
        <w:rPr>
          <w:lang w:val="en-US"/>
        </w:rPr>
        <w:t>(</w:t>
      </w:r>
      <w:r w:rsidR="00FC4FE4">
        <w:rPr>
          <w:lang w:val="en-US"/>
        </w:rPr>
        <w:t>0.9</w:t>
      </w:r>
      <w:r w:rsidR="00BE4C36">
        <w:rPr>
          <w:lang w:val="en-US"/>
        </w:rPr>
        <w:t>0</w:t>
      </w:r>
      <w:r w:rsidR="00876DAD" w:rsidRPr="003A5446">
        <w:rPr>
          <w:lang w:val="en-US"/>
        </w:rPr>
        <w:t xml:space="preserve"> per cent in 201</w:t>
      </w:r>
      <w:r w:rsidR="00BE4C36">
        <w:rPr>
          <w:lang w:val="en-US"/>
        </w:rPr>
        <w:t>7</w:t>
      </w:r>
      <w:r w:rsidR="00735886" w:rsidRPr="003A5446">
        <w:rPr>
          <w:lang w:val="en-US"/>
        </w:rPr>
        <w:t xml:space="preserve">) </w:t>
      </w:r>
      <w:r w:rsidRPr="003A5446">
        <w:rPr>
          <w:lang w:val="en-US"/>
        </w:rPr>
        <w:t xml:space="preserve">and a rate of salary increase of </w:t>
      </w:r>
      <w:r w:rsidR="009F32CA">
        <w:rPr>
          <w:lang w:val="en-US"/>
        </w:rPr>
        <w:t>3.5</w:t>
      </w:r>
      <w:r w:rsidRPr="003A5446">
        <w:rPr>
          <w:lang w:val="en-US"/>
        </w:rPr>
        <w:t xml:space="preserve"> per</w:t>
      </w:r>
      <w:r w:rsidR="004239A3" w:rsidRPr="003A5446">
        <w:rPr>
          <w:lang w:val="en-US"/>
        </w:rPr>
        <w:t> </w:t>
      </w:r>
      <w:r w:rsidRPr="003A5446">
        <w:rPr>
          <w:lang w:val="en-US"/>
        </w:rPr>
        <w:t>cent</w:t>
      </w:r>
      <w:r w:rsidR="00735886" w:rsidRPr="003A5446">
        <w:rPr>
          <w:lang w:val="en-US"/>
        </w:rPr>
        <w:t xml:space="preserve"> </w:t>
      </w:r>
      <w:r w:rsidR="00F83061">
        <w:rPr>
          <w:lang w:val="en-US"/>
        </w:rPr>
        <w:t xml:space="preserve">(similar to </w:t>
      </w:r>
      <w:r w:rsidR="00FC4FE4">
        <w:rPr>
          <w:lang w:val="en-US"/>
        </w:rPr>
        <w:t>201</w:t>
      </w:r>
      <w:r w:rsidR="00BE4C36">
        <w:rPr>
          <w:lang w:val="en-US"/>
        </w:rPr>
        <w:t>7</w:t>
      </w:r>
      <w:r w:rsidR="00F83061">
        <w:rPr>
          <w:lang w:val="en-US"/>
        </w:rPr>
        <w:t>)</w:t>
      </w:r>
      <w:r w:rsidR="009F32CA">
        <w:rPr>
          <w:lang w:val="en-US"/>
        </w:rPr>
        <w:t>. For the valuation of 201</w:t>
      </w:r>
      <w:r w:rsidR="00BE4C36">
        <w:rPr>
          <w:lang w:val="en-US"/>
        </w:rPr>
        <w:t>8</w:t>
      </w:r>
      <w:r w:rsidR="00E64449">
        <w:rPr>
          <w:lang w:val="en-US"/>
        </w:rPr>
        <w:t>,</w:t>
      </w:r>
      <w:r w:rsidR="009F32CA">
        <w:rPr>
          <w:lang w:val="en-US"/>
        </w:rPr>
        <w:t xml:space="preserve"> the assumption</w:t>
      </w:r>
      <w:r w:rsidR="00E64449">
        <w:rPr>
          <w:lang w:val="en-US"/>
        </w:rPr>
        <w:t>s</w:t>
      </w:r>
      <w:r w:rsidR="009F32CA">
        <w:rPr>
          <w:lang w:val="en-US"/>
        </w:rPr>
        <w:t xml:space="preserve"> for the actuarial study on the repatriation grant ha</w:t>
      </w:r>
      <w:r w:rsidR="00E64449">
        <w:rPr>
          <w:lang w:val="en-US"/>
        </w:rPr>
        <w:t>ve</w:t>
      </w:r>
      <w:r w:rsidR="009F32CA">
        <w:rPr>
          <w:lang w:val="en-US"/>
        </w:rPr>
        <w:t xml:space="preserve"> been aligned with the ASHI assumptions.</w:t>
      </w:r>
    </w:p>
    <w:p w:rsidR="0022373A" w:rsidRPr="001C2A98" w:rsidRDefault="0022373A" w:rsidP="00284AFF">
      <w:pPr>
        <w:pStyle w:val="Headingi"/>
        <w:jc w:val="both"/>
        <w:rPr>
          <w:lang w:val="en-US"/>
        </w:rPr>
      </w:pPr>
      <w:bookmarkStart w:id="97" w:name="_Toc305764097"/>
      <w:r w:rsidRPr="001C2A98">
        <w:rPr>
          <w:lang w:val="en-US"/>
        </w:rPr>
        <w:t>1</w:t>
      </w:r>
      <w:r w:rsidR="00284AFF">
        <w:rPr>
          <w:lang w:val="en-US"/>
        </w:rPr>
        <w:t>7</w:t>
      </w:r>
      <w:r w:rsidRPr="001C2A98">
        <w:rPr>
          <w:lang w:val="en-US"/>
        </w:rPr>
        <w:t>.2.5</w:t>
      </w:r>
      <w:r w:rsidRPr="001C2A98">
        <w:rPr>
          <w:lang w:val="en-US"/>
        </w:rPr>
        <w:tab/>
        <w:t>Payment of the repatriation grant</w:t>
      </w:r>
      <w:bookmarkEnd w:id="97"/>
    </w:p>
    <w:p w:rsidR="0022373A" w:rsidRPr="00DE25A3" w:rsidRDefault="0022373A" w:rsidP="00BE4C36">
      <w:pPr>
        <w:jc w:val="both"/>
        <w:rPr>
          <w:lang w:val="en-US"/>
        </w:rPr>
      </w:pPr>
      <w:r w:rsidRPr="001C2A98">
        <w:rPr>
          <w:lang w:val="en-US"/>
        </w:rPr>
        <w:t xml:space="preserve">Payment of the repatriation grant is governed by the conditions and definitions set out in the Staff Regulations and Staff </w:t>
      </w:r>
      <w:r w:rsidRPr="003A5446">
        <w:rPr>
          <w:lang w:val="en-US"/>
        </w:rPr>
        <w:t>Rules.</w:t>
      </w:r>
      <w:r w:rsidR="006424AE">
        <w:rPr>
          <w:lang w:val="en-US"/>
        </w:rPr>
        <w:t xml:space="preserve"> </w:t>
      </w:r>
      <w:r w:rsidR="00546F2F">
        <w:rPr>
          <w:lang w:val="en-US"/>
        </w:rPr>
        <w:t>As of December 201</w:t>
      </w:r>
      <w:r w:rsidR="00BE4C36">
        <w:rPr>
          <w:lang w:val="en-US"/>
        </w:rPr>
        <w:t>8</w:t>
      </w:r>
      <w:r w:rsidR="0020696D">
        <w:rPr>
          <w:lang w:val="en-US"/>
        </w:rPr>
        <w:t>,</w:t>
      </w:r>
      <w:r w:rsidR="00546F2F">
        <w:rPr>
          <w:lang w:val="en-US"/>
        </w:rPr>
        <w:t xml:space="preserve"> the provision amounted </w:t>
      </w:r>
      <w:r w:rsidR="0020696D">
        <w:rPr>
          <w:lang w:val="en-US"/>
        </w:rPr>
        <w:t xml:space="preserve">to </w:t>
      </w:r>
      <w:r w:rsidR="00546F2F">
        <w:rPr>
          <w:lang w:val="en-US"/>
        </w:rPr>
        <w:t>CHF</w:t>
      </w:r>
      <w:r w:rsidR="0020696D">
        <w:rPr>
          <w:lang w:val="en-US"/>
        </w:rPr>
        <w:t> </w:t>
      </w:r>
      <w:r w:rsidR="00546F2F">
        <w:rPr>
          <w:lang w:val="en-US"/>
        </w:rPr>
        <w:t>1</w:t>
      </w:r>
      <w:r w:rsidR="00FC4FE4">
        <w:rPr>
          <w:lang w:val="en-US"/>
        </w:rPr>
        <w:t>2</w:t>
      </w:r>
      <w:r w:rsidR="00546F2F">
        <w:rPr>
          <w:lang w:val="en-US"/>
        </w:rPr>
        <w:t>.</w:t>
      </w:r>
      <w:r w:rsidR="00BE4C36">
        <w:rPr>
          <w:lang w:val="en-US"/>
        </w:rPr>
        <w:t>16</w:t>
      </w:r>
      <w:r w:rsidR="00546F2F">
        <w:rPr>
          <w:lang w:val="en-US"/>
        </w:rPr>
        <w:t xml:space="preserve"> m</w:t>
      </w:r>
      <w:r w:rsidR="0020696D">
        <w:rPr>
          <w:lang w:val="en-US"/>
        </w:rPr>
        <w:t xml:space="preserve">illion </w:t>
      </w:r>
      <w:r w:rsidR="00546F2F">
        <w:rPr>
          <w:lang w:val="en-US"/>
        </w:rPr>
        <w:t>against CHF 1</w:t>
      </w:r>
      <w:r w:rsidR="00BE4C36">
        <w:rPr>
          <w:lang w:val="en-US"/>
        </w:rPr>
        <w:t>2.3</w:t>
      </w:r>
      <w:r w:rsidR="00546F2F">
        <w:rPr>
          <w:lang w:val="en-US"/>
        </w:rPr>
        <w:t xml:space="preserve"> m</w:t>
      </w:r>
      <w:r w:rsidR="0020696D">
        <w:rPr>
          <w:lang w:val="en-US"/>
        </w:rPr>
        <w:t xml:space="preserve">illion </w:t>
      </w:r>
      <w:r w:rsidR="00546F2F">
        <w:rPr>
          <w:lang w:val="en-US"/>
        </w:rPr>
        <w:t>in 201</w:t>
      </w:r>
      <w:r w:rsidR="00BE4C36">
        <w:rPr>
          <w:lang w:val="en-US"/>
        </w:rPr>
        <w:t>7</w:t>
      </w:r>
      <w:r w:rsidR="00546F2F">
        <w:rPr>
          <w:lang w:val="en-US"/>
        </w:rPr>
        <w:t>.</w:t>
      </w:r>
      <w:r w:rsidR="00FC4FE4">
        <w:rPr>
          <w:lang w:val="en-US"/>
        </w:rPr>
        <w:t xml:space="preserve"> </w:t>
      </w:r>
      <w:r w:rsidR="00FC4FE4" w:rsidRPr="00DE25A3">
        <w:rPr>
          <w:lang w:val="en-US"/>
        </w:rPr>
        <w:t xml:space="preserve">This decrease </w:t>
      </w:r>
      <w:r w:rsidR="00DE25A3" w:rsidRPr="00DE25A3">
        <w:rPr>
          <w:lang w:val="en-US"/>
        </w:rPr>
        <w:t xml:space="preserve">is mostly </w:t>
      </w:r>
      <w:r w:rsidR="00FC4FE4" w:rsidRPr="00DE25A3">
        <w:rPr>
          <w:lang w:val="en-US"/>
        </w:rPr>
        <w:t>explained by</w:t>
      </w:r>
      <w:r w:rsidR="00FC4FE4">
        <w:rPr>
          <w:lang w:val="en-US"/>
        </w:rPr>
        <w:t xml:space="preserve"> </w:t>
      </w:r>
      <w:r w:rsidR="00DE25A3">
        <w:rPr>
          <w:lang w:val="en-US"/>
        </w:rPr>
        <w:t xml:space="preserve">the reduction of the base salary for </w:t>
      </w:r>
      <w:r w:rsidR="00DE25A3" w:rsidRPr="00DE25A3">
        <w:rPr>
          <w:lang w:val="en-US"/>
        </w:rPr>
        <w:t>Professional Staff (6</w:t>
      </w:r>
      <w:r w:rsidR="00B34F0F">
        <w:rPr>
          <w:lang w:val="en-US"/>
        </w:rPr>
        <w:t xml:space="preserve"> per cent </w:t>
      </w:r>
      <w:r w:rsidR="00DE25A3" w:rsidRPr="00DE25A3">
        <w:rPr>
          <w:lang w:val="en-US"/>
        </w:rPr>
        <w:t>reduction on average)</w:t>
      </w:r>
      <w:r w:rsidR="00DE25A3">
        <w:rPr>
          <w:lang w:val="en-US"/>
        </w:rPr>
        <w:t>.</w:t>
      </w:r>
    </w:p>
    <w:p w:rsidR="0022373A" w:rsidRPr="002C6FAF" w:rsidRDefault="0022373A" w:rsidP="00B34F0F">
      <w:pPr>
        <w:jc w:val="both"/>
        <w:rPr>
          <w:lang w:val="en-US"/>
        </w:rPr>
      </w:pPr>
      <w:r w:rsidRPr="003A5446">
        <w:rPr>
          <w:lang w:val="en-US"/>
        </w:rPr>
        <w:t>This provisi</w:t>
      </w:r>
      <w:r w:rsidR="007D0104" w:rsidRPr="003A5446">
        <w:rPr>
          <w:lang w:val="en-US"/>
        </w:rPr>
        <w:t>on</w:t>
      </w:r>
      <w:r w:rsidR="00A84A98" w:rsidRPr="003A5446">
        <w:rPr>
          <w:lang w:val="en-US"/>
        </w:rPr>
        <w:t xml:space="preserve"> is funded by a deduction of 1</w:t>
      </w:r>
      <w:r w:rsidRPr="003A5446">
        <w:rPr>
          <w:lang w:val="en-US"/>
        </w:rPr>
        <w:t xml:space="preserve"> </w:t>
      </w:r>
      <w:r w:rsidR="00B34F0F">
        <w:rPr>
          <w:lang w:val="en-US"/>
        </w:rPr>
        <w:t xml:space="preserve">per cent </w:t>
      </w:r>
      <w:r w:rsidRPr="003A5446">
        <w:rPr>
          <w:lang w:val="en-US"/>
        </w:rPr>
        <w:t>from the remuneration of staff members other than those engaged for conferences and other short-term service.</w:t>
      </w:r>
    </w:p>
    <w:p w:rsidR="00303CCC" w:rsidRDefault="0022373A" w:rsidP="0045089E">
      <w:pPr>
        <w:jc w:val="both"/>
        <w:rPr>
          <w:lang w:val="en-US"/>
        </w:rPr>
      </w:pPr>
      <w:r w:rsidRPr="002C6FAF">
        <w:rPr>
          <w:lang w:val="en-US"/>
        </w:rPr>
        <w:t>An IPSAS-compliant actuarial valuation is carried out each year by an independent consultancy.</w:t>
      </w:r>
    </w:p>
    <w:p w:rsidR="009053D6" w:rsidRPr="00367B82" w:rsidRDefault="0022373A" w:rsidP="00910855">
      <w:pPr>
        <w:pStyle w:val="Headingi"/>
        <w:jc w:val="both"/>
        <w:rPr>
          <w:lang w:val="en-US"/>
        </w:rPr>
      </w:pPr>
      <w:bookmarkStart w:id="98" w:name="_Toc305764098"/>
      <w:r w:rsidRPr="00BE4C36">
        <w:rPr>
          <w:lang w:val="en-US"/>
        </w:rPr>
        <w:t>1</w:t>
      </w:r>
      <w:r w:rsidR="00284AFF" w:rsidRPr="00BE4C36">
        <w:rPr>
          <w:lang w:val="en-US"/>
        </w:rPr>
        <w:t>7</w:t>
      </w:r>
      <w:r w:rsidRPr="00BE4C36">
        <w:rPr>
          <w:lang w:val="en-US"/>
        </w:rPr>
        <w:t>.2.6</w:t>
      </w:r>
      <w:r w:rsidRPr="001C2A98">
        <w:rPr>
          <w:lang w:val="en-US"/>
        </w:rPr>
        <w:tab/>
      </w:r>
      <w:r w:rsidRPr="00367B82">
        <w:rPr>
          <w:lang w:val="en-US"/>
        </w:rPr>
        <w:t>Employee benefits under the United Nations staff pension plan</w:t>
      </w:r>
      <w:bookmarkEnd w:id="98"/>
    </w:p>
    <w:p w:rsidR="00FE2A8D" w:rsidRPr="001F54A4" w:rsidRDefault="00FE2A8D" w:rsidP="00227D54">
      <w:pPr>
        <w:pStyle w:val="BodyText"/>
        <w:jc w:val="both"/>
        <w:rPr>
          <w:lang w:val="en-US"/>
        </w:rPr>
      </w:pPr>
      <w:r w:rsidRPr="001F54A4">
        <w:rPr>
          <w:lang w:val="en-US"/>
        </w:rPr>
        <w:t>The ITU is a member organization participating in the United Nations Joint Staff Pension Fund (UNJSPF), which was established by the United Nations General Assembly to provide retirement, death, disability and related benefits to employees. The Pension Fund is a funded, multi-employer defined benefit plan. As specified in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rsidR="00FE2A8D" w:rsidRPr="001F54A4" w:rsidRDefault="00FE2A8D" w:rsidP="00227D54">
      <w:pPr>
        <w:pStyle w:val="BodyText"/>
        <w:jc w:val="both"/>
        <w:rPr>
          <w:lang w:val="en-US"/>
        </w:rPr>
      </w:pPr>
      <w:r w:rsidRPr="001F54A4">
        <w:rPr>
          <w:lang w:val="en-US"/>
        </w:rPr>
        <w:t>The plan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plan. The Agency and the UNJSPF, in line with the other participating organizations in the Fund, are not in a position to identify the Agency’s proportionate share of the defined benefit obligation, the plan assets and the costs associated with the plan with sufficient reliability for accounting purposes. Hence, the Agency has treated this plan as if it were a defined contribution plan in line with the requirements of IPSAS 39 Employee Benefits. The Agency’s contributions to the plan during the financial period are recognized as expenses in the Statement of Financial Performance.</w:t>
      </w:r>
    </w:p>
    <w:p w:rsidR="00FE2A8D" w:rsidRPr="00365EB8" w:rsidRDefault="00FE2A8D" w:rsidP="00FE2A8D">
      <w:pPr>
        <w:pStyle w:val="Style1"/>
        <w:rPr>
          <w:rFonts w:ascii="Calibri" w:hAnsi="Calibri"/>
          <w:color w:val="auto"/>
        </w:rPr>
      </w:pPr>
      <w:r w:rsidRPr="00365EB8">
        <w:rPr>
          <w:rFonts w:ascii="Calibri" w:hAnsi="Calibri"/>
          <w:color w:val="auto"/>
        </w:rPr>
        <w:t>United Nations Joint Staff Pension Fund</w:t>
      </w:r>
    </w:p>
    <w:p w:rsidR="00FE2A8D" w:rsidRPr="00365EB8" w:rsidRDefault="00FE2A8D" w:rsidP="00227D54">
      <w:pPr>
        <w:pStyle w:val="BodyText"/>
        <w:jc w:val="both"/>
      </w:pPr>
      <w:bookmarkStart w:id="99" w:name="_Toc351382638"/>
      <w:bookmarkStart w:id="100" w:name="_Toc320705895"/>
      <w:r w:rsidRPr="00365EB8">
        <w:t xml:space="preserve">The Fund’s Regulations state that the Pension Board shall have an actuarial valuation made of the Fund at least once every three years by the Consulting Actuary. The practice of the Pension Board has been to carry out an actuarial valuation every two years using the Open Group Aggregate Method. The primary purpose of the actuarial valuation is to determine whether the current and estimated future assets of the Pension Fund will be sufficient to meet its liabilities. </w:t>
      </w:r>
    </w:p>
    <w:p w:rsidR="00FE2A8D" w:rsidRPr="00365EB8" w:rsidRDefault="00FE2A8D" w:rsidP="00227D54">
      <w:pPr>
        <w:pStyle w:val="BodyText"/>
        <w:jc w:val="both"/>
      </w:pPr>
      <w:r w:rsidRPr="00365EB8">
        <w:t xml:space="preserve">The Agency’s financial obligation to the UNJSPF consists of its mandated contribution, at the rate established by the United Nations General Assembly (currently at 7.9% for participants and 15.8% for member organizations) together with any share of any actuarial deficiency payments under Article 26 of the Regulations of the Pension Fund. Such deficiency payments are only payable if and when the United Nations General Assembly has invoked the provision of Article 26, following determination that there is a requirement for deficiency payments based on an assessment of the actuarial sufficiency of the Fund as of the valuation date. Each member organization shall contribute to this deficiency an amount proportionate to the total contributions which each paid during the three years preceding the valuation date. </w:t>
      </w:r>
    </w:p>
    <w:p w:rsidR="00FE2A8D" w:rsidRPr="00365EB8" w:rsidRDefault="00FE2A8D" w:rsidP="00227D54">
      <w:pPr>
        <w:pStyle w:val="BodyText"/>
        <w:jc w:val="both"/>
      </w:pPr>
      <w:r w:rsidRPr="00365EB8">
        <w:t xml:space="preserve">During 2017, the Fund identified that there were anomalies in the census data utilized in the actuarial valuation performed as of 31 December 2015. As such, as an exception to the normal biennial cycle, a roll forward of the participation data as of 31 December 2013 to 31 December 2016 was used by the Fund for its 2016 financial statements. </w:t>
      </w:r>
    </w:p>
    <w:p w:rsidR="00FE2A8D" w:rsidRPr="00365EB8" w:rsidRDefault="00FE2A8D" w:rsidP="00227D54">
      <w:pPr>
        <w:pStyle w:val="BodyText"/>
        <w:jc w:val="both"/>
      </w:pPr>
      <w:r w:rsidRPr="00365EB8">
        <w:t xml:space="preserve">The actuarial valuation as of 31 December 2017 resulted in a funded ratio of actuarial assets to actuarial liabilities, assuming no future pension adjustments, of 139.2% (150.1% in the 2016 roll forward). The funded ratio was 102.7% (101.4% in the 2016 roll forward) when the current system of pension adjustments was taken into account. </w:t>
      </w:r>
    </w:p>
    <w:p w:rsidR="00FE2A8D" w:rsidRPr="00365EB8" w:rsidRDefault="00FE2A8D" w:rsidP="00227D54">
      <w:pPr>
        <w:pStyle w:val="BodyText"/>
        <w:jc w:val="both"/>
      </w:pPr>
      <w:r w:rsidRPr="00365EB8">
        <w:t>After assessing the actuarial sufficiency of the Fund, the Consulting Actuary concluded that there was no requirement, as of 31 December 2017, for deficiency payments under Article 26 of the Regulations of the Fund as the actuarial value of assets exceeded the actuarial value of all accrued liabilities under the plan. In addition, the market value of assets also exceeded the actuarial value of all accrued liabilities as of the valuation date. At the time of this report, the General Assembly has not invoked the provision of Article 26.</w:t>
      </w:r>
    </w:p>
    <w:p w:rsidR="00FE2A8D" w:rsidRPr="00365EB8" w:rsidRDefault="00FE2A8D" w:rsidP="00227D54">
      <w:pPr>
        <w:pStyle w:val="BodyText"/>
        <w:jc w:val="both"/>
      </w:pPr>
      <w:r w:rsidRPr="00365EB8">
        <w:t xml:space="preserve">Should Article 26 be invoked due to an actuarial deficiency, either during the ongoing operation or due to the termination of the UNJSPF pension plan, deficiency payments required from each member organization would be based upon the proportion of that member organization’s contributions to the total contributions paid to the Fund during the three years preceding the valuation date. Total contributions paid to the UNJSPF during the preceding three years (2015, 2016 and 2017) amounted to USD 6,931.39 million, of which </w:t>
      </w:r>
      <w:r w:rsidR="006218E0" w:rsidRPr="00365EB8">
        <w:t>1.06%</w:t>
      </w:r>
      <w:r w:rsidRPr="00365EB8">
        <w:t xml:space="preserve"> was contributed by the </w:t>
      </w:r>
      <w:r w:rsidR="001F54A4" w:rsidRPr="00365EB8">
        <w:t>ITU</w:t>
      </w:r>
      <w:r w:rsidRPr="00365EB8">
        <w:t>.</w:t>
      </w:r>
    </w:p>
    <w:p w:rsidR="00FE2A8D" w:rsidRPr="00365EB8" w:rsidRDefault="00FE2A8D" w:rsidP="00306E07">
      <w:pPr>
        <w:pStyle w:val="BodyText"/>
        <w:jc w:val="both"/>
      </w:pPr>
      <w:r w:rsidRPr="00365EB8">
        <w:t xml:space="preserve">During 2018, contributions paid to UNJSPF amounted to USD </w:t>
      </w:r>
      <w:r w:rsidR="009B6436" w:rsidRPr="00365EB8">
        <w:t>23</w:t>
      </w:r>
      <w:r w:rsidRPr="00365EB8">
        <w:t>.</w:t>
      </w:r>
      <w:r w:rsidR="009B6436" w:rsidRPr="00365EB8">
        <w:t>7</w:t>
      </w:r>
      <w:r w:rsidRPr="00365EB8">
        <w:t> million (USD</w:t>
      </w:r>
      <w:r w:rsidR="00306E07">
        <w:t> </w:t>
      </w:r>
      <w:r w:rsidR="006218E0" w:rsidRPr="00365EB8">
        <w:t>23.8</w:t>
      </w:r>
      <w:r w:rsidRPr="00365EB8">
        <w:t> million</w:t>
      </w:r>
      <w:r w:rsidR="00306E07">
        <w:t xml:space="preserve"> in 2017</w:t>
      </w:r>
      <w:r w:rsidRPr="00365EB8">
        <w:t xml:space="preserve">). Expected contributions due in 2019 are approximately USD </w:t>
      </w:r>
      <w:r w:rsidR="009B6436" w:rsidRPr="00365EB8">
        <w:t>23</w:t>
      </w:r>
      <w:r w:rsidRPr="00365EB8">
        <w:t> million.</w:t>
      </w:r>
    </w:p>
    <w:p w:rsidR="00FE2A8D" w:rsidRPr="00365EB8" w:rsidRDefault="00FE2A8D" w:rsidP="00227D54">
      <w:pPr>
        <w:pStyle w:val="BodyText"/>
        <w:jc w:val="both"/>
      </w:pPr>
      <w:r w:rsidRPr="00365EB8">
        <w:t>Membership of the Fund may be terminated by decision of the United Nations General Assembly, upon the affirmative recommendation of the Pension Board.  A proportionate share of the total assets of the Fund at the date of termination shall be paid to the former member organization for the exclusive benefit of its staff who were participants in the Fund at that date, pursuant to an arrangement mutually agreed between the organization and the Fund.  The amount is determined by the United Nations Joint Staff Pension Board based on an actuarial valuation of the assets and liabilities of the Fund on the date of termination; no part of the assets which are in excess of the liabilities are included in the amount.</w:t>
      </w:r>
    </w:p>
    <w:p w:rsidR="00FE2A8D" w:rsidRPr="00365EB8" w:rsidRDefault="00FE2A8D" w:rsidP="00227D54">
      <w:pPr>
        <w:pStyle w:val="BodyText"/>
        <w:jc w:val="both"/>
      </w:pPr>
      <w:r w:rsidRPr="00365EB8">
        <w:t xml:space="preserve">The United Nations Board of Auditors carries out an annual audit of the UNJSPF and reports to the UNJSPF Pension Board and to the United Nations General Assembly on the audit every year. The UNJSPF publishes quarterly reports on its investments and these can be viewed by visiting the UNJSPF at </w:t>
      </w:r>
      <w:hyperlink r:id="rId44" w:history="1">
        <w:r w:rsidRPr="00365EB8">
          <w:rPr>
            <w:rFonts w:eastAsia="Calibri"/>
            <w:color w:val="0000FF"/>
            <w:u w:val="single"/>
          </w:rPr>
          <w:t>www.unjspf.org</w:t>
        </w:r>
      </w:hyperlink>
      <w:r w:rsidRPr="00365EB8">
        <w:t>.</w:t>
      </w:r>
      <w:bookmarkEnd w:id="99"/>
      <w:bookmarkEnd w:id="100"/>
    </w:p>
    <w:p w:rsidR="00C02AE0" w:rsidRPr="00365EB8" w:rsidRDefault="0022373A" w:rsidP="00227D54">
      <w:pPr>
        <w:jc w:val="both"/>
        <w:rPr>
          <w:lang w:val="en-US"/>
        </w:rPr>
      </w:pPr>
      <w:r w:rsidRPr="00365EB8">
        <w:rPr>
          <w:lang w:val="en-US"/>
        </w:rPr>
        <w:t xml:space="preserve">In accordance with the Administrative Rules of UNJSPF, the Union submits a statement at the end of each financial year to the </w:t>
      </w:r>
      <w:r w:rsidR="0093576A" w:rsidRPr="00365EB8">
        <w:rPr>
          <w:lang w:val="en-US"/>
        </w:rPr>
        <w:t>S</w:t>
      </w:r>
      <w:r w:rsidRPr="00365EB8">
        <w:rPr>
          <w:lang w:val="en-US"/>
        </w:rPr>
        <w:t>ecretariat of the Fund showing, in respect of each participant, the total contributions of every kind paid into the Fund, the total pensionable remuneration earned and any changes made in the amount of pensionable remuneration, with the dates on which they became effective. The movements of employees participating in the Fund during the year in question (including staff engaged for technical assistance projects) and the number of benefits granted and contributions paid are shown below.</w:t>
      </w:r>
    </w:p>
    <w:p w:rsidR="00F57FAF" w:rsidRPr="00365EB8" w:rsidRDefault="0022373A" w:rsidP="00227D54">
      <w:pPr>
        <w:widowControl w:val="0"/>
        <w:kinsoku w:val="0"/>
        <w:jc w:val="both"/>
        <w:rPr>
          <w:lang w:val="en-US"/>
        </w:rPr>
      </w:pPr>
      <w:r w:rsidRPr="00365EB8">
        <w:rPr>
          <w:lang w:val="en-US"/>
        </w:rPr>
        <w:t>The figures are taken from the Union</w:t>
      </w:r>
      <w:r w:rsidR="007A552E" w:rsidRPr="00365EB8">
        <w:rPr>
          <w:lang w:val="en-US"/>
        </w:rPr>
        <w:t>’</w:t>
      </w:r>
      <w:r w:rsidRPr="00365EB8">
        <w:rPr>
          <w:lang w:val="en-US"/>
        </w:rPr>
        <w:t>s files and accounts.</w:t>
      </w:r>
    </w:p>
    <w:p w:rsidR="0022373A" w:rsidRPr="008B436A" w:rsidRDefault="00876DAD" w:rsidP="00E10953">
      <w:pPr>
        <w:tabs>
          <w:tab w:val="left" w:pos="794"/>
          <w:tab w:val="left" w:pos="1191"/>
          <w:tab w:val="left" w:pos="1588"/>
          <w:tab w:val="left" w:pos="1985"/>
        </w:tabs>
        <w:ind w:left="720"/>
        <w:jc w:val="center"/>
        <w:rPr>
          <w:b/>
          <w:caps/>
          <w:color w:val="000000"/>
          <w:sz w:val="22"/>
          <w:szCs w:val="22"/>
          <w:lang w:val="en-US"/>
        </w:rPr>
      </w:pPr>
      <w:r w:rsidRPr="00914FF2">
        <w:rPr>
          <w:b/>
          <w:caps/>
          <w:sz w:val="22"/>
          <w:szCs w:val="22"/>
          <w:lang w:val="en-US"/>
        </w:rPr>
        <w:t xml:space="preserve">POSITION AT 31 dEcembEr </w:t>
      </w:r>
      <w:r w:rsidR="00111BDD" w:rsidRPr="00914FF2">
        <w:rPr>
          <w:b/>
          <w:caps/>
          <w:sz w:val="22"/>
          <w:szCs w:val="22"/>
          <w:lang w:val="en-US"/>
        </w:rPr>
        <w:t>201</w:t>
      </w:r>
      <w:r w:rsidR="00E10953" w:rsidRPr="00914FF2">
        <w:rPr>
          <w:b/>
          <w:caps/>
          <w:sz w:val="22"/>
          <w:szCs w:val="22"/>
          <w:lang w:val="en-US"/>
        </w:rPr>
        <w:t>8</w:t>
      </w:r>
      <w:r w:rsidR="0022373A" w:rsidRPr="00914FF2">
        <w:rPr>
          <w:b/>
          <w:caps/>
          <w:sz w:val="22"/>
          <w:szCs w:val="22"/>
          <w:lang w:val="en-US"/>
        </w:rPr>
        <w:br/>
      </w:r>
      <w:r w:rsidR="0022373A" w:rsidRPr="00914FF2">
        <w:rPr>
          <w:b/>
          <w:caps/>
          <w:color w:val="000000"/>
          <w:sz w:val="22"/>
          <w:szCs w:val="22"/>
          <w:lang w:val="en-US"/>
        </w:rPr>
        <w:t xml:space="preserve">NUMBER OF </w:t>
      </w:r>
      <w:r w:rsidRPr="00914FF2">
        <w:rPr>
          <w:b/>
          <w:caps/>
          <w:color w:val="000000"/>
          <w:sz w:val="22"/>
          <w:szCs w:val="22"/>
          <w:lang w:val="en-US"/>
        </w:rPr>
        <w:t xml:space="preserve">PARTICIPANTS AT 31 DECEMBER </w:t>
      </w:r>
      <w:r w:rsidR="00111BDD" w:rsidRPr="00914FF2">
        <w:rPr>
          <w:b/>
          <w:caps/>
          <w:color w:val="000000"/>
          <w:sz w:val="22"/>
          <w:szCs w:val="22"/>
          <w:lang w:val="en-US"/>
        </w:rPr>
        <w:t>201</w:t>
      </w:r>
      <w:r w:rsidR="00E10953" w:rsidRPr="00914FF2">
        <w:rPr>
          <w:b/>
          <w:caps/>
          <w:color w:val="000000"/>
          <w:sz w:val="22"/>
          <w:szCs w:val="22"/>
          <w:lang w:val="en-US"/>
        </w:rPr>
        <w:t>8</w:t>
      </w:r>
    </w:p>
    <w:tbl>
      <w:tblPr>
        <w:tblW w:w="4873" w:type="pct"/>
        <w:jc w:val="center"/>
        <w:tblLook w:val="0000" w:firstRow="0" w:lastRow="0" w:firstColumn="0" w:lastColumn="0" w:noHBand="0" w:noVBand="0"/>
      </w:tblPr>
      <w:tblGrid>
        <w:gridCol w:w="1381"/>
        <w:gridCol w:w="1627"/>
        <w:gridCol w:w="1627"/>
        <w:gridCol w:w="1629"/>
        <w:gridCol w:w="1627"/>
        <w:gridCol w:w="1626"/>
      </w:tblGrid>
      <w:tr w:rsidR="0022373A" w:rsidRPr="008B436A" w:rsidTr="00BE52DF">
        <w:trPr>
          <w:cantSplit/>
          <w:jc w:val="center"/>
        </w:trPr>
        <w:tc>
          <w:tcPr>
            <w:tcW w:w="725" w:type="pct"/>
            <w:vMerge w:val="restart"/>
            <w:tcBorders>
              <w:top w:val="single" w:sz="6" w:space="0" w:color="auto"/>
              <w:left w:val="single" w:sz="6" w:space="0" w:color="auto"/>
              <w:right w:val="single" w:sz="6" w:space="0" w:color="auto"/>
            </w:tcBorders>
            <w:vAlign w:val="center"/>
          </w:tcPr>
          <w:p w:rsidR="0022373A" w:rsidRPr="008B436A" w:rsidRDefault="0022373A" w:rsidP="00161957">
            <w:pPr>
              <w:spacing w:after="120"/>
              <w:jc w:val="center"/>
              <w:rPr>
                <w:b/>
                <w:sz w:val="22"/>
                <w:szCs w:val="22"/>
                <w:lang w:val="en-US"/>
              </w:rPr>
            </w:pPr>
            <w:r w:rsidRPr="008B436A">
              <w:rPr>
                <w:b/>
                <w:sz w:val="22"/>
                <w:szCs w:val="22"/>
                <w:lang w:val="en-US"/>
              </w:rPr>
              <w:t>Number of participants at 31.12.201</w:t>
            </w:r>
            <w:r w:rsidR="00161957">
              <w:rPr>
                <w:b/>
                <w:sz w:val="22"/>
                <w:szCs w:val="22"/>
                <w:lang w:val="en-US"/>
              </w:rPr>
              <w:t>7</w:t>
            </w:r>
          </w:p>
        </w:tc>
        <w:tc>
          <w:tcPr>
            <w:tcW w:w="855" w:type="pct"/>
            <w:vMerge w:val="restart"/>
            <w:tcBorders>
              <w:top w:val="single" w:sz="6" w:space="0" w:color="auto"/>
              <w:left w:val="single" w:sz="6" w:space="0" w:color="auto"/>
              <w:right w:val="single" w:sz="6" w:space="0" w:color="auto"/>
            </w:tcBorders>
            <w:vAlign w:val="center"/>
          </w:tcPr>
          <w:p w:rsidR="0022373A" w:rsidRPr="008B436A" w:rsidRDefault="0022373A" w:rsidP="005D3458">
            <w:pPr>
              <w:spacing w:after="120"/>
              <w:jc w:val="center"/>
              <w:rPr>
                <w:b/>
                <w:sz w:val="22"/>
                <w:szCs w:val="22"/>
                <w:lang w:val="en-US"/>
              </w:rPr>
            </w:pPr>
            <w:r w:rsidRPr="008B436A">
              <w:rPr>
                <w:b/>
                <w:sz w:val="22"/>
                <w:szCs w:val="22"/>
                <w:lang w:val="en-US"/>
              </w:rPr>
              <w:t>New participants</w:t>
            </w:r>
          </w:p>
        </w:tc>
        <w:tc>
          <w:tcPr>
            <w:tcW w:w="1711" w:type="pct"/>
            <w:gridSpan w:val="2"/>
            <w:tcBorders>
              <w:top w:val="single" w:sz="6" w:space="0" w:color="auto"/>
              <w:left w:val="single" w:sz="6" w:space="0" w:color="auto"/>
              <w:bottom w:val="single" w:sz="6" w:space="0" w:color="auto"/>
              <w:right w:val="single" w:sz="6" w:space="0" w:color="auto"/>
            </w:tcBorders>
            <w:vAlign w:val="center"/>
          </w:tcPr>
          <w:p w:rsidR="0022373A" w:rsidRPr="008B436A" w:rsidRDefault="0022373A" w:rsidP="005D3458">
            <w:pPr>
              <w:spacing w:after="120"/>
              <w:jc w:val="center"/>
              <w:rPr>
                <w:b/>
                <w:sz w:val="22"/>
                <w:szCs w:val="22"/>
                <w:lang w:val="en-US"/>
              </w:rPr>
            </w:pPr>
            <w:r w:rsidRPr="008B436A">
              <w:rPr>
                <w:b/>
                <w:sz w:val="22"/>
                <w:szCs w:val="22"/>
                <w:lang w:val="en-US"/>
              </w:rPr>
              <w:t>Transfers</w:t>
            </w:r>
          </w:p>
        </w:tc>
        <w:tc>
          <w:tcPr>
            <w:tcW w:w="855" w:type="pct"/>
            <w:vMerge w:val="restart"/>
            <w:tcBorders>
              <w:top w:val="single" w:sz="6" w:space="0" w:color="auto"/>
              <w:left w:val="single" w:sz="6" w:space="0" w:color="auto"/>
              <w:right w:val="single" w:sz="6" w:space="0" w:color="auto"/>
            </w:tcBorders>
            <w:vAlign w:val="center"/>
          </w:tcPr>
          <w:p w:rsidR="0022373A" w:rsidRPr="008B436A" w:rsidRDefault="00A7356B" w:rsidP="005D3458">
            <w:pPr>
              <w:spacing w:after="120"/>
              <w:jc w:val="center"/>
              <w:rPr>
                <w:b/>
                <w:sz w:val="22"/>
                <w:szCs w:val="22"/>
                <w:lang w:val="en-US"/>
              </w:rPr>
            </w:pPr>
            <w:r>
              <w:rPr>
                <w:b/>
                <w:sz w:val="22"/>
                <w:szCs w:val="22"/>
                <w:lang w:val="en-US"/>
              </w:rPr>
              <w:t xml:space="preserve">End of </w:t>
            </w:r>
            <w:r w:rsidR="0022373A" w:rsidRPr="008B436A">
              <w:rPr>
                <w:b/>
                <w:sz w:val="22"/>
                <w:szCs w:val="22"/>
                <w:lang w:val="en-US"/>
              </w:rPr>
              <w:t>s</w:t>
            </w:r>
            <w:r>
              <w:rPr>
                <w:b/>
                <w:sz w:val="22"/>
                <w:szCs w:val="22"/>
                <w:lang w:val="en-US"/>
              </w:rPr>
              <w:t>ervice</w:t>
            </w:r>
          </w:p>
        </w:tc>
        <w:tc>
          <w:tcPr>
            <w:tcW w:w="855" w:type="pct"/>
            <w:vMerge w:val="restart"/>
            <w:tcBorders>
              <w:top w:val="single" w:sz="6" w:space="0" w:color="auto"/>
              <w:left w:val="single" w:sz="6" w:space="0" w:color="auto"/>
              <w:right w:val="single" w:sz="6" w:space="0" w:color="auto"/>
            </w:tcBorders>
            <w:vAlign w:val="center"/>
          </w:tcPr>
          <w:p w:rsidR="0022373A" w:rsidRPr="008B436A" w:rsidRDefault="0022373A" w:rsidP="00161957">
            <w:pPr>
              <w:spacing w:after="120"/>
              <w:jc w:val="center"/>
              <w:rPr>
                <w:b/>
                <w:sz w:val="22"/>
                <w:szCs w:val="22"/>
                <w:lang w:val="en-US"/>
              </w:rPr>
            </w:pPr>
            <w:r w:rsidRPr="008B436A">
              <w:rPr>
                <w:b/>
                <w:sz w:val="22"/>
                <w:szCs w:val="22"/>
                <w:lang w:val="en-US"/>
              </w:rPr>
              <w:t>Number of participants at 31.12.</w:t>
            </w:r>
            <w:r w:rsidR="00111BDD" w:rsidRPr="008B436A">
              <w:rPr>
                <w:b/>
                <w:sz w:val="22"/>
                <w:szCs w:val="22"/>
                <w:lang w:val="en-US"/>
              </w:rPr>
              <w:t>201</w:t>
            </w:r>
            <w:r w:rsidR="00161957">
              <w:rPr>
                <w:b/>
                <w:sz w:val="22"/>
                <w:szCs w:val="22"/>
                <w:lang w:val="en-US"/>
              </w:rPr>
              <w:t>8</w:t>
            </w:r>
          </w:p>
        </w:tc>
      </w:tr>
      <w:tr w:rsidR="0022373A" w:rsidRPr="008B436A" w:rsidTr="00BE52DF">
        <w:trPr>
          <w:cantSplit/>
          <w:jc w:val="center"/>
        </w:trPr>
        <w:tc>
          <w:tcPr>
            <w:tcW w:w="725" w:type="pct"/>
            <w:vMerge/>
            <w:tcBorders>
              <w:left w:val="single" w:sz="6" w:space="0" w:color="auto"/>
              <w:bottom w:val="single" w:sz="6" w:space="0" w:color="auto"/>
              <w:right w:val="single" w:sz="6" w:space="0" w:color="auto"/>
            </w:tcBorders>
          </w:tcPr>
          <w:p w:rsidR="0022373A" w:rsidRPr="008B436A" w:rsidRDefault="0022373A" w:rsidP="005D3458">
            <w:pPr>
              <w:spacing w:after="120"/>
              <w:jc w:val="center"/>
              <w:rPr>
                <w:b/>
                <w:sz w:val="22"/>
                <w:szCs w:val="22"/>
                <w:lang w:val="en-US"/>
              </w:rPr>
            </w:pPr>
          </w:p>
        </w:tc>
        <w:tc>
          <w:tcPr>
            <w:tcW w:w="855" w:type="pct"/>
            <w:vMerge/>
            <w:tcBorders>
              <w:left w:val="single" w:sz="6" w:space="0" w:color="auto"/>
              <w:bottom w:val="single" w:sz="6" w:space="0" w:color="auto"/>
              <w:right w:val="single" w:sz="6" w:space="0" w:color="auto"/>
            </w:tcBorders>
          </w:tcPr>
          <w:p w:rsidR="0022373A" w:rsidRPr="008B436A" w:rsidRDefault="0022373A" w:rsidP="005D3458">
            <w:pPr>
              <w:spacing w:after="120"/>
              <w:jc w:val="center"/>
              <w:rPr>
                <w:b/>
                <w:sz w:val="22"/>
                <w:szCs w:val="22"/>
                <w:lang w:val="en-US"/>
              </w:rPr>
            </w:pPr>
          </w:p>
        </w:tc>
        <w:tc>
          <w:tcPr>
            <w:tcW w:w="855" w:type="pct"/>
            <w:tcBorders>
              <w:top w:val="single" w:sz="6" w:space="0" w:color="auto"/>
              <w:left w:val="single" w:sz="6" w:space="0" w:color="auto"/>
              <w:bottom w:val="single" w:sz="6" w:space="0" w:color="auto"/>
              <w:right w:val="single" w:sz="6" w:space="0" w:color="auto"/>
            </w:tcBorders>
          </w:tcPr>
          <w:p w:rsidR="0022373A" w:rsidRPr="008B436A" w:rsidRDefault="0022373A" w:rsidP="005D3458">
            <w:pPr>
              <w:spacing w:after="120"/>
              <w:jc w:val="center"/>
              <w:rPr>
                <w:b/>
                <w:sz w:val="22"/>
                <w:szCs w:val="22"/>
                <w:lang w:val="en-US"/>
              </w:rPr>
            </w:pPr>
            <w:r w:rsidRPr="008B436A">
              <w:rPr>
                <w:b/>
                <w:sz w:val="22"/>
                <w:szCs w:val="22"/>
                <w:lang w:val="en-US"/>
              </w:rPr>
              <w:t>to ITU</w:t>
            </w:r>
          </w:p>
        </w:tc>
        <w:tc>
          <w:tcPr>
            <w:tcW w:w="856" w:type="pct"/>
            <w:tcBorders>
              <w:top w:val="single" w:sz="6" w:space="0" w:color="auto"/>
              <w:left w:val="single" w:sz="6" w:space="0" w:color="auto"/>
              <w:bottom w:val="single" w:sz="6" w:space="0" w:color="auto"/>
              <w:right w:val="single" w:sz="6" w:space="0" w:color="auto"/>
            </w:tcBorders>
          </w:tcPr>
          <w:p w:rsidR="0022373A" w:rsidRPr="008B436A" w:rsidRDefault="0022373A" w:rsidP="005D3458">
            <w:pPr>
              <w:spacing w:after="120"/>
              <w:jc w:val="center"/>
              <w:rPr>
                <w:b/>
                <w:sz w:val="22"/>
                <w:szCs w:val="22"/>
                <w:lang w:val="en-US"/>
              </w:rPr>
            </w:pPr>
            <w:r w:rsidRPr="008B436A">
              <w:rPr>
                <w:b/>
                <w:sz w:val="22"/>
                <w:szCs w:val="22"/>
                <w:lang w:val="en-US"/>
              </w:rPr>
              <w:t>to another organization</w:t>
            </w:r>
          </w:p>
        </w:tc>
        <w:tc>
          <w:tcPr>
            <w:tcW w:w="855" w:type="pct"/>
            <w:vMerge/>
            <w:tcBorders>
              <w:left w:val="single" w:sz="6" w:space="0" w:color="auto"/>
              <w:bottom w:val="single" w:sz="6" w:space="0" w:color="auto"/>
              <w:right w:val="single" w:sz="6" w:space="0" w:color="auto"/>
            </w:tcBorders>
          </w:tcPr>
          <w:p w:rsidR="0022373A" w:rsidRPr="008B436A" w:rsidRDefault="0022373A" w:rsidP="005D3458">
            <w:pPr>
              <w:spacing w:after="120"/>
              <w:jc w:val="center"/>
              <w:rPr>
                <w:b/>
                <w:sz w:val="22"/>
                <w:szCs w:val="22"/>
                <w:lang w:val="en-US"/>
              </w:rPr>
            </w:pPr>
          </w:p>
        </w:tc>
        <w:tc>
          <w:tcPr>
            <w:tcW w:w="855" w:type="pct"/>
            <w:vMerge/>
            <w:tcBorders>
              <w:left w:val="single" w:sz="6" w:space="0" w:color="auto"/>
              <w:bottom w:val="single" w:sz="6" w:space="0" w:color="auto"/>
              <w:right w:val="single" w:sz="6" w:space="0" w:color="auto"/>
            </w:tcBorders>
          </w:tcPr>
          <w:p w:rsidR="0022373A" w:rsidRPr="008B436A" w:rsidRDefault="0022373A" w:rsidP="005D3458">
            <w:pPr>
              <w:spacing w:after="120"/>
              <w:jc w:val="center"/>
              <w:rPr>
                <w:b/>
                <w:sz w:val="22"/>
                <w:szCs w:val="22"/>
                <w:lang w:val="en-US"/>
              </w:rPr>
            </w:pPr>
          </w:p>
        </w:tc>
      </w:tr>
      <w:tr w:rsidR="00B202DD" w:rsidRPr="008B436A" w:rsidTr="00BE52DF">
        <w:trPr>
          <w:cantSplit/>
          <w:jc w:val="center"/>
        </w:trPr>
        <w:tc>
          <w:tcPr>
            <w:tcW w:w="725" w:type="pct"/>
            <w:tcBorders>
              <w:top w:val="single" w:sz="6" w:space="0" w:color="auto"/>
              <w:left w:val="single" w:sz="6" w:space="0" w:color="auto"/>
              <w:bottom w:val="single" w:sz="6" w:space="0" w:color="auto"/>
              <w:right w:val="single" w:sz="6" w:space="0" w:color="auto"/>
            </w:tcBorders>
            <w:vAlign w:val="center"/>
          </w:tcPr>
          <w:p w:rsidR="00B202DD" w:rsidRPr="008B436A" w:rsidRDefault="00161957" w:rsidP="00161957">
            <w:pPr>
              <w:pStyle w:val="TableText0"/>
              <w:jc w:val="center"/>
              <w:rPr>
                <w:rFonts w:ascii="Calibri" w:hAnsi="Calibri"/>
                <w:szCs w:val="22"/>
                <w:lang w:val="en-US"/>
              </w:rPr>
            </w:pPr>
            <w:r>
              <w:rPr>
                <w:rFonts w:ascii="Calibri" w:hAnsi="Calibri"/>
                <w:szCs w:val="22"/>
                <w:lang w:val="en-US"/>
              </w:rPr>
              <w:t>688</w:t>
            </w:r>
          </w:p>
        </w:tc>
        <w:tc>
          <w:tcPr>
            <w:tcW w:w="855" w:type="pct"/>
            <w:tcBorders>
              <w:top w:val="single" w:sz="6" w:space="0" w:color="auto"/>
              <w:left w:val="single" w:sz="6" w:space="0" w:color="auto"/>
              <w:bottom w:val="single" w:sz="6" w:space="0" w:color="auto"/>
              <w:right w:val="single" w:sz="6" w:space="0" w:color="auto"/>
            </w:tcBorders>
            <w:vAlign w:val="center"/>
          </w:tcPr>
          <w:p w:rsidR="00B202DD" w:rsidRPr="008B436A" w:rsidRDefault="00505853" w:rsidP="00A7356B">
            <w:pPr>
              <w:pStyle w:val="TableText0"/>
              <w:jc w:val="center"/>
              <w:rPr>
                <w:rFonts w:ascii="Calibri" w:hAnsi="Calibri"/>
                <w:szCs w:val="22"/>
                <w:lang w:val="en-US"/>
              </w:rPr>
            </w:pPr>
            <w:r>
              <w:rPr>
                <w:rFonts w:ascii="Calibri" w:hAnsi="Calibri"/>
                <w:szCs w:val="22"/>
                <w:lang w:val="en-US"/>
              </w:rPr>
              <w:t>3</w:t>
            </w:r>
            <w:r w:rsidR="00A7356B">
              <w:rPr>
                <w:rFonts w:ascii="Calibri" w:hAnsi="Calibri"/>
                <w:szCs w:val="22"/>
                <w:lang w:val="en-US"/>
              </w:rPr>
              <w:t>7</w:t>
            </w:r>
          </w:p>
        </w:tc>
        <w:tc>
          <w:tcPr>
            <w:tcW w:w="855" w:type="pct"/>
            <w:tcBorders>
              <w:top w:val="single" w:sz="6" w:space="0" w:color="auto"/>
              <w:left w:val="single" w:sz="6" w:space="0" w:color="auto"/>
              <w:bottom w:val="single" w:sz="6" w:space="0" w:color="auto"/>
              <w:right w:val="single" w:sz="6" w:space="0" w:color="auto"/>
            </w:tcBorders>
            <w:vAlign w:val="center"/>
          </w:tcPr>
          <w:p w:rsidR="00B202DD" w:rsidRPr="008B436A" w:rsidRDefault="00A7356B" w:rsidP="00A7356B">
            <w:pPr>
              <w:pStyle w:val="TableText0"/>
              <w:jc w:val="center"/>
              <w:rPr>
                <w:rFonts w:ascii="Calibri" w:hAnsi="Calibri"/>
                <w:szCs w:val="22"/>
                <w:lang w:val="en-US"/>
              </w:rPr>
            </w:pPr>
            <w:r>
              <w:rPr>
                <w:rFonts w:ascii="Calibri" w:hAnsi="Calibri"/>
                <w:szCs w:val="22"/>
                <w:lang w:val="en-US"/>
              </w:rPr>
              <w:t>6</w:t>
            </w:r>
          </w:p>
        </w:tc>
        <w:tc>
          <w:tcPr>
            <w:tcW w:w="856" w:type="pct"/>
            <w:tcBorders>
              <w:top w:val="single" w:sz="6" w:space="0" w:color="auto"/>
              <w:left w:val="single" w:sz="6" w:space="0" w:color="auto"/>
              <w:bottom w:val="single" w:sz="6" w:space="0" w:color="auto"/>
              <w:right w:val="single" w:sz="6" w:space="0" w:color="auto"/>
            </w:tcBorders>
            <w:vAlign w:val="center"/>
          </w:tcPr>
          <w:p w:rsidR="00B202DD" w:rsidRPr="008B436A" w:rsidRDefault="00161957" w:rsidP="00505853">
            <w:pPr>
              <w:pStyle w:val="TableText0"/>
              <w:jc w:val="center"/>
              <w:rPr>
                <w:rFonts w:ascii="Calibri" w:hAnsi="Calibri"/>
                <w:szCs w:val="22"/>
                <w:lang w:val="en-US"/>
              </w:rPr>
            </w:pPr>
            <w:r>
              <w:rPr>
                <w:rFonts w:ascii="Calibri" w:hAnsi="Calibri"/>
                <w:szCs w:val="22"/>
                <w:lang w:val="en-US"/>
              </w:rPr>
              <w:t>1</w:t>
            </w:r>
          </w:p>
        </w:tc>
        <w:tc>
          <w:tcPr>
            <w:tcW w:w="855" w:type="pct"/>
            <w:tcBorders>
              <w:top w:val="single" w:sz="6" w:space="0" w:color="auto"/>
              <w:left w:val="single" w:sz="6" w:space="0" w:color="auto"/>
              <w:bottom w:val="single" w:sz="6" w:space="0" w:color="auto"/>
              <w:right w:val="single" w:sz="6" w:space="0" w:color="auto"/>
            </w:tcBorders>
            <w:vAlign w:val="center"/>
          </w:tcPr>
          <w:p w:rsidR="00B202DD" w:rsidRPr="008B436A" w:rsidRDefault="00A7356B" w:rsidP="00A7356B">
            <w:pPr>
              <w:pStyle w:val="TableText0"/>
              <w:jc w:val="center"/>
              <w:rPr>
                <w:rFonts w:ascii="Calibri" w:hAnsi="Calibri"/>
                <w:szCs w:val="22"/>
                <w:lang w:val="en-US"/>
              </w:rPr>
            </w:pPr>
            <w:r>
              <w:rPr>
                <w:rFonts w:ascii="Calibri" w:hAnsi="Calibri"/>
                <w:szCs w:val="22"/>
                <w:lang w:val="en-US"/>
              </w:rPr>
              <w:t>35</w:t>
            </w:r>
          </w:p>
        </w:tc>
        <w:tc>
          <w:tcPr>
            <w:tcW w:w="855" w:type="pct"/>
            <w:tcBorders>
              <w:top w:val="single" w:sz="6" w:space="0" w:color="auto"/>
              <w:left w:val="single" w:sz="6" w:space="0" w:color="auto"/>
              <w:bottom w:val="single" w:sz="6" w:space="0" w:color="auto"/>
              <w:right w:val="single" w:sz="6" w:space="0" w:color="auto"/>
            </w:tcBorders>
            <w:vAlign w:val="center"/>
          </w:tcPr>
          <w:p w:rsidR="00B202DD" w:rsidRPr="008B436A" w:rsidRDefault="00161957" w:rsidP="003B2C52">
            <w:pPr>
              <w:pStyle w:val="TableText0"/>
              <w:jc w:val="center"/>
              <w:rPr>
                <w:rFonts w:ascii="Calibri" w:hAnsi="Calibri"/>
                <w:szCs w:val="22"/>
                <w:lang w:val="en-US"/>
              </w:rPr>
            </w:pPr>
            <w:r>
              <w:rPr>
                <w:rFonts w:ascii="Calibri" w:hAnsi="Calibri"/>
                <w:szCs w:val="22"/>
                <w:lang w:val="en-US"/>
              </w:rPr>
              <w:t>695</w:t>
            </w:r>
          </w:p>
        </w:tc>
      </w:tr>
    </w:tbl>
    <w:p w:rsidR="0022373A" w:rsidRPr="008B436A" w:rsidRDefault="0022373A" w:rsidP="00E10953">
      <w:pPr>
        <w:keepNext/>
        <w:tabs>
          <w:tab w:val="left" w:pos="794"/>
          <w:tab w:val="left" w:pos="1191"/>
          <w:tab w:val="left" w:pos="1588"/>
          <w:tab w:val="left" w:pos="1985"/>
        </w:tabs>
        <w:ind w:left="720"/>
        <w:jc w:val="center"/>
        <w:outlineLvl w:val="0"/>
        <w:rPr>
          <w:b/>
          <w:sz w:val="22"/>
          <w:szCs w:val="22"/>
          <w:lang w:val="en-US"/>
        </w:rPr>
      </w:pPr>
      <w:bookmarkStart w:id="101" w:name="_Toc305764099"/>
      <w:r w:rsidRPr="00F63C41">
        <w:rPr>
          <w:b/>
          <w:sz w:val="22"/>
          <w:szCs w:val="22"/>
          <w:lang w:val="en-US"/>
        </w:rPr>
        <w:t xml:space="preserve">Number of benefits paid during the financial year ending 31 December </w:t>
      </w:r>
      <w:bookmarkEnd w:id="101"/>
      <w:r w:rsidR="00111BDD" w:rsidRPr="00F63C41">
        <w:rPr>
          <w:b/>
          <w:sz w:val="22"/>
          <w:szCs w:val="22"/>
          <w:lang w:val="en-US"/>
        </w:rPr>
        <w:t>201</w:t>
      </w:r>
      <w:r w:rsidR="00E10953">
        <w:rPr>
          <w:b/>
          <w:sz w:val="22"/>
          <w:szCs w:val="22"/>
          <w:lang w:val="en-US"/>
        </w:rPr>
        <w:t>8</w:t>
      </w:r>
    </w:p>
    <w:tbl>
      <w:tblPr>
        <w:tblW w:w="4909" w:type="pct"/>
        <w:jc w:val="center"/>
        <w:tblCellMar>
          <w:left w:w="79" w:type="dxa"/>
          <w:right w:w="79" w:type="dxa"/>
        </w:tblCellMar>
        <w:tblLook w:val="0000" w:firstRow="0" w:lastRow="0" w:firstColumn="0" w:lastColumn="0" w:noHBand="0" w:noVBand="0"/>
      </w:tblPr>
      <w:tblGrid>
        <w:gridCol w:w="1215"/>
        <w:gridCol w:w="1396"/>
        <w:gridCol w:w="1396"/>
        <w:gridCol w:w="1394"/>
        <w:gridCol w:w="1394"/>
        <w:gridCol w:w="1308"/>
        <w:gridCol w:w="15"/>
        <w:gridCol w:w="1469"/>
      </w:tblGrid>
      <w:tr w:rsidR="00B354AF" w:rsidRPr="008B436A" w:rsidTr="00B354AF">
        <w:trPr>
          <w:cantSplit/>
          <w:trHeight w:val="397"/>
          <w:jc w:val="center"/>
        </w:trPr>
        <w:tc>
          <w:tcPr>
            <w:tcW w:w="633" w:type="pct"/>
            <w:vMerge w:val="restart"/>
            <w:tcBorders>
              <w:top w:val="single" w:sz="6" w:space="0" w:color="auto"/>
              <w:left w:val="single" w:sz="6" w:space="0" w:color="auto"/>
              <w:right w:val="single" w:sz="6" w:space="0" w:color="auto"/>
            </w:tcBorders>
            <w:vAlign w:val="center"/>
          </w:tcPr>
          <w:p w:rsidR="00B354AF" w:rsidRPr="008B436A" w:rsidRDefault="00B354AF" w:rsidP="005D3458">
            <w:pPr>
              <w:pStyle w:val="TableHead0"/>
              <w:spacing w:before="0"/>
              <w:rPr>
                <w:rFonts w:ascii="Calibri" w:hAnsi="Calibri"/>
                <w:bCs/>
                <w:szCs w:val="22"/>
                <w:lang w:val="en-US"/>
              </w:rPr>
            </w:pPr>
            <w:r w:rsidRPr="008B436A">
              <w:rPr>
                <w:rFonts w:ascii="Calibri" w:hAnsi="Calibri"/>
                <w:bCs/>
                <w:szCs w:val="22"/>
                <w:lang w:val="en-US"/>
              </w:rPr>
              <w:t xml:space="preserve">Retirement benefits </w:t>
            </w:r>
          </w:p>
        </w:tc>
        <w:tc>
          <w:tcPr>
            <w:tcW w:w="728" w:type="pct"/>
            <w:vMerge w:val="restart"/>
            <w:tcBorders>
              <w:top w:val="single" w:sz="6" w:space="0" w:color="auto"/>
              <w:left w:val="single" w:sz="6" w:space="0" w:color="auto"/>
              <w:right w:val="single" w:sz="6" w:space="0" w:color="auto"/>
            </w:tcBorders>
            <w:vAlign w:val="center"/>
          </w:tcPr>
          <w:p w:rsidR="00B354AF" w:rsidRPr="008B436A" w:rsidRDefault="00B354AF" w:rsidP="005D3458">
            <w:pPr>
              <w:pStyle w:val="TableHead0"/>
              <w:spacing w:before="0"/>
              <w:rPr>
                <w:rFonts w:ascii="Calibri" w:hAnsi="Calibri"/>
                <w:bCs/>
                <w:szCs w:val="22"/>
                <w:lang w:val="en-US"/>
              </w:rPr>
            </w:pPr>
            <w:r w:rsidRPr="008B436A">
              <w:rPr>
                <w:rFonts w:ascii="Calibri" w:hAnsi="Calibri"/>
                <w:bCs/>
                <w:szCs w:val="22"/>
                <w:lang w:val="en-US"/>
              </w:rPr>
              <w:t xml:space="preserve">Disability benefits </w:t>
            </w:r>
          </w:p>
        </w:tc>
        <w:tc>
          <w:tcPr>
            <w:tcW w:w="728" w:type="pct"/>
            <w:vMerge w:val="restart"/>
            <w:tcBorders>
              <w:top w:val="single" w:sz="6" w:space="0" w:color="auto"/>
              <w:left w:val="single" w:sz="6" w:space="0" w:color="auto"/>
              <w:right w:val="single" w:sz="6" w:space="0" w:color="auto"/>
            </w:tcBorders>
            <w:vAlign w:val="center"/>
          </w:tcPr>
          <w:p w:rsidR="00B354AF" w:rsidRPr="008B436A" w:rsidRDefault="00B354AF" w:rsidP="005D3458">
            <w:pPr>
              <w:pStyle w:val="TableHead0"/>
              <w:spacing w:before="0"/>
              <w:rPr>
                <w:rFonts w:ascii="Calibri" w:hAnsi="Calibri"/>
                <w:bCs/>
                <w:szCs w:val="22"/>
                <w:lang w:val="en-US"/>
              </w:rPr>
            </w:pPr>
            <w:r w:rsidRPr="008B436A">
              <w:rPr>
                <w:rFonts w:ascii="Calibri" w:hAnsi="Calibri"/>
                <w:bCs/>
                <w:szCs w:val="22"/>
                <w:lang w:val="en-US"/>
              </w:rPr>
              <w:t xml:space="preserve">Survivor’s benefits </w:t>
            </w:r>
          </w:p>
        </w:tc>
        <w:tc>
          <w:tcPr>
            <w:tcW w:w="727" w:type="pct"/>
            <w:vMerge w:val="restart"/>
            <w:tcBorders>
              <w:top w:val="single" w:sz="6" w:space="0" w:color="auto"/>
              <w:left w:val="single" w:sz="6" w:space="0" w:color="auto"/>
              <w:right w:val="single" w:sz="6" w:space="0" w:color="auto"/>
            </w:tcBorders>
            <w:vAlign w:val="center"/>
          </w:tcPr>
          <w:p w:rsidR="00B354AF" w:rsidRPr="008B436A" w:rsidRDefault="00B354AF" w:rsidP="005D3458">
            <w:pPr>
              <w:pStyle w:val="TableHead0"/>
              <w:spacing w:before="0"/>
              <w:rPr>
                <w:rFonts w:ascii="Calibri" w:hAnsi="Calibri"/>
                <w:bCs/>
                <w:szCs w:val="22"/>
                <w:lang w:val="en-US"/>
              </w:rPr>
            </w:pPr>
            <w:r w:rsidRPr="008B436A">
              <w:rPr>
                <w:rFonts w:ascii="Calibri" w:hAnsi="Calibri"/>
                <w:bCs/>
                <w:szCs w:val="22"/>
                <w:lang w:val="en-US"/>
              </w:rPr>
              <w:t>Child’s benefits</w:t>
            </w:r>
          </w:p>
        </w:tc>
        <w:tc>
          <w:tcPr>
            <w:tcW w:w="727" w:type="pct"/>
            <w:vMerge w:val="restart"/>
            <w:tcBorders>
              <w:top w:val="single" w:sz="6" w:space="0" w:color="auto"/>
              <w:left w:val="single" w:sz="6" w:space="0" w:color="auto"/>
              <w:right w:val="single" w:sz="6" w:space="0" w:color="auto"/>
            </w:tcBorders>
            <w:vAlign w:val="center"/>
          </w:tcPr>
          <w:p w:rsidR="00B354AF" w:rsidRPr="008B436A" w:rsidRDefault="00B354AF" w:rsidP="005D3458">
            <w:pPr>
              <w:pStyle w:val="TableHead0"/>
              <w:spacing w:before="0"/>
              <w:rPr>
                <w:rFonts w:ascii="Calibri" w:hAnsi="Calibri"/>
                <w:bCs/>
                <w:szCs w:val="22"/>
                <w:lang w:val="en-US"/>
              </w:rPr>
            </w:pPr>
            <w:r w:rsidRPr="008B436A">
              <w:rPr>
                <w:rFonts w:ascii="Calibri" w:hAnsi="Calibri"/>
                <w:bCs/>
                <w:szCs w:val="22"/>
                <w:lang w:val="en-US"/>
              </w:rPr>
              <w:t>Other benefits</w:t>
            </w:r>
          </w:p>
        </w:tc>
        <w:tc>
          <w:tcPr>
            <w:tcW w:w="682" w:type="pct"/>
            <w:tcBorders>
              <w:top w:val="single" w:sz="6" w:space="0" w:color="auto"/>
              <w:left w:val="single" w:sz="6" w:space="0" w:color="auto"/>
              <w:bottom w:val="single" w:sz="6" w:space="0" w:color="auto"/>
              <w:right w:val="single" w:sz="6" w:space="0" w:color="auto"/>
            </w:tcBorders>
            <w:vAlign w:val="center"/>
          </w:tcPr>
          <w:p w:rsidR="00B354AF" w:rsidRPr="008B436A" w:rsidRDefault="00B354AF" w:rsidP="005D3458">
            <w:pPr>
              <w:pStyle w:val="TableHead0"/>
              <w:spacing w:before="0"/>
              <w:rPr>
                <w:rFonts w:ascii="Calibri" w:hAnsi="Calibri"/>
                <w:bCs/>
                <w:szCs w:val="22"/>
                <w:lang w:val="en-US"/>
              </w:rPr>
            </w:pPr>
          </w:p>
        </w:tc>
        <w:tc>
          <w:tcPr>
            <w:tcW w:w="774" w:type="pct"/>
            <w:gridSpan w:val="2"/>
            <w:tcBorders>
              <w:top w:val="single" w:sz="6" w:space="0" w:color="auto"/>
              <w:left w:val="single" w:sz="6" w:space="0" w:color="auto"/>
              <w:bottom w:val="single" w:sz="6" w:space="0" w:color="auto"/>
              <w:right w:val="single" w:sz="6" w:space="0" w:color="auto"/>
            </w:tcBorders>
            <w:vAlign w:val="center"/>
          </w:tcPr>
          <w:p w:rsidR="00B354AF" w:rsidRPr="008B436A" w:rsidRDefault="00B354AF" w:rsidP="005D3458">
            <w:pPr>
              <w:pStyle w:val="TableHead0"/>
              <w:spacing w:before="0"/>
              <w:rPr>
                <w:rFonts w:ascii="Calibri" w:hAnsi="Calibri"/>
                <w:bCs/>
                <w:szCs w:val="22"/>
                <w:lang w:val="en-US"/>
              </w:rPr>
            </w:pPr>
          </w:p>
        </w:tc>
      </w:tr>
      <w:tr w:rsidR="0022373A" w:rsidRPr="008B436A" w:rsidTr="00B354AF">
        <w:trPr>
          <w:cantSplit/>
          <w:trHeight w:val="397"/>
          <w:jc w:val="center"/>
        </w:trPr>
        <w:tc>
          <w:tcPr>
            <w:tcW w:w="633" w:type="pct"/>
            <w:vMerge/>
            <w:tcBorders>
              <w:left w:val="single" w:sz="6" w:space="0" w:color="auto"/>
              <w:bottom w:val="single" w:sz="6" w:space="0" w:color="auto"/>
              <w:right w:val="single" w:sz="6" w:space="0" w:color="auto"/>
            </w:tcBorders>
            <w:vAlign w:val="center"/>
          </w:tcPr>
          <w:p w:rsidR="0022373A" w:rsidRPr="008B436A" w:rsidRDefault="0022373A" w:rsidP="005D3458">
            <w:pPr>
              <w:pStyle w:val="TableHead0"/>
              <w:spacing w:before="0"/>
              <w:rPr>
                <w:rFonts w:ascii="Calibri" w:hAnsi="Calibri"/>
                <w:bCs/>
                <w:szCs w:val="22"/>
                <w:lang w:val="en-US"/>
              </w:rPr>
            </w:pPr>
          </w:p>
        </w:tc>
        <w:tc>
          <w:tcPr>
            <w:tcW w:w="728" w:type="pct"/>
            <w:vMerge/>
            <w:tcBorders>
              <w:left w:val="single" w:sz="6" w:space="0" w:color="auto"/>
              <w:bottom w:val="single" w:sz="6" w:space="0" w:color="auto"/>
              <w:right w:val="single" w:sz="6" w:space="0" w:color="auto"/>
            </w:tcBorders>
            <w:vAlign w:val="center"/>
          </w:tcPr>
          <w:p w:rsidR="0022373A" w:rsidRPr="008B436A" w:rsidRDefault="0022373A" w:rsidP="005D3458">
            <w:pPr>
              <w:pStyle w:val="TableHead0"/>
              <w:spacing w:before="0"/>
              <w:rPr>
                <w:rFonts w:ascii="Calibri" w:hAnsi="Calibri"/>
                <w:bCs/>
                <w:szCs w:val="22"/>
                <w:lang w:val="en-US"/>
              </w:rPr>
            </w:pPr>
          </w:p>
        </w:tc>
        <w:tc>
          <w:tcPr>
            <w:tcW w:w="728" w:type="pct"/>
            <w:vMerge/>
            <w:tcBorders>
              <w:left w:val="single" w:sz="6" w:space="0" w:color="auto"/>
              <w:bottom w:val="single" w:sz="6" w:space="0" w:color="auto"/>
              <w:right w:val="single" w:sz="6" w:space="0" w:color="auto"/>
            </w:tcBorders>
            <w:vAlign w:val="center"/>
          </w:tcPr>
          <w:p w:rsidR="0022373A" w:rsidRPr="008B436A" w:rsidRDefault="0022373A" w:rsidP="005D3458">
            <w:pPr>
              <w:pStyle w:val="TableHead0"/>
              <w:spacing w:before="0"/>
              <w:rPr>
                <w:rFonts w:ascii="Calibri" w:hAnsi="Calibri"/>
                <w:bCs/>
                <w:szCs w:val="22"/>
                <w:lang w:val="en-US"/>
              </w:rPr>
            </w:pPr>
          </w:p>
        </w:tc>
        <w:tc>
          <w:tcPr>
            <w:tcW w:w="727" w:type="pct"/>
            <w:vMerge/>
            <w:tcBorders>
              <w:left w:val="single" w:sz="6" w:space="0" w:color="auto"/>
              <w:bottom w:val="single" w:sz="6" w:space="0" w:color="auto"/>
              <w:right w:val="single" w:sz="6" w:space="0" w:color="auto"/>
            </w:tcBorders>
            <w:vAlign w:val="center"/>
          </w:tcPr>
          <w:p w:rsidR="0022373A" w:rsidRPr="008B436A" w:rsidRDefault="0022373A" w:rsidP="005D3458">
            <w:pPr>
              <w:pStyle w:val="TableHead0"/>
              <w:spacing w:before="0"/>
              <w:rPr>
                <w:rFonts w:ascii="Calibri" w:hAnsi="Calibri"/>
                <w:bCs/>
                <w:szCs w:val="22"/>
                <w:lang w:val="en-US"/>
              </w:rPr>
            </w:pPr>
          </w:p>
        </w:tc>
        <w:tc>
          <w:tcPr>
            <w:tcW w:w="727" w:type="pct"/>
            <w:vMerge/>
            <w:tcBorders>
              <w:left w:val="single" w:sz="6" w:space="0" w:color="auto"/>
              <w:bottom w:val="single" w:sz="6" w:space="0" w:color="auto"/>
              <w:right w:val="single" w:sz="6" w:space="0" w:color="auto"/>
            </w:tcBorders>
            <w:vAlign w:val="center"/>
          </w:tcPr>
          <w:p w:rsidR="0022373A" w:rsidRPr="008B436A" w:rsidRDefault="0022373A" w:rsidP="005D3458">
            <w:pPr>
              <w:pStyle w:val="TableHead0"/>
              <w:spacing w:before="0"/>
              <w:rPr>
                <w:rFonts w:ascii="Calibri" w:hAnsi="Calibri"/>
                <w:bCs/>
                <w:szCs w:val="22"/>
                <w:lang w:val="en-US"/>
              </w:rPr>
            </w:pPr>
          </w:p>
        </w:tc>
        <w:tc>
          <w:tcPr>
            <w:tcW w:w="690" w:type="pct"/>
            <w:gridSpan w:val="2"/>
            <w:tcBorders>
              <w:top w:val="single" w:sz="6" w:space="0" w:color="auto"/>
              <w:left w:val="single" w:sz="6" w:space="0" w:color="auto"/>
              <w:bottom w:val="single" w:sz="6" w:space="0" w:color="auto"/>
              <w:right w:val="single" w:sz="6" w:space="0" w:color="auto"/>
            </w:tcBorders>
            <w:vAlign w:val="center"/>
          </w:tcPr>
          <w:p w:rsidR="0022373A" w:rsidRPr="008B436A" w:rsidRDefault="0022373A" w:rsidP="005D3458">
            <w:pPr>
              <w:pStyle w:val="TableHead0"/>
              <w:spacing w:before="0"/>
              <w:rPr>
                <w:rFonts w:ascii="Calibri" w:hAnsi="Calibri"/>
                <w:bCs/>
                <w:szCs w:val="22"/>
                <w:lang w:val="en-US"/>
              </w:rPr>
            </w:pPr>
            <w:r w:rsidRPr="008B436A">
              <w:rPr>
                <w:rFonts w:ascii="Calibri" w:hAnsi="Calibri"/>
                <w:bCs/>
                <w:szCs w:val="22"/>
                <w:lang w:val="en-US"/>
              </w:rPr>
              <w:t>Deferred life annuities</w:t>
            </w:r>
          </w:p>
        </w:tc>
        <w:tc>
          <w:tcPr>
            <w:tcW w:w="766" w:type="pct"/>
            <w:tcBorders>
              <w:top w:val="single" w:sz="6" w:space="0" w:color="auto"/>
              <w:left w:val="single" w:sz="6" w:space="0" w:color="auto"/>
              <w:bottom w:val="single" w:sz="6" w:space="0" w:color="auto"/>
              <w:right w:val="single" w:sz="6" w:space="0" w:color="auto"/>
            </w:tcBorders>
            <w:vAlign w:val="center"/>
          </w:tcPr>
          <w:p w:rsidR="0022373A" w:rsidRPr="008B436A" w:rsidRDefault="0022373A" w:rsidP="005D3458">
            <w:pPr>
              <w:pStyle w:val="TableHead0"/>
              <w:spacing w:before="0"/>
              <w:rPr>
                <w:rFonts w:ascii="Calibri" w:hAnsi="Calibri"/>
                <w:bCs/>
                <w:szCs w:val="22"/>
                <w:lang w:val="en-US"/>
              </w:rPr>
            </w:pPr>
            <w:r w:rsidRPr="008B436A">
              <w:rPr>
                <w:rFonts w:ascii="Calibri" w:hAnsi="Calibri"/>
                <w:bCs/>
                <w:szCs w:val="22"/>
                <w:lang w:val="en-US"/>
              </w:rPr>
              <w:t>TOTAL</w:t>
            </w:r>
          </w:p>
        </w:tc>
      </w:tr>
      <w:tr w:rsidR="000F59E0" w:rsidRPr="008B436A" w:rsidTr="00B354AF">
        <w:trPr>
          <w:cantSplit/>
          <w:trHeight w:val="397"/>
          <w:jc w:val="center"/>
        </w:trPr>
        <w:tc>
          <w:tcPr>
            <w:tcW w:w="633" w:type="pct"/>
            <w:tcBorders>
              <w:top w:val="single" w:sz="6" w:space="0" w:color="auto"/>
              <w:left w:val="single" w:sz="6" w:space="0" w:color="auto"/>
              <w:bottom w:val="single" w:sz="6" w:space="0" w:color="auto"/>
              <w:right w:val="single" w:sz="6" w:space="0" w:color="auto"/>
            </w:tcBorders>
            <w:vAlign w:val="center"/>
          </w:tcPr>
          <w:p w:rsidR="000F59E0" w:rsidRPr="008B436A" w:rsidRDefault="008B436A" w:rsidP="00161957">
            <w:pPr>
              <w:pStyle w:val="TableText0"/>
              <w:jc w:val="center"/>
              <w:rPr>
                <w:rFonts w:ascii="Calibri" w:hAnsi="Calibri"/>
                <w:szCs w:val="22"/>
                <w:lang w:val="en-US"/>
              </w:rPr>
            </w:pPr>
            <w:r w:rsidRPr="008B436A">
              <w:rPr>
                <w:rFonts w:ascii="Calibri" w:hAnsi="Calibri"/>
                <w:szCs w:val="22"/>
                <w:lang w:val="en-US"/>
              </w:rPr>
              <w:t>8</w:t>
            </w:r>
            <w:r w:rsidR="00161957">
              <w:rPr>
                <w:rFonts w:ascii="Calibri" w:hAnsi="Calibri"/>
                <w:szCs w:val="22"/>
                <w:lang w:val="en-US"/>
              </w:rPr>
              <w:t>25</w:t>
            </w:r>
          </w:p>
        </w:tc>
        <w:tc>
          <w:tcPr>
            <w:tcW w:w="728" w:type="pct"/>
            <w:tcBorders>
              <w:top w:val="single" w:sz="6" w:space="0" w:color="auto"/>
              <w:left w:val="single" w:sz="6" w:space="0" w:color="auto"/>
              <w:bottom w:val="single" w:sz="6" w:space="0" w:color="auto"/>
              <w:right w:val="single" w:sz="6" w:space="0" w:color="auto"/>
            </w:tcBorders>
            <w:vAlign w:val="center"/>
          </w:tcPr>
          <w:p w:rsidR="000F59E0" w:rsidRPr="008B436A" w:rsidRDefault="00161957" w:rsidP="007F57F4">
            <w:pPr>
              <w:pStyle w:val="TableText0"/>
              <w:jc w:val="center"/>
              <w:rPr>
                <w:rFonts w:ascii="Calibri" w:hAnsi="Calibri"/>
                <w:szCs w:val="22"/>
                <w:lang w:val="en-US"/>
              </w:rPr>
            </w:pPr>
            <w:r>
              <w:rPr>
                <w:rFonts w:ascii="Calibri" w:hAnsi="Calibri"/>
                <w:szCs w:val="22"/>
                <w:lang w:val="en-US"/>
              </w:rPr>
              <w:t>3</w:t>
            </w:r>
            <w:r w:rsidR="007F57F4">
              <w:rPr>
                <w:rFonts w:ascii="Calibri" w:hAnsi="Calibri"/>
                <w:szCs w:val="22"/>
                <w:lang w:val="en-US"/>
              </w:rPr>
              <w:t>2</w:t>
            </w:r>
          </w:p>
        </w:tc>
        <w:tc>
          <w:tcPr>
            <w:tcW w:w="728" w:type="pct"/>
            <w:tcBorders>
              <w:top w:val="single" w:sz="6" w:space="0" w:color="auto"/>
              <w:left w:val="single" w:sz="6" w:space="0" w:color="auto"/>
              <w:bottom w:val="single" w:sz="6" w:space="0" w:color="auto"/>
              <w:right w:val="single" w:sz="6" w:space="0" w:color="auto"/>
            </w:tcBorders>
            <w:vAlign w:val="center"/>
          </w:tcPr>
          <w:p w:rsidR="000F59E0" w:rsidRPr="008B436A" w:rsidRDefault="00297C74" w:rsidP="00161957">
            <w:pPr>
              <w:pStyle w:val="TableText0"/>
              <w:jc w:val="center"/>
              <w:rPr>
                <w:rFonts w:ascii="Calibri" w:hAnsi="Calibri"/>
                <w:szCs w:val="22"/>
                <w:lang w:val="en-US"/>
              </w:rPr>
            </w:pPr>
            <w:r>
              <w:rPr>
                <w:rFonts w:ascii="Calibri" w:hAnsi="Calibri"/>
                <w:szCs w:val="22"/>
                <w:lang w:val="en-US"/>
              </w:rPr>
              <w:t>20</w:t>
            </w:r>
            <w:r w:rsidR="00161957">
              <w:rPr>
                <w:rFonts w:ascii="Calibri" w:hAnsi="Calibri"/>
                <w:szCs w:val="22"/>
                <w:lang w:val="en-US"/>
              </w:rPr>
              <w:t>6</w:t>
            </w:r>
          </w:p>
        </w:tc>
        <w:tc>
          <w:tcPr>
            <w:tcW w:w="727" w:type="pct"/>
            <w:tcBorders>
              <w:top w:val="single" w:sz="6" w:space="0" w:color="auto"/>
              <w:left w:val="single" w:sz="6" w:space="0" w:color="auto"/>
              <w:bottom w:val="single" w:sz="6" w:space="0" w:color="auto"/>
              <w:right w:val="single" w:sz="6" w:space="0" w:color="auto"/>
            </w:tcBorders>
            <w:vAlign w:val="center"/>
          </w:tcPr>
          <w:p w:rsidR="000F59E0" w:rsidRPr="008B436A" w:rsidRDefault="00297C74" w:rsidP="00161957">
            <w:pPr>
              <w:pStyle w:val="TableText0"/>
              <w:jc w:val="center"/>
              <w:rPr>
                <w:rFonts w:ascii="Calibri" w:hAnsi="Calibri"/>
                <w:szCs w:val="22"/>
                <w:lang w:val="en-US"/>
              </w:rPr>
            </w:pPr>
            <w:r>
              <w:rPr>
                <w:rFonts w:ascii="Calibri" w:hAnsi="Calibri"/>
                <w:szCs w:val="22"/>
                <w:lang w:val="en-US"/>
              </w:rPr>
              <w:t>7</w:t>
            </w:r>
            <w:r w:rsidR="00161957">
              <w:rPr>
                <w:rFonts w:ascii="Calibri" w:hAnsi="Calibri"/>
                <w:szCs w:val="22"/>
                <w:lang w:val="en-US"/>
              </w:rPr>
              <w:t>6</w:t>
            </w:r>
          </w:p>
        </w:tc>
        <w:tc>
          <w:tcPr>
            <w:tcW w:w="727" w:type="pct"/>
            <w:tcBorders>
              <w:top w:val="single" w:sz="6" w:space="0" w:color="auto"/>
              <w:left w:val="single" w:sz="6" w:space="0" w:color="auto"/>
              <w:bottom w:val="single" w:sz="6" w:space="0" w:color="auto"/>
              <w:right w:val="single" w:sz="6" w:space="0" w:color="auto"/>
            </w:tcBorders>
            <w:vAlign w:val="center"/>
          </w:tcPr>
          <w:p w:rsidR="000F59E0" w:rsidRPr="008B436A" w:rsidRDefault="008B436A" w:rsidP="000F59E0">
            <w:pPr>
              <w:pStyle w:val="TableText0"/>
              <w:jc w:val="center"/>
              <w:rPr>
                <w:rFonts w:ascii="Calibri" w:hAnsi="Calibri"/>
                <w:szCs w:val="22"/>
                <w:lang w:val="en-US"/>
              </w:rPr>
            </w:pPr>
            <w:r w:rsidRPr="008B436A">
              <w:rPr>
                <w:rFonts w:ascii="Calibri" w:hAnsi="Calibri"/>
                <w:szCs w:val="22"/>
                <w:lang w:val="en-US"/>
              </w:rPr>
              <w:t>0</w:t>
            </w:r>
          </w:p>
        </w:tc>
        <w:tc>
          <w:tcPr>
            <w:tcW w:w="690" w:type="pct"/>
            <w:gridSpan w:val="2"/>
            <w:tcBorders>
              <w:top w:val="single" w:sz="6" w:space="0" w:color="auto"/>
              <w:left w:val="single" w:sz="6" w:space="0" w:color="auto"/>
              <w:bottom w:val="single" w:sz="6" w:space="0" w:color="auto"/>
              <w:right w:val="single" w:sz="6" w:space="0" w:color="auto"/>
            </w:tcBorders>
            <w:vAlign w:val="center"/>
          </w:tcPr>
          <w:p w:rsidR="000F59E0" w:rsidRPr="008B436A" w:rsidRDefault="00297C74" w:rsidP="00161957">
            <w:pPr>
              <w:pStyle w:val="TableText0"/>
              <w:jc w:val="center"/>
              <w:rPr>
                <w:rFonts w:ascii="Calibri" w:hAnsi="Calibri"/>
                <w:szCs w:val="22"/>
                <w:lang w:val="en-US"/>
              </w:rPr>
            </w:pPr>
            <w:r>
              <w:rPr>
                <w:rFonts w:ascii="Calibri" w:hAnsi="Calibri"/>
                <w:szCs w:val="22"/>
                <w:lang w:val="en-US"/>
              </w:rPr>
              <w:t>11</w:t>
            </w:r>
            <w:r w:rsidR="00161957">
              <w:rPr>
                <w:rFonts w:ascii="Calibri" w:hAnsi="Calibri"/>
                <w:szCs w:val="22"/>
                <w:lang w:val="en-US"/>
              </w:rPr>
              <w:t>0</w:t>
            </w:r>
          </w:p>
        </w:tc>
        <w:tc>
          <w:tcPr>
            <w:tcW w:w="766" w:type="pct"/>
            <w:tcBorders>
              <w:top w:val="single" w:sz="6" w:space="0" w:color="auto"/>
              <w:left w:val="single" w:sz="6" w:space="0" w:color="auto"/>
              <w:bottom w:val="single" w:sz="6" w:space="0" w:color="auto"/>
              <w:right w:val="single" w:sz="6" w:space="0" w:color="auto"/>
            </w:tcBorders>
            <w:vAlign w:val="center"/>
          </w:tcPr>
          <w:p w:rsidR="000F59E0" w:rsidRPr="008B436A" w:rsidRDefault="00297C74" w:rsidP="007F57F4">
            <w:pPr>
              <w:pStyle w:val="TableText0"/>
              <w:jc w:val="center"/>
              <w:rPr>
                <w:rFonts w:ascii="Calibri" w:hAnsi="Calibri"/>
                <w:szCs w:val="22"/>
                <w:lang w:val="en-US"/>
              </w:rPr>
            </w:pPr>
            <w:r>
              <w:rPr>
                <w:rFonts w:ascii="Calibri" w:hAnsi="Calibri"/>
                <w:szCs w:val="22"/>
                <w:lang w:val="en-US"/>
              </w:rPr>
              <w:t>1</w:t>
            </w:r>
            <w:r w:rsidR="00D6112E">
              <w:rPr>
                <w:rFonts w:ascii="Calibri" w:hAnsi="Calibri"/>
                <w:szCs w:val="22"/>
                <w:lang w:val="en-US"/>
              </w:rPr>
              <w:t>,</w:t>
            </w:r>
            <w:r>
              <w:rPr>
                <w:rFonts w:ascii="Calibri" w:hAnsi="Calibri"/>
                <w:szCs w:val="22"/>
                <w:lang w:val="en-US"/>
              </w:rPr>
              <w:t>2</w:t>
            </w:r>
            <w:r w:rsidR="00161957">
              <w:rPr>
                <w:rFonts w:ascii="Calibri" w:hAnsi="Calibri"/>
                <w:szCs w:val="22"/>
                <w:lang w:val="en-US"/>
              </w:rPr>
              <w:t>4</w:t>
            </w:r>
            <w:r w:rsidR="007F57F4">
              <w:rPr>
                <w:rFonts w:ascii="Calibri" w:hAnsi="Calibri"/>
                <w:szCs w:val="22"/>
                <w:lang w:val="en-US"/>
              </w:rPr>
              <w:t>9</w:t>
            </w:r>
          </w:p>
        </w:tc>
      </w:tr>
    </w:tbl>
    <w:p w:rsidR="00EF0313" w:rsidRDefault="00EF0313">
      <w:pPr>
        <w:tabs>
          <w:tab w:val="clear" w:pos="567"/>
          <w:tab w:val="clear" w:pos="1134"/>
          <w:tab w:val="clear" w:pos="1701"/>
          <w:tab w:val="clear" w:pos="2268"/>
          <w:tab w:val="clear" w:pos="2835"/>
        </w:tabs>
        <w:overflowPunct/>
        <w:autoSpaceDE/>
        <w:autoSpaceDN/>
        <w:adjustRightInd/>
        <w:spacing w:before="0"/>
        <w:textAlignment w:val="auto"/>
        <w:rPr>
          <w:b/>
          <w:sz w:val="22"/>
          <w:szCs w:val="22"/>
          <w:lang w:val="en-US"/>
        </w:rPr>
      </w:pPr>
    </w:p>
    <w:p w:rsidR="0022373A" w:rsidRDefault="0022373A" w:rsidP="00E10953">
      <w:pPr>
        <w:tabs>
          <w:tab w:val="clear" w:pos="567"/>
          <w:tab w:val="clear" w:pos="1134"/>
          <w:tab w:val="clear" w:pos="1701"/>
          <w:tab w:val="clear" w:pos="2268"/>
          <w:tab w:val="clear" w:pos="2835"/>
        </w:tabs>
        <w:overflowPunct/>
        <w:autoSpaceDE/>
        <w:autoSpaceDN/>
        <w:adjustRightInd/>
        <w:spacing w:before="0"/>
        <w:jc w:val="center"/>
        <w:textAlignment w:val="auto"/>
        <w:rPr>
          <w:b/>
          <w:sz w:val="22"/>
          <w:szCs w:val="22"/>
          <w:lang w:val="en-US"/>
        </w:rPr>
      </w:pPr>
      <w:r w:rsidRPr="00BE4C36">
        <w:rPr>
          <w:b/>
          <w:sz w:val="22"/>
          <w:szCs w:val="22"/>
          <w:lang w:val="en-US"/>
        </w:rPr>
        <w:t>Recapitulation of contributions to the Fund for the peri</w:t>
      </w:r>
      <w:r w:rsidR="000F59E0" w:rsidRPr="00BE4C36">
        <w:rPr>
          <w:b/>
          <w:sz w:val="22"/>
          <w:szCs w:val="22"/>
          <w:lang w:val="en-US"/>
        </w:rPr>
        <w:t>od 1 January to</w:t>
      </w:r>
      <w:r w:rsidR="00876DAD" w:rsidRPr="00BE4C36">
        <w:rPr>
          <w:b/>
          <w:sz w:val="22"/>
          <w:szCs w:val="22"/>
          <w:lang w:val="en-US"/>
        </w:rPr>
        <w:t xml:space="preserve"> 31 December </w:t>
      </w:r>
      <w:r w:rsidR="00111BDD" w:rsidRPr="00BE4C36">
        <w:rPr>
          <w:b/>
          <w:sz w:val="22"/>
          <w:szCs w:val="22"/>
          <w:lang w:val="en-US"/>
        </w:rPr>
        <w:t>201</w:t>
      </w:r>
      <w:r w:rsidR="00E10953" w:rsidRPr="00BE4C36">
        <w:rPr>
          <w:b/>
          <w:sz w:val="22"/>
          <w:szCs w:val="22"/>
          <w:lang w:val="en-US"/>
        </w:rPr>
        <w:t>8</w:t>
      </w:r>
      <w:r w:rsidRPr="00BE4C36">
        <w:rPr>
          <w:b/>
          <w:sz w:val="22"/>
          <w:szCs w:val="22"/>
          <w:lang w:val="en-US"/>
        </w:rPr>
        <w:br/>
        <w:t xml:space="preserve">- United States dollars </w:t>
      </w:r>
      <w:r w:rsidR="00CE56DE" w:rsidRPr="00BE4C36">
        <w:rPr>
          <w:b/>
          <w:sz w:val="22"/>
          <w:szCs w:val="22"/>
          <w:lang w:val="en-US"/>
        </w:rPr>
        <w:t>–</w:t>
      </w:r>
    </w:p>
    <w:tbl>
      <w:tblPr>
        <w:tblStyle w:val="TableGrid"/>
        <w:tblW w:w="0" w:type="auto"/>
        <w:tblLook w:val="04A0" w:firstRow="1" w:lastRow="0" w:firstColumn="1" w:lastColumn="0" w:noHBand="0" w:noVBand="1"/>
      </w:tblPr>
      <w:tblGrid>
        <w:gridCol w:w="3823"/>
        <w:gridCol w:w="1559"/>
        <w:gridCol w:w="1984"/>
        <w:gridCol w:w="2268"/>
      </w:tblGrid>
      <w:tr w:rsidR="009B6436" w:rsidRPr="009B6436" w:rsidTr="009B6436">
        <w:trPr>
          <w:trHeight w:val="616"/>
        </w:trPr>
        <w:tc>
          <w:tcPr>
            <w:tcW w:w="3823" w:type="dxa"/>
            <w:vAlign w:val="center"/>
            <w:hideMark/>
          </w:tcPr>
          <w:p w:rsidR="009B6436" w:rsidRPr="00EF0313" w:rsidRDefault="009B6436" w:rsidP="009B6436">
            <w:pPr>
              <w:tabs>
                <w:tab w:val="clear" w:pos="567"/>
                <w:tab w:val="clear" w:pos="1134"/>
                <w:tab w:val="clear" w:pos="1701"/>
                <w:tab w:val="clear" w:pos="2268"/>
                <w:tab w:val="clear" w:pos="2835"/>
              </w:tabs>
              <w:overflowPunct/>
              <w:autoSpaceDE/>
              <w:autoSpaceDN/>
              <w:adjustRightInd/>
              <w:spacing w:before="0"/>
              <w:jc w:val="center"/>
              <w:textAlignment w:val="auto"/>
              <w:rPr>
                <w:b/>
                <w:bCs/>
                <w:sz w:val="20"/>
                <w:szCs w:val="20"/>
                <w:lang w:val="en-US"/>
              </w:rPr>
            </w:pPr>
            <w:r w:rsidRPr="00EF0313">
              <w:rPr>
                <w:b/>
                <w:bCs/>
                <w:sz w:val="20"/>
                <w:szCs w:val="20"/>
              </w:rPr>
              <w:t>Nature of contributions</w:t>
            </w:r>
          </w:p>
        </w:tc>
        <w:tc>
          <w:tcPr>
            <w:tcW w:w="1559" w:type="dxa"/>
            <w:vAlign w:val="center"/>
            <w:hideMark/>
          </w:tcPr>
          <w:p w:rsidR="009B6436" w:rsidRPr="00EF0313" w:rsidRDefault="009B6436" w:rsidP="009B6436">
            <w:pPr>
              <w:tabs>
                <w:tab w:val="clear" w:pos="567"/>
                <w:tab w:val="clear" w:pos="1134"/>
                <w:tab w:val="clear" w:pos="1701"/>
                <w:tab w:val="clear" w:pos="2268"/>
                <w:tab w:val="clear" w:pos="2835"/>
              </w:tabs>
              <w:overflowPunct/>
              <w:autoSpaceDE/>
              <w:autoSpaceDN/>
              <w:adjustRightInd/>
              <w:spacing w:before="0"/>
              <w:jc w:val="center"/>
              <w:textAlignment w:val="auto"/>
              <w:rPr>
                <w:b/>
                <w:bCs/>
                <w:sz w:val="20"/>
                <w:szCs w:val="20"/>
              </w:rPr>
            </w:pPr>
            <w:r w:rsidRPr="00EF0313">
              <w:rPr>
                <w:b/>
                <w:bCs/>
                <w:sz w:val="20"/>
                <w:szCs w:val="20"/>
              </w:rPr>
              <w:t xml:space="preserve">Normal contributions </w:t>
            </w:r>
          </w:p>
        </w:tc>
        <w:tc>
          <w:tcPr>
            <w:tcW w:w="1984" w:type="dxa"/>
            <w:vAlign w:val="center"/>
            <w:hideMark/>
          </w:tcPr>
          <w:p w:rsidR="009B6436" w:rsidRPr="00EF0313" w:rsidRDefault="009B6436" w:rsidP="009B6436">
            <w:pPr>
              <w:tabs>
                <w:tab w:val="clear" w:pos="567"/>
                <w:tab w:val="clear" w:pos="1134"/>
                <w:tab w:val="clear" w:pos="1701"/>
                <w:tab w:val="clear" w:pos="2268"/>
                <w:tab w:val="clear" w:pos="2835"/>
              </w:tabs>
              <w:overflowPunct/>
              <w:autoSpaceDE/>
              <w:autoSpaceDN/>
              <w:adjustRightInd/>
              <w:spacing w:before="0"/>
              <w:jc w:val="center"/>
              <w:textAlignment w:val="auto"/>
              <w:rPr>
                <w:b/>
                <w:bCs/>
                <w:sz w:val="20"/>
                <w:szCs w:val="20"/>
              </w:rPr>
            </w:pPr>
            <w:r w:rsidRPr="00EF0313">
              <w:rPr>
                <w:b/>
                <w:bCs/>
                <w:sz w:val="20"/>
                <w:szCs w:val="20"/>
              </w:rPr>
              <w:t xml:space="preserve">Service validation contributions </w:t>
            </w:r>
          </w:p>
        </w:tc>
        <w:tc>
          <w:tcPr>
            <w:tcW w:w="2268" w:type="dxa"/>
            <w:vAlign w:val="center"/>
            <w:hideMark/>
          </w:tcPr>
          <w:p w:rsidR="009B6436" w:rsidRPr="00EF0313" w:rsidRDefault="009B6436" w:rsidP="009B6436">
            <w:pPr>
              <w:tabs>
                <w:tab w:val="clear" w:pos="567"/>
                <w:tab w:val="clear" w:pos="1134"/>
                <w:tab w:val="clear" w:pos="1701"/>
                <w:tab w:val="clear" w:pos="2268"/>
                <w:tab w:val="clear" w:pos="2835"/>
              </w:tabs>
              <w:overflowPunct/>
              <w:autoSpaceDE/>
              <w:autoSpaceDN/>
              <w:adjustRightInd/>
              <w:spacing w:before="0"/>
              <w:jc w:val="center"/>
              <w:textAlignment w:val="auto"/>
              <w:rPr>
                <w:b/>
                <w:bCs/>
                <w:sz w:val="20"/>
                <w:szCs w:val="20"/>
              </w:rPr>
            </w:pPr>
            <w:r w:rsidRPr="00EF0313">
              <w:rPr>
                <w:b/>
                <w:bCs/>
                <w:sz w:val="20"/>
                <w:szCs w:val="20"/>
              </w:rPr>
              <w:t>Total</w:t>
            </w:r>
          </w:p>
        </w:tc>
      </w:tr>
      <w:tr w:rsidR="009B6436" w:rsidRPr="009B6436" w:rsidTr="009B6436">
        <w:trPr>
          <w:trHeight w:val="615"/>
        </w:trPr>
        <w:tc>
          <w:tcPr>
            <w:tcW w:w="3823" w:type="dxa"/>
            <w:vAlign w:val="center"/>
            <w:hideMark/>
          </w:tcPr>
          <w:p w:rsidR="009B6436" w:rsidRPr="00EF0313" w:rsidRDefault="009B6436" w:rsidP="009B6436">
            <w:pPr>
              <w:tabs>
                <w:tab w:val="clear" w:pos="567"/>
                <w:tab w:val="clear" w:pos="1134"/>
                <w:tab w:val="clear" w:pos="1701"/>
                <w:tab w:val="clear" w:pos="2268"/>
                <w:tab w:val="clear" w:pos="2835"/>
              </w:tabs>
              <w:overflowPunct/>
              <w:autoSpaceDE/>
              <w:autoSpaceDN/>
              <w:adjustRightInd/>
              <w:spacing w:before="0"/>
              <w:jc w:val="center"/>
              <w:textAlignment w:val="auto"/>
              <w:rPr>
                <w:bCs/>
                <w:sz w:val="20"/>
                <w:szCs w:val="20"/>
              </w:rPr>
            </w:pPr>
            <w:r w:rsidRPr="00EF0313">
              <w:rPr>
                <w:bCs/>
                <w:sz w:val="20"/>
                <w:szCs w:val="20"/>
              </w:rPr>
              <w:t>Contributions by participants</w:t>
            </w:r>
          </w:p>
        </w:tc>
        <w:tc>
          <w:tcPr>
            <w:tcW w:w="1559" w:type="dxa"/>
            <w:vAlign w:val="center"/>
            <w:hideMark/>
          </w:tcPr>
          <w:p w:rsidR="009B6436" w:rsidRPr="00EF0313" w:rsidRDefault="009B6436" w:rsidP="00D6112E">
            <w:pPr>
              <w:tabs>
                <w:tab w:val="clear" w:pos="567"/>
                <w:tab w:val="clear" w:pos="1134"/>
                <w:tab w:val="clear" w:pos="1701"/>
                <w:tab w:val="clear" w:pos="2268"/>
                <w:tab w:val="clear" w:pos="2835"/>
              </w:tabs>
              <w:overflowPunct/>
              <w:autoSpaceDE/>
              <w:autoSpaceDN/>
              <w:adjustRightInd/>
              <w:spacing w:before="0"/>
              <w:jc w:val="center"/>
              <w:textAlignment w:val="auto"/>
              <w:rPr>
                <w:bCs/>
                <w:sz w:val="20"/>
                <w:szCs w:val="20"/>
              </w:rPr>
            </w:pPr>
            <w:r w:rsidRPr="00EF0313">
              <w:rPr>
                <w:bCs/>
                <w:sz w:val="20"/>
                <w:szCs w:val="20"/>
              </w:rPr>
              <w:t xml:space="preserve">   7,869,781 </w:t>
            </w:r>
          </w:p>
        </w:tc>
        <w:tc>
          <w:tcPr>
            <w:tcW w:w="1984" w:type="dxa"/>
            <w:vAlign w:val="center"/>
            <w:hideMark/>
          </w:tcPr>
          <w:p w:rsidR="009B6436" w:rsidRPr="00EF0313" w:rsidRDefault="009B6436" w:rsidP="00D6112E">
            <w:pPr>
              <w:tabs>
                <w:tab w:val="clear" w:pos="567"/>
                <w:tab w:val="clear" w:pos="1134"/>
                <w:tab w:val="clear" w:pos="1701"/>
                <w:tab w:val="clear" w:pos="2268"/>
                <w:tab w:val="clear" w:pos="2835"/>
              </w:tabs>
              <w:overflowPunct/>
              <w:autoSpaceDE/>
              <w:autoSpaceDN/>
              <w:adjustRightInd/>
              <w:spacing w:before="0"/>
              <w:jc w:val="center"/>
              <w:textAlignment w:val="auto"/>
              <w:rPr>
                <w:bCs/>
                <w:sz w:val="20"/>
                <w:szCs w:val="20"/>
              </w:rPr>
            </w:pPr>
            <w:r w:rsidRPr="00EF0313">
              <w:rPr>
                <w:bCs/>
                <w:sz w:val="20"/>
                <w:szCs w:val="20"/>
              </w:rPr>
              <w:t xml:space="preserve">        76,598 </w:t>
            </w:r>
          </w:p>
        </w:tc>
        <w:tc>
          <w:tcPr>
            <w:tcW w:w="2268" w:type="dxa"/>
            <w:vAlign w:val="center"/>
            <w:hideMark/>
          </w:tcPr>
          <w:p w:rsidR="009B6436" w:rsidRPr="00EF0313" w:rsidRDefault="009B6436" w:rsidP="00D6112E">
            <w:pPr>
              <w:tabs>
                <w:tab w:val="clear" w:pos="567"/>
                <w:tab w:val="clear" w:pos="1134"/>
                <w:tab w:val="clear" w:pos="1701"/>
                <w:tab w:val="clear" w:pos="2268"/>
                <w:tab w:val="clear" w:pos="2835"/>
              </w:tabs>
              <w:overflowPunct/>
              <w:autoSpaceDE/>
              <w:autoSpaceDN/>
              <w:adjustRightInd/>
              <w:spacing w:before="0"/>
              <w:jc w:val="center"/>
              <w:textAlignment w:val="auto"/>
              <w:rPr>
                <w:bCs/>
                <w:sz w:val="20"/>
                <w:szCs w:val="20"/>
              </w:rPr>
            </w:pPr>
            <w:r w:rsidRPr="00EF0313">
              <w:rPr>
                <w:bCs/>
                <w:sz w:val="20"/>
                <w:szCs w:val="20"/>
              </w:rPr>
              <w:t xml:space="preserve">    7,946,380 </w:t>
            </w:r>
          </w:p>
        </w:tc>
      </w:tr>
      <w:tr w:rsidR="009B6436" w:rsidRPr="009B6436" w:rsidTr="009B6436">
        <w:trPr>
          <w:trHeight w:val="615"/>
        </w:trPr>
        <w:tc>
          <w:tcPr>
            <w:tcW w:w="3823" w:type="dxa"/>
            <w:vAlign w:val="center"/>
            <w:hideMark/>
          </w:tcPr>
          <w:p w:rsidR="009B6436" w:rsidRPr="00EF0313" w:rsidRDefault="009B6436" w:rsidP="009B6436">
            <w:pPr>
              <w:tabs>
                <w:tab w:val="clear" w:pos="567"/>
                <w:tab w:val="clear" w:pos="1134"/>
                <w:tab w:val="clear" w:pos="1701"/>
                <w:tab w:val="clear" w:pos="2268"/>
                <w:tab w:val="clear" w:pos="2835"/>
              </w:tabs>
              <w:overflowPunct/>
              <w:autoSpaceDE/>
              <w:autoSpaceDN/>
              <w:adjustRightInd/>
              <w:spacing w:before="0"/>
              <w:jc w:val="center"/>
              <w:textAlignment w:val="auto"/>
              <w:rPr>
                <w:bCs/>
                <w:sz w:val="20"/>
                <w:szCs w:val="20"/>
              </w:rPr>
            </w:pPr>
            <w:r w:rsidRPr="00EF0313">
              <w:rPr>
                <w:bCs/>
                <w:sz w:val="20"/>
                <w:szCs w:val="20"/>
              </w:rPr>
              <w:t>Contributions by the Union</w:t>
            </w:r>
          </w:p>
        </w:tc>
        <w:tc>
          <w:tcPr>
            <w:tcW w:w="1559" w:type="dxa"/>
            <w:vAlign w:val="center"/>
            <w:hideMark/>
          </w:tcPr>
          <w:p w:rsidR="009B6436" w:rsidRPr="00EF0313" w:rsidRDefault="009B6436" w:rsidP="00D6112E">
            <w:pPr>
              <w:tabs>
                <w:tab w:val="clear" w:pos="567"/>
                <w:tab w:val="clear" w:pos="1134"/>
                <w:tab w:val="clear" w:pos="1701"/>
                <w:tab w:val="clear" w:pos="2268"/>
                <w:tab w:val="clear" w:pos="2835"/>
              </w:tabs>
              <w:overflowPunct/>
              <w:autoSpaceDE/>
              <w:autoSpaceDN/>
              <w:adjustRightInd/>
              <w:spacing w:before="0"/>
              <w:jc w:val="center"/>
              <w:textAlignment w:val="auto"/>
              <w:rPr>
                <w:bCs/>
                <w:sz w:val="20"/>
                <w:szCs w:val="20"/>
              </w:rPr>
            </w:pPr>
            <w:r w:rsidRPr="00EF0313">
              <w:rPr>
                <w:bCs/>
                <w:sz w:val="20"/>
                <w:szCs w:val="20"/>
              </w:rPr>
              <w:t xml:space="preserve"> 15,739,563 </w:t>
            </w:r>
          </w:p>
        </w:tc>
        <w:tc>
          <w:tcPr>
            <w:tcW w:w="1984" w:type="dxa"/>
            <w:vAlign w:val="center"/>
            <w:hideMark/>
          </w:tcPr>
          <w:p w:rsidR="009B6436" w:rsidRPr="00EF0313" w:rsidRDefault="009B6436" w:rsidP="00D6112E">
            <w:pPr>
              <w:tabs>
                <w:tab w:val="clear" w:pos="567"/>
                <w:tab w:val="clear" w:pos="1134"/>
                <w:tab w:val="clear" w:pos="1701"/>
                <w:tab w:val="clear" w:pos="2268"/>
                <w:tab w:val="clear" w:pos="2835"/>
              </w:tabs>
              <w:overflowPunct/>
              <w:autoSpaceDE/>
              <w:autoSpaceDN/>
              <w:adjustRightInd/>
              <w:spacing w:before="0"/>
              <w:jc w:val="center"/>
              <w:textAlignment w:val="auto"/>
              <w:rPr>
                <w:bCs/>
                <w:sz w:val="20"/>
                <w:szCs w:val="20"/>
              </w:rPr>
            </w:pPr>
            <w:r w:rsidRPr="00EF0313">
              <w:rPr>
                <w:bCs/>
                <w:sz w:val="20"/>
                <w:szCs w:val="20"/>
              </w:rPr>
              <w:t xml:space="preserve">        16,809 </w:t>
            </w:r>
          </w:p>
        </w:tc>
        <w:tc>
          <w:tcPr>
            <w:tcW w:w="2268" w:type="dxa"/>
            <w:vAlign w:val="center"/>
            <w:hideMark/>
          </w:tcPr>
          <w:p w:rsidR="009B6436" w:rsidRPr="00EF0313" w:rsidRDefault="009B6436" w:rsidP="00D6112E">
            <w:pPr>
              <w:tabs>
                <w:tab w:val="clear" w:pos="567"/>
                <w:tab w:val="clear" w:pos="1134"/>
                <w:tab w:val="clear" w:pos="1701"/>
                <w:tab w:val="clear" w:pos="2268"/>
                <w:tab w:val="clear" w:pos="2835"/>
              </w:tabs>
              <w:overflowPunct/>
              <w:autoSpaceDE/>
              <w:autoSpaceDN/>
              <w:adjustRightInd/>
              <w:spacing w:before="0"/>
              <w:jc w:val="center"/>
              <w:textAlignment w:val="auto"/>
              <w:rPr>
                <w:bCs/>
                <w:sz w:val="20"/>
                <w:szCs w:val="20"/>
              </w:rPr>
            </w:pPr>
            <w:r w:rsidRPr="00EF0313">
              <w:rPr>
                <w:bCs/>
                <w:sz w:val="20"/>
                <w:szCs w:val="20"/>
              </w:rPr>
              <w:t xml:space="preserve">  15,756,372 </w:t>
            </w:r>
          </w:p>
        </w:tc>
      </w:tr>
      <w:tr w:rsidR="009B6436" w:rsidRPr="009B6436" w:rsidTr="009B6436">
        <w:trPr>
          <w:trHeight w:val="315"/>
        </w:trPr>
        <w:tc>
          <w:tcPr>
            <w:tcW w:w="3823" w:type="dxa"/>
            <w:vAlign w:val="center"/>
            <w:hideMark/>
          </w:tcPr>
          <w:p w:rsidR="009B6436" w:rsidRPr="00EF0313" w:rsidRDefault="009B6436" w:rsidP="009B6436">
            <w:pPr>
              <w:tabs>
                <w:tab w:val="clear" w:pos="567"/>
                <w:tab w:val="clear" w:pos="1134"/>
                <w:tab w:val="clear" w:pos="1701"/>
                <w:tab w:val="clear" w:pos="2268"/>
                <w:tab w:val="clear" w:pos="2835"/>
              </w:tabs>
              <w:overflowPunct/>
              <w:autoSpaceDE/>
              <w:autoSpaceDN/>
              <w:adjustRightInd/>
              <w:spacing w:before="0"/>
              <w:jc w:val="center"/>
              <w:textAlignment w:val="auto"/>
              <w:rPr>
                <w:b/>
                <w:sz w:val="20"/>
                <w:szCs w:val="20"/>
              </w:rPr>
            </w:pPr>
            <w:r w:rsidRPr="00EF0313">
              <w:rPr>
                <w:b/>
                <w:sz w:val="20"/>
                <w:szCs w:val="20"/>
              </w:rPr>
              <w:t>Total</w:t>
            </w:r>
          </w:p>
        </w:tc>
        <w:tc>
          <w:tcPr>
            <w:tcW w:w="1559" w:type="dxa"/>
            <w:vAlign w:val="center"/>
            <w:hideMark/>
          </w:tcPr>
          <w:p w:rsidR="009B6436" w:rsidRPr="00EF0313" w:rsidRDefault="009B6436" w:rsidP="00D6112E">
            <w:pPr>
              <w:tabs>
                <w:tab w:val="clear" w:pos="567"/>
                <w:tab w:val="clear" w:pos="1134"/>
                <w:tab w:val="clear" w:pos="1701"/>
                <w:tab w:val="clear" w:pos="2268"/>
                <w:tab w:val="clear" w:pos="2835"/>
              </w:tabs>
              <w:overflowPunct/>
              <w:autoSpaceDE/>
              <w:autoSpaceDN/>
              <w:adjustRightInd/>
              <w:spacing w:before="0"/>
              <w:jc w:val="center"/>
              <w:textAlignment w:val="auto"/>
              <w:rPr>
                <w:b/>
                <w:sz w:val="20"/>
                <w:szCs w:val="20"/>
              </w:rPr>
            </w:pPr>
            <w:r w:rsidRPr="00EF0313">
              <w:rPr>
                <w:b/>
                <w:sz w:val="20"/>
                <w:szCs w:val="20"/>
              </w:rPr>
              <w:t xml:space="preserve"> 23,609,344 </w:t>
            </w:r>
          </w:p>
        </w:tc>
        <w:tc>
          <w:tcPr>
            <w:tcW w:w="1984" w:type="dxa"/>
            <w:vAlign w:val="center"/>
            <w:hideMark/>
          </w:tcPr>
          <w:p w:rsidR="009B6436" w:rsidRPr="00EF0313" w:rsidRDefault="009B6436" w:rsidP="00D6112E">
            <w:pPr>
              <w:tabs>
                <w:tab w:val="clear" w:pos="567"/>
                <w:tab w:val="clear" w:pos="1134"/>
                <w:tab w:val="clear" w:pos="1701"/>
                <w:tab w:val="clear" w:pos="2268"/>
                <w:tab w:val="clear" w:pos="2835"/>
              </w:tabs>
              <w:overflowPunct/>
              <w:autoSpaceDE/>
              <w:autoSpaceDN/>
              <w:adjustRightInd/>
              <w:spacing w:before="0"/>
              <w:jc w:val="center"/>
              <w:textAlignment w:val="auto"/>
              <w:rPr>
                <w:b/>
                <w:sz w:val="20"/>
                <w:szCs w:val="20"/>
              </w:rPr>
            </w:pPr>
            <w:r w:rsidRPr="00EF0313">
              <w:rPr>
                <w:b/>
                <w:sz w:val="20"/>
                <w:szCs w:val="20"/>
              </w:rPr>
              <w:t xml:space="preserve">        93,408 </w:t>
            </w:r>
          </w:p>
        </w:tc>
        <w:tc>
          <w:tcPr>
            <w:tcW w:w="2268" w:type="dxa"/>
            <w:vAlign w:val="center"/>
            <w:hideMark/>
          </w:tcPr>
          <w:p w:rsidR="009B6436" w:rsidRPr="00EF0313" w:rsidRDefault="009B6436" w:rsidP="00D6112E">
            <w:pPr>
              <w:tabs>
                <w:tab w:val="clear" w:pos="567"/>
                <w:tab w:val="clear" w:pos="1134"/>
                <w:tab w:val="clear" w:pos="1701"/>
                <w:tab w:val="clear" w:pos="2268"/>
                <w:tab w:val="clear" w:pos="2835"/>
              </w:tabs>
              <w:overflowPunct/>
              <w:autoSpaceDE/>
              <w:autoSpaceDN/>
              <w:adjustRightInd/>
              <w:spacing w:before="0"/>
              <w:jc w:val="center"/>
              <w:textAlignment w:val="auto"/>
              <w:rPr>
                <w:b/>
                <w:sz w:val="20"/>
                <w:szCs w:val="20"/>
              </w:rPr>
            </w:pPr>
            <w:r w:rsidRPr="00EF0313">
              <w:rPr>
                <w:b/>
                <w:sz w:val="20"/>
                <w:szCs w:val="20"/>
              </w:rPr>
              <w:t xml:space="preserve">  23,702,753 </w:t>
            </w:r>
          </w:p>
        </w:tc>
      </w:tr>
    </w:tbl>
    <w:p w:rsidR="00306E07" w:rsidRDefault="00306E07" w:rsidP="00E10953">
      <w:pPr>
        <w:tabs>
          <w:tab w:val="clear" w:pos="567"/>
          <w:tab w:val="clear" w:pos="1134"/>
          <w:tab w:val="clear" w:pos="1701"/>
          <w:tab w:val="clear" w:pos="2268"/>
          <w:tab w:val="clear" w:pos="2835"/>
        </w:tabs>
        <w:overflowPunct/>
        <w:autoSpaceDE/>
        <w:autoSpaceDN/>
        <w:adjustRightInd/>
        <w:spacing w:before="0"/>
        <w:jc w:val="center"/>
        <w:textAlignment w:val="auto"/>
        <w:rPr>
          <w:b/>
          <w:sz w:val="22"/>
          <w:szCs w:val="22"/>
          <w:lang w:val="en-US"/>
        </w:rPr>
      </w:pPr>
    </w:p>
    <w:p w:rsidR="00F2562A" w:rsidRDefault="005D4B63" w:rsidP="005D4B63">
      <w:pPr>
        <w:tabs>
          <w:tab w:val="clear" w:pos="567"/>
          <w:tab w:val="clear" w:pos="1134"/>
          <w:tab w:val="clear" w:pos="1701"/>
          <w:tab w:val="clear" w:pos="2268"/>
          <w:tab w:val="clear" w:pos="2835"/>
        </w:tabs>
        <w:overflowPunct/>
        <w:autoSpaceDE/>
        <w:autoSpaceDN/>
        <w:adjustRightInd/>
        <w:spacing w:before="0"/>
        <w:textAlignment w:val="auto"/>
        <w:rPr>
          <w:lang w:val="en-US"/>
        </w:rPr>
      </w:pPr>
      <w:r w:rsidRPr="00E61620">
        <w:rPr>
          <w:rFonts w:cs="Arial"/>
          <w:color w:val="000000"/>
          <w:szCs w:val="24"/>
          <w:u w:val="single"/>
          <w:lang w:val="en-US"/>
        </w:rPr>
        <w:t>O</w:t>
      </w:r>
      <w:r w:rsidR="0022373A" w:rsidRPr="00E61620">
        <w:rPr>
          <w:rFonts w:cs="Arial"/>
          <w:color w:val="000000"/>
          <w:szCs w:val="24"/>
          <w:u w:val="single"/>
          <w:lang w:val="en-US"/>
        </w:rPr>
        <w:t xml:space="preserve">bligations </w:t>
      </w:r>
      <w:r w:rsidR="00D61B50" w:rsidRPr="00E61620">
        <w:rPr>
          <w:rFonts w:cs="Arial"/>
          <w:color w:val="000000"/>
          <w:szCs w:val="24"/>
          <w:u w:val="single"/>
          <w:lang w:val="en-US"/>
        </w:rPr>
        <w:t>related</w:t>
      </w:r>
      <w:r w:rsidR="000C1156" w:rsidRPr="00E61620">
        <w:rPr>
          <w:rFonts w:cs="Arial"/>
          <w:color w:val="000000"/>
          <w:szCs w:val="24"/>
          <w:u w:val="single"/>
          <w:lang w:val="en-US"/>
        </w:rPr>
        <w:t xml:space="preserve"> to</w:t>
      </w:r>
      <w:r w:rsidR="0022373A" w:rsidRPr="00E61620">
        <w:rPr>
          <w:rFonts w:cs="Arial"/>
          <w:color w:val="000000"/>
          <w:szCs w:val="24"/>
          <w:u w:val="single"/>
          <w:lang w:val="en-US"/>
        </w:rPr>
        <w:t xml:space="preserve"> other employee benefits</w:t>
      </w:r>
      <w:r w:rsidR="003938C6">
        <w:rPr>
          <w:rFonts w:cs="Arial"/>
          <w:color w:val="000000"/>
          <w:szCs w:val="24"/>
          <w:u w:val="single"/>
          <w:lang w:val="en-US"/>
        </w:rPr>
        <w:br/>
      </w:r>
    </w:p>
    <w:p w:rsidR="0022373A" w:rsidRPr="00A00B0F" w:rsidRDefault="0022373A" w:rsidP="001C0566">
      <w:pPr>
        <w:snapToGrid w:val="0"/>
        <w:spacing w:before="0"/>
        <w:jc w:val="both"/>
        <w:rPr>
          <w:lang w:val="en-US"/>
        </w:rPr>
      </w:pPr>
      <w:r w:rsidRPr="001C2A98">
        <w:rPr>
          <w:lang w:val="en-US"/>
        </w:rPr>
        <w:t>Before the establishment of UNJSPF and SHIF and ITU</w:t>
      </w:r>
      <w:r w:rsidR="007A552E">
        <w:rPr>
          <w:lang w:val="en-US"/>
        </w:rPr>
        <w:t>’</w:t>
      </w:r>
      <w:r w:rsidRPr="001C2A98">
        <w:rPr>
          <w:lang w:val="en-US"/>
        </w:rPr>
        <w:t>s affiliation thereto, the Union had set up funds to provide retirement, death, disability and health insurance benefits to its staff members. Since ITU</w:t>
      </w:r>
      <w:r w:rsidR="007A552E">
        <w:rPr>
          <w:lang w:val="en-US"/>
        </w:rPr>
        <w:t>’</w:t>
      </w:r>
      <w:r w:rsidRPr="001C2A98">
        <w:rPr>
          <w:lang w:val="en-US"/>
        </w:rPr>
        <w:t xml:space="preserve">s affiliation to the above-mentioned funds, the funds previously created have functioned as a closed fund. Obligations thereunder are shown as long-term liabilities. Agreements have been concluded between ITU and its funds </w:t>
      </w:r>
      <w:r w:rsidRPr="00A00B0F">
        <w:rPr>
          <w:lang w:val="en-US"/>
        </w:rPr>
        <w:t>to ensure the latter</w:t>
      </w:r>
      <w:r w:rsidR="007A552E">
        <w:rPr>
          <w:lang w:val="en-US"/>
        </w:rPr>
        <w:t>’</w:t>
      </w:r>
      <w:r w:rsidRPr="00A00B0F">
        <w:rPr>
          <w:lang w:val="en-US"/>
        </w:rPr>
        <w:t>s financing.</w:t>
      </w:r>
    </w:p>
    <w:p w:rsidR="0022373A" w:rsidRDefault="00A00B0F" w:rsidP="00F92C9F">
      <w:pPr>
        <w:jc w:val="both"/>
        <w:rPr>
          <w:lang w:val="en-US"/>
        </w:rPr>
      </w:pPr>
      <w:r>
        <w:rPr>
          <w:lang w:val="en-US"/>
        </w:rPr>
        <w:t xml:space="preserve">In </w:t>
      </w:r>
      <w:r w:rsidR="00111BDD">
        <w:rPr>
          <w:lang w:val="en-US"/>
        </w:rPr>
        <w:t>201</w:t>
      </w:r>
      <w:r w:rsidR="00E10953">
        <w:rPr>
          <w:lang w:val="en-US"/>
        </w:rPr>
        <w:t>8</w:t>
      </w:r>
      <w:r w:rsidR="0022373A" w:rsidRPr="00A00B0F">
        <w:rPr>
          <w:lang w:val="en-US"/>
        </w:rPr>
        <w:t>, the Union did not consider it necessary to request a new actuarial study for the Staff Superannuation and</w:t>
      </w:r>
      <w:r w:rsidR="00B409EF" w:rsidRPr="00A00B0F">
        <w:rPr>
          <w:lang w:val="en-US"/>
        </w:rPr>
        <w:t xml:space="preserve"> Benevolent Funds. At 31</w:t>
      </w:r>
      <w:r w:rsidR="009514B0" w:rsidRPr="00A00B0F">
        <w:rPr>
          <w:lang w:val="en-US"/>
        </w:rPr>
        <w:t xml:space="preserve"> December </w:t>
      </w:r>
      <w:r w:rsidR="00111BDD">
        <w:rPr>
          <w:lang w:val="en-US"/>
        </w:rPr>
        <w:t>201</w:t>
      </w:r>
      <w:r w:rsidR="00E10953">
        <w:rPr>
          <w:lang w:val="en-US"/>
        </w:rPr>
        <w:t>8</w:t>
      </w:r>
      <w:r w:rsidR="0022373A" w:rsidRPr="00A00B0F">
        <w:rPr>
          <w:lang w:val="en-US"/>
        </w:rPr>
        <w:t xml:space="preserve">, the provision for the obligations arising from pensions currently being paid to former </w:t>
      </w:r>
      <w:r w:rsidR="0022373A" w:rsidRPr="00F92C9F">
        <w:rPr>
          <w:lang w:val="en-US"/>
        </w:rPr>
        <w:t>employees affiliated to the Staff Superannuation and Benevolent Funds, recognized in 2010 in the amount of CHF </w:t>
      </w:r>
      <w:r w:rsidR="00F92C9F" w:rsidRPr="00F92C9F">
        <w:rPr>
          <w:lang w:val="en-US"/>
        </w:rPr>
        <w:t>54</w:t>
      </w:r>
      <w:r w:rsidR="0022373A" w:rsidRPr="00F92C9F">
        <w:rPr>
          <w:lang w:val="en-US"/>
        </w:rPr>
        <w:t> </w:t>
      </w:r>
      <w:r w:rsidR="00F92C9F" w:rsidRPr="00F92C9F">
        <w:rPr>
          <w:lang w:val="en-US"/>
        </w:rPr>
        <w:t>000</w:t>
      </w:r>
      <w:r w:rsidR="0022373A" w:rsidRPr="00F92C9F">
        <w:rPr>
          <w:lang w:val="en-US"/>
        </w:rPr>
        <w:t>, remains</w:t>
      </w:r>
      <w:r w:rsidR="0022373A" w:rsidRPr="00A00B0F">
        <w:rPr>
          <w:lang w:val="en-US"/>
        </w:rPr>
        <w:t xml:space="preserve"> unchanged.</w:t>
      </w:r>
    </w:p>
    <w:p w:rsidR="0022373A" w:rsidRDefault="0022373A" w:rsidP="00284AFF">
      <w:pPr>
        <w:pStyle w:val="Heading5"/>
        <w:spacing w:before="240" w:after="240"/>
        <w:rPr>
          <w:lang w:val="en-US"/>
        </w:rPr>
      </w:pPr>
      <w:bookmarkStart w:id="102" w:name="_Toc305764100"/>
      <w:bookmarkStart w:id="103" w:name="_Toc329011644"/>
      <w:r w:rsidRPr="001C2A98">
        <w:rPr>
          <w:lang w:val="en-US"/>
        </w:rPr>
        <w:t>Note 1</w:t>
      </w:r>
      <w:r w:rsidR="00284AFF">
        <w:rPr>
          <w:lang w:val="en-US"/>
        </w:rPr>
        <w:t>8</w:t>
      </w:r>
      <w:r w:rsidRPr="001C2A98">
        <w:rPr>
          <w:lang w:val="en-US"/>
        </w:rPr>
        <w:tab/>
        <w:t>Provisions</w:t>
      </w:r>
      <w:bookmarkEnd w:id="102"/>
      <w:bookmarkEnd w:id="103"/>
    </w:p>
    <w:p w:rsidR="0022373A" w:rsidRPr="00247287" w:rsidRDefault="0022373A" w:rsidP="005C41A5">
      <w:pPr>
        <w:spacing w:before="240"/>
        <w:jc w:val="both"/>
        <w:rPr>
          <w:bCs/>
          <w:lang w:val="en-US" w:eastAsia="fr-FR"/>
        </w:rPr>
      </w:pPr>
      <w:r w:rsidRPr="00247287">
        <w:rPr>
          <w:lang w:val="en-US"/>
        </w:rPr>
        <w:t xml:space="preserve">The provisions for risks and expenses comprise the provision for litigation which represents a valuation at the date of closure of future obligations associated with a past event in respect of various disputes to which ITU is a party, </w:t>
      </w:r>
      <w:r w:rsidR="005F2AF6" w:rsidRPr="00247287">
        <w:rPr>
          <w:lang w:val="en-US"/>
        </w:rPr>
        <w:t>as well as</w:t>
      </w:r>
      <w:r w:rsidRPr="00247287">
        <w:rPr>
          <w:lang w:val="en-US"/>
        </w:rPr>
        <w:t xml:space="preserve"> the average cost for the administrative expenses in respect of each case brought before the tribunal.</w:t>
      </w:r>
    </w:p>
    <w:p w:rsidR="00AF24F3" w:rsidRDefault="0022373A" w:rsidP="005C41A5">
      <w:pPr>
        <w:tabs>
          <w:tab w:val="clear" w:pos="567"/>
          <w:tab w:val="clear" w:pos="1134"/>
          <w:tab w:val="clear" w:pos="1701"/>
          <w:tab w:val="clear" w:pos="2268"/>
          <w:tab w:val="clear" w:pos="2835"/>
        </w:tabs>
        <w:overflowPunct/>
        <w:autoSpaceDE/>
        <w:autoSpaceDN/>
        <w:adjustRightInd/>
        <w:jc w:val="both"/>
        <w:textAlignment w:val="auto"/>
        <w:rPr>
          <w:bCs/>
          <w:lang w:val="en-US"/>
        </w:rPr>
      </w:pPr>
      <w:r w:rsidRPr="00247287">
        <w:rPr>
          <w:bCs/>
          <w:lang w:val="en-US"/>
        </w:rPr>
        <w:t xml:space="preserve">The provision for satellite network filings (SNF) comprises the amount corresponding to the free-of-charge publication that </w:t>
      </w:r>
      <w:r w:rsidR="009514B0" w:rsidRPr="00247287">
        <w:rPr>
          <w:bCs/>
          <w:lang w:val="en-US"/>
        </w:rPr>
        <w:t xml:space="preserve">Administrations </w:t>
      </w:r>
      <w:r w:rsidRPr="00247287">
        <w:rPr>
          <w:bCs/>
          <w:lang w:val="en-US"/>
        </w:rPr>
        <w:t>are entitled to request in the course of any given year. The entirety of this provision was used in the course of the financial period.</w:t>
      </w:r>
    </w:p>
    <w:p w:rsidR="008935EA" w:rsidRDefault="008935EA">
      <w:pPr>
        <w:tabs>
          <w:tab w:val="clear" w:pos="567"/>
          <w:tab w:val="clear" w:pos="1134"/>
          <w:tab w:val="clear" w:pos="1701"/>
          <w:tab w:val="clear" w:pos="2268"/>
          <w:tab w:val="clear" w:pos="2835"/>
        </w:tabs>
        <w:overflowPunct/>
        <w:autoSpaceDE/>
        <w:autoSpaceDN/>
        <w:adjustRightInd/>
        <w:spacing w:before="0"/>
        <w:textAlignment w:val="auto"/>
        <w:rPr>
          <w:bCs/>
          <w:lang w:val="en-US"/>
        </w:rPr>
      </w:pPr>
      <w:r>
        <w:rPr>
          <w:bCs/>
          <w:lang w:val="en-US"/>
        </w:rPr>
        <w:br w:type="page"/>
      </w:r>
    </w:p>
    <w:p w:rsidR="00D178D3" w:rsidRDefault="00D178D3" w:rsidP="00306E07">
      <w:pPr>
        <w:tabs>
          <w:tab w:val="clear" w:pos="567"/>
          <w:tab w:val="clear" w:pos="1134"/>
          <w:tab w:val="clear" w:pos="1701"/>
          <w:tab w:val="clear" w:pos="2268"/>
          <w:tab w:val="clear" w:pos="2835"/>
        </w:tabs>
        <w:overflowPunct/>
        <w:autoSpaceDE/>
        <w:autoSpaceDN/>
        <w:adjustRightInd/>
        <w:spacing w:before="0"/>
        <w:jc w:val="both"/>
        <w:textAlignment w:val="auto"/>
        <w:rPr>
          <w:bCs/>
          <w:lang w:val="en-US"/>
        </w:rPr>
      </w:pPr>
    </w:p>
    <w:tbl>
      <w:tblPr>
        <w:tblW w:w="5000" w:type="pct"/>
        <w:tblLook w:val="04A0" w:firstRow="1" w:lastRow="0" w:firstColumn="1" w:lastColumn="0" w:noHBand="0" w:noVBand="1"/>
      </w:tblPr>
      <w:tblGrid>
        <w:gridCol w:w="3363"/>
        <w:gridCol w:w="1784"/>
        <w:gridCol w:w="2699"/>
        <w:gridCol w:w="1925"/>
      </w:tblGrid>
      <w:tr w:rsidR="00D178D3" w:rsidRPr="00D178D3" w:rsidTr="006302A2">
        <w:trPr>
          <w:trHeight w:val="500"/>
        </w:trPr>
        <w:tc>
          <w:tcPr>
            <w:tcW w:w="1721" w:type="pct"/>
            <w:tcBorders>
              <w:top w:val="single" w:sz="4" w:space="0" w:color="auto"/>
              <w:left w:val="single" w:sz="4" w:space="0" w:color="auto"/>
              <w:bottom w:val="single" w:sz="4" w:space="0" w:color="auto"/>
              <w:right w:val="nil"/>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p>
        </w:tc>
        <w:tc>
          <w:tcPr>
            <w:tcW w:w="3279" w:type="pct"/>
            <w:gridSpan w:val="3"/>
            <w:tcBorders>
              <w:top w:val="single" w:sz="4" w:space="0" w:color="auto"/>
              <w:left w:val="nil"/>
              <w:bottom w:val="single" w:sz="4" w:space="0" w:color="auto"/>
              <w:right w:val="single" w:sz="4" w:space="0" w:color="000000"/>
            </w:tcBorders>
            <w:shd w:val="clear" w:color="auto" w:fill="auto"/>
            <w:vAlign w:val="center"/>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D178D3">
              <w:rPr>
                <w:rFonts w:cs="Arial"/>
                <w:b/>
                <w:bCs/>
                <w:color w:val="000000"/>
                <w:sz w:val="22"/>
                <w:szCs w:val="22"/>
                <w:lang w:val="en-US" w:eastAsia="zh-CN"/>
              </w:rPr>
              <w:t>Provision</w:t>
            </w:r>
          </w:p>
        </w:tc>
      </w:tr>
      <w:tr w:rsidR="00D178D3" w:rsidRPr="00D178D3" w:rsidTr="006302A2">
        <w:trPr>
          <w:trHeight w:val="526"/>
        </w:trPr>
        <w:tc>
          <w:tcPr>
            <w:tcW w:w="1721" w:type="pct"/>
            <w:tcBorders>
              <w:top w:val="nil"/>
              <w:left w:val="single" w:sz="4" w:space="0" w:color="auto"/>
              <w:bottom w:val="single" w:sz="4" w:space="0" w:color="auto"/>
              <w:right w:val="single" w:sz="4" w:space="0" w:color="auto"/>
            </w:tcBorders>
            <w:shd w:val="clear" w:color="auto" w:fill="auto"/>
            <w:noWrap/>
            <w:vAlign w:val="center"/>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D178D3">
              <w:rPr>
                <w:rFonts w:cs="Arial"/>
                <w:b/>
                <w:bCs/>
                <w:color w:val="000000"/>
                <w:sz w:val="22"/>
                <w:szCs w:val="22"/>
                <w:lang w:val="en-US" w:eastAsia="zh-CN"/>
              </w:rPr>
              <w:t>In thousands of CHF</w:t>
            </w:r>
          </w:p>
        </w:tc>
        <w:tc>
          <w:tcPr>
            <w:tcW w:w="913" w:type="pct"/>
            <w:tcBorders>
              <w:top w:val="nil"/>
              <w:left w:val="nil"/>
              <w:bottom w:val="single" w:sz="4" w:space="0" w:color="auto"/>
              <w:right w:val="single" w:sz="4" w:space="0" w:color="auto"/>
            </w:tcBorders>
            <w:shd w:val="clear" w:color="auto" w:fill="auto"/>
            <w:vAlign w:val="center"/>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D178D3">
              <w:rPr>
                <w:rFonts w:cs="Arial"/>
                <w:b/>
                <w:bCs/>
                <w:color w:val="000000"/>
                <w:sz w:val="22"/>
                <w:szCs w:val="22"/>
                <w:lang w:val="en-US" w:eastAsia="zh-CN"/>
              </w:rPr>
              <w:t>SNF</w:t>
            </w:r>
          </w:p>
        </w:tc>
        <w:tc>
          <w:tcPr>
            <w:tcW w:w="1381" w:type="pct"/>
            <w:tcBorders>
              <w:top w:val="nil"/>
              <w:left w:val="nil"/>
              <w:bottom w:val="single" w:sz="4" w:space="0" w:color="auto"/>
              <w:right w:val="single" w:sz="4" w:space="0" w:color="auto"/>
            </w:tcBorders>
            <w:shd w:val="clear" w:color="auto" w:fill="auto"/>
            <w:vAlign w:val="center"/>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D178D3">
              <w:rPr>
                <w:rFonts w:cs="Arial"/>
                <w:b/>
                <w:bCs/>
                <w:color w:val="000000"/>
                <w:sz w:val="22"/>
                <w:szCs w:val="22"/>
                <w:lang w:val="en-US" w:eastAsia="zh-CN"/>
              </w:rPr>
              <w:t>Litigati</w:t>
            </w:r>
            <w:r>
              <w:rPr>
                <w:rFonts w:cs="Arial"/>
                <w:b/>
                <w:bCs/>
                <w:color w:val="000000"/>
                <w:sz w:val="22"/>
                <w:szCs w:val="22"/>
                <w:lang w:val="en-US" w:eastAsia="zh-CN"/>
              </w:rPr>
              <w:t>on</w:t>
            </w:r>
          </w:p>
        </w:tc>
        <w:tc>
          <w:tcPr>
            <w:tcW w:w="985" w:type="pct"/>
            <w:tcBorders>
              <w:top w:val="nil"/>
              <w:left w:val="nil"/>
              <w:bottom w:val="single" w:sz="4" w:space="0" w:color="auto"/>
              <w:right w:val="single" w:sz="4" w:space="0" w:color="auto"/>
            </w:tcBorders>
            <w:shd w:val="clear" w:color="auto" w:fill="auto"/>
            <w:vAlign w:val="center"/>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D178D3">
              <w:rPr>
                <w:rFonts w:cs="Arial"/>
                <w:b/>
                <w:bCs/>
                <w:color w:val="000000"/>
                <w:sz w:val="22"/>
                <w:szCs w:val="22"/>
                <w:lang w:val="en-US" w:eastAsia="zh-CN"/>
              </w:rPr>
              <w:t>TOTAL</w:t>
            </w:r>
          </w:p>
        </w:tc>
      </w:tr>
      <w:tr w:rsidR="00D178D3" w:rsidRPr="00D178D3" w:rsidTr="00D178D3">
        <w:trPr>
          <w:trHeight w:val="499"/>
        </w:trPr>
        <w:tc>
          <w:tcPr>
            <w:tcW w:w="1721" w:type="pct"/>
            <w:tcBorders>
              <w:top w:val="nil"/>
              <w:left w:val="single" w:sz="4" w:space="0" w:color="auto"/>
              <w:bottom w:val="single" w:sz="4" w:space="0" w:color="auto"/>
              <w:right w:val="single" w:sz="4" w:space="0" w:color="auto"/>
            </w:tcBorders>
            <w:shd w:val="clear" w:color="auto" w:fill="auto"/>
            <w:noWrap/>
            <w:vAlign w:val="center"/>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D178D3">
              <w:rPr>
                <w:rFonts w:cs="Arial"/>
                <w:b/>
                <w:bCs/>
                <w:color w:val="000000"/>
                <w:sz w:val="22"/>
                <w:szCs w:val="22"/>
                <w:lang w:val="en-US" w:eastAsia="zh-CN"/>
              </w:rPr>
              <w:t>Opening balance</w:t>
            </w:r>
          </w:p>
        </w:tc>
        <w:tc>
          <w:tcPr>
            <w:tcW w:w="913" w:type="pct"/>
            <w:tcBorders>
              <w:top w:val="nil"/>
              <w:left w:val="nil"/>
              <w:bottom w:val="single" w:sz="4" w:space="0" w:color="auto"/>
              <w:right w:val="single" w:sz="4" w:space="0" w:color="auto"/>
            </w:tcBorders>
            <w:shd w:val="clear" w:color="auto" w:fill="auto"/>
            <w:noWrap/>
            <w:vAlign w:val="center"/>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D178D3">
              <w:rPr>
                <w:rFonts w:cs="Arial"/>
                <w:b/>
                <w:bCs/>
                <w:color w:val="000000"/>
                <w:sz w:val="22"/>
                <w:szCs w:val="22"/>
                <w:lang w:val="en-US" w:eastAsia="zh-CN"/>
              </w:rPr>
              <w:t xml:space="preserve">                       501 </w:t>
            </w:r>
          </w:p>
        </w:tc>
        <w:tc>
          <w:tcPr>
            <w:tcW w:w="1381" w:type="pct"/>
            <w:tcBorders>
              <w:top w:val="nil"/>
              <w:left w:val="nil"/>
              <w:bottom w:val="single" w:sz="4" w:space="0" w:color="auto"/>
              <w:right w:val="single" w:sz="4" w:space="0" w:color="auto"/>
            </w:tcBorders>
            <w:shd w:val="clear" w:color="auto" w:fill="auto"/>
            <w:noWrap/>
            <w:vAlign w:val="center"/>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D178D3">
              <w:rPr>
                <w:rFonts w:cs="Arial"/>
                <w:b/>
                <w:bCs/>
                <w:color w:val="000000"/>
                <w:sz w:val="22"/>
                <w:szCs w:val="22"/>
                <w:lang w:val="en-US" w:eastAsia="zh-CN"/>
              </w:rPr>
              <w:t xml:space="preserve">                                   1,135 </w:t>
            </w:r>
          </w:p>
        </w:tc>
        <w:tc>
          <w:tcPr>
            <w:tcW w:w="985" w:type="pct"/>
            <w:tcBorders>
              <w:top w:val="nil"/>
              <w:left w:val="nil"/>
              <w:bottom w:val="single" w:sz="4" w:space="0" w:color="auto"/>
              <w:right w:val="single" w:sz="4" w:space="0" w:color="auto"/>
            </w:tcBorders>
            <w:shd w:val="clear" w:color="auto" w:fill="auto"/>
            <w:noWrap/>
            <w:vAlign w:val="center"/>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D178D3">
              <w:rPr>
                <w:rFonts w:cs="Arial"/>
                <w:b/>
                <w:bCs/>
                <w:color w:val="000000"/>
                <w:sz w:val="22"/>
                <w:szCs w:val="22"/>
                <w:lang w:val="en-US" w:eastAsia="zh-CN"/>
              </w:rPr>
              <w:t xml:space="preserve">                      1,636 </w:t>
            </w:r>
          </w:p>
        </w:tc>
      </w:tr>
      <w:tr w:rsidR="00D178D3" w:rsidRPr="00D178D3" w:rsidTr="00D178D3">
        <w:trPr>
          <w:trHeight w:val="300"/>
        </w:trPr>
        <w:tc>
          <w:tcPr>
            <w:tcW w:w="1721" w:type="pct"/>
            <w:tcBorders>
              <w:top w:val="nil"/>
              <w:left w:val="single" w:sz="4" w:space="0" w:color="auto"/>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D178D3">
              <w:rPr>
                <w:rFonts w:cs="Arial"/>
                <w:color w:val="000000"/>
                <w:sz w:val="22"/>
                <w:szCs w:val="22"/>
                <w:lang w:val="en-US" w:eastAsia="zh-CN"/>
              </w:rPr>
              <w:t>Increase</w:t>
            </w:r>
          </w:p>
        </w:tc>
        <w:tc>
          <w:tcPr>
            <w:tcW w:w="913" w:type="pct"/>
            <w:tcBorders>
              <w:top w:val="nil"/>
              <w:left w:val="nil"/>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xml:space="preserve">                       604 </w:t>
            </w:r>
          </w:p>
        </w:tc>
        <w:tc>
          <w:tcPr>
            <w:tcW w:w="1381" w:type="pct"/>
            <w:tcBorders>
              <w:top w:val="nil"/>
              <w:left w:val="nil"/>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xml:space="preserve">                                   6,068 </w:t>
            </w:r>
          </w:p>
        </w:tc>
        <w:tc>
          <w:tcPr>
            <w:tcW w:w="985" w:type="pct"/>
            <w:tcBorders>
              <w:top w:val="nil"/>
              <w:left w:val="nil"/>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6,673</w:t>
            </w:r>
            <w:r w:rsidRPr="00D178D3">
              <w:rPr>
                <w:rFonts w:cs="Arial"/>
                <w:color w:val="000000"/>
                <w:sz w:val="22"/>
                <w:szCs w:val="22"/>
                <w:lang w:val="en-US" w:eastAsia="zh-CN"/>
              </w:rPr>
              <w:t> </w:t>
            </w:r>
          </w:p>
        </w:tc>
      </w:tr>
      <w:tr w:rsidR="00D178D3" w:rsidRPr="00D178D3" w:rsidTr="00D178D3">
        <w:trPr>
          <w:trHeight w:val="300"/>
        </w:trPr>
        <w:tc>
          <w:tcPr>
            <w:tcW w:w="1721" w:type="pct"/>
            <w:tcBorders>
              <w:top w:val="nil"/>
              <w:left w:val="single" w:sz="4" w:space="0" w:color="auto"/>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D178D3">
              <w:rPr>
                <w:rFonts w:cs="Arial"/>
                <w:color w:val="000000"/>
                <w:sz w:val="22"/>
                <w:szCs w:val="22"/>
                <w:lang w:val="en-US" w:eastAsia="zh-CN"/>
              </w:rPr>
              <w:t>Used during year</w:t>
            </w:r>
          </w:p>
        </w:tc>
        <w:tc>
          <w:tcPr>
            <w:tcW w:w="913" w:type="pct"/>
            <w:tcBorders>
              <w:top w:val="nil"/>
              <w:left w:val="nil"/>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xml:space="preserve">                     -274 </w:t>
            </w:r>
          </w:p>
        </w:tc>
        <w:tc>
          <w:tcPr>
            <w:tcW w:w="1381" w:type="pct"/>
            <w:tcBorders>
              <w:top w:val="nil"/>
              <w:left w:val="nil"/>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xml:space="preserve">                                     -286 </w:t>
            </w:r>
          </w:p>
        </w:tc>
        <w:tc>
          <w:tcPr>
            <w:tcW w:w="985" w:type="pct"/>
            <w:tcBorders>
              <w:top w:val="nil"/>
              <w:left w:val="nil"/>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-560</w:t>
            </w:r>
            <w:r w:rsidRPr="00D178D3">
              <w:rPr>
                <w:rFonts w:cs="Arial"/>
                <w:color w:val="000000"/>
                <w:sz w:val="22"/>
                <w:szCs w:val="22"/>
                <w:lang w:val="en-US" w:eastAsia="zh-CN"/>
              </w:rPr>
              <w:t> </w:t>
            </w:r>
          </w:p>
        </w:tc>
      </w:tr>
      <w:tr w:rsidR="00D178D3" w:rsidRPr="00D178D3" w:rsidTr="00D178D3">
        <w:trPr>
          <w:trHeight w:val="300"/>
        </w:trPr>
        <w:tc>
          <w:tcPr>
            <w:tcW w:w="1721" w:type="pct"/>
            <w:tcBorders>
              <w:top w:val="nil"/>
              <w:left w:val="single" w:sz="4" w:space="0" w:color="auto"/>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D178D3">
              <w:rPr>
                <w:rFonts w:cs="Arial"/>
                <w:color w:val="000000"/>
                <w:sz w:val="22"/>
                <w:szCs w:val="22"/>
                <w:lang w:val="en-US" w:eastAsia="zh-CN"/>
              </w:rPr>
              <w:t>Release</w:t>
            </w:r>
          </w:p>
        </w:tc>
        <w:tc>
          <w:tcPr>
            <w:tcW w:w="913" w:type="pct"/>
            <w:tcBorders>
              <w:top w:val="nil"/>
              <w:left w:val="nil"/>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xml:space="preserve">                     -227 </w:t>
            </w:r>
          </w:p>
        </w:tc>
        <w:tc>
          <w:tcPr>
            <w:tcW w:w="1381" w:type="pct"/>
            <w:tcBorders>
              <w:top w:val="nil"/>
              <w:left w:val="nil"/>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xml:space="preserve">                                     -689 </w:t>
            </w:r>
          </w:p>
        </w:tc>
        <w:tc>
          <w:tcPr>
            <w:tcW w:w="985" w:type="pct"/>
            <w:tcBorders>
              <w:top w:val="nil"/>
              <w:left w:val="nil"/>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-917</w:t>
            </w:r>
            <w:r w:rsidRPr="00D178D3">
              <w:rPr>
                <w:rFonts w:cs="Arial"/>
                <w:color w:val="000000"/>
                <w:sz w:val="22"/>
                <w:szCs w:val="22"/>
                <w:lang w:val="en-US" w:eastAsia="zh-CN"/>
              </w:rPr>
              <w:t> </w:t>
            </w:r>
          </w:p>
        </w:tc>
      </w:tr>
      <w:tr w:rsidR="00D178D3" w:rsidRPr="00D178D3" w:rsidTr="00D178D3">
        <w:trPr>
          <w:trHeight w:val="300"/>
        </w:trPr>
        <w:tc>
          <w:tcPr>
            <w:tcW w:w="1721" w:type="pct"/>
            <w:tcBorders>
              <w:top w:val="nil"/>
              <w:left w:val="single" w:sz="4" w:space="0" w:color="auto"/>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D178D3">
              <w:rPr>
                <w:rFonts w:cs="Arial"/>
                <w:color w:val="000000"/>
                <w:sz w:val="22"/>
                <w:szCs w:val="22"/>
                <w:lang w:val="en-US" w:eastAsia="zh-CN"/>
              </w:rPr>
              <w:t>Transfer</w:t>
            </w:r>
          </w:p>
        </w:tc>
        <w:tc>
          <w:tcPr>
            <w:tcW w:w="913" w:type="pct"/>
            <w:tcBorders>
              <w:top w:val="nil"/>
              <w:left w:val="nil"/>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w:t>
            </w:r>
          </w:p>
        </w:tc>
        <w:tc>
          <w:tcPr>
            <w:tcW w:w="1381" w:type="pct"/>
            <w:tcBorders>
              <w:top w:val="nil"/>
              <w:left w:val="nil"/>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w:t>
            </w:r>
          </w:p>
        </w:tc>
        <w:tc>
          <w:tcPr>
            <w:tcW w:w="985" w:type="pct"/>
            <w:tcBorders>
              <w:top w:val="nil"/>
              <w:left w:val="nil"/>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w:t>
            </w:r>
          </w:p>
        </w:tc>
      </w:tr>
      <w:tr w:rsidR="00D178D3" w:rsidRPr="00D178D3" w:rsidTr="00D178D3">
        <w:trPr>
          <w:trHeight w:val="300"/>
        </w:trPr>
        <w:tc>
          <w:tcPr>
            <w:tcW w:w="1721" w:type="pct"/>
            <w:tcBorders>
              <w:top w:val="nil"/>
              <w:left w:val="single" w:sz="4" w:space="0" w:color="auto"/>
              <w:bottom w:val="single" w:sz="4" w:space="0" w:color="auto"/>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D178D3">
              <w:rPr>
                <w:rFonts w:cs="Arial"/>
                <w:color w:val="000000"/>
                <w:sz w:val="22"/>
                <w:szCs w:val="22"/>
                <w:lang w:val="en-US" w:eastAsia="zh-CN"/>
              </w:rPr>
              <w:t>Unrealized exchange gain</w:t>
            </w:r>
          </w:p>
        </w:tc>
        <w:tc>
          <w:tcPr>
            <w:tcW w:w="913" w:type="pct"/>
            <w:tcBorders>
              <w:top w:val="nil"/>
              <w:left w:val="single" w:sz="4" w:space="0" w:color="auto"/>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w:t>
            </w:r>
          </w:p>
        </w:tc>
        <w:tc>
          <w:tcPr>
            <w:tcW w:w="1381" w:type="pct"/>
            <w:tcBorders>
              <w:top w:val="nil"/>
              <w:left w:val="nil"/>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w:t>
            </w:r>
          </w:p>
        </w:tc>
        <w:tc>
          <w:tcPr>
            <w:tcW w:w="985" w:type="pct"/>
            <w:tcBorders>
              <w:top w:val="nil"/>
              <w:left w:val="nil"/>
              <w:bottom w:val="nil"/>
              <w:right w:val="single" w:sz="4" w:space="0" w:color="auto"/>
            </w:tcBorders>
            <w:shd w:val="clear" w:color="auto" w:fill="auto"/>
            <w:noWrap/>
            <w:vAlign w:val="bottom"/>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 </w:t>
            </w:r>
          </w:p>
        </w:tc>
      </w:tr>
      <w:tr w:rsidR="00D178D3" w:rsidRPr="00D178D3" w:rsidTr="00D178D3">
        <w:trPr>
          <w:trHeight w:val="499"/>
        </w:trPr>
        <w:tc>
          <w:tcPr>
            <w:tcW w:w="1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D178D3">
              <w:rPr>
                <w:rFonts w:cs="Arial"/>
                <w:b/>
                <w:bCs/>
                <w:color w:val="000000"/>
                <w:sz w:val="22"/>
                <w:szCs w:val="22"/>
                <w:lang w:val="en-US" w:eastAsia="zh-CN"/>
              </w:rPr>
              <w:t>Closing balance</w:t>
            </w:r>
          </w:p>
        </w:tc>
        <w:tc>
          <w:tcPr>
            <w:tcW w:w="913" w:type="pct"/>
            <w:tcBorders>
              <w:top w:val="single" w:sz="4" w:space="0" w:color="auto"/>
              <w:left w:val="nil"/>
              <w:bottom w:val="single" w:sz="4" w:space="0" w:color="auto"/>
              <w:right w:val="single" w:sz="4" w:space="0" w:color="auto"/>
            </w:tcBorders>
            <w:shd w:val="clear" w:color="auto" w:fill="auto"/>
            <w:noWrap/>
            <w:vAlign w:val="center"/>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D178D3">
              <w:rPr>
                <w:rFonts w:cs="Arial"/>
                <w:b/>
                <w:bCs/>
                <w:color w:val="000000"/>
                <w:sz w:val="22"/>
                <w:szCs w:val="22"/>
                <w:lang w:val="en-US" w:eastAsia="zh-CN"/>
              </w:rPr>
              <w:t xml:space="preserve">                       604 </w:t>
            </w:r>
          </w:p>
        </w:tc>
        <w:tc>
          <w:tcPr>
            <w:tcW w:w="1381" w:type="pct"/>
            <w:tcBorders>
              <w:top w:val="single" w:sz="4" w:space="0" w:color="auto"/>
              <w:left w:val="nil"/>
              <w:bottom w:val="single" w:sz="4" w:space="0" w:color="auto"/>
              <w:right w:val="single" w:sz="4" w:space="0" w:color="auto"/>
            </w:tcBorders>
            <w:shd w:val="clear" w:color="auto" w:fill="auto"/>
            <w:noWrap/>
            <w:vAlign w:val="center"/>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D178D3">
              <w:rPr>
                <w:rFonts w:cs="Arial"/>
                <w:b/>
                <w:bCs/>
                <w:color w:val="000000"/>
                <w:sz w:val="22"/>
                <w:szCs w:val="22"/>
                <w:lang w:val="en-US" w:eastAsia="zh-CN"/>
              </w:rPr>
              <w:t xml:space="preserve">                                   6,228 </w:t>
            </w:r>
          </w:p>
        </w:tc>
        <w:tc>
          <w:tcPr>
            <w:tcW w:w="985" w:type="pct"/>
            <w:tcBorders>
              <w:top w:val="single" w:sz="4" w:space="0" w:color="auto"/>
              <w:left w:val="nil"/>
              <w:bottom w:val="single" w:sz="4" w:space="0" w:color="auto"/>
              <w:right w:val="single" w:sz="4" w:space="0" w:color="auto"/>
            </w:tcBorders>
            <w:shd w:val="clear" w:color="auto" w:fill="auto"/>
            <w:noWrap/>
            <w:vAlign w:val="center"/>
            <w:hideMark/>
          </w:tcPr>
          <w:p w:rsidR="00D178D3" w:rsidRPr="00D178D3" w:rsidRDefault="00D178D3" w:rsidP="00D178D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D178D3">
              <w:rPr>
                <w:rFonts w:cs="Arial"/>
                <w:b/>
                <w:bCs/>
                <w:color w:val="000000"/>
                <w:sz w:val="22"/>
                <w:szCs w:val="22"/>
                <w:lang w:val="en-US" w:eastAsia="zh-CN"/>
              </w:rPr>
              <w:t xml:space="preserve">                      6,832 </w:t>
            </w:r>
          </w:p>
        </w:tc>
      </w:tr>
    </w:tbl>
    <w:p w:rsidR="0022373A" w:rsidRDefault="0022373A" w:rsidP="006506EB">
      <w:pPr>
        <w:pStyle w:val="Heading5"/>
        <w:spacing w:before="240" w:after="240"/>
        <w:ind w:left="0" w:firstLine="0"/>
        <w:rPr>
          <w:lang w:val="en-US"/>
        </w:rPr>
      </w:pPr>
      <w:bookmarkStart w:id="104" w:name="_Toc305764101"/>
      <w:bookmarkStart w:id="105" w:name="_Toc329011645"/>
      <w:r w:rsidRPr="001C2A98">
        <w:rPr>
          <w:lang w:val="en-US"/>
        </w:rPr>
        <w:t>Note 1</w:t>
      </w:r>
      <w:r w:rsidR="00284AFF">
        <w:rPr>
          <w:lang w:val="en-US"/>
        </w:rPr>
        <w:t>9</w:t>
      </w:r>
      <w:r w:rsidRPr="001C2A98">
        <w:rPr>
          <w:lang w:val="en-US"/>
        </w:rPr>
        <w:tab/>
        <w:t>Other debts</w:t>
      </w:r>
      <w:bookmarkEnd w:id="104"/>
      <w:bookmarkEnd w:id="105"/>
    </w:p>
    <w:tbl>
      <w:tblPr>
        <w:tblW w:w="5000" w:type="pct"/>
        <w:tblLook w:val="04A0" w:firstRow="1" w:lastRow="0" w:firstColumn="1" w:lastColumn="0" w:noHBand="0" w:noVBand="1"/>
      </w:tblPr>
      <w:tblGrid>
        <w:gridCol w:w="6016"/>
        <w:gridCol w:w="1961"/>
        <w:gridCol w:w="1794"/>
      </w:tblGrid>
      <w:tr w:rsidR="001C7678" w:rsidRPr="001C7678" w:rsidTr="001C7678">
        <w:trPr>
          <w:trHeight w:val="499"/>
        </w:trPr>
        <w:tc>
          <w:tcPr>
            <w:tcW w:w="3203" w:type="pct"/>
            <w:tcBorders>
              <w:top w:val="single" w:sz="4" w:space="0" w:color="auto"/>
              <w:left w:val="single" w:sz="4" w:space="0" w:color="auto"/>
              <w:bottom w:val="single" w:sz="4" w:space="0" w:color="auto"/>
              <w:right w:val="nil"/>
            </w:tcBorders>
            <w:shd w:val="clear" w:color="auto" w:fill="auto"/>
            <w:noWrap/>
            <w:vAlign w:val="center"/>
            <w:hideMark/>
          </w:tcPr>
          <w:p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1C7678">
              <w:rPr>
                <w:rFonts w:cs="Arial"/>
                <w:b/>
                <w:bCs/>
                <w:color w:val="000000"/>
                <w:sz w:val="22"/>
                <w:szCs w:val="22"/>
                <w:lang w:val="en-US" w:eastAsia="zh-CN"/>
              </w:rPr>
              <w:t>In thousands of CHF</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1C7678">
              <w:rPr>
                <w:rFonts w:cs="Arial"/>
                <w:b/>
                <w:bCs/>
                <w:color w:val="000000"/>
                <w:sz w:val="22"/>
                <w:szCs w:val="22"/>
                <w:lang w:val="en-US" w:eastAsia="zh-CN"/>
              </w:rPr>
              <w:t>31.12.2018</w:t>
            </w:r>
          </w:p>
        </w:tc>
        <w:tc>
          <w:tcPr>
            <w:tcW w:w="899" w:type="pct"/>
            <w:tcBorders>
              <w:top w:val="single" w:sz="4" w:space="0" w:color="auto"/>
              <w:left w:val="nil"/>
              <w:bottom w:val="single" w:sz="4" w:space="0" w:color="auto"/>
              <w:right w:val="single" w:sz="4" w:space="0" w:color="auto"/>
            </w:tcBorders>
            <w:shd w:val="clear" w:color="auto" w:fill="auto"/>
            <w:noWrap/>
            <w:vAlign w:val="center"/>
            <w:hideMark/>
          </w:tcPr>
          <w:p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1C7678">
              <w:rPr>
                <w:rFonts w:cs="Arial"/>
                <w:b/>
                <w:bCs/>
                <w:color w:val="000000"/>
                <w:sz w:val="22"/>
                <w:szCs w:val="22"/>
                <w:lang w:val="en-US" w:eastAsia="zh-CN"/>
              </w:rPr>
              <w:t>31.12.2017</w:t>
            </w:r>
          </w:p>
        </w:tc>
      </w:tr>
      <w:tr w:rsidR="001C7678" w:rsidRPr="001C7678" w:rsidTr="001C7678">
        <w:trPr>
          <w:trHeight w:val="300"/>
        </w:trPr>
        <w:tc>
          <w:tcPr>
            <w:tcW w:w="3203" w:type="pct"/>
            <w:tcBorders>
              <w:top w:val="nil"/>
              <w:left w:val="single" w:sz="4" w:space="0" w:color="auto"/>
              <w:bottom w:val="nil"/>
              <w:right w:val="nil"/>
            </w:tcBorders>
            <w:shd w:val="clear" w:color="auto" w:fill="auto"/>
            <w:noWrap/>
            <w:vAlign w:val="bottom"/>
            <w:hideMark/>
          </w:tcPr>
          <w:p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1C7678">
              <w:rPr>
                <w:rFonts w:cs="Arial"/>
                <w:color w:val="000000"/>
                <w:sz w:val="22"/>
                <w:szCs w:val="22"/>
                <w:lang w:val="en-US" w:eastAsia="zh-CN"/>
              </w:rPr>
              <w:t> </w:t>
            </w:r>
          </w:p>
        </w:tc>
        <w:tc>
          <w:tcPr>
            <w:tcW w:w="899" w:type="pct"/>
            <w:tcBorders>
              <w:top w:val="nil"/>
              <w:left w:val="single" w:sz="4" w:space="0" w:color="auto"/>
              <w:bottom w:val="nil"/>
              <w:right w:val="single" w:sz="4" w:space="0" w:color="auto"/>
            </w:tcBorders>
            <w:shd w:val="clear" w:color="auto" w:fill="auto"/>
            <w:noWrap/>
            <w:vAlign w:val="bottom"/>
            <w:hideMark/>
          </w:tcPr>
          <w:p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1C7678">
              <w:rPr>
                <w:rFonts w:cs="Arial"/>
                <w:color w:val="000000"/>
                <w:sz w:val="22"/>
                <w:szCs w:val="22"/>
                <w:lang w:val="en-US" w:eastAsia="zh-CN"/>
              </w:rPr>
              <w:t> </w:t>
            </w:r>
          </w:p>
        </w:tc>
        <w:tc>
          <w:tcPr>
            <w:tcW w:w="899" w:type="pct"/>
            <w:tcBorders>
              <w:top w:val="nil"/>
              <w:left w:val="nil"/>
              <w:bottom w:val="nil"/>
              <w:right w:val="single" w:sz="4" w:space="0" w:color="auto"/>
            </w:tcBorders>
            <w:shd w:val="clear" w:color="auto" w:fill="auto"/>
            <w:noWrap/>
            <w:vAlign w:val="bottom"/>
            <w:hideMark/>
          </w:tcPr>
          <w:p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22"/>
                <w:szCs w:val="22"/>
                <w:lang w:val="en-US" w:eastAsia="zh-CN"/>
              </w:rPr>
            </w:pPr>
            <w:r w:rsidRPr="001C7678">
              <w:rPr>
                <w:rFonts w:cs="Arial"/>
                <w:color w:val="000000"/>
                <w:sz w:val="22"/>
                <w:szCs w:val="22"/>
                <w:lang w:val="en-US" w:eastAsia="zh-CN"/>
              </w:rPr>
              <w:t> </w:t>
            </w:r>
          </w:p>
        </w:tc>
      </w:tr>
      <w:tr w:rsidR="001C7678" w:rsidRPr="001C7678" w:rsidTr="001C7678">
        <w:trPr>
          <w:trHeight w:val="300"/>
        </w:trPr>
        <w:tc>
          <w:tcPr>
            <w:tcW w:w="3203" w:type="pct"/>
            <w:tcBorders>
              <w:top w:val="nil"/>
              <w:left w:val="single" w:sz="4" w:space="0" w:color="auto"/>
              <w:bottom w:val="nil"/>
              <w:right w:val="nil"/>
            </w:tcBorders>
            <w:shd w:val="clear" w:color="auto" w:fill="auto"/>
            <w:noWrap/>
            <w:vAlign w:val="bottom"/>
            <w:hideMark/>
          </w:tcPr>
          <w:p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1C7678">
              <w:rPr>
                <w:rFonts w:cs="Arial"/>
                <w:color w:val="000000"/>
                <w:sz w:val="22"/>
                <w:szCs w:val="22"/>
                <w:lang w:val="en-US" w:eastAsia="zh-CN"/>
              </w:rPr>
              <w:t>Accounts payable</w:t>
            </w:r>
          </w:p>
        </w:tc>
        <w:tc>
          <w:tcPr>
            <w:tcW w:w="899" w:type="pct"/>
            <w:tcBorders>
              <w:top w:val="nil"/>
              <w:left w:val="single" w:sz="4" w:space="0" w:color="auto"/>
              <w:bottom w:val="nil"/>
              <w:right w:val="single" w:sz="4" w:space="0" w:color="auto"/>
            </w:tcBorders>
            <w:shd w:val="clear" w:color="auto" w:fill="auto"/>
            <w:noWrap/>
            <w:vAlign w:val="bottom"/>
            <w:hideMark/>
          </w:tcPr>
          <w:p w:rsidR="001C7678" w:rsidRPr="001C7678" w:rsidRDefault="001C7678" w:rsidP="00AC43C6">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1C7678">
              <w:rPr>
                <w:rFonts w:cs="Arial"/>
                <w:color w:val="000000"/>
                <w:sz w:val="22"/>
                <w:szCs w:val="22"/>
                <w:lang w:val="en-US" w:eastAsia="zh-CN"/>
              </w:rPr>
              <w:t xml:space="preserve">                         </w:t>
            </w:r>
            <w:r w:rsidR="00AC43C6">
              <w:rPr>
                <w:rFonts w:cs="Arial"/>
                <w:color w:val="000000"/>
                <w:sz w:val="22"/>
                <w:szCs w:val="22"/>
                <w:lang w:val="en-US" w:eastAsia="zh-CN"/>
              </w:rPr>
              <w:t>2,511</w:t>
            </w:r>
          </w:p>
        </w:tc>
        <w:tc>
          <w:tcPr>
            <w:tcW w:w="899" w:type="pct"/>
            <w:tcBorders>
              <w:top w:val="nil"/>
              <w:left w:val="nil"/>
              <w:bottom w:val="nil"/>
              <w:right w:val="single" w:sz="4" w:space="0" w:color="auto"/>
            </w:tcBorders>
            <w:shd w:val="clear" w:color="auto" w:fill="auto"/>
            <w:noWrap/>
            <w:vAlign w:val="bottom"/>
            <w:hideMark/>
          </w:tcPr>
          <w:p w:rsidR="001C7678" w:rsidRPr="001C7678" w:rsidRDefault="001C7678" w:rsidP="00EE5E65">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1C7678">
              <w:rPr>
                <w:rFonts w:cs="Arial"/>
                <w:color w:val="000000"/>
                <w:sz w:val="22"/>
                <w:szCs w:val="22"/>
                <w:lang w:val="en-US" w:eastAsia="zh-CN"/>
              </w:rPr>
              <w:t xml:space="preserve">                     </w:t>
            </w:r>
            <w:r w:rsidR="00EE5E65">
              <w:rPr>
                <w:rFonts w:cs="Arial"/>
                <w:color w:val="000000"/>
                <w:sz w:val="22"/>
                <w:szCs w:val="22"/>
                <w:lang w:val="en-US" w:eastAsia="zh-CN"/>
              </w:rPr>
              <w:t>944</w:t>
            </w:r>
            <w:r w:rsidRPr="001C7678">
              <w:rPr>
                <w:rFonts w:cs="Arial"/>
                <w:color w:val="000000"/>
                <w:sz w:val="22"/>
                <w:szCs w:val="22"/>
                <w:lang w:val="en-US" w:eastAsia="zh-CN"/>
              </w:rPr>
              <w:t xml:space="preserve"> </w:t>
            </w:r>
          </w:p>
        </w:tc>
      </w:tr>
      <w:tr w:rsidR="001C7678" w:rsidRPr="001C7678" w:rsidTr="001C7678">
        <w:trPr>
          <w:trHeight w:val="300"/>
        </w:trPr>
        <w:tc>
          <w:tcPr>
            <w:tcW w:w="3203" w:type="pct"/>
            <w:tcBorders>
              <w:top w:val="nil"/>
              <w:left w:val="single" w:sz="4" w:space="0" w:color="auto"/>
              <w:bottom w:val="nil"/>
              <w:right w:val="nil"/>
            </w:tcBorders>
            <w:shd w:val="clear" w:color="auto" w:fill="auto"/>
            <w:noWrap/>
            <w:vAlign w:val="bottom"/>
            <w:hideMark/>
          </w:tcPr>
          <w:p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1C7678">
              <w:rPr>
                <w:rFonts w:cs="Arial"/>
                <w:color w:val="000000"/>
                <w:sz w:val="22"/>
                <w:szCs w:val="22"/>
                <w:lang w:val="en-US" w:eastAsia="zh-CN"/>
              </w:rPr>
              <w:t>Employees miscellaneous</w:t>
            </w:r>
          </w:p>
        </w:tc>
        <w:tc>
          <w:tcPr>
            <w:tcW w:w="899" w:type="pct"/>
            <w:tcBorders>
              <w:top w:val="nil"/>
              <w:left w:val="single" w:sz="4" w:space="0" w:color="auto"/>
              <w:bottom w:val="nil"/>
              <w:right w:val="single" w:sz="4" w:space="0" w:color="auto"/>
            </w:tcBorders>
            <w:shd w:val="clear" w:color="auto" w:fill="auto"/>
            <w:noWrap/>
            <w:vAlign w:val="bottom"/>
            <w:hideMark/>
          </w:tcPr>
          <w:p w:rsidR="001C7678" w:rsidRPr="001C7678" w:rsidRDefault="001C7678" w:rsidP="00AC43C6">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1C7678">
              <w:rPr>
                <w:rFonts w:cs="Arial"/>
                <w:color w:val="000000"/>
                <w:sz w:val="22"/>
                <w:szCs w:val="22"/>
                <w:lang w:val="en-US" w:eastAsia="zh-CN"/>
              </w:rPr>
              <w:t xml:space="preserve">                         651 </w:t>
            </w:r>
          </w:p>
        </w:tc>
        <w:tc>
          <w:tcPr>
            <w:tcW w:w="899" w:type="pct"/>
            <w:tcBorders>
              <w:top w:val="nil"/>
              <w:left w:val="nil"/>
              <w:bottom w:val="nil"/>
              <w:right w:val="single" w:sz="4" w:space="0" w:color="auto"/>
            </w:tcBorders>
            <w:shd w:val="clear" w:color="auto" w:fill="auto"/>
            <w:noWrap/>
            <w:vAlign w:val="bottom"/>
            <w:hideMark/>
          </w:tcPr>
          <w:p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1C7678">
              <w:rPr>
                <w:rFonts w:cs="Arial"/>
                <w:color w:val="000000"/>
                <w:sz w:val="22"/>
                <w:szCs w:val="22"/>
                <w:lang w:val="en-US" w:eastAsia="zh-CN"/>
              </w:rPr>
              <w:t xml:space="preserve">                         823 </w:t>
            </w:r>
          </w:p>
        </w:tc>
      </w:tr>
      <w:tr w:rsidR="001C7678" w:rsidRPr="001C7678" w:rsidTr="001C7678">
        <w:trPr>
          <w:trHeight w:val="300"/>
        </w:trPr>
        <w:tc>
          <w:tcPr>
            <w:tcW w:w="3203" w:type="pct"/>
            <w:tcBorders>
              <w:top w:val="nil"/>
              <w:left w:val="single" w:sz="4" w:space="0" w:color="auto"/>
              <w:bottom w:val="nil"/>
              <w:right w:val="nil"/>
            </w:tcBorders>
            <w:shd w:val="clear" w:color="auto" w:fill="auto"/>
            <w:noWrap/>
            <w:vAlign w:val="bottom"/>
            <w:hideMark/>
          </w:tcPr>
          <w:p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1C7678">
              <w:rPr>
                <w:rFonts w:cs="Arial"/>
                <w:color w:val="000000"/>
                <w:sz w:val="22"/>
                <w:szCs w:val="22"/>
                <w:lang w:val="en-US" w:eastAsia="zh-CN"/>
              </w:rPr>
              <w:t>Goods receipt/Invoice receipt</w:t>
            </w:r>
          </w:p>
        </w:tc>
        <w:tc>
          <w:tcPr>
            <w:tcW w:w="899" w:type="pct"/>
            <w:tcBorders>
              <w:top w:val="nil"/>
              <w:left w:val="single" w:sz="4" w:space="0" w:color="auto"/>
              <w:bottom w:val="nil"/>
              <w:right w:val="single" w:sz="4" w:space="0" w:color="auto"/>
            </w:tcBorders>
            <w:shd w:val="clear" w:color="auto" w:fill="auto"/>
            <w:noWrap/>
            <w:vAlign w:val="bottom"/>
            <w:hideMark/>
          </w:tcPr>
          <w:p w:rsidR="001C7678" w:rsidRPr="001C7678" w:rsidRDefault="001C7678" w:rsidP="00AC43C6">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1C7678">
              <w:rPr>
                <w:rFonts w:cs="Arial"/>
                <w:color w:val="000000"/>
                <w:sz w:val="22"/>
                <w:szCs w:val="22"/>
                <w:lang w:val="en-US" w:eastAsia="zh-CN"/>
              </w:rPr>
              <w:t xml:space="preserve">                           21 </w:t>
            </w:r>
          </w:p>
        </w:tc>
        <w:tc>
          <w:tcPr>
            <w:tcW w:w="899" w:type="pct"/>
            <w:tcBorders>
              <w:top w:val="nil"/>
              <w:left w:val="nil"/>
              <w:bottom w:val="nil"/>
              <w:right w:val="single" w:sz="4" w:space="0" w:color="auto"/>
            </w:tcBorders>
            <w:shd w:val="clear" w:color="auto" w:fill="auto"/>
            <w:noWrap/>
            <w:vAlign w:val="bottom"/>
            <w:hideMark/>
          </w:tcPr>
          <w:p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1C7678">
              <w:rPr>
                <w:rFonts w:cs="Arial"/>
                <w:color w:val="000000"/>
                <w:sz w:val="22"/>
                <w:szCs w:val="22"/>
                <w:lang w:val="en-US" w:eastAsia="zh-CN"/>
              </w:rPr>
              <w:t xml:space="preserve">                           21 </w:t>
            </w:r>
          </w:p>
        </w:tc>
      </w:tr>
      <w:tr w:rsidR="001C7678" w:rsidRPr="001C7678" w:rsidTr="001C7678">
        <w:trPr>
          <w:trHeight w:val="300"/>
        </w:trPr>
        <w:tc>
          <w:tcPr>
            <w:tcW w:w="3203" w:type="pct"/>
            <w:tcBorders>
              <w:top w:val="nil"/>
              <w:left w:val="single" w:sz="4" w:space="0" w:color="auto"/>
              <w:bottom w:val="nil"/>
              <w:right w:val="nil"/>
            </w:tcBorders>
            <w:shd w:val="clear" w:color="auto" w:fill="auto"/>
            <w:noWrap/>
            <w:vAlign w:val="bottom"/>
            <w:hideMark/>
          </w:tcPr>
          <w:p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1C7678">
              <w:rPr>
                <w:rFonts w:cs="Arial"/>
                <w:color w:val="000000"/>
                <w:sz w:val="22"/>
                <w:szCs w:val="22"/>
                <w:lang w:val="en-US" w:eastAsia="zh-CN"/>
              </w:rPr>
              <w:t>UNDP</w:t>
            </w:r>
          </w:p>
        </w:tc>
        <w:tc>
          <w:tcPr>
            <w:tcW w:w="899" w:type="pct"/>
            <w:tcBorders>
              <w:top w:val="nil"/>
              <w:left w:val="single" w:sz="4" w:space="0" w:color="auto"/>
              <w:bottom w:val="nil"/>
              <w:right w:val="single" w:sz="4" w:space="0" w:color="auto"/>
            </w:tcBorders>
            <w:shd w:val="clear" w:color="auto" w:fill="auto"/>
            <w:noWrap/>
            <w:vAlign w:val="bottom"/>
            <w:hideMark/>
          </w:tcPr>
          <w:p w:rsidR="001C7678" w:rsidRPr="001C7678" w:rsidRDefault="001C7678" w:rsidP="00AC43C6">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1C7678">
              <w:rPr>
                <w:rFonts w:cs="Arial"/>
                <w:color w:val="000000"/>
                <w:sz w:val="22"/>
                <w:szCs w:val="22"/>
                <w:lang w:val="en-US" w:eastAsia="zh-CN"/>
              </w:rPr>
              <w:t xml:space="preserve">                           12 </w:t>
            </w:r>
          </w:p>
        </w:tc>
        <w:tc>
          <w:tcPr>
            <w:tcW w:w="899" w:type="pct"/>
            <w:tcBorders>
              <w:top w:val="nil"/>
              <w:left w:val="nil"/>
              <w:bottom w:val="nil"/>
              <w:right w:val="single" w:sz="4" w:space="0" w:color="auto"/>
            </w:tcBorders>
            <w:shd w:val="clear" w:color="auto" w:fill="auto"/>
            <w:noWrap/>
            <w:vAlign w:val="bottom"/>
            <w:hideMark/>
          </w:tcPr>
          <w:p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1C7678">
              <w:rPr>
                <w:rFonts w:cs="Arial"/>
                <w:color w:val="000000"/>
                <w:sz w:val="22"/>
                <w:szCs w:val="22"/>
                <w:lang w:val="en-US" w:eastAsia="zh-CN"/>
              </w:rPr>
              <w:t xml:space="preserve">                           22 </w:t>
            </w:r>
          </w:p>
        </w:tc>
      </w:tr>
      <w:tr w:rsidR="001C7678" w:rsidRPr="001C7678" w:rsidTr="001C7678">
        <w:trPr>
          <w:trHeight w:val="300"/>
        </w:trPr>
        <w:tc>
          <w:tcPr>
            <w:tcW w:w="3203" w:type="pct"/>
            <w:tcBorders>
              <w:top w:val="nil"/>
              <w:left w:val="single" w:sz="4" w:space="0" w:color="auto"/>
              <w:bottom w:val="nil"/>
              <w:right w:val="nil"/>
            </w:tcBorders>
            <w:shd w:val="clear" w:color="auto" w:fill="auto"/>
            <w:noWrap/>
            <w:vAlign w:val="bottom"/>
            <w:hideMark/>
          </w:tcPr>
          <w:p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1C7678">
              <w:rPr>
                <w:rFonts w:cs="Arial"/>
                <w:color w:val="000000"/>
                <w:sz w:val="22"/>
                <w:szCs w:val="22"/>
                <w:lang w:val="en-US" w:eastAsia="zh-CN"/>
              </w:rPr>
              <w:t> </w:t>
            </w:r>
          </w:p>
        </w:tc>
        <w:tc>
          <w:tcPr>
            <w:tcW w:w="899" w:type="pct"/>
            <w:tcBorders>
              <w:top w:val="nil"/>
              <w:left w:val="single" w:sz="4" w:space="0" w:color="auto"/>
              <w:bottom w:val="single" w:sz="4" w:space="0" w:color="auto"/>
              <w:right w:val="single" w:sz="4" w:space="0" w:color="auto"/>
            </w:tcBorders>
            <w:shd w:val="clear" w:color="auto" w:fill="auto"/>
            <w:noWrap/>
            <w:vAlign w:val="bottom"/>
            <w:hideMark/>
          </w:tcPr>
          <w:p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1C7678">
              <w:rPr>
                <w:rFonts w:cs="Arial"/>
                <w:color w:val="000000"/>
                <w:sz w:val="22"/>
                <w:szCs w:val="22"/>
                <w:lang w:val="en-US" w:eastAsia="zh-CN"/>
              </w:rPr>
              <w:t> </w:t>
            </w:r>
          </w:p>
        </w:tc>
        <w:tc>
          <w:tcPr>
            <w:tcW w:w="899" w:type="pct"/>
            <w:tcBorders>
              <w:top w:val="nil"/>
              <w:left w:val="nil"/>
              <w:bottom w:val="nil"/>
              <w:right w:val="single" w:sz="4" w:space="0" w:color="auto"/>
            </w:tcBorders>
            <w:shd w:val="clear" w:color="auto" w:fill="auto"/>
            <w:noWrap/>
            <w:vAlign w:val="bottom"/>
            <w:hideMark/>
          </w:tcPr>
          <w:p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1C7678">
              <w:rPr>
                <w:rFonts w:cs="Arial"/>
                <w:color w:val="000000"/>
                <w:sz w:val="22"/>
                <w:szCs w:val="22"/>
                <w:lang w:val="en-US" w:eastAsia="zh-CN"/>
              </w:rPr>
              <w:t> </w:t>
            </w:r>
          </w:p>
        </w:tc>
      </w:tr>
      <w:tr w:rsidR="001C7678" w:rsidRPr="001C7678" w:rsidTr="001C7678">
        <w:trPr>
          <w:trHeight w:val="499"/>
        </w:trPr>
        <w:tc>
          <w:tcPr>
            <w:tcW w:w="3203" w:type="pct"/>
            <w:tcBorders>
              <w:top w:val="single" w:sz="4" w:space="0" w:color="auto"/>
              <w:left w:val="single" w:sz="4" w:space="0" w:color="auto"/>
              <w:bottom w:val="single" w:sz="4" w:space="0" w:color="auto"/>
              <w:right w:val="nil"/>
            </w:tcBorders>
            <w:shd w:val="clear" w:color="auto" w:fill="auto"/>
            <w:noWrap/>
            <w:vAlign w:val="center"/>
            <w:hideMark/>
          </w:tcPr>
          <w:p w:rsidR="001C7678" w:rsidRPr="001C7678" w:rsidRDefault="001C7678" w:rsidP="001C7678">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1C7678">
              <w:rPr>
                <w:rFonts w:cs="Arial"/>
                <w:b/>
                <w:bCs/>
                <w:color w:val="000000"/>
                <w:sz w:val="22"/>
                <w:szCs w:val="22"/>
                <w:lang w:val="en-US" w:eastAsia="zh-CN"/>
              </w:rPr>
              <w:t>Other debts</w:t>
            </w:r>
          </w:p>
        </w:tc>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1C7678" w:rsidRPr="001C7678" w:rsidRDefault="001C7678" w:rsidP="00AC43C6">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1C7678">
              <w:rPr>
                <w:rFonts w:cs="Arial"/>
                <w:b/>
                <w:bCs/>
                <w:color w:val="000000"/>
                <w:sz w:val="22"/>
                <w:szCs w:val="22"/>
                <w:lang w:val="en-US" w:eastAsia="zh-CN"/>
              </w:rPr>
              <w:t xml:space="preserve">                     </w:t>
            </w:r>
            <w:r w:rsidR="00AC43C6">
              <w:rPr>
                <w:rFonts w:cs="Arial"/>
                <w:b/>
                <w:bCs/>
                <w:color w:val="000000"/>
                <w:sz w:val="22"/>
                <w:szCs w:val="22"/>
                <w:lang w:val="en-US" w:eastAsia="zh-CN"/>
              </w:rPr>
              <w:t>3</w:t>
            </w:r>
            <w:r w:rsidRPr="001C7678">
              <w:rPr>
                <w:rFonts w:cs="Arial"/>
                <w:b/>
                <w:bCs/>
                <w:color w:val="000000"/>
                <w:sz w:val="22"/>
                <w:szCs w:val="22"/>
                <w:lang w:val="en-US" w:eastAsia="zh-CN"/>
              </w:rPr>
              <w:t>,</w:t>
            </w:r>
            <w:r w:rsidR="00AC43C6">
              <w:rPr>
                <w:rFonts w:cs="Arial"/>
                <w:b/>
                <w:bCs/>
                <w:color w:val="000000"/>
                <w:sz w:val="22"/>
                <w:szCs w:val="22"/>
                <w:lang w:val="en-US" w:eastAsia="zh-CN"/>
              </w:rPr>
              <w:t>195</w:t>
            </w:r>
            <w:r w:rsidRPr="001C7678">
              <w:rPr>
                <w:rFonts w:cs="Arial"/>
                <w:b/>
                <w:bCs/>
                <w:color w:val="000000"/>
                <w:sz w:val="22"/>
                <w:szCs w:val="22"/>
                <w:lang w:val="en-US" w:eastAsia="zh-CN"/>
              </w:rPr>
              <w:t xml:space="preserve"> </w:t>
            </w:r>
          </w:p>
        </w:tc>
        <w:tc>
          <w:tcPr>
            <w:tcW w:w="899" w:type="pct"/>
            <w:tcBorders>
              <w:top w:val="single" w:sz="4" w:space="0" w:color="auto"/>
              <w:left w:val="nil"/>
              <w:bottom w:val="single" w:sz="4" w:space="0" w:color="auto"/>
              <w:right w:val="single" w:sz="4" w:space="0" w:color="auto"/>
            </w:tcBorders>
            <w:shd w:val="clear" w:color="auto" w:fill="auto"/>
            <w:noWrap/>
            <w:vAlign w:val="center"/>
            <w:hideMark/>
          </w:tcPr>
          <w:p w:rsidR="001C7678" w:rsidRPr="001C7678" w:rsidRDefault="001C7678" w:rsidP="00D5754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1C7678">
              <w:rPr>
                <w:rFonts w:cs="Arial"/>
                <w:b/>
                <w:bCs/>
                <w:color w:val="000000"/>
                <w:sz w:val="22"/>
                <w:szCs w:val="22"/>
                <w:lang w:val="en-US" w:eastAsia="zh-CN"/>
              </w:rPr>
              <w:t xml:space="preserve">                     </w:t>
            </w:r>
            <w:r w:rsidR="00EE5E65">
              <w:rPr>
                <w:rFonts w:cs="Arial"/>
                <w:b/>
                <w:bCs/>
                <w:color w:val="000000"/>
                <w:sz w:val="22"/>
                <w:szCs w:val="22"/>
                <w:lang w:val="en-US" w:eastAsia="zh-CN"/>
              </w:rPr>
              <w:t>1</w:t>
            </w:r>
            <w:r w:rsidRPr="001C7678">
              <w:rPr>
                <w:rFonts w:cs="Arial"/>
                <w:b/>
                <w:bCs/>
                <w:color w:val="000000"/>
                <w:sz w:val="22"/>
                <w:szCs w:val="22"/>
                <w:lang w:val="en-US" w:eastAsia="zh-CN"/>
              </w:rPr>
              <w:t>,</w:t>
            </w:r>
            <w:r w:rsidR="00EE5E65">
              <w:rPr>
                <w:rFonts w:cs="Arial"/>
                <w:b/>
                <w:bCs/>
                <w:color w:val="000000"/>
                <w:sz w:val="22"/>
                <w:szCs w:val="22"/>
                <w:lang w:val="en-US" w:eastAsia="zh-CN"/>
              </w:rPr>
              <w:t>810</w:t>
            </w:r>
            <w:r w:rsidRPr="001C7678">
              <w:rPr>
                <w:rFonts w:cs="Arial"/>
                <w:b/>
                <w:bCs/>
                <w:color w:val="000000"/>
                <w:sz w:val="22"/>
                <w:szCs w:val="22"/>
                <w:lang w:val="en-US" w:eastAsia="zh-CN"/>
              </w:rPr>
              <w:t xml:space="preserve"> </w:t>
            </w:r>
          </w:p>
        </w:tc>
      </w:tr>
    </w:tbl>
    <w:p w:rsidR="0022373A" w:rsidRPr="00727AB6" w:rsidRDefault="0022373A" w:rsidP="00284AFF">
      <w:pPr>
        <w:pStyle w:val="Heading5"/>
        <w:jc w:val="both"/>
        <w:rPr>
          <w:lang w:val="en-US"/>
        </w:rPr>
      </w:pPr>
      <w:bookmarkStart w:id="106" w:name="_Toc305764102"/>
      <w:bookmarkStart w:id="107" w:name="_Toc329011646"/>
      <w:r w:rsidRPr="00625FBE">
        <w:rPr>
          <w:lang w:val="en-US"/>
        </w:rPr>
        <w:t xml:space="preserve">Note </w:t>
      </w:r>
      <w:r w:rsidR="00284AFF" w:rsidRPr="00625FBE">
        <w:rPr>
          <w:lang w:val="en-US"/>
        </w:rPr>
        <w:t>20</w:t>
      </w:r>
      <w:r w:rsidRPr="00727AB6">
        <w:rPr>
          <w:lang w:val="en-US"/>
        </w:rPr>
        <w:tab/>
        <w:t>Allocated and unallocated</w:t>
      </w:r>
      <w:r w:rsidR="00C22BFF" w:rsidRPr="00727AB6">
        <w:rPr>
          <w:lang w:val="en-US"/>
        </w:rPr>
        <w:t xml:space="preserve"> extra budgetary funds</w:t>
      </w:r>
      <w:bookmarkEnd w:id="106"/>
      <w:bookmarkEnd w:id="107"/>
    </w:p>
    <w:p w:rsidR="0022373A" w:rsidRDefault="0022373A" w:rsidP="005C41A5">
      <w:pPr>
        <w:jc w:val="both"/>
        <w:rPr>
          <w:lang w:val="en-US"/>
        </w:rPr>
      </w:pPr>
      <w:r w:rsidRPr="00CF1FDC">
        <w:rPr>
          <w:lang w:val="en-US"/>
        </w:rPr>
        <w:t>In accordance with IPSAS 23, the balance of funds at the date of closure represents f</w:t>
      </w:r>
      <w:r w:rsidR="0077765F" w:rsidRPr="00CF1FDC">
        <w:rPr>
          <w:lang w:val="en-US"/>
        </w:rPr>
        <w:t>inancing received and not yet expens</w:t>
      </w:r>
      <w:r w:rsidRPr="00CF1FDC">
        <w:rPr>
          <w:lang w:val="en-US"/>
        </w:rPr>
        <w:t>ed. Balances are presented in the corresponding line of the balance sheet and the movements in these funds are illustrated in the following table, which indicates whether or not the fina</w:t>
      </w:r>
      <w:r w:rsidR="00C834E4" w:rsidRPr="00CF1FDC">
        <w:rPr>
          <w:lang w:val="en-US"/>
        </w:rPr>
        <w:t>ncing is allocated to a project from third party sources or from ITU funding.</w:t>
      </w:r>
    </w:p>
    <w:p w:rsidR="00F52E97" w:rsidRDefault="00F52E97" w:rsidP="00A717BA">
      <w:pPr>
        <w:spacing w:before="0"/>
        <w:jc w:val="both"/>
        <w:rPr>
          <w:lang w:val="en-US"/>
        </w:rPr>
      </w:pPr>
    </w:p>
    <w:tbl>
      <w:tblPr>
        <w:tblStyle w:val="TableGrid"/>
        <w:tblW w:w="5000" w:type="pct"/>
        <w:tblLook w:val="04A0" w:firstRow="1" w:lastRow="0" w:firstColumn="1" w:lastColumn="0" w:noHBand="0" w:noVBand="1"/>
      </w:tblPr>
      <w:tblGrid>
        <w:gridCol w:w="3229"/>
        <w:gridCol w:w="1644"/>
        <w:gridCol w:w="1612"/>
        <w:gridCol w:w="1544"/>
        <w:gridCol w:w="1742"/>
      </w:tblGrid>
      <w:tr w:rsidR="00BE4C36" w:rsidRPr="00BE4C36" w:rsidTr="00A15C15">
        <w:trPr>
          <w:trHeight w:val="1500"/>
        </w:trPr>
        <w:tc>
          <w:tcPr>
            <w:tcW w:w="1652" w:type="pct"/>
            <w:noWrap/>
            <w:hideMark/>
          </w:tcPr>
          <w:p w:rsidR="00BE4C36" w:rsidRPr="00BE4C36" w:rsidRDefault="00BE4C36" w:rsidP="00BE4C36">
            <w:pPr>
              <w:spacing w:before="0"/>
              <w:jc w:val="both"/>
              <w:rPr>
                <w:lang w:val="en-US"/>
              </w:rPr>
            </w:pPr>
          </w:p>
        </w:tc>
        <w:tc>
          <w:tcPr>
            <w:tcW w:w="841" w:type="pct"/>
            <w:hideMark/>
          </w:tcPr>
          <w:p w:rsidR="00BE4C36" w:rsidRPr="00BE4C36" w:rsidRDefault="00BE4C36" w:rsidP="00A15C15">
            <w:pPr>
              <w:spacing w:before="0"/>
              <w:jc w:val="center"/>
            </w:pPr>
            <w:r w:rsidRPr="00BE4C36">
              <w:t>Third-party funds allocated</w:t>
            </w:r>
          </w:p>
        </w:tc>
        <w:tc>
          <w:tcPr>
            <w:tcW w:w="825" w:type="pct"/>
            <w:hideMark/>
          </w:tcPr>
          <w:p w:rsidR="00BE4C36" w:rsidRPr="00BE4C36" w:rsidRDefault="00BE4C36" w:rsidP="00A15C15">
            <w:pPr>
              <w:spacing w:before="0"/>
              <w:jc w:val="center"/>
            </w:pPr>
            <w:r w:rsidRPr="00BE4C36">
              <w:t>Third-party funds awaiting allocation</w:t>
            </w:r>
          </w:p>
        </w:tc>
        <w:tc>
          <w:tcPr>
            <w:tcW w:w="790" w:type="pct"/>
            <w:hideMark/>
          </w:tcPr>
          <w:p w:rsidR="00A15C15" w:rsidRDefault="00BE4C36" w:rsidP="00A15C15">
            <w:pPr>
              <w:spacing w:before="0"/>
              <w:jc w:val="center"/>
              <w:rPr>
                <w:b/>
                <w:bCs/>
              </w:rPr>
            </w:pPr>
            <w:r w:rsidRPr="00BE4C36">
              <w:rPr>
                <w:b/>
                <w:bCs/>
              </w:rPr>
              <w:t>Total</w:t>
            </w:r>
          </w:p>
          <w:p w:rsidR="00BE4C36" w:rsidRPr="00BE4C36" w:rsidRDefault="00BE4C36" w:rsidP="00A15C15">
            <w:pPr>
              <w:spacing w:before="0"/>
              <w:jc w:val="center"/>
              <w:rPr>
                <w:b/>
                <w:bCs/>
              </w:rPr>
            </w:pPr>
            <w:r w:rsidRPr="00BE4C36">
              <w:rPr>
                <w:b/>
                <w:bCs/>
              </w:rPr>
              <w:t>third-party funds</w:t>
            </w:r>
          </w:p>
        </w:tc>
        <w:tc>
          <w:tcPr>
            <w:tcW w:w="891" w:type="pct"/>
            <w:hideMark/>
          </w:tcPr>
          <w:p w:rsidR="00A15C15" w:rsidRDefault="00BE4C36" w:rsidP="00A15C15">
            <w:pPr>
              <w:spacing w:before="0"/>
              <w:jc w:val="center"/>
              <w:rPr>
                <w:b/>
                <w:bCs/>
              </w:rPr>
            </w:pPr>
            <w:r w:rsidRPr="00BE4C36">
              <w:rPr>
                <w:b/>
                <w:bCs/>
              </w:rPr>
              <w:t>Own</w:t>
            </w:r>
            <w:r w:rsidR="00A15C15">
              <w:rPr>
                <w:b/>
                <w:bCs/>
              </w:rPr>
              <w:t xml:space="preserve"> </w:t>
            </w:r>
            <w:r w:rsidRPr="00BE4C36">
              <w:rPr>
                <w:b/>
                <w:bCs/>
              </w:rPr>
              <w:t>funds</w:t>
            </w:r>
          </w:p>
          <w:p w:rsidR="00BE4C36" w:rsidRPr="00BE4C36" w:rsidRDefault="00BE4C36" w:rsidP="00A15C15">
            <w:pPr>
              <w:spacing w:before="0"/>
              <w:jc w:val="center"/>
              <w:rPr>
                <w:b/>
                <w:bCs/>
              </w:rPr>
            </w:pPr>
            <w:r w:rsidRPr="00BE4C36">
              <w:rPr>
                <w:b/>
                <w:bCs/>
              </w:rPr>
              <w:t>allocated to Extra-budge</w:t>
            </w:r>
            <w:r w:rsidR="00A15C15">
              <w:rPr>
                <w:b/>
                <w:bCs/>
              </w:rPr>
              <w:t>t</w:t>
            </w:r>
            <w:r w:rsidRPr="00BE4C36">
              <w:rPr>
                <w:b/>
                <w:bCs/>
              </w:rPr>
              <w:t>ary projects</w:t>
            </w:r>
          </w:p>
        </w:tc>
      </w:tr>
      <w:tr w:rsidR="00BE4C36" w:rsidRPr="00BE4C36" w:rsidTr="00A15C15">
        <w:trPr>
          <w:trHeight w:val="300"/>
        </w:trPr>
        <w:tc>
          <w:tcPr>
            <w:tcW w:w="1652" w:type="pct"/>
            <w:noWrap/>
            <w:hideMark/>
          </w:tcPr>
          <w:p w:rsidR="00BE4C36" w:rsidRPr="00BE4C36" w:rsidRDefault="00BE4C36" w:rsidP="00BE4C36">
            <w:pPr>
              <w:spacing w:before="0"/>
              <w:jc w:val="both"/>
              <w:rPr>
                <w:b/>
                <w:bCs/>
              </w:rPr>
            </w:pPr>
            <w:r w:rsidRPr="00BE4C36">
              <w:rPr>
                <w:b/>
                <w:bCs/>
              </w:rPr>
              <w:t>Balance</w:t>
            </w:r>
            <w:r w:rsidR="00D6112E">
              <w:rPr>
                <w:b/>
                <w:bCs/>
              </w:rPr>
              <w:t>s</w:t>
            </w:r>
            <w:r w:rsidRPr="00BE4C36">
              <w:rPr>
                <w:b/>
                <w:bCs/>
              </w:rPr>
              <w:t xml:space="preserve"> at 31.12.2017</w:t>
            </w:r>
          </w:p>
        </w:tc>
        <w:tc>
          <w:tcPr>
            <w:tcW w:w="841" w:type="pct"/>
            <w:noWrap/>
            <w:hideMark/>
          </w:tcPr>
          <w:p w:rsidR="00BE4C36" w:rsidRPr="00BE4C36" w:rsidRDefault="00BE4C36" w:rsidP="00704BBD">
            <w:pPr>
              <w:spacing w:before="0"/>
              <w:jc w:val="right"/>
            </w:pPr>
            <w:r w:rsidRPr="00BE4C36">
              <w:t xml:space="preserve">              22,994 </w:t>
            </w:r>
          </w:p>
        </w:tc>
        <w:tc>
          <w:tcPr>
            <w:tcW w:w="825" w:type="pct"/>
            <w:noWrap/>
            <w:hideMark/>
          </w:tcPr>
          <w:p w:rsidR="00BE4C36" w:rsidRPr="00BE4C36" w:rsidRDefault="00BE4C36" w:rsidP="00704BBD">
            <w:pPr>
              <w:spacing w:before="0"/>
              <w:jc w:val="right"/>
            </w:pPr>
            <w:r w:rsidRPr="00BE4C36">
              <w:t xml:space="preserve">               3,300 </w:t>
            </w:r>
          </w:p>
        </w:tc>
        <w:tc>
          <w:tcPr>
            <w:tcW w:w="790" w:type="pct"/>
            <w:noWrap/>
            <w:hideMark/>
          </w:tcPr>
          <w:p w:rsidR="00BE4C36" w:rsidRPr="00BE4C36" w:rsidRDefault="00BE4C36" w:rsidP="00704BBD">
            <w:pPr>
              <w:spacing w:before="0"/>
              <w:jc w:val="right"/>
              <w:rPr>
                <w:b/>
                <w:bCs/>
              </w:rPr>
            </w:pPr>
            <w:r w:rsidRPr="00BE4C36">
              <w:rPr>
                <w:b/>
                <w:bCs/>
              </w:rPr>
              <w:t xml:space="preserve">            26,294 </w:t>
            </w:r>
          </w:p>
        </w:tc>
        <w:tc>
          <w:tcPr>
            <w:tcW w:w="891" w:type="pct"/>
            <w:noWrap/>
            <w:hideMark/>
          </w:tcPr>
          <w:p w:rsidR="00BE4C36" w:rsidRPr="00BE4C36" w:rsidRDefault="00BE4C36" w:rsidP="00704BBD">
            <w:pPr>
              <w:spacing w:before="0"/>
              <w:jc w:val="right"/>
              <w:rPr>
                <w:b/>
                <w:bCs/>
              </w:rPr>
            </w:pPr>
            <w:r w:rsidRPr="00BE4C36">
              <w:rPr>
                <w:b/>
                <w:bCs/>
              </w:rPr>
              <w:t xml:space="preserve">                  7,039 </w:t>
            </w:r>
          </w:p>
        </w:tc>
      </w:tr>
      <w:tr w:rsidR="00BE4C36" w:rsidRPr="00BE4C36" w:rsidTr="00A15C15">
        <w:trPr>
          <w:trHeight w:val="300"/>
        </w:trPr>
        <w:tc>
          <w:tcPr>
            <w:tcW w:w="1652" w:type="pct"/>
            <w:noWrap/>
            <w:hideMark/>
          </w:tcPr>
          <w:p w:rsidR="00BE4C36" w:rsidRPr="00BE4C36" w:rsidRDefault="00BE4C36" w:rsidP="00BE4C36">
            <w:pPr>
              <w:spacing w:before="0"/>
              <w:jc w:val="both"/>
            </w:pPr>
            <w:r w:rsidRPr="00BE4C36">
              <w:t>Increase</w:t>
            </w:r>
          </w:p>
        </w:tc>
        <w:tc>
          <w:tcPr>
            <w:tcW w:w="841" w:type="pct"/>
            <w:noWrap/>
            <w:hideMark/>
          </w:tcPr>
          <w:p w:rsidR="00BE4C36" w:rsidRPr="00BE4C36" w:rsidRDefault="00BE4C36" w:rsidP="00704BBD">
            <w:pPr>
              <w:spacing w:before="0"/>
              <w:jc w:val="right"/>
            </w:pPr>
            <w:r w:rsidRPr="00BE4C36">
              <w:t xml:space="preserve">              16,052 </w:t>
            </w:r>
          </w:p>
        </w:tc>
        <w:tc>
          <w:tcPr>
            <w:tcW w:w="825" w:type="pct"/>
            <w:noWrap/>
            <w:hideMark/>
          </w:tcPr>
          <w:p w:rsidR="00BE4C36" w:rsidRPr="00BE4C36" w:rsidRDefault="00BE4C36" w:rsidP="00704BBD">
            <w:pPr>
              <w:spacing w:before="0"/>
              <w:jc w:val="right"/>
            </w:pPr>
            <w:r w:rsidRPr="00BE4C36">
              <w:t xml:space="preserve">                   445 </w:t>
            </w:r>
          </w:p>
        </w:tc>
        <w:tc>
          <w:tcPr>
            <w:tcW w:w="790" w:type="pct"/>
            <w:noWrap/>
            <w:hideMark/>
          </w:tcPr>
          <w:p w:rsidR="00BE4C36" w:rsidRPr="00BE4C36" w:rsidRDefault="00BE4C36" w:rsidP="00704BBD">
            <w:pPr>
              <w:spacing w:before="0"/>
              <w:jc w:val="right"/>
              <w:rPr>
                <w:b/>
                <w:bCs/>
              </w:rPr>
            </w:pPr>
            <w:r w:rsidRPr="00BE4C36">
              <w:rPr>
                <w:b/>
                <w:bCs/>
              </w:rPr>
              <w:t xml:space="preserve">            16,497 </w:t>
            </w:r>
          </w:p>
        </w:tc>
        <w:tc>
          <w:tcPr>
            <w:tcW w:w="891" w:type="pct"/>
            <w:noWrap/>
            <w:hideMark/>
          </w:tcPr>
          <w:p w:rsidR="00BE4C36" w:rsidRPr="00BE4C36" w:rsidRDefault="00BE4C36" w:rsidP="00704BBD">
            <w:pPr>
              <w:spacing w:before="0"/>
              <w:jc w:val="right"/>
            </w:pPr>
            <w:r w:rsidRPr="00BE4C36">
              <w:t xml:space="preserve">                  7,017 </w:t>
            </w:r>
          </w:p>
        </w:tc>
      </w:tr>
      <w:tr w:rsidR="00BE4C36" w:rsidRPr="00BE4C36" w:rsidTr="00A15C15">
        <w:trPr>
          <w:trHeight w:val="300"/>
        </w:trPr>
        <w:tc>
          <w:tcPr>
            <w:tcW w:w="1652" w:type="pct"/>
            <w:noWrap/>
            <w:hideMark/>
          </w:tcPr>
          <w:p w:rsidR="00BE4C36" w:rsidRPr="00BE4C36" w:rsidRDefault="00BE4C36" w:rsidP="00BE4C36">
            <w:pPr>
              <w:spacing w:before="0"/>
              <w:jc w:val="both"/>
            </w:pPr>
            <w:r w:rsidRPr="00BE4C36">
              <w:t>Decrease</w:t>
            </w:r>
          </w:p>
        </w:tc>
        <w:tc>
          <w:tcPr>
            <w:tcW w:w="841" w:type="pct"/>
            <w:noWrap/>
            <w:hideMark/>
          </w:tcPr>
          <w:p w:rsidR="00BE4C36" w:rsidRPr="00BE4C36" w:rsidRDefault="00BE4C36" w:rsidP="00704BBD">
            <w:pPr>
              <w:spacing w:before="0"/>
              <w:jc w:val="right"/>
            </w:pPr>
            <w:r w:rsidRPr="00BE4C36">
              <w:t xml:space="preserve">              -8,012 </w:t>
            </w:r>
          </w:p>
        </w:tc>
        <w:tc>
          <w:tcPr>
            <w:tcW w:w="825" w:type="pct"/>
            <w:noWrap/>
            <w:hideMark/>
          </w:tcPr>
          <w:p w:rsidR="00BE4C36" w:rsidRPr="00BE4C36" w:rsidRDefault="00BE4C36" w:rsidP="00704BBD">
            <w:pPr>
              <w:spacing w:before="0"/>
              <w:jc w:val="right"/>
            </w:pPr>
            <w:r w:rsidRPr="00BE4C36">
              <w:t xml:space="preserve">                 -955 </w:t>
            </w:r>
          </w:p>
        </w:tc>
        <w:tc>
          <w:tcPr>
            <w:tcW w:w="790" w:type="pct"/>
            <w:noWrap/>
            <w:hideMark/>
          </w:tcPr>
          <w:p w:rsidR="00BE4C36" w:rsidRPr="00BE4C36" w:rsidRDefault="00BE4C36" w:rsidP="00704BBD">
            <w:pPr>
              <w:spacing w:before="0"/>
              <w:jc w:val="right"/>
              <w:rPr>
                <w:b/>
                <w:bCs/>
              </w:rPr>
            </w:pPr>
            <w:r w:rsidRPr="00BE4C36">
              <w:rPr>
                <w:b/>
                <w:bCs/>
              </w:rPr>
              <w:t xml:space="preserve">             -8,967 </w:t>
            </w:r>
          </w:p>
        </w:tc>
        <w:tc>
          <w:tcPr>
            <w:tcW w:w="891" w:type="pct"/>
            <w:noWrap/>
            <w:hideMark/>
          </w:tcPr>
          <w:p w:rsidR="00BE4C36" w:rsidRPr="00BE4C36" w:rsidRDefault="00BE4C36" w:rsidP="00704BBD">
            <w:pPr>
              <w:spacing w:before="0"/>
              <w:jc w:val="right"/>
            </w:pPr>
            <w:r w:rsidRPr="00BE4C36">
              <w:t xml:space="preserve">                -8,442 </w:t>
            </w:r>
          </w:p>
        </w:tc>
      </w:tr>
      <w:tr w:rsidR="00BE4C36" w:rsidRPr="00BE4C36" w:rsidTr="00A15C15">
        <w:trPr>
          <w:trHeight w:val="300"/>
        </w:trPr>
        <w:tc>
          <w:tcPr>
            <w:tcW w:w="1652" w:type="pct"/>
            <w:noWrap/>
            <w:hideMark/>
          </w:tcPr>
          <w:p w:rsidR="00BE4C36" w:rsidRPr="00BE4C36" w:rsidRDefault="00BE4C36" w:rsidP="00BE4C36">
            <w:pPr>
              <w:spacing w:before="0"/>
              <w:jc w:val="both"/>
            </w:pPr>
            <w:r w:rsidRPr="00BE4C36">
              <w:t> </w:t>
            </w:r>
          </w:p>
        </w:tc>
        <w:tc>
          <w:tcPr>
            <w:tcW w:w="841" w:type="pct"/>
            <w:noWrap/>
            <w:hideMark/>
          </w:tcPr>
          <w:p w:rsidR="00BE4C36" w:rsidRPr="00BE4C36" w:rsidRDefault="00BE4C36" w:rsidP="00704BBD">
            <w:pPr>
              <w:spacing w:before="0"/>
              <w:jc w:val="right"/>
            </w:pPr>
            <w:r w:rsidRPr="00BE4C36">
              <w:t> </w:t>
            </w:r>
          </w:p>
        </w:tc>
        <w:tc>
          <w:tcPr>
            <w:tcW w:w="825" w:type="pct"/>
            <w:noWrap/>
            <w:hideMark/>
          </w:tcPr>
          <w:p w:rsidR="00BE4C36" w:rsidRPr="00BE4C36" w:rsidRDefault="00BE4C36" w:rsidP="00704BBD">
            <w:pPr>
              <w:spacing w:before="0"/>
              <w:jc w:val="right"/>
            </w:pPr>
            <w:r w:rsidRPr="00BE4C36">
              <w:t> </w:t>
            </w:r>
          </w:p>
        </w:tc>
        <w:tc>
          <w:tcPr>
            <w:tcW w:w="790" w:type="pct"/>
            <w:noWrap/>
            <w:hideMark/>
          </w:tcPr>
          <w:p w:rsidR="00BE4C36" w:rsidRPr="00BE4C36" w:rsidRDefault="00BE4C36" w:rsidP="00704BBD">
            <w:pPr>
              <w:spacing w:before="0"/>
              <w:jc w:val="right"/>
              <w:rPr>
                <w:b/>
                <w:bCs/>
              </w:rPr>
            </w:pPr>
            <w:r w:rsidRPr="00BE4C36">
              <w:rPr>
                <w:b/>
                <w:bCs/>
              </w:rPr>
              <w:t> </w:t>
            </w:r>
          </w:p>
        </w:tc>
        <w:tc>
          <w:tcPr>
            <w:tcW w:w="891" w:type="pct"/>
            <w:noWrap/>
            <w:hideMark/>
          </w:tcPr>
          <w:p w:rsidR="00BE4C36" w:rsidRPr="00BE4C36" w:rsidRDefault="00BE4C36" w:rsidP="00704BBD">
            <w:pPr>
              <w:spacing w:before="0"/>
              <w:jc w:val="right"/>
              <w:rPr>
                <w:b/>
                <w:bCs/>
              </w:rPr>
            </w:pPr>
            <w:r w:rsidRPr="00BE4C36">
              <w:rPr>
                <w:b/>
                <w:bCs/>
              </w:rPr>
              <w:t> </w:t>
            </w:r>
          </w:p>
        </w:tc>
      </w:tr>
      <w:tr w:rsidR="00BE4C36" w:rsidRPr="00BE4C36" w:rsidTr="00A15C15">
        <w:trPr>
          <w:trHeight w:val="300"/>
        </w:trPr>
        <w:tc>
          <w:tcPr>
            <w:tcW w:w="1652" w:type="pct"/>
            <w:noWrap/>
            <w:hideMark/>
          </w:tcPr>
          <w:p w:rsidR="00BE4C36" w:rsidRPr="00BE4C36" w:rsidRDefault="00BE4C36" w:rsidP="00BE4C36">
            <w:pPr>
              <w:spacing w:before="0"/>
              <w:jc w:val="both"/>
              <w:rPr>
                <w:b/>
                <w:bCs/>
              </w:rPr>
            </w:pPr>
            <w:r w:rsidRPr="00BE4C36">
              <w:rPr>
                <w:b/>
                <w:bCs/>
              </w:rPr>
              <w:t>Closing balances 31.12.2018</w:t>
            </w:r>
          </w:p>
        </w:tc>
        <w:tc>
          <w:tcPr>
            <w:tcW w:w="841" w:type="pct"/>
            <w:noWrap/>
            <w:hideMark/>
          </w:tcPr>
          <w:p w:rsidR="00BE4C36" w:rsidRPr="00BE4C36" w:rsidRDefault="00BE4C36" w:rsidP="00704BBD">
            <w:pPr>
              <w:spacing w:before="0"/>
              <w:jc w:val="right"/>
            </w:pPr>
            <w:r w:rsidRPr="00BE4C36">
              <w:t xml:space="preserve">              31,034 </w:t>
            </w:r>
          </w:p>
        </w:tc>
        <w:tc>
          <w:tcPr>
            <w:tcW w:w="825" w:type="pct"/>
            <w:noWrap/>
            <w:hideMark/>
          </w:tcPr>
          <w:p w:rsidR="00BE4C36" w:rsidRPr="00BE4C36" w:rsidRDefault="00BE4C36" w:rsidP="00704BBD">
            <w:pPr>
              <w:spacing w:before="0"/>
              <w:jc w:val="right"/>
            </w:pPr>
            <w:r w:rsidRPr="00BE4C36">
              <w:t xml:space="preserve">               2,790 </w:t>
            </w:r>
          </w:p>
        </w:tc>
        <w:tc>
          <w:tcPr>
            <w:tcW w:w="790" w:type="pct"/>
            <w:noWrap/>
            <w:hideMark/>
          </w:tcPr>
          <w:p w:rsidR="00BE4C36" w:rsidRPr="00BE4C36" w:rsidRDefault="00BE4C36" w:rsidP="00704BBD">
            <w:pPr>
              <w:spacing w:before="0"/>
              <w:jc w:val="right"/>
              <w:rPr>
                <w:b/>
                <w:bCs/>
              </w:rPr>
            </w:pPr>
            <w:r w:rsidRPr="00BE4C36">
              <w:rPr>
                <w:b/>
                <w:bCs/>
              </w:rPr>
              <w:t xml:space="preserve">            33,824 </w:t>
            </w:r>
          </w:p>
        </w:tc>
        <w:tc>
          <w:tcPr>
            <w:tcW w:w="891" w:type="pct"/>
            <w:noWrap/>
            <w:hideMark/>
          </w:tcPr>
          <w:p w:rsidR="00BE4C36" w:rsidRPr="00BE4C36" w:rsidRDefault="00BE4C36" w:rsidP="00704BBD">
            <w:pPr>
              <w:spacing w:before="0"/>
              <w:jc w:val="right"/>
              <w:rPr>
                <w:b/>
                <w:bCs/>
              </w:rPr>
            </w:pPr>
            <w:r w:rsidRPr="00BE4C36">
              <w:rPr>
                <w:b/>
                <w:bCs/>
              </w:rPr>
              <w:t xml:space="preserve">                  5,614 </w:t>
            </w:r>
          </w:p>
        </w:tc>
      </w:tr>
    </w:tbl>
    <w:p w:rsidR="00BE4C36" w:rsidRPr="00CF1FDC" w:rsidRDefault="00BE4C36" w:rsidP="00A717BA">
      <w:pPr>
        <w:spacing w:before="0"/>
        <w:jc w:val="both"/>
        <w:rPr>
          <w:lang w:val="en-US"/>
        </w:rPr>
      </w:pPr>
    </w:p>
    <w:p w:rsidR="004A6728" w:rsidRPr="00153A3C" w:rsidRDefault="00153A3C" w:rsidP="00306E07">
      <w:pPr>
        <w:jc w:val="both"/>
        <w:rPr>
          <w:lang w:val="en-US"/>
        </w:rPr>
      </w:pPr>
      <w:bookmarkStart w:id="108" w:name="_Toc305764103"/>
      <w:bookmarkStart w:id="109" w:name="_Toc329011647"/>
      <w:r w:rsidRPr="00153A3C">
        <w:rPr>
          <w:lang w:val="en-US"/>
        </w:rPr>
        <w:t>There is an important increase in third-party funds allocated due to the fact that the external contributions increased as a consequence of various agreements being contracted in 2018. There is a slight decrease in the implementation of earmarked projects</w:t>
      </w:r>
      <w:r w:rsidR="004A6728" w:rsidRPr="00153A3C">
        <w:rPr>
          <w:lang w:val="en-US"/>
        </w:rPr>
        <w:t>.</w:t>
      </w:r>
    </w:p>
    <w:p w:rsidR="00153A3C" w:rsidRPr="00153A3C" w:rsidRDefault="00153A3C" w:rsidP="00306E07">
      <w:pPr>
        <w:jc w:val="both"/>
        <w:rPr>
          <w:lang w:val="en-US"/>
        </w:rPr>
      </w:pPr>
      <w:r w:rsidRPr="00153A3C">
        <w:rPr>
          <w:lang w:val="en-US"/>
        </w:rPr>
        <w:t>The decrease in third-party funds awaiting allocation is mainly due to the transfers of funds towards new earmarked projects. However, the total third-party funds significantly increased in 2018 (</w:t>
      </w:r>
      <w:r w:rsidR="00306E07">
        <w:rPr>
          <w:lang w:val="en-US"/>
        </w:rPr>
        <w:t>CHF </w:t>
      </w:r>
      <w:r w:rsidRPr="00153A3C">
        <w:rPr>
          <w:lang w:val="en-US"/>
        </w:rPr>
        <w:t>38,024) comparing to 2017 (</w:t>
      </w:r>
      <w:r w:rsidR="00306E07">
        <w:rPr>
          <w:lang w:val="en-US"/>
        </w:rPr>
        <w:t>CHF </w:t>
      </w:r>
      <w:r w:rsidRPr="00153A3C">
        <w:rPr>
          <w:lang w:val="en-US"/>
        </w:rPr>
        <w:t>26,294).</w:t>
      </w:r>
    </w:p>
    <w:bookmarkEnd w:id="108"/>
    <w:bookmarkEnd w:id="109"/>
    <w:p w:rsidR="00153A3C" w:rsidRPr="00153A3C" w:rsidRDefault="00153A3C" w:rsidP="00306E07">
      <w:pPr>
        <w:jc w:val="both"/>
        <w:rPr>
          <w:lang w:val="en-US"/>
        </w:rPr>
      </w:pPr>
      <w:r w:rsidRPr="0080683B">
        <w:rPr>
          <w:lang w:val="en-US"/>
        </w:rPr>
        <w:t>The decrease of ITU own funds allocated to project</w:t>
      </w:r>
      <w:r w:rsidR="00561D82" w:rsidRPr="0080683B">
        <w:rPr>
          <w:lang w:val="en-US"/>
        </w:rPr>
        <w:t>s</w:t>
      </w:r>
      <w:r w:rsidRPr="0080683B">
        <w:rPr>
          <w:lang w:val="en-US"/>
        </w:rPr>
        <w:t xml:space="preserve"> is due to an extensive implementation of the various projects that almost doubled in 2018. The increase of ITU own funds is related to the amounts allocated from ICTDF and ITU budgetary allocations.</w:t>
      </w:r>
    </w:p>
    <w:p w:rsidR="006D6709" w:rsidRPr="00520B2F" w:rsidRDefault="006D6709">
      <w:pPr>
        <w:pStyle w:val="Heading5"/>
        <w:spacing w:before="120" w:after="120"/>
        <w:jc w:val="both"/>
        <w:rPr>
          <w:lang w:val="en-US"/>
        </w:rPr>
      </w:pPr>
      <w:r w:rsidRPr="00966288">
        <w:rPr>
          <w:lang w:val="en-US"/>
        </w:rPr>
        <w:t>Note 21</w:t>
      </w:r>
      <w:r w:rsidRPr="00966288">
        <w:rPr>
          <w:lang w:val="en-US"/>
        </w:rPr>
        <w:tab/>
      </w:r>
      <w:r w:rsidR="00CD7AB9" w:rsidRPr="00966288">
        <w:rPr>
          <w:lang w:val="en-US"/>
        </w:rPr>
        <w:t>Assessed contributions</w:t>
      </w:r>
    </w:p>
    <w:p w:rsidR="0022373A" w:rsidRDefault="0022373A" w:rsidP="00943E06">
      <w:pPr>
        <w:spacing w:before="0"/>
        <w:jc w:val="both"/>
        <w:rPr>
          <w:lang w:val="en-US"/>
        </w:rPr>
      </w:pPr>
      <w:r w:rsidRPr="00C54321">
        <w:rPr>
          <w:lang w:val="en-US"/>
        </w:rPr>
        <w:t>The following table shows the contributions actually p</w:t>
      </w:r>
      <w:r w:rsidR="004737F4" w:rsidRPr="00C54321">
        <w:rPr>
          <w:lang w:val="en-US"/>
        </w:rPr>
        <w:t xml:space="preserve">osted to account during the </w:t>
      </w:r>
      <w:r w:rsidR="00111BDD">
        <w:rPr>
          <w:lang w:val="en-US"/>
        </w:rPr>
        <w:t>201</w:t>
      </w:r>
      <w:r w:rsidR="00943E06">
        <w:rPr>
          <w:lang w:val="en-US"/>
        </w:rPr>
        <w:t>8</w:t>
      </w:r>
      <w:r w:rsidRPr="00C54321">
        <w:rPr>
          <w:lang w:val="en-US"/>
        </w:rPr>
        <w:t xml:space="preserve"> period</w:t>
      </w:r>
      <w:r w:rsidR="004A1FF5">
        <w:rPr>
          <w:lang w:val="en-US"/>
        </w:rPr>
        <w:t>.</w:t>
      </w:r>
    </w:p>
    <w:p w:rsidR="00704BBD" w:rsidRDefault="00704BBD" w:rsidP="00943E06">
      <w:pPr>
        <w:spacing w:before="0"/>
        <w:jc w:val="both"/>
        <w:rPr>
          <w:lang w:val="en-US"/>
        </w:rPr>
      </w:pPr>
    </w:p>
    <w:tbl>
      <w:tblPr>
        <w:tblStyle w:val="TableGrid"/>
        <w:tblW w:w="5000" w:type="pct"/>
        <w:tblLook w:val="04A0" w:firstRow="1" w:lastRow="0" w:firstColumn="1" w:lastColumn="0" w:noHBand="0" w:noVBand="1"/>
      </w:tblPr>
      <w:tblGrid>
        <w:gridCol w:w="6183"/>
        <w:gridCol w:w="1794"/>
        <w:gridCol w:w="1794"/>
      </w:tblGrid>
      <w:tr w:rsidR="00704BBD" w:rsidRPr="00704BBD" w:rsidTr="00704BBD">
        <w:trPr>
          <w:trHeight w:val="499"/>
        </w:trPr>
        <w:tc>
          <w:tcPr>
            <w:tcW w:w="3164" w:type="pct"/>
            <w:noWrap/>
            <w:hideMark/>
          </w:tcPr>
          <w:p w:rsidR="00704BBD" w:rsidRPr="00704BBD" w:rsidRDefault="00704BBD" w:rsidP="00704BBD">
            <w:pPr>
              <w:spacing w:before="0"/>
              <w:jc w:val="both"/>
              <w:rPr>
                <w:b/>
                <w:bCs/>
                <w:sz w:val="22"/>
                <w:szCs w:val="20"/>
                <w:lang w:val="en-US"/>
              </w:rPr>
            </w:pPr>
            <w:r w:rsidRPr="00704BBD">
              <w:rPr>
                <w:b/>
                <w:bCs/>
                <w:sz w:val="22"/>
                <w:szCs w:val="20"/>
              </w:rPr>
              <w:t>In thousands of CHF</w:t>
            </w:r>
          </w:p>
        </w:tc>
        <w:tc>
          <w:tcPr>
            <w:tcW w:w="918" w:type="pct"/>
            <w:noWrap/>
            <w:vAlign w:val="center"/>
            <w:hideMark/>
          </w:tcPr>
          <w:p w:rsidR="00704BBD" w:rsidRPr="00704BBD" w:rsidRDefault="00704BBD" w:rsidP="00704BBD">
            <w:pPr>
              <w:spacing w:before="0"/>
              <w:jc w:val="center"/>
              <w:rPr>
                <w:b/>
                <w:bCs/>
                <w:sz w:val="22"/>
                <w:szCs w:val="20"/>
              </w:rPr>
            </w:pPr>
            <w:r w:rsidRPr="00704BBD">
              <w:rPr>
                <w:b/>
                <w:bCs/>
                <w:sz w:val="22"/>
                <w:szCs w:val="20"/>
              </w:rPr>
              <w:t>2018</w:t>
            </w:r>
          </w:p>
        </w:tc>
        <w:tc>
          <w:tcPr>
            <w:tcW w:w="918" w:type="pct"/>
            <w:noWrap/>
            <w:vAlign w:val="center"/>
            <w:hideMark/>
          </w:tcPr>
          <w:p w:rsidR="00704BBD" w:rsidRPr="00704BBD" w:rsidRDefault="00704BBD" w:rsidP="00704BBD">
            <w:pPr>
              <w:spacing w:before="0"/>
              <w:jc w:val="center"/>
              <w:rPr>
                <w:b/>
                <w:bCs/>
                <w:sz w:val="22"/>
                <w:szCs w:val="20"/>
              </w:rPr>
            </w:pPr>
            <w:r w:rsidRPr="00704BBD">
              <w:rPr>
                <w:b/>
                <w:bCs/>
                <w:sz w:val="22"/>
                <w:szCs w:val="20"/>
              </w:rPr>
              <w:t>2017</w:t>
            </w:r>
          </w:p>
        </w:tc>
      </w:tr>
      <w:tr w:rsidR="00704BBD" w:rsidRPr="00704BBD" w:rsidTr="00704BBD">
        <w:trPr>
          <w:trHeight w:val="300"/>
        </w:trPr>
        <w:tc>
          <w:tcPr>
            <w:tcW w:w="3164" w:type="pct"/>
            <w:noWrap/>
            <w:hideMark/>
          </w:tcPr>
          <w:p w:rsidR="00704BBD" w:rsidRPr="00704BBD" w:rsidRDefault="00704BBD" w:rsidP="00704BBD">
            <w:pPr>
              <w:spacing w:before="0"/>
              <w:jc w:val="both"/>
              <w:rPr>
                <w:sz w:val="22"/>
                <w:szCs w:val="20"/>
              </w:rPr>
            </w:pPr>
            <w:r w:rsidRPr="00704BBD">
              <w:rPr>
                <w:sz w:val="22"/>
                <w:szCs w:val="20"/>
              </w:rPr>
              <w:t>Contributions by Member States</w:t>
            </w:r>
          </w:p>
        </w:tc>
        <w:tc>
          <w:tcPr>
            <w:tcW w:w="918" w:type="pct"/>
            <w:noWrap/>
            <w:hideMark/>
          </w:tcPr>
          <w:p w:rsidR="00704BBD" w:rsidRPr="00704BBD" w:rsidRDefault="00704BBD" w:rsidP="00704BBD">
            <w:pPr>
              <w:spacing w:before="0"/>
              <w:jc w:val="right"/>
              <w:rPr>
                <w:sz w:val="22"/>
                <w:szCs w:val="20"/>
              </w:rPr>
            </w:pPr>
            <w:r w:rsidRPr="00704BBD">
              <w:rPr>
                <w:sz w:val="22"/>
                <w:szCs w:val="20"/>
              </w:rPr>
              <w:t xml:space="preserve">              108,597 </w:t>
            </w:r>
          </w:p>
        </w:tc>
        <w:tc>
          <w:tcPr>
            <w:tcW w:w="918" w:type="pct"/>
            <w:noWrap/>
            <w:hideMark/>
          </w:tcPr>
          <w:p w:rsidR="00704BBD" w:rsidRPr="00704BBD" w:rsidRDefault="00704BBD" w:rsidP="00704BBD">
            <w:pPr>
              <w:spacing w:before="0"/>
              <w:jc w:val="right"/>
              <w:rPr>
                <w:sz w:val="22"/>
                <w:szCs w:val="20"/>
              </w:rPr>
            </w:pPr>
            <w:r w:rsidRPr="00704BBD">
              <w:rPr>
                <w:sz w:val="22"/>
                <w:szCs w:val="20"/>
              </w:rPr>
              <w:t xml:space="preserve">              106,292 </w:t>
            </w:r>
          </w:p>
        </w:tc>
      </w:tr>
      <w:tr w:rsidR="00704BBD" w:rsidRPr="00704BBD" w:rsidTr="00704BBD">
        <w:trPr>
          <w:trHeight w:val="300"/>
        </w:trPr>
        <w:tc>
          <w:tcPr>
            <w:tcW w:w="3164" w:type="pct"/>
            <w:noWrap/>
            <w:hideMark/>
          </w:tcPr>
          <w:p w:rsidR="00704BBD" w:rsidRPr="00704BBD" w:rsidRDefault="00704BBD" w:rsidP="00704BBD">
            <w:pPr>
              <w:spacing w:before="0"/>
              <w:jc w:val="both"/>
              <w:rPr>
                <w:sz w:val="22"/>
                <w:szCs w:val="20"/>
              </w:rPr>
            </w:pPr>
            <w:r w:rsidRPr="00704BBD">
              <w:rPr>
                <w:sz w:val="22"/>
                <w:szCs w:val="20"/>
              </w:rPr>
              <w:t>Contributions by Sector Members</w:t>
            </w:r>
          </w:p>
        </w:tc>
        <w:tc>
          <w:tcPr>
            <w:tcW w:w="918" w:type="pct"/>
            <w:noWrap/>
            <w:hideMark/>
          </w:tcPr>
          <w:p w:rsidR="00704BBD" w:rsidRPr="00704BBD" w:rsidRDefault="00704BBD" w:rsidP="00704BBD">
            <w:pPr>
              <w:spacing w:before="0"/>
              <w:jc w:val="right"/>
              <w:rPr>
                <w:sz w:val="22"/>
                <w:szCs w:val="20"/>
              </w:rPr>
            </w:pPr>
            <w:r w:rsidRPr="00704BBD">
              <w:rPr>
                <w:sz w:val="22"/>
                <w:szCs w:val="20"/>
              </w:rPr>
              <w:t xml:space="preserve">                14,219 </w:t>
            </w:r>
          </w:p>
        </w:tc>
        <w:tc>
          <w:tcPr>
            <w:tcW w:w="918" w:type="pct"/>
            <w:noWrap/>
            <w:hideMark/>
          </w:tcPr>
          <w:p w:rsidR="00704BBD" w:rsidRPr="00704BBD" w:rsidRDefault="00704BBD" w:rsidP="00704BBD">
            <w:pPr>
              <w:spacing w:before="0"/>
              <w:jc w:val="right"/>
              <w:rPr>
                <w:sz w:val="22"/>
                <w:szCs w:val="20"/>
              </w:rPr>
            </w:pPr>
            <w:r w:rsidRPr="00704BBD">
              <w:rPr>
                <w:sz w:val="22"/>
                <w:szCs w:val="20"/>
              </w:rPr>
              <w:t xml:space="preserve">                14,210 </w:t>
            </w:r>
          </w:p>
        </w:tc>
      </w:tr>
      <w:tr w:rsidR="00704BBD" w:rsidRPr="00704BBD" w:rsidTr="00704BBD">
        <w:trPr>
          <w:trHeight w:val="300"/>
        </w:trPr>
        <w:tc>
          <w:tcPr>
            <w:tcW w:w="3164" w:type="pct"/>
            <w:noWrap/>
            <w:hideMark/>
          </w:tcPr>
          <w:p w:rsidR="00704BBD" w:rsidRPr="00704BBD" w:rsidRDefault="00704BBD" w:rsidP="00704BBD">
            <w:pPr>
              <w:spacing w:before="0"/>
              <w:jc w:val="both"/>
              <w:rPr>
                <w:sz w:val="22"/>
                <w:szCs w:val="20"/>
              </w:rPr>
            </w:pPr>
            <w:r w:rsidRPr="00704BBD">
              <w:rPr>
                <w:sz w:val="22"/>
                <w:szCs w:val="20"/>
              </w:rPr>
              <w:t>Contributions by Associates</w:t>
            </w:r>
          </w:p>
        </w:tc>
        <w:tc>
          <w:tcPr>
            <w:tcW w:w="918" w:type="pct"/>
            <w:noWrap/>
            <w:hideMark/>
          </w:tcPr>
          <w:p w:rsidR="00704BBD" w:rsidRPr="00704BBD" w:rsidRDefault="00704BBD" w:rsidP="00704BBD">
            <w:pPr>
              <w:spacing w:before="0"/>
              <w:jc w:val="right"/>
              <w:rPr>
                <w:sz w:val="22"/>
                <w:szCs w:val="20"/>
              </w:rPr>
            </w:pPr>
            <w:r w:rsidRPr="00704BBD">
              <w:rPr>
                <w:sz w:val="22"/>
                <w:szCs w:val="20"/>
              </w:rPr>
              <w:t xml:space="preserve">                   1,787 </w:t>
            </w:r>
          </w:p>
        </w:tc>
        <w:tc>
          <w:tcPr>
            <w:tcW w:w="918" w:type="pct"/>
            <w:noWrap/>
            <w:hideMark/>
          </w:tcPr>
          <w:p w:rsidR="00704BBD" w:rsidRPr="00704BBD" w:rsidRDefault="00704BBD" w:rsidP="00704BBD">
            <w:pPr>
              <w:spacing w:before="0"/>
              <w:jc w:val="right"/>
              <w:rPr>
                <w:sz w:val="22"/>
                <w:szCs w:val="20"/>
              </w:rPr>
            </w:pPr>
            <w:r w:rsidRPr="00704BBD">
              <w:rPr>
                <w:sz w:val="22"/>
                <w:szCs w:val="20"/>
              </w:rPr>
              <w:t xml:space="preserve">                   1,577 </w:t>
            </w:r>
          </w:p>
        </w:tc>
      </w:tr>
      <w:tr w:rsidR="00704BBD" w:rsidRPr="00704BBD" w:rsidTr="00704BBD">
        <w:trPr>
          <w:trHeight w:val="300"/>
        </w:trPr>
        <w:tc>
          <w:tcPr>
            <w:tcW w:w="3164" w:type="pct"/>
            <w:noWrap/>
            <w:hideMark/>
          </w:tcPr>
          <w:p w:rsidR="00704BBD" w:rsidRPr="00704BBD" w:rsidRDefault="00704BBD" w:rsidP="00704BBD">
            <w:pPr>
              <w:spacing w:before="0"/>
              <w:jc w:val="both"/>
              <w:rPr>
                <w:sz w:val="22"/>
                <w:szCs w:val="20"/>
              </w:rPr>
            </w:pPr>
            <w:r w:rsidRPr="00704BBD">
              <w:rPr>
                <w:sz w:val="22"/>
                <w:szCs w:val="20"/>
              </w:rPr>
              <w:t>Contributions by Academia</w:t>
            </w:r>
          </w:p>
        </w:tc>
        <w:tc>
          <w:tcPr>
            <w:tcW w:w="918" w:type="pct"/>
            <w:noWrap/>
            <w:hideMark/>
          </w:tcPr>
          <w:p w:rsidR="00704BBD" w:rsidRPr="00704BBD" w:rsidRDefault="00704BBD" w:rsidP="00704BBD">
            <w:pPr>
              <w:spacing w:before="0"/>
              <w:jc w:val="right"/>
              <w:rPr>
                <w:sz w:val="22"/>
                <w:szCs w:val="20"/>
              </w:rPr>
            </w:pPr>
            <w:r w:rsidRPr="00704BBD">
              <w:rPr>
                <w:sz w:val="22"/>
                <w:szCs w:val="20"/>
              </w:rPr>
              <w:t xml:space="preserve">                      358 </w:t>
            </w:r>
          </w:p>
        </w:tc>
        <w:tc>
          <w:tcPr>
            <w:tcW w:w="918" w:type="pct"/>
            <w:noWrap/>
            <w:hideMark/>
          </w:tcPr>
          <w:p w:rsidR="00704BBD" w:rsidRPr="00704BBD" w:rsidRDefault="00704BBD" w:rsidP="00704BBD">
            <w:pPr>
              <w:spacing w:before="0"/>
              <w:jc w:val="right"/>
              <w:rPr>
                <w:sz w:val="22"/>
                <w:szCs w:val="20"/>
              </w:rPr>
            </w:pPr>
            <w:r w:rsidRPr="00704BBD">
              <w:rPr>
                <w:sz w:val="22"/>
                <w:szCs w:val="20"/>
              </w:rPr>
              <w:t xml:space="preserve">                      306 </w:t>
            </w:r>
          </w:p>
        </w:tc>
      </w:tr>
      <w:tr w:rsidR="00704BBD" w:rsidRPr="00704BBD" w:rsidTr="00704BBD">
        <w:trPr>
          <w:trHeight w:val="225"/>
        </w:trPr>
        <w:tc>
          <w:tcPr>
            <w:tcW w:w="3164" w:type="pct"/>
            <w:noWrap/>
            <w:hideMark/>
          </w:tcPr>
          <w:p w:rsidR="00704BBD" w:rsidRPr="00704BBD" w:rsidRDefault="00704BBD" w:rsidP="00704BBD">
            <w:pPr>
              <w:spacing w:before="0"/>
              <w:jc w:val="both"/>
              <w:rPr>
                <w:sz w:val="22"/>
                <w:szCs w:val="20"/>
              </w:rPr>
            </w:pPr>
            <w:r w:rsidRPr="00704BBD">
              <w:rPr>
                <w:sz w:val="22"/>
                <w:szCs w:val="20"/>
              </w:rPr>
              <w:t>Contributions conferences</w:t>
            </w:r>
          </w:p>
        </w:tc>
        <w:tc>
          <w:tcPr>
            <w:tcW w:w="918" w:type="pct"/>
            <w:noWrap/>
            <w:hideMark/>
          </w:tcPr>
          <w:p w:rsidR="00704BBD" w:rsidRPr="00704BBD" w:rsidRDefault="00704BBD" w:rsidP="00704BBD">
            <w:pPr>
              <w:spacing w:before="0"/>
              <w:jc w:val="right"/>
              <w:rPr>
                <w:sz w:val="22"/>
                <w:szCs w:val="20"/>
              </w:rPr>
            </w:pPr>
            <w:r w:rsidRPr="00704BBD">
              <w:rPr>
                <w:sz w:val="22"/>
                <w:szCs w:val="20"/>
              </w:rPr>
              <w:t>230</w:t>
            </w:r>
          </w:p>
        </w:tc>
        <w:tc>
          <w:tcPr>
            <w:tcW w:w="918" w:type="pct"/>
            <w:noWrap/>
            <w:hideMark/>
          </w:tcPr>
          <w:p w:rsidR="00704BBD" w:rsidRPr="00704BBD" w:rsidRDefault="00325279" w:rsidP="00704BBD">
            <w:pPr>
              <w:spacing w:before="0"/>
              <w:jc w:val="right"/>
              <w:rPr>
                <w:sz w:val="22"/>
                <w:szCs w:val="20"/>
              </w:rPr>
            </w:pPr>
            <w:r>
              <w:rPr>
                <w:sz w:val="22"/>
                <w:szCs w:val="20"/>
              </w:rPr>
              <w:t xml:space="preserve">                          6</w:t>
            </w:r>
            <w:r w:rsidR="00704BBD" w:rsidRPr="00704BBD">
              <w:rPr>
                <w:sz w:val="22"/>
                <w:szCs w:val="20"/>
              </w:rPr>
              <w:t xml:space="preserve">   </w:t>
            </w:r>
          </w:p>
        </w:tc>
      </w:tr>
      <w:tr w:rsidR="00704BBD" w:rsidRPr="00704BBD" w:rsidTr="00704BBD">
        <w:trPr>
          <w:trHeight w:val="300"/>
        </w:trPr>
        <w:tc>
          <w:tcPr>
            <w:tcW w:w="3164" w:type="pct"/>
            <w:noWrap/>
            <w:hideMark/>
          </w:tcPr>
          <w:p w:rsidR="00704BBD" w:rsidRPr="00704BBD" w:rsidRDefault="00704BBD" w:rsidP="00704BBD">
            <w:pPr>
              <w:spacing w:before="0"/>
              <w:jc w:val="both"/>
              <w:rPr>
                <w:b/>
                <w:bCs/>
                <w:sz w:val="22"/>
                <w:szCs w:val="20"/>
              </w:rPr>
            </w:pPr>
            <w:r w:rsidRPr="00704BBD">
              <w:rPr>
                <w:b/>
                <w:bCs/>
                <w:sz w:val="22"/>
                <w:szCs w:val="20"/>
              </w:rPr>
              <w:t>Assessed contributions</w:t>
            </w:r>
          </w:p>
        </w:tc>
        <w:tc>
          <w:tcPr>
            <w:tcW w:w="918" w:type="pct"/>
            <w:noWrap/>
            <w:hideMark/>
          </w:tcPr>
          <w:p w:rsidR="00704BBD" w:rsidRPr="00704BBD" w:rsidRDefault="00704BBD" w:rsidP="00704BBD">
            <w:pPr>
              <w:spacing w:before="0"/>
              <w:jc w:val="right"/>
              <w:rPr>
                <w:b/>
                <w:bCs/>
                <w:sz w:val="22"/>
                <w:szCs w:val="20"/>
              </w:rPr>
            </w:pPr>
            <w:r w:rsidRPr="00704BBD">
              <w:rPr>
                <w:b/>
                <w:bCs/>
                <w:sz w:val="22"/>
                <w:szCs w:val="20"/>
              </w:rPr>
              <w:t xml:space="preserve">              125,191 </w:t>
            </w:r>
          </w:p>
        </w:tc>
        <w:tc>
          <w:tcPr>
            <w:tcW w:w="918" w:type="pct"/>
            <w:noWrap/>
            <w:hideMark/>
          </w:tcPr>
          <w:p w:rsidR="00704BBD" w:rsidRPr="00704BBD" w:rsidRDefault="00704BBD" w:rsidP="00325279">
            <w:pPr>
              <w:spacing w:before="0"/>
              <w:jc w:val="right"/>
              <w:rPr>
                <w:b/>
                <w:bCs/>
                <w:sz w:val="22"/>
                <w:szCs w:val="20"/>
              </w:rPr>
            </w:pPr>
            <w:r w:rsidRPr="00704BBD">
              <w:rPr>
                <w:b/>
                <w:bCs/>
                <w:sz w:val="22"/>
                <w:szCs w:val="20"/>
              </w:rPr>
              <w:t xml:space="preserve">              122,3</w:t>
            </w:r>
            <w:r w:rsidR="00325279">
              <w:rPr>
                <w:b/>
                <w:bCs/>
                <w:sz w:val="22"/>
                <w:szCs w:val="20"/>
              </w:rPr>
              <w:t>90</w:t>
            </w:r>
            <w:r w:rsidRPr="00704BBD">
              <w:rPr>
                <w:b/>
                <w:bCs/>
                <w:sz w:val="22"/>
                <w:szCs w:val="20"/>
              </w:rPr>
              <w:t xml:space="preserve"> </w:t>
            </w:r>
          </w:p>
        </w:tc>
      </w:tr>
    </w:tbl>
    <w:p w:rsidR="00F3526A" w:rsidRPr="00C54321" w:rsidRDefault="00F3526A" w:rsidP="00F05318">
      <w:pPr>
        <w:spacing w:before="0"/>
        <w:jc w:val="both"/>
        <w:rPr>
          <w:lang w:val="en-US"/>
        </w:rPr>
      </w:pPr>
    </w:p>
    <w:p w:rsidR="00AF24F3" w:rsidRDefault="00F06A9C" w:rsidP="00306E07">
      <w:pPr>
        <w:snapToGrid w:val="0"/>
        <w:spacing w:before="0"/>
        <w:jc w:val="both"/>
        <w:rPr>
          <w:lang w:val="en-US"/>
        </w:rPr>
      </w:pPr>
      <w:r w:rsidRPr="00342EDD">
        <w:rPr>
          <w:lang w:val="en-US"/>
        </w:rPr>
        <w:t>By its Reso</w:t>
      </w:r>
      <w:r w:rsidR="00772528" w:rsidRPr="00342EDD">
        <w:rPr>
          <w:lang w:val="en-US"/>
        </w:rPr>
        <w:t>lution 13</w:t>
      </w:r>
      <w:r w:rsidR="00E10953">
        <w:rPr>
          <w:lang w:val="en-US"/>
        </w:rPr>
        <w:t>87</w:t>
      </w:r>
      <w:r w:rsidR="00772528" w:rsidRPr="00342EDD">
        <w:rPr>
          <w:lang w:val="en-US"/>
        </w:rPr>
        <w:t>, adopted at its 201</w:t>
      </w:r>
      <w:r w:rsidR="00E10953">
        <w:rPr>
          <w:lang w:val="en-US"/>
        </w:rPr>
        <w:t>7</w:t>
      </w:r>
      <w:r w:rsidR="0022373A" w:rsidRPr="00342EDD">
        <w:rPr>
          <w:lang w:val="en-US"/>
        </w:rPr>
        <w:t xml:space="preserve"> session, the Council approved the budget of the Union for the period </w:t>
      </w:r>
      <w:r w:rsidR="00111BDD" w:rsidRPr="00342EDD">
        <w:rPr>
          <w:lang w:val="en-US"/>
        </w:rPr>
        <w:t>201</w:t>
      </w:r>
      <w:r w:rsidR="00E10953">
        <w:rPr>
          <w:lang w:val="en-US"/>
        </w:rPr>
        <w:t>8</w:t>
      </w:r>
      <w:r w:rsidR="00772528" w:rsidRPr="00342EDD">
        <w:rPr>
          <w:lang w:val="en-US"/>
        </w:rPr>
        <w:t>-201</w:t>
      </w:r>
      <w:r w:rsidR="00E10953">
        <w:rPr>
          <w:lang w:val="en-US"/>
        </w:rPr>
        <w:t>9</w:t>
      </w:r>
      <w:r w:rsidR="0022373A" w:rsidRPr="00342EDD">
        <w:rPr>
          <w:lang w:val="en-US"/>
        </w:rPr>
        <w:t>.</w:t>
      </w:r>
    </w:p>
    <w:p w:rsidR="00C54321" w:rsidRDefault="0022373A" w:rsidP="008F40EA">
      <w:pPr>
        <w:jc w:val="both"/>
        <w:rPr>
          <w:szCs w:val="24"/>
          <w:lang w:val="en-US"/>
        </w:rPr>
      </w:pPr>
      <w:r w:rsidRPr="00342EDD">
        <w:rPr>
          <w:szCs w:val="24"/>
          <w:lang w:val="en-US"/>
        </w:rPr>
        <w:t>The Council set the amount of the contributory unit for Member</w:t>
      </w:r>
      <w:r w:rsidR="00F06A9C" w:rsidRPr="00342EDD">
        <w:rPr>
          <w:szCs w:val="24"/>
          <w:lang w:val="en-US"/>
        </w:rPr>
        <w:t xml:space="preserve"> States at CHF 318</w:t>
      </w:r>
      <w:r w:rsidR="00CF1E52" w:rsidRPr="00342EDD">
        <w:rPr>
          <w:szCs w:val="24"/>
          <w:lang w:val="en-US"/>
        </w:rPr>
        <w:t>’</w:t>
      </w:r>
      <w:r w:rsidR="00A33B70" w:rsidRPr="00342EDD">
        <w:rPr>
          <w:szCs w:val="24"/>
          <w:lang w:val="en-US"/>
        </w:rPr>
        <w:t xml:space="preserve">000 for </w:t>
      </w:r>
      <w:r w:rsidR="00111BDD" w:rsidRPr="00342EDD">
        <w:rPr>
          <w:szCs w:val="24"/>
          <w:lang w:val="en-US"/>
        </w:rPr>
        <w:t>201</w:t>
      </w:r>
      <w:r w:rsidR="00E10953">
        <w:rPr>
          <w:szCs w:val="24"/>
          <w:lang w:val="en-US"/>
        </w:rPr>
        <w:t>8</w:t>
      </w:r>
      <w:r w:rsidR="00A33B70" w:rsidRPr="00342EDD">
        <w:rPr>
          <w:szCs w:val="24"/>
          <w:lang w:val="en-US"/>
        </w:rPr>
        <w:t xml:space="preserve"> and 201</w:t>
      </w:r>
      <w:r w:rsidR="00E10953">
        <w:rPr>
          <w:szCs w:val="24"/>
          <w:lang w:val="en-US"/>
        </w:rPr>
        <w:t>9</w:t>
      </w:r>
      <w:r w:rsidRPr="00342EDD">
        <w:rPr>
          <w:szCs w:val="24"/>
          <w:lang w:val="en-US"/>
        </w:rPr>
        <w:t xml:space="preserve">, on the basis of </w:t>
      </w:r>
      <w:r w:rsidR="00A33B70" w:rsidRPr="00342EDD">
        <w:rPr>
          <w:szCs w:val="24"/>
          <w:lang w:val="en-US"/>
        </w:rPr>
        <w:t>3</w:t>
      </w:r>
      <w:r w:rsidR="000970C5">
        <w:rPr>
          <w:szCs w:val="24"/>
          <w:lang w:val="en-US"/>
        </w:rPr>
        <w:t>34 1/2</w:t>
      </w:r>
      <w:r w:rsidR="00A33B70" w:rsidRPr="00342EDD">
        <w:rPr>
          <w:szCs w:val="24"/>
          <w:lang w:val="en-US"/>
        </w:rPr>
        <w:t xml:space="preserve"> units</w:t>
      </w:r>
      <w:r w:rsidRPr="00342EDD">
        <w:rPr>
          <w:szCs w:val="24"/>
          <w:lang w:val="en-US"/>
        </w:rPr>
        <w:t xml:space="preserve">. In the same </w:t>
      </w:r>
      <w:r w:rsidR="00C71BE9" w:rsidRPr="00342EDD">
        <w:rPr>
          <w:szCs w:val="24"/>
          <w:lang w:val="en-US"/>
        </w:rPr>
        <w:t>R</w:t>
      </w:r>
      <w:r w:rsidRPr="00342EDD">
        <w:rPr>
          <w:szCs w:val="24"/>
          <w:lang w:val="en-US"/>
        </w:rPr>
        <w:t>esolution, it set at CHF 63</w:t>
      </w:r>
      <w:r w:rsidR="00CF1E52" w:rsidRPr="00342EDD">
        <w:rPr>
          <w:szCs w:val="24"/>
          <w:lang w:val="en-US"/>
        </w:rPr>
        <w:t>’</w:t>
      </w:r>
      <w:r w:rsidRPr="00342EDD">
        <w:rPr>
          <w:szCs w:val="24"/>
          <w:lang w:val="en-US"/>
        </w:rPr>
        <w:t xml:space="preserve">600 the amount of the contributory </w:t>
      </w:r>
      <w:r w:rsidR="00A33B70" w:rsidRPr="00342EDD">
        <w:rPr>
          <w:szCs w:val="24"/>
          <w:lang w:val="en-US"/>
        </w:rPr>
        <w:t xml:space="preserve">unit for Sector Members for </w:t>
      </w:r>
      <w:r w:rsidR="00111BDD" w:rsidRPr="00342EDD">
        <w:rPr>
          <w:szCs w:val="24"/>
          <w:lang w:val="en-US"/>
        </w:rPr>
        <w:t>201</w:t>
      </w:r>
      <w:r w:rsidR="000970C5">
        <w:rPr>
          <w:szCs w:val="24"/>
          <w:lang w:val="en-US"/>
        </w:rPr>
        <w:t>6</w:t>
      </w:r>
      <w:r w:rsidR="00A33B70" w:rsidRPr="00342EDD">
        <w:rPr>
          <w:szCs w:val="24"/>
          <w:lang w:val="en-US"/>
        </w:rPr>
        <w:t xml:space="preserve"> and 201</w:t>
      </w:r>
      <w:r w:rsidR="000970C5">
        <w:rPr>
          <w:szCs w:val="24"/>
          <w:lang w:val="en-US"/>
        </w:rPr>
        <w:t>7</w:t>
      </w:r>
      <w:r w:rsidRPr="00342EDD">
        <w:rPr>
          <w:szCs w:val="24"/>
          <w:lang w:val="en-US"/>
        </w:rPr>
        <w:t>, this being 1/5 of the contributory unit for Member States. The financial contribution of Associates was set as follows: CHF 10</w:t>
      </w:r>
      <w:r w:rsidR="00CF1E52" w:rsidRPr="00342EDD">
        <w:rPr>
          <w:szCs w:val="24"/>
          <w:lang w:val="en-US"/>
        </w:rPr>
        <w:t>’</w:t>
      </w:r>
      <w:r w:rsidRPr="00342EDD">
        <w:rPr>
          <w:szCs w:val="24"/>
          <w:lang w:val="en-US"/>
        </w:rPr>
        <w:t>600 for Associates participating in the work of ITU-R and ITU-T, CHF 3</w:t>
      </w:r>
      <w:r w:rsidR="00CF1E52" w:rsidRPr="00342EDD">
        <w:rPr>
          <w:szCs w:val="24"/>
          <w:lang w:val="en-US"/>
        </w:rPr>
        <w:t>’</w:t>
      </w:r>
      <w:r w:rsidRPr="00342EDD">
        <w:rPr>
          <w:szCs w:val="24"/>
          <w:lang w:val="en-US"/>
        </w:rPr>
        <w:t>975 for Associates participating in the work of</w:t>
      </w:r>
      <w:r w:rsidR="008F40EA">
        <w:rPr>
          <w:szCs w:val="24"/>
          <w:lang w:val="en-US"/>
        </w:rPr>
        <w:t xml:space="preserve"> </w:t>
      </w:r>
      <w:r w:rsidRPr="00342EDD">
        <w:rPr>
          <w:szCs w:val="24"/>
          <w:lang w:val="en-US"/>
        </w:rPr>
        <w:t>ITU</w:t>
      </w:r>
      <w:r w:rsidR="008F40EA">
        <w:rPr>
          <w:szCs w:val="24"/>
          <w:lang w:val="en-US"/>
        </w:rPr>
        <w:t> -</w:t>
      </w:r>
      <w:r w:rsidRPr="00342EDD">
        <w:rPr>
          <w:szCs w:val="24"/>
          <w:lang w:val="en-US"/>
        </w:rPr>
        <w:t>D,</w:t>
      </w:r>
      <w:r w:rsidR="008F40EA">
        <w:rPr>
          <w:szCs w:val="24"/>
          <w:lang w:val="en-US"/>
        </w:rPr>
        <w:t> </w:t>
      </w:r>
      <w:r w:rsidRPr="00342EDD">
        <w:rPr>
          <w:szCs w:val="24"/>
          <w:lang w:val="en-US"/>
        </w:rPr>
        <w:t>and CHF 1</w:t>
      </w:r>
      <w:r w:rsidR="00CF1E52" w:rsidRPr="00342EDD">
        <w:rPr>
          <w:szCs w:val="24"/>
          <w:lang w:val="en-US"/>
        </w:rPr>
        <w:t>’</w:t>
      </w:r>
      <w:r w:rsidRPr="00342EDD">
        <w:rPr>
          <w:szCs w:val="24"/>
          <w:lang w:val="en-US"/>
        </w:rPr>
        <w:t>987.50 for Associates participating in the work of ITU-D in the case of Associates from developing countries.</w:t>
      </w:r>
      <w:r w:rsidR="00A33B70" w:rsidRPr="00342EDD">
        <w:rPr>
          <w:szCs w:val="24"/>
          <w:lang w:val="en-US"/>
        </w:rPr>
        <w:t xml:space="preserve"> The financial contribution for Academia, universities and </w:t>
      </w:r>
      <w:r w:rsidR="00C81B79" w:rsidRPr="00342EDD">
        <w:rPr>
          <w:szCs w:val="24"/>
          <w:lang w:val="en-US"/>
        </w:rPr>
        <w:t>t</w:t>
      </w:r>
      <w:r w:rsidR="00A33B70" w:rsidRPr="00342EDD">
        <w:rPr>
          <w:szCs w:val="24"/>
          <w:lang w:val="en-US"/>
        </w:rPr>
        <w:t xml:space="preserve">heir associated research establishments is set as follows: CHF 3’975 for developed countries and </w:t>
      </w:r>
      <w:r w:rsidR="00A33B70" w:rsidRPr="00CF1FDC">
        <w:rPr>
          <w:szCs w:val="24"/>
          <w:lang w:val="en-US"/>
        </w:rPr>
        <w:t>CHF 1’9</w:t>
      </w:r>
      <w:r w:rsidR="00BA42A2">
        <w:rPr>
          <w:szCs w:val="24"/>
          <w:lang w:val="en-US"/>
        </w:rPr>
        <w:t>87</w:t>
      </w:r>
      <w:r w:rsidR="00A33B70" w:rsidRPr="00CF1FDC">
        <w:rPr>
          <w:szCs w:val="24"/>
          <w:lang w:val="en-US"/>
        </w:rPr>
        <w:t>.50 for</w:t>
      </w:r>
      <w:r w:rsidR="00A33B70" w:rsidRPr="00342EDD">
        <w:rPr>
          <w:szCs w:val="24"/>
          <w:lang w:val="en-US"/>
        </w:rPr>
        <w:t xml:space="preserve"> developing countries participating in the work of the three sectors.</w:t>
      </w:r>
    </w:p>
    <w:p w:rsidR="00D14E4B" w:rsidRDefault="00AE207D" w:rsidP="00A53677">
      <w:pPr>
        <w:tabs>
          <w:tab w:val="left" w:pos="0"/>
          <w:tab w:val="left" w:pos="851"/>
        </w:tabs>
        <w:snapToGrid w:val="0"/>
        <w:spacing w:after="120"/>
        <w:jc w:val="both"/>
      </w:pPr>
      <w:r w:rsidRPr="0052697E">
        <w:rPr>
          <w:color w:val="000000"/>
        </w:rPr>
        <w:t xml:space="preserve">The increase </w:t>
      </w:r>
      <w:r w:rsidR="00A53677">
        <w:rPr>
          <w:color w:val="000000"/>
        </w:rPr>
        <w:t>in</w:t>
      </w:r>
      <w:r w:rsidRPr="0052697E">
        <w:rPr>
          <w:color w:val="000000"/>
        </w:rPr>
        <w:t xml:space="preserve"> revenue </w:t>
      </w:r>
      <w:r w:rsidR="00A53677">
        <w:rPr>
          <w:color w:val="000000"/>
        </w:rPr>
        <w:t>from</w:t>
      </w:r>
      <w:r w:rsidRPr="0052697E">
        <w:rPr>
          <w:color w:val="000000"/>
        </w:rPr>
        <w:t xml:space="preserve"> assessed contribution</w:t>
      </w:r>
      <w:r w:rsidR="00A53677">
        <w:rPr>
          <w:color w:val="000000"/>
        </w:rPr>
        <w:t>s</w:t>
      </w:r>
      <w:r w:rsidRPr="0052697E">
        <w:rPr>
          <w:color w:val="000000"/>
        </w:rPr>
        <w:t xml:space="preserve"> </w:t>
      </w:r>
      <w:r w:rsidR="00A53677">
        <w:rPr>
          <w:color w:val="000000"/>
        </w:rPr>
        <w:t xml:space="preserve">amounts to </w:t>
      </w:r>
      <w:r w:rsidRPr="0052697E">
        <w:rPr>
          <w:color w:val="000000"/>
        </w:rPr>
        <w:t>CHF</w:t>
      </w:r>
      <w:r w:rsidR="00A53677">
        <w:rPr>
          <w:color w:val="000000"/>
        </w:rPr>
        <w:t> </w:t>
      </w:r>
      <w:r w:rsidRPr="0052697E">
        <w:rPr>
          <w:color w:val="000000"/>
        </w:rPr>
        <w:t>125,19 million in 2018 compared with CHF</w:t>
      </w:r>
      <w:r w:rsidR="00A53677">
        <w:rPr>
          <w:color w:val="000000"/>
        </w:rPr>
        <w:t> </w:t>
      </w:r>
      <w:r w:rsidRPr="0052697E">
        <w:rPr>
          <w:color w:val="000000"/>
        </w:rPr>
        <w:t xml:space="preserve">122,39 million in 2017 </w:t>
      </w:r>
      <w:r w:rsidR="00A53677">
        <w:rPr>
          <w:color w:val="000000"/>
        </w:rPr>
        <w:t xml:space="preserve">and </w:t>
      </w:r>
      <w:r w:rsidR="0052697E" w:rsidRPr="0052697E">
        <w:t>can be explained by the</w:t>
      </w:r>
      <w:r w:rsidR="0052697E" w:rsidRPr="0052697E">
        <w:rPr>
          <w:color w:val="000000"/>
        </w:rPr>
        <w:t xml:space="preserve"> </w:t>
      </w:r>
      <w:r w:rsidRPr="0052697E">
        <w:rPr>
          <w:color w:val="000000"/>
        </w:rPr>
        <w:t>change</w:t>
      </w:r>
      <w:r w:rsidR="00A53677">
        <w:rPr>
          <w:color w:val="000000"/>
        </w:rPr>
        <w:t>s</w:t>
      </w:r>
      <w:r w:rsidRPr="0052697E">
        <w:rPr>
          <w:color w:val="000000"/>
        </w:rPr>
        <w:t xml:space="preserve"> of class of contribution </w:t>
      </w:r>
      <w:r w:rsidR="00A53677">
        <w:rPr>
          <w:color w:val="000000"/>
        </w:rPr>
        <w:t>of</w:t>
      </w:r>
      <w:r w:rsidR="0052697E" w:rsidRPr="0052697E">
        <w:rPr>
          <w:color w:val="000000"/>
        </w:rPr>
        <w:t xml:space="preserve"> China (14 to 20 units), Pakistan (1 to 2 units) and Paraguay (1/4 to ½ units).</w:t>
      </w:r>
    </w:p>
    <w:p w:rsidR="00F82684" w:rsidRPr="00520B2F" w:rsidRDefault="000261EA" w:rsidP="006D6709">
      <w:pPr>
        <w:pStyle w:val="Heading5"/>
        <w:spacing w:before="120" w:after="120"/>
        <w:jc w:val="both"/>
        <w:rPr>
          <w:lang w:val="en-US"/>
        </w:rPr>
      </w:pPr>
      <w:bookmarkStart w:id="110" w:name="_Toc305764104"/>
      <w:bookmarkStart w:id="111" w:name="_Toc305778514"/>
      <w:bookmarkStart w:id="112" w:name="_Toc329011648"/>
      <w:r w:rsidRPr="00966288">
        <w:rPr>
          <w:lang w:val="en-US"/>
        </w:rPr>
        <w:t>Note 2</w:t>
      </w:r>
      <w:r w:rsidR="006D6709" w:rsidRPr="00966288">
        <w:rPr>
          <w:lang w:val="en-US"/>
        </w:rPr>
        <w:t>2</w:t>
      </w:r>
      <w:r w:rsidRPr="00966288">
        <w:rPr>
          <w:lang w:val="en-US"/>
        </w:rPr>
        <w:tab/>
      </w:r>
      <w:r w:rsidR="00F82684" w:rsidRPr="00966288">
        <w:rPr>
          <w:lang w:val="en-US"/>
        </w:rPr>
        <w:t>Revenue</w:t>
      </w:r>
    </w:p>
    <w:p w:rsidR="000261EA" w:rsidRPr="00B4127B" w:rsidRDefault="000261EA" w:rsidP="00F05318">
      <w:pPr>
        <w:pStyle w:val="Heading5"/>
        <w:spacing w:before="120" w:after="120"/>
        <w:jc w:val="both"/>
        <w:rPr>
          <w:sz w:val="16"/>
          <w:szCs w:val="12"/>
          <w:lang w:val="en-US"/>
        </w:rPr>
      </w:pPr>
      <w:r w:rsidRPr="00520B2F">
        <w:rPr>
          <w:lang w:val="en-US"/>
        </w:rPr>
        <w:t>Voluntary contributions</w:t>
      </w:r>
    </w:p>
    <w:bookmarkEnd w:id="110"/>
    <w:bookmarkEnd w:id="111"/>
    <w:bookmarkEnd w:id="112"/>
    <w:p w:rsidR="0022373A" w:rsidRDefault="00C54321" w:rsidP="00060C69">
      <w:pPr>
        <w:jc w:val="both"/>
        <w:rPr>
          <w:lang w:val="en-US"/>
        </w:rPr>
      </w:pPr>
      <w:r w:rsidRPr="00B4127B">
        <w:rPr>
          <w:lang w:val="en-US"/>
        </w:rPr>
        <w:t>Voluntary contribution</w:t>
      </w:r>
      <w:r w:rsidR="007407A6" w:rsidRPr="00B4127B">
        <w:rPr>
          <w:lang w:val="en-US"/>
        </w:rPr>
        <w:t>s</w:t>
      </w:r>
      <w:r w:rsidRPr="00B4127B">
        <w:rPr>
          <w:lang w:val="en-US"/>
        </w:rPr>
        <w:t xml:space="preserve"> </w:t>
      </w:r>
      <w:r w:rsidR="0022373A" w:rsidRPr="00B4127B">
        <w:rPr>
          <w:lang w:val="en-US"/>
        </w:rPr>
        <w:t>are sources of funding from third parties to su</w:t>
      </w:r>
      <w:r w:rsidR="00D86CB5" w:rsidRPr="00B4127B">
        <w:rPr>
          <w:lang w:val="en-US"/>
        </w:rPr>
        <w:t>pport the Union in implementing d</w:t>
      </w:r>
      <w:r w:rsidR="0022373A" w:rsidRPr="00B4127B">
        <w:rPr>
          <w:lang w:val="en-US"/>
        </w:rPr>
        <w:t xml:space="preserve">evelopment projects in </w:t>
      </w:r>
      <w:r w:rsidR="000A4526" w:rsidRPr="00B4127B">
        <w:rPr>
          <w:lang w:val="en-US"/>
        </w:rPr>
        <w:t>favor</w:t>
      </w:r>
      <w:r w:rsidR="0022373A" w:rsidRPr="00B4127B">
        <w:rPr>
          <w:lang w:val="en-US"/>
        </w:rPr>
        <w:t xml:space="preserve"> of </w:t>
      </w:r>
      <w:r w:rsidR="00B76D1B" w:rsidRPr="00B4127B">
        <w:rPr>
          <w:lang w:val="en-US"/>
        </w:rPr>
        <w:t>the UN-designated least developed countries</w:t>
      </w:r>
      <w:r w:rsidR="0022373A" w:rsidRPr="00B4127B">
        <w:rPr>
          <w:lang w:val="en-US"/>
        </w:rPr>
        <w:t>.</w:t>
      </w:r>
      <w:r w:rsidR="00D86CB5" w:rsidRPr="00B4127B">
        <w:rPr>
          <w:lang w:val="en-US"/>
        </w:rPr>
        <w:t xml:space="preserve"> </w:t>
      </w:r>
      <w:r w:rsidRPr="00B4127B">
        <w:rPr>
          <w:lang w:val="en-US"/>
        </w:rPr>
        <w:t>The total of voluntary contribution</w:t>
      </w:r>
      <w:r w:rsidR="00D445FE" w:rsidRPr="00B4127B">
        <w:rPr>
          <w:lang w:val="en-US"/>
        </w:rPr>
        <w:t>s</w:t>
      </w:r>
      <w:r w:rsidRPr="00B4127B">
        <w:rPr>
          <w:lang w:val="en-US"/>
        </w:rPr>
        <w:t xml:space="preserve"> amounted </w:t>
      </w:r>
      <w:r w:rsidR="00D445FE" w:rsidRPr="00B4127B">
        <w:rPr>
          <w:lang w:val="en-US"/>
        </w:rPr>
        <w:t xml:space="preserve">to </w:t>
      </w:r>
      <w:r w:rsidRPr="00B4127B">
        <w:rPr>
          <w:lang w:val="en-US"/>
        </w:rPr>
        <w:t>CHF</w:t>
      </w:r>
      <w:r w:rsidR="00CF1FDC" w:rsidRPr="00B4127B">
        <w:rPr>
          <w:lang w:val="en-US"/>
        </w:rPr>
        <w:t xml:space="preserve"> </w:t>
      </w:r>
      <w:r w:rsidR="00060C69">
        <w:rPr>
          <w:lang w:val="en-US"/>
        </w:rPr>
        <w:t>7</w:t>
      </w:r>
      <w:r w:rsidR="00CF1FDC" w:rsidRPr="00B4127B">
        <w:rPr>
          <w:lang w:val="en-US"/>
        </w:rPr>
        <w:t>.</w:t>
      </w:r>
      <w:r w:rsidR="00060C69">
        <w:rPr>
          <w:lang w:val="en-US"/>
        </w:rPr>
        <w:t>1</w:t>
      </w:r>
      <w:r w:rsidRPr="00B4127B">
        <w:rPr>
          <w:lang w:val="en-US"/>
        </w:rPr>
        <w:t xml:space="preserve"> million in </w:t>
      </w:r>
      <w:r w:rsidR="00111BDD" w:rsidRPr="00B4127B">
        <w:rPr>
          <w:lang w:val="en-US"/>
        </w:rPr>
        <w:t>201</w:t>
      </w:r>
      <w:r w:rsidR="00060C69">
        <w:rPr>
          <w:lang w:val="en-US"/>
        </w:rPr>
        <w:t>8</w:t>
      </w:r>
      <w:r w:rsidRPr="00B4127B">
        <w:rPr>
          <w:lang w:val="en-US"/>
        </w:rPr>
        <w:t xml:space="preserve"> (CHF</w:t>
      </w:r>
      <w:r w:rsidR="00112742" w:rsidRPr="00B4127B">
        <w:rPr>
          <w:lang w:val="en-US"/>
        </w:rPr>
        <w:t> </w:t>
      </w:r>
      <w:r w:rsidR="00520B2F">
        <w:rPr>
          <w:lang w:val="en-US"/>
        </w:rPr>
        <w:t>10</w:t>
      </w:r>
      <w:r w:rsidRPr="00B4127B">
        <w:rPr>
          <w:lang w:val="en-US"/>
        </w:rPr>
        <w:t>.</w:t>
      </w:r>
      <w:r w:rsidR="00060C69">
        <w:rPr>
          <w:lang w:val="en-US"/>
        </w:rPr>
        <w:t>6</w:t>
      </w:r>
      <w:r w:rsidR="00112742" w:rsidRPr="00B4127B">
        <w:rPr>
          <w:lang w:val="en-US"/>
        </w:rPr>
        <w:t> </w:t>
      </w:r>
      <w:r w:rsidRPr="00B4127B">
        <w:rPr>
          <w:lang w:val="en-US"/>
        </w:rPr>
        <w:t>million in 201</w:t>
      </w:r>
      <w:r w:rsidR="00060C69">
        <w:rPr>
          <w:lang w:val="en-US"/>
        </w:rPr>
        <w:t>7</w:t>
      </w:r>
      <w:r w:rsidRPr="00B4127B">
        <w:rPr>
          <w:lang w:val="en-US"/>
        </w:rPr>
        <w:t>).</w:t>
      </w:r>
    </w:p>
    <w:p w:rsidR="008935EA" w:rsidRDefault="008935EA">
      <w:pPr>
        <w:tabs>
          <w:tab w:val="clear" w:pos="567"/>
          <w:tab w:val="clear" w:pos="1134"/>
          <w:tab w:val="clear" w:pos="1701"/>
          <w:tab w:val="clear" w:pos="2268"/>
          <w:tab w:val="clear" w:pos="2835"/>
        </w:tabs>
        <w:overflowPunct/>
        <w:autoSpaceDE/>
        <w:autoSpaceDN/>
        <w:adjustRightInd/>
        <w:spacing w:before="0"/>
        <w:textAlignment w:val="auto"/>
        <w:rPr>
          <w:b/>
          <w:lang w:val="en-US"/>
        </w:rPr>
      </w:pPr>
      <w:bookmarkStart w:id="113" w:name="_Toc305764105"/>
      <w:bookmarkStart w:id="114" w:name="_Toc329011649"/>
      <w:r>
        <w:rPr>
          <w:lang w:val="en-US"/>
        </w:rPr>
        <w:br w:type="page"/>
      </w:r>
    </w:p>
    <w:p w:rsidR="000970C5" w:rsidRDefault="0022373A" w:rsidP="0040468E">
      <w:pPr>
        <w:pStyle w:val="Heading5"/>
        <w:tabs>
          <w:tab w:val="clear" w:pos="567"/>
          <w:tab w:val="clear" w:pos="1134"/>
          <w:tab w:val="left" w:pos="0"/>
        </w:tabs>
        <w:snapToGrid w:val="0"/>
        <w:spacing w:before="240" w:after="120"/>
        <w:ind w:left="0" w:firstLine="0"/>
        <w:jc w:val="both"/>
        <w:rPr>
          <w:lang w:val="en-US"/>
        </w:rPr>
      </w:pPr>
      <w:r w:rsidRPr="00520B2F">
        <w:rPr>
          <w:lang w:val="en-US"/>
        </w:rPr>
        <w:t>Other operating revenue</w:t>
      </w:r>
      <w:bookmarkEnd w:id="113"/>
      <w:bookmarkEnd w:id="114"/>
    </w:p>
    <w:tbl>
      <w:tblPr>
        <w:tblW w:w="9492" w:type="dxa"/>
        <w:tblInd w:w="-5" w:type="dxa"/>
        <w:tblLayout w:type="fixed"/>
        <w:tblLook w:val="04A0" w:firstRow="1" w:lastRow="0" w:firstColumn="1" w:lastColumn="0" w:noHBand="0" w:noVBand="1"/>
      </w:tblPr>
      <w:tblGrid>
        <w:gridCol w:w="5806"/>
        <w:gridCol w:w="1843"/>
        <w:gridCol w:w="1843"/>
      </w:tblGrid>
      <w:tr w:rsidR="000970C5" w:rsidRPr="000970C5" w:rsidTr="0040468E">
        <w:trPr>
          <w:trHeight w:val="454"/>
        </w:trPr>
        <w:tc>
          <w:tcPr>
            <w:tcW w:w="5806" w:type="dxa"/>
            <w:tcBorders>
              <w:top w:val="single" w:sz="4" w:space="0" w:color="auto"/>
              <w:left w:val="single" w:sz="4" w:space="0" w:color="auto"/>
              <w:bottom w:val="single" w:sz="4" w:space="0" w:color="auto"/>
              <w:right w:val="nil"/>
            </w:tcBorders>
            <w:shd w:val="clear" w:color="auto" w:fill="auto"/>
            <w:noWrap/>
            <w:vAlign w:val="center"/>
            <w:hideMark/>
          </w:tcPr>
          <w:p w:rsidR="000970C5" w:rsidRPr="00EF0313" w:rsidRDefault="000970C5" w:rsidP="000970C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en-US" w:eastAsia="zh-CN"/>
              </w:rPr>
            </w:pPr>
            <w:r w:rsidRPr="00EF0313">
              <w:rPr>
                <w:rFonts w:cs="Calibri"/>
                <w:b/>
                <w:bCs/>
                <w:color w:val="000000"/>
                <w:sz w:val="20"/>
                <w:lang w:val="en-US" w:eastAsia="zh-CN"/>
              </w:rPr>
              <w:t>In thousands of CHF</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0C5" w:rsidRPr="00EF0313" w:rsidRDefault="000970C5"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val="en-US" w:eastAsia="zh-CN"/>
              </w:rPr>
            </w:pPr>
            <w:r w:rsidRPr="00EF0313">
              <w:rPr>
                <w:rFonts w:cs="Calibri"/>
                <w:b/>
                <w:bCs/>
                <w:color w:val="000000"/>
                <w:sz w:val="20"/>
                <w:lang w:val="en-US" w:eastAsia="zh-CN"/>
              </w:rPr>
              <w:t>201</w:t>
            </w:r>
            <w:r w:rsidR="00DD27CC" w:rsidRPr="00EF0313">
              <w:rPr>
                <w:rFonts w:cs="Calibri"/>
                <w:b/>
                <w:bCs/>
                <w:color w:val="000000"/>
                <w:sz w:val="20"/>
                <w:lang w:val="en-US" w:eastAsia="zh-CN"/>
              </w:rPr>
              <w:t>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970C5" w:rsidRPr="00EF0313" w:rsidRDefault="000970C5"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val="en-US" w:eastAsia="zh-CN"/>
              </w:rPr>
            </w:pPr>
            <w:r w:rsidRPr="00EF0313">
              <w:rPr>
                <w:rFonts w:cs="Calibri"/>
                <w:b/>
                <w:bCs/>
                <w:color w:val="000000"/>
                <w:sz w:val="20"/>
                <w:lang w:val="en-US" w:eastAsia="zh-CN"/>
              </w:rPr>
              <w:t>201</w:t>
            </w:r>
            <w:r w:rsidR="00DD27CC" w:rsidRPr="00EF0313">
              <w:rPr>
                <w:rFonts w:cs="Calibri"/>
                <w:b/>
                <w:bCs/>
                <w:color w:val="000000"/>
                <w:sz w:val="20"/>
                <w:lang w:val="en-US" w:eastAsia="zh-CN"/>
              </w:rPr>
              <w:t>7</w:t>
            </w:r>
          </w:p>
        </w:tc>
      </w:tr>
      <w:tr w:rsidR="00E24039" w:rsidRPr="000970C5" w:rsidTr="00DD27CC">
        <w:trPr>
          <w:trHeight w:val="91"/>
        </w:trPr>
        <w:tc>
          <w:tcPr>
            <w:tcW w:w="5806" w:type="dxa"/>
            <w:tcBorders>
              <w:top w:val="nil"/>
              <w:left w:val="single" w:sz="4" w:space="0" w:color="auto"/>
              <w:bottom w:val="nil"/>
              <w:right w:val="nil"/>
            </w:tcBorders>
            <w:shd w:val="clear" w:color="auto" w:fill="auto"/>
            <w:noWrap/>
            <w:vAlign w:val="bottom"/>
            <w:hideMark/>
          </w:tcPr>
          <w:p w:rsidR="00E24039" w:rsidRPr="00EF0313" w:rsidRDefault="00E24039" w:rsidP="000970C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EF0313">
              <w:rPr>
                <w:rFonts w:cs="Calibri"/>
                <w:color w:val="000000"/>
                <w:sz w:val="20"/>
                <w:lang w:val="en-US" w:eastAsia="zh-CN"/>
              </w:rPr>
              <w:t> </w:t>
            </w:r>
          </w:p>
        </w:tc>
        <w:tc>
          <w:tcPr>
            <w:tcW w:w="1843" w:type="dxa"/>
            <w:tcBorders>
              <w:top w:val="nil"/>
              <w:left w:val="single" w:sz="4" w:space="0" w:color="auto"/>
              <w:bottom w:val="nil"/>
              <w:right w:val="single" w:sz="4" w:space="0" w:color="auto"/>
            </w:tcBorders>
            <w:shd w:val="clear" w:color="auto" w:fill="auto"/>
            <w:noWrap/>
            <w:vAlign w:val="bottom"/>
            <w:hideMark/>
          </w:tcPr>
          <w:p w:rsidR="00E24039" w:rsidRPr="00EF0313" w:rsidRDefault="00E24039" w:rsidP="000970C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EF0313">
              <w:rPr>
                <w:rFonts w:cs="Calibri"/>
                <w:color w:val="000000"/>
                <w:sz w:val="20"/>
                <w:lang w:val="en-US" w:eastAsia="zh-CN"/>
              </w:rPr>
              <w:t> </w:t>
            </w:r>
          </w:p>
        </w:tc>
        <w:tc>
          <w:tcPr>
            <w:tcW w:w="1843" w:type="dxa"/>
            <w:tcBorders>
              <w:top w:val="nil"/>
              <w:left w:val="nil"/>
              <w:bottom w:val="nil"/>
              <w:right w:val="single" w:sz="4" w:space="0" w:color="auto"/>
            </w:tcBorders>
            <w:shd w:val="clear" w:color="auto" w:fill="auto"/>
            <w:noWrap/>
            <w:vAlign w:val="bottom"/>
            <w:hideMark/>
          </w:tcPr>
          <w:p w:rsidR="00E24039" w:rsidRPr="00EF0313" w:rsidRDefault="00E24039" w:rsidP="000970C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val="en-US" w:eastAsia="zh-CN"/>
              </w:rPr>
            </w:pPr>
            <w:r w:rsidRPr="00EF0313">
              <w:rPr>
                <w:rFonts w:cs="Calibri"/>
                <w:color w:val="000000"/>
                <w:sz w:val="20"/>
                <w:lang w:val="en-US" w:eastAsia="zh-CN"/>
              </w:rPr>
              <w:t> </w:t>
            </w:r>
          </w:p>
        </w:tc>
      </w:tr>
      <w:tr w:rsidR="00DD27CC" w:rsidRPr="000970C5" w:rsidTr="0040468E">
        <w:trPr>
          <w:trHeight w:val="255"/>
        </w:trPr>
        <w:tc>
          <w:tcPr>
            <w:tcW w:w="5806" w:type="dxa"/>
            <w:tcBorders>
              <w:top w:val="nil"/>
              <w:left w:val="single" w:sz="4" w:space="0" w:color="auto"/>
              <w:bottom w:val="nil"/>
              <w:right w:val="nil"/>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EF0313">
              <w:rPr>
                <w:rFonts w:cs="Calibri"/>
                <w:color w:val="000000"/>
                <w:sz w:val="20"/>
                <w:lang w:val="en-US" w:eastAsia="zh-CN"/>
              </w:rPr>
              <w:t>Extra-budgetary revenue</w:t>
            </w:r>
          </w:p>
        </w:tc>
        <w:tc>
          <w:tcPr>
            <w:tcW w:w="1843" w:type="dxa"/>
            <w:tcBorders>
              <w:top w:val="nil"/>
              <w:left w:val="single" w:sz="4" w:space="0" w:color="auto"/>
              <w:bottom w:val="nil"/>
              <w:right w:val="single" w:sz="4" w:space="0" w:color="auto"/>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EF0313">
              <w:rPr>
                <w:rFonts w:cs="Calibri"/>
                <w:color w:val="000000"/>
                <w:sz w:val="20"/>
                <w:lang w:val="en-US" w:eastAsia="zh-CN"/>
              </w:rPr>
              <w:t xml:space="preserve">                   5,844 </w:t>
            </w:r>
          </w:p>
        </w:tc>
        <w:tc>
          <w:tcPr>
            <w:tcW w:w="1843" w:type="dxa"/>
            <w:tcBorders>
              <w:top w:val="nil"/>
              <w:left w:val="nil"/>
              <w:bottom w:val="nil"/>
              <w:right w:val="single" w:sz="4" w:space="0" w:color="auto"/>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EF0313">
              <w:rPr>
                <w:rFonts w:cs="Calibri"/>
                <w:color w:val="000000"/>
                <w:sz w:val="20"/>
                <w:lang w:val="en-US" w:eastAsia="zh-CN"/>
              </w:rPr>
              <w:t xml:space="preserve">              7,506 </w:t>
            </w:r>
          </w:p>
        </w:tc>
      </w:tr>
      <w:tr w:rsidR="00DD27CC" w:rsidRPr="000970C5" w:rsidTr="0040468E">
        <w:trPr>
          <w:trHeight w:val="255"/>
        </w:trPr>
        <w:tc>
          <w:tcPr>
            <w:tcW w:w="5806" w:type="dxa"/>
            <w:tcBorders>
              <w:top w:val="nil"/>
              <w:left w:val="single" w:sz="4" w:space="0" w:color="auto"/>
              <w:bottom w:val="nil"/>
              <w:right w:val="nil"/>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EF0313">
              <w:rPr>
                <w:rFonts w:cs="Calibri"/>
                <w:color w:val="000000"/>
                <w:sz w:val="20"/>
                <w:lang w:val="en-US" w:eastAsia="zh-CN"/>
              </w:rPr>
              <w:t>Publications Sales</w:t>
            </w:r>
          </w:p>
        </w:tc>
        <w:tc>
          <w:tcPr>
            <w:tcW w:w="1843" w:type="dxa"/>
            <w:tcBorders>
              <w:top w:val="nil"/>
              <w:left w:val="single" w:sz="4" w:space="0" w:color="auto"/>
              <w:bottom w:val="nil"/>
              <w:right w:val="single" w:sz="4" w:space="0" w:color="auto"/>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EF0313">
              <w:rPr>
                <w:rFonts w:cs="Calibri"/>
                <w:color w:val="000000"/>
                <w:sz w:val="20"/>
                <w:lang w:val="en-US" w:eastAsia="zh-CN"/>
              </w:rPr>
              <w:t xml:space="preserve">                13,865 </w:t>
            </w:r>
          </w:p>
        </w:tc>
        <w:tc>
          <w:tcPr>
            <w:tcW w:w="1843" w:type="dxa"/>
            <w:tcBorders>
              <w:top w:val="nil"/>
              <w:left w:val="nil"/>
              <w:bottom w:val="nil"/>
              <w:right w:val="single" w:sz="4" w:space="0" w:color="auto"/>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EF0313">
              <w:rPr>
                <w:rFonts w:cs="Calibri"/>
                <w:color w:val="000000"/>
                <w:sz w:val="20"/>
                <w:lang w:val="en-US" w:eastAsia="zh-CN"/>
              </w:rPr>
              <w:t xml:space="preserve">           19,592 </w:t>
            </w:r>
          </w:p>
        </w:tc>
      </w:tr>
      <w:tr w:rsidR="00DD27CC" w:rsidRPr="000970C5" w:rsidTr="0040468E">
        <w:trPr>
          <w:trHeight w:val="255"/>
        </w:trPr>
        <w:tc>
          <w:tcPr>
            <w:tcW w:w="5806" w:type="dxa"/>
            <w:tcBorders>
              <w:top w:val="nil"/>
              <w:left w:val="single" w:sz="4" w:space="0" w:color="auto"/>
              <w:bottom w:val="nil"/>
              <w:right w:val="nil"/>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EF0313">
              <w:rPr>
                <w:rFonts w:cs="Calibri"/>
                <w:color w:val="000000"/>
                <w:sz w:val="20"/>
                <w:lang w:val="en-US" w:eastAsia="zh-CN"/>
              </w:rPr>
              <w:t>Satellite Network filing</w:t>
            </w:r>
          </w:p>
        </w:tc>
        <w:tc>
          <w:tcPr>
            <w:tcW w:w="1843" w:type="dxa"/>
            <w:tcBorders>
              <w:top w:val="nil"/>
              <w:left w:val="single" w:sz="4" w:space="0" w:color="auto"/>
              <w:bottom w:val="nil"/>
              <w:right w:val="single" w:sz="4" w:space="0" w:color="auto"/>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EF0313">
              <w:rPr>
                <w:rFonts w:cs="Calibri"/>
                <w:color w:val="000000"/>
                <w:sz w:val="20"/>
                <w:lang w:val="en-US" w:eastAsia="zh-CN"/>
              </w:rPr>
              <w:t xml:space="preserve">                19,070 </w:t>
            </w:r>
          </w:p>
        </w:tc>
        <w:tc>
          <w:tcPr>
            <w:tcW w:w="1843" w:type="dxa"/>
            <w:tcBorders>
              <w:top w:val="nil"/>
              <w:left w:val="nil"/>
              <w:bottom w:val="nil"/>
              <w:right w:val="single" w:sz="4" w:space="0" w:color="auto"/>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EF0313">
              <w:rPr>
                <w:rFonts w:cs="Calibri"/>
                <w:color w:val="000000"/>
                <w:sz w:val="20"/>
                <w:lang w:val="en-US" w:eastAsia="zh-CN"/>
              </w:rPr>
              <w:t xml:space="preserve">           15,342 </w:t>
            </w:r>
          </w:p>
        </w:tc>
      </w:tr>
      <w:tr w:rsidR="00DD27CC" w:rsidRPr="000970C5" w:rsidTr="0040468E">
        <w:trPr>
          <w:trHeight w:val="255"/>
        </w:trPr>
        <w:tc>
          <w:tcPr>
            <w:tcW w:w="5806" w:type="dxa"/>
            <w:tcBorders>
              <w:top w:val="nil"/>
              <w:left w:val="single" w:sz="4" w:space="0" w:color="auto"/>
              <w:bottom w:val="nil"/>
              <w:right w:val="nil"/>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EF0313">
              <w:rPr>
                <w:rFonts w:cs="Calibri"/>
                <w:color w:val="000000"/>
                <w:sz w:val="20"/>
                <w:lang w:val="en-US" w:eastAsia="zh-CN"/>
              </w:rPr>
              <w:t>UIFN/UIPRN-UISC</w:t>
            </w:r>
          </w:p>
        </w:tc>
        <w:tc>
          <w:tcPr>
            <w:tcW w:w="1843" w:type="dxa"/>
            <w:tcBorders>
              <w:top w:val="nil"/>
              <w:left w:val="single" w:sz="4" w:space="0" w:color="auto"/>
              <w:bottom w:val="nil"/>
              <w:right w:val="single" w:sz="4" w:space="0" w:color="auto"/>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EF0313">
              <w:rPr>
                <w:rFonts w:cs="Calibri"/>
                <w:color w:val="000000"/>
                <w:sz w:val="20"/>
                <w:lang w:val="en-US" w:eastAsia="zh-CN"/>
              </w:rPr>
              <w:t xml:space="preserve">                      905 </w:t>
            </w:r>
          </w:p>
        </w:tc>
        <w:tc>
          <w:tcPr>
            <w:tcW w:w="1843" w:type="dxa"/>
            <w:tcBorders>
              <w:top w:val="nil"/>
              <w:left w:val="nil"/>
              <w:bottom w:val="nil"/>
              <w:right w:val="single" w:sz="4" w:space="0" w:color="auto"/>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EF0313">
              <w:rPr>
                <w:rFonts w:cs="Calibri"/>
                <w:color w:val="000000"/>
                <w:sz w:val="20"/>
                <w:lang w:val="en-US" w:eastAsia="zh-CN"/>
              </w:rPr>
              <w:t xml:space="preserve">                139 </w:t>
            </w:r>
          </w:p>
        </w:tc>
      </w:tr>
      <w:tr w:rsidR="00DD27CC" w:rsidRPr="000970C5" w:rsidTr="0040468E">
        <w:trPr>
          <w:trHeight w:val="255"/>
        </w:trPr>
        <w:tc>
          <w:tcPr>
            <w:tcW w:w="5806" w:type="dxa"/>
            <w:tcBorders>
              <w:top w:val="nil"/>
              <w:left w:val="single" w:sz="4" w:space="0" w:color="auto"/>
              <w:bottom w:val="nil"/>
              <w:right w:val="nil"/>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EF0313">
              <w:rPr>
                <w:rFonts w:cs="Calibri"/>
                <w:color w:val="000000"/>
                <w:sz w:val="20"/>
                <w:lang w:val="en-US" w:eastAsia="zh-CN"/>
              </w:rPr>
              <w:t>GMPCS-MoUs</w:t>
            </w:r>
          </w:p>
        </w:tc>
        <w:tc>
          <w:tcPr>
            <w:tcW w:w="1843" w:type="dxa"/>
            <w:tcBorders>
              <w:top w:val="nil"/>
              <w:left w:val="single" w:sz="4" w:space="0" w:color="auto"/>
              <w:bottom w:val="nil"/>
              <w:right w:val="single" w:sz="4" w:space="0" w:color="auto"/>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EF0313">
              <w:rPr>
                <w:rFonts w:cs="Calibri"/>
                <w:color w:val="000000"/>
                <w:sz w:val="20"/>
                <w:lang w:val="en-US" w:eastAsia="zh-CN"/>
              </w:rPr>
              <w:t xml:space="preserve">                           8 </w:t>
            </w:r>
          </w:p>
        </w:tc>
        <w:tc>
          <w:tcPr>
            <w:tcW w:w="1843" w:type="dxa"/>
            <w:tcBorders>
              <w:top w:val="nil"/>
              <w:left w:val="nil"/>
              <w:bottom w:val="nil"/>
              <w:right w:val="single" w:sz="4" w:space="0" w:color="auto"/>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EF0313">
              <w:rPr>
                <w:rFonts w:cs="Calibri"/>
                <w:color w:val="000000"/>
                <w:sz w:val="20"/>
                <w:lang w:val="en-US" w:eastAsia="zh-CN"/>
              </w:rPr>
              <w:t xml:space="preserve">                  6 </w:t>
            </w:r>
          </w:p>
        </w:tc>
      </w:tr>
      <w:tr w:rsidR="00DD27CC" w:rsidRPr="000970C5" w:rsidTr="0040468E">
        <w:trPr>
          <w:trHeight w:val="255"/>
        </w:trPr>
        <w:tc>
          <w:tcPr>
            <w:tcW w:w="5806" w:type="dxa"/>
            <w:tcBorders>
              <w:top w:val="nil"/>
              <w:left w:val="single" w:sz="4" w:space="0" w:color="auto"/>
              <w:bottom w:val="nil"/>
              <w:right w:val="nil"/>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EF0313">
              <w:rPr>
                <w:rFonts w:cs="Calibri"/>
                <w:color w:val="000000"/>
                <w:sz w:val="20"/>
                <w:lang w:val="en-US" w:eastAsia="zh-CN"/>
              </w:rPr>
              <w:t>Recovery –Publications</w:t>
            </w:r>
          </w:p>
        </w:tc>
        <w:tc>
          <w:tcPr>
            <w:tcW w:w="1843" w:type="dxa"/>
            <w:tcBorders>
              <w:top w:val="nil"/>
              <w:left w:val="single" w:sz="4" w:space="0" w:color="auto"/>
              <w:bottom w:val="nil"/>
              <w:right w:val="single" w:sz="4" w:space="0" w:color="auto"/>
            </w:tcBorders>
            <w:shd w:val="clear" w:color="auto" w:fill="auto"/>
            <w:noWrap/>
            <w:vAlign w:val="bottom"/>
            <w:hideMark/>
          </w:tcPr>
          <w:p w:rsidR="00DD27CC" w:rsidRPr="00EF0313" w:rsidRDefault="00DD27CC" w:rsidP="0052697E">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EF0313">
              <w:rPr>
                <w:rFonts w:cs="Calibri"/>
                <w:color w:val="000000"/>
                <w:sz w:val="20"/>
                <w:lang w:val="en-US" w:eastAsia="zh-CN"/>
              </w:rPr>
              <w:t xml:space="preserve">                        </w:t>
            </w:r>
            <w:r w:rsidR="0052697E" w:rsidRPr="00EF0313">
              <w:rPr>
                <w:rFonts w:cs="Calibri"/>
                <w:color w:val="000000"/>
                <w:sz w:val="20"/>
                <w:lang w:val="en-US" w:eastAsia="zh-CN"/>
              </w:rPr>
              <w:t>14</w:t>
            </w:r>
            <w:r w:rsidRPr="00EF0313">
              <w:rPr>
                <w:rFonts w:cs="Calibri"/>
                <w:color w:val="000000"/>
                <w:sz w:val="20"/>
                <w:lang w:val="en-US" w:eastAsia="zh-CN"/>
              </w:rPr>
              <w:t xml:space="preserve">   </w:t>
            </w:r>
          </w:p>
        </w:tc>
        <w:tc>
          <w:tcPr>
            <w:tcW w:w="1843" w:type="dxa"/>
            <w:tcBorders>
              <w:top w:val="nil"/>
              <w:left w:val="nil"/>
              <w:bottom w:val="nil"/>
              <w:right w:val="single" w:sz="4" w:space="0" w:color="auto"/>
            </w:tcBorders>
            <w:shd w:val="clear" w:color="auto" w:fill="auto"/>
            <w:noWrap/>
            <w:vAlign w:val="bottom"/>
            <w:hideMark/>
          </w:tcPr>
          <w:p w:rsidR="00DD27CC" w:rsidRPr="00EF0313" w:rsidRDefault="00DD27CC" w:rsidP="0052697E">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EF0313">
              <w:rPr>
                <w:rFonts w:cs="Calibri"/>
                <w:color w:val="000000"/>
                <w:sz w:val="20"/>
                <w:lang w:val="en-US" w:eastAsia="zh-CN"/>
              </w:rPr>
              <w:t xml:space="preserve">                 </w:t>
            </w:r>
            <w:r w:rsidR="0052697E" w:rsidRPr="00EF0313">
              <w:rPr>
                <w:rFonts w:cs="Calibri"/>
                <w:color w:val="000000"/>
                <w:sz w:val="20"/>
                <w:lang w:val="en-US" w:eastAsia="zh-CN"/>
              </w:rPr>
              <w:t>24</w:t>
            </w:r>
            <w:r w:rsidRPr="00EF0313">
              <w:rPr>
                <w:rFonts w:cs="Calibri"/>
                <w:color w:val="000000"/>
                <w:sz w:val="20"/>
                <w:lang w:val="en-US" w:eastAsia="zh-CN"/>
              </w:rPr>
              <w:t xml:space="preserve">  </w:t>
            </w:r>
          </w:p>
        </w:tc>
      </w:tr>
      <w:tr w:rsidR="00DD27CC" w:rsidRPr="000970C5" w:rsidTr="0040468E">
        <w:trPr>
          <w:trHeight w:val="255"/>
        </w:trPr>
        <w:tc>
          <w:tcPr>
            <w:tcW w:w="5806" w:type="dxa"/>
            <w:tcBorders>
              <w:top w:val="nil"/>
              <w:left w:val="single" w:sz="4" w:space="0" w:color="auto"/>
              <w:bottom w:val="nil"/>
              <w:right w:val="nil"/>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EF0313">
              <w:rPr>
                <w:rFonts w:cs="Calibri"/>
                <w:color w:val="000000"/>
                <w:sz w:val="20"/>
                <w:lang w:val="en-US" w:eastAsia="zh-CN"/>
              </w:rPr>
              <w:t>Other revenue</w:t>
            </w:r>
          </w:p>
        </w:tc>
        <w:tc>
          <w:tcPr>
            <w:tcW w:w="1843" w:type="dxa"/>
            <w:tcBorders>
              <w:top w:val="nil"/>
              <w:left w:val="single" w:sz="4" w:space="0" w:color="auto"/>
              <w:bottom w:val="nil"/>
              <w:right w:val="single" w:sz="4" w:space="0" w:color="auto"/>
            </w:tcBorders>
            <w:shd w:val="clear" w:color="auto" w:fill="auto"/>
            <w:noWrap/>
            <w:vAlign w:val="bottom"/>
            <w:hideMark/>
          </w:tcPr>
          <w:p w:rsidR="00DD27CC" w:rsidRPr="00EF0313" w:rsidRDefault="00DD27CC" w:rsidP="002A47F2">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EF0313">
              <w:rPr>
                <w:rFonts w:cs="Calibri"/>
                <w:color w:val="000000"/>
                <w:sz w:val="20"/>
                <w:lang w:val="en-US" w:eastAsia="zh-CN"/>
              </w:rPr>
              <w:t xml:space="preserve">                    </w:t>
            </w:r>
            <w:r w:rsidR="002A47F2" w:rsidRPr="00EF0313">
              <w:rPr>
                <w:rFonts w:cs="Calibri"/>
                <w:color w:val="000000"/>
                <w:sz w:val="20"/>
                <w:lang w:val="en-US" w:eastAsia="zh-CN"/>
              </w:rPr>
              <w:t>2,222</w:t>
            </w:r>
            <w:r w:rsidRPr="00EF0313">
              <w:rPr>
                <w:rFonts w:cs="Calibri"/>
                <w:color w:val="000000"/>
                <w:sz w:val="20"/>
                <w:lang w:val="en-US" w:eastAsia="zh-CN"/>
              </w:rPr>
              <w:t xml:space="preserve"> </w:t>
            </w:r>
          </w:p>
        </w:tc>
        <w:tc>
          <w:tcPr>
            <w:tcW w:w="1843" w:type="dxa"/>
            <w:tcBorders>
              <w:top w:val="nil"/>
              <w:left w:val="nil"/>
              <w:bottom w:val="nil"/>
              <w:right w:val="single" w:sz="4" w:space="0" w:color="auto"/>
            </w:tcBorders>
            <w:shd w:val="clear" w:color="auto" w:fill="auto"/>
            <w:noWrap/>
            <w:vAlign w:val="bottom"/>
            <w:hideMark/>
          </w:tcPr>
          <w:p w:rsidR="00DD27CC" w:rsidRPr="00EF0313" w:rsidRDefault="00DD27CC"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EF0313">
              <w:rPr>
                <w:rFonts w:cs="Calibri"/>
                <w:color w:val="000000"/>
                <w:sz w:val="20"/>
                <w:lang w:val="en-US" w:eastAsia="zh-CN"/>
              </w:rPr>
              <w:t xml:space="preserve">             1,789 </w:t>
            </w:r>
          </w:p>
        </w:tc>
      </w:tr>
      <w:tr w:rsidR="00CE2A55" w:rsidRPr="000970C5" w:rsidTr="0040468E">
        <w:trPr>
          <w:trHeight w:val="227"/>
        </w:trPr>
        <w:tc>
          <w:tcPr>
            <w:tcW w:w="5806" w:type="dxa"/>
            <w:tcBorders>
              <w:top w:val="nil"/>
              <w:left w:val="single" w:sz="4" w:space="0" w:color="auto"/>
              <w:bottom w:val="nil"/>
              <w:right w:val="nil"/>
            </w:tcBorders>
            <w:shd w:val="clear" w:color="auto" w:fill="auto"/>
            <w:noWrap/>
            <w:vAlign w:val="bottom"/>
            <w:hideMark/>
          </w:tcPr>
          <w:p w:rsidR="00CE2A55" w:rsidRPr="00EF0313" w:rsidRDefault="00CE2A55" w:rsidP="00CE2A5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EF0313">
              <w:rPr>
                <w:rFonts w:cs="Calibri"/>
                <w:color w:val="000000"/>
                <w:sz w:val="20"/>
                <w:lang w:val="en-US" w:eastAsia="zh-CN"/>
              </w:rPr>
              <w:t> </w:t>
            </w:r>
          </w:p>
        </w:tc>
        <w:tc>
          <w:tcPr>
            <w:tcW w:w="1843" w:type="dxa"/>
            <w:tcBorders>
              <w:top w:val="nil"/>
              <w:left w:val="single" w:sz="4" w:space="0" w:color="auto"/>
              <w:bottom w:val="nil"/>
              <w:right w:val="single" w:sz="4" w:space="0" w:color="auto"/>
            </w:tcBorders>
            <w:shd w:val="clear" w:color="auto" w:fill="auto"/>
            <w:noWrap/>
            <w:vAlign w:val="bottom"/>
            <w:hideMark/>
          </w:tcPr>
          <w:p w:rsidR="00CE2A55" w:rsidRPr="00EF0313" w:rsidRDefault="00CE2A55" w:rsidP="00CE2A5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EF0313">
              <w:rPr>
                <w:rFonts w:cs="Calibri"/>
                <w:color w:val="000000"/>
                <w:sz w:val="20"/>
                <w:lang w:val="en-US" w:eastAsia="zh-CN"/>
              </w:rPr>
              <w:t> </w:t>
            </w:r>
          </w:p>
        </w:tc>
        <w:tc>
          <w:tcPr>
            <w:tcW w:w="1843" w:type="dxa"/>
            <w:tcBorders>
              <w:top w:val="nil"/>
              <w:left w:val="nil"/>
              <w:bottom w:val="single" w:sz="4" w:space="0" w:color="auto"/>
              <w:right w:val="single" w:sz="4" w:space="0" w:color="auto"/>
            </w:tcBorders>
            <w:shd w:val="clear" w:color="auto" w:fill="auto"/>
            <w:noWrap/>
            <w:vAlign w:val="bottom"/>
            <w:hideMark/>
          </w:tcPr>
          <w:p w:rsidR="00CE2A55" w:rsidRPr="00EF0313" w:rsidRDefault="00CE2A55" w:rsidP="00CE2A5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EF0313">
              <w:rPr>
                <w:rFonts w:cs="Calibri"/>
                <w:color w:val="000000"/>
                <w:sz w:val="20"/>
                <w:lang w:val="en-US" w:eastAsia="zh-CN"/>
              </w:rPr>
              <w:t> </w:t>
            </w:r>
          </w:p>
        </w:tc>
      </w:tr>
      <w:tr w:rsidR="00CE2A55" w:rsidRPr="000970C5" w:rsidTr="0040468E">
        <w:trPr>
          <w:trHeight w:val="454"/>
        </w:trPr>
        <w:tc>
          <w:tcPr>
            <w:tcW w:w="5806" w:type="dxa"/>
            <w:tcBorders>
              <w:top w:val="single" w:sz="4" w:space="0" w:color="auto"/>
              <w:left w:val="single" w:sz="4" w:space="0" w:color="auto"/>
              <w:bottom w:val="single" w:sz="4" w:space="0" w:color="auto"/>
              <w:right w:val="nil"/>
            </w:tcBorders>
            <w:shd w:val="clear" w:color="auto" w:fill="auto"/>
            <w:noWrap/>
            <w:vAlign w:val="center"/>
            <w:hideMark/>
          </w:tcPr>
          <w:p w:rsidR="00CE2A55" w:rsidRPr="00EF0313" w:rsidRDefault="00CE2A55" w:rsidP="00CE2A5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en-US" w:eastAsia="zh-CN"/>
              </w:rPr>
            </w:pPr>
            <w:r w:rsidRPr="00EF0313">
              <w:rPr>
                <w:rFonts w:cs="Calibri"/>
                <w:b/>
                <w:bCs/>
                <w:color w:val="000000"/>
                <w:sz w:val="20"/>
                <w:lang w:val="en-US" w:eastAsia="zh-CN"/>
              </w:rPr>
              <w:t>Other operating revenues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A55" w:rsidRPr="00EF0313" w:rsidRDefault="00CE2A55" w:rsidP="002A47F2">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val="en-US" w:eastAsia="zh-CN"/>
              </w:rPr>
            </w:pPr>
            <w:r w:rsidRPr="00EF0313">
              <w:rPr>
                <w:rFonts w:cs="Calibri"/>
                <w:b/>
                <w:bCs/>
                <w:color w:val="000000"/>
                <w:sz w:val="20"/>
                <w:lang w:val="en-US" w:eastAsia="zh-CN"/>
              </w:rPr>
              <w:t xml:space="preserve">           4</w:t>
            </w:r>
            <w:r w:rsidR="002A47F2" w:rsidRPr="00EF0313">
              <w:rPr>
                <w:rFonts w:cs="Calibri"/>
                <w:b/>
                <w:bCs/>
                <w:color w:val="000000"/>
                <w:sz w:val="20"/>
                <w:lang w:val="en-US" w:eastAsia="zh-CN"/>
              </w:rPr>
              <w:t>1</w:t>
            </w:r>
            <w:r w:rsidRPr="00EF0313">
              <w:rPr>
                <w:rFonts w:cs="Calibri"/>
                <w:b/>
                <w:bCs/>
                <w:color w:val="000000"/>
                <w:sz w:val="20"/>
                <w:lang w:val="en-US" w:eastAsia="zh-CN"/>
              </w:rPr>
              <w:t>,</w:t>
            </w:r>
            <w:r w:rsidR="002A47F2" w:rsidRPr="00EF0313">
              <w:rPr>
                <w:rFonts w:cs="Calibri"/>
                <w:b/>
                <w:bCs/>
                <w:color w:val="000000"/>
                <w:sz w:val="20"/>
                <w:lang w:val="en-US" w:eastAsia="zh-CN"/>
              </w:rPr>
              <w:t>930</w:t>
            </w:r>
            <w:r w:rsidRPr="00EF0313">
              <w:rPr>
                <w:rFonts w:cs="Calibri"/>
                <w:b/>
                <w:bCs/>
                <w:color w:val="000000"/>
                <w:sz w:val="20"/>
                <w:lang w:val="en-US" w:eastAsia="zh-CN"/>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E2A55" w:rsidRPr="00EF0313" w:rsidRDefault="00CE2A55" w:rsidP="0052697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val="en-US" w:eastAsia="zh-CN"/>
              </w:rPr>
            </w:pPr>
            <w:r w:rsidRPr="00EF0313">
              <w:rPr>
                <w:rFonts w:cs="Calibri"/>
                <w:b/>
                <w:bCs/>
                <w:color w:val="000000"/>
                <w:sz w:val="20"/>
                <w:lang w:val="en-US" w:eastAsia="zh-CN"/>
              </w:rPr>
              <w:t xml:space="preserve">           44,3</w:t>
            </w:r>
            <w:r w:rsidR="0052697E" w:rsidRPr="00EF0313">
              <w:rPr>
                <w:rFonts w:cs="Calibri"/>
                <w:b/>
                <w:bCs/>
                <w:color w:val="000000"/>
                <w:sz w:val="20"/>
                <w:lang w:val="en-US" w:eastAsia="zh-CN"/>
              </w:rPr>
              <w:t>98</w:t>
            </w:r>
            <w:r w:rsidRPr="00EF0313">
              <w:rPr>
                <w:rFonts w:cs="Calibri"/>
                <w:b/>
                <w:bCs/>
                <w:color w:val="000000"/>
                <w:sz w:val="20"/>
                <w:lang w:val="en-US" w:eastAsia="zh-CN"/>
              </w:rPr>
              <w:t xml:space="preserve"> </w:t>
            </w:r>
          </w:p>
        </w:tc>
      </w:tr>
    </w:tbl>
    <w:p w:rsidR="000400CB" w:rsidRDefault="00C54321" w:rsidP="00B61B27">
      <w:pPr>
        <w:spacing w:before="240"/>
        <w:jc w:val="both"/>
        <w:rPr>
          <w:rFonts w:eastAsia="SimSun"/>
          <w:lang w:val="en-US"/>
        </w:rPr>
      </w:pPr>
      <w:r w:rsidRPr="00342EDD">
        <w:rPr>
          <w:rFonts w:eastAsia="SimSun"/>
          <w:lang w:val="en-US"/>
        </w:rPr>
        <w:t xml:space="preserve">Other operating revenue includes mostly cost recovery activities. </w:t>
      </w:r>
      <w:r w:rsidR="0022373A" w:rsidRPr="00342EDD">
        <w:rPr>
          <w:rFonts w:eastAsia="SimSun"/>
          <w:lang w:val="en-US"/>
        </w:rPr>
        <w:t>The products and services for which ITU applies cost recovery are primarily</w:t>
      </w:r>
      <w:r w:rsidR="00D86CB5" w:rsidRPr="00342EDD">
        <w:rPr>
          <w:rFonts w:eastAsia="SimSun"/>
          <w:lang w:val="en-US"/>
        </w:rPr>
        <w:t xml:space="preserve"> </w:t>
      </w:r>
      <w:r w:rsidR="0022373A" w:rsidRPr="00342EDD">
        <w:rPr>
          <w:rFonts w:eastAsia="SimSun"/>
          <w:lang w:val="en-US"/>
        </w:rPr>
        <w:t xml:space="preserve">registration of universal international </w:t>
      </w:r>
      <w:proofErr w:type="spellStart"/>
      <w:r w:rsidR="0022373A" w:rsidRPr="00342EDD">
        <w:rPr>
          <w:rFonts w:eastAsia="SimSun"/>
          <w:lang w:val="en-US"/>
        </w:rPr>
        <w:t>freephone</w:t>
      </w:r>
      <w:proofErr w:type="spellEnd"/>
      <w:r w:rsidR="0022373A" w:rsidRPr="00342EDD">
        <w:rPr>
          <w:rFonts w:eastAsia="SimSun"/>
          <w:lang w:val="en-US"/>
        </w:rPr>
        <w:t xml:space="preserve"> numbers (UIFN)</w:t>
      </w:r>
      <w:r w:rsidR="00D86CB5" w:rsidRPr="00342EDD">
        <w:rPr>
          <w:rFonts w:eastAsia="SimSun"/>
          <w:lang w:val="en-US"/>
        </w:rPr>
        <w:t xml:space="preserve">, </w:t>
      </w:r>
      <w:r w:rsidR="0022373A" w:rsidRPr="00342EDD">
        <w:rPr>
          <w:rFonts w:eastAsia="SimSun"/>
          <w:lang w:val="en-US"/>
        </w:rPr>
        <w:t>Memorandum of Understanding on global mobile personal communication systems (GMPCS MoUs)</w:t>
      </w:r>
      <w:r w:rsidR="00D86CB5" w:rsidRPr="00342EDD">
        <w:rPr>
          <w:rFonts w:eastAsia="SimSun"/>
          <w:lang w:val="en-US"/>
        </w:rPr>
        <w:t xml:space="preserve">, </w:t>
      </w:r>
      <w:r w:rsidR="0022373A" w:rsidRPr="00342EDD">
        <w:rPr>
          <w:rFonts w:eastAsia="SimSun"/>
          <w:lang w:val="en-US"/>
        </w:rPr>
        <w:t>publication sales</w:t>
      </w:r>
      <w:r w:rsidR="00526E73" w:rsidRPr="00342EDD">
        <w:rPr>
          <w:rFonts w:eastAsia="SimSun"/>
          <w:lang w:val="en-US"/>
        </w:rPr>
        <w:t>. P</w:t>
      </w:r>
      <w:r w:rsidR="0022373A" w:rsidRPr="00342EDD">
        <w:rPr>
          <w:rFonts w:eastAsia="SimSun"/>
          <w:lang w:val="en-US"/>
        </w:rPr>
        <w:t>roject support revenue</w:t>
      </w:r>
      <w:r w:rsidR="00526E73" w:rsidRPr="00342EDD">
        <w:rPr>
          <w:rFonts w:eastAsia="SimSun"/>
          <w:lang w:val="en-US"/>
        </w:rPr>
        <w:t xml:space="preserve"> </w:t>
      </w:r>
      <w:r w:rsidR="00A705FC" w:rsidRPr="00342EDD">
        <w:rPr>
          <w:rFonts w:eastAsia="SimSun"/>
          <w:lang w:val="en-US"/>
        </w:rPr>
        <w:t xml:space="preserve">is </w:t>
      </w:r>
      <w:r w:rsidR="00BF34EF" w:rsidRPr="00342EDD">
        <w:rPr>
          <w:rFonts w:eastAsia="SimSun"/>
          <w:lang w:val="en-US"/>
        </w:rPr>
        <w:t xml:space="preserve">included in </w:t>
      </w:r>
      <w:r w:rsidR="00526E73" w:rsidRPr="00342EDD">
        <w:rPr>
          <w:rFonts w:eastAsia="SimSun"/>
          <w:lang w:val="en-US"/>
        </w:rPr>
        <w:t>inter</w:t>
      </w:r>
      <w:r w:rsidR="00BF34EF" w:rsidRPr="00342EDD">
        <w:rPr>
          <w:rFonts w:eastAsia="SimSun"/>
          <w:lang w:val="en-US"/>
        </w:rPr>
        <w:t>-funds eliminations</w:t>
      </w:r>
      <w:r w:rsidR="00526E73" w:rsidRPr="00342EDD">
        <w:rPr>
          <w:rFonts w:eastAsia="SimSun"/>
          <w:lang w:val="en-US"/>
        </w:rPr>
        <w:t xml:space="preserve"> </w:t>
      </w:r>
      <w:r w:rsidR="00BF34EF" w:rsidRPr="00342EDD">
        <w:rPr>
          <w:rFonts w:eastAsia="SimSun"/>
          <w:lang w:val="en-US"/>
        </w:rPr>
        <w:t>to provide a</w:t>
      </w:r>
      <w:r w:rsidR="00526E73" w:rsidRPr="00342EDD">
        <w:rPr>
          <w:rFonts w:eastAsia="SimSun"/>
          <w:lang w:val="en-US"/>
        </w:rPr>
        <w:t xml:space="preserve"> consolidated view of the financial performance of the Union</w:t>
      </w:r>
      <w:r w:rsidR="002C5B8A" w:rsidRPr="00342EDD">
        <w:rPr>
          <w:rFonts w:eastAsia="SimSun"/>
          <w:lang w:val="en-US"/>
        </w:rPr>
        <w:t>.</w:t>
      </w:r>
    </w:p>
    <w:p w:rsidR="000400CB" w:rsidRDefault="000400CB" w:rsidP="00A53677">
      <w:pPr>
        <w:jc w:val="both"/>
        <w:rPr>
          <w:rFonts w:eastAsia="SimSun"/>
          <w:lang w:val="en-US"/>
        </w:rPr>
      </w:pPr>
      <w:r w:rsidRPr="00520B2F">
        <w:rPr>
          <w:rFonts w:eastAsia="SimSun"/>
          <w:lang w:val="en-US"/>
        </w:rPr>
        <w:t xml:space="preserve">Total other operating revenue </w:t>
      </w:r>
      <w:r w:rsidR="00514176">
        <w:rPr>
          <w:rFonts w:eastAsia="SimSun"/>
          <w:lang w:val="en-US"/>
        </w:rPr>
        <w:t xml:space="preserve">decreased </w:t>
      </w:r>
      <w:r w:rsidRPr="00520B2F">
        <w:rPr>
          <w:rFonts w:eastAsia="SimSun"/>
          <w:lang w:val="en-US"/>
        </w:rPr>
        <w:t xml:space="preserve">by </w:t>
      </w:r>
      <w:r w:rsidR="00D13744">
        <w:rPr>
          <w:rFonts w:eastAsia="SimSun"/>
          <w:lang w:val="en-US"/>
        </w:rPr>
        <w:t>9</w:t>
      </w:r>
      <w:r w:rsidRPr="00520B2F">
        <w:rPr>
          <w:rFonts w:eastAsia="SimSun"/>
          <w:lang w:val="en-US"/>
        </w:rPr>
        <w:t xml:space="preserve"> per cent to CHF 4</w:t>
      </w:r>
      <w:r w:rsidR="00514176">
        <w:rPr>
          <w:rFonts w:eastAsia="SimSun"/>
          <w:lang w:val="en-US"/>
        </w:rPr>
        <w:t>0</w:t>
      </w:r>
      <w:r w:rsidRPr="00520B2F">
        <w:rPr>
          <w:rFonts w:eastAsia="SimSun"/>
          <w:lang w:val="en-US"/>
        </w:rPr>
        <w:t>.</w:t>
      </w:r>
      <w:r w:rsidR="00520B2F" w:rsidRPr="00520B2F">
        <w:rPr>
          <w:rFonts w:eastAsia="SimSun"/>
          <w:lang w:val="en-US"/>
        </w:rPr>
        <w:t>3</w:t>
      </w:r>
      <w:r w:rsidRPr="00520B2F" w:rsidDel="00877C20">
        <w:rPr>
          <w:rFonts w:eastAsia="SimSun"/>
          <w:lang w:val="en-US"/>
        </w:rPr>
        <w:t xml:space="preserve"> </w:t>
      </w:r>
      <w:r w:rsidRPr="00520B2F">
        <w:rPr>
          <w:rFonts w:eastAsia="SimSun"/>
          <w:lang w:val="en-US"/>
        </w:rPr>
        <w:t>million in 201</w:t>
      </w:r>
      <w:r w:rsidR="00514176">
        <w:rPr>
          <w:rFonts w:eastAsia="SimSun"/>
          <w:lang w:val="en-US"/>
        </w:rPr>
        <w:t>8</w:t>
      </w:r>
      <w:r w:rsidRPr="00520B2F">
        <w:rPr>
          <w:rFonts w:eastAsia="SimSun"/>
          <w:lang w:val="en-US"/>
        </w:rPr>
        <w:t xml:space="preserve">. </w:t>
      </w:r>
      <w:r w:rsidRPr="00520B2F">
        <w:t>This can be explained by the</w:t>
      </w:r>
      <w:r w:rsidR="00D13744">
        <w:t xml:space="preserve"> decrease in revenue of the sales of publications and specifically </w:t>
      </w:r>
      <w:r w:rsidR="00D13744" w:rsidRPr="00D41338">
        <w:rPr>
          <w:spacing w:val="2"/>
          <w:lang w:val="en-US"/>
        </w:rPr>
        <w:t>to the unique scheduling calendar of flagship ITU-R Maritime Service Publications</w:t>
      </w:r>
      <w:r w:rsidR="00D13744">
        <w:rPr>
          <w:spacing w:val="2"/>
          <w:lang w:val="en-US"/>
        </w:rPr>
        <w:t xml:space="preserve">. </w:t>
      </w:r>
      <w:r w:rsidR="00D13744" w:rsidRPr="00520B2F">
        <w:t xml:space="preserve"> </w:t>
      </w:r>
    </w:p>
    <w:p w:rsidR="003B59E2" w:rsidRDefault="0022373A" w:rsidP="0040468E">
      <w:pPr>
        <w:pStyle w:val="Heading5"/>
        <w:tabs>
          <w:tab w:val="clear" w:pos="2268"/>
          <w:tab w:val="clear" w:pos="2835"/>
          <w:tab w:val="left" w:pos="6735"/>
        </w:tabs>
        <w:spacing w:before="240" w:after="120"/>
        <w:rPr>
          <w:lang w:val="en-US"/>
        </w:rPr>
      </w:pPr>
      <w:bookmarkStart w:id="115" w:name="_Toc305764107"/>
      <w:bookmarkStart w:id="116" w:name="_Toc329011650"/>
      <w:r w:rsidRPr="00520B2F">
        <w:rPr>
          <w:lang w:val="en-US"/>
        </w:rPr>
        <w:t>Finance revenu</w:t>
      </w:r>
      <w:r w:rsidR="003B59E2" w:rsidRPr="00520B2F">
        <w:rPr>
          <w:lang w:val="en-US"/>
        </w:rPr>
        <w:t>e</w:t>
      </w:r>
    </w:p>
    <w:tbl>
      <w:tblPr>
        <w:tblW w:w="9492" w:type="dxa"/>
        <w:tblInd w:w="-5" w:type="dxa"/>
        <w:tblLayout w:type="fixed"/>
        <w:tblLook w:val="04A0" w:firstRow="1" w:lastRow="0" w:firstColumn="1" w:lastColumn="0" w:noHBand="0" w:noVBand="1"/>
      </w:tblPr>
      <w:tblGrid>
        <w:gridCol w:w="5806"/>
        <w:gridCol w:w="1843"/>
        <w:gridCol w:w="1843"/>
      </w:tblGrid>
      <w:tr w:rsidR="00DF55C9" w:rsidRPr="00BF4945" w:rsidTr="0040468E">
        <w:trPr>
          <w:trHeight w:val="255"/>
        </w:trPr>
        <w:tc>
          <w:tcPr>
            <w:tcW w:w="5806" w:type="dxa"/>
            <w:tcBorders>
              <w:top w:val="single" w:sz="4" w:space="0" w:color="auto"/>
              <w:left w:val="single" w:sz="4" w:space="0" w:color="auto"/>
              <w:bottom w:val="single" w:sz="4" w:space="0" w:color="auto"/>
              <w:right w:val="nil"/>
            </w:tcBorders>
            <w:shd w:val="clear" w:color="auto" w:fill="auto"/>
            <w:noWrap/>
            <w:vAlign w:val="center"/>
            <w:hideMark/>
          </w:tcPr>
          <w:bookmarkEnd w:id="115"/>
          <w:bookmarkEnd w:id="116"/>
          <w:p w:rsidR="00DF55C9" w:rsidRPr="00BF4945" w:rsidRDefault="00DF55C9" w:rsidP="00DF55C9">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en-US" w:eastAsia="zh-CN"/>
              </w:rPr>
            </w:pPr>
            <w:r w:rsidRPr="00BF4945">
              <w:rPr>
                <w:rFonts w:cs="Calibri"/>
                <w:b/>
                <w:bCs/>
                <w:color w:val="000000"/>
                <w:sz w:val="20"/>
                <w:lang w:val="en-US" w:eastAsia="zh-CN"/>
              </w:rPr>
              <w:t>In thousands of CHF</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5C9" w:rsidRPr="00BF4945" w:rsidRDefault="00DF55C9"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val="en-US" w:eastAsia="zh-CN"/>
              </w:rPr>
            </w:pPr>
            <w:r w:rsidRPr="00BF4945">
              <w:rPr>
                <w:rFonts w:cs="Calibri"/>
                <w:b/>
                <w:bCs/>
                <w:color w:val="000000"/>
                <w:sz w:val="20"/>
                <w:lang w:val="en-US" w:eastAsia="zh-CN"/>
              </w:rPr>
              <w:t>201</w:t>
            </w:r>
            <w:r w:rsidR="00DD27CC" w:rsidRPr="00BF4945">
              <w:rPr>
                <w:rFonts w:cs="Calibri"/>
                <w:b/>
                <w:bCs/>
                <w:color w:val="000000"/>
                <w:sz w:val="20"/>
                <w:lang w:val="en-US" w:eastAsia="zh-CN"/>
              </w:rPr>
              <w:t>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F55C9" w:rsidRPr="00BF4945" w:rsidRDefault="00DF55C9" w:rsidP="007F135E">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val="en-US" w:eastAsia="zh-CN"/>
              </w:rPr>
            </w:pPr>
            <w:r w:rsidRPr="00BF4945">
              <w:rPr>
                <w:rFonts w:cs="Calibri"/>
                <w:b/>
                <w:bCs/>
                <w:color w:val="000000"/>
                <w:sz w:val="20"/>
                <w:lang w:val="en-US" w:eastAsia="zh-CN"/>
              </w:rPr>
              <w:t>20</w:t>
            </w:r>
            <w:r w:rsidR="007F135E" w:rsidRPr="00BF4945">
              <w:rPr>
                <w:rFonts w:cs="Calibri"/>
                <w:b/>
                <w:bCs/>
                <w:color w:val="000000"/>
                <w:sz w:val="20"/>
                <w:lang w:val="en-US" w:eastAsia="zh-CN"/>
              </w:rPr>
              <w:t>1</w:t>
            </w:r>
            <w:r w:rsidR="002F7991" w:rsidRPr="00BF4945">
              <w:rPr>
                <w:rFonts w:cs="Calibri"/>
                <w:b/>
                <w:bCs/>
                <w:color w:val="000000"/>
                <w:sz w:val="20"/>
                <w:lang w:val="en-US" w:eastAsia="zh-CN"/>
              </w:rPr>
              <w:t>7</w:t>
            </w:r>
          </w:p>
        </w:tc>
      </w:tr>
      <w:tr w:rsidR="0040468E" w:rsidRPr="00BF4945" w:rsidTr="00CE2A55">
        <w:trPr>
          <w:trHeight w:val="117"/>
        </w:trPr>
        <w:tc>
          <w:tcPr>
            <w:tcW w:w="5806" w:type="dxa"/>
            <w:tcBorders>
              <w:top w:val="nil"/>
              <w:left w:val="single" w:sz="4" w:space="0" w:color="auto"/>
              <w:bottom w:val="nil"/>
              <w:right w:val="nil"/>
            </w:tcBorders>
            <w:shd w:val="clear" w:color="auto" w:fill="auto"/>
            <w:noWrap/>
            <w:vAlign w:val="bottom"/>
            <w:hideMark/>
          </w:tcPr>
          <w:p w:rsidR="0040468E" w:rsidRPr="00BF4945" w:rsidRDefault="0040468E" w:rsidP="00DF55C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 </w:t>
            </w:r>
          </w:p>
        </w:tc>
        <w:tc>
          <w:tcPr>
            <w:tcW w:w="1843" w:type="dxa"/>
            <w:tcBorders>
              <w:top w:val="nil"/>
              <w:left w:val="single" w:sz="4" w:space="0" w:color="auto"/>
              <w:bottom w:val="nil"/>
              <w:right w:val="single" w:sz="4" w:space="0" w:color="auto"/>
            </w:tcBorders>
            <w:shd w:val="clear" w:color="auto" w:fill="auto"/>
            <w:noWrap/>
            <w:vAlign w:val="bottom"/>
            <w:hideMark/>
          </w:tcPr>
          <w:p w:rsidR="0040468E" w:rsidRPr="00BF4945" w:rsidRDefault="0040468E" w:rsidP="00DF55C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 </w:t>
            </w:r>
          </w:p>
        </w:tc>
        <w:tc>
          <w:tcPr>
            <w:tcW w:w="1843" w:type="dxa"/>
            <w:tcBorders>
              <w:top w:val="nil"/>
              <w:left w:val="nil"/>
              <w:bottom w:val="nil"/>
              <w:right w:val="single" w:sz="4" w:space="0" w:color="auto"/>
            </w:tcBorders>
            <w:shd w:val="clear" w:color="auto" w:fill="auto"/>
            <w:noWrap/>
            <w:vAlign w:val="bottom"/>
            <w:hideMark/>
          </w:tcPr>
          <w:p w:rsidR="0040468E" w:rsidRPr="00BF4945" w:rsidRDefault="0040468E" w:rsidP="00DF55C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val="en-US" w:eastAsia="zh-CN"/>
              </w:rPr>
            </w:pPr>
            <w:r w:rsidRPr="00BF4945">
              <w:rPr>
                <w:rFonts w:cs="Calibri"/>
                <w:color w:val="000000"/>
                <w:sz w:val="20"/>
                <w:lang w:val="en-US" w:eastAsia="zh-CN"/>
              </w:rPr>
              <w:t> </w:t>
            </w:r>
          </w:p>
        </w:tc>
      </w:tr>
      <w:tr w:rsidR="00DD27CC" w:rsidRPr="00BF4945" w:rsidTr="0040468E">
        <w:trPr>
          <w:trHeight w:val="255"/>
        </w:trPr>
        <w:tc>
          <w:tcPr>
            <w:tcW w:w="5806" w:type="dxa"/>
            <w:tcBorders>
              <w:top w:val="nil"/>
              <w:left w:val="single" w:sz="4" w:space="0" w:color="auto"/>
              <w:bottom w:val="nil"/>
              <w:right w:val="nil"/>
            </w:tcBorders>
            <w:shd w:val="clear" w:color="auto" w:fill="auto"/>
            <w:noWrap/>
            <w:vAlign w:val="bottom"/>
            <w:hideMark/>
          </w:tcPr>
          <w:p w:rsidR="00DD27CC" w:rsidRPr="00BF4945" w:rsidRDefault="00DD27CC" w:rsidP="00DD27C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Investment interest</w:t>
            </w:r>
          </w:p>
        </w:tc>
        <w:tc>
          <w:tcPr>
            <w:tcW w:w="1843" w:type="dxa"/>
            <w:tcBorders>
              <w:top w:val="nil"/>
              <w:left w:val="single" w:sz="4" w:space="0" w:color="auto"/>
              <w:bottom w:val="nil"/>
              <w:right w:val="single" w:sz="4" w:space="0" w:color="auto"/>
            </w:tcBorders>
            <w:shd w:val="clear" w:color="auto" w:fill="auto"/>
            <w:noWrap/>
            <w:vAlign w:val="bottom"/>
            <w:hideMark/>
          </w:tcPr>
          <w:p w:rsidR="00DD27CC" w:rsidRPr="00BF4945" w:rsidRDefault="00DD27CC"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748</w:t>
            </w:r>
          </w:p>
        </w:tc>
        <w:tc>
          <w:tcPr>
            <w:tcW w:w="1843" w:type="dxa"/>
            <w:tcBorders>
              <w:top w:val="nil"/>
              <w:left w:val="nil"/>
              <w:bottom w:val="nil"/>
              <w:right w:val="single" w:sz="4" w:space="0" w:color="auto"/>
            </w:tcBorders>
            <w:shd w:val="clear" w:color="auto" w:fill="auto"/>
            <w:noWrap/>
            <w:vAlign w:val="bottom"/>
            <w:hideMark/>
          </w:tcPr>
          <w:p w:rsidR="00DD27CC" w:rsidRPr="00BF4945" w:rsidRDefault="00DD27CC"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220</w:t>
            </w:r>
          </w:p>
        </w:tc>
      </w:tr>
      <w:tr w:rsidR="00DD27CC" w:rsidRPr="00BF4945" w:rsidTr="0040468E">
        <w:trPr>
          <w:trHeight w:val="255"/>
        </w:trPr>
        <w:tc>
          <w:tcPr>
            <w:tcW w:w="5806" w:type="dxa"/>
            <w:tcBorders>
              <w:top w:val="nil"/>
              <w:left w:val="single" w:sz="4" w:space="0" w:color="auto"/>
              <w:bottom w:val="nil"/>
              <w:right w:val="nil"/>
            </w:tcBorders>
            <w:shd w:val="clear" w:color="auto" w:fill="auto"/>
            <w:noWrap/>
            <w:vAlign w:val="bottom"/>
            <w:hideMark/>
          </w:tcPr>
          <w:p w:rsidR="00DD27CC" w:rsidRPr="00BF4945" w:rsidRDefault="00DD27CC" w:rsidP="00DD27C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Realized exchange gains</w:t>
            </w:r>
          </w:p>
        </w:tc>
        <w:tc>
          <w:tcPr>
            <w:tcW w:w="1843" w:type="dxa"/>
            <w:tcBorders>
              <w:top w:val="nil"/>
              <w:left w:val="single" w:sz="4" w:space="0" w:color="auto"/>
              <w:bottom w:val="nil"/>
              <w:right w:val="single" w:sz="4" w:space="0" w:color="auto"/>
            </w:tcBorders>
            <w:shd w:val="clear" w:color="auto" w:fill="auto"/>
            <w:noWrap/>
            <w:vAlign w:val="bottom"/>
            <w:hideMark/>
          </w:tcPr>
          <w:p w:rsidR="00DD27CC" w:rsidRPr="00BF4945" w:rsidRDefault="00DD27CC"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23</w:t>
            </w:r>
          </w:p>
        </w:tc>
        <w:tc>
          <w:tcPr>
            <w:tcW w:w="1843" w:type="dxa"/>
            <w:tcBorders>
              <w:top w:val="nil"/>
              <w:left w:val="nil"/>
              <w:bottom w:val="nil"/>
              <w:right w:val="single" w:sz="4" w:space="0" w:color="auto"/>
            </w:tcBorders>
            <w:shd w:val="clear" w:color="auto" w:fill="auto"/>
            <w:noWrap/>
            <w:vAlign w:val="bottom"/>
            <w:hideMark/>
          </w:tcPr>
          <w:p w:rsidR="00DD27CC" w:rsidRPr="00BF4945" w:rsidRDefault="00DD27CC"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65</w:t>
            </w:r>
          </w:p>
        </w:tc>
      </w:tr>
      <w:tr w:rsidR="00DD27CC" w:rsidRPr="00BF4945" w:rsidTr="0040468E">
        <w:trPr>
          <w:trHeight w:val="255"/>
        </w:trPr>
        <w:tc>
          <w:tcPr>
            <w:tcW w:w="5806" w:type="dxa"/>
            <w:tcBorders>
              <w:top w:val="nil"/>
              <w:left w:val="single" w:sz="4" w:space="0" w:color="auto"/>
              <w:bottom w:val="nil"/>
              <w:right w:val="nil"/>
            </w:tcBorders>
            <w:shd w:val="clear" w:color="auto" w:fill="auto"/>
            <w:noWrap/>
            <w:vAlign w:val="bottom"/>
            <w:hideMark/>
          </w:tcPr>
          <w:p w:rsidR="00DD27CC" w:rsidRPr="00BF4945" w:rsidRDefault="00DD27CC" w:rsidP="00DD27C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Unrealized exchange gains</w:t>
            </w:r>
          </w:p>
        </w:tc>
        <w:tc>
          <w:tcPr>
            <w:tcW w:w="1843" w:type="dxa"/>
            <w:tcBorders>
              <w:top w:val="nil"/>
              <w:left w:val="single" w:sz="4" w:space="0" w:color="auto"/>
              <w:bottom w:val="nil"/>
              <w:right w:val="single" w:sz="4" w:space="0" w:color="auto"/>
            </w:tcBorders>
            <w:shd w:val="clear" w:color="auto" w:fill="auto"/>
            <w:noWrap/>
            <w:vAlign w:val="bottom"/>
            <w:hideMark/>
          </w:tcPr>
          <w:p w:rsidR="00DD27CC" w:rsidRPr="00BF4945" w:rsidRDefault="00DD27CC"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475</w:t>
            </w:r>
          </w:p>
        </w:tc>
        <w:tc>
          <w:tcPr>
            <w:tcW w:w="1843" w:type="dxa"/>
            <w:tcBorders>
              <w:top w:val="nil"/>
              <w:left w:val="nil"/>
              <w:bottom w:val="nil"/>
              <w:right w:val="single" w:sz="4" w:space="0" w:color="auto"/>
            </w:tcBorders>
            <w:shd w:val="clear" w:color="auto" w:fill="auto"/>
            <w:noWrap/>
            <w:vAlign w:val="bottom"/>
            <w:hideMark/>
          </w:tcPr>
          <w:p w:rsidR="00DD27CC" w:rsidRPr="00BF4945" w:rsidRDefault="00DD27CC"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-27</w:t>
            </w:r>
          </w:p>
        </w:tc>
      </w:tr>
      <w:tr w:rsidR="00CE2A55" w:rsidRPr="00BF4945" w:rsidTr="0040468E">
        <w:trPr>
          <w:trHeight w:val="255"/>
        </w:trPr>
        <w:tc>
          <w:tcPr>
            <w:tcW w:w="5806" w:type="dxa"/>
            <w:tcBorders>
              <w:top w:val="nil"/>
              <w:left w:val="single" w:sz="4" w:space="0" w:color="auto"/>
              <w:bottom w:val="nil"/>
              <w:right w:val="nil"/>
            </w:tcBorders>
            <w:shd w:val="clear" w:color="auto" w:fill="auto"/>
            <w:noWrap/>
            <w:vAlign w:val="bottom"/>
            <w:hideMark/>
          </w:tcPr>
          <w:p w:rsidR="00CE2A55" w:rsidRPr="00BF4945" w:rsidRDefault="00CE2A55" w:rsidP="00CE2A5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 </w:t>
            </w:r>
          </w:p>
        </w:tc>
        <w:tc>
          <w:tcPr>
            <w:tcW w:w="1843" w:type="dxa"/>
            <w:tcBorders>
              <w:top w:val="nil"/>
              <w:left w:val="single" w:sz="4" w:space="0" w:color="auto"/>
              <w:bottom w:val="nil"/>
              <w:right w:val="single" w:sz="4" w:space="0" w:color="auto"/>
            </w:tcBorders>
            <w:shd w:val="clear" w:color="auto" w:fill="auto"/>
            <w:noWrap/>
            <w:vAlign w:val="bottom"/>
            <w:hideMark/>
          </w:tcPr>
          <w:p w:rsidR="00CE2A55" w:rsidRPr="00BF4945" w:rsidRDefault="00CE2A55" w:rsidP="00CE2A5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 </w:t>
            </w:r>
          </w:p>
        </w:tc>
        <w:tc>
          <w:tcPr>
            <w:tcW w:w="1843" w:type="dxa"/>
            <w:tcBorders>
              <w:top w:val="nil"/>
              <w:left w:val="nil"/>
              <w:bottom w:val="single" w:sz="4" w:space="0" w:color="auto"/>
              <w:right w:val="single" w:sz="4" w:space="0" w:color="auto"/>
            </w:tcBorders>
            <w:shd w:val="clear" w:color="auto" w:fill="auto"/>
            <w:noWrap/>
            <w:vAlign w:val="bottom"/>
            <w:hideMark/>
          </w:tcPr>
          <w:p w:rsidR="00CE2A55" w:rsidRPr="00BF4945" w:rsidRDefault="00CE2A55" w:rsidP="00CE2A5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 </w:t>
            </w:r>
          </w:p>
        </w:tc>
      </w:tr>
      <w:tr w:rsidR="00CE2A55" w:rsidRPr="00BF4945" w:rsidTr="0040468E">
        <w:trPr>
          <w:trHeight w:val="255"/>
        </w:trPr>
        <w:tc>
          <w:tcPr>
            <w:tcW w:w="5806" w:type="dxa"/>
            <w:tcBorders>
              <w:top w:val="single" w:sz="4" w:space="0" w:color="auto"/>
              <w:left w:val="single" w:sz="4" w:space="0" w:color="auto"/>
              <w:bottom w:val="single" w:sz="4" w:space="0" w:color="auto"/>
              <w:right w:val="nil"/>
            </w:tcBorders>
            <w:shd w:val="clear" w:color="auto" w:fill="auto"/>
            <w:noWrap/>
            <w:vAlign w:val="center"/>
            <w:hideMark/>
          </w:tcPr>
          <w:p w:rsidR="00CE2A55" w:rsidRPr="00BF4945" w:rsidRDefault="00CE2A55" w:rsidP="00CE2A5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en-US" w:eastAsia="zh-CN"/>
              </w:rPr>
            </w:pPr>
            <w:r w:rsidRPr="00BF4945">
              <w:rPr>
                <w:rFonts w:cs="Calibri"/>
                <w:b/>
                <w:bCs/>
                <w:color w:val="000000"/>
                <w:sz w:val="20"/>
                <w:lang w:val="en-US" w:eastAsia="zh-CN"/>
              </w:rPr>
              <w:t>Finance revenue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A55" w:rsidRPr="00BF4945" w:rsidRDefault="00CE2A55" w:rsidP="00DD27CC">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val="en-US" w:eastAsia="zh-CN"/>
              </w:rPr>
            </w:pPr>
            <w:r w:rsidRPr="00BF4945">
              <w:rPr>
                <w:rFonts w:cs="Calibri"/>
                <w:b/>
                <w:bCs/>
                <w:color w:val="000000"/>
                <w:sz w:val="20"/>
                <w:lang w:val="en-US" w:eastAsia="zh-CN"/>
              </w:rPr>
              <w:t xml:space="preserve">                </w:t>
            </w:r>
            <w:r w:rsidR="00DD27CC" w:rsidRPr="00BF4945">
              <w:rPr>
                <w:rFonts w:cs="Calibri"/>
                <w:b/>
                <w:bCs/>
                <w:color w:val="000000"/>
                <w:sz w:val="20"/>
                <w:lang w:val="en-US" w:eastAsia="zh-CN"/>
              </w:rPr>
              <w:t>1,245</w:t>
            </w:r>
            <w:r w:rsidRPr="00BF4945">
              <w:rPr>
                <w:rFonts w:cs="Calibri"/>
                <w:b/>
                <w:bCs/>
                <w:color w:val="000000"/>
                <w:sz w:val="20"/>
                <w:lang w:val="en-US" w:eastAsia="zh-CN"/>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E2A55" w:rsidRPr="00BF4945" w:rsidRDefault="00CE2A55" w:rsidP="00CE2A5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val="en-US" w:eastAsia="zh-CN"/>
              </w:rPr>
            </w:pPr>
            <w:r w:rsidRPr="00BF4945">
              <w:rPr>
                <w:rFonts w:cs="Calibri"/>
                <w:b/>
                <w:bCs/>
                <w:color w:val="000000"/>
                <w:sz w:val="20"/>
                <w:lang w:val="en-US" w:eastAsia="zh-CN"/>
              </w:rPr>
              <w:t xml:space="preserve">                258 </w:t>
            </w:r>
          </w:p>
        </w:tc>
      </w:tr>
    </w:tbl>
    <w:p w:rsidR="0071603A" w:rsidRDefault="00520B2F" w:rsidP="00266440">
      <w:pPr>
        <w:spacing w:before="240"/>
        <w:jc w:val="both"/>
        <w:rPr>
          <w:rFonts w:eastAsia="SimSun"/>
          <w:lang w:val="en-US"/>
        </w:rPr>
      </w:pPr>
      <w:r w:rsidRPr="00520B2F">
        <w:rPr>
          <w:rFonts w:eastAsia="SimSun"/>
          <w:lang w:val="en-US"/>
        </w:rPr>
        <w:t xml:space="preserve">The situation </w:t>
      </w:r>
      <w:r w:rsidR="00D13744">
        <w:rPr>
          <w:rFonts w:eastAsia="SimSun"/>
          <w:lang w:val="en-US"/>
        </w:rPr>
        <w:t xml:space="preserve">on the financial market </w:t>
      </w:r>
      <w:r w:rsidR="00A53677">
        <w:rPr>
          <w:rFonts w:eastAsia="SimSun"/>
          <w:lang w:val="en-US"/>
        </w:rPr>
        <w:t xml:space="preserve">relevant to the </w:t>
      </w:r>
      <w:r w:rsidRPr="00520B2F">
        <w:rPr>
          <w:rFonts w:eastAsia="SimSun"/>
          <w:lang w:val="en-US"/>
        </w:rPr>
        <w:t xml:space="preserve">Swiss </w:t>
      </w:r>
      <w:r w:rsidR="00A53677">
        <w:rPr>
          <w:rFonts w:eastAsia="SimSun"/>
          <w:lang w:val="en-US"/>
        </w:rPr>
        <w:t>F</w:t>
      </w:r>
      <w:r w:rsidRPr="00520B2F">
        <w:rPr>
          <w:rFonts w:eastAsia="SimSun"/>
          <w:lang w:val="en-US"/>
        </w:rPr>
        <w:t xml:space="preserve">rancs and </w:t>
      </w:r>
      <w:r w:rsidR="00E61A40">
        <w:rPr>
          <w:rFonts w:eastAsia="SimSun"/>
          <w:lang w:val="en-US"/>
        </w:rPr>
        <w:t xml:space="preserve">the </w:t>
      </w:r>
      <w:r w:rsidRPr="00520B2F">
        <w:rPr>
          <w:rFonts w:eastAsia="SimSun"/>
          <w:lang w:val="en-US"/>
        </w:rPr>
        <w:t>Euros</w:t>
      </w:r>
      <w:r w:rsidR="00D13744">
        <w:rPr>
          <w:rFonts w:eastAsia="SimSun"/>
          <w:lang w:val="en-US"/>
        </w:rPr>
        <w:t xml:space="preserve"> </w:t>
      </w:r>
      <w:r w:rsidRPr="00520B2F">
        <w:rPr>
          <w:rFonts w:eastAsia="SimSun"/>
          <w:lang w:val="en-US"/>
        </w:rPr>
        <w:t>still remained in 201</w:t>
      </w:r>
      <w:r w:rsidR="00D13744">
        <w:rPr>
          <w:rFonts w:eastAsia="SimSun"/>
          <w:lang w:val="en-US"/>
        </w:rPr>
        <w:t>8</w:t>
      </w:r>
      <w:r w:rsidRPr="00520B2F">
        <w:rPr>
          <w:rFonts w:eastAsia="SimSun"/>
          <w:lang w:val="en-US"/>
        </w:rPr>
        <w:t xml:space="preserve">. </w:t>
      </w:r>
      <w:r w:rsidR="00E61A40">
        <w:rPr>
          <w:rFonts w:eastAsia="SimSun"/>
          <w:lang w:val="en-US"/>
        </w:rPr>
        <w:t xml:space="preserve"> </w:t>
      </w:r>
      <w:r>
        <w:rPr>
          <w:rFonts w:eastAsia="SimSun"/>
          <w:lang w:val="en-US"/>
        </w:rPr>
        <w:t>Nevertheless</w:t>
      </w:r>
      <w:r w:rsidR="00E61A40">
        <w:rPr>
          <w:rFonts w:eastAsia="SimSun"/>
          <w:lang w:val="en-US"/>
        </w:rPr>
        <w:t>,</w:t>
      </w:r>
      <w:r>
        <w:rPr>
          <w:rFonts w:eastAsia="SimSun"/>
          <w:lang w:val="en-US"/>
        </w:rPr>
        <w:t xml:space="preserve"> </w:t>
      </w:r>
      <w:r w:rsidRPr="00520B2F">
        <w:rPr>
          <w:rFonts w:eastAsia="SimSun"/>
          <w:lang w:val="en-US"/>
        </w:rPr>
        <w:t xml:space="preserve">ITU has secured all the funds </w:t>
      </w:r>
      <w:r>
        <w:rPr>
          <w:rFonts w:eastAsia="SimSun"/>
          <w:lang w:val="en-US"/>
        </w:rPr>
        <w:t>and no negative interest</w:t>
      </w:r>
      <w:r w:rsidR="00A53677">
        <w:rPr>
          <w:rFonts w:eastAsia="SimSun"/>
          <w:lang w:val="en-US"/>
        </w:rPr>
        <w:t>s</w:t>
      </w:r>
      <w:r>
        <w:rPr>
          <w:rFonts w:eastAsia="SimSun"/>
          <w:lang w:val="en-US"/>
        </w:rPr>
        <w:t xml:space="preserve"> </w:t>
      </w:r>
      <w:r w:rsidR="008924DD">
        <w:rPr>
          <w:rFonts w:eastAsia="SimSun"/>
          <w:lang w:val="en-US"/>
        </w:rPr>
        <w:t>were</w:t>
      </w:r>
      <w:r>
        <w:rPr>
          <w:rFonts w:eastAsia="SimSun"/>
          <w:lang w:val="en-US"/>
        </w:rPr>
        <w:t xml:space="preserve"> applied on</w:t>
      </w:r>
      <w:r w:rsidR="008924DD">
        <w:rPr>
          <w:rFonts w:eastAsia="SimSun"/>
          <w:lang w:val="en-US"/>
        </w:rPr>
        <w:t xml:space="preserve"> the cash kept in Swiss </w:t>
      </w:r>
      <w:r w:rsidR="00A53677">
        <w:rPr>
          <w:rFonts w:eastAsia="SimSun"/>
          <w:lang w:val="en-US"/>
        </w:rPr>
        <w:t>F</w:t>
      </w:r>
      <w:r w:rsidR="008924DD">
        <w:rPr>
          <w:rFonts w:eastAsia="SimSun"/>
          <w:lang w:val="en-US"/>
        </w:rPr>
        <w:t>rancs.</w:t>
      </w:r>
      <w:r w:rsidR="00E61A40">
        <w:rPr>
          <w:rFonts w:eastAsia="SimSun"/>
          <w:lang w:val="en-US"/>
        </w:rPr>
        <w:t xml:space="preserve"> </w:t>
      </w:r>
      <w:r w:rsidR="00266440">
        <w:rPr>
          <w:rFonts w:eastAsia="SimSun"/>
          <w:lang w:val="en-US"/>
        </w:rPr>
        <w:t xml:space="preserve"> The </w:t>
      </w:r>
      <w:r w:rsidR="00D13744">
        <w:rPr>
          <w:rFonts w:eastAsia="SimSun"/>
          <w:lang w:val="en-US"/>
        </w:rPr>
        <w:t xml:space="preserve">increase in the USD </w:t>
      </w:r>
      <w:r w:rsidR="00266440">
        <w:rPr>
          <w:rFonts w:eastAsia="SimSun"/>
          <w:lang w:val="en-US"/>
        </w:rPr>
        <w:t xml:space="preserve">rates in 2018 </w:t>
      </w:r>
      <w:r w:rsidR="00D70067">
        <w:rPr>
          <w:rFonts w:eastAsia="SimSun"/>
          <w:lang w:val="en-US"/>
        </w:rPr>
        <w:t xml:space="preserve">has </w:t>
      </w:r>
      <w:r w:rsidR="00D13744" w:rsidRPr="00D13744">
        <w:rPr>
          <w:rFonts w:eastAsia="SimSun"/>
          <w:lang w:val="en-US"/>
        </w:rPr>
        <w:t>led to better returns on USD investments</w:t>
      </w:r>
      <w:r w:rsidR="00D13744">
        <w:rPr>
          <w:rFonts w:eastAsia="SimSun"/>
          <w:lang w:val="en-US"/>
        </w:rPr>
        <w:t xml:space="preserve"> which mainly explain</w:t>
      </w:r>
      <w:r w:rsidR="00266440">
        <w:rPr>
          <w:rFonts w:eastAsia="SimSun"/>
          <w:lang w:val="en-US"/>
        </w:rPr>
        <w:t>s</w:t>
      </w:r>
      <w:r w:rsidR="00D13744">
        <w:rPr>
          <w:rFonts w:eastAsia="SimSun"/>
          <w:lang w:val="en-US"/>
        </w:rPr>
        <w:t xml:space="preserve"> the increase in the investment </w:t>
      </w:r>
      <w:bookmarkStart w:id="117" w:name="_Toc305764108"/>
      <w:bookmarkStart w:id="118" w:name="_Toc329011651"/>
      <w:r w:rsidR="00D13744">
        <w:rPr>
          <w:rFonts w:eastAsia="SimSun"/>
          <w:lang w:val="en-US"/>
        </w:rPr>
        <w:t>interests.</w:t>
      </w:r>
    </w:p>
    <w:p w:rsidR="002E19E3" w:rsidRPr="0071603A" w:rsidRDefault="00A165D6" w:rsidP="008935EA">
      <w:pPr>
        <w:tabs>
          <w:tab w:val="clear" w:pos="567"/>
          <w:tab w:val="clear" w:pos="1134"/>
          <w:tab w:val="clear" w:pos="1701"/>
          <w:tab w:val="clear" w:pos="2268"/>
          <w:tab w:val="clear" w:pos="2835"/>
        </w:tabs>
        <w:overflowPunct/>
        <w:autoSpaceDE/>
        <w:autoSpaceDN/>
        <w:adjustRightInd/>
        <w:spacing w:before="240"/>
        <w:textAlignment w:val="auto"/>
        <w:rPr>
          <w:b/>
          <w:bCs/>
          <w:lang w:val="en-US"/>
        </w:rPr>
      </w:pPr>
      <w:r w:rsidRPr="0071603A">
        <w:rPr>
          <w:b/>
          <w:bCs/>
          <w:lang w:val="en-US"/>
        </w:rPr>
        <w:t>Note 2</w:t>
      </w:r>
      <w:r w:rsidR="006D6709">
        <w:rPr>
          <w:b/>
          <w:bCs/>
          <w:lang w:val="en-US"/>
        </w:rPr>
        <w:t>3</w:t>
      </w:r>
      <w:r w:rsidR="0022373A" w:rsidRPr="0071603A">
        <w:rPr>
          <w:b/>
          <w:bCs/>
          <w:lang w:val="en-US"/>
        </w:rPr>
        <w:tab/>
      </w:r>
      <w:r w:rsidR="002E19E3" w:rsidRPr="0071603A">
        <w:rPr>
          <w:b/>
          <w:bCs/>
          <w:lang w:val="en-US"/>
        </w:rPr>
        <w:t>Expenses</w:t>
      </w:r>
    </w:p>
    <w:p w:rsidR="0022373A" w:rsidRPr="001C2A98" w:rsidRDefault="0022373A" w:rsidP="00706E3E">
      <w:pPr>
        <w:pStyle w:val="Heading5"/>
        <w:spacing w:before="240" w:after="120"/>
        <w:jc w:val="both"/>
        <w:rPr>
          <w:lang w:val="en-US"/>
        </w:rPr>
      </w:pPr>
      <w:r w:rsidRPr="008924DD">
        <w:rPr>
          <w:lang w:val="en-US"/>
        </w:rPr>
        <w:t>Employee expenses</w:t>
      </w:r>
      <w:bookmarkEnd w:id="117"/>
      <w:bookmarkEnd w:id="118"/>
    </w:p>
    <w:p w:rsidR="002279E6" w:rsidRDefault="0022373A" w:rsidP="0078428B">
      <w:pPr>
        <w:snapToGrid w:val="0"/>
        <w:spacing w:before="0"/>
        <w:jc w:val="both"/>
        <w:rPr>
          <w:lang w:val="en-US"/>
        </w:rPr>
      </w:pPr>
      <w:r w:rsidRPr="001C2A98">
        <w:rPr>
          <w:lang w:val="en-US"/>
        </w:rPr>
        <w:t xml:space="preserve">Employee expenses cover all remuneration paid to staff members on permanent posts and all staff </w:t>
      </w:r>
      <w:r w:rsidR="00C71BE9">
        <w:rPr>
          <w:lang w:val="en-US"/>
        </w:rPr>
        <w:t>recruited</w:t>
      </w:r>
      <w:r w:rsidR="00C71BE9" w:rsidRPr="001C2A98">
        <w:rPr>
          <w:lang w:val="en-US"/>
        </w:rPr>
        <w:t xml:space="preserve"> </w:t>
      </w:r>
      <w:r w:rsidRPr="001C2A98">
        <w:rPr>
          <w:lang w:val="en-US"/>
        </w:rPr>
        <w:t>for conferences or holding short-term contracts, such as base salary, post adjustment, language allowance, non-resident allowance, dependency allowance and overtime, as well as other employee expenses.</w:t>
      </w:r>
    </w:p>
    <w:p w:rsidR="008935EA" w:rsidRDefault="008935EA">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BF4945" w:rsidRDefault="00BF4945" w:rsidP="0078428B">
      <w:pPr>
        <w:snapToGrid w:val="0"/>
        <w:spacing w:before="0"/>
        <w:jc w:val="both"/>
        <w:rPr>
          <w:lang w:val="en-US"/>
        </w:rPr>
      </w:pPr>
    </w:p>
    <w:tbl>
      <w:tblPr>
        <w:tblW w:w="5000" w:type="pct"/>
        <w:tblLook w:val="04A0" w:firstRow="1" w:lastRow="0" w:firstColumn="1" w:lastColumn="0" w:noHBand="0" w:noVBand="1"/>
      </w:tblPr>
      <w:tblGrid>
        <w:gridCol w:w="266"/>
        <w:gridCol w:w="6181"/>
        <w:gridCol w:w="1662"/>
        <w:gridCol w:w="1662"/>
      </w:tblGrid>
      <w:tr w:rsidR="00200431" w:rsidRPr="00200431" w:rsidTr="00200431">
        <w:trPr>
          <w:trHeight w:val="300"/>
        </w:trPr>
        <w:tc>
          <w:tcPr>
            <w:tcW w:w="3354" w:type="pct"/>
            <w:gridSpan w:val="2"/>
            <w:tcBorders>
              <w:top w:val="single" w:sz="4" w:space="0" w:color="auto"/>
              <w:left w:val="single" w:sz="4" w:space="0" w:color="auto"/>
              <w:bottom w:val="single" w:sz="4" w:space="0" w:color="auto"/>
              <w:right w:val="nil"/>
            </w:tcBorders>
            <w:shd w:val="clear" w:color="auto" w:fill="auto"/>
            <w:noWrap/>
            <w:vAlign w:val="center"/>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200431">
              <w:rPr>
                <w:rFonts w:cs="Arial"/>
                <w:b/>
                <w:bCs/>
                <w:color w:val="000000"/>
                <w:sz w:val="22"/>
                <w:szCs w:val="22"/>
                <w:lang w:val="en-US" w:eastAsia="zh-CN"/>
              </w:rPr>
              <w:t xml:space="preserve">In thousands of CHF </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00431">
              <w:rPr>
                <w:rFonts w:cs="Arial"/>
                <w:b/>
                <w:bCs/>
                <w:color w:val="000000"/>
                <w:sz w:val="22"/>
                <w:szCs w:val="22"/>
                <w:lang w:val="en-US" w:eastAsia="zh-CN"/>
              </w:rPr>
              <w:t>2018</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00431">
              <w:rPr>
                <w:rFonts w:cs="Arial"/>
                <w:b/>
                <w:bCs/>
                <w:color w:val="000000"/>
                <w:sz w:val="22"/>
                <w:szCs w:val="22"/>
                <w:lang w:val="en-US" w:eastAsia="zh-CN"/>
              </w:rPr>
              <w:t>2017</w:t>
            </w:r>
          </w:p>
        </w:tc>
      </w:tr>
      <w:tr w:rsidR="00200431" w:rsidRPr="00200431" w:rsidTr="00200431">
        <w:trPr>
          <w:trHeight w:val="300"/>
        </w:trPr>
        <w:tc>
          <w:tcPr>
            <w:tcW w:w="3354" w:type="pct"/>
            <w:gridSpan w:val="2"/>
            <w:tcBorders>
              <w:top w:val="nil"/>
              <w:left w:val="single" w:sz="4" w:space="0" w:color="auto"/>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Salaries and allowances </w:t>
            </w:r>
          </w:p>
        </w:tc>
        <w:tc>
          <w:tcPr>
            <w:tcW w:w="823" w:type="pct"/>
            <w:tcBorders>
              <w:top w:val="nil"/>
              <w:left w:val="single" w:sz="4" w:space="0" w:color="auto"/>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93,577 </w:t>
            </w:r>
          </w:p>
        </w:tc>
        <w:tc>
          <w:tcPr>
            <w:tcW w:w="823" w:type="pct"/>
            <w:tcBorders>
              <w:top w:val="nil"/>
              <w:left w:val="nil"/>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93,653 </w:t>
            </w:r>
          </w:p>
        </w:tc>
      </w:tr>
      <w:tr w:rsidR="00200431" w:rsidRPr="00200431" w:rsidTr="00200431">
        <w:trPr>
          <w:trHeight w:val="300"/>
        </w:trPr>
        <w:tc>
          <w:tcPr>
            <w:tcW w:w="3354" w:type="pct"/>
            <w:gridSpan w:val="2"/>
            <w:tcBorders>
              <w:top w:val="nil"/>
              <w:left w:val="single" w:sz="4" w:space="0" w:color="auto"/>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other employee expenses </w:t>
            </w:r>
          </w:p>
        </w:tc>
        <w:tc>
          <w:tcPr>
            <w:tcW w:w="823" w:type="pct"/>
            <w:tcBorders>
              <w:top w:val="nil"/>
              <w:left w:val="single" w:sz="4" w:space="0" w:color="auto"/>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200431">
              <w:rPr>
                <w:rFonts w:cs="Arial"/>
                <w:b/>
                <w:bCs/>
                <w:color w:val="000000"/>
                <w:sz w:val="22"/>
                <w:szCs w:val="22"/>
                <w:lang w:val="en-US" w:eastAsia="zh-CN"/>
              </w:rPr>
              <w:t xml:space="preserve">                55,229 </w:t>
            </w:r>
          </w:p>
        </w:tc>
        <w:tc>
          <w:tcPr>
            <w:tcW w:w="823" w:type="pct"/>
            <w:tcBorders>
              <w:top w:val="nil"/>
              <w:left w:val="nil"/>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200431">
              <w:rPr>
                <w:rFonts w:cs="Arial"/>
                <w:b/>
                <w:bCs/>
                <w:color w:val="000000"/>
                <w:sz w:val="22"/>
                <w:szCs w:val="22"/>
                <w:lang w:val="en-US" w:eastAsia="zh-CN"/>
              </w:rPr>
              <w:t xml:space="preserve">                55,094 </w:t>
            </w:r>
          </w:p>
        </w:tc>
      </w:tr>
      <w:tr w:rsidR="00200431" w:rsidRPr="00200431" w:rsidTr="00200431">
        <w:trPr>
          <w:trHeight w:val="300"/>
        </w:trPr>
        <w:tc>
          <w:tcPr>
            <w:tcW w:w="150" w:type="pct"/>
            <w:tcBorders>
              <w:top w:val="nil"/>
              <w:left w:val="single" w:sz="4" w:space="0" w:color="auto"/>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w:t>
            </w:r>
          </w:p>
        </w:tc>
        <w:tc>
          <w:tcPr>
            <w:tcW w:w="3204" w:type="pct"/>
            <w:tcBorders>
              <w:top w:val="nil"/>
              <w:left w:val="nil"/>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Installations and r</w:t>
            </w:r>
            <w:r>
              <w:rPr>
                <w:rFonts w:cs="Arial"/>
                <w:color w:val="000000"/>
                <w:sz w:val="22"/>
                <w:szCs w:val="22"/>
                <w:lang w:val="en-US" w:eastAsia="zh-CN"/>
              </w:rPr>
              <w:t>e</w:t>
            </w:r>
            <w:r w:rsidRPr="00200431">
              <w:rPr>
                <w:rFonts w:cs="Arial"/>
                <w:color w:val="000000"/>
                <w:sz w:val="22"/>
                <w:szCs w:val="22"/>
                <w:lang w:val="en-US" w:eastAsia="zh-CN"/>
              </w:rPr>
              <w:t xml:space="preserve">patriation </w:t>
            </w:r>
          </w:p>
        </w:tc>
        <w:tc>
          <w:tcPr>
            <w:tcW w:w="823" w:type="pct"/>
            <w:tcBorders>
              <w:top w:val="nil"/>
              <w:left w:val="single" w:sz="4" w:space="0" w:color="auto"/>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947 </w:t>
            </w:r>
          </w:p>
        </w:tc>
        <w:tc>
          <w:tcPr>
            <w:tcW w:w="823" w:type="pct"/>
            <w:tcBorders>
              <w:top w:val="nil"/>
              <w:left w:val="nil"/>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519 </w:t>
            </w:r>
          </w:p>
        </w:tc>
      </w:tr>
      <w:tr w:rsidR="00200431" w:rsidRPr="00200431" w:rsidTr="00200431">
        <w:trPr>
          <w:trHeight w:val="300"/>
        </w:trPr>
        <w:tc>
          <w:tcPr>
            <w:tcW w:w="150" w:type="pct"/>
            <w:tcBorders>
              <w:top w:val="nil"/>
              <w:left w:val="single" w:sz="4" w:space="0" w:color="auto"/>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3204" w:type="pct"/>
            <w:tcBorders>
              <w:top w:val="nil"/>
              <w:left w:val="nil"/>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Education grant </w:t>
            </w:r>
          </w:p>
        </w:tc>
        <w:tc>
          <w:tcPr>
            <w:tcW w:w="823" w:type="pct"/>
            <w:tcBorders>
              <w:top w:val="nil"/>
              <w:left w:val="single" w:sz="4" w:space="0" w:color="auto"/>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3,286 </w:t>
            </w:r>
          </w:p>
        </w:tc>
        <w:tc>
          <w:tcPr>
            <w:tcW w:w="823" w:type="pct"/>
            <w:tcBorders>
              <w:top w:val="nil"/>
              <w:left w:val="nil"/>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3,443 </w:t>
            </w:r>
          </w:p>
        </w:tc>
      </w:tr>
      <w:tr w:rsidR="00200431" w:rsidRPr="00200431" w:rsidTr="00200431">
        <w:trPr>
          <w:trHeight w:val="300"/>
        </w:trPr>
        <w:tc>
          <w:tcPr>
            <w:tcW w:w="150" w:type="pct"/>
            <w:tcBorders>
              <w:top w:val="nil"/>
              <w:left w:val="single" w:sz="4" w:space="0" w:color="auto"/>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3204" w:type="pct"/>
            <w:tcBorders>
              <w:top w:val="nil"/>
              <w:left w:val="nil"/>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Home leave </w:t>
            </w:r>
          </w:p>
        </w:tc>
        <w:tc>
          <w:tcPr>
            <w:tcW w:w="823" w:type="pct"/>
            <w:tcBorders>
              <w:top w:val="nil"/>
              <w:left w:val="single" w:sz="4" w:space="0" w:color="auto"/>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891 </w:t>
            </w:r>
          </w:p>
        </w:tc>
        <w:tc>
          <w:tcPr>
            <w:tcW w:w="823" w:type="pct"/>
            <w:tcBorders>
              <w:top w:val="nil"/>
              <w:left w:val="nil"/>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1,056 </w:t>
            </w:r>
          </w:p>
        </w:tc>
      </w:tr>
      <w:tr w:rsidR="00200431" w:rsidRPr="00200431" w:rsidTr="00200431">
        <w:trPr>
          <w:trHeight w:val="300"/>
        </w:trPr>
        <w:tc>
          <w:tcPr>
            <w:tcW w:w="150" w:type="pct"/>
            <w:tcBorders>
              <w:top w:val="nil"/>
              <w:left w:val="single" w:sz="4" w:space="0" w:color="auto"/>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3204" w:type="pct"/>
            <w:tcBorders>
              <w:top w:val="nil"/>
              <w:left w:val="nil"/>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Accrued leave </w:t>
            </w:r>
          </w:p>
        </w:tc>
        <w:tc>
          <w:tcPr>
            <w:tcW w:w="823" w:type="pct"/>
            <w:tcBorders>
              <w:top w:val="nil"/>
              <w:left w:val="single" w:sz="4" w:space="0" w:color="auto"/>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669 </w:t>
            </w:r>
          </w:p>
        </w:tc>
        <w:tc>
          <w:tcPr>
            <w:tcW w:w="823" w:type="pct"/>
            <w:tcBorders>
              <w:top w:val="nil"/>
              <w:left w:val="nil"/>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702 </w:t>
            </w:r>
          </w:p>
        </w:tc>
      </w:tr>
      <w:tr w:rsidR="00200431" w:rsidRPr="00200431" w:rsidTr="00200431">
        <w:trPr>
          <w:trHeight w:val="300"/>
        </w:trPr>
        <w:tc>
          <w:tcPr>
            <w:tcW w:w="150" w:type="pct"/>
            <w:tcBorders>
              <w:top w:val="nil"/>
              <w:left w:val="single" w:sz="4" w:space="0" w:color="auto"/>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3204" w:type="pct"/>
            <w:tcBorders>
              <w:top w:val="nil"/>
              <w:left w:val="nil"/>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Health &amp; accident insurance </w:t>
            </w:r>
          </w:p>
        </w:tc>
        <w:tc>
          <w:tcPr>
            <w:tcW w:w="823" w:type="pct"/>
            <w:tcBorders>
              <w:top w:val="nil"/>
              <w:left w:val="single" w:sz="4" w:space="0" w:color="auto"/>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10,635 </w:t>
            </w:r>
          </w:p>
        </w:tc>
        <w:tc>
          <w:tcPr>
            <w:tcW w:w="823" w:type="pct"/>
            <w:tcBorders>
              <w:top w:val="nil"/>
              <w:left w:val="nil"/>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11,181 </w:t>
            </w:r>
          </w:p>
        </w:tc>
      </w:tr>
      <w:tr w:rsidR="00200431" w:rsidRPr="00200431" w:rsidTr="00200431">
        <w:trPr>
          <w:trHeight w:val="300"/>
        </w:trPr>
        <w:tc>
          <w:tcPr>
            <w:tcW w:w="150" w:type="pct"/>
            <w:tcBorders>
              <w:top w:val="nil"/>
              <w:left w:val="single" w:sz="4" w:space="0" w:color="auto"/>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3204" w:type="pct"/>
            <w:tcBorders>
              <w:top w:val="nil"/>
              <w:left w:val="nil"/>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UNJSPF contribution </w:t>
            </w:r>
          </w:p>
        </w:tc>
        <w:tc>
          <w:tcPr>
            <w:tcW w:w="823" w:type="pct"/>
            <w:tcBorders>
              <w:top w:val="nil"/>
              <w:left w:val="single" w:sz="4" w:space="0" w:color="auto"/>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15,872 </w:t>
            </w:r>
          </w:p>
        </w:tc>
        <w:tc>
          <w:tcPr>
            <w:tcW w:w="823" w:type="pct"/>
            <w:tcBorders>
              <w:top w:val="nil"/>
              <w:left w:val="nil"/>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15,994 </w:t>
            </w:r>
          </w:p>
        </w:tc>
      </w:tr>
      <w:tr w:rsidR="00200431" w:rsidRPr="00200431" w:rsidTr="00200431">
        <w:trPr>
          <w:trHeight w:val="300"/>
        </w:trPr>
        <w:tc>
          <w:tcPr>
            <w:tcW w:w="150" w:type="pct"/>
            <w:tcBorders>
              <w:top w:val="nil"/>
              <w:left w:val="single" w:sz="4" w:space="0" w:color="auto"/>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3204" w:type="pct"/>
            <w:tcBorders>
              <w:top w:val="nil"/>
              <w:left w:val="nil"/>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other expenses </w:t>
            </w:r>
          </w:p>
        </w:tc>
        <w:tc>
          <w:tcPr>
            <w:tcW w:w="823" w:type="pct"/>
            <w:tcBorders>
              <w:top w:val="nil"/>
              <w:left w:val="single" w:sz="4" w:space="0" w:color="auto"/>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662 </w:t>
            </w:r>
          </w:p>
        </w:tc>
        <w:tc>
          <w:tcPr>
            <w:tcW w:w="823" w:type="pct"/>
            <w:tcBorders>
              <w:top w:val="nil"/>
              <w:left w:val="nil"/>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3,985 </w:t>
            </w:r>
          </w:p>
        </w:tc>
      </w:tr>
      <w:tr w:rsidR="00200431" w:rsidRPr="00200431" w:rsidTr="00200431">
        <w:trPr>
          <w:trHeight w:val="300"/>
        </w:trPr>
        <w:tc>
          <w:tcPr>
            <w:tcW w:w="150" w:type="pct"/>
            <w:tcBorders>
              <w:top w:val="nil"/>
              <w:left w:val="single" w:sz="4" w:space="0" w:color="auto"/>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3204" w:type="pct"/>
            <w:tcBorders>
              <w:top w:val="nil"/>
              <w:left w:val="nil"/>
              <w:bottom w:val="nil"/>
              <w:right w:val="nil"/>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Pr>
                <w:rFonts w:cs="Arial"/>
                <w:color w:val="000000"/>
                <w:sz w:val="22"/>
                <w:szCs w:val="22"/>
                <w:lang w:val="en-US" w:eastAsia="zh-CN"/>
              </w:rPr>
              <w:t xml:space="preserve"> </w:t>
            </w:r>
            <w:r w:rsidRPr="00200431">
              <w:rPr>
                <w:rFonts w:cs="Arial"/>
                <w:color w:val="000000"/>
                <w:sz w:val="22"/>
                <w:szCs w:val="22"/>
                <w:lang w:val="en-US" w:eastAsia="zh-CN"/>
              </w:rPr>
              <w:t>ASHI</w:t>
            </w:r>
            <w:r>
              <w:rPr>
                <w:rFonts w:cs="Arial"/>
                <w:color w:val="000000"/>
                <w:sz w:val="22"/>
                <w:szCs w:val="22"/>
                <w:lang w:val="en-US" w:eastAsia="zh-CN"/>
              </w:rPr>
              <w:t xml:space="preserve"> adjustment</w:t>
            </w:r>
            <w:r w:rsidRPr="00200431">
              <w:rPr>
                <w:rFonts w:cs="Arial"/>
                <w:color w:val="000000"/>
                <w:sz w:val="22"/>
                <w:szCs w:val="22"/>
                <w:lang w:val="en-US" w:eastAsia="zh-CN"/>
              </w:rPr>
              <w:t xml:space="preserve"> </w:t>
            </w:r>
          </w:p>
        </w:tc>
        <w:tc>
          <w:tcPr>
            <w:tcW w:w="823" w:type="pct"/>
            <w:tcBorders>
              <w:top w:val="nil"/>
              <w:left w:val="single" w:sz="4" w:space="0" w:color="auto"/>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22,267 </w:t>
            </w:r>
          </w:p>
        </w:tc>
        <w:tc>
          <w:tcPr>
            <w:tcW w:w="823" w:type="pct"/>
            <w:tcBorders>
              <w:top w:val="nil"/>
              <w:left w:val="nil"/>
              <w:bottom w:val="nil"/>
              <w:right w:val="single" w:sz="4" w:space="0" w:color="auto"/>
            </w:tcBorders>
            <w:shd w:val="clear" w:color="auto" w:fill="auto"/>
            <w:noWrap/>
            <w:vAlign w:val="bottom"/>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200431">
              <w:rPr>
                <w:rFonts w:cs="Arial"/>
                <w:color w:val="000000"/>
                <w:sz w:val="22"/>
                <w:szCs w:val="22"/>
                <w:lang w:val="en-US" w:eastAsia="zh-CN"/>
              </w:rPr>
              <w:t xml:space="preserve">                18,214 </w:t>
            </w:r>
          </w:p>
        </w:tc>
      </w:tr>
      <w:tr w:rsidR="00200431" w:rsidRPr="00200431" w:rsidTr="00200431">
        <w:trPr>
          <w:trHeight w:val="300"/>
        </w:trPr>
        <w:tc>
          <w:tcPr>
            <w:tcW w:w="3354" w:type="pct"/>
            <w:gridSpan w:val="2"/>
            <w:tcBorders>
              <w:top w:val="single" w:sz="4" w:space="0" w:color="auto"/>
              <w:left w:val="single" w:sz="4" w:space="0" w:color="auto"/>
              <w:bottom w:val="single" w:sz="4" w:space="0" w:color="auto"/>
              <w:right w:val="nil"/>
            </w:tcBorders>
            <w:shd w:val="clear" w:color="auto" w:fill="auto"/>
            <w:noWrap/>
            <w:vAlign w:val="center"/>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200431">
              <w:rPr>
                <w:rFonts w:cs="Arial"/>
                <w:b/>
                <w:bCs/>
                <w:color w:val="000000"/>
                <w:sz w:val="22"/>
                <w:szCs w:val="22"/>
                <w:lang w:val="en-US" w:eastAsia="zh-CN"/>
              </w:rPr>
              <w:t xml:space="preserve"> employee expenses </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00431">
              <w:rPr>
                <w:rFonts w:cs="Arial"/>
                <w:b/>
                <w:bCs/>
                <w:color w:val="000000"/>
                <w:sz w:val="22"/>
                <w:szCs w:val="22"/>
                <w:lang w:val="en-US" w:eastAsia="zh-CN"/>
              </w:rPr>
              <w:t xml:space="preserve">              148,806 </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rsidR="00200431" w:rsidRPr="00200431" w:rsidRDefault="00200431" w:rsidP="00200431">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200431">
              <w:rPr>
                <w:rFonts w:cs="Arial"/>
                <w:b/>
                <w:bCs/>
                <w:color w:val="000000"/>
                <w:sz w:val="22"/>
                <w:szCs w:val="22"/>
                <w:lang w:val="en-US" w:eastAsia="zh-CN"/>
              </w:rPr>
              <w:t xml:space="preserve">              148,748 </w:t>
            </w:r>
          </w:p>
        </w:tc>
      </w:tr>
    </w:tbl>
    <w:p w:rsidR="002279E6" w:rsidRDefault="002279E6" w:rsidP="0078428B">
      <w:pPr>
        <w:snapToGrid w:val="0"/>
        <w:spacing w:before="0"/>
        <w:jc w:val="both"/>
        <w:rPr>
          <w:lang w:val="en-US"/>
        </w:rPr>
      </w:pPr>
    </w:p>
    <w:p w:rsidR="00B227EB" w:rsidRPr="00D51AD8" w:rsidRDefault="008924DD" w:rsidP="00306E07">
      <w:pPr>
        <w:snapToGrid w:val="0"/>
        <w:spacing w:before="0"/>
        <w:jc w:val="both"/>
        <w:rPr>
          <w:lang w:val="en-US"/>
        </w:rPr>
      </w:pPr>
      <w:r>
        <w:t xml:space="preserve">Despite </w:t>
      </w:r>
      <w:r w:rsidR="00296667">
        <w:t>a</w:t>
      </w:r>
      <w:r>
        <w:t xml:space="preserve"> </w:t>
      </w:r>
      <w:r w:rsidR="00296667">
        <w:t>global increase of the employee expenses due to the ASHI adjustment we can note a decrease i</w:t>
      </w:r>
      <w:r>
        <w:t>n salaries and allowance</w:t>
      </w:r>
      <w:r w:rsidR="00E61A40">
        <w:t>s</w:t>
      </w:r>
      <w:r>
        <w:t xml:space="preserve"> (</w:t>
      </w:r>
      <w:r w:rsidR="00A06FC9">
        <w:t>3</w:t>
      </w:r>
      <w:r>
        <w:t>%)</w:t>
      </w:r>
      <w:r w:rsidR="00296667">
        <w:t>.</w:t>
      </w:r>
    </w:p>
    <w:p w:rsidR="007515E4" w:rsidRPr="007515E4" w:rsidRDefault="0022373A" w:rsidP="007515E4">
      <w:pPr>
        <w:pStyle w:val="Heading5"/>
        <w:jc w:val="both"/>
        <w:rPr>
          <w:lang w:val="en-US"/>
        </w:rPr>
      </w:pPr>
      <w:bookmarkStart w:id="119" w:name="_Toc305764109"/>
      <w:bookmarkStart w:id="120" w:name="_Toc329011652"/>
      <w:r w:rsidRPr="00A06FC9">
        <w:rPr>
          <w:lang w:val="en-US"/>
        </w:rPr>
        <w:t>Mission expenses</w:t>
      </w:r>
      <w:bookmarkEnd w:id="119"/>
      <w:bookmarkEnd w:id="120"/>
    </w:p>
    <w:p w:rsidR="007515E4" w:rsidRDefault="0022373A" w:rsidP="006B7BB3">
      <w:pPr>
        <w:spacing w:after="120"/>
        <w:jc w:val="both"/>
        <w:rPr>
          <w:lang w:val="en-US"/>
        </w:rPr>
      </w:pPr>
      <w:r w:rsidRPr="001C2A98">
        <w:rPr>
          <w:lang w:val="en-US" w:eastAsia="fr-FR"/>
        </w:rPr>
        <w:t xml:space="preserve">Mission expenses cover travel by experts and staff </w:t>
      </w:r>
      <w:r w:rsidRPr="003A5446">
        <w:rPr>
          <w:lang w:val="en-US" w:eastAsia="fr-FR"/>
        </w:rPr>
        <w:t xml:space="preserve">members sent on mission or participating in </w:t>
      </w:r>
      <w:r w:rsidRPr="00E57BE6">
        <w:rPr>
          <w:lang w:val="en-US" w:eastAsia="fr-FR"/>
        </w:rPr>
        <w:t>conferences or meetings.</w:t>
      </w:r>
      <w:r w:rsidR="002E19E3" w:rsidRPr="00E57BE6">
        <w:rPr>
          <w:lang w:val="en-US" w:eastAsia="fr-FR"/>
        </w:rPr>
        <w:t xml:space="preserve"> </w:t>
      </w:r>
      <w:r w:rsidR="00C04A7F">
        <w:rPr>
          <w:lang w:val="en-US" w:eastAsia="fr-FR"/>
        </w:rPr>
        <w:t>M</w:t>
      </w:r>
      <w:r w:rsidR="002E19E3" w:rsidRPr="00E57BE6">
        <w:rPr>
          <w:lang w:val="en-US" w:eastAsia="fr-FR"/>
        </w:rPr>
        <w:t xml:space="preserve">ission expenses </w:t>
      </w:r>
      <w:r w:rsidR="00703D5D" w:rsidRPr="00E57BE6">
        <w:rPr>
          <w:lang w:val="en-US" w:eastAsia="fr-FR"/>
        </w:rPr>
        <w:t xml:space="preserve">remained stable </w:t>
      </w:r>
      <w:r w:rsidR="00213A8F" w:rsidRPr="00E57BE6">
        <w:rPr>
          <w:lang w:val="en-US" w:eastAsia="fr-FR"/>
        </w:rPr>
        <w:t>amount</w:t>
      </w:r>
      <w:r w:rsidR="00DC35B8">
        <w:rPr>
          <w:lang w:val="en-US" w:eastAsia="fr-FR"/>
        </w:rPr>
        <w:t xml:space="preserve">ing </w:t>
      </w:r>
      <w:r w:rsidR="002E19E3" w:rsidRPr="00E57BE6">
        <w:rPr>
          <w:lang w:val="en-US" w:eastAsia="fr-FR"/>
        </w:rPr>
        <w:t>to CHF</w:t>
      </w:r>
      <w:r w:rsidR="00C04A7F">
        <w:rPr>
          <w:lang w:val="en-US" w:eastAsia="fr-FR"/>
        </w:rPr>
        <w:t> </w:t>
      </w:r>
      <w:r w:rsidR="00703D5D">
        <w:rPr>
          <w:lang w:val="en-US" w:eastAsia="fr-FR"/>
        </w:rPr>
        <w:t>6.</w:t>
      </w:r>
      <w:r w:rsidR="00A06FC9">
        <w:rPr>
          <w:lang w:val="en-US" w:eastAsia="fr-FR"/>
        </w:rPr>
        <w:t>7</w:t>
      </w:r>
      <w:r w:rsidR="00C04A7F">
        <w:rPr>
          <w:lang w:val="en-US" w:eastAsia="fr-FR"/>
        </w:rPr>
        <w:t> </w:t>
      </w:r>
      <w:r w:rsidR="003E2BDB" w:rsidRPr="00E57BE6">
        <w:rPr>
          <w:lang w:val="en-US"/>
        </w:rPr>
        <w:t xml:space="preserve">million </w:t>
      </w:r>
      <w:r w:rsidR="002E19E3" w:rsidRPr="00E57BE6">
        <w:rPr>
          <w:lang w:val="en-US" w:eastAsia="fr-FR"/>
        </w:rPr>
        <w:t xml:space="preserve">in </w:t>
      </w:r>
      <w:r w:rsidR="00111BDD" w:rsidRPr="00E57BE6">
        <w:rPr>
          <w:lang w:val="en-US" w:eastAsia="fr-FR"/>
        </w:rPr>
        <w:t>201</w:t>
      </w:r>
      <w:r w:rsidR="00A06FC9">
        <w:rPr>
          <w:lang w:val="en-US" w:eastAsia="fr-FR"/>
        </w:rPr>
        <w:t>8</w:t>
      </w:r>
      <w:r w:rsidR="00296667">
        <w:rPr>
          <w:lang w:val="en-US" w:eastAsia="fr-FR"/>
        </w:rPr>
        <w:t>.</w:t>
      </w:r>
      <w:r w:rsidR="00E61A40">
        <w:rPr>
          <w:lang w:val="en-US" w:eastAsia="fr-FR"/>
        </w:rPr>
        <w:t xml:space="preserve"> </w:t>
      </w:r>
      <w:r w:rsidR="00876B46">
        <w:rPr>
          <w:lang w:val="en-US" w:eastAsia="fr-FR"/>
        </w:rPr>
        <w:t xml:space="preserve"> </w:t>
      </w:r>
      <w:bookmarkStart w:id="121" w:name="_Toc305764110"/>
      <w:bookmarkStart w:id="122" w:name="_Toc329011653"/>
    </w:p>
    <w:p w:rsidR="0022373A" w:rsidRPr="006B7BB3" w:rsidRDefault="0022373A" w:rsidP="007515E4">
      <w:pPr>
        <w:pStyle w:val="Heading5"/>
        <w:jc w:val="both"/>
        <w:rPr>
          <w:lang w:val="en-US"/>
        </w:rPr>
      </w:pPr>
      <w:r w:rsidRPr="006B7BB3">
        <w:rPr>
          <w:lang w:val="en-US"/>
        </w:rPr>
        <w:t>Contractual services</w:t>
      </w:r>
      <w:bookmarkEnd w:id="121"/>
      <w:bookmarkEnd w:id="122"/>
    </w:p>
    <w:p w:rsidR="0022373A" w:rsidRDefault="0022373A" w:rsidP="006B7BB3">
      <w:pPr>
        <w:spacing w:after="240"/>
        <w:jc w:val="both"/>
        <w:rPr>
          <w:lang w:val="en-US" w:eastAsia="fr-FR"/>
        </w:rPr>
      </w:pPr>
      <w:r w:rsidRPr="001C2A98">
        <w:rPr>
          <w:lang w:val="en-US" w:eastAsia="fr-FR"/>
        </w:rPr>
        <w:t xml:space="preserve">This category covers all emoluments, fees and expenses paid to companies providing consultants within the framework of agreements and contractual arrangements. It also covers special service agreements, expenses pertaining to language courses as part of training, and costs in respect of subcontracted </w:t>
      </w:r>
      <w:r w:rsidRPr="000A039E">
        <w:rPr>
          <w:lang w:val="en-US" w:eastAsia="fr-FR"/>
        </w:rPr>
        <w:t>services.</w:t>
      </w:r>
      <w:r w:rsidR="002E19E3" w:rsidRPr="000A039E">
        <w:rPr>
          <w:lang w:val="en-US" w:eastAsia="fr-FR"/>
        </w:rPr>
        <w:t xml:space="preserve"> </w:t>
      </w:r>
      <w:r w:rsidR="000A039E" w:rsidRPr="000A039E">
        <w:rPr>
          <w:lang w:val="en-US" w:eastAsia="fr-FR"/>
        </w:rPr>
        <w:t>Contractual</w:t>
      </w:r>
      <w:r w:rsidR="002E19E3" w:rsidRPr="000A039E">
        <w:rPr>
          <w:lang w:val="en-US" w:eastAsia="fr-FR"/>
        </w:rPr>
        <w:t xml:space="preserve"> contract</w:t>
      </w:r>
      <w:r w:rsidR="003F59E7" w:rsidRPr="000A039E">
        <w:rPr>
          <w:lang w:val="en-US" w:eastAsia="fr-FR"/>
        </w:rPr>
        <w:t>s</w:t>
      </w:r>
      <w:r w:rsidR="00052741" w:rsidRPr="000A039E">
        <w:rPr>
          <w:lang w:val="en-US" w:eastAsia="fr-FR"/>
        </w:rPr>
        <w:t xml:space="preserve"> amounted to CHF </w:t>
      </w:r>
      <w:r w:rsidR="008000A3">
        <w:rPr>
          <w:lang w:val="en-US" w:eastAsia="fr-FR"/>
        </w:rPr>
        <w:t>1</w:t>
      </w:r>
      <w:r w:rsidR="006B7BB3">
        <w:rPr>
          <w:lang w:val="en-US" w:eastAsia="fr-FR"/>
        </w:rPr>
        <w:t>2</w:t>
      </w:r>
      <w:r w:rsidR="00311532">
        <w:rPr>
          <w:lang w:val="en-US" w:eastAsia="fr-FR"/>
        </w:rPr>
        <w:t>.6</w:t>
      </w:r>
      <w:r w:rsidR="002E19E3" w:rsidRPr="000A039E">
        <w:rPr>
          <w:lang w:val="en-US" w:eastAsia="fr-FR"/>
        </w:rPr>
        <w:t xml:space="preserve"> </w:t>
      </w:r>
      <w:r w:rsidR="003E2BDB" w:rsidRPr="000A039E">
        <w:rPr>
          <w:lang w:val="en-US"/>
        </w:rPr>
        <w:t xml:space="preserve">million </w:t>
      </w:r>
      <w:r w:rsidR="003A5446" w:rsidRPr="000A039E">
        <w:rPr>
          <w:lang w:val="en-US" w:eastAsia="fr-FR"/>
        </w:rPr>
        <w:t xml:space="preserve">in </w:t>
      </w:r>
      <w:r w:rsidR="00111BDD">
        <w:rPr>
          <w:lang w:val="en-US" w:eastAsia="fr-FR"/>
        </w:rPr>
        <w:t>201</w:t>
      </w:r>
      <w:r w:rsidR="006B7BB3">
        <w:rPr>
          <w:lang w:val="en-US" w:eastAsia="fr-FR"/>
        </w:rPr>
        <w:t>8</w:t>
      </w:r>
      <w:r w:rsidR="00864D0F">
        <w:rPr>
          <w:lang w:val="en-US" w:eastAsia="fr-FR"/>
        </w:rPr>
        <w:t xml:space="preserve"> (</w:t>
      </w:r>
      <w:r w:rsidR="00864D0F" w:rsidRPr="00A93149">
        <w:rPr>
          <w:lang w:val="en-US" w:eastAsia="fr-FR"/>
        </w:rPr>
        <w:t>CHF </w:t>
      </w:r>
      <w:r w:rsidR="00864D0F">
        <w:rPr>
          <w:lang w:val="en-US" w:eastAsia="fr-FR"/>
        </w:rPr>
        <w:t>1</w:t>
      </w:r>
      <w:r w:rsidR="006B7BB3">
        <w:rPr>
          <w:lang w:val="en-US" w:eastAsia="fr-FR"/>
        </w:rPr>
        <w:t>5</w:t>
      </w:r>
      <w:r w:rsidR="00311532">
        <w:rPr>
          <w:lang w:val="en-US" w:eastAsia="fr-FR"/>
        </w:rPr>
        <w:t>.</w:t>
      </w:r>
      <w:r w:rsidR="006B7BB3">
        <w:rPr>
          <w:lang w:val="en-US" w:eastAsia="fr-FR"/>
        </w:rPr>
        <w:t>6</w:t>
      </w:r>
      <w:r w:rsidR="00B56368">
        <w:rPr>
          <w:lang w:val="en-US" w:eastAsia="fr-FR"/>
        </w:rPr>
        <w:t> </w:t>
      </w:r>
      <w:r w:rsidR="00864D0F" w:rsidRPr="00A93149">
        <w:rPr>
          <w:lang w:val="en-US" w:eastAsia="fr-FR"/>
        </w:rPr>
        <w:t>m</w:t>
      </w:r>
      <w:r w:rsidR="00864D0F" w:rsidRPr="00A93149">
        <w:rPr>
          <w:lang w:val="en-US"/>
        </w:rPr>
        <w:t>illion</w:t>
      </w:r>
      <w:r w:rsidR="00864D0F">
        <w:rPr>
          <w:lang w:val="en-US"/>
        </w:rPr>
        <w:t xml:space="preserve"> in 201</w:t>
      </w:r>
      <w:r w:rsidR="006B7BB3">
        <w:rPr>
          <w:lang w:val="en-US"/>
        </w:rPr>
        <w:t>7</w:t>
      </w:r>
      <w:r w:rsidR="00864D0F">
        <w:rPr>
          <w:lang w:val="en-US"/>
        </w:rPr>
        <w:t xml:space="preserve">). </w:t>
      </w:r>
      <w:r w:rsidR="00345F60">
        <w:rPr>
          <w:lang w:val="en-US"/>
        </w:rPr>
        <w:t>A detailed situation is shown in the segment reporting (Note</w:t>
      </w:r>
      <w:r w:rsidR="00B56368">
        <w:rPr>
          <w:lang w:val="en-US"/>
        </w:rPr>
        <w:t> </w:t>
      </w:r>
      <w:r w:rsidR="00345F60">
        <w:rPr>
          <w:lang w:val="en-US" w:eastAsia="fr-FR"/>
        </w:rPr>
        <w:t>2</w:t>
      </w:r>
      <w:r w:rsidR="00512014">
        <w:rPr>
          <w:lang w:val="en-US" w:eastAsia="fr-FR"/>
        </w:rPr>
        <w:t>4</w:t>
      </w:r>
      <w:r w:rsidR="00345F60">
        <w:rPr>
          <w:lang w:val="en-US" w:eastAsia="fr-FR"/>
        </w:rPr>
        <w:t>).</w:t>
      </w:r>
    </w:p>
    <w:p w:rsidR="0022373A" w:rsidRPr="001C2A98" w:rsidRDefault="0022373A" w:rsidP="00706E3E">
      <w:pPr>
        <w:pStyle w:val="Heading5"/>
        <w:jc w:val="both"/>
        <w:rPr>
          <w:lang w:val="en-US"/>
        </w:rPr>
      </w:pPr>
      <w:bookmarkStart w:id="123" w:name="_Toc305764111"/>
      <w:bookmarkStart w:id="124" w:name="_Toc329011654"/>
      <w:r w:rsidRPr="006B7BB3">
        <w:rPr>
          <w:lang w:val="en-US"/>
        </w:rPr>
        <w:t>Rental and maintenance of premises and equipment</w:t>
      </w:r>
      <w:bookmarkEnd w:id="123"/>
      <w:bookmarkEnd w:id="124"/>
    </w:p>
    <w:p w:rsidR="0022373A" w:rsidRDefault="0022373A" w:rsidP="00793F23">
      <w:pPr>
        <w:jc w:val="both"/>
        <w:rPr>
          <w:lang w:val="en-US" w:eastAsia="fr-FR"/>
        </w:rPr>
      </w:pPr>
      <w:r w:rsidRPr="001C2A98">
        <w:rPr>
          <w:lang w:val="en-US" w:eastAsia="fr-FR"/>
        </w:rPr>
        <w:t>This category covers the rental of conference premises and meeting rooms, storage areas and parking spaces, IT equipment and other office equipment. It also covers the maintenance of buildings, green</w:t>
      </w:r>
      <w:r w:rsidR="00864D0F">
        <w:rPr>
          <w:lang w:val="en-US" w:eastAsia="fr-FR"/>
        </w:rPr>
        <w:t xml:space="preserve"> </w:t>
      </w:r>
      <w:r w:rsidRPr="001C2A98">
        <w:rPr>
          <w:lang w:val="en-US" w:eastAsia="fr-FR"/>
        </w:rPr>
        <w:t>spaces, vehicles, technical and IT equipment and insurance against fire, flooding and other types of damage.</w:t>
      </w:r>
      <w:r w:rsidR="002E19E3">
        <w:rPr>
          <w:lang w:val="en-US" w:eastAsia="fr-FR"/>
        </w:rPr>
        <w:t xml:space="preserve"> Rental and equipment </w:t>
      </w:r>
      <w:r w:rsidR="00793132">
        <w:rPr>
          <w:lang w:val="en-US" w:eastAsia="fr-FR"/>
        </w:rPr>
        <w:t>expenses a</w:t>
      </w:r>
      <w:r w:rsidR="002E19E3">
        <w:rPr>
          <w:lang w:val="en-US" w:eastAsia="fr-FR"/>
        </w:rPr>
        <w:t>mo</w:t>
      </w:r>
      <w:r w:rsidR="00793132">
        <w:rPr>
          <w:lang w:val="en-US" w:eastAsia="fr-FR"/>
        </w:rPr>
        <w:t>u</w:t>
      </w:r>
      <w:r w:rsidR="002E19E3">
        <w:rPr>
          <w:lang w:val="en-US" w:eastAsia="fr-FR"/>
        </w:rPr>
        <w:t xml:space="preserve">nted to </w:t>
      </w:r>
      <w:r w:rsidR="002E19E3" w:rsidRPr="000A039E">
        <w:rPr>
          <w:lang w:val="en-US" w:eastAsia="fr-FR"/>
        </w:rPr>
        <w:t xml:space="preserve">CHF </w:t>
      </w:r>
      <w:r w:rsidR="006B7BB3">
        <w:rPr>
          <w:lang w:val="en-US" w:eastAsia="fr-FR"/>
        </w:rPr>
        <w:t>3</w:t>
      </w:r>
      <w:r w:rsidR="00052741" w:rsidRPr="000A039E">
        <w:rPr>
          <w:lang w:val="en-US" w:eastAsia="fr-FR"/>
        </w:rPr>
        <w:t>.</w:t>
      </w:r>
      <w:r w:rsidR="006B7BB3">
        <w:rPr>
          <w:lang w:val="en-US" w:eastAsia="fr-FR"/>
        </w:rPr>
        <w:t>9</w:t>
      </w:r>
      <w:r w:rsidR="008333CA">
        <w:rPr>
          <w:lang w:val="en-US" w:eastAsia="fr-FR"/>
        </w:rPr>
        <w:t xml:space="preserve"> </w:t>
      </w:r>
      <w:r w:rsidR="003E2BDB" w:rsidRPr="000A039E">
        <w:rPr>
          <w:lang w:val="en-US"/>
        </w:rPr>
        <w:t>million</w:t>
      </w:r>
      <w:r w:rsidR="002E19E3" w:rsidRPr="000A039E">
        <w:rPr>
          <w:lang w:val="en-US" w:eastAsia="fr-FR"/>
        </w:rPr>
        <w:t xml:space="preserve"> in</w:t>
      </w:r>
      <w:r w:rsidR="003F59E7" w:rsidRPr="000A039E">
        <w:rPr>
          <w:lang w:val="en-US" w:eastAsia="fr-FR"/>
        </w:rPr>
        <w:t> </w:t>
      </w:r>
      <w:r w:rsidR="00111BDD">
        <w:rPr>
          <w:lang w:val="en-US" w:eastAsia="fr-FR"/>
        </w:rPr>
        <w:t>201</w:t>
      </w:r>
      <w:r w:rsidR="006B7BB3">
        <w:rPr>
          <w:lang w:val="en-US" w:eastAsia="fr-FR"/>
        </w:rPr>
        <w:t>8</w:t>
      </w:r>
      <w:r w:rsidR="002E19E3" w:rsidRPr="000A039E">
        <w:rPr>
          <w:lang w:val="en-US" w:eastAsia="fr-FR"/>
        </w:rPr>
        <w:t xml:space="preserve"> (CHF</w:t>
      </w:r>
      <w:r w:rsidR="003F59E7" w:rsidRPr="000A039E">
        <w:rPr>
          <w:lang w:val="en-US" w:eastAsia="fr-FR"/>
        </w:rPr>
        <w:t> </w:t>
      </w:r>
      <w:r w:rsidR="00876B46">
        <w:rPr>
          <w:lang w:val="en-US" w:eastAsia="fr-FR"/>
        </w:rPr>
        <w:t>4</w:t>
      </w:r>
      <w:r w:rsidR="00864D0F">
        <w:rPr>
          <w:lang w:val="en-US" w:eastAsia="fr-FR"/>
        </w:rPr>
        <w:t>.</w:t>
      </w:r>
      <w:r w:rsidR="006B7BB3">
        <w:rPr>
          <w:lang w:val="en-US" w:eastAsia="fr-FR"/>
        </w:rPr>
        <w:t>4</w:t>
      </w:r>
      <w:r w:rsidR="002E19E3" w:rsidRPr="000A039E">
        <w:rPr>
          <w:lang w:val="en-US" w:eastAsia="fr-FR"/>
        </w:rPr>
        <w:t xml:space="preserve"> </w:t>
      </w:r>
      <w:r w:rsidR="003E2BDB" w:rsidRPr="000A039E">
        <w:rPr>
          <w:lang w:val="en-US"/>
        </w:rPr>
        <w:t xml:space="preserve">million </w:t>
      </w:r>
      <w:r w:rsidR="002E19E3" w:rsidRPr="000A039E">
        <w:rPr>
          <w:lang w:val="en-US" w:eastAsia="fr-FR"/>
        </w:rPr>
        <w:t>in 201</w:t>
      </w:r>
      <w:r w:rsidR="00793F23" w:rsidRPr="0080683B">
        <w:rPr>
          <w:lang w:val="en-US" w:eastAsia="fr-FR"/>
        </w:rPr>
        <w:t>7</w:t>
      </w:r>
      <w:r w:rsidR="002E19E3" w:rsidRPr="000A039E">
        <w:rPr>
          <w:lang w:val="en-US" w:eastAsia="fr-FR"/>
        </w:rPr>
        <w:t>).</w:t>
      </w:r>
    </w:p>
    <w:p w:rsidR="0022373A" w:rsidRPr="005E2AA5" w:rsidRDefault="002E19E3" w:rsidP="003F59E7">
      <w:pPr>
        <w:pStyle w:val="Heading5"/>
        <w:spacing w:before="240" w:after="120"/>
        <w:rPr>
          <w:lang w:val="en-US"/>
        </w:rPr>
      </w:pPr>
      <w:bookmarkStart w:id="125" w:name="_Toc305764112"/>
      <w:bookmarkStart w:id="126" w:name="_Toc329011655"/>
      <w:r w:rsidRPr="006B7BB3">
        <w:rPr>
          <w:lang w:val="en-US"/>
        </w:rPr>
        <w:t>E</w:t>
      </w:r>
      <w:r w:rsidR="0022373A" w:rsidRPr="006B7BB3">
        <w:rPr>
          <w:lang w:val="en-US"/>
        </w:rPr>
        <w:t>quipment and supplies</w:t>
      </w:r>
      <w:bookmarkEnd w:id="125"/>
      <w:bookmarkEnd w:id="126"/>
      <w:r w:rsidRPr="006B7BB3">
        <w:rPr>
          <w:lang w:val="en-US"/>
        </w:rPr>
        <w:t xml:space="preserve">, </w:t>
      </w:r>
      <w:r w:rsidR="003F59E7" w:rsidRPr="006B7BB3">
        <w:rPr>
          <w:lang w:val="en-US"/>
        </w:rPr>
        <w:t>s</w:t>
      </w:r>
      <w:r w:rsidRPr="006B7BB3">
        <w:rPr>
          <w:lang w:val="en-US"/>
        </w:rPr>
        <w:t>hipping, telecommunication and service expenses</w:t>
      </w:r>
    </w:p>
    <w:p w:rsidR="002E19E3" w:rsidRDefault="0022373A" w:rsidP="006B7BB3">
      <w:pPr>
        <w:spacing w:after="240"/>
        <w:jc w:val="both"/>
        <w:rPr>
          <w:lang w:val="en-US" w:eastAsia="fr-FR"/>
        </w:rPr>
      </w:pPr>
      <w:r w:rsidRPr="001C2A98">
        <w:rPr>
          <w:lang w:val="en-US" w:eastAsia="fr-FR"/>
        </w:rPr>
        <w:t>Equipment and supplies includes office supplies, printer supplies, forms, cards, journals, books and bindings, IT supplies and software products that are not recorded as assets.</w:t>
      </w:r>
      <w:r w:rsidR="002E19E3">
        <w:rPr>
          <w:lang w:val="en-US" w:eastAsia="fr-FR"/>
        </w:rPr>
        <w:t xml:space="preserve"> Equipment an</w:t>
      </w:r>
      <w:r w:rsidR="005E2AA5">
        <w:rPr>
          <w:lang w:val="en-US" w:eastAsia="fr-FR"/>
        </w:rPr>
        <w:t>d</w:t>
      </w:r>
      <w:r w:rsidR="002E19E3">
        <w:rPr>
          <w:lang w:val="en-US" w:eastAsia="fr-FR"/>
        </w:rPr>
        <w:t xml:space="preserve"> supplies amounted to CHF </w:t>
      </w:r>
      <w:r w:rsidR="006B7BB3">
        <w:rPr>
          <w:lang w:val="en-US" w:eastAsia="fr-FR"/>
        </w:rPr>
        <w:t>4</w:t>
      </w:r>
      <w:r w:rsidR="00864D0F">
        <w:rPr>
          <w:lang w:val="en-US" w:eastAsia="fr-FR"/>
        </w:rPr>
        <w:t>.</w:t>
      </w:r>
      <w:r w:rsidR="006B7BB3">
        <w:rPr>
          <w:lang w:val="en-US" w:eastAsia="fr-FR"/>
        </w:rPr>
        <w:t>5</w:t>
      </w:r>
      <w:r w:rsidR="002E19E3">
        <w:rPr>
          <w:lang w:val="en-US" w:eastAsia="fr-FR"/>
        </w:rPr>
        <w:t xml:space="preserve"> million in </w:t>
      </w:r>
      <w:r w:rsidR="00111BDD">
        <w:rPr>
          <w:lang w:val="en-US" w:eastAsia="fr-FR"/>
        </w:rPr>
        <w:t>201</w:t>
      </w:r>
      <w:r w:rsidR="006B7BB3">
        <w:rPr>
          <w:lang w:val="en-US" w:eastAsia="fr-FR"/>
        </w:rPr>
        <w:t>8</w:t>
      </w:r>
      <w:r w:rsidR="002E19E3">
        <w:rPr>
          <w:lang w:val="en-US" w:eastAsia="fr-FR"/>
        </w:rPr>
        <w:t xml:space="preserve"> (CHF </w:t>
      </w:r>
      <w:r w:rsidR="00876B46">
        <w:rPr>
          <w:lang w:val="en-US" w:eastAsia="fr-FR"/>
        </w:rPr>
        <w:t>3.</w:t>
      </w:r>
      <w:r w:rsidR="006B7BB3">
        <w:rPr>
          <w:lang w:val="en-US" w:eastAsia="fr-FR"/>
        </w:rPr>
        <w:t>8</w:t>
      </w:r>
      <w:r w:rsidR="002E19E3" w:rsidRPr="007039B0">
        <w:rPr>
          <w:lang w:val="en-US" w:eastAsia="fr-FR"/>
        </w:rPr>
        <w:t xml:space="preserve"> million in 201</w:t>
      </w:r>
      <w:r w:rsidR="006B7BB3">
        <w:rPr>
          <w:lang w:val="en-US" w:eastAsia="fr-FR"/>
        </w:rPr>
        <w:t>7</w:t>
      </w:r>
      <w:r w:rsidR="002E19E3" w:rsidRPr="007039B0">
        <w:rPr>
          <w:lang w:val="en-US" w:eastAsia="fr-FR"/>
        </w:rPr>
        <w:t>).</w:t>
      </w:r>
      <w:bookmarkStart w:id="127" w:name="_Toc305764113"/>
      <w:bookmarkStart w:id="128" w:name="_Toc329011656"/>
      <w:r w:rsidR="002E19E3" w:rsidRPr="007039B0">
        <w:rPr>
          <w:lang w:val="en-US" w:eastAsia="fr-FR"/>
        </w:rPr>
        <w:t xml:space="preserve"> </w:t>
      </w:r>
      <w:r w:rsidR="00E61A40">
        <w:rPr>
          <w:lang w:val="en-US" w:eastAsia="fr-FR"/>
        </w:rPr>
        <w:t xml:space="preserve"> </w:t>
      </w:r>
      <w:r w:rsidR="00F11EBB" w:rsidRPr="001A6652">
        <w:rPr>
          <w:lang w:val="en-US" w:eastAsia="fr-FR"/>
        </w:rPr>
        <w:t>Shipping, telecommunication</w:t>
      </w:r>
      <w:r w:rsidR="00E61A40">
        <w:rPr>
          <w:lang w:val="en-US" w:eastAsia="fr-FR"/>
        </w:rPr>
        <w:t>s</w:t>
      </w:r>
      <w:r w:rsidR="00F11EBB" w:rsidRPr="001A6652">
        <w:rPr>
          <w:lang w:val="en-US" w:eastAsia="fr-FR"/>
        </w:rPr>
        <w:t xml:space="preserve"> and service expenses amounted to CHF </w:t>
      </w:r>
      <w:r w:rsidR="00671F36">
        <w:rPr>
          <w:lang w:val="en-US" w:eastAsia="fr-FR"/>
        </w:rPr>
        <w:t>1</w:t>
      </w:r>
      <w:r w:rsidR="00F11EBB" w:rsidRPr="001A6652">
        <w:rPr>
          <w:lang w:val="en-US" w:eastAsia="fr-FR"/>
        </w:rPr>
        <w:t>.</w:t>
      </w:r>
      <w:r w:rsidR="006B7BB3">
        <w:rPr>
          <w:lang w:val="en-US" w:eastAsia="fr-FR"/>
        </w:rPr>
        <w:t>7</w:t>
      </w:r>
      <w:r w:rsidR="00F11EBB" w:rsidRPr="001A6652">
        <w:rPr>
          <w:lang w:val="en-US" w:eastAsia="fr-FR"/>
        </w:rPr>
        <w:t xml:space="preserve"> million in </w:t>
      </w:r>
      <w:r w:rsidR="00111BDD">
        <w:rPr>
          <w:lang w:val="en-US" w:eastAsia="fr-FR"/>
        </w:rPr>
        <w:t>201</w:t>
      </w:r>
      <w:r w:rsidR="006B7BB3">
        <w:rPr>
          <w:lang w:val="en-US" w:eastAsia="fr-FR"/>
        </w:rPr>
        <w:t>8</w:t>
      </w:r>
      <w:r w:rsidR="00F11EBB" w:rsidRPr="001A6652">
        <w:rPr>
          <w:lang w:val="en-US" w:eastAsia="fr-FR"/>
        </w:rPr>
        <w:t xml:space="preserve"> (CHF </w:t>
      </w:r>
      <w:r w:rsidR="00864D0F">
        <w:rPr>
          <w:lang w:val="en-US" w:eastAsia="fr-FR"/>
        </w:rPr>
        <w:t>1.</w:t>
      </w:r>
      <w:r w:rsidR="006B7BB3">
        <w:rPr>
          <w:lang w:val="en-US" w:eastAsia="fr-FR"/>
        </w:rPr>
        <w:t>6</w:t>
      </w:r>
      <w:r w:rsidR="008333CA">
        <w:rPr>
          <w:lang w:val="en-US" w:eastAsia="fr-FR"/>
        </w:rPr>
        <w:t> </w:t>
      </w:r>
      <w:r w:rsidR="00F11EBB" w:rsidRPr="001A6652">
        <w:rPr>
          <w:lang w:val="en-US" w:eastAsia="fr-FR"/>
        </w:rPr>
        <w:t>million in 201</w:t>
      </w:r>
      <w:r w:rsidR="006B7BB3">
        <w:rPr>
          <w:lang w:val="en-US" w:eastAsia="fr-FR"/>
        </w:rPr>
        <w:t>7</w:t>
      </w:r>
      <w:r w:rsidR="00F11EBB" w:rsidRPr="001A6652">
        <w:rPr>
          <w:lang w:val="en-US" w:eastAsia="fr-FR"/>
        </w:rPr>
        <w:t>).</w:t>
      </w:r>
    </w:p>
    <w:p w:rsidR="00620B99" w:rsidRPr="00BF4945" w:rsidRDefault="0022373A" w:rsidP="00E61A40">
      <w:pPr>
        <w:pStyle w:val="Heading5"/>
        <w:snapToGrid w:val="0"/>
        <w:spacing w:before="240"/>
        <w:ind w:left="0" w:firstLine="0"/>
        <w:rPr>
          <w:rFonts w:cs="Calibri"/>
          <w:lang w:val="en-US"/>
        </w:rPr>
      </w:pPr>
      <w:bookmarkStart w:id="129" w:name="_Toc329011657"/>
      <w:bookmarkEnd w:id="127"/>
      <w:bookmarkEnd w:id="128"/>
      <w:r w:rsidRPr="001C2A98">
        <w:rPr>
          <w:lang w:val="en-US"/>
        </w:rPr>
        <w:t>Other expenses</w:t>
      </w:r>
      <w:bookmarkEnd w:id="129"/>
      <w:r w:rsidR="00620B99">
        <w:rPr>
          <w:lang w:val="en-US"/>
        </w:rPr>
        <w:br/>
      </w:r>
    </w:p>
    <w:tbl>
      <w:tblPr>
        <w:tblW w:w="9492" w:type="dxa"/>
        <w:tblInd w:w="-5" w:type="dxa"/>
        <w:tblLayout w:type="fixed"/>
        <w:tblLook w:val="04A0" w:firstRow="1" w:lastRow="0" w:firstColumn="1" w:lastColumn="0" w:noHBand="0" w:noVBand="1"/>
      </w:tblPr>
      <w:tblGrid>
        <w:gridCol w:w="5806"/>
        <w:gridCol w:w="1843"/>
        <w:gridCol w:w="1843"/>
      </w:tblGrid>
      <w:tr w:rsidR="00620B99" w:rsidRPr="00BF4945" w:rsidTr="0040468E">
        <w:trPr>
          <w:trHeight w:val="255"/>
        </w:trPr>
        <w:tc>
          <w:tcPr>
            <w:tcW w:w="5806" w:type="dxa"/>
            <w:tcBorders>
              <w:top w:val="single" w:sz="4" w:space="0" w:color="auto"/>
              <w:left w:val="single" w:sz="4" w:space="0" w:color="auto"/>
              <w:bottom w:val="single" w:sz="4" w:space="0" w:color="auto"/>
              <w:right w:val="nil"/>
            </w:tcBorders>
            <w:shd w:val="clear" w:color="auto" w:fill="auto"/>
            <w:noWrap/>
            <w:vAlign w:val="center"/>
            <w:hideMark/>
          </w:tcPr>
          <w:p w:rsidR="00620B99" w:rsidRPr="00BF4945" w:rsidRDefault="00620B99" w:rsidP="00620B99">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en-US" w:eastAsia="zh-CN"/>
              </w:rPr>
            </w:pPr>
            <w:r w:rsidRPr="00BF4945">
              <w:rPr>
                <w:rFonts w:cs="Calibri"/>
                <w:b/>
                <w:bCs/>
                <w:color w:val="000000"/>
                <w:sz w:val="20"/>
                <w:lang w:val="en-US" w:eastAsia="zh-CN"/>
              </w:rPr>
              <w:t>In thousands of CHF</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B99" w:rsidRPr="00BF4945" w:rsidRDefault="00620B99"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val="en-US" w:eastAsia="zh-CN"/>
              </w:rPr>
            </w:pPr>
            <w:r w:rsidRPr="00BF4945">
              <w:rPr>
                <w:rFonts w:cs="Calibri"/>
                <w:b/>
                <w:bCs/>
                <w:color w:val="000000"/>
                <w:sz w:val="20"/>
                <w:lang w:val="en-US" w:eastAsia="zh-CN"/>
              </w:rPr>
              <w:t>201</w:t>
            </w:r>
            <w:r w:rsidR="00714BEB" w:rsidRPr="00BF4945">
              <w:rPr>
                <w:rFonts w:cs="Calibri"/>
                <w:b/>
                <w:bCs/>
                <w:color w:val="000000"/>
                <w:sz w:val="20"/>
                <w:lang w:val="en-US" w:eastAsia="zh-CN"/>
              </w:rPr>
              <w:t>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20B99" w:rsidRPr="00BF4945" w:rsidRDefault="00620B99"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val="en-US" w:eastAsia="zh-CN"/>
              </w:rPr>
            </w:pPr>
            <w:r w:rsidRPr="00BF4945">
              <w:rPr>
                <w:rFonts w:cs="Calibri"/>
                <w:b/>
                <w:bCs/>
                <w:color w:val="000000"/>
                <w:sz w:val="20"/>
                <w:lang w:val="en-US" w:eastAsia="zh-CN"/>
              </w:rPr>
              <w:t>201</w:t>
            </w:r>
            <w:r w:rsidR="00714BEB" w:rsidRPr="00BF4945">
              <w:rPr>
                <w:rFonts w:cs="Calibri"/>
                <w:b/>
                <w:bCs/>
                <w:color w:val="000000"/>
                <w:sz w:val="20"/>
                <w:lang w:val="en-US" w:eastAsia="zh-CN"/>
              </w:rPr>
              <w:t>7</w:t>
            </w:r>
          </w:p>
        </w:tc>
      </w:tr>
      <w:tr w:rsidR="00714BEB" w:rsidRPr="00BF4945" w:rsidTr="0040468E">
        <w:trPr>
          <w:trHeight w:val="255"/>
        </w:trPr>
        <w:tc>
          <w:tcPr>
            <w:tcW w:w="5806" w:type="dxa"/>
            <w:tcBorders>
              <w:top w:val="nil"/>
              <w:left w:val="single" w:sz="4" w:space="0" w:color="auto"/>
              <w:bottom w:val="nil"/>
              <w:right w:val="nil"/>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External audit expenses</w:t>
            </w:r>
          </w:p>
        </w:tc>
        <w:tc>
          <w:tcPr>
            <w:tcW w:w="1843" w:type="dxa"/>
            <w:tcBorders>
              <w:top w:val="nil"/>
              <w:left w:val="single" w:sz="4" w:space="0" w:color="auto"/>
              <w:bottom w:val="nil"/>
              <w:right w:val="single" w:sz="4" w:space="0" w:color="auto"/>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135</w:t>
            </w:r>
          </w:p>
        </w:tc>
        <w:tc>
          <w:tcPr>
            <w:tcW w:w="1843" w:type="dxa"/>
            <w:tcBorders>
              <w:top w:val="nil"/>
              <w:left w:val="nil"/>
              <w:bottom w:val="nil"/>
              <w:right w:val="single" w:sz="4" w:space="0" w:color="auto"/>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93</w:t>
            </w:r>
          </w:p>
        </w:tc>
      </w:tr>
      <w:tr w:rsidR="00714BEB" w:rsidRPr="00BF4945" w:rsidTr="0040468E">
        <w:trPr>
          <w:trHeight w:val="255"/>
        </w:trPr>
        <w:tc>
          <w:tcPr>
            <w:tcW w:w="5806" w:type="dxa"/>
            <w:tcBorders>
              <w:top w:val="nil"/>
              <w:left w:val="single" w:sz="4" w:space="0" w:color="auto"/>
              <w:bottom w:val="nil"/>
              <w:right w:val="nil"/>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Participation to UN expenses</w:t>
            </w:r>
          </w:p>
        </w:tc>
        <w:tc>
          <w:tcPr>
            <w:tcW w:w="1843" w:type="dxa"/>
            <w:tcBorders>
              <w:top w:val="nil"/>
              <w:left w:val="single" w:sz="4" w:space="0" w:color="auto"/>
              <w:bottom w:val="nil"/>
              <w:right w:val="single" w:sz="4" w:space="0" w:color="auto"/>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660</w:t>
            </w:r>
          </w:p>
        </w:tc>
        <w:tc>
          <w:tcPr>
            <w:tcW w:w="1843" w:type="dxa"/>
            <w:tcBorders>
              <w:top w:val="nil"/>
              <w:left w:val="nil"/>
              <w:bottom w:val="nil"/>
              <w:right w:val="single" w:sz="4" w:space="0" w:color="auto"/>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533</w:t>
            </w:r>
          </w:p>
        </w:tc>
      </w:tr>
      <w:tr w:rsidR="00714BEB" w:rsidRPr="00BF4945" w:rsidTr="0040468E">
        <w:trPr>
          <w:trHeight w:val="255"/>
        </w:trPr>
        <w:tc>
          <w:tcPr>
            <w:tcW w:w="5806" w:type="dxa"/>
            <w:tcBorders>
              <w:top w:val="nil"/>
              <w:left w:val="single" w:sz="4" w:space="0" w:color="auto"/>
              <w:bottom w:val="nil"/>
              <w:right w:val="nil"/>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Legal expenses</w:t>
            </w:r>
          </w:p>
        </w:tc>
        <w:tc>
          <w:tcPr>
            <w:tcW w:w="1843" w:type="dxa"/>
            <w:tcBorders>
              <w:top w:val="nil"/>
              <w:left w:val="single" w:sz="4" w:space="0" w:color="auto"/>
              <w:bottom w:val="nil"/>
              <w:right w:val="single" w:sz="4" w:space="0" w:color="auto"/>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3,209</w:t>
            </w:r>
          </w:p>
        </w:tc>
        <w:tc>
          <w:tcPr>
            <w:tcW w:w="1843" w:type="dxa"/>
            <w:tcBorders>
              <w:top w:val="nil"/>
              <w:left w:val="nil"/>
              <w:bottom w:val="nil"/>
              <w:right w:val="single" w:sz="4" w:space="0" w:color="auto"/>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453</w:t>
            </w:r>
          </w:p>
        </w:tc>
      </w:tr>
      <w:tr w:rsidR="00714BEB" w:rsidRPr="00BF4945" w:rsidTr="0040468E">
        <w:trPr>
          <w:trHeight w:val="255"/>
        </w:trPr>
        <w:tc>
          <w:tcPr>
            <w:tcW w:w="5806" w:type="dxa"/>
            <w:tcBorders>
              <w:top w:val="nil"/>
              <w:left w:val="single" w:sz="4" w:space="0" w:color="auto"/>
              <w:bottom w:val="nil"/>
              <w:right w:val="nil"/>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Adjustment of provisions and other expenses</w:t>
            </w:r>
          </w:p>
        </w:tc>
        <w:tc>
          <w:tcPr>
            <w:tcW w:w="1843" w:type="dxa"/>
            <w:tcBorders>
              <w:top w:val="nil"/>
              <w:left w:val="single" w:sz="4" w:space="0" w:color="auto"/>
              <w:bottom w:val="nil"/>
              <w:right w:val="single" w:sz="4" w:space="0" w:color="auto"/>
            </w:tcBorders>
            <w:shd w:val="clear" w:color="auto" w:fill="auto"/>
            <w:noWrap/>
            <w:vAlign w:val="bottom"/>
            <w:hideMark/>
          </w:tcPr>
          <w:p w:rsidR="00714BEB" w:rsidRPr="00BF4945" w:rsidRDefault="00714BEB" w:rsidP="007B02B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w:t>
            </w:r>
            <w:r w:rsidR="007B02BD" w:rsidRPr="00BF4945">
              <w:rPr>
                <w:rFonts w:cs="Calibri"/>
                <w:color w:val="000000"/>
                <w:sz w:val="20"/>
                <w:lang w:val="en-US" w:eastAsia="zh-CN"/>
              </w:rPr>
              <w:t>4</w:t>
            </w:r>
            <w:r w:rsidRPr="00BF4945">
              <w:rPr>
                <w:rFonts w:cs="Calibri"/>
                <w:color w:val="000000"/>
                <w:sz w:val="20"/>
                <w:lang w:val="en-US" w:eastAsia="zh-CN"/>
              </w:rPr>
              <w:t>,</w:t>
            </w:r>
            <w:r w:rsidR="007B02BD" w:rsidRPr="00BF4945">
              <w:rPr>
                <w:rFonts w:cs="Calibri"/>
                <w:color w:val="000000"/>
                <w:sz w:val="20"/>
                <w:lang w:val="en-US" w:eastAsia="zh-CN"/>
              </w:rPr>
              <w:t>072</w:t>
            </w:r>
          </w:p>
        </w:tc>
        <w:tc>
          <w:tcPr>
            <w:tcW w:w="1843" w:type="dxa"/>
            <w:tcBorders>
              <w:top w:val="nil"/>
              <w:left w:val="nil"/>
              <w:bottom w:val="nil"/>
              <w:right w:val="single" w:sz="4" w:space="0" w:color="auto"/>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6,577</w:t>
            </w:r>
          </w:p>
        </w:tc>
      </w:tr>
      <w:tr w:rsidR="00CE2A55" w:rsidRPr="00BF4945" w:rsidTr="0040468E">
        <w:trPr>
          <w:trHeight w:val="255"/>
        </w:trPr>
        <w:tc>
          <w:tcPr>
            <w:tcW w:w="5806" w:type="dxa"/>
            <w:tcBorders>
              <w:top w:val="nil"/>
              <w:left w:val="single" w:sz="4" w:space="0" w:color="auto"/>
              <w:bottom w:val="nil"/>
              <w:right w:val="nil"/>
            </w:tcBorders>
            <w:shd w:val="clear" w:color="auto" w:fill="auto"/>
            <w:noWrap/>
            <w:vAlign w:val="bottom"/>
            <w:hideMark/>
          </w:tcPr>
          <w:p w:rsidR="00CE2A55" w:rsidRPr="00BF4945" w:rsidRDefault="00CE2A55" w:rsidP="00CE2A5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 </w:t>
            </w:r>
          </w:p>
        </w:tc>
        <w:tc>
          <w:tcPr>
            <w:tcW w:w="1843" w:type="dxa"/>
            <w:tcBorders>
              <w:top w:val="nil"/>
              <w:left w:val="single" w:sz="4" w:space="0" w:color="auto"/>
              <w:bottom w:val="nil"/>
              <w:right w:val="single" w:sz="4" w:space="0" w:color="auto"/>
            </w:tcBorders>
            <w:shd w:val="clear" w:color="auto" w:fill="auto"/>
            <w:noWrap/>
            <w:vAlign w:val="bottom"/>
            <w:hideMark/>
          </w:tcPr>
          <w:p w:rsidR="00CE2A55" w:rsidRPr="00BF4945" w:rsidRDefault="00CE2A55" w:rsidP="00CE2A5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 </w:t>
            </w:r>
          </w:p>
        </w:tc>
        <w:tc>
          <w:tcPr>
            <w:tcW w:w="1843" w:type="dxa"/>
            <w:tcBorders>
              <w:top w:val="nil"/>
              <w:left w:val="nil"/>
              <w:bottom w:val="single" w:sz="4" w:space="0" w:color="auto"/>
              <w:right w:val="single" w:sz="4" w:space="0" w:color="auto"/>
            </w:tcBorders>
            <w:shd w:val="clear" w:color="auto" w:fill="auto"/>
            <w:noWrap/>
            <w:vAlign w:val="bottom"/>
            <w:hideMark/>
          </w:tcPr>
          <w:p w:rsidR="00CE2A55" w:rsidRPr="00BF4945" w:rsidRDefault="00CE2A55" w:rsidP="00CE2A5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 </w:t>
            </w:r>
          </w:p>
        </w:tc>
      </w:tr>
      <w:tr w:rsidR="00CE2A55" w:rsidRPr="00BF4945" w:rsidTr="0040468E">
        <w:trPr>
          <w:trHeight w:val="255"/>
        </w:trPr>
        <w:tc>
          <w:tcPr>
            <w:tcW w:w="5806" w:type="dxa"/>
            <w:tcBorders>
              <w:top w:val="single" w:sz="4" w:space="0" w:color="auto"/>
              <w:left w:val="single" w:sz="4" w:space="0" w:color="auto"/>
              <w:bottom w:val="single" w:sz="4" w:space="0" w:color="auto"/>
              <w:right w:val="nil"/>
            </w:tcBorders>
            <w:shd w:val="clear" w:color="auto" w:fill="auto"/>
            <w:noWrap/>
            <w:vAlign w:val="center"/>
            <w:hideMark/>
          </w:tcPr>
          <w:p w:rsidR="00CE2A55" w:rsidRPr="00BF4945" w:rsidRDefault="00CE2A55" w:rsidP="00CE2A5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en-US" w:eastAsia="zh-CN"/>
              </w:rPr>
            </w:pPr>
            <w:r w:rsidRPr="00BF4945">
              <w:rPr>
                <w:rFonts w:cs="Calibri"/>
                <w:b/>
                <w:bCs/>
                <w:color w:val="000000"/>
                <w:sz w:val="20"/>
                <w:lang w:val="en-US" w:eastAsia="zh-CN"/>
              </w:rPr>
              <w:t>Other expenses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A55" w:rsidRPr="00BF4945" w:rsidRDefault="00714BEB" w:rsidP="007B02BD">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val="en-US" w:eastAsia="zh-CN"/>
              </w:rPr>
            </w:pPr>
            <w:r w:rsidRPr="00BF4945">
              <w:rPr>
                <w:rFonts w:cs="Calibri"/>
                <w:b/>
                <w:bCs/>
                <w:color w:val="000000"/>
                <w:sz w:val="20"/>
              </w:rPr>
              <w:t xml:space="preserve">             -</w:t>
            </w:r>
            <w:r w:rsidR="007B02BD" w:rsidRPr="00BF4945">
              <w:rPr>
                <w:rFonts w:cs="Calibri"/>
                <w:b/>
                <w:bCs/>
                <w:color w:val="000000"/>
                <w:sz w:val="20"/>
              </w:rPr>
              <w:t>67</w:t>
            </w:r>
            <w:r w:rsidRPr="00BF4945">
              <w:rPr>
                <w:rFonts w:cs="Calibri"/>
                <w:b/>
                <w:bCs/>
                <w:color w:val="000000"/>
                <w:sz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E2A55" w:rsidRPr="00BF4945" w:rsidRDefault="00CE2A55" w:rsidP="00CE2A5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val="en-US" w:eastAsia="zh-CN"/>
              </w:rPr>
            </w:pPr>
            <w:r w:rsidRPr="00BF4945">
              <w:rPr>
                <w:rFonts w:cs="Calibri"/>
                <w:b/>
                <w:bCs/>
                <w:color w:val="000000"/>
                <w:sz w:val="20"/>
                <w:lang w:val="en-US" w:eastAsia="zh-CN"/>
              </w:rPr>
              <w:t xml:space="preserve">            7,656 </w:t>
            </w:r>
          </w:p>
        </w:tc>
      </w:tr>
    </w:tbl>
    <w:p w:rsidR="001A29CB" w:rsidRPr="00876B46" w:rsidRDefault="001A29CB" w:rsidP="007A03B2">
      <w:pPr>
        <w:spacing w:before="240"/>
        <w:jc w:val="both"/>
        <w:rPr>
          <w:lang w:val="en-US"/>
        </w:rPr>
      </w:pPr>
      <w:bookmarkStart w:id="130" w:name="_Toc305764116"/>
      <w:bookmarkStart w:id="131" w:name="_Toc329011658"/>
      <w:r w:rsidRPr="00876B46">
        <w:rPr>
          <w:lang w:val="en-US"/>
        </w:rPr>
        <w:t>Other expenses relate to the statutory annual audit of ITU</w:t>
      </w:r>
      <w:r w:rsidR="007A552E" w:rsidRPr="00876B46">
        <w:rPr>
          <w:lang w:val="en-US"/>
        </w:rPr>
        <w:t>’</w:t>
      </w:r>
      <w:r w:rsidRPr="00876B46">
        <w:rPr>
          <w:lang w:val="en-US"/>
        </w:rPr>
        <w:t>s books and accounts, carried</w:t>
      </w:r>
      <w:r w:rsidR="005E2AA5" w:rsidRPr="00876B46">
        <w:rPr>
          <w:lang w:val="en-US"/>
        </w:rPr>
        <w:t xml:space="preserve"> out by the Corte </w:t>
      </w:r>
      <w:proofErr w:type="spellStart"/>
      <w:r w:rsidR="005E2AA5" w:rsidRPr="00876B46">
        <w:rPr>
          <w:lang w:val="en-US"/>
        </w:rPr>
        <w:t>dei</w:t>
      </w:r>
      <w:proofErr w:type="spellEnd"/>
      <w:r w:rsidR="005E2AA5" w:rsidRPr="00876B46">
        <w:rPr>
          <w:lang w:val="en-US"/>
        </w:rPr>
        <w:t xml:space="preserve"> Conti</w:t>
      </w:r>
      <w:r w:rsidRPr="00876B46">
        <w:rPr>
          <w:lang w:val="en-US"/>
        </w:rPr>
        <w:t>, as well as to the Union</w:t>
      </w:r>
      <w:r w:rsidR="007A552E" w:rsidRPr="00876B46">
        <w:rPr>
          <w:lang w:val="en-US"/>
        </w:rPr>
        <w:t>’</w:t>
      </w:r>
      <w:r w:rsidRPr="00876B46">
        <w:rPr>
          <w:lang w:val="en-US"/>
        </w:rPr>
        <w:t>s participation in the inter-organizational committees and services of the United Nations such as the Joint Inspection Unit, the United Nations High-Level Committee on Management and the Office for Information and Communications Technology.</w:t>
      </w:r>
    </w:p>
    <w:p w:rsidR="001A29CB" w:rsidRPr="0080683B" w:rsidRDefault="001A29CB" w:rsidP="00EB77F7">
      <w:pPr>
        <w:jc w:val="both"/>
        <w:rPr>
          <w:lang w:val="en-US"/>
        </w:rPr>
      </w:pPr>
      <w:r w:rsidRPr="0080683B">
        <w:rPr>
          <w:lang w:val="en-US"/>
        </w:rPr>
        <w:t>Legal expenses include estimated costs for the outcome of open legal cases as well as the average cost for the administrative expenses in respect of each case brought before the tribunal.</w:t>
      </w:r>
      <w:r w:rsidR="0043389D" w:rsidRPr="0080683B">
        <w:rPr>
          <w:lang w:val="en-US"/>
        </w:rPr>
        <w:t xml:space="preserve"> The high level of the legal expense</w:t>
      </w:r>
      <w:r w:rsidR="00EB77F7" w:rsidRPr="0080683B">
        <w:rPr>
          <w:lang w:val="en-US"/>
        </w:rPr>
        <w:t xml:space="preserve">s correspond to a </w:t>
      </w:r>
      <w:r w:rsidR="0043389D" w:rsidRPr="0080683B">
        <w:rPr>
          <w:lang w:val="en-US"/>
        </w:rPr>
        <w:t xml:space="preserve">provision made in 2018 in relation </w:t>
      </w:r>
      <w:r w:rsidR="00EB77F7" w:rsidRPr="0080683B">
        <w:rPr>
          <w:lang w:val="en-US"/>
        </w:rPr>
        <w:t>to</w:t>
      </w:r>
      <w:r w:rsidR="0043389D" w:rsidRPr="0080683B">
        <w:rPr>
          <w:lang w:val="en-US"/>
        </w:rPr>
        <w:t xml:space="preserve"> the pay cut and the </w:t>
      </w:r>
      <w:r w:rsidR="00EB77F7" w:rsidRPr="0080683B">
        <w:rPr>
          <w:lang w:val="en-US"/>
        </w:rPr>
        <w:t xml:space="preserve">consequent </w:t>
      </w:r>
      <w:r w:rsidR="0043389D" w:rsidRPr="0080683B">
        <w:rPr>
          <w:lang w:val="en-US"/>
        </w:rPr>
        <w:t>legal action</w:t>
      </w:r>
      <w:r w:rsidR="00EB77F7" w:rsidRPr="0080683B">
        <w:rPr>
          <w:lang w:val="en-US"/>
        </w:rPr>
        <w:t>s</w:t>
      </w:r>
      <w:r w:rsidR="0043389D" w:rsidRPr="0080683B">
        <w:rPr>
          <w:lang w:val="en-US"/>
        </w:rPr>
        <w:t xml:space="preserve"> </w:t>
      </w:r>
      <w:r w:rsidR="00EB77F7" w:rsidRPr="0080683B">
        <w:rPr>
          <w:lang w:val="en-US"/>
        </w:rPr>
        <w:t xml:space="preserve">taken </w:t>
      </w:r>
      <w:r w:rsidR="0043389D" w:rsidRPr="0080683B">
        <w:rPr>
          <w:lang w:val="en-US"/>
        </w:rPr>
        <w:t xml:space="preserve">by the staff </w:t>
      </w:r>
      <w:r w:rsidR="00EB77F7" w:rsidRPr="0080683B">
        <w:rPr>
          <w:lang w:val="en-US"/>
        </w:rPr>
        <w:t xml:space="preserve">at the </w:t>
      </w:r>
      <w:r w:rsidR="0043389D" w:rsidRPr="0080683B">
        <w:rPr>
          <w:lang w:val="en-US"/>
        </w:rPr>
        <w:t>ILO.</w:t>
      </w:r>
    </w:p>
    <w:p w:rsidR="004C71C0" w:rsidRDefault="001A29CB" w:rsidP="00EB77F7">
      <w:pPr>
        <w:pStyle w:val="Default"/>
        <w:spacing w:before="120"/>
        <w:jc w:val="both"/>
      </w:pPr>
      <w:r w:rsidRPr="0080683B">
        <w:t xml:space="preserve">The </w:t>
      </w:r>
      <w:r w:rsidR="007A552E" w:rsidRPr="0080683B">
        <w:t>“</w:t>
      </w:r>
      <w:r w:rsidRPr="0080683B">
        <w:t>Adjustment of provisions and other</w:t>
      </w:r>
      <w:r w:rsidR="007039B0" w:rsidRPr="0080683B">
        <w:t xml:space="preserve"> expenses</w:t>
      </w:r>
      <w:r w:rsidR="007A552E" w:rsidRPr="0080683B">
        <w:t>”</w:t>
      </w:r>
      <w:r w:rsidRPr="0080683B">
        <w:t xml:space="preserve"> </w:t>
      </w:r>
      <w:r w:rsidR="00513D10" w:rsidRPr="0080683B">
        <w:t>result</w:t>
      </w:r>
      <w:r w:rsidR="00167E73" w:rsidRPr="0080683B">
        <w:t>ed</w:t>
      </w:r>
      <w:r w:rsidR="00513D10" w:rsidRPr="0080683B">
        <w:t xml:space="preserve"> mainly from the dissolution of the provision for doubtful debts due to the payment of overdue r</w:t>
      </w:r>
      <w:r w:rsidR="00167E73" w:rsidRPr="0080683B">
        <w:t xml:space="preserve">eceivables but also from the use of the provision as per Decision </w:t>
      </w:r>
      <w:r w:rsidR="00B742B2" w:rsidRPr="0080683B">
        <w:t>602</w:t>
      </w:r>
      <w:r w:rsidR="00167E73" w:rsidRPr="0080683B">
        <w:t xml:space="preserve"> to withdraw unrecoverable. </w:t>
      </w:r>
      <w:r w:rsidR="00F25FAA" w:rsidRPr="0080683B">
        <w:t xml:space="preserve"> </w:t>
      </w:r>
      <w:r w:rsidR="0043389D" w:rsidRPr="0080683B">
        <w:t xml:space="preserve">Due </w:t>
      </w:r>
      <w:r w:rsidR="000B67FC" w:rsidRPr="0080683B">
        <w:t xml:space="preserve">to </w:t>
      </w:r>
      <w:r w:rsidR="0043389D" w:rsidRPr="0080683B">
        <w:t>a</w:t>
      </w:r>
      <w:r w:rsidR="00EB77F7" w:rsidRPr="0080683B">
        <w:t xml:space="preserve">n effective </w:t>
      </w:r>
      <w:r w:rsidR="0043389D" w:rsidRPr="0080683B">
        <w:t>debt collection</w:t>
      </w:r>
      <w:r w:rsidR="00EB77F7" w:rsidRPr="0080683B">
        <w:t>,</w:t>
      </w:r>
      <w:r w:rsidR="0043389D" w:rsidRPr="0080683B">
        <w:t xml:space="preserve"> the provision </w:t>
      </w:r>
      <w:r w:rsidR="00EB77F7" w:rsidRPr="0080683B">
        <w:t>d</w:t>
      </w:r>
      <w:r w:rsidR="0043389D" w:rsidRPr="0080683B">
        <w:t xml:space="preserve">ecreased </w:t>
      </w:r>
      <w:r w:rsidR="00EB77F7" w:rsidRPr="0080683B">
        <w:t xml:space="preserve">significantly </w:t>
      </w:r>
      <w:r w:rsidR="0043389D" w:rsidRPr="0080683B">
        <w:t>in 2018.</w:t>
      </w:r>
    </w:p>
    <w:p w:rsidR="00620B99" w:rsidRDefault="008935EA" w:rsidP="00620B99">
      <w:pPr>
        <w:pStyle w:val="Heading5"/>
        <w:spacing w:before="240" w:after="240"/>
        <w:jc w:val="both"/>
        <w:rPr>
          <w:lang w:val="en-US"/>
        </w:rPr>
      </w:pPr>
      <w:r>
        <w:rPr>
          <w:lang w:val="en-US"/>
        </w:rPr>
        <w:t>F</w:t>
      </w:r>
      <w:r w:rsidR="0022373A" w:rsidRPr="00876B46">
        <w:rPr>
          <w:lang w:val="en-US"/>
        </w:rPr>
        <w:t>inance expenses</w:t>
      </w:r>
      <w:bookmarkEnd w:id="130"/>
      <w:bookmarkEnd w:id="131"/>
    </w:p>
    <w:tbl>
      <w:tblPr>
        <w:tblW w:w="9492" w:type="dxa"/>
        <w:tblInd w:w="-5" w:type="dxa"/>
        <w:tblLayout w:type="fixed"/>
        <w:tblLook w:val="04A0" w:firstRow="1" w:lastRow="0" w:firstColumn="1" w:lastColumn="0" w:noHBand="0" w:noVBand="1"/>
      </w:tblPr>
      <w:tblGrid>
        <w:gridCol w:w="5806"/>
        <w:gridCol w:w="1843"/>
        <w:gridCol w:w="1843"/>
      </w:tblGrid>
      <w:tr w:rsidR="00620B99" w:rsidRPr="00BF4945" w:rsidTr="004564CB">
        <w:trPr>
          <w:trHeight w:val="255"/>
        </w:trPr>
        <w:tc>
          <w:tcPr>
            <w:tcW w:w="5806" w:type="dxa"/>
            <w:tcBorders>
              <w:top w:val="single" w:sz="4" w:space="0" w:color="auto"/>
              <w:left w:val="single" w:sz="4" w:space="0" w:color="auto"/>
              <w:bottom w:val="single" w:sz="4" w:space="0" w:color="auto"/>
              <w:right w:val="nil"/>
            </w:tcBorders>
            <w:shd w:val="clear" w:color="auto" w:fill="auto"/>
            <w:noWrap/>
            <w:vAlign w:val="center"/>
            <w:hideMark/>
          </w:tcPr>
          <w:p w:rsidR="00620B99" w:rsidRPr="00BF4945" w:rsidRDefault="00620B99" w:rsidP="00620B99">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en-US" w:eastAsia="zh-CN"/>
              </w:rPr>
            </w:pPr>
            <w:r w:rsidRPr="00BF4945">
              <w:rPr>
                <w:rFonts w:cs="Calibri"/>
                <w:b/>
                <w:bCs/>
                <w:color w:val="000000"/>
                <w:sz w:val="20"/>
                <w:lang w:val="en-US" w:eastAsia="zh-CN"/>
              </w:rPr>
              <w:t>In thousands of CHF</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B99" w:rsidRPr="00BF4945" w:rsidRDefault="00620B99"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val="en-US" w:eastAsia="zh-CN"/>
              </w:rPr>
            </w:pPr>
            <w:r w:rsidRPr="00BF4945">
              <w:rPr>
                <w:rFonts w:cs="Calibri"/>
                <w:b/>
                <w:bCs/>
                <w:color w:val="000000"/>
                <w:sz w:val="20"/>
                <w:lang w:val="en-US" w:eastAsia="zh-CN"/>
              </w:rPr>
              <w:t>201</w:t>
            </w:r>
            <w:r w:rsidR="00714BEB" w:rsidRPr="00BF4945">
              <w:rPr>
                <w:rFonts w:cs="Calibri"/>
                <w:b/>
                <w:bCs/>
                <w:color w:val="000000"/>
                <w:sz w:val="20"/>
                <w:lang w:val="en-US" w:eastAsia="zh-CN"/>
              </w:rPr>
              <w:t>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20B99" w:rsidRPr="00BF4945" w:rsidRDefault="00620B99"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val="en-US" w:eastAsia="zh-CN"/>
              </w:rPr>
            </w:pPr>
            <w:r w:rsidRPr="00BF4945">
              <w:rPr>
                <w:rFonts w:cs="Calibri"/>
                <w:b/>
                <w:bCs/>
                <w:color w:val="000000"/>
                <w:sz w:val="20"/>
                <w:lang w:val="en-US" w:eastAsia="zh-CN"/>
              </w:rPr>
              <w:t>201</w:t>
            </w:r>
            <w:r w:rsidR="00714BEB" w:rsidRPr="00BF4945">
              <w:rPr>
                <w:rFonts w:cs="Calibri"/>
                <w:b/>
                <w:bCs/>
                <w:color w:val="000000"/>
                <w:sz w:val="20"/>
                <w:lang w:val="en-US" w:eastAsia="zh-CN"/>
              </w:rPr>
              <w:t>7</w:t>
            </w:r>
          </w:p>
        </w:tc>
      </w:tr>
      <w:tr w:rsidR="004564CB" w:rsidRPr="00BF4945" w:rsidTr="004564CB">
        <w:trPr>
          <w:trHeight w:val="285"/>
        </w:trPr>
        <w:tc>
          <w:tcPr>
            <w:tcW w:w="5806" w:type="dxa"/>
            <w:tcBorders>
              <w:top w:val="nil"/>
              <w:left w:val="single" w:sz="4" w:space="0" w:color="auto"/>
              <w:bottom w:val="nil"/>
              <w:right w:val="nil"/>
            </w:tcBorders>
            <w:shd w:val="clear" w:color="auto" w:fill="auto"/>
            <w:noWrap/>
            <w:vAlign w:val="bottom"/>
            <w:hideMark/>
          </w:tcPr>
          <w:p w:rsidR="004564CB" w:rsidRPr="00BF4945" w:rsidRDefault="004564CB" w:rsidP="00620B9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 </w:t>
            </w:r>
          </w:p>
        </w:tc>
        <w:tc>
          <w:tcPr>
            <w:tcW w:w="1843" w:type="dxa"/>
            <w:tcBorders>
              <w:top w:val="nil"/>
              <w:left w:val="single" w:sz="4" w:space="0" w:color="auto"/>
              <w:bottom w:val="nil"/>
              <w:right w:val="single" w:sz="4" w:space="0" w:color="auto"/>
            </w:tcBorders>
            <w:shd w:val="clear" w:color="auto" w:fill="auto"/>
            <w:noWrap/>
            <w:vAlign w:val="bottom"/>
            <w:hideMark/>
          </w:tcPr>
          <w:p w:rsidR="004564CB" w:rsidRPr="00BF4945" w:rsidRDefault="004564CB" w:rsidP="00620B99">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 </w:t>
            </w:r>
          </w:p>
        </w:tc>
        <w:tc>
          <w:tcPr>
            <w:tcW w:w="1843" w:type="dxa"/>
            <w:tcBorders>
              <w:top w:val="nil"/>
              <w:left w:val="nil"/>
              <w:bottom w:val="nil"/>
              <w:right w:val="single" w:sz="4" w:space="0" w:color="auto"/>
            </w:tcBorders>
            <w:shd w:val="clear" w:color="auto" w:fill="auto"/>
            <w:noWrap/>
            <w:vAlign w:val="bottom"/>
            <w:hideMark/>
          </w:tcPr>
          <w:p w:rsidR="004564CB" w:rsidRPr="00BF4945" w:rsidRDefault="004564CB" w:rsidP="00620B99">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20"/>
                <w:lang w:val="en-US" w:eastAsia="zh-CN"/>
              </w:rPr>
            </w:pPr>
            <w:r w:rsidRPr="00BF4945">
              <w:rPr>
                <w:rFonts w:cs="Calibri"/>
                <w:color w:val="000000"/>
                <w:sz w:val="20"/>
                <w:lang w:val="en-US" w:eastAsia="zh-CN"/>
              </w:rPr>
              <w:t> </w:t>
            </w:r>
          </w:p>
        </w:tc>
      </w:tr>
      <w:tr w:rsidR="00714BEB" w:rsidRPr="00BF4945" w:rsidTr="004564CB">
        <w:trPr>
          <w:trHeight w:val="255"/>
        </w:trPr>
        <w:tc>
          <w:tcPr>
            <w:tcW w:w="5806" w:type="dxa"/>
            <w:tcBorders>
              <w:top w:val="nil"/>
              <w:left w:val="single" w:sz="4" w:space="0" w:color="auto"/>
              <w:bottom w:val="nil"/>
              <w:right w:val="nil"/>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Bank charges</w:t>
            </w:r>
          </w:p>
        </w:tc>
        <w:tc>
          <w:tcPr>
            <w:tcW w:w="1843" w:type="dxa"/>
            <w:tcBorders>
              <w:top w:val="nil"/>
              <w:left w:val="single" w:sz="4" w:space="0" w:color="auto"/>
              <w:bottom w:val="nil"/>
              <w:right w:val="single" w:sz="4" w:space="0" w:color="auto"/>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207</w:t>
            </w:r>
          </w:p>
        </w:tc>
        <w:tc>
          <w:tcPr>
            <w:tcW w:w="1843" w:type="dxa"/>
            <w:tcBorders>
              <w:top w:val="nil"/>
              <w:left w:val="nil"/>
              <w:bottom w:val="nil"/>
              <w:right w:val="single" w:sz="4" w:space="0" w:color="auto"/>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228</w:t>
            </w:r>
          </w:p>
        </w:tc>
      </w:tr>
      <w:tr w:rsidR="00714BEB" w:rsidRPr="00BF4945" w:rsidTr="004564CB">
        <w:trPr>
          <w:trHeight w:val="255"/>
        </w:trPr>
        <w:tc>
          <w:tcPr>
            <w:tcW w:w="5806" w:type="dxa"/>
            <w:tcBorders>
              <w:top w:val="nil"/>
              <w:left w:val="single" w:sz="4" w:space="0" w:color="auto"/>
              <w:bottom w:val="nil"/>
              <w:right w:val="nil"/>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Realized exchange loss</w:t>
            </w:r>
          </w:p>
        </w:tc>
        <w:tc>
          <w:tcPr>
            <w:tcW w:w="1843" w:type="dxa"/>
            <w:tcBorders>
              <w:top w:val="nil"/>
              <w:left w:val="single" w:sz="4" w:space="0" w:color="auto"/>
              <w:bottom w:val="nil"/>
              <w:right w:val="single" w:sz="4" w:space="0" w:color="auto"/>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84</w:t>
            </w:r>
          </w:p>
        </w:tc>
        <w:tc>
          <w:tcPr>
            <w:tcW w:w="1843" w:type="dxa"/>
            <w:tcBorders>
              <w:top w:val="nil"/>
              <w:left w:val="nil"/>
              <w:bottom w:val="nil"/>
              <w:right w:val="single" w:sz="4" w:space="0" w:color="auto"/>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268</w:t>
            </w:r>
          </w:p>
        </w:tc>
      </w:tr>
      <w:tr w:rsidR="00714BEB" w:rsidRPr="00BF4945" w:rsidTr="004564CB">
        <w:trPr>
          <w:trHeight w:val="255"/>
        </w:trPr>
        <w:tc>
          <w:tcPr>
            <w:tcW w:w="5806" w:type="dxa"/>
            <w:tcBorders>
              <w:top w:val="nil"/>
              <w:left w:val="single" w:sz="4" w:space="0" w:color="auto"/>
              <w:bottom w:val="nil"/>
              <w:right w:val="nil"/>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Unrealized exchange loss</w:t>
            </w:r>
          </w:p>
        </w:tc>
        <w:tc>
          <w:tcPr>
            <w:tcW w:w="1843" w:type="dxa"/>
            <w:tcBorders>
              <w:top w:val="nil"/>
              <w:left w:val="single" w:sz="4" w:space="0" w:color="auto"/>
              <w:bottom w:val="nil"/>
              <w:right w:val="single" w:sz="4" w:space="0" w:color="auto"/>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329</w:t>
            </w:r>
          </w:p>
        </w:tc>
        <w:tc>
          <w:tcPr>
            <w:tcW w:w="1843" w:type="dxa"/>
            <w:tcBorders>
              <w:top w:val="nil"/>
              <w:left w:val="nil"/>
              <w:bottom w:val="nil"/>
              <w:right w:val="single" w:sz="4" w:space="0" w:color="auto"/>
            </w:tcBorders>
            <w:shd w:val="clear" w:color="auto" w:fill="auto"/>
            <w:noWrap/>
            <w:vAlign w:val="bottom"/>
            <w:hideMark/>
          </w:tcPr>
          <w:p w:rsidR="00714BEB" w:rsidRPr="00BF4945"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178</w:t>
            </w:r>
          </w:p>
        </w:tc>
      </w:tr>
      <w:tr w:rsidR="00CE2A55" w:rsidRPr="00BF4945" w:rsidTr="004564CB">
        <w:trPr>
          <w:trHeight w:val="255"/>
        </w:trPr>
        <w:tc>
          <w:tcPr>
            <w:tcW w:w="5806" w:type="dxa"/>
            <w:tcBorders>
              <w:top w:val="nil"/>
              <w:left w:val="single" w:sz="4" w:space="0" w:color="auto"/>
              <w:bottom w:val="nil"/>
              <w:right w:val="nil"/>
            </w:tcBorders>
            <w:shd w:val="clear" w:color="auto" w:fill="auto"/>
            <w:noWrap/>
            <w:vAlign w:val="bottom"/>
            <w:hideMark/>
          </w:tcPr>
          <w:p w:rsidR="00CE2A55" w:rsidRPr="00BF4945" w:rsidRDefault="00CE2A55" w:rsidP="00CE2A5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 </w:t>
            </w:r>
          </w:p>
        </w:tc>
        <w:tc>
          <w:tcPr>
            <w:tcW w:w="1843" w:type="dxa"/>
            <w:tcBorders>
              <w:top w:val="nil"/>
              <w:left w:val="single" w:sz="4" w:space="0" w:color="auto"/>
              <w:bottom w:val="nil"/>
              <w:right w:val="single" w:sz="4" w:space="0" w:color="auto"/>
            </w:tcBorders>
            <w:shd w:val="clear" w:color="auto" w:fill="auto"/>
            <w:noWrap/>
            <w:vAlign w:val="bottom"/>
            <w:hideMark/>
          </w:tcPr>
          <w:p w:rsidR="00CE2A55" w:rsidRPr="00BF4945" w:rsidRDefault="00CE2A55"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0"/>
                <w:lang w:val="en-US" w:eastAsia="zh-CN"/>
              </w:rPr>
            </w:pPr>
            <w:r w:rsidRPr="00BF4945">
              <w:rPr>
                <w:rFonts w:cs="Calibri"/>
                <w:color w:val="000000"/>
                <w:sz w:val="20"/>
                <w:lang w:val="en-US" w:eastAsia="zh-CN"/>
              </w:rPr>
              <w:t> </w:t>
            </w:r>
          </w:p>
        </w:tc>
        <w:tc>
          <w:tcPr>
            <w:tcW w:w="1843" w:type="dxa"/>
            <w:tcBorders>
              <w:top w:val="nil"/>
              <w:left w:val="nil"/>
              <w:bottom w:val="single" w:sz="4" w:space="0" w:color="auto"/>
              <w:right w:val="single" w:sz="4" w:space="0" w:color="auto"/>
            </w:tcBorders>
            <w:shd w:val="clear" w:color="auto" w:fill="auto"/>
            <w:noWrap/>
            <w:vAlign w:val="bottom"/>
            <w:hideMark/>
          </w:tcPr>
          <w:p w:rsidR="00CE2A55" w:rsidRPr="00BF4945" w:rsidRDefault="00CE2A55" w:rsidP="00CE2A5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0"/>
                <w:lang w:val="en-US" w:eastAsia="zh-CN"/>
              </w:rPr>
            </w:pPr>
            <w:r w:rsidRPr="00BF4945">
              <w:rPr>
                <w:rFonts w:cs="Calibri"/>
                <w:color w:val="000000"/>
                <w:sz w:val="20"/>
                <w:lang w:val="en-US" w:eastAsia="zh-CN"/>
              </w:rPr>
              <w:t> </w:t>
            </w:r>
          </w:p>
        </w:tc>
      </w:tr>
      <w:tr w:rsidR="00CE2A55" w:rsidRPr="00BF4945" w:rsidTr="004564CB">
        <w:trPr>
          <w:trHeight w:val="255"/>
        </w:trPr>
        <w:tc>
          <w:tcPr>
            <w:tcW w:w="5806" w:type="dxa"/>
            <w:tcBorders>
              <w:top w:val="single" w:sz="4" w:space="0" w:color="auto"/>
              <w:left w:val="single" w:sz="4" w:space="0" w:color="auto"/>
              <w:bottom w:val="single" w:sz="4" w:space="0" w:color="auto"/>
              <w:right w:val="nil"/>
            </w:tcBorders>
            <w:shd w:val="clear" w:color="auto" w:fill="auto"/>
            <w:noWrap/>
            <w:vAlign w:val="center"/>
            <w:hideMark/>
          </w:tcPr>
          <w:p w:rsidR="00CE2A55" w:rsidRPr="00BF4945" w:rsidRDefault="00CE2A55" w:rsidP="00CE2A55">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0"/>
                <w:lang w:val="en-US" w:eastAsia="zh-CN"/>
              </w:rPr>
            </w:pPr>
            <w:r w:rsidRPr="00BF4945">
              <w:rPr>
                <w:rFonts w:cs="Calibri"/>
                <w:b/>
                <w:bCs/>
                <w:color w:val="000000"/>
                <w:sz w:val="20"/>
                <w:lang w:val="en-US" w:eastAsia="zh-CN"/>
              </w:rPr>
              <w:t>Finance expenses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A55" w:rsidRPr="00BF4945" w:rsidRDefault="00CE2A55"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val="en-US" w:eastAsia="zh-CN"/>
              </w:rPr>
            </w:pPr>
            <w:r w:rsidRPr="00BF4945">
              <w:rPr>
                <w:rFonts w:cs="Calibri"/>
                <w:b/>
                <w:bCs/>
                <w:color w:val="000000"/>
                <w:sz w:val="20"/>
                <w:lang w:val="en-US" w:eastAsia="zh-CN"/>
              </w:rPr>
              <w:t xml:space="preserve">                6</w:t>
            </w:r>
            <w:r w:rsidR="00714BEB" w:rsidRPr="00BF4945">
              <w:rPr>
                <w:rFonts w:cs="Calibri"/>
                <w:b/>
                <w:bCs/>
                <w:color w:val="000000"/>
                <w:sz w:val="20"/>
                <w:lang w:val="en-US" w:eastAsia="zh-CN"/>
              </w:rPr>
              <w:t>21</w:t>
            </w:r>
            <w:r w:rsidRPr="00BF4945">
              <w:rPr>
                <w:rFonts w:cs="Calibri"/>
                <w:b/>
                <w:bCs/>
                <w:color w:val="000000"/>
                <w:sz w:val="20"/>
                <w:lang w:val="en-US" w:eastAsia="zh-CN"/>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CE2A55" w:rsidRPr="00BF4945" w:rsidRDefault="00CE2A55" w:rsidP="00CE2A55">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0"/>
                <w:lang w:val="en-US" w:eastAsia="zh-CN"/>
              </w:rPr>
            </w:pPr>
            <w:r w:rsidRPr="00BF4945">
              <w:rPr>
                <w:rFonts w:cs="Calibri"/>
                <w:b/>
                <w:bCs/>
                <w:color w:val="000000"/>
                <w:sz w:val="20"/>
                <w:lang w:val="en-US" w:eastAsia="zh-CN"/>
              </w:rPr>
              <w:t xml:space="preserve">                675 </w:t>
            </w:r>
          </w:p>
        </w:tc>
      </w:tr>
    </w:tbl>
    <w:p w:rsidR="00334AF3" w:rsidRDefault="001A29CB" w:rsidP="00E61A40">
      <w:pPr>
        <w:spacing w:before="240"/>
        <w:jc w:val="both"/>
        <w:rPr>
          <w:rFonts w:cs="Arial"/>
          <w:lang w:val="en-US"/>
        </w:rPr>
      </w:pPr>
      <w:r w:rsidRPr="00BF4945">
        <w:rPr>
          <w:rFonts w:cs="Calibri"/>
          <w:lang w:val="en-US"/>
        </w:rPr>
        <w:t>The realized and unrealized exchange losses stem essentially from the revaluation of open items</w:t>
      </w:r>
      <w:r w:rsidRPr="00876B46">
        <w:rPr>
          <w:lang w:val="en-US"/>
        </w:rPr>
        <w:t xml:space="preserve"> in other currencies at the time of the annual closure.</w:t>
      </w:r>
      <w:r w:rsidR="00833B63" w:rsidRPr="00876B46">
        <w:rPr>
          <w:lang w:val="en-US"/>
        </w:rPr>
        <w:t xml:space="preserve"> </w:t>
      </w:r>
      <w:r w:rsidR="00716DA7" w:rsidRPr="00876B46">
        <w:rPr>
          <w:lang w:val="en-US"/>
        </w:rPr>
        <w:t xml:space="preserve">This revaluation is reverted as </w:t>
      </w:r>
      <w:r w:rsidR="006D747B" w:rsidRPr="00876B46">
        <w:rPr>
          <w:lang w:val="en-US"/>
        </w:rPr>
        <w:t>at</w:t>
      </w:r>
      <w:r w:rsidR="00716DA7" w:rsidRPr="00876B46">
        <w:rPr>
          <w:lang w:val="en-US"/>
        </w:rPr>
        <w:t xml:space="preserve"> 1</w:t>
      </w:r>
      <w:r w:rsidR="006D747B" w:rsidRPr="00876B46">
        <w:rPr>
          <w:lang w:val="en-US"/>
        </w:rPr>
        <w:t> </w:t>
      </w:r>
      <w:r w:rsidR="00716DA7" w:rsidRPr="00876B46">
        <w:rPr>
          <w:lang w:val="en-US"/>
        </w:rPr>
        <w:t>January of following year.</w:t>
      </w:r>
    </w:p>
    <w:p w:rsidR="00334AF3" w:rsidRDefault="00334AF3" w:rsidP="00556A5C">
      <w:pPr>
        <w:tabs>
          <w:tab w:val="clear" w:pos="1134"/>
        </w:tabs>
        <w:spacing w:before="20" w:after="20"/>
        <w:ind w:right="141"/>
        <w:jc w:val="right"/>
        <w:rPr>
          <w:rFonts w:cs="Arial"/>
          <w:lang w:val="en-US"/>
        </w:rPr>
      </w:pPr>
    </w:p>
    <w:p w:rsidR="00334AF3" w:rsidRPr="001C2A98" w:rsidRDefault="00334AF3" w:rsidP="00556A5C">
      <w:pPr>
        <w:tabs>
          <w:tab w:val="clear" w:pos="1134"/>
        </w:tabs>
        <w:spacing w:before="20" w:after="20"/>
        <w:ind w:right="141"/>
        <w:jc w:val="right"/>
        <w:rPr>
          <w:rFonts w:cs="Arial"/>
          <w:lang w:val="en-US"/>
        </w:rPr>
        <w:sectPr w:rsidR="00334AF3" w:rsidRPr="001C2A98" w:rsidSect="00675BE3">
          <w:headerReference w:type="default" r:id="rId45"/>
          <w:pgSz w:w="11907" w:h="16834"/>
          <w:pgMar w:top="1191" w:right="992" w:bottom="567" w:left="1134" w:header="720" w:footer="720" w:gutter="0"/>
          <w:paperSrc w:first="15" w:other="15"/>
          <w:cols w:space="720"/>
          <w:titlePg/>
        </w:sectPr>
      </w:pPr>
    </w:p>
    <w:p w:rsidR="00294F70" w:rsidRDefault="00A165D6" w:rsidP="007B787B">
      <w:pPr>
        <w:pStyle w:val="Heading5"/>
        <w:spacing w:before="120"/>
        <w:ind w:hanging="1701"/>
        <w:rPr>
          <w:lang w:val="en-US"/>
        </w:rPr>
      </w:pPr>
      <w:bookmarkStart w:id="132" w:name="_Toc305764117"/>
      <w:bookmarkStart w:id="133" w:name="_Toc329011659"/>
      <w:r>
        <w:rPr>
          <w:lang w:val="en-US"/>
        </w:rPr>
        <w:t xml:space="preserve">Note </w:t>
      </w:r>
      <w:r w:rsidR="00294F70" w:rsidRPr="001C2A98">
        <w:rPr>
          <w:lang w:val="en-US"/>
        </w:rPr>
        <w:t>2</w:t>
      </w:r>
      <w:r w:rsidR="006D6709">
        <w:rPr>
          <w:lang w:val="en-US"/>
        </w:rPr>
        <w:t>4</w:t>
      </w:r>
      <w:r w:rsidR="00294F70" w:rsidRPr="001C2A98">
        <w:rPr>
          <w:lang w:val="en-US"/>
        </w:rPr>
        <w:tab/>
        <w:t xml:space="preserve">Segment reporting – Statement of financial performance </w:t>
      </w:r>
      <w:r w:rsidR="00111BDD">
        <w:rPr>
          <w:lang w:val="en-US"/>
        </w:rPr>
        <w:t>201</w:t>
      </w:r>
      <w:r w:rsidR="007B787B">
        <w:rPr>
          <w:lang w:val="en-US"/>
        </w:rPr>
        <w:t>8</w:t>
      </w:r>
    </w:p>
    <w:tbl>
      <w:tblPr>
        <w:tblW w:w="5141" w:type="pct"/>
        <w:tblInd w:w="-572" w:type="dxa"/>
        <w:tblLayout w:type="fixed"/>
        <w:tblLook w:val="04A0" w:firstRow="1" w:lastRow="0" w:firstColumn="1" w:lastColumn="0" w:noHBand="0" w:noVBand="1"/>
      </w:tblPr>
      <w:tblGrid>
        <w:gridCol w:w="1843"/>
        <w:gridCol w:w="849"/>
        <w:gridCol w:w="902"/>
        <w:gridCol w:w="943"/>
        <w:gridCol w:w="848"/>
        <w:gridCol w:w="1134"/>
        <w:gridCol w:w="1134"/>
        <w:gridCol w:w="851"/>
        <w:gridCol w:w="711"/>
        <w:gridCol w:w="991"/>
        <w:gridCol w:w="924"/>
        <w:gridCol w:w="635"/>
        <w:gridCol w:w="711"/>
        <w:gridCol w:w="737"/>
        <w:gridCol w:w="822"/>
        <w:gridCol w:w="1041"/>
        <w:gridCol w:w="800"/>
      </w:tblGrid>
      <w:tr w:rsidR="008E0CAC" w:rsidRPr="00714BEB" w:rsidTr="008E0CAC">
        <w:trPr>
          <w:trHeight w:val="675"/>
        </w:trPr>
        <w:tc>
          <w:tcPr>
            <w:tcW w:w="580" w:type="pct"/>
            <w:tcBorders>
              <w:top w:val="single" w:sz="4" w:space="0" w:color="auto"/>
              <w:left w:val="single" w:sz="4" w:space="0" w:color="auto"/>
              <w:bottom w:val="single" w:sz="4" w:space="0" w:color="auto"/>
              <w:right w:val="nil"/>
            </w:tcBorders>
            <w:shd w:val="clear" w:color="auto" w:fill="auto"/>
            <w:noWrap/>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6"/>
                <w:szCs w:val="16"/>
                <w:lang w:val="en-US" w:eastAsia="zh-CN"/>
              </w:rPr>
            </w:pPr>
            <w:r w:rsidRPr="00714BEB">
              <w:rPr>
                <w:rFonts w:cs="Arial"/>
                <w:b/>
                <w:bCs/>
                <w:color w:val="000000"/>
                <w:sz w:val="16"/>
                <w:szCs w:val="16"/>
                <w:lang w:val="en-US" w:eastAsia="zh-CN"/>
              </w:rPr>
              <w:t xml:space="preserve">In thousands of CHF </w:t>
            </w:r>
          </w:p>
        </w:tc>
        <w:tc>
          <w:tcPr>
            <w:tcW w:w="267" w:type="pct"/>
            <w:tcBorders>
              <w:top w:val="single" w:sz="4" w:space="0" w:color="auto"/>
              <w:left w:val="single" w:sz="4" w:space="0" w:color="auto"/>
              <w:bottom w:val="single" w:sz="4" w:space="0" w:color="auto"/>
              <w:right w:val="nil"/>
            </w:tcBorders>
            <w:shd w:val="clear" w:color="auto" w:fill="auto"/>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714BEB">
              <w:rPr>
                <w:rFonts w:cs="Arial"/>
                <w:b/>
                <w:bCs/>
                <w:color w:val="000000"/>
                <w:sz w:val="16"/>
                <w:szCs w:val="16"/>
                <w:lang w:val="en-US" w:eastAsia="zh-CN"/>
              </w:rPr>
              <w:t xml:space="preserve"> Gen. Secret. </w:t>
            </w:r>
          </w:p>
        </w:tc>
        <w:tc>
          <w:tcPr>
            <w:tcW w:w="284" w:type="pct"/>
            <w:tcBorders>
              <w:top w:val="single" w:sz="4" w:space="0" w:color="auto"/>
              <w:left w:val="single" w:sz="4" w:space="0" w:color="auto"/>
              <w:bottom w:val="single" w:sz="4" w:space="0" w:color="auto"/>
              <w:right w:val="nil"/>
            </w:tcBorders>
            <w:shd w:val="clear" w:color="auto" w:fill="auto"/>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714BEB">
              <w:rPr>
                <w:rFonts w:cs="Arial"/>
                <w:b/>
                <w:bCs/>
                <w:color w:val="000000"/>
                <w:sz w:val="16"/>
                <w:szCs w:val="16"/>
                <w:lang w:val="en-US" w:eastAsia="zh-CN"/>
              </w:rPr>
              <w:t xml:space="preserve"> </w:t>
            </w:r>
            <w:proofErr w:type="spellStart"/>
            <w:r w:rsidRPr="00714BEB">
              <w:rPr>
                <w:rFonts w:cs="Arial"/>
                <w:b/>
                <w:bCs/>
                <w:color w:val="000000"/>
                <w:sz w:val="16"/>
                <w:szCs w:val="16"/>
                <w:lang w:val="en-US" w:eastAsia="zh-CN"/>
              </w:rPr>
              <w:t>Radioc</w:t>
            </w:r>
            <w:proofErr w:type="spellEnd"/>
            <w:r w:rsidRPr="00714BEB">
              <w:rPr>
                <w:rFonts w:cs="Arial"/>
                <w:b/>
                <w:bCs/>
                <w:color w:val="000000"/>
                <w:sz w:val="16"/>
                <w:szCs w:val="16"/>
                <w:lang w:val="en-US" w:eastAsia="zh-CN"/>
              </w:rPr>
              <w:t xml:space="preserve">. Sector </w:t>
            </w:r>
          </w:p>
        </w:tc>
        <w:tc>
          <w:tcPr>
            <w:tcW w:w="297" w:type="pct"/>
            <w:tcBorders>
              <w:top w:val="single" w:sz="4" w:space="0" w:color="auto"/>
              <w:left w:val="single" w:sz="4" w:space="0" w:color="auto"/>
              <w:bottom w:val="single" w:sz="4" w:space="0" w:color="auto"/>
              <w:right w:val="nil"/>
            </w:tcBorders>
            <w:shd w:val="clear" w:color="auto" w:fill="auto"/>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714BEB">
              <w:rPr>
                <w:rFonts w:cs="Arial"/>
                <w:b/>
                <w:bCs/>
                <w:color w:val="000000"/>
                <w:sz w:val="16"/>
                <w:szCs w:val="16"/>
                <w:lang w:val="en-US" w:eastAsia="zh-CN"/>
              </w:rPr>
              <w:t xml:space="preserve"> </w:t>
            </w:r>
            <w:proofErr w:type="spellStart"/>
            <w:r w:rsidRPr="00714BEB">
              <w:rPr>
                <w:rFonts w:cs="Arial"/>
                <w:b/>
                <w:bCs/>
                <w:color w:val="000000"/>
                <w:sz w:val="16"/>
                <w:szCs w:val="16"/>
                <w:lang w:val="en-US" w:eastAsia="zh-CN"/>
              </w:rPr>
              <w:t>Telec</w:t>
            </w:r>
            <w:proofErr w:type="spellEnd"/>
            <w:r w:rsidRPr="00714BEB">
              <w:rPr>
                <w:rFonts w:cs="Arial"/>
                <w:b/>
                <w:bCs/>
                <w:color w:val="000000"/>
                <w:sz w:val="16"/>
                <w:szCs w:val="16"/>
                <w:lang w:val="en-US" w:eastAsia="zh-CN"/>
              </w:rPr>
              <w:t xml:space="preserve">. Stand. Sector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714BEB">
              <w:rPr>
                <w:rFonts w:cs="Arial"/>
                <w:b/>
                <w:bCs/>
                <w:color w:val="000000"/>
                <w:sz w:val="16"/>
                <w:szCs w:val="16"/>
                <w:lang w:val="en-US" w:eastAsia="zh-CN"/>
              </w:rPr>
              <w:t xml:space="preserve"> </w:t>
            </w:r>
            <w:proofErr w:type="spellStart"/>
            <w:r w:rsidRPr="00714BEB">
              <w:rPr>
                <w:rFonts w:cs="Arial"/>
                <w:b/>
                <w:bCs/>
                <w:color w:val="000000"/>
                <w:sz w:val="16"/>
                <w:szCs w:val="16"/>
                <w:lang w:val="en-US" w:eastAsia="zh-CN"/>
              </w:rPr>
              <w:t>Telec</w:t>
            </w:r>
            <w:proofErr w:type="spellEnd"/>
            <w:r w:rsidRPr="00714BEB">
              <w:rPr>
                <w:rFonts w:cs="Arial"/>
                <w:b/>
                <w:bCs/>
                <w:color w:val="000000"/>
                <w:sz w:val="16"/>
                <w:szCs w:val="16"/>
                <w:lang w:val="en-US" w:eastAsia="zh-CN"/>
              </w:rPr>
              <w:t xml:space="preserve">. </w:t>
            </w:r>
            <w:proofErr w:type="spellStart"/>
            <w:r w:rsidRPr="00714BEB">
              <w:rPr>
                <w:rFonts w:cs="Arial"/>
                <w:b/>
                <w:bCs/>
                <w:color w:val="000000"/>
                <w:sz w:val="16"/>
                <w:szCs w:val="16"/>
                <w:lang w:val="en-US" w:eastAsia="zh-CN"/>
              </w:rPr>
              <w:t>Dev't</w:t>
            </w:r>
            <w:proofErr w:type="spellEnd"/>
            <w:r w:rsidRPr="00714BEB">
              <w:rPr>
                <w:rFonts w:cs="Arial"/>
                <w:b/>
                <w:bCs/>
                <w:color w:val="000000"/>
                <w:sz w:val="16"/>
                <w:szCs w:val="16"/>
                <w:lang w:val="en-US" w:eastAsia="zh-CN"/>
              </w:rPr>
              <w:t xml:space="preserve"> Sector </w:t>
            </w:r>
          </w:p>
        </w:tc>
        <w:tc>
          <w:tcPr>
            <w:tcW w:w="357" w:type="pct"/>
            <w:tcBorders>
              <w:top w:val="single" w:sz="4" w:space="0" w:color="auto"/>
              <w:left w:val="nil"/>
              <w:bottom w:val="single" w:sz="4" w:space="0" w:color="auto"/>
              <w:right w:val="nil"/>
            </w:tcBorders>
            <w:shd w:val="clear" w:color="auto" w:fill="auto"/>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714BEB">
              <w:rPr>
                <w:rFonts w:cs="Arial"/>
                <w:b/>
                <w:bCs/>
                <w:color w:val="000000"/>
                <w:sz w:val="16"/>
                <w:szCs w:val="16"/>
                <w:lang w:val="en-US" w:eastAsia="zh-CN"/>
              </w:rPr>
              <w:t xml:space="preserve"> Not attributable to a segment </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714BEB">
              <w:rPr>
                <w:rFonts w:cs="Arial"/>
                <w:b/>
                <w:bCs/>
                <w:color w:val="000000"/>
                <w:sz w:val="16"/>
                <w:szCs w:val="16"/>
                <w:lang w:val="en-US" w:eastAsia="zh-CN"/>
              </w:rPr>
              <w:t xml:space="preserve"> Total Funds 1000+1010 </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714BEB">
              <w:rPr>
                <w:rFonts w:cs="Arial"/>
                <w:b/>
                <w:bCs/>
                <w:color w:val="000000"/>
                <w:sz w:val="16"/>
                <w:szCs w:val="16"/>
                <w:lang w:val="en-US" w:eastAsia="zh-CN"/>
              </w:rPr>
              <w:t xml:space="preserve"> New Building fund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714BEB">
              <w:rPr>
                <w:rFonts w:cs="Arial"/>
                <w:b/>
                <w:bCs/>
                <w:color w:val="000000"/>
                <w:sz w:val="16"/>
                <w:szCs w:val="16"/>
                <w:lang w:val="en-US" w:eastAsia="zh-CN"/>
              </w:rPr>
              <w:t xml:space="preserve"> New building reserve </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714BEB">
              <w:rPr>
                <w:rFonts w:cs="Arial"/>
                <w:b/>
                <w:bCs/>
                <w:color w:val="000000"/>
                <w:sz w:val="16"/>
                <w:szCs w:val="16"/>
                <w:lang w:val="en-US" w:eastAsia="zh-CN"/>
              </w:rPr>
              <w:t xml:space="preserve"> Insurance</w:t>
            </w:r>
            <w:r w:rsidRPr="00714BEB">
              <w:rPr>
                <w:rFonts w:cs="Arial"/>
                <w:b/>
                <w:bCs/>
                <w:color w:val="000000"/>
                <w:sz w:val="16"/>
                <w:szCs w:val="16"/>
                <w:lang w:val="en-US" w:eastAsia="zh-CN"/>
              </w:rPr>
              <w:br/>
              <w:t>fund</w:t>
            </w:r>
            <w:r w:rsidRPr="00714BEB">
              <w:rPr>
                <w:rFonts w:cs="Arial"/>
                <w:b/>
                <w:bCs/>
                <w:color w:val="000000"/>
                <w:sz w:val="16"/>
                <w:szCs w:val="16"/>
                <w:lang w:val="en-US" w:eastAsia="zh-CN"/>
              </w:rPr>
              <w:br/>
              <w:t xml:space="preserve"> </w:t>
            </w: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714BEB">
              <w:rPr>
                <w:rFonts w:cs="Arial"/>
                <w:b/>
                <w:bCs/>
                <w:color w:val="000000"/>
                <w:sz w:val="16"/>
                <w:szCs w:val="16"/>
                <w:lang w:val="en-US" w:eastAsia="zh-CN"/>
              </w:rPr>
              <w:t xml:space="preserve"> Voluntary</w:t>
            </w:r>
            <w:r w:rsidRPr="00714BEB">
              <w:rPr>
                <w:rFonts w:cs="Arial"/>
                <w:b/>
                <w:bCs/>
                <w:color w:val="000000"/>
                <w:sz w:val="16"/>
                <w:szCs w:val="16"/>
                <w:lang w:val="en-US" w:eastAsia="zh-CN"/>
              </w:rPr>
              <w:br/>
            </w:r>
            <w:proofErr w:type="spellStart"/>
            <w:r w:rsidRPr="00714BEB">
              <w:rPr>
                <w:rFonts w:cs="Arial"/>
                <w:b/>
                <w:bCs/>
                <w:color w:val="000000"/>
                <w:sz w:val="16"/>
                <w:szCs w:val="16"/>
                <w:lang w:val="en-US" w:eastAsia="zh-CN"/>
              </w:rPr>
              <w:t>contribs</w:t>
            </w:r>
            <w:proofErr w:type="spellEnd"/>
            <w:r w:rsidRPr="00714BEB">
              <w:rPr>
                <w:rFonts w:cs="Arial"/>
                <w:b/>
                <w:bCs/>
                <w:color w:val="000000"/>
                <w:sz w:val="16"/>
                <w:szCs w:val="16"/>
                <w:lang w:val="en-US" w:eastAsia="zh-CN"/>
              </w:rPr>
              <w:br/>
              <w:t xml:space="preserve">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714BEB">
              <w:rPr>
                <w:rFonts w:cs="Arial"/>
                <w:b/>
                <w:bCs/>
                <w:color w:val="000000"/>
                <w:sz w:val="16"/>
                <w:szCs w:val="16"/>
                <w:lang w:val="en-US" w:eastAsia="zh-CN"/>
              </w:rPr>
              <w:t xml:space="preserve"> FIT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714BEB">
              <w:rPr>
                <w:rFonts w:cs="Arial"/>
                <w:b/>
                <w:bCs/>
                <w:color w:val="000000"/>
                <w:sz w:val="16"/>
                <w:szCs w:val="16"/>
                <w:lang w:val="en-US" w:eastAsia="zh-CN"/>
              </w:rPr>
              <w:t xml:space="preserve"> ICTDF </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714BEB">
              <w:rPr>
                <w:rFonts w:cs="Arial"/>
                <w:b/>
                <w:bCs/>
                <w:color w:val="000000"/>
                <w:sz w:val="16"/>
                <w:szCs w:val="16"/>
                <w:lang w:val="en-US" w:eastAsia="zh-CN"/>
              </w:rPr>
              <w:t xml:space="preserve"> UNDP </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714BEB">
              <w:rPr>
                <w:rFonts w:cs="Arial"/>
                <w:b/>
                <w:bCs/>
                <w:color w:val="000000"/>
                <w:sz w:val="16"/>
                <w:szCs w:val="16"/>
                <w:lang w:val="en-US" w:eastAsia="zh-CN"/>
              </w:rPr>
              <w:t xml:space="preserve"> Telecom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16"/>
                <w:szCs w:val="16"/>
                <w:lang w:val="en-US" w:eastAsia="zh-CN"/>
              </w:rPr>
            </w:pPr>
            <w:r w:rsidRPr="00714BEB">
              <w:rPr>
                <w:rFonts w:cs="Arial"/>
                <w:b/>
                <w:bCs/>
                <w:sz w:val="16"/>
                <w:szCs w:val="16"/>
                <w:lang w:val="en-US" w:eastAsia="zh-CN"/>
              </w:rPr>
              <w:t xml:space="preserve"> Inter-sectors eliminations </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6"/>
                <w:szCs w:val="16"/>
                <w:lang w:val="en-US" w:eastAsia="zh-CN"/>
              </w:rPr>
            </w:pPr>
            <w:r w:rsidRPr="00714BEB">
              <w:rPr>
                <w:rFonts w:cs="Arial"/>
                <w:b/>
                <w:bCs/>
                <w:color w:val="000000"/>
                <w:sz w:val="16"/>
                <w:szCs w:val="16"/>
                <w:lang w:val="en-US" w:eastAsia="zh-CN"/>
              </w:rPr>
              <w:t xml:space="preserve"> Total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67" w:type="pct"/>
            <w:tcBorders>
              <w:top w:val="nil"/>
              <w:left w:val="single" w:sz="4" w:space="0" w:color="auto"/>
              <w:bottom w:val="nil"/>
              <w:right w:val="single" w:sz="4" w:space="0" w:color="auto"/>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357" w:type="pct"/>
            <w:tcBorders>
              <w:top w:val="nil"/>
              <w:left w:val="nil"/>
              <w:bottom w:val="nil"/>
              <w:right w:val="nil"/>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35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16"/>
                <w:szCs w:val="16"/>
                <w:lang w:val="en-US" w:eastAsia="zh-CN"/>
              </w:rPr>
            </w:pPr>
            <w:r w:rsidRPr="00714BEB">
              <w:rPr>
                <w:rFonts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91"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00"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328"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52"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0"/>
                <w:lang w:val="en-US" w:eastAsia="zh-CN"/>
              </w:rPr>
            </w:pPr>
            <w:r w:rsidRPr="00714BEB">
              <w:rPr>
                <w:rFonts w:cs="Arial"/>
                <w:b/>
                <w:bCs/>
                <w:color w:val="000000"/>
                <w:sz w:val="20"/>
                <w:lang w:val="en-US" w:eastAsia="zh-CN"/>
              </w:rPr>
              <w:t>REVENUE</w:t>
            </w:r>
          </w:p>
        </w:tc>
        <w:tc>
          <w:tcPr>
            <w:tcW w:w="26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357" w:type="pct"/>
            <w:tcBorders>
              <w:top w:val="nil"/>
              <w:left w:val="nil"/>
              <w:bottom w:val="nil"/>
              <w:right w:val="nil"/>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35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91"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00"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328"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52" w:type="pct"/>
            <w:tcBorders>
              <w:top w:val="nil"/>
              <w:left w:val="nil"/>
              <w:bottom w:val="nil"/>
              <w:right w:val="single" w:sz="4" w:space="0" w:color="auto"/>
            </w:tcBorders>
            <w:shd w:val="clear" w:color="auto" w:fill="auto"/>
            <w:noWrap/>
            <w:vAlign w:val="bottom"/>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Assessed contributions</w:t>
            </w:r>
          </w:p>
        </w:tc>
        <w:tc>
          <w:tcPr>
            <w:tcW w:w="26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w:t>
            </w:r>
            <w:r w:rsidR="00D52AA7">
              <w:rPr>
                <w:rFonts w:asciiTheme="minorHAnsi" w:hAnsiTheme="minorHAnsi" w:cs="Arial"/>
                <w:sz w:val="16"/>
                <w:szCs w:val="16"/>
                <w:lang w:val="en-US" w:eastAsia="zh-CN"/>
              </w:rPr>
              <w:t>2</w:t>
            </w:r>
            <w:r w:rsidRPr="00714BEB">
              <w:rPr>
                <w:rFonts w:asciiTheme="minorHAnsi" w:hAnsiTheme="minorHAnsi" w:cs="Arial"/>
                <w:sz w:val="16"/>
                <w:szCs w:val="16"/>
                <w:lang w:val="en-US" w:eastAsia="zh-CN"/>
              </w:rPr>
              <w:t xml:space="preserve">30 </w:t>
            </w: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6,706 </w:t>
            </w: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7,747 </w:t>
            </w: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1,552 </w:t>
            </w:r>
          </w:p>
        </w:tc>
        <w:tc>
          <w:tcPr>
            <w:tcW w:w="357" w:type="pct"/>
            <w:tcBorders>
              <w:top w:val="nil"/>
              <w:left w:val="nil"/>
              <w:bottom w:val="nil"/>
              <w:right w:val="nil"/>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108,955 </w:t>
            </w:r>
          </w:p>
        </w:tc>
        <w:tc>
          <w:tcPr>
            <w:tcW w:w="35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w:t>
            </w:r>
            <w:r w:rsidR="00D52AA7">
              <w:rPr>
                <w:rFonts w:asciiTheme="minorHAnsi" w:hAnsiTheme="minorHAnsi" w:cs="Arial"/>
                <w:b/>
                <w:bCs/>
                <w:sz w:val="16"/>
                <w:szCs w:val="16"/>
                <w:lang w:val="en-US" w:eastAsia="zh-CN"/>
              </w:rPr>
              <w:t>1</w:t>
            </w:r>
            <w:r w:rsidRPr="00714BEB">
              <w:rPr>
                <w:rFonts w:asciiTheme="minorHAnsi" w:hAnsiTheme="minorHAnsi" w:cs="Arial"/>
                <w:b/>
                <w:bCs/>
                <w:sz w:val="16"/>
                <w:szCs w:val="16"/>
                <w:lang w:val="en-US" w:eastAsia="zh-CN"/>
              </w:rPr>
              <w:t xml:space="preserve">25,191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91" w:type="pct"/>
            <w:tcBorders>
              <w:top w:val="nil"/>
              <w:left w:val="nil"/>
              <w:bottom w:val="nil"/>
              <w:right w:val="nil"/>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00" w:type="pct"/>
            <w:tcBorders>
              <w:top w:val="nil"/>
              <w:left w:val="single" w:sz="4" w:space="0" w:color="auto"/>
              <w:bottom w:val="nil"/>
              <w:right w:val="nil"/>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24" w:type="pct"/>
            <w:tcBorders>
              <w:top w:val="nil"/>
              <w:left w:val="single" w:sz="4" w:space="0" w:color="auto"/>
              <w:bottom w:val="nil"/>
              <w:right w:val="nil"/>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2"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28" w:type="pct"/>
            <w:tcBorders>
              <w:top w:val="nil"/>
              <w:left w:val="nil"/>
              <w:bottom w:val="nil"/>
              <w:right w:val="nil"/>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252"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125,191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57517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Voluntary contrib</w:t>
            </w:r>
            <w:r w:rsidR="00575175">
              <w:rPr>
                <w:rFonts w:asciiTheme="minorHAnsi" w:hAnsiTheme="minorHAnsi" w:cs="Arial"/>
                <w:color w:val="000000"/>
                <w:sz w:val="16"/>
                <w:szCs w:val="16"/>
                <w:lang w:val="en-US" w:eastAsia="zh-CN"/>
              </w:rPr>
              <w:t>.</w:t>
            </w:r>
          </w:p>
        </w:tc>
        <w:tc>
          <w:tcPr>
            <w:tcW w:w="26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p>
        </w:tc>
        <w:tc>
          <w:tcPr>
            <w:tcW w:w="357" w:type="pct"/>
            <w:tcBorders>
              <w:top w:val="nil"/>
              <w:left w:val="nil"/>
              <w:bottom w:val="nil"/>
              <w:right w:val="nil"/>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1 </w:t>
            </w:r>
          </w:p>
        </w:tc>
        <w:tc>
          <w:tcPr>
            <w:tcW w:w="35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1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p>
        </w:tc>
        <w:tc>
          <w:tcPr>
            <w:tcW w:w="291"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2,006 </w:t>
            </w:r>
          </w:p>
        </w:tc>
        <w:tc>
          <w:tcPr>
            <w:tcW w:w="200"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5,155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3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32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5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7,161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Publications</w:t>
            </w:r>
          </w:p>
        </w:tc>
        <w:tc>
          <w:tcPr>
            <w:tcW w:w="26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34 </w:t>
            </w: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13,616 </w:t>
            </w: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34 </w:t>
            </w: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173 </w:t>
            </w:r>
          </w:p>
        </w:tc>
        <w:tc>
          <w:tcPr>
            <w:tcW w:w="357" w:type="pct"/>
            <w:tcBorders>
              <w:top w:val="nil"/>
              <w:left w:val="nil"/>
              <w:bottom w:val="nil"/>
              <w:right w:val="nil"/>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7 </w:t>
            </w:r>
          </w:p>
        </w:tc>
        <w:tc>
          <w:tcPr>
            <w:tcW w:w="35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13,865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91"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00"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2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p>
        </w:tc>
        <w:tc>
          <w:tcPr>
            <w:tcW w:w="25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13,865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Cost recovery</w:t>
            </w:r>
          </w:p>
        </w:tc>
        <w:tc>
          <w:tcPr>
            <w:tcW w:w="26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1,008 </w:t>
            </w: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19,070 </w:t>
            </w: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913 </w:t>
            </w: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4 </w:t>
            </w:r>
          </w:p>
        </w:tc>
        <w:tc>
          <w:tcPr>
            <w:tcW w:w="357" w:type="pct"/>
            <w:tcBorders>
              <w:top w:val="nil"/>
              <w:left w:val="nil"/>
              <w:bottom w:val="nil"/>
              <w:right w:val="nil"/>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887 </w:t>
            </w:r>
          </w:p>
        </w:tc>
        <w:tc>
          <w:tcPr>
            <w:tcW w:w="35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21,881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91"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00"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2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-1,884 </w:t>
            </w:r>
          </w:p>
        </w:tc>
        <w:tc>
          <w:tcPr>
            <w:tcW w:w="25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19,997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Other </w:t>
            </w:r>
            <w:proofErr w:type="spellStart"/>
            <w:r w:rsidRPr="00714BEB">
              <w:rPr>
                <w:rFonts w:asciiTheme="minorHAnsi" w:hAnsiTheme="minorHAnsi" w:cs="Arial"/>
                <w:color w:val="000000"/>
                <w:sz w:val="16"/>
                <w:szCs w:val="16"/>
                <w:lang w:val="en-US" w:eastAsia="zh-CN"/>
              </w:rPr>
              <w:t>revenus</w:t>
            </w:r>
            <w:proofErr w:type="spellEnd"/>
          </w:p>
        </w:tc>
        <w:tc>
          <w:tcPr>
            <w:tcW w:w="26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48 </w:t>
            </w: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104 </w:t>
            </w: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2 </w:t>
            </w: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13 </w:t>
            </w:r>
          </w:p>
        </w:tc>
        <w:tc>
          <w:tcPr>
            <w:tcW w:w="357" w:type="pct"/>
            <w:tcBorders>
              <w:top w:val="nil"/>
              <w:left w:val="nil"/>
              <w:bottom w:val="nil"/>
              <w:right w:val="nil"/>
            </w:tcBorders>
            <w:shd w:val="clear" w:color="auto" w:fill="auto"/>
            <w:noWrap/>
            <w:vAlign w:val="bottom"/>
            <w:hideMark/>
          </w:tcPr>
          <w:p w:rsidR="00714BEB" w:rsidRPr="00714BEB" w:rsidRDefault="00714BEB" w:rsidP="006A71D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w:t>
            </w:r>
            <w:r w:rsidR="006A71D0">
              <w:rPr>
                <w:rFonts w:asciiTheme="minorHAnsi" w:hAnsiTheme="minorHAnsi" w:cs="Arial"/>
                <w:sz w:val="16"/>
                <w:szCs w:val="16"/>
                <w:lang w:val="en-US" w:eastAsia="zh-CN"/>
              </w:rPr>
              <w:t>2,845</w:t>
            </w:r>
            <w:r w:rsidRPr="00714BEB">
              <w:rPr>
                <w:rFonts w:asciiTheme="minorHAnsi" w:hAnsiTheme="minorHAnsi" w:cs="Arial"/>
                <w:sz w:val="16"/>
                <w:szCs w:val="16"/>
                <w:lang w:val="en-US" w:eastAsia="zh-CN"/>
              </w:rPr>
              <w:t xml:space="preserve"> </w:t>
            </w:r>
          </w:p>
        </w:tc>
        <w:tc>
          <w:tcPr>
            <w:tcW w:w="35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6A71D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w:t>
            </w:r>
            <w:r w:rsidR="006A71D0">
              <w:rPr>
                <w:rFonts w:asciiTheme="minorHAnsi" w:hAnsiTheme="minorHAnsi" w:cs="Arial"/>
                <w:b/>
                <w:bCs/>
                <w:sz w:val="16"/>
                <w:szCs w:val="16"/>
                <w:lang w:val="en-US" w:eastAsia="zh-CN"/>
              </w:rPr>
              <w:t>3,012</w:t>
            </w:r>
            <w:r w:rsidRPr="00714BEB">
              <w:rPr>
                <w:rFonts w:asciiTheme="minorHAnsi" w:hAnsiTheme="minorHAnsi" w:cs="Arial"/>
                <w:b/>
                <w:bCs/>
                <w:sz w:val="16"/>
                <w:szCs w:val="16"/>
                <w:lang w:val="en-US" w:eastAsia="zh-CN"/>
              </w:rPr>
              <w:t xml:space="preserve">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95 </w:t>
            </w: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91"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0 </w:t>
            </w:r>
          </w:p>
        </w:tc>
        <w:tc>
          <w:tcPr>
            <w:tcW w:w="200"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78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5,743 </w:t>
            </w:r>
          </w:p>
        </w:tc>
        <w:tc>
          <w:tcPr>
            <w:tcW w:w="32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52" w:type="pct"/>
            <w:tcBorders>
              <w:top w:val="nil"/>
              <w:left w:val="nil"/>
              <w:bottom w:val="nil"/>
              <w:right w:val="single" w:sz="4" w:space="0" w:color="auto"/>
            </w:tcBorders>
            <w:shd w:val="clear" w:color="auto" w:fill="auto"/>
            <w:noWrap/>
            <w:vAlign w:val="bottom"/>
            <w:hideMark/>
          </w:tcPr>
          <w:p w:rsidR="00714BEB" w:rsidRPr="00714BEB" w:rsidRDefault="00714BEB" w:rsidP="0067670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w:t>
            </w:r>
            <w:r w:rsidR="00676708">
              <w:rPr>
                <w:rFonts w:asciiTheme="minorHAnsi" w:hAnsiTheme="minorHAnsi" w:cs="Arial"/>
                <w:b/>
                <w:bCs/>
                <w:sz w:val="16"/>
                <w:szCs w:val="16"/>
                <w:lang w:val="en-US" w:eastAsia="zh-CN"/>
              </w:rPr>
              <w:t>7</w:t>
            </w:r>
            <w:r w:rsidRPr="00714BEB">
              <w:rPr>
                <w:rFonts w:asciiTheme="minorHAnsi" w:hAnsiTheme="minorHAnsi" w:cs="Arial"/>
                <w:b/>
                <w:bCs/>
                <w:sz w:val="16"/>
                <w:szCs w:val="16"/>
                <w:lang w:val="en-US" w:eastAsia="zh-CN"/>
              </w:rPr>
              <w:t>,</w:t>
            </w:r>
            <w:r w:rsidR="00676708">
              <w:rPr>
                <w:rFonts w:asciiTheme="minorHAnsi" w:hAnsiTheme="minorHAnsi" w:cs="Arial"/>
                <w:b/>
                <w:bCs/>
                <w:sz w:val="16"/>
                <w:szCs w:val="16"/>
                <w:lang w:val="en-US" w:eastAsia="zh-CN"/>
              </w:rPr>
              <w:t>928</w:t>
            </w:r>
            <w:r w:rsidRPr="00714BEB">
              <w:rPr>
                <w:rFonts w:asciiTheme="minorHAnsi" w:hAnsiTheme="minorHAnsi" w:cs="Arial"/>
                <w:b/>
                <w:bCs/>
                <w:sz w:val="16"/>
                <w:szCs w:val="16"/>
                <w:lang w:val="en-US" w:eastAsia="zh-CN"/>
              </w:rPr>
              <w:t xml:space="preserve">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Finance Revenue</w:t>
            </w:r>
          </w:p>
        </w:tc>
        <w:tc>
          <w:tcPr>
            <w:tcW w:w="26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0 </w:t>
            </w: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0 </w:t>
            </w: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0 </w:t>
            </w: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1 </w:t>
            </w:r>
          </w:p>
        </w:tc>
        <w:tc>
          <w:tcPr>
            <w:tcW w:w="357" w:type="pct"/>
            <w:tcBorders>
              <w:top w:val="nil"/>
              <w:left w:val="nil"/>
              <w:bottom w:val="nil"/>
              <w:right w:val="nil"/>
            </w:tcBorders>
            <w:shd w:val="clear" w:color="auto" w:fill="auto"/>
            <w:noWrap/>
            <w:vAlign w:val="bottom"/>
            <w:hideMark/>
          </w:tcPr>
          <w:p w:rsidR="00714BEB" w:rsidRPr="00714BEB" w:rsidRDefault="00714BEB" w:rsidP="006A71D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            85</w:t>
            </w:r>
            <w:r w:rsidR="006A71D0">
              <w:rPr>
                <w:rFonts w:asciiTheme="minorHAnsi" w:hAnsiTheme="minorHAnsi" w:cs="Arial"/>
                <w:sz w:val="16"/>
                <w:szCs w:val="16"/>
                <w:lang w:val="en-US" w:eastAsia="zh-CN"/>
              </w:rPr>
              <w:t>2</w:t>
            </w:r>
            <w:r w:rsidRPr="00714BEB">
              <w:rPr>
                <w:rFonts w:asciiTheme="minorHAnsi" w:hAnsiTheme="minorHAnsi" w:cs="Arial"/>
                <w:sz w:val="16"/>
                <w:szCs w:val="16"/>
                <w:lang w:val="en-US" w:eastAsia="zh-CN"/>
              </w:rPr>
              <w:t xml:space="preserve"> </w:t>
            </w:r>
          </w:p>
        </w:tc>
        <w:tc>
          <w:tcPr>
            <w:tcW w:w="35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853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91"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 </w:t>
            </w:r>
          </w:p>
        </w:tc>
        <w:tc>
          <w:tcPr>
            <w:tcW w:w="200"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308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72 </w:t>
            </w:r>
          </w:p>
        </w:tc>
        <w:tc>
          <w:tcPr>
            <w:tcW w:w="23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10 </w:t>
            </w:r>
          </w:p>
        </w:tc>
        <w:tc>
          <w:tcPr>
            <w:tcW w:w="32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5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1,245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6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57" w:type="pct"/>
            <w:tcBorders>
              <w:top w:val="nil"/>
              <w:left w:val="nil"/>
              <w:bottom w:val="nil"/>
              <w:right w:val="nil"/>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5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91"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00"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2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5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w:t>
            </w:r>
          </w:p>
        </w:tc>
      </w:tr>
      <w:tr w:rsidR="008E0CAC" w:rsidRPr="00714BEB" w:rsidTr="008E0CAC">
        <w:trPr>
          <w:trHeight w:val="255"/>
        </w:trPr>
        <w:tc>
          <w:tcPr>
            <w:tcW w:w="580" w:type="pct"/>
            <w:tcBorders>
              <w:top w:val="single" w:sz="4" w:space="0" w:color="auto"/>
              <w:left w:val="single" w:sz="4" w:space="0" w:color="auto"/>
              <w:bottom w:val="single" w:sz="4" w:space="0" w:color="auto"/>
              <w:right w:val="nil"/>
            </w:tcBorders>
            <w:shd w:val="clear" w:color="auto" w:fill="auto"/>
            <w:noWrap/>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Total revenue</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1,320 </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39,497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8,696 </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1,744 </w:t>
            </w:r>
          </w:p>
        </w:tc>
        <w:tc>
          <w:tcPr>
            <w:tcW w:w="357" w:type="pct"/>
            <w:tcBorders>
              <w:top w:val="single" w:sz="4" w:space="0" w:color="auto"/>
              <w:left w:val="nil"/>
              <w:bottom w:val="single" w:sz="4" w:space="0" w:color="auto"/>
              <w:right w:val="nil"/>
            </w:tcBorders>
            <w:shd w:val="clear" w:color="auto" w:fill="auto"/>
            <w:noWrap/>
            <w:vAlign w:val="center"/>
            <w:hideMark/>
          </w:tcPr>
          <w:p w:rsidR="00714BEB" w:rsidRPr="00714BEB" w:rsidRDefault="00714BEB" w:rsidP="006A71D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11</w:t>
            </w:r>
            <w:r w:rsidR="006A71D0">
              <w:rPr>
                <w:rFonts w:asciiTheme="minorHAnsi" w:hAnsiTheme="minorHAnsi" w:cs="Arial"/>
                <w:b/>
                <w:bCs/>
                <w:color w:val="000000"/>
                <w:sz w:val="16"/>
                <w:szCs w:val="16"/>
                <w:lang w:val="en-US" w:eastAsia="zh-CN"/>
              </w:rPr>
              <w:t>3</w:t>
            </w:r>
            <w:r w:rsidRPr="00714BEB">
              <w:rPr>
                <w:rFonts w:asciiTheme="minorHAnsi" w:hAnsiTheme="minorHAnsi" w:cs="Arial"/>
                <w:b/>
                <w:bCs/>
                <w:color w:val="000000"/>
                <w:sz w:val="16"/>
                <w:szCs w:val="16"/>
                <w:lang w:val="en-US" w:eastAsia="zh-CN"/>
              </w:rPr>
              <w:t>,</w:t>
            </w:r>
            <w:r w:rsidR="006A71D0">
              <w:rPr>
                <w:rFonts w:asciiTheme="minorHAnsi" w:hAnsiTheme="minorHAnsi" w:cs="Arial"/>
                <w:b/>
                <w:bCs/>
                <w:color w:val="000000"/>
                <w:sz w:val="16"/>
                <w:szCs w:val="16"/>
                <w:lang w:val="en-US" w:eastAsia="zh-CN"/>
              </w:rPr>
              <w:t>546</w:t>
            </w:r>
            <w:r w:rsidRPr="00714BEB">
              <w:rPr>
                <w:rFonts w:asciiTheme="minorHAnsi" w:hAnsiTheme="minorHAnsi" w:cs="Arial"/>
                <w:b/>
                <w:bCs/>
                <w:color w:val="000000"/>
                <w:sz w:val="16"/>
                <w:szCs w:val="16"/>
                <w:lang w:val="en-US" w:eastAsia="zh-CN"/>
              </w:rPr>
              <w:t xml:space="preserve">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BEB" w:rsidRPr="00714BEB" w:rsidRDefault="00714BEB" w:rsidP="006A71D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16</w:t>
            </w:r>
            <w:r w:rsidR="006A71D0">
              <w:rPr>
                <w:rFonts w:asciiTheme="minorHAnsi" w:hAnsiTheme="minorHAnsi" w:cs="Arial"/>
                <w:b/>
                <w:bCs/>
                <w:color w:val="000000"/>
                <w:sz w:val="16"/>
                <w:szCs w:val="16"/>
                <w:lang w:val="en-US" w:eastAsia="zh-CN"/>
              </w:rPr>
              <w:t>4</w:t>
            </w:r>
            <w:r w:rsidRPr="00714BEB">
              <w:rPr>
                <w:rFonts w:asciiTheme="minorHAnsi" w:hAnsiTheme="minorHAnsi" w:cs="Arial"/>
                <w:b/>
                <w:bCs/>
                <w:color w:val="000000"/>
                <w:sz w:val="16"/>
                <w:szCs w:val="16"/>
                <w:lang w:val="en-US" w:eastAsia="zh-CN"/>
              </w:rPr>
              <w:t>,</w:t>
            </w:r>
            <w:r w:rsidR="006A71D0">
              <w:rPr>
                <w:rFonts w:asciiTheme="minorHAnsi" w:hAnsiTheme="minorHAnsi" w:cs="Arial"/>
                <w:b/>
                <w:bCs/>
                <w:color w:val="000000"/>
                <w:sz w:val="16"/>
                <w:szCs w:val="16"/>
                <w:lang w:val="en-US" w:eastAsia="zh-CN"/>
              </w:rPr>
              <w:t>804</w:t>
            </w:r>
            <w:r w:rsidRPr="00714BEB">
              <w:rPr>
                <w:rFonts w:asciiTheme="minorHAnsi" w:hAnsiTheme="minorHAnsi" w:cs="Arial"/>
                <w:b/>
                <w:bCs/>
                <w:color w:val="000000"/>
                <w:sz w:val="16"/>
                <w:szCs w:val="16"/>
                <w:lang w:val="en-US" w:eastAsia="zh-CN"/>
              </w:rPr>
              <w:t xml:space="preserve">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95 </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   </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2,007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5,541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72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   </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5,753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-1,884 </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67670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17</w:t>
            </w:r>
            <w:r w:rsidR="00676708">
              <w:rPr>
                <w:rFonts w:asciiTheme="minorHAnsi" w:hAnsiTheme="minorHAnsi" w:cs="Arial"/>
                <w:b/>
                <w:bCs/>
                <w:color w:val="000000"/>
                <w:sz w:val="16"/>
                <w:szCs w:val="16"/>
                <w:lang w:val="en-US" w:eastAsia="zh-CN"/>
              </w:rPr>
              <w:t>6</w:t>
            </w:r>
            <w:r w:rsidRPr="00714BEB">
              <w:rPr>
                <w:rFonts w:asciiTheme="minorHAnsi" w:hAnsiTheme="minorHAnsi" w:cs="Arial"/>
                <w:b/>
                <w:bCs/>
                <w:color w:val="000000"/>
                <w:sz w:val="16"/>
                <w:szCs w:val="16"/>
                <w:lang w:val="en-US" w:eastAsia="zh-CN"/>
              </w:rPr>
              <w:t>,</w:t>
            </w:r>
            <w:r w:rsidR="00676708">
              <w:rPr>
                <w:rFonts w:asciiTheme="minorHAnsi" w:hAnsiTheme="minorHAnsi" w:cs="Arial"/>
                <w:b/>
                <w:bCs/>
                <w:color w:val="000000"/>
                <w:sz w:val="16"/>
                <w:szCs w:val="16"/>
                <w:lang w:val="en-US" w:eastAsia="zh-CN"/>
              </w:rPr>
              <w:t>389</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w:t>
            </w:r>
          </w:p>
        </w:tc>
        <w:tc>
          <w:tcPr>
            <w:tcW w:w="26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57" w:type="pct"/>
            <w:tcBorders>
              <w:top w:val="nil"/>
              <w:left w:val="nil"/>
              <w:bottom w:val="nil"/>
              <w:right w:val="nil"/>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5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91"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00"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2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5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EXPENSES</w:t>
            </w:r>
          </w:p>
        </w:tc>
        <w:tc>
          <w:tcPr>
            <w:tcW w:w="26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57" w:type="pct"/>
            <w:tcBorders>
              <w:top w:val="nil"/>
              <w:left w:val="nil"/>
              <w:bottom w:val="nil"/>
              <w:right w:val="nil"/>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35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91"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00"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2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Employee expenses</w:t>
            </w:r>
          </w:p>
        </w:tc>
        <w:tc>
          <w:tcPr>
            <w:tcW w:w="26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64,868 </w:t>
            </w: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23,113 </w:t>
            </w: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11,417 </w:t>
            </w: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21,448 </w:t>
            </w:r>
          </w:p>
        </w:tc>
        <w:tc>
          <w:tcPr>
            <w:tcW w:w="35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22,267 </w:t>
            </w:r>
          </w:p>
        </w:tc>
        <w:tc>
          <w:tcPr>
            <w:tcW w:w="35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143,113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171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19 </w:t>
            </w:r>
          </w:p>
        </w:tc>
        <w:tc>
          <w:tcPr>
            <w:tcW w:w="291"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877 </w:t>
            </w:r>
          </w:p>
        </w:tc>
        <w:tc>
          <w:tcPr>
            <w:tcW w:w="200"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1,787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3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2,838 </w:t>
            </w:r>
          </w:p>
        </w:tc>
        <w:tc>
          <w:tcPr>
            <w:tcW w:w="32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148,806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30</w:t>
            </w:r>
          </w:p>
        </w:tc>
        <w:tc>
          <w:tcPr>
            <w:tcW w:w="26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46,210 </w:t>
            </w: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17,937 </w:t>
            </w: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8,847 </w:t>
            </w: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16,270 </w:t>
            </w:r>
          </w:p>
        </w:tc>
        <w:tc>
          <w:tcPr>
            <w:tcW w:w="357" w:type="pct"/>
            <w:tcBorders>
              <w:top w:val="nil"/>
              <w:left w:val="nil"/>
              <w:bottom w:val="nil"/>
              <w:right w:val="nil"/>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35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89,264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133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91"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710 </w:t>
            </w:r>
          </w:p>
        </w:tc>
        <w:tc>
          <w:tcPr>
            <w:tcW w:w="200"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1,293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3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2,177 </w:t>
            </w:r>
          </w:p>
        </w:tc>
        <w:tc>
          <w:tcPr>
            <w:tcW w:w="32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93,577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31</w:t>
            </w:r>
          </w:p>
        </w:tc>
        <w:tc>
          <w:tcPr>
            <w:tcW w:w="26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18,658 </w:t>
            </w: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5,176 </w:t>
            </w: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2,570 </w:t>
            </w: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5,177 </w:t>
            </w:r>
          </w:p>
        </w:tc>
        <w:tc>
          <w:tcPr>
            <w:tcW w:w="357" w:type="pct"/>
            <w:tcBorders>
              <w:top w:val="nil"/>
              <w:left w:val="nil"/>
              <w:bottom w:val="nil"/>
              <w:right w:val="nil"/>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22,267 </w:t>
            </w:r>
          </w:p>
        </w:tc>
        <w:tc>
          <w:tcPr>
            <w:tcW w:w="35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53,849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39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19 </w:t>
            </w:r>
          </w:p>
        </w:tc>
        <w:tc>
          <w:tcPr>
            <w:tcW w:w="291"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167 </w:t>
            </w:r>
          </w:p>
        </w:tc>
        <w:tc>
          <w:tcPr>
            <w:tcW w:w="200"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494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3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661 </w:t>
            </w:r>
          </w:p>
        </w:tc>
        <w:tc>
          <w:tcPr>
            <w:tcW w:w="32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55,229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Mission expenses</w:t>
            </w:r>
          </w:p>
        </w:tc>
        <w:tc>
          <w:tcPr>
            <w:tcW w:w="26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1,094 </w:t>
            </w: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1,064 </w:t>
            </w: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950 </w:t>
            </w: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2,278 </w:t>
            </w:r>
          </w:p>
        </w:tc>
        <w:tc>
          <w:tcPr>
            <w:tcW w:w="357" w:type="pct"/>
            <w:tcBorders>
              <w:top w:val="nil"/>
              <w:left w:val="nil"/>
              <w:bottom w:val="nil"/>
              <w:right w:val="nil"/>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51 </w:t>
            </w:r>
          </w:p>
        </w:tc>
        <w:tc>
          <w:tcPr>
            <w:tcW w:w="35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5,438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91"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313 </w:t>
            </w:r>
          </w:p>
        </w:tc>
        <w:tc>
          <w:tcPr>
            <w:tcW w:w="200"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813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3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138 </w:t>
            </w:r>
          </w:p>
        </w:tc>
        <w:tc>
          <w:tcPr>
            <w:tcW w:w="32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6,702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Contractual services</w:t>
            </w:r>
          </w:p>
        </w:tc>
        <w:tc>
          <w:tcPr>
            <w:tcW w:w="26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4,866 </w:t>
            </w: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330 </w:t>
            </w: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532 </w:t>
            </w: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2,133 </w:t>
            </w:r>
          </w:p>
        </w:tc>
        <w:tc>
          <w:tcPr>
            <w:tcW w:w="357" w:type="pct"/>
            <w:tcBorders>
              <w:top w:val="nil"/>
              <w:left w:val="nil"/>
              <w:bottom w:val="nil"/>
              <w:right w:val="nil"/>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526 </w:t>
            </w:r>
          </w:p>
        </w:tc>
        <w:tc>
          <w:tcPr>
            <w:tcW w:w="35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8,386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91"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1,005 </w:t>
            </w:r>
          </w:p>
        </w:tc>
        <w:tc>
          <w:tcPr>
            <w:tcW w:w="200"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1,871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3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1,428 </w:t>
            </w:r>
          </w:p>
        </w:tc>
        <w:tc>
          <w:tcPr>
            <w:tcW w:w="32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2" w:type="pct"/>
            <w:tcBorders>
              <w:top w:val="nil"/>
              <w:left w:val="nil"/>
              <w:bottom w:val="nil"/>
              <w:right w:val="single" w:sz="4" w:space="0" w:color="auto"/>
            </w:tcBorders>
            <w:shd w:val="clear" w:color="auto" w:fill="auto"/>
            <w:noWrap/>
            <w:vAlign w:val="bottom"/>
            <w:hideMark/>
          </w:tcPr>
          <w:p w:rsidR="00714BEB" w:rsidRPr="00714BEB" w:rsidRDefault="00714BEB" w:rsidP="0067670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12,69</w:t>
            </w:r>
            <w:r w:rsidR="00676708">
              <w:rPr>
                <w:rFonts w:asciiTheme="minorHAnsi" w:hAnsiTheme="minorHAnsi" w:cs="Arial"/>
                <w:b/>
                <w:bCs/>
                <w:sz w:val="16"/>
                <w:szCs w:val="16"/>
                <w:lang w:val="en-US" w:eastAsia="zh-CN"/>
              </w:rPr>
              <w:t>2</w:t>
            </w:r>
            <w:r w:rsidRPr="00714BEB">
              <w:rPr>
                <w:rFonts w:asciiTheme="minorHAnsi" w:hAnsiTheme="minorHAnsi" w:cs="Arial"/>
                <w:b/>
                <w:bCs/>
                <w:sz w:val="16"/>
                <w:szCs w:val="16"/>
                <w:lang w:val="en-US" w:eastAsia="zh-CN"/>
              </w:rPr>
              <w:t xml:space="preserve"> </w:t>
            </w:r>
          </w:p>
        </w:tc>
      </w:tr>
      <w:tr w:rsidR="008E0CAC" w:rsidRPr="00714BEB" w:rsidTr="008E0CAC">
        <w:trPr>
          <w:trHeight w:val="516"/>
        </w:trPr>
        <w:tc>
          <w:tcPr>
            <w:tcW w:w="580" w:type="pct"/>
            <w:tcBorders>
              <w:top w:val="nil"/>
              <w:left w:val="single" w:sz="4" w:space="0" w:color="auto"/>
              <w:bottom w:val="nil"/>
              <w:right w:val="nil"/>
            </w:tcBorders>
            <w:shd w:val="clear" w:color="auto" w:fill="auto"/>
            <w:hideMark/>
          </w:tcPr>
          <w:p w:rsidR="00714BEB" w:rsidRPr="00714BEB" w:rsidRDefault="00714BEB" w:rsidP="0057517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Rental</w:t>
            </w:r>
            <w:r w:rsidR="00575175">
              <w:rPr>
                <w:rFonts w:asciiTheme="minorHAnsi" w:hAnsiTheme="minorHAnsi" w:cs="Arial"/>
                <w:color w:val="000000"/>
                <w:sz w:val="16"/>
                <w:szCs w:val="16"/>
                <w:lang w:val="en-US" w:eastAsia="zh-CN"/>
              </w:rPr>
              <w:t xml:space="preserve"> &amp;</w:t>
            </w:r>
            <w:r w:rsidRPr="00714BEB">
              <w:rPr>
                <w:rFonts w:asciiTheme="minorHAnsi" w:hAnsiTheme="minorHAnsi" w:cs="Arial"/>
                <w:color w:val="000000"/>
                <w:sz w:val="16"/>
                <w:szCs w:val="16"/>
                <w:lang w:val="en-US" w:eastAsia="zh-CN"/>
              </w:rPr>
              <w:t xml:space="preserve"> maintenance of premises </w:t>
            </w:r>
            <w:r w:rsidR="00575175">
              <w:rPr>
                <w:rFonts w:asciiTheme="minorHAnsi" w:hAnsiTheme="minorHAnsi" w:cs="Arial"/>
                <w:color w:val="000000"/>
                <w:sz w:val="16"/>
                <w:szCs w:val="16"/>
                <w:lang w:val="en-US" w:eastAsia="zh-CN"/>
              </w:rPr>
              <w:t>&amp;</w:t>
            </w:r>
            <w:r w:rsidRPr="00714BEB">
              <w:rPr>
                <w:rFonts w:asciiTheme="minorHAnsi" w:hAnsiTheme="minorHAnsi" w:cs="Arial"/>
                <w:color w:val="000000"/>
                <w:sz w:val="16"/>
                <w:szCs w:val="16"/>
                <w:lang w:val="en-US" w:eastAsia="zh-CN"/>
              </w:rPr>
              <w:t xml:space="preserve"> equipment</w:t>
            </w:r>
          </w:p>
        </w:tc>
        <w:tc>
          <w:tcPr>
            <w:tcW w:w="267" w:type="pct"/>
            <w:tcBorders>
              <w:top w:val="nil"/>
              <w:left w:val="single" w:sz="4" w:space="0" w:color="auto"/>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3,393 </w:t>
            </w:r>
          </w:p>
        </w:tc>
        <w:tc>
          <w:tcPr>
            <w:tcW w:w="284"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44 </w:t>
            </w:r>
          </w:p>
        </w:tc>
        <w:tc>
          <w:tcPr>
            <w:tcW w:w="297"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96 </w:t>
            </w:r>
          </w:p>
        </w:tc>
        <w:tc>
          <w:tcPr>
            <w:tcW w:w="267" w:type="pct"/>
            <w:tcBorders>
              <w:top w:val="nil"/>
              <w:left w:val="nil"/>
              <w:bottom w:val="nil"/>
              <w:right w:val="single" w:sz="4" w:space="0" w:color="auto"/>
            </w:tcBorders>
            <w:shd w:val="clear" w:color="auto" w:fill="auto"/>
            <w:noWrap/>
            <w:hideMark/>
          </w:tcPr>
          <w:p w:rsidR="00714BEB" w:rsidRPr="00714BEB" w:rsidRDefault="00714BEB" w:rsidP="0057517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97</w:t>
            </w:r>
          </w:p>
        </w:tc>
        <w:tc>
          <w:tcPr>
            <w:tcW w:w="357" w:type="pct"/>
            <w:tcBorders>
              <w:top w:val="nil"/>
              <w:left w:val="nil"/>
              <w:bottom w:val="nil"/>
              <w:right w:val="nil"/>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87 </w:t>
            </w:r>
          </w:p>
        </w:tc>
        <w:tc>
          <w:tcPr>
            <w:tcW w:w="357" w:type="pct"/>
            <w:tcBorders>
              <w:top w:val="nil"/>
              <w:left w:val="single" w:sz="4" w:space="0" w:color="auto"/>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3,718 </w:t>
            </w:r>
          </w:p>
        </w:tc>
        <w:tc>
          <w:tcPr>
            <w:tcW w:w="268"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24"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91"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35 </w:t>
            </w:r>
          </w:p>
        </w:tc>
        <w:tc>
          <w:tcPr>
            <w:tcW w:w="200"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21 </w:t>
            </w:r>
          </w:p>
        </w:tc>
        <w:tc>
          <w:tcPr>
            <w:tcW w:w="224"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32"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198 </w:t>
            </w:r>
          </w:p>
        </w:tc>
        <w:tc>
          <w:tcPr>
            <w:tcW w:w="328"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2" w:type="pct"/>
            <w:tcBorders>
              <w:top w:val="nil"/>
              <w:left w:val="nil"/>
              <w:bottom w:val="nil"/>
              <w:right w:val="single" w:sz="4" w:space="0" w:color="auto"/>
            </w:tcBorders>
            <w:shd w:val="clear" w:color="auto" w:fill="auto"/>
            <w:noWrap/>
            <w:hideMark/>
          </w:tcPr>
          <w:p w:rsidR="00714BEB" w:rsidRPr="00714BEB" w:rsidRDefault="00714BEB" w:rsidP="008E0CA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3,971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57517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Equipment </w:t>
            </w:r>
            <w:r w:rsidR="00575175">
              <w:rPr>
                <w:rFonts w:asciiTheme="minorHAnsi" w:hAnsiTheme="minorHAnsi" w:cs="Arial"/>
                <w:color w:val="000000"/>
                <w:sz w:val="16"/>
                <w:szCs w:val="16"/>
                <w:lang w:val="en-US" w:eastAsia="zh-CN"/>
              </w:rPr>
              <w:t>&amp;</w:t>
            </w:r>
            <w:r w:rsidRPr="00714BEB">
              <w:rPr>
                <w:rFonts w:asciiTheme="minorHAnsi" w:hAnsiTheme="minorHAnsi" w:cs="Arial"/>
                <w:color w:val="000000"/>
                <w:sz w:val="16"/>
                <w:szCs w:val="16"/>
                <w:lang w:val="en-US" w:eastAsia="zh-CN"/>
              </w:rPr>
              <w:t xml:space="preserve"> supplies</w:t>
            </w:r>
          </w:p>
        </w:tc>
        <w:tc>
          <w:tcPr>
            <w:tcW w:w="26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1,352 </w:t>
            </w: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269 </w:t>
            </w: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175 </w:t>
            </w: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644 </w:t>
            </w:r>
          </w:p>
        </w:tc>
        <w:tc>
          <w:tcPr>
            <w:tcW w:w="357" w:type="pct"/>
            <w:tcBorders>
              <w:top w:val="nil"/>
              <w:left w:val="nil"/>
              <w:bottom w:val="nil"/>
              <w:right w:val="nil"/>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121 </w:t>
            </w:r>
          </w:p>
        </w:tc>
        <w:tc>
          <w:tcPr>
            <w:tcW w:w="35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2,560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15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91"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259 </w:t>
            </w:r>
          </w:p>
        </w:tc>
        <w:tc>
          <w:tcPr>
            <w:tcW w:w="200"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1,568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3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106 </w:t>
            </w:r>
          </w:p>
        </w:tc>
        <w:tc>
          <w:tcPr>
            <w:tcW w:w="32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4,509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Depreciation</w:t>
            </w:r>
          </w:p>
        </w:tc>
        <w:tc>
          <w:tcPr>
            <w:tcW w:w="267" w:type="pct"/>
            <w:tcBorders>
              <w:top w:val="nil"/>
              <w:left w:val="single" w:sz="4" w:space="0" w:color="auto"/>
              <w:bottom w:val="nil"/>
              <w:right w:val="single" w:sz="4" w:space="0" w:color="auto"/>
            </w:tcBorders>
            <w:shd w:val="clear" w:color="auto" w:fill="auto"/>
            <w:noWrap/>
            <w:vAlign w:val="bottom"/>
            <w:hideMark/>
          </w:tcPr>
          <w:p w:rsidR="00714BEB" w:rsidRPr="00714BEB" w:rsidRDefault="00915487"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Pr>
                <w:rFonts w:asciiTheme="minorHAnsi" w:hAnsiTheme="minorHAnsi" w:cs="Arial"/>
                <w:color w:val="000000"/>
                <w:sz w:val="16"/>
                <w:szCs w:val="16"/>
                <w:lang w:val="en-US" w:eastAsia="zh-CN"/>
              </w:rPr>
              <w:t>-</w:t>
            </w:r>
            <w:r w:rsidR="00714BEB" w:rsidRPr="00714BEB">
              <w:rPr>
                <w:rFonts w:asciiTheme="minorHAnsi" w:hAnsiTheme="minorHAnsi" w:cs="Arial"/>
                <w:color w:val="000000"/>
                <w:sz w:val="16"/>
                <w:szCs w:val="16"/>
                <w:lang w:val="en-US" w:eastAsia="zh-CN"/>
              </w:rPr>
              <w:t xml:space="preserve">   </w:t>
            </w:r>
          </w:p>
        </w:tc>
        <w:tc>
          <w:tcPr>
            <w:tcW w:w="28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97"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67" w:type="pct"/>
            <w:tcBorders>
              <w:top w:val="nil"/>
              <w:left w:val="nil"/>
              <w:bottom w:val="nil"/>
              <w:right w:val="single" w:sz="4" w:space="0" w:color="auto"/>
            </w:tcBorders>
            <w:shd w:val="clear" w:color="auto" w:fill="auto"/>
            <w:noWrap/>
            <w:vAlign w:val="bottom"/>
            <w:hideMark/>
          </w:tcPr>
          <w:p w:rsidR="00714BEB" w:rsidRPr="00714BEB" w:rsidRDefault="00714BEB" w:rsidP="0091548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r w:rsidR="00915487">
              <w:rPr>
                <w:rFonts w:asciiTheme="minorHAnsi" w:hAnsiTheme="minorHAnsi" w:cs="Arial"/>
                <w:color w:val="000000"/>
                <w:sz w:val="16"/>
                <w:szCs w:val="16"/>
                <w:lang w:val="en-US" w:eastAsia="zh-CN"/>
              </w:rPr>
              <w:t>-</w:t>
            </w:r>
            <w:r w:rsidRPr="00714BEB">
              <w:rPr>
                <w:rFonts w:asciiTheme="minorHAnsi" w:hAnsiTheme="minorHAnsi" w:cs="Arial"/>
                <w:color w:val="000000"/>
                <w:sz w:val="16"/>
                <w:szCs w:val="16"/>
                <w:lang w:val="en-US" w:eastAsia="zh-CN"/>
              </w:rPr>
              <w:t xml:space="preserve">  </w:t>
            </w:r>
          </w:p>
        </w:tc>
        <w:tc>
          <w:tcPr>
            <w:tcW w:w="357" w:type="pct"/>
            <w:tcBorders>
              <w:top w:val="nil"/>
              <w:left w:val="nil"/>
              <w:bottom w:val="nil"/>
              <w:right w:val="nil"/>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4,372 </w:t>
            </w:r>
          </w:p>
        </w:tc>
        <w:tc>
          <w:tcPr>
            <w:tcW w:w="357" w:type="pct"/>
            <w:tcBorders>
              <w:top w:val="nil"/>
              <w:left w:val="single" w:sz="4" w:space="0" w:color="auto"/>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4,372 </w:t>
            </w:r>
          </w:p>
        </w:tc>
        <w:tc>
          <w:tcPr>
            <w:tcW w:w="26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91"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111 </w:t>
            </w:r>
          </w:p>
        </w:tc>
        <w:tc>
          <w:tcPr>
            <w:tcW w:w="200"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14 </w:t>
            </w:r>
          </w:p>
        </w:tc>
        <w:tc>
          <w:tcPr>
            <w:tcW w:w="224"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3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328"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2" w:type="pct"/>
            <w:tcBorders>
              <w:top w:val="nil"/>
              <w:left w:val="nil"/>
              <w:bottom w:val="nil"/>
              <w:right w:val="single" w:sz="4" w:space="0" w:color="auto"/>
            </w:tcBorders>
            <w:shd w:val="clear" w:color="auto" w:fill="auto"/>
            <w:noWrap/>
            <w:vAlign w:val="bottom"/>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4,497 </w:t>
            </w:r>
          </w:p>
        </w:tc>
      </w:tr>
      <w:tr w:rsidR="008E0CAC" w:rsidRPr="00714BEB" w:rsidTr="008E0CAC">
        <w:trPr>
          <w:trHeight w:val="765"/>
        </w:trPr>
        <w:tc>
          <w:tcPr>
            <w:tcW w:w="580" w:type="pct"/>
            <w:tcBorders>
              <w:top w:val="nil"/>
              <w:left w:val="single" w:sz="4" w:space="0" w:color="auto"/>
              <w:bottom w:val="nil"/>
              <w:right w:val="nil"/>
            </w:tcBorders>
            <w:shd w:val="clear" w:color="auto" w:fill="auto"/>
            <w:hideMark/>
          </w:tcPr>
          <w:p w:rsidR="00714BEB" w:rsidRPr="00714BEB" w:rsidRDefault="00714BEB" w:rsidP="0057517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Shipping, telecommunication </w:t>
            </w:r>
            <w:r w:rsidR="00575175">
              <w:rPr>
                <w:rFonts w:asciiTheme="minorHAnsi" w:hAnsiTheme="minorHAnsi" w:cs="Arial"/>
                <w:color w:val="000000"/>
                <w:sz w:val="16"/>
                <w:szCs w:val="16"/>
                <w:lang w:val="en-US" w:eastAsia="zh-CN"/>
              </w:rPr>
              <w:t>&amp;</w:t>
            </w:r>
            <w:r w:rsidRPr="00714BEB">
              <w:rPr>
                <w:rFonts w:asciiTheme="minorHAnsi" w:hAnsiTheme="minorHAnsi" w:cs="Arial"/>
                <w:color w:val="000000"/>
                <w:sz w:val="16"/>
                <w:szCs w:val="16"/>
                <w:lang w:val="en-US" w:eastAsia="zh-CN"/>
              </w:rPr>
              <w:t xml:space="preserve"> services expenses</w:t>
            </w:r>
          </w:p>
        </w:tc>
        <w:tc>
          <w:tcPr>
            <w:tcW w:w="267" w:type="pct"/>
            <w:tcBorders>
              <w:top w:val="nil"/>
              <w:left w:val="single" w:sz="4" w:space="0" w:color="auto"/>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1,389 </w:t>
            </w:r>
          </w:p>
        </w:tc>
        <w:tc>
          <w:tcPr>
            <w:tcW w:w="284"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179 </w:t>
            </w:r>
          </w:p>
        </w:tc>
        <w:tc>
          <w:tcPr>
            <w:tcW w:w="297"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56 </w:t>
            </w:r>
          </w:p>
        </w:tc>
        <w:tc>
          <w:tcPr>
            <w:tcW w:w="267"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140 </w:t>
            </w:r>
          </w:p>
        </w:tc>
        <w:tc>
          <w:tcPr>
            <w:tcW w:w="357" w:type="pct"/>
            <w:tcBorders>
              <w:top w:val="nil"/>
              <w:left w:val="nil"/>
              <w:bottom w:val="nil"/>
              <w:right w:val="nil"/>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357" w:type="pct"/>
            <w:tcBorders>
              <w:top w:val="nil"/>
              <w:left w:val="single" w:sz="4" w:space="0" w:color="auto"/>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1,764 </w:t>
            </w:r>
          </w:p>
        </w:tc>
        <w:tc>
          <w:tcPr>
            <w:tcW w:w="268"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24"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91"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0 </w:t>
            </w:r>
          </w:p>
        </w:tc>
        <w:tc>
          <w:tcPr>
            <w:tcW w:w="200"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4 </w:t>
            </w:r>
          </w:p>
        </w:tc>
        <w:tc>
          <w:tcPr>
            <w:tcW w:w="224"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232"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5 </w:t>
            </w:r>
          </w:p>
        </w:tc>
        <w:tc>
          <w:tcPr>
            <w:tcW w:w="328"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2" w:type="pct"/>
            <w:tcBorders>
              <w:top w:val="nil"/>
              <w:left w:val="nil"/>
              <w:bottom w:val="nil"/>
              <w:right w:val="single" w:sz="4" w:space="0" w:color="auto"/>
            </w:tcBorders>
            <w:shd w:val="clear" w:color="auto" w:fill="auto"/>
            <w:noWrap/>
            <w:hideMark/>
          </w:tcPr>
          <w:p w:rsidR="00714BEB" w:rsidRPr="00714BEB" w:rsidRDefault="00714BEB" w:rsidP="0067670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1,77</w:t>
            </w:r>
            <w:r w:rsidR="00676708">
              <w:rPr>
                <w:rFonts w:asciiTheme="minorHAnsi" w:hAnsiTheme="minorHAnsi" w:cs="Arial"/>
                <w:b/>
                <w:bCs/>
                <w:sz w:val="16"/>
                <w:szCs w:val="16"/>
                <w:lang w:val="en-US" w:eastAsia="zh-CN"/>
              </w:rPr>
              <w:t>3</w:t>
            </w:r>
            <w:r w:rsidRPr="00714BEB">
              <w:rPr>
                <w:rFonts w:asciiTheme="minorHAnsi" w:hAnsiTheme="minorHAnsi" w:cs="Arial"/>
                <w:b/>
                <w:bCs/>
                <w:sz w:val="16"/>
                <w:szCs w:val="16"/>
                <w:lang w:val="en-US" w:eastAsia="zh-CN"/>
              </w:rPr>
              <w:t xml:space="preserve"> </w:t>
            </w:r>
          </w:p>
        </w:tc>
      </w:tr>
      <w:tr w:rsidR="008E0CAC" w:rsidRPr="00714BEB" w:rsidTr="008E0CAC">
        <w:trPr>
          <w:trHeight w:val="76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Auditing of accounts and inter-organizational contributions</w:t>
            </w:r>
          </w:p>
        </w:tc>
        <w:tc>
          <w:tcPr>
            <w:tcW w:w="267" w:type="pct"/>
            <w:tcBorders>
              <w:top w:val="nil"/>
              <w:left w:val="single" w:sz="4" w:space="0" w:color="auto"/>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759 </w:t>
            </w:r>
          </w:p>
        </w:tc>
        <w:tc>
          <w:tcPr>
            <w:tcW w:w="284"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97"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67"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37 </w:t>
            </w:r>
          </w:p>
        </w:tc>
        <w:tc>
          <w:tcPr>
            <w:tcW w:w="357" w:type="pct"/>
            <w:tcBorders>
              <w:top w:val="nil"/>
              <w:left w:val="nil"/>
              <w:bottom w:val="nil"/>
              <w:right w:val="nil"/>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357" w:type="pct"/>
            <w:tcBorders>
              <w:top w:val="nil"/>
              <w:left w:val="single" w:sz="4" w:space="0" w:color="auto"/>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796 </w:t>
            </w:r>
          </w:p>
        </w:tc>
        <w:tc>
          <w:tcPr>
            <w:tcW w:w="268"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24"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91"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00"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24"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32"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328"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2" w:type="pct"/>
            <w:tcBorders>
              <w:top w:val="nil"/>
              <w:left w:val="nil"/>
              <w:bottom w:val="nil"/>
              <w:right w:val="single" w:sz="4" w:space="0" w:color="auto"/>
            </w:tcBorders>
            <w:shd w:val="clear" w:color="auto" w:fill="auto"/>
            <w:noWrap/>
            <w:hideMark/>
          </w:tcPr>
          <w:p w:rsidR="00714BEB" w:rsidRPr="00714BEB" w:rsidRDefault="00714BEB" w:rsidP="0057517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w:t>
            </w:r>
            <w:r w:rsidR="00575175">
              <w:rPr>
                <w:rFonts w:asciiTheme="minorHAnsi" w:hAnsiTheme="minorHAnsi" w:cs="Arial"/>
                <w:b/>
                <w:bCs/>
                <w:sz w:val="16"/>
                <w:szCs w:val="16"/>
                <w:lang w:val="en-US" w:eastAsia="zh-CN"/>
              </w:rPr>
              <w:t xml:space="preserve">   </w:t>
            </w:r>
            <w:r w:rsidRPr="00714BEB">
              <w:rPr>
                <w:rFonts w:asciiTheme="minorHAnsi" w:hAnsiTheme="minorHAnsi" w:cs="Arial"/>
                <w:b/>
                <w:bCs/>
                <w:sz w:val="16"/>
                <w:szCs w:val="16"/>
                <w:lang w:val="en-US" w:eastAsia="zh-CN"/>
              </w:rPr>
              <w:t>796</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Other expenses</w:t>
            </w:r>
          </w:p>
        </w:tc>
        <w:tc>
          <w:tcPr>
            <w:tcW w:w="267" w:type="pct"/>
            <w:tcBorders>
              <w:top w:val="nil"/>
              <w:left w:val="single" w:sz="4" w:space="0" w:color="auto"/>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36 </w:t>
            </w:r>
          </w:p>
        </w:tc>
        <w:tc>
          <w:tcPr>
            <w:tcW w:w="284"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53 </w:t>
            </w:r>
          </w:p>
        </w:tc>
        <w:tc>
          <w:tcPr>
            <w:tcW w:w="297"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7 </w:t>
            </w:r>
          </w:p>
        </w:tc>
        <w:tc>
          <w:tcPr>
            <w:tcW w:w="267"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74 </w:t>
            </w:r>
          </w:p>
        </w:tc>
        <w:tc>
          <w:tcPr>
            <w:tcW w:w="357" w:type="pct"/>
            <w:tcBorders>
              <w:top w:val="nil"/>
              <w:left w:val="nil"/>
              <w:bottom w:val="nil"/>
              <w:right w:val="nil"/>
            </w:tcBorders>
            <w:shd w:val="clear" w:color="auto" w:fill="auto"/>
            <w:noWrap/>
            <w:hideMark/>
          </w:tcPr>
          <w:p w:rsidR="00714BEB" w:rsidRPr="00714BEB" w:rsidRDefault="00714BEB" w:rsidP="006A71D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r w:rsidR="006A71D0">
              <w:rPr>
                <w:rFonts w:asciiTheme="minorHAnsi" w:hAnsiTheme="minorHAnsi" w:cs="Arial"/>
                <w:color w:val="000000"/>
                <w:sz w:val="16"/>
                <w:szCs w:val="16"/>
                <w:lang w:val="en-US" w:eastAsia="zh-CN"/>
              </w:rPr>
              <w:t>5</w:t>
            </w:r>
            <w:r w:rsidRPr="00714BEB">
              <w:rPr>
                <w:rFonts w:asciiTheme="minorHAnsi" w:hAnsiTheme="minorHAnsi" w:cs="Arial"/>
                <w:color w:val="000000"/>
                <w:sz w:val="16"/>
                <w:szCs w:val="16"/>
                <w:lang w:val="en-US" w:eastAsia="zh-CN"/>
              </w:rPr>
              <w:t xml:space="preserve"> </w:t>
            </w:r>
          </w:p>
        </w:tc>
        <w:tc>
          <w:tcPr>
            <w:tcW w:w="357" w:type="pct"/>
            <w:tcBorders>
              <w:top w:val="nil"/>
              <w:left w:val="single" w:sz="4" w:space="0" w:color="auto"/>
              <w:bottom w:val="nil"/>
              <w:right w:val="single" w:sz="4" w:space="0" w:color="auto"/>
            </w:tcBorders>
            <w:shd w:val="clear" w:color="auto" w:fill="auto"/>
            <w:noWrap/>
            <w:hideMark/>
          </w:tcPr>
          <w:p w:rsidR="00714BEB" w:rsidRPr="00714BEB" w:rsidRDefault="00714BEB" w:rsidP="006A71D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w:t>
            </w:r>
            <w:r w:rsidR="006A71D0">
              <w:rPr>
                <w:rFonts w:asciiTheme="minorHAnsi" w:hAnsiTheme="minorHAnsi" w:cs="Arial"/>
                <w:b/>
                <w:bCs/>
                <w:color w:val="000000"/>
                <w:sz w:val="16"/>
                <w:szCs w:val="16"/>
                <w:lang w:val="en-US" w:eastAsia="zh-CN"/>
              </w:rPr>
              <w:t>176</w:t>
            </w:r>
            <w:r w:rsidRPr="00714BEB">
              <w:rPr>
                <w:rFonts w:asciiTheme="minorHAnsi" w:hAnsiTheme="minorHAnsi" w:cs="Arial"/>
                <w:b/>
                <w:bCs/>
                <w:color w:val="000000"/>
                <w:sz w:val="16"/>
                <w:szCs w:val="16"/>
                <w:lang w:val="en-US" w:eastAsia="zh-CN"/>
              </w:rPr>
              <w:t xml:space="preserve"> </w:t>
            </w:r>
          </w:p>
        </w:tc>
        <w:tc>
          <w:tcPr>
            <w:tcW w:w="268"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24"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91"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00"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426 </w:t>
            </w:r>
          </w:p>
        </w:tc>
        <w:tc>
          <w:tcPr>
            <w:tcW w:w="224"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32"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1,282 </w:t>
            </w:r>
          </w:p>
        </w:tc>
        <w:tc>
          <w:tcPr>
            <w:tcW w:w="328" w:type="pct"/>
            <w:tcBorders>
              <w:top w:val="nil"/>
              <w:left w:val="nil"/>
              <w:bottom w:val="nil"/>
              <w:right w:val="single" w:sz="4" w:space="0" w:color="auto"/>
            </w:tcBorders>
            <w:shd w:val="clear" w:color="auto" w:fill="auto"/>
            <w:noWrap/>
            <w:hideMark/>
          </w:tcPr>
          <w:p w:rsidR="00714BEB" w:rsidRPr="00714BEB" w:rsidRDefault="00714BEB" w:rsidP="008444C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-1,884 </w:t>
            </w:r>
          </w:p>
        </w:tc>
        <w:tc>
          <w:tcPr>
            <w:tcW w:w="252" w:type="pct"/>
            <w:tcBorders>
              <w:top w:val="nil"/>
              <w:left w:val="nil"/>
              <w:bottom w:val="nil"/>
              <w:right w:val="single" w:sz="4" w:space="0" w:color="auto"/>
            </w:tcBorders>
            <w:shd w:val="clear" w:color="auto" w:fill="auto"/>
            <w:noWrap/>
            <w:hideMark/>
          </w:tcPr>
          <w:p w:rsidR="00714BEB" w:rsidRPr="00714BEB" w:rsidRDefault="00714BEB" w:rsidP="0067670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w:t>
            </w:r>
            <w:r w:rsidR="00676708">
              <w:rPr>
                <w:rFonts w:asciiTheme="minorHAnsi" w:hAnsiTheme="minorHAnsi" w:cs="Arial"/>
                <w:b/>
                <w:bCs/>
                <w:sz w:val="16"/>
                <w:szCs w:val="16"/>
                <w:lang w:val="en-US" w:eastAsia="zh-CN"/>
              </w:rPr>
              <w:t>1</w:t>
            </w:r>
            <w:r w:rsidRPr="00714BEB">
              <w:rPr>
                <w:rFonts w:asciiTheme="minorHAnsi" w:hAnsiTheme="minorHAnsi" w:cs="Arial"/>
                <w:b/>
                <w:bCs/>
                <w:sz w:val="16"/>
                <w:szCs w:val="16"/>
                <w:lang w:val="en-US" w:eastAsia="zh-CN"/>
              </w:rPr>
              <w:t xml:space="preserve"> </w:t>
            </w:r>
          </w:p>
        </w:tc>
      </w:tr>
      <w:tr w:rsidR="008E0CAC" w:rsidRPr="00714BEB" w:rsidTr="008E0CAC">
        <w:trPr>
          <w:trHeight w:val="255"/>
        </w:trPr>
        <w:tc>
          <w:tcPr>
            <w:tcW w:w="580" w:type="pct"/>
            <w:tcBorders>
              <w:top w:val="nil"/>
              <w:left w:val="single" w:sz="4" w:space="0" w:color="auto"/>
              <w:bottom w:val="nil"/>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Finance expenses</w:t>
            </w:r>
          </w:p>
        </w:tc>
        <w:tc>
          <w:tcPr>
            <w:tcW w:w="267" w:type="pct"/>
            <w:tcBorders>
              <w:top w:val="nil"/>
              <w:left w:val="single" w:sz="4" w:space="0" w:color="auto"/>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113 </w:t>
            </w:r>
          </w:p>
        </w:tc>
        <w:tc>
          <w:tcPr>
            <w:tcW w:w="284"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16 </w:t>
            </w:r>
          </w:p>
        </w:tc>
        <w:tc>
          <w:tcPr>
            <w:tcW w:w="297"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13 </w:t>
            </w:r>
          </w:p>
        </w:tc>
        <w:tc>
          <w:tcPr>
            <w:tcW w:w="267"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35 </w:t>
            </w:r>
          </w:p>
        </w:tc>
        <w:tc>
          <w:tcPr>
            <w:tcW w:w="357" w:type="pct"/>
            <w:tcBorders>
              <w:top w:val="nil"/>
              <w:left w:val="nil"/>
              <w:bottom w:val="nil"/>
              <w:right w:val="nil"/>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379 </w:t>
            </w:r>
          </w:p>
        </w:tc>
        <w:tc>
          <w:tcPr>
            <w:tcW w:w="357" w:type="pct"/>
            <w:tcBorders>
              <w:top w:val="nil"/>
              <w:left w:val="single" w:sz="4" w:space="0" w:color="auto"/>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557 </w:t>
            </w:r>
          </w:p>
        </w:tc>
        <w:tc>
          <w:tcPr>
            <w:tcW w:w="268"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0 </w:t>
            </w:r>
          </w:p>
        </w:tc>
        <w:tc>
          <w:tcPr>
            <w:tcW w:w="224"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91"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11 </w:t>
            </w:r>
          </w:p>
        </w:tc>
        <w:tc>
          <w:tcPr>
            <w:tcW w:w="200"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35 </w:t>
            </w:r>
          </w:p>
        </w:tc>
        <w:tc>
          <w:tcPr>
            <w:tcW w:w="224"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0 </w:t>
            </w:r>
          </w:p>
        </w:tc>
        <w:tc>
          <w:tcPr>
            <w:tcW w:w="232"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17 </w:t>
            </w:r>
          </w:p>
        </w:tc>
        <w:tc>
          <w:tcPr>
            <w:tcW w:w="328"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252" w:type="pct"/>
            <w:tcBorders>
              <w:top w:val="nil"/>
              <w:left w:val="nil"/>
              <w:bottom w:val="nil"/>
              <w:right w:val="single" w:sz="4" w:space="0" w:color="auto"/>
            </w:tcBorders>
            <w:shd w:val="clear" w:color="auto" w:fill="auto"/>
            <w:noWrap/>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621 </w:t>
            </w:r>
          </w:p>
        </w:tc>
      </w:tr>
      <w:tr w:rsidR="008E0CAC" w:rsidRPr="00714BEB" w:rsidTr="008E0CAC">
        <w:trPr>
          <w:trHeight w:val="255"/>
        </w:trPr>
        <w:tc>
          <w:tcPr>
            <w:tcW w:w="580" w:type="pct"/>
            <w:tcBorders>
              <w:top w:val="single" w:sz="4" w:space="0" w:color="auto"/>
              <w:left w:val="single" w:sz="4" w:space="0" w:color="auto"/>
              <w:bottom w:val="single" w:sz="4" w:space="0" w:color="auto"/>
              <w:right w:val="nil"/>
            </w:tcBorders>
            <w:shd w:val="clear" w:color="auto" w:fill="auto"/>
            <w:noWrap/>
            <w:vAlign w:val="center"/>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Total expenses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77,869 </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25,067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13,248 </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26,887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67670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2</w:t>
            </w:r>
            <w:r w:rsidR="00676708">
              <w:rPr>
                <w:rFonts w:asciiTheme="minorHAnsi" w:hAnsiTheme="minorHAnsi" w:cs="Arial"/>
                <w:b/>
                <w:bCs/>
                <w:color w:val="000000"/>
                <w:sz w:val="16"/>
                <w:szCs w:val="16"/>
                <w:lang w:val="en-US" w:eastAsia="zh-CN"/>
              </w:rPr>
              <w:t>7</w:t>
            </w:r>
            <w:r w:rsidRPr="00714BEB">
              <w:rPr>
                <w:rFonts w:asciiTheme="minorHAnsi" w:hAnsiTheme="minorHAnsi" w:cs="Arial"/>
                <w:b/>
                <w:bCs/>
                <w:color w:val="000000"/>
                <w:sz w:val="16"/>
                <w:szCs w:val="16"/>
                <w:lang w:val="en-US" w:eastAsia="zh-CN"/>
              </w:rPr>
              <w:t>,</w:t>
            </w:r>
            <w:r w:rsidR="00676708">
              <w:rPr>
                <w:rFonts w:asciiTheme="minorHAnsi" w:hAnsiTheme="minorHAnsi" w:cs="Arial"/>
                <w:b/>
                <w:bCs/>
                <w:color w:val="000000"/>
                <w:sz w:val="16"/>
                <w:szCs w:val="16"/>
                <w:lang w:val="en-US" w:eastAsia="zh-CN"/>
              </w:rPr>
              <w:t>808</w:t>
            </w:r>
            <w:r w:rsidRPr="00714BEB">
              <w:rPr>
                <w:rFonts w:asciiTheme="minorHAnsi" w:hAnsiTheme="minorHAnsi" w:cs="Arial"/>
                <w:b/>
                <w:bCs/>
                <w:color w:val="000000"/>
                <w:sz w:val="16"/>
                <w:szCs w:val="16"/>
                <w:lang w:val="en-US" w:eastAsia="zh-CN"/>
              </w:rPr>
              <w:t xml:space="preserve">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67670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1</w:t>
            </w:r>
            <w:r w:rsidR="00676708">
              <w:rPr>
                <w:rFonts w:asciiTheme="minorHAnsi" w:hAnsiTheme="minorHAnsi" w:cs="Arial"/>
                <w:b/>
                <w:bCs/>
                <w:color w:val="000000"/>
                <w:sz w:val="16"/>
                <w:szCs w:val="16"/>
                <w:lang w:val="en-US" w:eastAsia="zh-CN"/>
              </w:rPr>
              <w:t>70</w:t>
            </w:r>
            <w:r w:rsidRPr="00714BEB">
              <w:rPr>
                <w:rFonts w:asciiTheme="minorHAnsi" w:hAnsiTheme="minorHAnsi" w:cs="Arial"/>
                <w:b/>
                <w:bCs/>
                <w:color w:val="000000"/>
                <w:sz w:val="16"/>
                <w:szCs w:val="16"/>
                <w:lang w:val="en-US" w:eastAsia="zh-CN"/>
              </w:rPr>
              <w:t>,</w:t>
            </w:r>
            <w:r w:rsidR="00676708">
              <w:rPr>
                <w:rFonts w:asciiTheme="minorHAnsi" w:hAnsiTheme="minorHAnsi" w:cs="Arial"/>
                <w:b/>
                <w:bCs/>
                <w:color w:val="000000"/>
                <w:sz w:val="16"/>
                <w:szCs w:val="16"/>
                <w:lang w:val="en-US" w:eastAsia="zh-CN"/>
              </w:rPr>
              <w:t>879</w:t>
            </w:r>
            <w:r w:rsidRPr="00714BEB">
              <w:rPr>
                <w:rFonts w:asciiTheme="minorHAnsi" w:hAnsiTheme="minorHAnsi" w:cs="Arial"/>
                <w:b/>
                <w:bCs/>
                <w:color w:val="000000"/>
                <w:sz w:val="16"/>
                <w:szCs w:val="16"/>
                <w:lang w:val="en-US" w:eastAsia="zh-CN"/>
              </w:rPr>
              <w:t xml:space="preserve">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91548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w:t>
            </w:r>
            <w:r w:rsidR="00915487">
              <w:rPr>
                <w:rFonts w:asciiTheme="minorHAnsi" w:hAnsiTheme="minorHAnsi" w:cs="Arial"/>
                <w:b/>
                <w:bCs/>
                <w:color w:val="000000"/>
                <w:sz w:val="16"/>
                <w:szCs w:val="16"/>
                <w:lang w:val="en-US" w:eastAsia="zh-CN"/>
              </w:rPr>
              <w:t>-</w:t>
            </w:r>
            <w:r w:rsidRPr="00714BEB">
              <w:rPr>
                <w:rFonts w:asciiTheme="minorHAnsi" w:hAnsiTheme="minorHAnsi" w:cs="Arial"/>
                <w:b/>
                <w:bCs/>
                <w:color w:val="000000"/>
                <w:sz w:val="16"/>
                <w:szCs w:val="16"/>
                <w:lang w:val="en-US" w:eastAsia="zh-CN"/>
              </w:rPr>
              <w:t xml:space="preserve"> 188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   </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19 </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2,611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6,539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0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   </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6,012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91548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w:t>
            </w:r>
            <w:r w:rsidR="00915487">
              <w:rPr>
                <w:rFonts w:asciiTheme="minorHAnsi" w:hAnsiTheme="minorHAnsi" w:cs="Arial"/>
                <w:b/>
                <w:bCs/>
                <w:color w:val="000000"/>
                <w:sz w:val="16"/>
                <w:szCs w:val="16"/>
                <w:lang w:val="en-US" w:eastAsia="zh-CN"/>
              </w:rPr>
              <w:t>-</w:t>
            </w:r>
            <w:r w:rsidRPr="00714BEB">
              <w:rPr>
                <w:rFonts w:asciiTheme="minorHAnsi" w:hAnsiTheme="minorHAnsi" w:cs="Arial"/>
                <w:b/>
                <w:bCs/>
                <w:color w:val="000000"/>
                <w:sz w:val="16"/>
                <w:szCs w:val="16"/>
                <w:lang w:val="en-US" w:eastAsia="zh-CN"/>
              </w:rPr>
              <w:t xml:space="preserve">1,884 </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67670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18</w:t>
            </w:r>
            <w:r w:rsidR="00676708">
              <w:rPr>
                <w:rFonts w:asciiTheme="minorHAnsi" w:hAnsiTheme="minorHAnsi" w:cs="Arial"/>
                <w:b/>
                <w:bCs/>
                <w:color w:val="000000"/>
                <w:sz w:val="16"/>
                <w:szCs w:val="16"/>
                <w:lang w:val="en-US" w:eastAsia="zh-CN"/>
              </w:rPr>
              <w:t>4</w:t>
            </w:r>
            <w:r w:rsidRPr="00714BEB">
              <w:rPr>
                <w:rFonts w:asciiTheme="minorHAnsi" w:hAnsiTheme="minorHAnsi" w:cs="Arial"/>
                <w:b/>
                <w:bCs/>
                <w:color w:val="000000"/>
                <w:sz w:val="16"/>
                <w:szCs w:val="16"/>
                <w:lang w:val="en-US" w:eastAsia="zh-CN"/>
              </w:rPr>
              <w:t>,</w:t>
            </w:r>
            <w:r w:rsidR="00676708">
              <w:rPr>
                <w:rFonts w:asciiTheme="minorHAnsi" w:hAnsiTheme="minorHAnsi" w:cs="Arial"/>
                <w:b/>
                <w:bCs/>
                <w:color w:val="000000"/>
                <w:sz w:val="16"/>
                <w:szCs w:val="16"/>
                <w:lang w:val="en-US" w:eastAsia="zh-CN"/>
              </w:rPr>
              <w:t>365</w:t>
            </w:r>
            <w:r w:rsidRPr="00714BEB">
              <w:rPr>
                <w:rFonts w:asciiTheme="minorHAnsi" w:hAnsiTheme="minorHAnsi" w:cs="Arial"/>
                <w:b/>
                <w:bCs/>
                <w:color w:val="000000"/>
                <w:sz w:val="16"/>
                <w:szCs w:val="16"/>
                <w:lang w:val="en-US" w:eastAsia="zh-CN"/>
              </w:rPr>
              <w:t xml:space="preserve"> </w:t>
            </w:r>
          </w:p>
        </w:tc>
      </w:tr>
      <w:tr w:rsidR="008E0CAC" w:rsidRPr="00714BEB" w:rsidTr="008E0CAC">
        <w:trPr>
          <w:trHeight w:val="510"/>
        </w:trPr>
        <w:tc>
          <w:tcPr>
            <w:tcW w:w="580" w:type="pct"/>
            <w:tcBorders>
              <w:top w:val="single" w:sz="4" w:space="0" w:color="auto"/>
              <w:left w:val="single" w:sz="4" w:space="0" w:color="auto"/>
              <w:bottom w:val="single" w:sz="4" w:space="0" w:color="auto"/>
              <w:right w:val="nil"/>
            </w:tcBorders>
            <w:shd w:val="clear" w:color="auto" w:fill="auto"/>
            <w:hideMark/>
          </w:tcPr>
          <w:p w:rsidR="00714BEB" w:rsidRPr="00714BEB"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Surplus / (deficit) for the period</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-76,549 </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14,429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91548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-4,552 </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575175">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-25,142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85,738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-6,076 </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91548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-188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95 </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-19 </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91548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604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8E0CA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-998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72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   </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91548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-259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D52AA7">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   </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714BEB" w:rsidRPr="00714BEB" w:rsidRDefault="00714BEB" w:rsidP="008E0CAC">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-7,976 </w:t>
            </w:r>
          </w:p>
        </w:tc>
      </w:tr>
    </w:tbl>
    <w:p w:rsidR="00714BEB" w:rsidRPr="00714BEB" w:rsidRDefault="00714BEB" w:rsidP="00714BEB">
      <w:pPr>
        <w:rPr>
          <w:lang w:val="en-US"/>
        </w:rPr>
      </w:pPr>
    </w:p>
    <w:p w:rsidR="0022373A" w:rsidRPr="00294F70" w:rsidRDefault="0022373A" w:rsidP="00714BEB">
      <w:pPr>
        <w:tabs>
          <w:tab w:val="clear" w:pos="567"/>
          <w:tab w:val="clear" w:pos="1134"/>
          <w:tab w:val="clear" w:pos="1701"/>
          <w:tab w:val="clear" w:pos="2268"/>
          <w:tab w:val="clear" w:pos="2835"/>
        </w:tabs>
        <w:overflowPunct/>
        <w:autoSpaceDE/>
        <w:autoSpaceDN/>
        <w:adjustRightInd/>
        <w:spacing w:before="0"/>
        <w:ind w:left="-851" w:firstLine="851"/>
        <w:textAlignment w:val="auto"/>
        <w:rPr>
          <w:b/>
          <w:bCs/>
          <w:lang w:val="en-US"/>
        </w:rPr>
      </w:pPr>
      <w:r w:rsidRPr="00294F70">
        <w:rPr>
          <w:b/>
          <w:bCs/>
          <w:lang w:val="en-US"/>
        </w:rPr>
        <w:t>Segment reporting – Statement of financial performance</w:t>
      </w:r>
      <w:bookmarkEnd w:id="132"/>
      <w:r w:rsidRPr="00294F70">
        <w:rPr>
          <w:b/>
          <w:bCs/>
          <w:lang w:val="en-US"/>
        </w:rPr>
        <w:t xml:space="preserve"> 201</w:t>
      </w:r>
      <w:bookmarkEnd w:id="133"/>
      <w:r w:rsidR="00714BEB">
        <w:rPr>
          <w:b/>
          <w:bCs/>
          <w:lang w:val="en-US"/>
        </w:rPr>
        <w:t>7</w:t>
      </w:r>
    </w:p>
    <w:tbl>
      <w:tblPr>
        <w:tblW w:w="5000" w:type="pct"/>
        <w:tblLook w:val="04A0" w:firstRow="1" w:lastRow="0" w:firstColumn="1" w:lastColumn="0" w:noHBand="0" w:noVBand="1"/>
      </w:tblPr>
      <w:tblGrid>
        <w:gridCol w:w="1735"/>
        <w:gridCol w:w="765"/>
        <w:gridCol w:w="917"/>
        <w:gridCol w:w="967"/>
        <w:gridCol w:w="1016"/>
        <w:gridCol w:w="1087"/>
        <w:gridCol w:w="1161"/>
        <w:gridCol w:w="1102"/>
        <w:gridCol w:w="921"/>
        <w:gridCol w:w="894"/>
        <w:gridCol w:w="750"/>
        <w:gridCol w:w="609"/>
        <w:gridCol w:w="658"/>
        <w:gridCol w:w="835"/>
        <w:gridCol w:w="1044"/>
        <w:gridCol w:w="980"/>
      </w:tblGrid>
      <w:tr w:rsidR="00714BEB" w:rsidRPr="00AD4557" w:rsidTr="00714BEB">
        <w:trPr>
          <w:trHeight w:val="900"/>
        </w:trPr>
        <w:tc>
          <w:tcPr>
            <w:tcW w:w="562" w:type="pct"/>
            <w:tcBorders>
              <w:top w:val="single" w:sz="4" w:space="0" w:color="auto"/>
              <w:left w:val="single" w:sz="4" w:space="0" w:color="auto"/>
              <w:bottom w:val="single" w:sz="4" w:space="0" w:color="auto"/>
              <w:right w:val="nil"/>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In thousands of CHF </w:t>
            </w:r>
          </w:p>
        </w:tc>
        <w:tc>
          <w:tcPr>
            <w:tcW w:w="248" w:type="pct"/>
            <w:tcBorders>
              <w:top w:val="single" w:sz="4" w:space="0" w:color="auto"/>
              <w:left w:val="single" w:sz="4" w:space="0" w:color="auto"/>
              <w:bottom w:val="single" w:sz="4" w:space="0" w:color="auto"/>
              <w:right w:val="nil"/>
            </w:tcBorders>
            <w:shd w:val="clear" w:color="auto" w:fill="auto"/>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Gen. Secret. </w:t>
            </w:r>
          </w:p>
        </w:tc>
        <w:tc>
          <w:tcPr>
            <w:tcW w:w="297" w:type="pct"/>
            <w:tcBorders>
              <w:top w:val="single" w:sz="4" w:space="0" w:color="auto"/>
              <w:left w:val="single" w:sz="4" w:space="0" w:color="auto"/>
              <w:bottom w:val="single" w:sz="4" w:space="0" w:color="auto"/>
              <w:right w:val="nil"/>
            </w:tcBorders>
            <w:shd w:val="clear" w:color="auto" w:fill="auto"/>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w:t>
            </w:r>
            <w:proofErr w:type="spellStart"/>
            <w:r w:rsidRPr="00AD4557">
              <w:rPr>
                <w:rFonts w:asciiTheme="minorHAnsi" w:hAnsiTheme="minorHAnsi" w:cs="Arial"/>
                <w:b/>
                <w:bCs/>
                <w:color w:val="000000"/>
                <w:sz w:val="16"/>
                <w:szCs w:val="16"/>
                <w:lang w:val="en-US" w:eastAsia="zh-CN"/>
              </w:rPr>
              <w:t>Radioc</w:t>
            </w:r>
            <w:proofErr w:type="spellEnd"/>
            <w:r w:rsidRPr="00AD4557">
              <w:rPr>
                <w:rFonts w:asciiTheme="minorHAnsi" w:hAnsiTheme="minorHAnsi" w:cs="Arial"/>
                <w:b/>
                <w:bCs/>
                <w:color w:val="000000"/>
                <w:sz w:val="16"/>
                <w:szCs w:val="16"/>
                <w:lang w:val="en-US" w:eastAsia="zh-CN"/>
              </w:rPr>
              <w:t xml:space="preserve">. Sector </w:t>
            </w:r>
          </w:p>
        </w:tc>
        <w:tc>
          <w:tcPr>
            <w:tcW w:w="313" w:type="pct"/>
            <w:tcBorders>
              <w:top w:val="single" w:sz="4" w:space="0" w:color="auto"/>
              <w:left w:val="single" w:sz="4" w:space="0" w:color="auto"/>
              <w:bottom w:val="single" w:sz="4" w:space="0" w:color="auto"/>
              <w:right w:val="nil"/>
            </w:tcBorders>
            <w:shd w:val="clear" w:color="auto" w:fill="auto"/>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w:t>
            </w:r>
            <w:proofErr w:type="spellStart"/>
            <w:r w:rsidRPr="00AD4557">
              <w:rPr>
                <w:rFonts w:asciiTheme="minorHAnsi" w:hAnsiTheme="minorHAnsi" w:cs="Arial"/>
                <w:b/>
                <w:bCs/>
                <w:color w:val="000000"/>
                <w:sz w:val="16"/>
                <w:szCs w:val="16"/>
                <w:lang w:val="en-US" w:eastAsia="zh-CN"/>
              </w:rPr>
              <w:t>Telec</w:t>
            </w:r>
            <w:proofErr w:type="spellEnd"/>
            <w:r w:rsidRPr="00AD4557">
              <w:rPr>
                <w:rFonts w:asciiTheme="minorHAnsi" w:hAnsiTheme="minorHAnsi" w:cs="Arial"/>
                <w:b/>
                <w:bCs/>
                <w:color w:val="000000"/>
                <w:sz w:val="16"/>
                <w:szCs w:val="16"/>
                <w:lang w:val="en-US" w:eastAsia="zh-CN"/>
              </w:rPr>
              <w:t xml:space="preserve">. Stand. Sector </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w:t>
            </w:r>
            <w:proofErr w:type="spellStart"/>
            <w:r w:rsidRPr="00AD4557">
              <w:rPr>
                <w:rFonts w:asciiTheme="minorHAnsi" w:hAnsiTheme="minorHAnsi" w:cs="Arial"/>
                <w:b/>
                <w:bCs/>
                <w:color w:val="000000"/>
                <w:sz w:val="16"/>
                <w:szCs w:val="16"/>
                <w:lang w:val="en-US" w:eastAsia="zh-CN"/>
              </w:rPr>
              <w:t>Telec</w:t>
            </w:r>
            <w:proofErr w:type="spellEnd"/>
            <w:r w:rsidRPr="00AD4557">
              <w:rPr>
                <w:rFonts w:asciiTheme="minorHAnsi" w:hAnsiTheme="minorHAnsi" w:cs="Arial"/>
                <w:b/>
                <w:bCs/>
                <w:color w:val="000000"/>
                <w:sz w:val="16"/>
                <w:szCs w:val="16"/>
                <w:lang w:val="en-US" w:eastAsia="zh-CN"/>
              </w:rPr>
              <w:t xml:space="preserve">. </w:t>
            </w:r>
            <w:proofErr w:type="spellStart"/>
            <w:r w:rsidRPr="00AD4557">
              <w:rPr>
                <w:rFonts w:asciiTheme="minorHAnsi" w:hAnsiTheme="minorHAnsi" w:cs="Arial"/>
                <w:b/>
                <w:bCs/>
                <w:color w:val="000000"/>
                <w:sz w:val="16"/>
                <w:szCs w:val="16"/>
                <w:lang w:val="en-US" w:eastAsia="zh-CN"/>
              </w:rPr>
              <w:t>Dev't</w:t>
            </w:r>
            <w:proofErr w:type="spellEnd"/>
            <w:r w:rsidRPr="00AD4557">
              <w:rPr>
                <w:rFonts w:asciiTheme="minorHAnsi" w:hAnsiTheme="minorHAnsi" w:cs="Arial"/>
                <w:b/>
                <w:bCs/>
                <w:color w:val="000000"/>
                <w:sz w:val="16"/>
                <w:szCs w:val="16"/>
                <w:lang w:val="en-US" w:eastAsia="zh-CN"/>
              </w:rPr>
              <w:t xml:space="preserve"> Sector </w:t>
            </w:r>
          </w:p>
        </w:tc>
        <w:tc>
          <w:tcPr>
            <w:tcW w:w="352" w:type="pct"/>
            <w:tcBorders>
              <w:top w:val="single" w:sz="4" w:space="0" w:color="auto"/>
              <w:left w:val="nil"/>
              <w:bottom w:val="single" w:sz="4" w:space="0" w:color="auto"/>
              <w:right w:val="nil"/>
            </w:tcBorders>
            <w:shd w:val="clear" w:color="auto" w:fill="auto"/>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Not attributable to a segment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Total Funds 1000+1010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New Building fund </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Insurance</w:t>
            </w:r>
            <w:r w:rsidRPr="00AD4557">
              <w:rPr>
                <w:rFonts w:asciiTheme="minorHAnsi" w:hAnsiTheme="minorHAnsi" w:cs="Arial"/>
                <w:b/>
                <w:bCs/>
                <w:color w:val="000000"/>
                <w:sz w:val="16"/>
                <w:szCs w:val="16"/>
                <w:lang w:val="en-US" w:eastAsia="zh-CN"/>
              </w:rPr>
              <w:br/>
              <w:t>fund</w:t>
            </w:r>
            <w:r w:rsidRPr="00AD4557">
              <w:rPr>
                <w:rFonts w:asciiTheme="minorHAnsi" w:hAnsiTheme="minorHAnsi" w:cs="Arial"/>
                <w:b/>
                <w:bCs/>
                <w:color w:val="000000"/>
                <w:sz w:val="16"/>
                <w:szCs w:val="16"/>
                <w:lang w:val="en-US" w:eastAsia="zh-CN"/>
              </w:rPr>
              <w:br/>
              <w:t xml:space="preserve"> </w:t>
            </w:r>
          </w:p>
        </w:tc>
        <w:tc>
          <w:tcPr>
            <w:tcW w:w="289" w:type="pct"/>
            <w:tcBorders>
              <w:top w:val="single" w:sz="4" w:space="0" w:color="auto"/>
              <w:left w:val="nil"/>
              <w:bottom w:val="single" w:sz="4" w:space="0" w:color="auto"/>
              <w:right w:val="single" w:sz="4" w:space="0" w:color="auto"/>
            </w:tcBorders>
            <w:shd w:val="clear" w:color="auto" w:fill="auto"/>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Voluntary</w:t>
            </w:r>
            <w:r w:rsidRPr="00AD4557">
              <w:rPr>
                <w:rFonts w:asciiTheme="minorHAnsi" w:hAnsiTheme="minorHAnsi" w:cs="Arial"/>
                <w:b/>
                <w:bCs/>
                <w:color w:val="000000"/>
                <w:sz w:val="16"/>
                <w:szCs w:val="16"/>
                <w:lang w:val="en-US" w:eastAsia="zh-CN"/>
              </w:rPr>
              <w:br/>
            </w:r>
            <w:proofErr w:type="spellStart"/>
            <w:r w:rsidRPr="00AD4557">
              <w:rPr>
                <w:rFonts w:asciiTheme="minorHAnsi" w:hAnsiTheme="minorHAnsi" w:cs="Arial"/>
                <w:b/>
                <w:bCs/>
                <w:color w:val="000000"/>
                <w:sz w:val="16"/>
                <w:szCs w:val="16"/>
                <w:lang w:val="en-US" w:eastAsia="zh-CN"/>
              </w:rPr>
              <w:t>contribs</w:t>
            </w:r>
            <w:proofErr w:type="spellEnd"/>
            <w:r w:rsidRPr="00AD4557">
              <w:rPr>
                <w:rFonts w:asciiTheme="minorHAnsi" w:hAnsiTheme="minorHAnsi" w:cs="Arial"/>
                <w:b/>
                <w:bCs/>
                <w:color w:val="000000"/>
                <w:sz w:val="16"/>
                <w:szCs w:val="16"/>
                <w:lang w:val="en-US" w:eastAsia="zh-CN"/>
              </w:rPr>
              <w:br/>
              <w:t xml:space="preserve"> </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FIT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ICTDF </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UNDP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Telecom </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Inter-sectors eliminations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Total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48" w:type="pct"/>
            <w:tcBorders>
              <w:top w:val="nil"/>
              <w:left w:val="single" w:sz="4" w:space="0" w:color="auto"/>
              <w:bottom w:val="nil"/>
              <w:right w:val="single" w:sz="4" w:space="0" w:color="auto"/>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29"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2" w:type="pct"/>
            <w:tcBorders>
              <w:top w:val="nil"/>
              <w:left w:val="nil"/>
              <w:bottom w:val="nil"/>
              <w:right w:val="nil"/>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76" w:type="pct"/>
            <w:tcBorders>
              <w:top w:val="nil"/>
              <w:left w:val="single" w:sz="4" w:space="0" w:color="auto"/>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8"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4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70"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38"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REVENUE</w:t>
            </w:r>
          </w:p>
        </w:tc>
        <w:tc>
          <w:tcPr>
            <w:tcW w:w="248" w:type="pct"/>
            <w:tcBorders>
              <w:top w:val="nil"/>
              <w:left w:val="single" w:sz="4" w:space="0" w:color="auto"/>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29"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52" w:type="pct"/>
            <w:tcBorders>
              <w:top w:val="nil"/>
              <w:left w:val="nil"/>
              <w:bottom w:val="nil"/>
              <w:right w:val="nil"/>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76" w:type="pct"/>
            <w:tcBorders>
              <w:top w:val="nil"/>
              <w:left w:val="single" w:sz="4" w:space="0" w:color="auto"/>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5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8"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9"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4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19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1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70"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38"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r>
      <w:tr w:rsidR="00714BEB" w:rsidRPr="00AD4557" w:rsidTr="00714BEB">
        <w:trPr>
          <w:trHeight w:val="83"/>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w:t>
            </w:r>
          </w:p>
        </w:tc>
        <w:tc>
          <w:tcPr>
            <w:tcW w:w="248" w:type="pct"/>
            <w:tcBorders>
              <w:top w:val="nil"/>
              <w:left w:val="single" w:sz="4" w:space="0" w:color="auto"/>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29"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52" w:type="pct"/>
            <w:tcBorders>
              <w:top w:val="nil"/>
              <w:left w:val="nil"/>
              <w:bottom w:val="nil"/>
              <w:right w:val="nil"/>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76" w:type="pct"/>
            <w:tcBorders>
              <w:top w:val="nil"/>
              <w:left w:val="single" w:sz="4" w:space="0" w:color="auto"/>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5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8"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9"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4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19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1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70"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38"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Assessed contributions</w:t>
            </w:r>
          </w:p>
        </w:tc>
        <w:tc>
          <w:tcPr>
            <w:tcW w:w="248"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6,683 </w:t>
            </w:r>
          </w:p>
        </w:tc>
        <w:tc>
          <w:tcPr>
            <w:tcW w:w="3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7,505 </w:t>
            </w:r>
          </w:p>
        </w:tc>
        <w:tc>
          <w:tcPr>
            <w:tcW w:w="32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1,598 </w:t>
            </w:r>
          </w:p>
        </w:tc>
        <w:tc>
          <w:tcPr>
            <w:tcW w:w="352"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106,604 </w:t>
            </w:r>
          </w:p>
        </w:tc>
        <w:tc>
          <w:tcPr>
            <w:tcW w:w="376"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122,390 </w:t>
            </w:r>
          </w:p>
        </w:tc>
        <w:tc>
          <w:tcPr>
            <w:tcW w:w="35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9"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43" w:type="pct"/>
            <w:tcBorders>
              <w:top w:val="nil"/>
              <w:left w:val="single" w:sz="4" w:space="0" w:color="auto"/>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single" w:sz="4" w:space="0" w:color="auto"/>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70"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38"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317"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122,390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Voluntary contributions</w:t>
            </w:r>
          </w:p>
        </w:tc>
        <w:tc>
          <w:tcPr>
            <w:tcW w:w="248"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2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52"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8 </w:t>
            </w:r>
          </w:p>
        </w:tc>
        <w:tc>
          <w:tcPr>
            <w:tcW w:w="376"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8 </w:t>
            </w:r>
          </w:p>
        </w:tc>
        <w:tc>
          <w:tcPr>
            <w:tcW w:w="35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2,261 </w:t>
            </w:r>
          </w:p>
        </w:tc>
        <w:tc>
          <w:tcPr>
            <w:tcW w:w="24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w:t>
            </w:r>
            <w:r>
              <w:rPr>
                <w:rFonts w:asciiTheme="minorHAnsi" w:hAnsiTheme="minorHAnsi" w:cs="Arial"/>
                <w:color w:val="000000"/>
                <w:sz w:val="16"/>
                <w:szCs w:val="16"/>
                <w:lang w:val="en-US" w:eastAsia="zh-CN"/>
              </w:rPr>
              <w:t>8</w:t>
            </w:r>
            <w:r w:rsidRPr="00AD4557">
              <w:rPr>
                <w:rFonts w:asciiTheme="minorHAnsi" w:hAnsiTheme="minorHAnsi" w:cs="Arial"/>
                <w:color w:val="000000"/>
                <w:sz w:val="16"/>
                <w:szCs w:val="16"/>
                <w:lang w:val="en-US" w:eastAsia="zh-CN"/>
              </w:rPr>
              <w:t xml:space="preserve"> ,316 </w:t>
            </w:r>
          </w:p>
        </w:tc>
        <w:tc>
          <w:tcPr>
            <w:tcW w:w="1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25 </w:t>
            </w:r>
          </w:p>
        </w:tc>
        <w:tc>
          <w:tcPr>
            <w:tcW w:w="270"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3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10,61</w:t>
            </w:r>
            <w:r>
              <w:rPr>
                <w:rFonts w:asciiTheme="minorHAnsi" w:hAnsiTheme="minorHAnsi" w:cs="Arial"/>
                <w:b/>
                <w:bCs/>
                <w:sz w:val="16"/>
                <w:szCs w:val="16"/>
                <w:lang w:val="en-US" w:eastAsia="zh-CN"/>
              </w:rPr>
              <w:t>0</w:t>
            </w:r>
            <w:r w:rsidRPr="00AD4557">
              <w:rPr>
                <w:rFonts w:asciiTheme="minorHAnsi" w:hAnsiTheme="minorHAnsi" w:cs="Arial"/>
                <w:b/>
                <w:bCs/>
                <w:sz w:val="16"/>
                <w:szCs w:val="16"/>
                <w:lang w:val="en-US" w:eastAsia="zh-CN"/>
              </w:rPr>
              <w:t xml:space="preserve">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Publications</w:t>
            </w:r>
          </w:p>
        </w:tc>
        <w:tc>
          <w:tcPr>
            <w:tcW w:w="248"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69 </w:t>
            </w:r>
          </w:p>
        </w:tc>
        <w:tc>
          <w:tcPr>
            <w:tcW w:w="2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w:t>
            </w:r>
            <w:r>
              <w:rPr>
                <w:rFonts w:asciiTheme="minorHAnsi" w:hAnsiTheme="minorHAnsi" w:cs="Arial"/>
                <w:sz w:val="16"/>
                <w:szCs w:val="16"/>
                <w:lang w:val="en-US" w:eastAsia="zh-CN"/>
              </w:rPr>
              <w:t>1</w:t>
            </w:r>
            <w:r w:rsidRPr="00AD4557">
              <w:rPr>
                <w:rFonts w:asciiTheme="minorHAnsi" w:hAnsiTheme="minorHAnsi" w:cs="Arial"/>
                <w:sz w:val="16"/>
                <w:szCs w:val="16"/>
                <w:lang w:val="en-US" w:eastAsia="zh-CN"/>
              </w:rPr>
              <w:t xml:space="preserve">9,280 </w:t>
            </w:r>
          </w:p>
        </w:tc>
        <w:tc>
          <w:tcPr>
            <w:tcW w:w="3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35 </w:t>
            </w:r>
          </w:p>
        </w:tc>
        <w:tc>
          <w:tcPr>
            <w:tcW w:w="32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202 </w:t>
            </w:r>
          </w:p>
        </w:tc>
        <w:tc>
          <w:tcPr>
            <w:tcW w:w="352"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6 </w:t>
            </w:r>
          </w:p>
        </w:tc>
        <w:tc>
          <w:tcPr>
            <w:tcW w:w="376"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w:t>
            </w:r>
            <w:r>
              <w:rPr>
                <w:rFonts w:asciiTheme="minorHAnsi" w:hAnsiTheme="minorHAnsi" w:cs="Arial"/>
                <w:b/>
                <w:bCs/>
                <w:sz w:val="16"/>
                <w:szCs w:val="16"/>
                <w:lang w:val="en-US" w:eastAsia="zh-CN"/>
              </w:rPr>
              <w:t>1</w:t>
            </w:r>
            <w:r w:rsidRPr="00AD4557">
              <w:rPr>
                <w:rFonts w:asciiTheme="minorHAnsi" w:hAnsiTheme="minorHAnsi" w:cs="Arial"/>
                <w:b/>
                <w:bCs/>
                <w:sz w:val="16"/>
                <w:szCs w:val="16"/>
                <w:lang w:val="en-US" w:eastAsia="zh-CN"/>
              </w:rPr>
              <w:t xml:space="preserve">9,592 </w:t>
            </w:r>
          </w:p>
        </w:tc>
        <w:tc>
          <w:tcPr>
            <w:tcW w:w="35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4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70"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3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19,592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Cost recovery</w:t>
            </w:r>
          </w:p>
        </w:tc>
        <w:tc>
          <w:tcPr>
            <w:tcW w:w="248"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6 </w:t>
            </w:r>
          </w:p>
        </w:tc>
        <w:tc>
          <w:tcPr>
            <w:tcW w:w="2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15,342 </w:t>
            </w:r>
          </w:p>
        </w:tc>
        <w:tc>
          <w:tcPr>
            <w:tcW w:w="3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141 </w:t>
            </w:r>
          </w:p>
        </w:tc>
        <w:tc>
          <w:tcPr>
            <w:tcW w:w="32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   </w:t>
            </w:r>
          </w:p>
        </w:tc>
        <w:tc>
          <w:tcPr>
            <w:tcW w:w="352"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2,093 </w:t>
            </w:r>
          </w:p>
        </w:tc>
        <w:tc>
          <w:tcPr>
            <w:tcW w:w="376"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17,582 </w:t>
            </w:r>
          </w:p>
        </w:tc>
        <w:tc>
          <w:tcPr>
            <w:tcW w:w="35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4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70"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3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17,582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Other revenu</w:t>
            </w:r>
            <w:r>
              <w:rPr>
                <w:rFonts w:asciiTheme="minorHAnsi" w:hAnsiTheme="minorHAnsi" w:cs="Arial"/>
                <w:color w:val="000000"/>
                <w:sz w:val="16"/>
                <w:szCs w:val="16"/>
                <w:lang w:val="en-US" w:eastAsia="zh-CN"/>
              </w:rPr>
              <w:t>e</w:t>
            </w:r>
          </w:p>
        </w:tc>
        <w:tc>
          <w:tcPr>
            <w:tcW w:w="248"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40 </w:t>
            </w:r>
          </w:p>
        </w:tc>
        <w:tc>
          <w:tcPr>
            <w:tcW w:w="2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312 </w:t>
            </w:r>
          </w:p>
        </w:tc>
        <w:tc>
          <w:tcPr>
            <w:tcW w:w="3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8 </w:t>
            </w:r>
          </w:p>
        </w:tc>
        <w:tc>
          <w:tcPr>
            <w:tcW w:w="32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3 </w:t>
            </w:r>
          </w:p>
        </w:tc>
        <w:tc>
          <w:tcPr>
            <w:tcW w:w="352"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1,</w:t>
            </w:r>
            <w:r>
              <w:rPr>
                <w:rFonts w:asciiTheme="minorHAnsi" w:hAnsiTheme="minorHAnsi" w:cs="Arial"/>
                <w:sz w:val="16"/>
                <w:szCs w:val="16"/>
                <w:lang w:val="en-US" w:eastAsia="zh-CN"/>
              </w:rPr>
              <w:t>844</w:t>
            </w:r>
            <w:r w:rsidRPr="00AD4557">
              <w:rPr>
                <w:rFonts w:asciiTheme="minorHAnsi" w:hAnsiTheme="minorHAnsi" w:cs="Arial"/>
                <w:sz w:val="16"/>
                <w:szCs w:val="16"/>
                <w:lang w:val="en-US" w:eastAsia="zh-CN"/>
              </w:rPr>
              <w:t xml:space="preserve"> </w:t>
            </w:r>
          </w:p>
        </w:tc>
        <w:tc>
          <w:tcPr>
            <w:tcW w:w="376"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w:t>
            </w:r>
            <w:r>
              <w:rPr>
                <w:rFonts w:asciiTheme="minorHAnsi" w:hAnsiTheme="minorHAnsi" w:cs="Arial"/>
                <w:b/>
                <w:bCs/>
                <w:sz w:val="16"/>
                <w:szCs w:val="16"/>
                <w:lang w:val="en-US" w:eastAsia="zh-CN"/>
              </w:rPr>
              <w:t>2</w:t>
            </w:r>
            <w:r w:rsidRPr="00AD4557">
              <w:rPr>
                <w:rFonts w:asciiTheme="minorHAnsi" w:hAnsiTheme="minorHAnsi" w:cs="Arial"/>
                <w:b/>
                <w:bCs/>
                <w:sz w:val="16"/>
                <w:szCs w:val="16"/>
                <w:lang w:val="en-US" w:eastAsia="zh-CN"/>
              </w:rPr>
              <w:t>,</w:t>
            </w:r>
            <w:r>
              <w:rPr>
                <w:rFonts w:asciiTheme="minorHAnsi" w:hAnsiTheme="minorHAnsi" w:cs="Arial"/>
                <w:b/>
                <w:bCs/>
                <w:sz w:val="16"/>
                <w:szCs w:val="16"/>
                <w:lang w:val="en-US" w:eastAsia="zh-CN"/>
              </w:rPr>
              <w:t>207</w:t>
            </w:r>
            <w:r w:rsidRPr="00AD4557">
              <w:rPr>
                <w:rFonts w:asciiTheme="minorHAnsi" w:hAnsiTheme="minorHAnsi" w:cs="Arial"/>
                <w:b/>
                <w:bCs/>
                <w:sz w:val="16"/>
                <w:szCs w:val="16"/>
                <w:lang w:val="en-US" w:eastAsia="zh-CN"/>
              </w:rPr>
              <w:t xml:space="preserve"> </w:t>
            </w:r>
          </w:p>
        </w:tc>
        <w:tc>
          <w:tcPr>
            <w:tcW w:w="35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47 </w:t>
            </w:r>
          </w:p>
        </w:tc>
        <w:tc>
          <w:tcPr>
            <w:tcW w:w="29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40 </w:t>
            </w:r>
          </w:p>
        </w:tc>
        <w:tc>
          <w:tcPr>
            <w:tcW w:w="24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21 </w:t>
            </w:r>
          </w:p>
        </w:tc>
        <w:tc>
          <w:tcPr>
            <w:tcW w:w="1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70"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7,409 </w:t>
            </w:r>
          </w:p>
        </w:tc>
        <w:tc>
          <w:tcPr>
            <w:tcW w:w="33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-2,501 </w:t>
            </w:r>
          </w:p>
        </w:tc>
        <w:tc>
          <w:tcPr>
            <w:tcW w:w="31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w:t>
            </w:r>
            <w:r>
              <w:rPr>
                <w:rFonts w:asciiTheme="minorHAnsi" w:hAnsiTheme="minorHAnsi" w:cs="Arial"/>
                <w:b/>
                <w:bCs/>
                <w:sz w:val="16"/>
                <w:szCs w:val="16"/>
                <w:lang w:val="en-US" w:eastAsia="zh-CN"/>
              </w:rPr>
              <w:t>7</w:t>
            </w:r>
            <w:r w:rsidRPr="00AD4557">
              <w:rPr>
                <w:rFonts w:asciiTheme="minorHAnsi" w:hAnsiTheme="minorHAnsi" w:cs="Arial"/>
                <w:b/>
                <w:bCs/>
                <w:sz w:val="16"/>
                <w:szCs w:val="16"/>
                <w:lang w:val="en-US" w:eastAsia="zh-CN"/>
              </w:rPr>
              <w:t>,</w:t>
            </w:r>
            <w:r>
              <w:rPr>
                <w:rFonts w:asciiTheme="minorHAnsi" w:hAnsiTheme="minorHAnsi" w:cs="Arial"/>
                <w:b/>
                <w:bCs/>
                <w:sz w:val="16"/>
                <w:szCs w:val="16"/>
                <w:lang w:val="en-US" w:eastAsia="zh-CN"/>
              </w:rPr>
              <w:t>223</w:t>
            </w:r>
            <w:r w:rsidRPr="00AD4557">
              <w:rPr>
                <w:rFonts w:asciiTheme="minorHAnsi" w:hAnsiTheme="minorHAnsi" w:cs="Arial"/>
                <w:b/>
                <w:bCs/>
                <w:sz w:val="16"/>
                <w:szCs w:val="16"/>
                <w:lang w:val="en-US" w:eastAsia="zh-CN"/>
              </w:rPr>
              <w:t xml:space="preserve">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Finance Revenue</w:t>
            </w:r>
          </w:p>
        </w:tc>
        <w:tc>
          <w:tcPr>
            <w:tcW w:w="248"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0 </w:t>
            </w:r>
          </w:p>
        </w:tc>
        <w:tc>
          <w:tcPr>
            <w:tcW w:w="3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2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3 </w:t>
            </w:r>
          </w:p>
        </w:tc>
        <w:tc>
          <w:tcPr>
            <w:tcW w:w="352"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60 </w:t>
            </w:r>
          </w:p>
        </w:tc>
        <w:tc>
          <w:tcPr>
            <w:tcW w:w="376"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62 </w:t>
            </w:r>
          </w:p>
        </w:tc>
        <w:tc>
          <w:tcPr>
            <w:tcW w:w="35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xml:space="preserve">                 1 </w:t>
            </w:r>
          </w:p>
        </w:tc>
        <w:tc>
          <w:tcPr>
            <w:tcW w:w="28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 </w:t>
            </w:r>
          </w:p>
        </w:tc>
        <w:tc>
          <w:tcPr>
            <w:tcW w:w="24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176 </w:t>
            </w:r>
          </w:p>
        </w:tc>
        <w:tc>
          <w:tcPr>
            <w:tcW w:w="1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35 </w:t>
            </w:r>
          </w:p>
        </w:tc>
        <w:tc>
          <w:tcPr>
            <w:tcW w:w="2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70"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-18 </w:t>
            </w:r>
          </w:p>
        </w:tc>
        <w:tc>
          <w:tcPr>
            <w:tcW w:w="33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258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48"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2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52"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76"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5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4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70"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3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w:t>
            </w:r>
          </w:p>
        </w:tc>
      </w:tr>
      <w:tr w:rsidR="00714BEB" w:rsidRPr="00AD4557" w:rsidTr="00714BEB">
        <w:trPr>
          <w:trHeight w:val="255"/>
        </w:trPr>
        <w:tc>
          <w:tcPr>
            <w:tcW w:w="562" w:type="pct"/>
            <w:tcBorders>
              <w:top w:val="single" w:sz="4" w:space="0" w:color="auto"/>
              <w:left w:val="single" w:sz="4" w:space="0" w:color="auto"/>
              <w:bottom w:val="single" w:sz="4" w:space="0" w:color="auto"/>
              <w:right w:val="nil"/>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Total revenue</w:t>
            </w: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115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41,617 </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7,689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1,806 </w:t>
            </w:r>
          </w:p>
        </w:tc>
        <w:tc>
          <w:tcPr>
            <w:tcW w:w="352" w:type="pct"/>
            <w:tcBorders>
              <w:top w:val="single" w:sz="4" w:space="0" w:color="auto"/>
              <w:left w:val="nil"/>
              <w:bottom w:val="single" w:sz="4" w:space="0" w:color="auto"/>
              <w:right w:val="nil"/>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110,</w:t>
            </w:r>
            <w:r>
              <w:rPr>
                <w:rFonts w:asciiTheme="minorHAnsi" w:hAnsiTheme="minorHAnsi" w:cs="Arial"/>
                <w:b/>
                <w:bCs/>
                <w:color w:val="000000"/>
                <w:sz w:val="16"/>
                <w:szCs w:val="16"/>
                <w:lang w:val="en-US" w:eastAsia="zh-CN"/>
              </w:rPr>
              <w:t>616</w:t>
            </w:r>
            <w:r w:rsidRPr="00AD4557">
              <w:rPr>
                <w:rFonts w:asciiTheme="minorHAnsi" w:hAnsiTheme="minorHAnsi" w:cs="Arial"/>
                <w:b/>
                <w:bCs/>
                <w:color w:val="000000"/>
                <w:sz w:val="16"/>
                <w:szCs w:val="16"/>
                <w:lang w:val="en-US" w:eastAsia="zh-CN"/>
              </w:rPr>
              <w:t xml:space="preserve"> </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161,</w:t>
            </w:r>
            <w:r>
              <w:rPr>
                <w:rFonts w:asciiTheme="minorHAnsi" w:hAnsiTheme="minorHAnsi" w:cs="Arial"/>
                <w:b/>
                <w:bCs/>
                <w:color w:val="000000"/>
                <w:sz w:val="16"/>
                <w:szCs w:val="16"/>
                <w:lang w:val="en-US" w:eastAsia="zh-CN"/>
              </w:rPr>
              <w:t>842</w:t>
            </w:r>
            <w:r w:rsidRPr="00AD4557">
              <w:rPr>
                <w:rFonts w:asciiTheme="minorHAnsi" w:hAnsiTheme="minorHAnsi" w:cs="Arial"/>
                <w:b/>
                <w:bCs/>
                <w:color w:val="000000"/>
                <w:sz w:val="16"/>
                <w:szCs w:val="16"/>
                <w:lang w:val="en-US" w:eastAsia="zh-CN"/>
              </w:rPr>
              <w:t xml:space="preserve">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47 </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 </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2,303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8,513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35 </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25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7,391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-2,501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177,</w:t>
            </w:r>
            <w:r>
              <w:rPr>
                <w:rFonts w:asciiTheme="minorHAnsi" w:hAnsiTheme="minorHAnsi" w:cs="Arial"/>
                <w:b/>
                <w:bCs/>
                <w:color w:val="000000"/>
                <w:sz w:val="16"/>
                <w:szCs w:val="16"/>
                <w:lang w:val="en-US" w:eastAsia="zh-CN"/>
              </w:rPr>
              <w:t>655</w:t>
            </w:r>
            <w:r w:rsidRPr="00AD4557">
              <w:rPr>
                <w:rFonts w:asciiTheme="minorHAnsi" w:hAnsiTheme="minorHAnsi" w:cs="Arial"/>
                <w:b/>
                <w:bCs/>
                <w:color w:val="000000"/>
                <w:sz w:val="16"/>
                <w:szCs w:val="16"/>
                <w:lang w:val="en-US" w:eastAsia="zh-CN"/>
              </w:rPr>
              <w:t xml:space="preserve">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w:t>
            </w:r>
          </w:p>
        </w:tc>
        <w:tc>
          <w:tcPr>
            <w:tcW w:w="248" w:type="pct"/>
            <w:tcBorders>
              <w:top w:val="nil"/>
              <w:left w:val="single" w:sz="4" w:space="0" w:color="auto"/>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29"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52" w:type="pct"/>
            <w:tcBorders>
              <w:top w:val="nil"/>
              <w:left w:val="nil"/>
              <w:bottom w:val="nil"/>
              <w:right w:val="nil"/>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76" w:type="pct"/>
            <w:tcBorders>
              <w:top w:val="nil"/>
              <w:left w:val="single" w:sz="4" w:space="0" w:color="auto"/>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5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98"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89"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4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19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1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270"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38"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c>
          <w:tcPr>
            <w:tcW w:w="31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r>
      <w:tr w:rsidR="00714BEB" w:rsidRPr="00AD4557" w:rsidTr="00714BEB">
        <w:trPr>
          <w:trHeight w:val="74"/>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EXPENSES</w:t>
            </w:r>
          </w:p>
        </w:tc>
        <w:tc>
          <w:tcPr>
            <w:tcW w:w="248" w:type="pct"/>
            <w:tcBorders>
              <w:top w:val="nil"/>
              <w:left w:val="single" w:sz="4" w:space="0" w:color="auto"/>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29"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2" w:type="pct"/>
            <w:tcBorders>
              <w:top w:val="nil"/>
              <w:left w:val="nil"/>
              <w:bottom w:val="nil"/>
              <w:right w:val="nil"/>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376" w:type="pct"/>
            <w:tcBorders>
              <w:top w:val="nil"/>
              <w:left w:val="single" w:sz="4" w:space="0" w:color="auto"/>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8"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4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70"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38"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r w:rsidRPr="00AD4557">
              <w:rPr>
                <w:rFonts w:asciiTheme="minorHAnsi" w:hAnsiTheme="minorHAnsi" w:cs="Arial"/>
                <w:sz w:val="16"/>
                <w:szCs w:val="16"/>
                <w:lang w:val="en-US" w:eastAsia="zh-CN"/>
              </w:rPr>
              <w:t>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w:t>
            </w:r>
          </w:p>
        </w:tc>
        <w:tc>
          <w:tcPr>
            <w:tcW w:w="248" w:type="pct"/>
            <w:tcBorders>
              <w:top w:val="nil"/>
              <w:left w:val="single" w:sz="4" w:space="0" w:color="auto"/>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29"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2" w:type="pct"/>
            <w:tcBorders>
              <w:top w:val="nil"/>
              <w:left w:val="nil"/>
              <w:bottom w:val="nil"/>
              <w:right w:val="nil"/>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76" w:type="pct"/>
            <w:tcBorders>
              <w:top w:val="nil"/>
              <w:left w:val="single" w:sz="4" w:space="0" w:color="auto"/>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8"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4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70"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38"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6"/>
                <w:szCs w:val="16"/>
                <w:lang w:val="en-US" w:eastAsia="zh-CN"/>
              </w:rPr>
            </w:pP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Employee expenses</w:t>
            </w:r>
          </w:p>
        </w:tc>
        <w:tc>
          <w:tcPr>
            <w:tcW w:w="248"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66,100 </w:t>
            </w:r>
          </w:p>
        </w:tc>
        <w:tc>
          <w:tcPr>
            <w:tcW w:w="2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25,324 </w:t>
            </w:r>
          </w:p>
        </w:tc>
        <w:tc>
          <w:tcPr>
            <w:tcW w:w="3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10,857 </w:t>
            </w:r>
          </w:p>
        </w:tc>
        <w:tc>
          <w:tcPr>
            <w:tcW w:w="32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22,257 </w:t>
            </w:r>
          </w:p>
        </w:tc>
        <w:tc>
          <w:tcPr>
            <w:tcW w:w="352"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18,214 </w:t>
            </w:r>
          </w:p>
        </w:tc>
        <w:tc>
          <w:tcPr>
            <w:tcW w:w="376"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142,752 </w:t>
            </w:r>
          </w:p>
        </w:tc>
        <w:tc>
          <w:tcPr>
            <w:tcW w:w="35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18 </w:t>
            </w:r>
          </w:p>
        </w:tc>
        <w:tc>
          <w:tcPr>
            <w:tcW w:w="29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22 </w:t>
            </w:r>
          </w:p>
        </w:tc>
        <w:tc>
          <w:tcPr>
            <w:tcW w:w="28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837 </w:t>
            </w:r>
          </w:p>
        </w:tc>
        <w:tc>
          <w:tcPr>
            <w:tcW w:w="24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1,786 </w:t>
            </w:r>
          </w:p>
        </w:tc>
        <w:tc>
          <w:tcPr>
            <w:tcW w:w="1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81 </w:t>
            </w:r>
          </w:p>
        </w:tc>
        <w:tc>
          <w:tcPr>
            <w:tcW w:w="2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22 </w:t>
            </w:r>
          </w:p>
        </w:tc>
        <w:tc>
          <w:tcPr>
            <w:tcW w:w="270"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3,230 </w:t>
            </w:r>
          </w:p>
        </w:tc>
        <w:tc>
          <w:tcPr>
            <w:tcW w:w="33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148,748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Mission expenses</w:t>
            </w:r>
          </w:p>
        </w:tc>
        <w:tc>
          <w:tcPr>
            <w:tcW w:w="248"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872 </w:t>
            </w:r>
          </w:p>
        </w:tc>
        <w:tc>
          <w:tcPr>
            <w:tcW w:w="2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1,088 </w:t>
            </w:r>
          </w:p>
        </w:tc>
        <w:tc>
          <w:tcPr>
            <w:tcW w:w="3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811 </w:t>
            </w:r>
          </w:p>
        </w:tc>
        <w:tc>
          <w:tcPr>
            <w:tcW w:w="32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2,561 </w:t>
            </w:r>
          </w:p>
        </w:tc>
        <w:tc>
          <w:tcPr>
            <w:tcW w:w="352"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76"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5,331 </w:t>
            </w:r>
          </w:p>
        </w:tc>
        <w:tc>
          <w:tcPr>
            <w:tcW w:w="35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53 </w:t>
            </w:r>
          </w:p>
        </w:tc>
        <w:tc>
          <w:tcPr>
            <w:tcW w:w="29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416 </w:t>
            </w:r>
          </w:p>
        </w:tc>
        <w:tc>
          <w:tcPr>
            <w:tcW w:w="24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796 </w:t>
            </w:r>
          </w:p>
        </w:tc>
        <w:tc>
          <w:tcPr>
            <w:tcW w:w="1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   </w:t>
            </w:r>
          </w:p>
        </w:tc>
        <w:tc>
          <w:tcPr>
            <w:tcW w:w="270"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372 </w:t>
            </w:r>
          </w:p>
        </w:tc>
        <w:tc>
          <w:tcPr>
            <w:tcW w:w="33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6,969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Contractual services</w:t>
            </w:r>
          </w:p>
        </w:tc>
        <w:tc>
          <w:tcPr>
            <w:tcW w:w="248"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4,821 </w:t>
            </w:r>
          </w:p>
        </w:tc>
        <w:tc>
          <w:tcPr>
            <w:tcW w:w="2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298 </w:t>
            </w:r>
          </w:p>
        </w:tc>
        <w:tc>
          <w:tcPr>
            <w:tcW w:w="3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469 </w:t>
            </w:r>
          </w:p>
        </w:tc>
        <w:tc>
          <w:tcPr>
            <w:tcW w:w="32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2,075 </w:t>
            </w:r>
          </w:p>
        </w:tc>
        <w:tc>
          <w:tcPr>
            <w:tcW w:w="352"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447 </w:t>
            </w:r>
          </w:p>
        </w:tc>
        <w:tc>
          <w:tcPr>
            <w:tcW w:w="376"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8,110 </w:t>
            </w:r>
          </w:p>
        </w:tc>
        <w:tc>
          <w:tcPr>
            <w:tcW w:w="35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287 </w:t>
            </w:r>
          </w:p>
        </w:tc>
        <w:tc>
          <w:tcPr>
            <w:tcW w:w="29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1,101 </w:t>
            </w:r>
          </w:p>
        </w:tc>
        <w:tc>
          <w:tcPr>
            <w:tcW w:w="24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4,573 </w:t>
            </w:r>
          </w:p>
        </w:tc>
        <w:tc>
          <w:tcPr>
            <w:tcW w:w="1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70"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1,542 </w:t>
            </w:r>
          </w:p>
        </w:tc>
        <w:tc>
          <w:tcPr>
            <w:tcW w:w="33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15,613 </w:t>
            </w:r>
          </w:p>
        </w:tc>
      </w:tr>
      <w:tr w:rsidR="00714BEB" w:rsidRPr="00AD4557" w:rsidTr="00714BEB">
        <w:trPr>
          <w:trHeight w:val="765"/>
        </w:trPr>
        <w:tc>
          <w:tcPr>
            <w:tcW w:w="562" w:type="pct"/>
            <w:tcBorders>
              <w:top w:val="nil"/>
              <w:left w:val="single" w:sz="4" w:space="0" w:color="auto"/>
              <w:bottom w:val="nil"/>
              <w:right w:val="nil"/>
            </w:tcBorders>
            <w:shd w:val="clear" w:color="auto" w:fill="auto"/>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Rental and maintenance of premises and equipment</w:t>
            </w:r>
          </w:p>
        </w:tc>
        <w:tc>
          <w:tcPr>
            <w:tcW w:w="248"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3,723 </w:t>
            </w:r>
          </w:p>
        </w:tc>
        <w:tc>
          <w:tcPr>
            <w:tcW w:w="2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69 </w:t>
            </w:r>
          </w:p>
        </w:tc>
        <w:tc>
          <w:tcPr>
            <w:tcW w:w="3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33 </w:t>
            </w:r>
          </w:p>
        </w:tc>
        <w:tc>
          <w:tcPr>
            <w:tcW w:w="32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103 </w:t>
            </w:r>
          </w:p>
        </w:tc>
        <w:tc>
          <w:tcPr>
            <w:tcW w:w="352"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17 </w:t>
            </w:r>
          </w:p>
        </w:tc>
        <w:tc>
          <w:tcPr>
            <w:tcW w:w="376"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3,945 </w:t>
            </w:r>
          </w:p>
        </w:tc>
        <w:tc>
          <w:tcPr>
            <w:tcW w:w="35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35 </w:t>
            </w:r>
          </w:p>
        </w:tc>
        <w:tc>
          <w:tcPr>
            <w:tcW w:w="29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104 </w:t>
            </w:r>
          </w:p>
        </w:tc>
        <w:tc>
          <w:tcPr>
            <w:tcW w:w="24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 </w:t>
            </w:r>
          </w:p>
        </w:tc>
        <w:tc>
          <w:tcPr>
            <w:tcW w:w="1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70"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322 </w:t>
            </w:r>
          </w:p>
        </w:tc>
        <w:tc>
          <w:tcPr>
            <w:tcW w:w="33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4,411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Equipment and supplies</w:t>
            </w:r>
          </w:p>
        </w:tc>
        <w:tc>
          <w:tcPr>
            <w:tcW w:w="248"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1,141 </w:t>
            </w:r>
          </w:p>
        </w:tc>
        <w:tc>
          <w:tcPr>
            <w:tcW w:w="2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395 </w:t>
            </w:r>
          </w:p>
        </w:tc>
        <w:tc>
          <w:tcPr>
            <w:tcW w:w="3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65 </w:t>
            </w:r>
          </w:p>
        </w:tc>
        <w:tc>
          <w:tcPr>
            <w:tcW w:w="32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482 </w:t>
            </w:r>
          </w:p>
        </w:tc>
        <w:tc>
          <w:tcPr>
            <w:tcW w:w="352"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224 </w:t>
            </w:r>
          </w:p>
        </w:tc>
        <w:tc>
          <w:tcPr>
            <w:tcW w:w="376"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2,307 </w:t>
            </w:r>
          </w:p>
        </w:tc>
        <w:tc>
          <w:tcPr>
            <w:tcW w:w="35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 </w:t>
            </w:r>
          </w:p>
        </w:tc>
        <w:tc>
          <w:tcPr>
            <w:tcW w:w="29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280 </w:t>
            </w:r>
          </w:p>
        </w:tc>
        <w:tc>
          <w:tcPr>
            <w:tcW w:w="24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1,145 </w:t>
            </w:r>
          </w:p>
        </w:tc>
        <w:tc>
          <w:tcPr>
            <w:tcW w:w="1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70"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139 </w:t>
            </w:r>
          </w:p>
        </w:tc>
        <w:tc>
          <w:tcPr>
            <w:tcW w:w="33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3,875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Depreciation</w:t>
            </w:r>
          </w:p>
        </w:tc>
        <w:tc>
          <w:tcPr>
            <w:tcW w:w="248"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2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2"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5,070 </w:t>
            </w:r>
          </w:p>
        </w:tc>
        <w:tc>
          <w:tcPr>
            <w:tcW w:w="376"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5,070 </w:t>
            </w:r>
          </w:p>
        </w:tc>
        <w:tc>
          <w:tcPr>
            <w:tcW w:w="35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0 </w:t>
            </w:r>
          </w:p>
        </w:tc>
        <w:tc>
          <w:tcPr>
            <w:tcW w:w="29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86 </w:t>
            </w:r>
          </w:p>
        </w:tc>
        <w:tc>
          <w:tcPr>
            <w:tcW w:w="24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56 </w:t>
            </w:r>
          </w:p>
        </w:tc>
        <w:tc>
          <w:tcPr>
            <w:tcW w:w="1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70"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3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5,212 </w:t>
            </w:r>
          </w:p>
        </w:tc>
      </w:tr>
      <w:tr w:rsidR="00714BEB" w:rsidRPr="00AD4557" w:rsidTr="00714BEB">
        <w:trPr>
          <w:trHeight w:val="526"/>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Shipping, telecommunication and services expenses</w:t>
            </w:r>
          </w:p>
        </w:tc>
        <w:tc>
          <w:tcPr>
            <w:tcW w:w="248"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1,099 </w:t>
            </w:r>
          </w:p>
        </w:tc>
        <w:tc>
          <w:tcPr>
            <w:tcW w:w="2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251 </w:t>
            </w:r>
          </w:p>
        </w:tc>
        <w:tc>
          <w:tcPr>
            <w:tcW w:w="3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52 </w:t>
            </w:r>
          </w:p>
        </w:tc>
        <w:tc>
          <w:tcPr>
            <w:tcW w:w="32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157 </w:t>
            </w:r>
          </w:p>
        </w:tc>
        <w:tc>
          <w:tcPr>
            <w:tcW w:w="352"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76"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1,560 </w:t>
            </w:r>
          </w:p>
        </w:tc>
        <w:tc>
          <w:tcPr>
            <w:tcW w:w="35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 </w:t>
            </w:r>
          </w:p>
        </w:tc>
        <w:tc>
          <w:tcPr>
            <w:tcW w:w="24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10 </w:t>
            </w:r>
          </w:p>
        </w:tc>
        <w:tc>
          <w:tcPr>
            <w:tcW w:w="1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70"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6 </w:t>
            </w:r>
          </w:p>
        </w:tc>
        <w:tc>
          <w:tcPr>
            <w:tcW w:w="33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1,576 </w:t>
            </w:r>
          </w:p>
        </w:tc>
      </w:tr>
      <w:tr w:rsidR="00714BEB" w:rsidRPr="00AD4557" w:rsidTr="00714BEB">
        <w:trPr>
          <w:trHeight w:val="662"/>
        </w:trPr>
        <w:tc>
          <w:tcPr>
            <w:tcW w:w="562" w:type="pct"/>
            <w:tcBorders>
              <w:top w:val="nil"/>
              <w:left w:val="single" w:sz="4" w:space="0" w:color="auto"/>
              <w:bottom w:val="nil"/>
              <w:right w:val="nil"/>
            </w:tcBorders>
            <w:shd w:val="clear" w:color="auto" w:fill="auto"/>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Auditing of accounts and inter-organizational contributions</w:t>
            </w:r>
          </w:p>
        </w:tc>
        <w:tc>
          <w:tcPr>
            <w:tcW w:w="248"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573 </w:t>
            </w:r>
          </w:p>
        </w:tc>
        <w:tc>
          <w:tcPr>
            <w:tcW w:w="2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2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53 </w:t>
            </w:r>
          </w:p>
        </w:tc>
        <w:tc>
          <w:tcPr>
            <w:tcW w:w="352"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76"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626 </w:t>
            </w:r>
          </w:p>
        </w:tc>
        <w:tc>
          <w:tcPr>
            <w:tcW w:w="35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4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70"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3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626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Other expenses</w:t>
            </w:r>
          </w:p>
        </w:tc>
        <w:tc>
          <w:tcPr>
            <w:tcW w:w="248"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40 </w:t>
            </w:r>
          </w:p>
        </w:tc>
        <w:tc>
          <w:tcPr>
            <w:tcW w:w="2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0 </w:t>
            </w:r>
          </w:p>
        </w:tc>
        <w:tc>
          <w:tcPr>
            <w:tcW w:w="32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17 </w:t>
            </w:r>
          </w:p>
        </w:tc>
        <w:tc>
          <w:tcPr>
            <w:tcW w:w="352"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6,</w:t>
            </w:r>
            <w:r>
              <w:rPr>
                <w:rFonts w:asciiTheme="minorHAnsi" w:hAnsiTheme="minorHAnsi" w:cs="Arial"/>
                <w:color w:val="000000"/>
                <w:sz w:val="16"/>
                <w:szCs w:val="16"/>
                <w:lang w:val="en-US" w:eastAsia="zh-CN"/>
              </w:rPr>
              <w:t>811</w:t>
            </w:r>
            <w:r w:rsidRPr="00AD4557">
              <w:rPr>
                <w:rFonts w:asciiTheme="minorHAnsi" w:hAnsiTheme="minorHAnsi" w:cs="Arial"/>
                <w:color w:val="000000"/>
                <w:sz w:val="16"/>
                <w:szCs w:val="16"/>
                <w:lang w:val="en-US" w:eastAsia="zh-CN"/>
              </w:rPr>
              <w:t xml:space="preserve"> </w:t>
            </w:r>
          </w:p>
        </w:tc>
        <w:tc>
          <w:tcPr>
            <w:tcW w:w="376"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6,</w:t>
            </w:r>
            <w:r>
              <w:rPr>
                <w:rFonts w:asciiTheme="minorHAnsi" w:hAnsiTheme="minorHAnsi" w:cs="Arial"/>
                <w:b/>
                <w:bCs/>
                <w:color w:val="000000"/>
                <w:sz w:val="16"/>
                <w:szCs w:val="16"/>
                <w:lang w:val="en-US" w:eastAsia="zh-CN"/>
              </w:rPr>
              <w:t>868</w:t>
            </w:r>
            <w:r w:rsidRPr="00AD4557">
              <w:rPr>
                <w:rFonts w:asciiTheme="minorHAnsi" w:hAnsiTheme="minorHAnsi" w:cs="Arial"/>
                <w:b/>
                <w:bCs/>
                <w:color w:val="000000"/>
                <w:sz w:val="16"/>
                <w:szCs w:val="16"/>
                <w:lang w:val="en-US" w:eastAsia="zh-CN"/>
              </w:rPr>
              <w:t xml:space="preserve"> </w:t>
            </w:r>
          </w:p>
        </w:tc>
        <w:tc>
          <w:tcPr>
            <w:tcW w:w="35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320 </w:t>
            </w:r>
          </w:p>
        </w:tc>
        <w:tc>
          <w:tcPr>
            <w:tcW w:w="29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0 </w:t>
            </w:r>
          </w:p>
        </w:tc>
        <w:tc>
          <w:tcPr>
            <w:tcW w:w="24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569 </w:t>
            </w:r>
          </w:p>
        </w:tc>
        <w:tc>
          <w:tcPr>
            <w:tcW w:w="1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 </w:t>
            </w:r>
          </w:p>
        </w:tc>
        <w:tc>
          <w:tcPr>
            <w:tcW w:w="270"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1,771 </w:t>
            </w:r>
          </w:p>
        </w:tc>
        <w:tc>
          <w:tcPr>
            <w:tcW w:w="33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-2,501 </w:t>
            </w:r>
          </w:p>
        </w:tc>
        <w:tc>
          <w:tcPr>
            <w:tcW w:w="31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w:t>
            </w:r>
            <w:r>
              <w:rPr>
                <w:rFonts w:asciiTheme="minorHAnsi" w:hAnsiTheme="minorHAnsi" w:cs="Arial"/>
                <w:b/>
                <w:bCs/>
                <w:sz w:val="16"/>
                <w:szCs w:val="16"/>
                <w:lang w:val="en-US" w:eastAsia="zh-CN"/>
              </w:rPr>
              <w:t>7</w:t>
            </w:r>
            <w:r w:rsidRPr="00AD4557">
              <w:rPr>
                <w:rFonts w:asciiTheme="minorHAnsi" w:hAnsiTheme="minorHAnsi" w:cs="Arial"/>
                <w:b/>
                <w:bCs/>
                <w:sz w:val="16"/>
                <w:szCs w:val="16"/>
                <w:lang w:val="en-US" w:eastAsia="zh-CN"/>
              </w:rPr>
              <w:t>,</w:t>
            </w:r>
            <w:r>
              <w:rPr>
                <w:rFonts w:asciiTheme="minorHAnsi" w:hAnsiTheme="minorHAnsi" w:cs="Arial"/>
                <w:b/>
                <w:bCs/>
                <w:sz w:val="16"/>
                <w:szCs w:val="16"/>
                <w:lang w:val="en-US" w:eastAsia="zh-CN"/>
              </w:rPr>
              <w:t>030</w:t>
            </w:r>
            <w:r w:rsidRPr="00AD4557">
              <w:rPr>
                <w:rFonts w:asciiTheme="minorHAnsi" w:hAnsiTheme="minorHAnsi" w:cs="Arial"/>
                <w:b/>
                <w:bCs/>
                <w:sz w:val="16"/>
                <w:szCs w:val="16"/>
                <w:lang w:val="en-US" w:eastAsia="zh-CN"/>
              </w:rPr>
              <w:t xml:space="preserve">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Finance expenses</w:t>
            </w:r>
          </w:p>
        </w:tc>
        <w:tc>
          <w:tcPr>
            <w:tcW w:w="248"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135 </w:t>
            </w:r>
          </w:p>
        </w:tc>
        <w:tc>
          <w:tcPr>
            <w:tcW w:w="2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17 </w:t>
            </w:r>
          </w:p>
        </w:tc>
        <w:tc>
          <w:tcPr>
            <w:tcW w:w="3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11 </w:t>
            </w:r>
          </w:p>
        </w:tc>
        <w:tc>
          <w:tcPr>
            <w:tcW w:w="32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39 </w:t>
            </w:r>
          </w:p>
        </w:tc>
        <w:tc>
          <w:tcPr>
            <w:tcW w:w="352" w:type="pct"/>
            <w:tcBorders>
              <w:top w:val="nil"/>
              <w:left w:val="nil"/>
              <w:bottom w:val="nil"/>
              <w:right w:val="nil"/>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369 </w:t>
            </w:r>
          </w:p>
        </w:tc>
        <w:tc>
          <w:tcPr>
            <w:tcW w:w="376" w:type="pct"/>
            <w:tcBorders>
              <w:top w:val="nil"/>
              <w:left w:val="single" w:sz="4" w:space="0" w:color="auto"/>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571 </w:t>
            </w:r>
          </w:p>
        </w:tc>
        <w:tc>
          <w:tcPr>
            <w:tcW w:w="35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22 </w:t>
            </w:r>
          </w:p>
        </w:tc>
        <w:tc>
          <w:tcPr>
            <w:tcW w:w="24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51 </w:t>
            </w:r>
          </w:p>
        </w:tc>
        <w:tc>
          <w:tcPr>
            <w:tcW w:w="19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16 </w:t>
            </w:r>
          </w:p>
        </w:tc>
        <w:tc>
          <w:tcPr>
            <w:tcW w:w="213"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70"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12 </w:t>
            </w:r>
          </w:p>
        </w:tc>
        <w:tc>
          <w:tcPr>
            <w:tcW w:w="338"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xml:space="preserve">   </w:t>
            </w:r>
          </w:p>
        </w:tc>
        <w:tc>
          <w:tcPr>
            <w:tcW w:w="317" w:type="pct"/>
            <w:tcBorders>
              <w:top w:val="nil"/>
              <w:left w:val="nil"/>
              <w:bottom w:val="nil"/>
              <w:right w:val="single" w:sz="4" w:space="0" w:color="auto"/>
            </w:tcBorders>
            <w:shd w:val="clear" w:color="auto" w:fill="auto"/>
            <w:noWrap/>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674 </w:t>
            </w:r>
          </w:p>
        </w:tc>
      </w:tr>
      <w:tr w:rsidR="00714BEB" w:rsidRPr="00AD4557" w:rsidTr="00714BEB">
        <w:trPr>
          <w:trHeight w:val="255"/>
        </w:trPr>
        <w:tc>
          <w:tcPr>
            <w:tcW w:w="562" w:type="pct"/>
            <w:tcBorders>
              <w:top w:val="nil"/>
              <w:left w:val="single" w:sz="4" w:space="0" w:color="auto"/>
              <w:bottom w:val="nil"/>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48" w:type="pct"/>
            <w:tcBorders>
              <w:top w:val="nil"/>
              <w:left w:val="single" w:sz="4" w:space="0" w:color="auto"/>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29"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2" w:type="pct"/>
            <w:tcBorders>
              <w:top w:val="nil"/>
              <w:left w:val="nil"/>
              <w:bottom w:val="nil"/>
              <w:right w:val="nil"/>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76" w:type="pct"/>
            <w:tcBorders>
              <w:top w:val="nil"/>
              <w:left w:val="single" w:sz="4" w:space="0" w:color="auto"/>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5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98"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89"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4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19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13"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270"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38"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6"/>
                <w:szCs w:val="16"/>
                <w:lang w:val="en-US" w:eastAsia="zh-CN"/>
              </w:rPr>
            </w:pPr>
            <w:r w:rsidRPr="00AD4557">
              <w:rPr>
                <w:rFonts w:asciiTheme="minorHAnsi" w:hAnsiTheme="minorHAnsi" w:cs="Arial"/>
                <w:color w:val="000000"/>
                <w:sz w:val="16"/>
                <w:szCs w:val="16"/>
                <w:lang w:val="en-US" w:eastAsia="zh-CN"/>
              </w:rPr>
              <w:t> </w:t>
            </w:r>
          </w:p>
        </w:tc>
        <w:tc>
          <w:tcPr>
            <w:tcW w:w="317" w:type="pct"/>
            <w:tcBorders>
              <w:top w:val="nil"/>
              <w:left w:val="nil"/>
              <w:bottom w:val="nil"/>
              <w:right w:val="single" w:sz="4" w:space="0" w:color="auto"/>
            </w:tcBorders>
            <w:shd w:val="clear" w:color="auto" w:fill="auto"/>
            <w:noWrap/>
            <w:vAlign w:val="bottom"/>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6"/>
                <w:szCs w:val="16"/>
                <w:lang w:val="en-US" w:eastAsia="zh-CN"/>
              </w:rPr>
            </w:pPr>
            <w:r w:rsidRPr="00AD4557">
              <w:rPr>
                <w:rFonts w:asciiTheme="minorHAnsi" w:hAnsiTheme="minorHAnsi" w:cs="Arial"/>
                <w:b/>
                <w:bCs/>
                <w:sz w:val="16"/>
                <w:szCs w:val="16"/>
                <w:lang w:val="en-US" w:eastAsia="zh-CN"/>
              </w:rPr>
              <w:t xml:space="preserve">                          </w:t>
            </w:r>
          </w:p>
        </w:tc>
      </w:tr>
      <w:tr w:rsidR="00714BEB" w:rsidRPr="00AD4557" w:rsidTr="00714BEB">
        <w:trPr>
          <w:trHeight w:val="255"/>
        </w:trPr>
        <w:tc>
          <w:tcPr>
            <w:tcW w:w="562" w:type="pct"/>
            <w:tcBorders>
              <w:top w:val="single" w:sz="4" w:space="0" w:color="auto"/>
              <w:left w:val="single" w:sz="4" w:space="0" w:color="auto"/>
              <w:bottom w:val="single" w:sz="4" w:space="0" w:color="auto"/>
              <w:right w:val="nil"/>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Total expenses</w:t>
            </w: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78,504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27,442 </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12,298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27,744 </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3</w:t>
            </w:r>
            <w:r>
              <w:rPr>
                <w:rFonts w:asciiTheme="minorHAnsi" w:hAnsiTheme="minorHAnsi" w:cs="Arial"/>
                <w:b/>
                <w:bCs/>
                <w:color w:val="000000"/>
                <w:sz w:val="16"/>
                <w:szCs w:val="16"/>
                <w:lang w:val="en-US" w:eastAsia="zh-CN"/>
              </w:rPr>
              <w:t>1</w:t>
            </w:r>
            <w:r w:rsidRPr="00AD4557">
              <w:rPr>
                <w:rFonts w:asciiTheme="minorHAnsi" w:hAnsiTheme="minorHAnsi" w:cs="Arial"/>
                <w:b/>
                <w:bCs/>
                <w:color w:val="000000"/>
                <w:sz w:val="16"/>
                <w:szCs w:val="16"/>
                <w:lang w:val="en-US" w:eastAsia="zh-CN"/>
              </w:rPr>
              <w:t>,</w:t>
            </w:r>
            <w:r>
              <w:rPr>
                <w:rFonts w:asciiTheme="minorHAnsi" w:hAnsiTheme="minorHAnsi" w:cs="Arial"/>
                <w:b/>
                <w:bCs/>
                <w:color w:val="000000"/>
                <w:sz w:val="16"/>
                <w:szCs w:val="16"/>
                <w:lang w:val="en-US" w:eastAsia="zh-CN"/>
              </w:rPr>
              <w:t>152</w:t>
            </w:r>
            <w:r w:rsidRPr="00AD4557">
              <w:rPr>
                <w:rFonts w:asciiTheme="minorHAnsi" w:hAnsiTheme="minorHAnsi" w:cs="Arial"/>
                <w:b/>
                <w:bCs/>
                <w:color w:val="000000"/>
                <w:sz w:val="16"/>
                <w:szCs w:val="16"/>
                <w:lang w:val="en-US" w:eastAsia="zh-CN"/>
              </w:rPr>
              <w:t xml:space="preserve"> </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17</w:t>
            </w:r>
            <w:r>
              <w:rPr>
                <w:rFonts w:asciiTheme="minorHAnsi" w:hAnsiTheme="minorHAnsi" w:cs="Arial"/>
                <w:b/>
                <w:bCs/>
                <w:color w:val="000000"/>
                <w:sz w:val="16"/>
                <w:szCs w:val="16"/>
                <w:lang w:val="en-US" w:eastAsia="zh-CN"/>
              </w:rPr>
              <w:t>7</w:t>
            </w:r>
            <w:r w:rsidRPr="00AD4557">
              <w:rPr>
                <w:rFonts w:asciiTheme="minorHAnsi" w:hAnsiTheme="minorHAnsi" w:cs="Arial"/>
                <w:b/>
                <w:bCs/>
                <w:color w:val="000000"/>
                <w:sz w:val="16"/>
                <w:szCs w:val="16"/>
                <w:lang w:val="en-US" w:eastAsia="zh-CN"/>
              </w:rPr>
              <w:t>,</w:t>
            </w:r>
            <w:r>
              <w:rPr>
                <w:rFonts w:asciiTheme="minorHAnsi" w:hAnsiTheme="minorHAnsi" w:cs="Arial"/>
                <w:b/>
                <w:bCs/>
                <w:color w:val="000000"/>
                <w:sz w:val="16"/>
                <w:szCs w:val="16"/>
                <w:lang w:val="en-US" w:eastAsia="zh-CN"/>
              </w:rPr>
              <w:t>140</w:t>
            </w:r>
            <w:r w:rsidRPr="00AD4557">
              <w:rPr>
                <w:rFonts w:asciiTheme="minorHAnsi" w:hAnsiTheme="minorHAnsi" w:cs="Arial"/>
                <w:b/>
                <w:bCs/>
                <w:color w:val="000000"/>
                <w:sz w:val="16"/>
                <w:szCs w:val="16"/>
                <w:lang w:val="en-US" w:eastAsia="zh-CN"/>
              </w:rPr>
              <w:t xml:space="preserve">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718 </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22 </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2,848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8,990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98 </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25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7,394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-2,501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194,</w:t>
            </w:r>
            <w:r>
              <w:rPr>
                <w:rFonts w:asciiTheme="minorHAnsi" w:hAnsiTheme="minorHAnsi" w:cs="Arial"/>
                <w:b/>
                <w:bCs/>
                <w:color w:val="000000"/>
                <w:sz w:val="16"/>
                <w:szCs w:val="16"/>
                <w:lang w:val="en-US" w:eastAsia="zh-CN"/>
              </w:rPr>
              <w:t>733</w:t>
            </w:r>
            <w:r w:rsidRPr="00AD4557">
              <w:rPr>
                <w:rFonts w:asciiTheme="minorHAnsi" w:hAnsiTheme="minorHAnsi" w:cs="Arial"/>
                <w:b/>
                <w:bCs/>
                <w:color w:val="000000"/>
                <w:sz w:val="16"/>
                <w:szCs w:val="16"/>
                <w:lang w:val="en-US" w:eastAsia="zh-CN"/>
              </w:rPr>
              <w:t xml:space="preserve"> </w:t>
            </w:r>
          </w:p>
        </w:tc>
      </w:tr>
      <w:tr w:rsidR="00714BEB" w:rsidRPr="00AD4557" w:rsidTr="00714BEB">
        <w:trPr>
          <w:trHeight w:val="510"/>
        </w:trPr>
        <w:tc>
          <w:tcPr>
            <w:tcW w:w="562" w:type="pct"/>
            <w:tcBorders>
              <w:top w:val="single" w:sz="4" w:space="0" w:color="auto"/>
              <w:left w:val="single" w:sz="4" w:space="0" w:color="auto"/>
              <w:bottom w:val="single" w:sz="4" w:space="0" w:color="auto"/>
              <w:right w:val="nil"/>
            </w:tcBorders>
            <w:shd w:val="clear" w:color="auto" w:fill="auto"/>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Surplus / (deficit) for the period</w:t>
            </w: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Pr>
                <w:rFonts w:asciiTheme="minorHAnsi" w:hAnsiTheme="minorHAnsi" w:cs="Arial"/>
                <w:b/>
                <w:bCs/>
                <w:color w:val="000000"/>
                <w:sz w:val="16"/>
                <w:szCs w:val="16"/>
                <w:lang w:val="en-US" w:eastAsia="zh-CN"/>
              </w:rPr>
              <w:t>-</w:t>
            </w:r>
            <w:r w:rsidRPr="00AD4557">
              <w:rPr>
                <w:rFonts w:asciiTheme="minorHAnsi" w:hAnsiTheme="minorHAnsi" w:cs="Arial"/>
                <w:b/>
                <w:bCs/>
                <w:color w:val="000000"/>
                <w:sz w:val="16"/>
                <w:szCs w:val="16"/>
                <w:lang w:val="en-US" w:eastAsia="zh-CN"/>
              </w:rPr>
              <w:t xml:space="preserve">78,389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14,175 </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-4,609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-25,939 </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79,463 </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-15,298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-671 </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-21 </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-545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-477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-63 </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0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-3 </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   </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14BEB" w:rsidRPr="00AD4557" w:rsidRDefault="00714BEB" w:rsidP="00714BE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AD4557">
              <w:rPr>
                <w:rFonts w:asciiTheme="minorHAnsi" w:hAnsiTheme="minorHAnsi" w:cs="Arial"/>
                <w:b/>
                <w:bCs/>
                <w:color w:val="000000"/>
                <w:sz w:val="16"/>
                <w:szCs w:val="16"/>
                <w:lang w:val="en-US" w:eastAsia="zh-CN"/>
              </w:rPr>
              <w:t xml:space="preserve">       -17,078 </w:t>
            </w:r>
          </w:p>
        </w:tc>
      </w:tr>
    </w:tbl>
    <w:p w:rsidR="007B36B9" w:rsidRPr="001C2A98" w:rsidRDefault="007B36B9" w:rsidP="00C11E81">
      <w:pPr>
        <w:tabs>
          <w:tab w:val="left" w:pos="12191"/>
        </w:tabs>
        <w:rPr>
          <w:lang w:val="en-US"/>
        </w:rPr>
        <w:sectPr w:rsidR="007B36B9" w:rsidRPr="001C2A98" w:rsidSect="00104A3E">
          <w:pgSz w:w="16838" w:h="11906" w:orient="landscape" w:code="9"/>
          <w:pgMar w:top="624" w:right="253" w:bottom="851" w:left="1134" w:header="426" w:footer="709" w:gutter="0"/>
          <w:cols w:space="708"/>
          <w:docGrid w:linePitch="360"/>
        </w:sectPr>
      </w:pPr>
    </w:p>
    <w:p w:rsidR="00E755AA" w:rsidRDefault="00E755AA" w:rsidP="006D6709">
      <w:pPr>
        <w:pStyle w:val="Heading5"/>
        <w:spacing w:before="0"/>
        <w:jc w:val="both"/>
        <w:rPr>
          <w:lang w:val="en-US"/>
        </w:rPr>
      </w:pPr>
      <w:bookmarkStart w:id="134" w:name="_Toc305764118"/>
      <w:bookmarkStart w:id="135" w:name="_Toc329011660"/>
      <w:r w:rsidRPr="00132398">
        <w:rPr>
          <w:lang w:val="en-US"/>
        </w:rPr>
        <w:t>Note 2</w:t>
      </w:r>
      <w:r w:rsidR="006D6709" w:rsidRPr="00132398">
        <w:rPr>
          <w:lang w:val="en-US"/>
        </w:rPr>
        <w:t>5</w:t>
      </w:r>
      <w:r w:rsidRPr="00132398">
        <w:rPr>
          <w:lang w:val="en-US"/>
        </w:rPr>
        <w:tab/>
        <w:t>Regional Presence</w:t>
      </w:r>
    </w:p>
    <w:p w:rsidR="00A76F78" w:rsidRPr="00A76F78" w:rsidRDefault="00A76F78" w:rsidP="00A76F78">
      <w:pPr>
        <w:rPr>
          <w:lang w:val="en-US"/>
        </w:rPr>
      </w:pPr>
    </w:p>
    <w:tbl>
      <w:tblPr>
        <w:tblW w:w="5290" w:type="pct"/>
        <w:tblInd w:w="-567" w:type="dxa"/>
        <w:tblLayout w:type="fixed"/>
        <w:tblLook w:val="04A0" w:firstRow="1" w:lastRow="0" w:firstColumn="1" w:lastColumn="0" w:noHBand="0" w:noVBand="1"/>
      </w:tblPr>
      <w:tblGrid>
        <w:gridCol w:w="1760"/>
        <w:gridCol w:w="643"/>
        <w:gridCol w:w="730"/>
        <w:gridCol w:w="701"/>
        <w:gridCol w:w="701"/>
        <w:gridCol w:w="711"/>
        <w:gridCol w:w="709"/>
        <w:gridCol w:w="709"/>
        <w:gridCol w:w="651"/>
        <w:gridCol w:w="753"/>
        <w:gridCol w:w="738"/>
        <w:gridCol w:w="767"/>
        <w:gridCol w:w="765"/>
      </w:tblGrid>
      <w:tr w:rsidR="00B314ED" w:rsidRPr="00B314ED" w:rsidTr="00B314ED">
        <w:trPr>
          <w:trHeight w:val="315"/>
        </w:trPr>
        <w:tc>
          <w:tcPr>
            <w:tcW w:w="851" w:type="pct"/>
            <w:tcBorders>
              <w:top w:val="nil"/>
              <w:left w:val="nil"/>
              <w:bottom w:val="nil"/>
              <w:right w:val="nil"/>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6"/>
                <w:szCs w:val="16"/>
                <w:lang w:val="en-US" w:eastAsia="zh-CN"/>
              </w:rPr>
            </w:pPr>
          </w:p>
        </w:tc>
        <w:tc>
          <w:tcPr>
            <w:tcW w:w="664" w:type="pct"/>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B314ED">
              <w:rPr>
                <w:rFonts w:asciiTheme="minorHAnsi" w:hAnsiTheme="minorHAnsi" w:cs="Arial"/>
                <w:b/>
                <w:bCs/>
                <w:color w:val="000000"/>
                <w:sz w:val="16"/>
                <w:szCs w:val="16"/>
                <w:lang w:val="en-US" w:eastAsia="zh-CN"/>
              </w:rPr>
              <w:t>AFRICA</w:t>
            </w:r>
          </w:p>
        </w:tc>
        <w:tc>
          <w:tcPr>
            <w:tcW w:w="67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B314ED">
              <w:rPr>
                <w:rFonts w:asciiTheme="minorHAnsi" w:hAnsiTheme="minorHAnsi" w:cs="Arial"/>
                <w:b/>
                <w:bCs/>
                <w:color w:val="000000"/>
                <w:sz w:val="16"/>
                <w:szCs w:val="16"/>
                <w:lang w:val="en-US" w:eastAsia="zh-CN"/>
              </w:rPr>
              <w:t>AMERICAS</w:t>
            </w:r>
          </w:p>
        </w:tc>
        <w:tc>
          <w:tcPr>
            <w:tcW w:w="687" w:type="pct"/>
            <w:gridSpan w:val="2"/>
            <w:tcBorders>
              <w:top w:val="single" w:sz="8" w:space="0" w:color="auto"/>
              <w:left w:val="nil"/>
              <w:bottom w:val="single" w:sz="8" w:space="0" w:color="auto"/>
              <w:right w:val="single" w:sz="8" w:space="0" w:color="000000"/>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B314ED">
              <w:rPr>
                <w:rFonts w:asciiTheme="minorHAnsi" w:hAnsiTheme="minorHAnsi" w:cs="Arial"/>
                <w:b/>
                <w:bCs/>
                <w:color w:val="000000"/>
                <w:sz w:val="16"/>
                <w:szCs w:val="16"/>
                <w:lang w:val="en-US" w:eastAsia="zh-CN"/>
              </w:rPr>
              <w:t xml:space="preserve">ARAB </w:t>
            </w:r>
          </w:p>
        </w:tc>
        <w:tc>
          <w:tcPr>
            <w:tcW w:w="65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B314ED">
              <w:rPr>
                <w:rFonts w:asciiTheme="minorHAnsi" w:hAnsiTheme="minorHAnsi" w:cs="Arial"/>
                <w:b/>
                <w:bCs/>
                <w:color w:val="000000"/>
                <w:sz w:val="16"/>
                <w:szCs w:val="16"/>
                <w:lang w:val="en-US" w:eastAsia="zh-CN"/>
              </w:rPr>
              <w:t>ASIA &amp;  PACIFIC</w:t>
            </w:r>
          </w:p>
        </w:tc>
        <w:tc>
          <w:tcPr>
            <w:tcW w:w="721" w:type="pct"/>
            <w:gridSpan w:val="2"/>
            <w:tcBorders>
              <w:top w:val="single" w:sz="8" w:space="0" w:color="auto"/>
              <w:left w:val="nil"/>
              <w:bottom w:val="single" w:sz="8" w:space="0" w:color="auto"/>
              <w:right w:val="single" w:sz="8" w:space="0" w:color="000000"/>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B314ED">
              <w:rPr>
                <w:rFonts w:asciiTheme="minorHAnsi" w:hAnsiTheme="minorHAnsi" w:cs="Arial"/>
                <w:b/>
                <w:bCs/>
                <w:color w:val="000000"/>
                <w:sz w:val="16"/>
                <w:szCs w:val="16"/>
                <w:lang w:val="en-US" w:eastAsia="zh-CN"/>
              </w:rPr>
              <w:t>CIS</w:t>
            </w:r>
          </w:p>
        </w:tc>
        <w:tc>
          <w:tcPr>
            <w:tcW w:w="741" w:type="pct"/>
            <w:gridSpan w:val="2"/>
            <w:tcBorders>
              <w:top w:val="single" w:sz="8" w:space="0" w:color="auto"/>
              <w:left w:val="nil"/>
              <w:bottom w:val="single" w:sz="8" w:space="0" w:color="auto"/>
              <w:right w:val="single" w:sz="8" w:space="0" w:color="000000"/>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6"/>
                <w:szCs w:val="16"/>
                <w:lang w:val="en-US" w:eastAsia="zh-CN"/>
              </w:rPr>
            </w:pPr>
            <w:r w:rsidRPr="00B314ED">
              <w:rPr>
                <w:rFonts w:asciiTheme="minorHAnsi" w:hAnsiTheme="minorHAnsi" w:cs="Arial"/>
                <w:b/>
                <w:bCs/>
                <w:color w:val="000000"/>
                <w:sz w:val="16"/>
                <w:szCs w:val="16"/>
                <w:lang w:val="en-US" w:eastAsia="zh-CN"/>
              </w:rPr>
              <w:t>EUROPE</w:t>
            </w:r>
          </w:p>
        </w:tc>
      </w:tr>
      <w:tr w:rsidR="00B314ED" w:rsidRPr="00B314ED" w:rsidTr="00B314ED">
        <w:trPr>
          <w:trHeight w:val="375"/>
        </w:trPr>
        <w:tc>
          <w:tcPr>
            <w:tcW w:w="851" w:type="pct"/>
            <w:tcBorders>
              <w:top w:val="nil"/>
              <w:left w:val="nil"/>
              <w:bottom w:val="single" w:sz="8" w:space="0" w:color="auto"/>
              <w:right w:val="nil"/>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6"/>
                <w:szCs w:val="16"/>
                <w:lang w:val="en-US" w:eastAsia="zh-CN"/>
              </w:rPr>
            </w:pPr>
            <w:r w:rsidRPr="00B314ED">
              <w:rPr>
                <w:rFonts w:asciiTheme="minorHAnsi" w:hAnsiTheme="minorHAnsi" w:cs="Arial"/>
                <w:color w:val="000000"/>
                <w:sz w:val="16"/>
                <w:szCs w:val="16"/>
                <w:lang w:val="en-US" w:eastAsia="zh-CN"/>
              </w:rPr>
              <w:t> </w:t>
            </w:r>
          </w:p>
        </w:tc>
        <w:tc>
          <w:tcPr>
            <w:tcW w:w="311" w:type="pct"/>
            <w:tcBorders>
              <w:top w:val="nil"/>
              <w:left w:val="single" w:sz="8" w:space="0" w:color="auto"/>
              <w:bottom w:val="single" w:sz="8" w:space="0" w:color="auto"/>
              <w:right w:val="nil"/>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4"/>
                <w:szCs w:val="14"/>
                <w:lang w:val="en-US" w:eastAsia="zh-CN"/>
              </w:rPr>
            </w:pPr>
            <w:r w:rsidRPr="00B314ED">
              <w:rPr>
                <w:rFonts w:asciiTheme="minorHAnsi" w:hAnsiTheme="minorHAnsi" w:cs="Arial"/>
                <w:b/>
                <w:bCs/>
                <w:color w:val="000000"/>
                <w:sz w:val="14"/>
                <w:szCs w:val="14"/>
                <w:lang w:val="en-US" w:eastAsia="zh-CN"/>
              </w:rPr>
              <w:t>Budget</w:t>
            </w:r>
          </w:p>
        </w:tc>
        <w:tc>
          <w:tcPr>
            <w:tcW w:w="353" w:type="pct"/>
            <w:tcBorders>
              <w:top w:val="nil"/>
              <w:left w:val="nil"/>
              <w:bottom w:val="single" w:sz="8" w:space="0" w:color="auto"/>
              <w:right w:val="single" w:sz="8"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4"/>
                <w:szCs w:val="14"/>
                <w:lang w:val="en-US" w:eastAsia="zh-CN"/>
              </w:rPr>
            </w:pPr>
            <w:r w:rsidRPr="00B314ED">
              <w:rPr>
                <w:rFonts w:asciiTheme="minorHAnsi" w:hAnsiTheme="minorHAnsi" w:cs="Arial"/>
                <w:b/>
                <w:bCs/>
                <w:color w:val="000000"/>
                <w:sz w:val="14"/>
                <w:szCs w:val="14"/>
                <w:lang w:val="en-US" w:eastAsia="zh-CN"/>
              </w:rPr>
              <w:t>Actuals</w:t>
            </w:r>
          </w:p>
        </w:tc>
        <w:tc>
          <w:tcPr>
            <w:tcW w:w="339" w:type="pct"/>
            <w:tcBorders>
              <w:top w:val="nil"/>
              <w:left w:val="nil"/>
              <w:bottom w:val="single" w:sz="8" w:space="0" w:color="auto"/>
              <w:right w:val="nil"/>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4"/>
                <w:szCs w:val="14"/>
                <w:lang w:val="en-US" w:eastAsia="zh-CN"/>
              </w:rPr>
            </w:pPr>
            <w:r w:rsidRPr="00B314ED">
              <w:rPr>
                <w:rFonts w:asciiTheme="minorHAnsi" w:hAnsiTheme="minorHAnsi" w:cs="Arial"/>
                <w:b/>
                <w:bCs/>
                <w:color w:val="000000"/>
                <w:sz w:val="14"/>
                <w:szCs w:val="14"/>
                <w:lang w:val="en-US" w:eastAsia="zh-CN"/>
              </w:rPr>
              <w:t>Budget</w:t>
            </w:r>
          </w:p>
        </w:tc>
        <w:tc>
          <w:tcPr>
            <w:tcW w:w="339" w:type="pct"/>
            <w:tcBorders>
              <w:top w:val="nil"/>
              <w:left w:val="nil"/>
              <w:bottom w:val="single" w:sz="8" w:space="0" w:color="auto"/>
              <w:right w:val="single" w:sz="8"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4"/>
                <w:szCs w:val="14"/>
                <w:lang w:val="en-US" w:eastAsia="zh-CN"/>
              </w:rPr>
            </w:pPr>
            <w:r w:rsidRPr="00B314ED">
              <w:rPr>
                <w:rFonts w:asciiTheme="minorHAnsi" w:hAnsiTheme="minorHAnsi" w:cs="Arial"/>
                <w:b/>
                <w:bCs/>
                <w:color w:val="000000"/>
                <w:sz w:val="14"/>
                <w:szCs w:val="14"/>
                <w:lang w:val="en-US" w:eastAsia="zh-CN"/>
              </w:rPr>
              <w:t>Actuals</w:t>
            </w:r>
          </w:p>
        </w:tc>
        <w:tc>
          <w:tcPr>
            <w:tcW w:w="344" w:type="pct"/>
            <w:tcBorders>
              <w:top w:val="nil"/>
              <w:left w:val="nil"/>
              <w:bottom w:val="single" w:sz="8" w:space="0" w:color="auto"/>
              <w:right w:val="nil"/>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4"/>
                <w:szCs w:val="14"/>
                <w:lang w:val="en-US" w:eastAsia="zh-CN"/>
              </w:rPr>
            </w:pPr>
            <w:r w:rsidRPr="00B314ED">
              <w:rPr>
                <w:rFonts w:asciiTheme="minorHAnsi" w:hAnsiTheme="minorHAnsi" w:cs="Arial"/>
                <w:b/>
                <w:bCs/>
                <w:color w:val="000000"/>
                <w:sz w:val="14"/>
                <w:szCs w:val="14"/>
                <w:lang w:val="en-US" w:eastAsia="zh-CN"/>
              </w:rPr>
              <w:t>Budget</w:t>
            </w:r>
          </w:p>
        </w:tc>
        <w:tc>
          <w:tcPr>
            <w:tcW w:w="343" w:type="pct"/>
            <w:tcBorders>
              <w:top w:val="nil"/>
              <w:left w:val="nil"/>
              <w:bottom w:val="single" w:sz="8" w:space="0" w:color="auto"/>
              <w:right w:val="single" w:sz="8"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4"/>
                <w:szCs w:val="14"/>
                <w:lang w:val="en-US" w:eastAsia="zh-CN"/>
              </w:rPr>
            </w:pPr>
            <w:r w:rsidRPr="00B314ED">
              <w:rPr>
                <w:rFonts w:asciiTheme="minorHAnsi" w:hAnsiTheme="minorHAnsi" w:cs="Arial"/>
                <w:b/>
                <w:bCs/>
                <w:color w:val="000000"/>
                <w:sz w:val="14"/>
                <w:szCs w:val="14"/>
                <w:lang w:val="en-US" w:eastAsia="zh-CN"/>
              </w:rPr>
              <w:t>Actuals</w:t>
            </w:r>
          </w:p>
        </w:tc>
        <w:tc>
          <w:tcPr>
            <w:tcW w:w="343" w:type="pct"/>
            <w:tcBorders>
              <w:top w:val="nil"/>
              <w:left w:val="nil"/>
              <w:bottom w:val="single" w:sz="8" w:space="0" w:color="auto"/>
              <w:right w:val="nil"/>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4"/>
                <w:szCs w:val="14"/>
                <w:lang w:val="en-US" w:eastAsia="zh-CN"/>
              </w:rPr>
            </w:pPr>
            <w:r w:rsidRPr="00B314ED">
              <w:rPr>
                <w:rFonts w:asciiTheme="minorHAnsi" w:hAnsiTheme="minorHAnsi" w:cs="Arial"/>
                <w:b/>
                <w:bCs/>
                <w:color w:val="000000"/>
                <w:sz w:val="14"/>
                <w:szCs w:val="14"/>
                <w:lang w:val="en-US" w:eastAsia="zh-CN"/>
              </w:rPr>
              <w:t>Budget</w:t>
            </w:r>
          </w:p>
        </w:tc>
        <w:tc>
          <w:tcPr>
            <w:tcW w:w="315" w:type="pct"/>
            <w:tcBorders>
              <w:top w:val="nil"/>
              <w:left w:val="nil"/>
              <w:bottom w:val="single" w:sz="8" w:space="0" w:color="auto"/>
              <w:right w:val="single" w:sz="8"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4"/>
                <w:szCs w:val="14"/>
                <w:lang w:val="en-US" w:eastAsia="zh-CN"/>
              </w:rPr>
            </w:pPr>
            <w:r w:rsidRPr="00B314ED">
              <w:rPr>
                <w:rFonts w:asciiTheme="minorHAnsi" w:hAnsiTheme="minorHAnsi" w:cs="Arial"/>
                <w:b/>
                <w:bCs/>
                <w:color w:val="000000"/>
                <w:sz w:val="14"/>
                <w:szCs w:val="14"/>
                <w:lang w:val="en-US" w:eastAsia="zh-CN"/>
              </w:rPr>
              <w:t>Actuals</w:t>
            </w:r>
          </w:p>
        </w:tc>
        <w:tc>
          <w:tcPr>
            <w:tcW w:w="364" w:type="pct"/>
            <w:tcBorders>
              <w:top w:val="nil"/>
              <w:left w:val="nil"/>
              <w:bottom w:val="single" w:sz="8" w:space="0" w:color="auto"/>
              <w:right w:val="nil"/>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4"/>
                <w:szCs w:val="14"/>
                <w:lang w:val="en-US" w:eastAsia="zh-CN"/>
              </w:rPr>
            </w:pPr>
            <w:r w:rsidRPr="00B314ED">
              <w:rPr>
                <w:rFonts w:asciiTheme="minorHAnsi" w:hAnsiTheme="minorHAnsi" w:cs="Arial"/>
                <w:b/>
                <w:bCs/>
                <w:color w:val="000000"/>
                <w:sz w:val="14"/>
                <w:szCs w:val="14"/>
                <w:lang w:val="en-US" w:eastAsia="zh-CN"/>
              </w:rPr>
              <w:t>Budget</w:t>
            </w:r>
          </w:p>
        </w:tc>
        <w:tc>
          <w:tcPr>
            <w:tcW w:w="357" w:type="pct"/>
            <w:tcBorders>
              <w:top w:val="nil"/>
              <w:left w:val="nil"/>
              <w:bottom w:val="single" w:sz="8" w:space="0" w:color="auto"/>
              <w:right w:val="single" w:sz="8"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4"/>
                <w:szCs w:val="14"/>
                <w:lang w:val="en-US" w:eastAsia="zh-CN"/>
              </w:rPr>
            </w:pPr>
            <w:r w:rsidRPr="00B314ED">
              <w:rPr>
                <w:rFonts w:asciiTheme="minorHAnsi" w:hAnsiTheme="minorHAnsi" w:cs="Arial"/>
                <w:b/>
                <w:bCs/>
                <w:color w:val="000000"/>
                <w:sz w:val="14"/>
                <w:szCs w:val="14"/>
                <w:lang w:val="en-US" w:eastAsia="zh-CN"/>
              </w:rPr>
              <w:t>Actuals</w:t>
            </w:r>
          </w:p>
        </w:tc>
        <w:tc>
          <w:tcPr>
            <w:tcW w:w="371" w:type="pct"/>
            <w:tcBorders>
              <w:top w:val="nil"/>
              <w:left w:val="nil"/>
              <w:bottom w:val="single" w:sz="8" w:space="0" w:color="auto"/>
              <w:right w:val="nil"/>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4"/>
                <w:szCs w:val="14"/>
                <w:lang w:val="en-US" w:eastAsia="zh-CN"/>
              </w:rPr>
            </w:pPr>
            <w:r w:rsidRPr="00B314ED">
              <w:rPr>
                <w:rFonts w:asciiTheme="minorHAnsi" w:hAnsiTheme="minorHAnsi" w:cs="Arial"/>
                <w:b/>
                <w:bCs/>
                <w:color w:val="000000"/>
                <w:sz w:val="14"/>
                <w:szCs w:val="14"/>
                <w:lang w:val="en-US" w:eastAsia="zh-CN"/>
              </w:rPr>
              <w:t>Budget</w:t>
            </w:r>
          </w:p>
        </w:tc>
        <w:tc>
          <w:tcPr>
            <w:tcW w:w="370" w:type="pct"/>
            <w:tcBorders>
              <w:top w:val="nil"/>
              <w:left w:val="nil"/>
              <w:bottom w:val="single" w:sz="8" w:space="0" w:color="auto"/>
              <w:right w:val="single" w:sz="8"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color w:val="000000"/>
                <w:sz w:val="14"/>
                <w:szCs w:val="14"/>
                <w:lang w:val="en-US" w:eastAsia="zh-CN"/>
              </w:rPr>
            </w:pPr>
            <w:r w:rsidRPr="00B314ED">
              <w:rPr>
                <w:rFonts w:asciiTheme="minorHAnsi" w:hAnsiTheme="minorHAnsi" w:cs="Arial"/>
                <w:b/>
                <w:bCs/>
                <w:color w:val="000000"/>
                <w:sz w:val="14"/>
                <w:szCs w:val="14"/>
                <w:lang w:val="en-US" w:eastAsia="zh-CN"/>
              </w:rPr>
              <w:t>Actuals</w:t>
            </w:r>
          </w:p>
        </w:tc>
      </w:tr>
      <w:tr w:rsidR="00B314ED" w:rsidRPr="00B314ED" w:rsidTr="00B314ED">
        <w:trPr>
          <w:trHeight w:val="300"/>
        </w:trPr>
        <w:tc>
          <w:tcPr>
            <w:tcW w:w="851" w:type="pct"/>
            <w:tcBorders>
              <w:top w:val="nil"/>
              <w:left w:val="single" w:sz="8" w:space="0" w:color="auto"/>
              <w:bottom w:val="nil"/>
              <w:right w:val="nil"/>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Employee expenses</w:t>
            </w:r>
          </w:p>
        </w:tc>
        <w:tc>
          <w:tcPr>
            <w:tcW w:w="311" w:type="pct"/>
            <w:tcBorders>
              <w:top w:val="nil"/>
              <w:left w:val="single" w:sz="8" w:space="0" w:color="auto"/>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2,022 </w:t>
            </w:r>
          </w:p>
        </w:tc>
        <w:tc>
          <w:tcPr>
            <w:tcW w:w="353"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1,871 </w:t>
            </w:r>
          </w:p>
        </w:tc>
        <w:tc>
          <w:tcPr>
            <w:tcW w:w="339" w:type="pct"/>
            <w:tcBorders>
              <w:top w:val="nil"/>
              <w:left w:val="nil"/>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2,061 </w:t>
            </w:r>
          </w:p>
        </w:tc>
        <w:tc>
          <w:tcPr>
            <w:tcW w:w="339"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2,045 </w:t>
            </w:r>
          </w:p>
        </w:tc>
        <w:tc>
          <w:tcPr>
            <w:tcW w:w="344" w:type="pct"/>
            <w:tcBorders>
              <w:top w:val="nil"/>
              <w:left w:val="nil"/>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887 </w:t>
            </w:r>
          </w:p>
        </w:tc>
        <w:tc>
          <w:tcPr>
            <w:tcW w:w="343"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836 </w:t>
            </w:r>
          </w:p>
        </w:tc>
        <w:tc>
          <w:tcPr>
            <w:tcW w:w="343" w:type="pct"/>
            <w:tcBorders>
              <w:top w:val="nil"/>
              <w:left w:val="nil"/>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1,344 </w:t>
            </w:r>
          </w:p>
        </w:tc>
        <w:tc>
          <w:tcPr>
            <w:tcW w:w="315"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1,348 </w:t>
            </w:r>
          </w:p>
        </w:tc>
        <w:tc>
          <w:tcPr>
            <w:tcW w:w="364" w:type="pct"/>
            <w:tcBorders>
              <w:top w:val="nil"/>
              <w:left w:val="nil"/>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385 </w:t>
            </w:r>
          </w:p>
        </w:tc>
        <w:tc>
          <w:tcPr>
            <w:tcW w:w="357"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384 </w:t>
            </w:r>
          </w:p>
        </w:tc>
        <w:tc>
          <w:tcPr>
            <w:tcW w:w="371" w:type="pct"/>
            <w:tcBorders>
              <w:top w:val="nil"/>
              <w:left w:val="nil"/>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484 </w:t>
            </w:r>
          </w:p>
        </w:tc>
        <w:tc>
          <w:tcPr>
            <w:tcW w:w="370"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524 </w:t>
            </w:r>
          </w:p>
        </w:tc>
      </w:tr>
      <w:tr w:rsidR="00B314ED" w:rsidRPr="00B314ED" w:rsidTr="00B314ED">
        <w:trPr>
          <w:trHeight w:val="300"/>
        </w:trPr>
        <w:tc>
          <w:tcPr>
            <w:tcW w:w="851" w:type="pct"/>
            <w:tcBorders>
              <w:top w:val="nil"/>
              <w:left w:val="single" w:sz="8" w:space="0" w:color="auto"/>
              <w:bottom w:val="nil"/>
              <w:right w:val="nil"/>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Mission expenses</w:t>
            </w:r>
          </w:p>
        </w:tc>
        <w:tc>
          <w:tcPr>
            <w:tcW w:w="311" w:type="pct"/>
            <w:tcBorders>
              <w:top w:val="nil"/>
              <w:left w:val="single" w:sz="8" w:space="0" w:color="auto"/>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50 </w:t>
            </w:r>
          </w:p>
        </w:tc>
        <w:tc>
          <w:tcPr>
            <w:tcW w:w="353"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86 </w:t>
            </w:r>
          </w:p>
        </w:tc>
        <w:tc>
          <w:tcPr>
            <w:tcW w:w="339" w:type="pct"/>
            <w:tcBorders>
              <w:top w:val="nil"/>
              <w:left w:val="nil"/>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50 </w:t>
            </w:r>
          </w:p>
        </w:tc>
        <w:tc>
          <w:tcPr>
            <w:tcW w:w="339"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76 </w:t>
            </w:r>
          </w:p>
        </w:tc>
        <w:tc>
          <w:tcPr>
            <w:tcW w:w="344" w:type="pct"/>
            <w:tcBorders>
              <w:top w:val="nil"/>
              <w:left w:val="nil"/>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32 </w:t>
            </w:r>
          </w:p>
        </w:tc>
        <w:tc>
          <w:tcPr>
            <w:tcW w:w="343"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42 </w:t>
            </w:r>
          </w:p>
        </w:tc>
        <w:tc>
          <w:tcPr>
            <w:tcW w:w="343" w:type="pct"/>
            <w:tcBorders>
              <w:top w:val="nil"/>
              <w:left w:val="nil"/>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36 </w:t>
            </w:r>
          </w:p>
        </w:tc>
        <w:tc>
          <w:tcPr>
            <w:tcW w:w="315"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38 </w:t>
            </w:r>
          </w:p>
        </w:tc>
        <w:tc>
          <w:tcPr>
            <w:tcW w:w="364" w:type="pct"/>
            <w:tcBorders>
              <w:top w:val="nil"/>
              <w:left w:val="nil"/>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23 </w:t>
            </w:r>
          </w:p>
        </w:tc>
        <w:tc>
          <w:tcPr>
            <w:tcW w:w="357"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22 </w:t>
            </w:r>
          </w:p>
        </w:tc>
        <w:tc>
          <w:tcPr>
            <w:tcW w:w="371" w:type="pct"/>
            <w:tcBorders>
              <w:top w:val="nil"/>
              <w:left w:val="nil"/>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18 </w:t>
            </w:r>
          </w:p>
        </w:tc>
        <w:tc>
          <w:tcPr>
            <w:tcW w:w="370"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18 </w:t>
            </w:r>
          </w:p>
        </w:tc>
      </w:tr>
      <w:tr w:rsidR="00B314ED" w:rsidRPr="00B314ED" w:rsidTr="00B314ED">
        <w:trPr>
          <w:trHeight w:val="300"/>
        </w:trPr>
        <w:tc>
          <w:tcPr>
            <w:tcW w:w="851" w:type="pct"/>
            <w:tcBorders>
              <w:top w:val="nil"/>
              <w:left w:val="single" w:sz="8" w:space="0" w:color="auto"/>
              <w:bottom w:val="nil"/>
              <w:right w:val="nil"/>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proofErr w:type="spellStart"/>
            <w:r w:rsidRPr="00B314ED">
              <w:rPr>
                <w:rFonts w:asciiTheme="minorHAnsi" w:hAnsiTheme="minorHAnsi" w:cs="Arial"/>
                <w:color w:val="000000"/>
                <w:sz w:val="18"/>
                <w:szCs w:val="18"/>
                <w:lang w:val="en-US" w:eastAsia="zh-CN"/>
              </w:rPr>
              <w:t>Contratual</w:t>
            </w:r>
            <w:proofErr w:type="spellEnd"/>
            <w:r w:rsidRPr="00B314ED">
              <w:rPr>
                <w:rFonts w:asciiTheme="minorHAnsi" w:hAnsiTheme="minorHAnsi" w:cs="Arial"/>
                <w:color w:val="000000"/>
                <w:sz w:val="18"/>
                <w:szCs w:val="18"/>
                <w:lang w:val="en-US" w:eastAsia="zh-CN"/>
              </w:rPr>
              <w:t xml:space="preserve"> services</w:t>
            </w:r>
          </w:p>
        </w:tc>
        <w:tc>
          <w:tcPr>
            <w:tcW w:w="311" w:type="pct"/>
            <w:tcBorders>
              <w:top w:val="nil"/>
              <w:left w:val="single" w:sz="8" w:space="0" w:color="auto"/>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21 </w:t>
            </w:r>
          </w:p>
        </w:tc>
        <w:tc>
          <w:tcPr>
            <w:tcW w:w="353"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28 </w:t>
            </w:r>
          </w:p>
        </w:tc>
        <w:tc>
          <w:tcPr>
            <w:tcW w:w="339" w:type="pct"/>
            <w:tcBorders>
              <w:top w:val="nil"/>
              <w:left w:val="nil"/>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4 </w:t>
            </w:r>
          </w:p>
        </w:tc>
        <w:tc>
          <w:tcPr>
            <w:tcW w:w="339"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 </w:t>
            </w:r>
          </w:p>
        </w:tc>
        <w:tc>
          <w:tcPr>
            <w:tcW w:w="344" w:type="pct"/>
            <w:tcBorders>
              <w:top w:val="nil"/>
              <w:left w:val="nil"/>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5 </w:t>
            </w:r>
          </w:p>
        </w:tc>
        <w:tc>
          <w:tcPr>
            <w:tcW w:w="343"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 </w:t>
            </w:r>
          </w:p>
        </w:tc>
        <w:tc>
          <w:tcPr>
            <w:tcW w:w="343" w:type="pct"/>
            <w:tcBorders>
              <w:top w:val="nil"/>
              <w:left w:val="nil"/>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3 </w:t>
            </w:r>
          </w:p>
        </w:tc>
        <w:tc>
          <w:tcPr>
            <w:tcW w:w="315"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2 </w:t>
            </w:r>
          </w:p>
        </w:tc>
        <w:tc>
          <w:tcPr>
            <w:tcW w:w="364" w:type="pct"/>
            <w:tcBorders>
              <w:top w:val="nil"/>
              <w:left w:val="nil"/>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3 </w:t>
            </w:r>
          </w:p>
        </w:tc>
        <w:tc>
          <w:tcPr>
            <w:tcW w:w="357"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   </w:t>
            </w:r>
          </w:p>
        </w:tc>
        <w:tc>
          <w:tcPr>
            <w:tcW w:w="371" w:type="pct"/>
            <w:tcBorders>
              <w:top w:val="nil"/>
              <w:left w:val="nil"/>
              <w:bottom w:val="nil"/>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   </w:t>
            </w:r>
          </w:p>
        </w:tc>
        <w:tc>
          <w:tcPr>
            <w:tcW w:w="370" w:type="pct"/>
            <w:tcBorders>
              <w:top w:val="nil"/>
              <w:left w:val="nil"/>
              <w:bottom w:val="nil"/>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   </w:t>
            </w:r>
          </w:p>
        </w:tc>
      </w:tr>
      <w:tr w:rsidR="00B314ED" w:rsidRPr="00B314ED" w:rsidTr="00B314ED">
        <w:trPr>
          <w:trHeight w:val="230"/>
        </w:trPr>
        <w:tc>
          <w:tcPr>
            <w:tcW w:w="851" w:type="pct"/>
            <w:tcBorders>
              <w:top w:val="nil"/>
              <w:left w:val="single" w:sz="8" w:space="0" w:color="auto"/>
              <w:bottom w:val="nil"/>
              <w:right w:val="nil"/>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Rental and maintenance</w:t>
            </w:r>
          </w:p>
        </w:tc>
        <w:tc>
          <w:tcPr>
            <w:tcW w:w="311" w:type="pct"/>
            <w:tcBorders>
              <w:top w:val="nil"/>
              <w:left w:val="single" w:sz="8" w:space="0" w:color="auto"/>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28 </w:t>
            </w:r>
          </w:p>
        </w:tc>
        <w:tc>
          <w:tcPr>
            <w:tcW w:w="353"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20 </w:t>
            </w:r>
          </w:p>
        </w:tc>
        <w:tc>
          <w:tcPr>
            <w:tcW w:w="339" w:type="pct"/>
            <w:tcBorders>
              <w:top w:val="nil"/>
              <w:left w:val="nil"/>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10 </w:t>
            </w:r>
          </w:p>
        </w:tc>
        <w:tc>
          <w:tcPr>
            <w:tcW w:w="339"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5 </w:t>
            </w:r>
          </w:p>
        </w:tc>
        <w:tc>
          <w:tcPr>
            <w:tcW w:w="344" w:type="pct"/>
            <w:tcBorders>
              <w:top w:val="nil"/>
              <w:left w:val="nil"/>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4 </w:t>
            </w:r>
          </w:p>
        </w:tc>
        <w:tc>
          <w:tcPr>
            <w:tcW w:w="343"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 </w:t>
            </w:r>
          </w:p>
        </w:tc>
        <w:tc>
          <w:tcPr>
            <w:tcW w:w="343" w:type="pct"/>
            <w:tcBorders>
              <w:top w:val="nil"/>
              <w:left w:val="nil"/>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6 </w:t>
            </w:r>
          </w:p>
        </w:tc>
        <w:tc>
          <w:tcPr>
            <w:tcW w:w="315"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4 </w:t>
            </w:r>
          </w:p>
        </w:tc>
        <w:tc>
          <w:tcPr>
            <w:tcW w:w="364" w:type="pct"/>
            <w:tcBorders>
              <w:top w:val="nil"/>
              <w:left w:val="nil"/>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 </w:t>
            </w:r>
          </w:p>
        </w:tc>
        <w:tc>
          <w:tcPr>
            <w:tcW w:w="357"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   </w:t>
            </w:r>
          </w:p>
        </w:tc>
        <w:tc>
          <w:tcPr>
            <w:tcW w:w="371" w:type="pct"/>
            <w:tcBorders>
              <w:top w:val="nil"/>
              <w:left w:val="nil"/>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   </w:t>
            </w:r>
          </w:p>
        </w:tc>
        <w:tc>
          <w:tcPr>
            <w:tcW w:w="370"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   </w:t>
            </w:r>
          </w:p>
        </w:tc>
      </w:tr>
      <w:tr w:rsidR="00B314ED" w:rsidRPr="00B314ED" w:rsidTr="00B314ED">
        <w:trPr>
          <w:trHeight w:val="300"/>
        </w:trPr>
        <w:tc>
          <w:tcPr>
            <w:tcW w:w="851" w:type="pct"/>
            <w:tcBorders>
              <w:top w:val="nil"/>
              <w:left w:val="single" w:sz="8" w:space="0" w:color="auto"/>
              <w:bottom w:val="nil"/>
              <w:right w:val="nil"/>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proofErr w:type="spellStart"/>
            <w:r w:rsidRPr="00B314ED">
              <w:rPr>
                <w:rFonts w:asciiTheme="minorHAnsi" w:hAnsiTheme="minorHAnsi" w:cs="Arial"/>
                <w:color w:val="000000"/>
                <w:sz w:val="18"/>
                <w:szCs w:val="18"/>
                <w:lang w:val="en-US" w:eastAsia="zh-CN"/>
              </w:rPr>
              <w:t>Equipement</w:t>
            </w:r>
            <w:proofErr w:type="spellEnd"/>
            <w:r w:rsidRPr="00B314ED">
              <w:rPr>
                <w:rFonts w:asciiTheme="minorHAnsi" w:hAnsiTheme="minorHAnsi" w:cs="Arial"/>
                <w:color w:val="000000"/>
                <w:sz w:val="18"/>
                <w:szCs w:val="18"/>
                <w:lang w:val="en-US" w:eastAsia="zh-CN"/>
              </w:rPr>
              <w:t xml:space="preserve"> and supplies</w:t>
            </w:r>
          </w:p>
        </w:tc>
        <w:tc>
          <w:tcPr>
            <w:tcW w:w="311" w:type="pct"/>
            <w:tcBorders>
              <w:top w:val="nil"/>
              <w:left w:val="single" w:sz="8" w:space="0" w:color="auto"/>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19 </w:t>
            </w:r>
          </w:p>
        </w:tc>
        <w:tc>
          <w:tcPr>
            <w:tcW w:w="353"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6 </w:t>
            </w:r>
          </w:p>
        </w:tc>
        <w:tc>
          <w:tcPr>
            <w:tcW w:w="339" w:type="pct"/>
            <w:tcBorders>
              <w:top w:val="nil"/>
              <w:left w:val="nil"/>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11 </w:t>
            </w:r>
          </w:p>
        </w:tc>
        <w:tc>
          <w:tcPr>
            <w:tcW w:w="339"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7 </w:t>
            </w:r>
          </w:p>
        </w:tc>
        <w:tc>
          <w:tcPr>
            <w:tcW w:w="344" w:type="pct"/>
            <w:tcBorders>
              <w:top w:val="nil"/>
              <w:left w:val="nil"/>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4 </w:t>
            </w:r>
          </w:p>
        </w:tc>
        <w:tc>
          <w:tcPr>
            <w:tcW w:w="343"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 </w:t>
            </w:r>
          </w:p>
        </w:tc>
        <w:tc>
          <w:tcPr>
            <w:tcW w:w="343" w:type="pct"/>
            <w:tcBorders>
              <w:top w:val="nil"/>
              <w:left w:val="nil"/>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4 </w:t>
            </w:r>
          </w:p>
        </w:tc>
        <w:tc>
          <w:tcPr>
            <w:tcW w:w="315"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5 </w:t>
            </w:r>
          </w:p>
        </w:tc>
        <w:tc>
          <w:tcPr>
            <w:tcW w:w="364" w:type="pct"/>
            <w:tcBorders>
              <w:top w:val="nil"/>
              <w:left w:val="nil"/>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5 </w:t>
            </w:r>
          </w:p>
        </w:tc>
        <w:tc>
          <w:tcPr>
            <w:tcW w:w="357"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5 </w:t>
            </w:r>
          </w:p>
        </w:tc>
        <w:tc>
          <w:tcPr>
            <w:tcW w:w="371" w:type="pct"/>
            <w:tcBorders>
              <w:top w:val="nil"/>
              <w:left w:val="nil"/>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2 </w:t>
            </w:r>
          </w:p>
        </w:tc>
        <w:tc>
          <w:tcPr>
            <w:tcW w:w="370"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   </w:t>
            </w:r>
          </w:p>
        </w:tc>
      </w:tr>
      <w:tr w:rsidR="00B314ED" w:rsidRPr="00B314ED" w:rsidTr="00B314ED">
        <w:trPr>
          <w:trHeight w:val="300"/>
        </w:trPr>
        <w:tc>
          <w:tcPr>
            <w:tcW w:w="851" w:type="pct"/>
            <w:tcBorders>
              <w:top w:val="nil"/>
              <w:left w:val="single" w:sz="8" w:space="0" w:color="auto"/>
              <w:bottom w:val="nil"/>
              <w:right w:val="nil"/>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Shipping, telecommunication</w:t>
            </w:r>
          </w:p>
        </w:tc>
        <w:tc>
          <w:tcPr>
            <w:tcW w:w="311" w:type="pct"/>
            <w:tcBorders>
              <w:top w:val="nil"/>
              <w:left w:val="single" w:sz="8" w:space="0" w:color="auto"/>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24 </w:t>
            </w:r>
          </w:p>
        </w:tc>
        <w:tc>
          <w:tcPr>
            <w:tcW w:w="353"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24 </w:t>
            </w:r>
          </w:p>
        </w:tc>
        <w:tc>
          <w:tcPr>
            <w:tcW w:w="339" w:type="pct"/>
            <w:tcBorders>
              <w:top w:val="nil"/>
              <w:left w:val="nil"/>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19 </w:t>
            </w:r>
          </w:p>
        </w:tc>
        <w:tc>
          <w:tcPr>
            <w:tcW w:w="339"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18 </w:t>
            </w:r>
          </w:p>
        </w:tc>
        <w:tc>
          <w:tcPr>
            <w:tcW w:w="344" w:type="pct"/>
            <w:tcBorders>
              <w:top w:val="nil"/>
              <w:left w:val="nil"/>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9 </w:t>
            </w:r>
          </w:p>
        </w:tc>
        <w:tc>
          <w:tcPr>
            <w:tcW w:w="343"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4 </w:t>
            </w:r>
          </w:p>
        </w:tc>
        <w:tc>
          <w:tcPr>
            <w:tcW w:w="343" w:type="pct"/>
            <w:tcBorders>
              <w:top w:val="nil"/>
              <w:left w:val="nil"/>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12 </w:t>
            </w:r>
          </w:p>
        </w:tc>
        <w:tc>
          <w:tcPr>
            <w:tcW w:w="315"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13 </w:t>
            </w:r>
          </w:p>
        </w:tc>
        <w:tc>
          <w:tcPr>
            <w:tcW w:w="364" w:type="pct"/>
            <w:tcBorders>
              <w:top w:val="nil"/>
              <w:left w:val="nil"/>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2 </w:t>
            </w:r>
          </w:p>
        </w:tc>
        <w:tc>
          <w:tcPr>
            <w:tcW w:w="357"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   </w:t>
            </w:r>
          </w:p>
        </w:tc>
        <w:tc>
          <w:tcPr>
            <w:tcW w:w="371" w:type="pct"/>
            <w:tcBorders>
              <w:top w:val="nil"/>
              <w:left w:val="nil"/>
              <w:bottom w:val="nil"/>
              <w:right w:val="single" w:sz="4"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 </w:t>
            </w:r>
          </w:p>
        </w:tc>
        <w:tc>
          <w:tcPr>
            <w:tcW w:w="370" w:type="pct"/>
            <w:tcBorders>
              <w:top w:val="nil"/>
              <w:left w:val="nil"/>
              <w:bottom w:val="nil"/>
              <w:right w:val="single" w:sz="8" w:space="0" w:color="auto"/>
            </w:tcBorders>
            <w:shd w:val="clear" w:color="auto" w:fill="auto"/>
            <w:noWrap/>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   </w:t>
            </w:r>
          </w:p>
        </w:tc>
      </w:tr>
      <w:tr w:rsidR="00B314ED" w:rsidRPr="00B314ED" w:rsidTr="00B314ED">
        <w:trPr>
          <w:trHeight w:val="300"/>
        </w:trPr>
        <w:tc>
          <w:tcPr>
            <w:tcW w:w="851" w:type="pct"/>
            <w:tcBorders>
              <w:top w:val="nil"/>
              <w:left w:val="single" w:sz="8" w:space="0" w:color="auto"/>
              <w:bottom w:val="single" w:sz="8" w:space="0" w:color="auto"/>
              <w:right w:val="nil"/>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Other expenses</w:t>
            </w:r>
          </w:p>
        </w:tc>
        <w:tc>
          <w:tcPr>
            <w:tcW w:w="311" w:type="pct"/>
            <w:tcBorders>
              <w:top w:val="nil"/>
              <w:left w:val="single" w:sz="8" w:space="0" w:color="auto"/>
              <w:bottom w:val="single" w:sz="8" w:space="0" w:color="auto"/>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47 </w:t>
            </w:r>
          </w:p>
        </w:tc>
        <w:tc>
          <w:tcPr>
            <w:tcW w:w="353" w:type="pct"/>
            <w:tcBorders>
              <w:top w:val="nil"/>
              <w:left w:val="nil"/>
              <w:bottom w:val="single" w:sz="8" w:space="0" w:color="auto"/>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24 </w:t>
            </w:r>
          </w:p>
        </w:tc>
        <w:tc>
          <w:tcPr>
            <w:tcW w:w="339" w:type="pct"/>
            <w:tcBorders>
              <w:top w:val="nil"/>
              <w:left w:val="nil"/>
              <w:bottom w:val="single" w:sz="8" w:space="0" w:color="auto"/>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30 </w:t>
            </w:r>
          </w:p>
        </w:tc>
        <w:tc>
          <w:tcPr>
            <w:tcW w:w="339" w:type="pct"/>
            <w:tcBorders>
              <w:top w:val="nil"/>
              <w:left w:val="nil"/>
              <w:bottom w:val="single" w:sz="8" w:space="0" w:color="auto"/>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23 </w:t>
            </w:r>
          </w:p>
        </w:tc>
        <w:tc>
          <w:tcPr>
            <w:tcW w:w="344" w:type="pct"/>
            <w:tcBorders>
              <w:top w:val="nil"/>
              <w:left w:val="nil"/>
              <w:bottom w:val="single" w:sz="8" w:space="0" w:color="auto"/>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5 </w:t>
            </w:r>
          </w:p>
        </w:tc>
        <w:tc>
          <w:tcPr>
            <w:tcW w:w="343" w:type="pct"/>
            <w:tcBorders>
              <w:top w:val="nil"/>
              <w:left w:val="nil"/>
              <w:bottom w:val="single" w:sz="8" w:space="0" w:color="auto"/>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 </w:t>
            </w:r>
          </w:p>
        </w:tc>
        <w:tc>
          <w:tcPr>
            <w:tcW w:w="343" w:type="pct"/>
            <w:tcBorders>
              <w:top w:val="nil"/>
              <w:left w:val="nil"/>
              <w:bottom w:val="single" w:sz="8" w:space="0" w:color="auto"/>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7 </w:t>
            </w:r>
          </w:p>
        </w:tc>
        <w:tc>
          <w:tcPr>
            <w:tcW w:w="315" w:type="pct"/>
            <w:tcBorders>
              <w:top w:val="nil"/>
              <w:left w:val="nil"/>
              <w:bottom w:val="single" w:sz="8" w:space="0" w:color="auto"/>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2 </w:t>
            </w:r>
          </w:p>
        </w:tc>
        <w:tc>
          <w:tcPr>
            <w:tcW w:w="364" w:type="pct"/>
            <w:tcBorders>
              <w:top w:val="nil"/>
              <w:left w:val="nil"/>
              <w:bottom w:val="single" w:sz="8" w:space="0" w:color="auto"/>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3 </w:t>
            </w:r>
          </w:p>
        </w:tc>
        <w:tc>
          <w:tcPr>
            <w:tcW w:w="357" w:type="pct"/>
            <w:tcBorders>
              <w:top w:val="nil"/>
              <w:left w:val="nil"/>
              <w:bottom w:val="single" w:sz="8" w:space="0" w:color="auto"/>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   </w:t>
            </w:r>
          </w:p>
        </w:tc>
        <w:tc>
          <w:tcPr>
            <w:tcW w:w="371" w:type="pct"/>
            <w:tcBorders>
              <w:top w:val="nil"/>
              <w:left w:val="nil"/>
              <w:bottom w:val="single" w:sz="8" w:space="0" w:color="auto"/>
              <w:right w:val="single" w:sz="4"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1 </w:t>
            </w:r>
          </w:p>
        </w:tc>
        <w:tc>
          <w:tcPr>
            <w:tcW w:w="370" w:type="pct"/>
            <w:tcBorders>
              <w:top w:val="nil"/>
              <w:left w:val="nil"/>
              <w:bottom w:val="single" w:sz="8" w:space="0" w:color="auto"/>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   </w:t>
            </w:r>
          </w:p>
        </w:tc>
      </w:tr>
      <w:tr w:rsidR="00B314ED" w:rsidRPr="00B314ED" w:rsidTr="00B314ED">
        <w:trPr>
          <w:trHeight w:val="360"/>
        </w:trPr>
        <w:tc>
          <w:tcPr>
            <w:tcW w:w="851" w:type="pct"/>
            <w:tcBorders>
              <w:top w:val="nil"/>
              <w:left w:val="single" w:sz="8" w:space="0" w:color="auto"/>
              <w:bottom w:val="single" w:sz="8" w:space="0" w:color="auto"/>
              <w:right w:val="single" w:sz="8" w:space="0" w:color="auto"/>
            </w:tcBorders>
            <w:shd w:val="clear" w:color="auto" w:fill="auto"/>
            <w:noWrap/>
            <w:vAlign w:val="bottom"/>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Total is KCHF</w:t>
            </w:r>
          </w:p>
        </w:tc>
        <w:tc>
          <w:tcPr>
            <w:tcW w:w="311" w:type="pct"/>
            <w:tcBorders>
              <w:top w:val="nil"/>
              <w:left w:val="nil"/>
              <w:bottom w:val="single" w:sz="8" w:space="0" w:color="auto"/>
              <w:right w:val="single" w:sz="4"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2,210 </w:t>
            </w:r>
          </w:p>
        </w:tc>
        <w:tc>
          <w:tcPr>
            <w:tcW w:w="353" w:type="pct"/>
            <w:tcBorders>
              <w:top w:val="nil"/>
              <w:left w:val="nil"/>
              <w:bottom w:val="single" w:sz="8" w:space="0" w:color="auto"/>
              <w:right w:val="single" w:sz="8"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 2,060 </w:t>
            </w:r>
          </w:p>
        </w:tc>
        <w:tc>
          <w:tcPr>
            <w:tcW w:w="339" w:type="pct"/>
            <w:tcBorders>
              <w:top w:val="nil"/>
              <w:left w:val="nil"/>
              <w:bottom w:val="single" w:sz="8" w:space="0" w:color="auto"/>
              <w:right w:val="single" w:sz="4"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 2,1</w:t>
            </w:r>
            <w:r>
              <w:rPr>
                <w:rFonts w:asciiTheme="minorHAnsi" w:hAnsiTheme="minorHAnsi" w:cs="Arial"/>
                <w:b/>
                <w:bCs/>
                <w:color w:val="000000"/>
                <w:sz w:val="18"/>
                <w:szCs w:val="18"/>
                <w:lang w:val="en-US" w:eastAsia="zh-CN"/>
              </w:rPr>
              <w:t>8</w:t>
            </w:r>
            <w:r w:rsidRPr="00B314ED">
              <w:rPr>
                <w:rFonts w:asciiTheme="minorHAnsi" w:hAnsiTheme="minorHAnsi" w:cs="Arial"/>
                <w:b/>
                <w:bCs/>
                <w:color w:val="000000"/>
                <w:sz w:val="18"/>
                <w:szCs w:val="18"/>
                <w:lang w:val="en-US" w:eastAsia="zh-CN"/>
              </w:rPr>
              <w:t xml:space="preserve">4 </w:t>
            </w:r>
          </w:p>
        </w:tc>
        <w:tc>
          <w:tcPr>
            <w:tcW w:w="339" w:type="pct"/>
            <w:tcBorders>
              <w:top w:val="nil"/>
              <w:left w:val="nil"/>
              <w:bottom w:val="single" w:sz="8" w:space="0" w:color="auto"/>
              <w:right w:val="single" w:sz="8"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 2,174 </w:t>
            </w:r>
          </w:p>
        </w:tc>
        <w:tc>
          <w:tcPr>
            <w:tcW w:w="344" w:type="pct"/>
            <w:tcBorders>
              <w:top w:val="nil"/>
              <w:left w:val="nil"/>
              <w:bottom w:val="single" w:sz="8" w:space="0" w:color="auto"/>
              <w:right w:val="single" w:sz="4"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  945 </w:t>
            </w:r>
          </w:p>
        </w:tc>
        <w:tc>
          <w:tcPr>
            <w:tcW w:w="343" w:type="pct"/>
            <w:tcBorders>
              <w:top w:val="nil"/>
              <w:left w:val="nil"/>
              <w:bottom w:val="single" w:sz="8" w:space="0" w:color="auto"/>
              <w:right w:val="single" w:sz="8"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   886 </w:t>
            </w:r>
          </w:p>
        </w:tc>
        <w:tc>
          <w:tcPr>
            <w:tcW w:w="343" w:type="pct"/>
            <w:tcBorders>
              <w:top w:val="nil"/>
              <w:left w:val="nil"/>
              <w:bottom w:val="single" w:sz="8" w:space="0" w:color="auto"/>
              <w:right w:val="single" w:sz="4"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  1,412 </w:t>
            </w:r>
          </w:p>
        </w:tc>
        <w:tc>
          <w:tcPr>
            <w:tcW w:w="315" w:type="pct"/>
            <w:tcBorders>
              <w:top w:val="nil"/>
              <w:left w:val="nil"/>
              <w:bottom w:val="single" w:sz="8" w:space="0" w:color="auto"/>
              <w:right w:val="single" w:sz="8"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1,412 </w:t>
            </w:r>
          </w:p>
        </w:tc>
        <w:tc>
          <w:tcPr>
            <w:tcW w:w="364" w:type="pct"/>
            <w:tcBorders>
              <w:top w:val="nil"/>
              <w:left w:val="nil"/>
              <w:bottom w:val="single" w:sz="8" w:space="0" w:color="auto"/>
              <w:right w:val="single" w:sz="4"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      421 </w:t>
            </w:r>
          </w:p>
        </w:tc>
        <w:tc>
          <w:tcPr>
            <w:tcW w:w="357" w:type="pct"/>
            <w:tcBorders>
              <w:top w:val="nil"/>
              <w:left w:val="nil"/>
              <w:bottom w:val="single" w:sz="8" w:space="0" w:color="auto"/>
              <w:right w:val="single" w:sz="8"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      411 </w:t>
            </w:r>
          </w:p>
        </w:tc>
        <w:tc>
          <w:tcPr>
            <w:tcW w:w="371" w:type="pct"/>
            <w:tcBorders>
              <w:top w:val="nil"/>
              <w:left w:val="nil"/>
              <w:bottom w:val="single" w:sz="8" w:space="0" w:color="auto"/>
              <w:right w:val="single" w:sz="4"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     506 </w:t>
            </w:r>
          </w:p>
        </w:tc>
        <w:tc>
          <w:tcPr>
            <w:tcW w:w="370" w:type="pct"/>
            <w:tcBorders>
              <w:top w:val="nil"/>
              <w:left w:val="nil"/>
              <w:bottom w:val="single" w:sz="8" w:space="0" w:color="auto"/>
              <w:right w:val="single" w:sz="8" w:space="0" w:color="auto"/>
            </w:tcBorders>
            <w:shd w:val="clear" w:color="auto" w:fill="auto"/>
            <w:noWrap/>
            <w:vAlign w:val="center"/>
            <w:hideMark/>
          </w:tcPr>
          <w:p w:rsidR="00B314ED" w:rsidRPr="00B314ED" w:rsidRDefault="00B314ED" w:rsidP="00B314E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     543 </w:t>
            </w:r>
          </w:p>
        </w:tc>
      </w:tr>
    </w:tbl>
    <w:p w:rsidR="001D1593" w:rsidRDefault="001D1593" w:rsidP="006D747B">
      <w:pPr>
        <w:spacing w:before="0"/>
        <w:rPr>
          <w:bCs/>
          <w:szCs w:val="24"/>
        </w:rPr>
      </w:pPr>
    </w:p>
    <w:p w:rsidR="001D1593" w:rsidRDefault="001D1593" w:rsidP="00780A52">
      <w:pPr>
        <w:spacing w:before="0"/>
        <w:jc w:val="both"/>
        <w:rPr>
          <w:bCs/>
          <w:szCs w:val="24"/>
        </w:rPr>
      </w:pPr>
      <w:r w:rsidRPr="008C3F65">
        <w:rPr>
          <w:bCs/>
          <w:szCs w:val="24"/>
        </w:rPr>
        <w:t>Efforts continued during 2018 towards enhancing ITU’s regional presence through a range of measures to enable the Union to be more responsive to the specific needs of the regions and to effectively deliver timely and high quality products and services at country and regional levels.  Numerous technical assistance projects were under implementation in regions:  Africa region (13</w:t>
      </w:r>
      <w:r w:rsidR="00E70765">
        <w:rPr>
          <w:bCs/>
          <w:szCs w:val="24"/>
        </w:rPr>
        <w:t> </w:t>
      </w:r>
      <w:r w:rsidRPr="008C3F65">
        <w:rPr>
          <w:bCs/>
          <w:szCs w:val="24"/>
        </w:rPr>
        <w:t xml:space="preserve">projects), Americas region (12 projects), Arab region (5 projects), Asia Pacific region (10 projects) and Europe region (2 projects). </w:t>
      </w:r>
      <w:r w:rsidR="0061170D">
        <w:rPr>
          <w:bCs/>
          <w:szCs w:val="24"/>
        </w:rPr>
        <w:t>A</w:t>
      </w:r>
      <w:r w:rsidRPr="008C3F65">
        <w:rPr>
          <w:bCs/>
          <w:szCs w:val="24"/>
        </w:rPr>
        <w:t xml:space="preserve"> document on Strengthening the Regional Presence </w:t>
      </w:r>
      <w:r w:rsidR="000517FE">
        <w:rPr>
          <w:bCs/>
          <w:szCs w:val="24"/>
        </w:rPr>
        <w:t xml:space="preserve">containing </w:t>
      </w:r>
      <w:r w:rsidR="000517FE" w:rsidRPr="008C3F65">
        <w:rPr>
          <w:bCs/>
          <w:szCs w:val="24"/>
        </w:rPr>
        <w:t>more details</w:t>
      </w:r>
      <w:r w:rsidR="000517FE">
        <w:rPr>
          <w:bCs/>
          <w:szCs w:val="24"/>
        </w:rPr>
        <w:t xml:space="preserve"> </w:t>
      </w:r>
      <w:r w:rsidR="0061170D">
        <w:rPr>
          <w:bCs/>
          <w:szCs w:val="24"/>
        </w:rPr>
        <w:t xml:space="preserve">is </w:t>
      </w:r>
      <w:r w:rsidRPr="008C3F65">
        <w:rPr>
          <w:bCs/>
          <w:szCs w:val="24"/>
        </w:rPr>
        <w:t>submitted to Council 2019</w:t>
      </w:r>
      <w:r w:rsidR="00780A52">
        <w:rPr>
          <w:bCs/>
          <w:szCs w:val="24"/>
        </w:rPr>
        <w:t xml:space="preserve"> (</w:t>
      </w:r>
      <w:r w:rsidR="00D228D3">
        <w:rPr>
          <w:bCs/>
          <w:szCs w:val="24"/>
        </w:rPr>
        <w:t>document C19/25)</w:t>
      </w:r>
      <w:r w:rsidRPr="008C3F65">
        <w:rPr>
          <w:bCs/>
          <w:szCs w:val="24"/>
        </w:rPr>
        <w:t>.</w:t>
      </w:r>
    </w:p>
    <w:p w:rsidR="0022373A" w:rsidRPr="00C007DC" w:rsidRDefault="00A165D6" w:rsidP="006D6709">
      <w:pPr>
        <w:pStyle w:val="Heading5"/>
        <w:ind w:right="425"/>
        <w:jc w:val="both"/>
        <w:rPr>
          <w:lang w:val="en-US"/>
        </w:rPr>
      </w:pPr>
      <w:r w:rsidRPr="00A310CE">
        <w:rPr>
          <w:lang w:val="en-US"/>
        </w:rPr>
        <w:t>Note 2</w:t>
      </w:r>
      <w:r w:rsidR="006D6709">
        <w:rPr>
          <w:lang w:val="en-US"/>
        </w:rPr>
        <w:t>6</w:t>
      </w:r>
      <w:r w:rsidR="0022373A" w:rsidRPr="00A310CE">
        <w:rPr>
          <w:lang w:val="en-US"/>
        </w:rPr>
        <w:tab/>
        <w:t>Reconciliation between budgeted amounts and actual amounts</w:t>
      </w:r>
      <w:bookmarkEnd w:id="134"/>
      <w:bookmarkEnd w:id="135"/>
    </w:p>
    <w:p w:rsidR="0022373A" w:rsidRPr="00C007DC" w:rsidRDefault="0022373A" w:rsidP="00FB79E8">
      <w:pPr>
        <w:ind w:right="425"/>
        <w:jc w:val="both"/>
        <w:rPr>
          <w:b/>
          <w:lang w:val="en-US"/>
        </w:rPr>
      </w:pPr>
      <w:r w:rsidRPr="00C007DC">
        <w:rPr>
          <w:lang w:val="en-US"/>
        </w:rPr>
        <w:t xml:space="preserve">The financial statements </w:t>
      </w:r>
      <w:r w:rsidR="00424DD4" w:rsidRPr="00C007DC">
        <w:rPr>
          <w:lang w:val="en-US"/>
        </w:rPr>
        <w:t>includ</w:t>
      </w:r>
      <w:r w:rsidR="00FB79E8">
        <w:rPr>
          <w:lang w:val="en-US"/>
        </w:rPr>
        <w:t>e</w:t>
      </w:r>
      <w:r w:rsidRPr="00C007DC">
        <w:rPr>
          <w:lang w:val="en-US"/>
        </w:rPr>
        <w:t>:</w:t>
      </w:r>
    </w:p>
    <w:p w:rsidR="0022373A" w:rsidRPr="00C007DC" w:rsidRDefault="0022373A" w:rsidP="00C11E81">
      <w:pPr>
        <w:pStyle w:val="enumlev1"/>
        <w:ind w:right="425"/>
        <w:jc w:val="both"/>
        <w:rPr>
          <w:b/>
          <w:lang w:val="en-US"/>
        </w:rPr>
      </w:pPr>
      <w:r w:rsidRPr="00C007DC">
        <w:rPr>
          <w:lang w:val="en-US"/>
        </w:rPr>
        <w:t>•</w:t>
      </w:r>
      <w:r w:rsidRPr="00C007DC">
        <w:rPr>
          <w:lang w:val="en-US"/>
        </w:rPr>
        <w:tab/>
        <w:t>ITU</w:t>
      </w:r>
      <w:r w:rsidR="00424DD4" w:rsidRPr="00C007DC">
        <w:rPr>
          <w:lang w:val="en-US"/>
        </w:rPr>
        <w:t xml:space="preserve"> regular budget</w:t>
      </w:r>
      <w:r w:rsidR="0012192B" w:rsidRPr="00C007DC">
        <w:rPr>
          <w:lang w:val="en-US"/>
        </w:rPr>
        <w:t>;</w:t>
      </w:r>
    </w:p>
    <w:p w:rsidR="0022373A" w:rsidRPr="00C007DC" w:rsidRDefault="0022373A" w:rsidP="006E6A1D">
      <w:pPr>
        <w:pStyle w:val="enumlev1"/>
        <w:spacing w:before="60"/>
        <w:ind w:right="425"/>
        <w:jc w:val="both"/>
        <w:rPr>
          <w:b/>
          <w:lang w:val="en-US"/>
        </w:rPr>
      </w:pPr>
      <w:r w:rsidRPr="00C007DC">
        <w:rPr>
          <w:lang w:val="en-US"/>
        </w:rPr>
        <w:t>•</w:t>
      </w:r>
      <w:r w:rsidRPr="00C007DC">
        <w:rPr>
          <w:lang w:val="en-US"/>
        </w:rPr>
        <w:tab/>
      </w:r>
      <w:r w:rsidR="001A29CB" w:rsidRPr="00C007DC">
        <w:rPr>
          <w:lang w:val="en-US"/>
        </w:rPr>
        <w:t xml:space="preserve">ITU </w:t>
      </w:r>
      <w:r w:rsidRPr="00C007DC">
        <w:rPr>
          <w:lang w:val="en-US"/>
        </w:rPr>
        <w:t>TELECOM e</w:t>
      </w:r>
      <w:r w:rsidR="001A29CB" w:rsidRPr="00C007DC">
        <w:rPr>
          <w:lang w:val="en-US"/>
        </w:rPr>
        <w:t>vents</w:t>
      </w:r>
      <w:r w:rsidR="0012192B" w:rsidRPr="00C007DC">
        <w:rPr>
          <w:lang w:val="en-US"/>
        </w:rPr>
        <w:t>;</w:t>
      </w:r>
    </w:p>
    <w:p w:rsidR="0022373A" w:rsidRPr="00C007DC" w:rsidRDefault="0022373A" w:rsidP="006E6A1D">
      <w:pPr>
        <w:pStyle w:val="enumlev1"/>
        <w:spacing w:before="60"/>
        <w:ind w:right="425"/>
        <w:jc w:val="both"/>
        <w:rPr>
          <w:lang w:val="en-US"/>
        </w:rPr>
      </w:pPr>
      <w:r w:rsidRPr="00C007DC">
        <w:rPr>
          <w:lang w:val="en-US"/>
        </w:rPr>
        <w:t>•</w:t>
      </w:r>
      <w:r w:rsidRPr="00C007DC">
        <w:rPr>
          <w:lang w:val="en-US"/>
        </w:rPr>
        <w:tab/>
      </w:r>
      <w:r w:rsidR="00424DD4" w:rsidRPr="00C007DC">
        <w:rPr>
          <w:lang w:val="en-US"/>
        </w:rPr>
        <w:t>Voluntary</w:t>
      </w:r>
      <w:r w:rsidRPr="00C007DC">
        <w:rPr>
          <w:lang w:val="en-US"/>
        </w:rPr>
        <w:t xml:space="preserve"> contributions</w:t>
      </w:r>
      <w:r w:rsidR="0012192B" w:rsidRPr="00C007DC">
        <w:rPr>
          <w:lang w:val="en-US"/>
        </w:rPr>
        <w:t>;</w:t>
      </w:r>
    </w:p>
    <w:p w:rsidR="0022373A" w:rsidRPr="00C007DC" w:rsidRDefault="0022373A" w:rsidP="006E6A1D">
      <w:pPr>
        <w:pStyle w:val="enumlev1"/>
        <w:spacing w:before="60"/>
        <w:ind w:right="425"/>
        <w:jc w:val="both"/>
        <w:rPr>
          <w:lang w:val="en-US"/>
        </w:rPr>
      </w:pPr>
      <w:r w:rsidRPr="00C007DC">
        <w:rPr>
          <w:lang w:val="en-US"/>
        </w:rPr>
        <w:t>•</w:t>
      </w:r>
      <w:r w:rsidRPr="00C007DC">
        <w:rPr>
          <w:lang w:val="en-US"/>
        </w:rPr>
        <w:tab/>
        <w:t>SS&amp;B funds</w:t>
      </w:r>
      <w:r w:rsidR="0012192B" w:rsidRPr="00C007DC">
        <w:rPr>
          <w:lang w:val="en-US"/>
        </w:rPr>
        <w:t>;</w:t>
      </w:r>
    </w:p>
    <w:p w:rsidR="0022373A" w:rsidRPr="00C007DC" w:rsidRDefault="0022373A" w:rsidP="006E6A1D">
      <w:pPr>
        <w:pStyle w:val="enumlev1"/>
        <w:spacing w:before="60"/>
        <w:ind w:right="425"/>
        <w:jc w:val="both"/>
        <w:rPr>
          <w:lang w:val="en-US"/>
        </w:rPr>
      </w:pPr>
      <w:r w:rsidRPr="00C007DC">
        <w:rPr>
          <w:lang w:val="en-US"/>
        </w:rPr>
        <w:t>•</w:t>
      </w:r>
      <w:r w:rsidRPr="00C007DC">
        <w:rPr>
          <w:lang w:val="en-US"/>
        </w:rPr>
        <w:tab/>
        <w:t>UNDP, trust funds and ICTDF projects.</w:t>
      </w:r>
    </w:p>
    <w:p w:rsidR="0022373A" w:rsidRPr="00C007DC" w:rsidRDefault="0022373A" w:rsidP="00102909">
      <w:pPr>
        <w:ind w:right="425"/>
        <w:jc w:val="both"/>
        <w:rPr>
          <w:lang w:val="en-US"/>
        </w:rPr>
      </w:pPr>
      <w:r w:rsidRPr="00C007DC">
        <w:rPr>
          <w:lang w:val="en-US"/>
        </w:rPr>
        <w:t>The Union</w:t>
      </w:r>
      <w:r w:rsidR="007A552E" w:rsidRPr="00C007DC">
        <w:rPr>
          <w:lang w:val="en-US"/>
        </w:rPr>
        <w:t>’</w:t>
      </w:r>
      <w:r w:rsidRPr="00C007DC">
        <w:rPr>
          <w:lang w:val="en-US"/>
        </w:rPr>
        <w:t>s budget and financial statements are establis</w:t>
      </w:r>
      <w:r w:rsidR="00840C32" w:rsidRPr="00C007DC">
        <w:rPr>
          <w:lang w:val="en-US"/>
        </w:rPr>
        <w:t xml:space="preserve">hed on different bases. </w:t>
      </w:r>
      <w:r w:rsidR="000A039E" w:rsidRPr="00C007DC">
        <w:rPr>
          <w:lang w:val="en-US"/>
        </w:rPr>
        <w:t xml:space="preserve">The </w:t>
      </w:r>
      <w:r w:rsidR="00111BDD" w:rsidRPr="00C007DC">
        <w:rPr>
          <w:lang w:val="en-US"/>
        </w:rPr>
        <w:t>201</w:t>
      </w:r>
      <w:r w:rsidR="00102909">
        <w:rPr>
          <w:lang w:val="en-US"/>
        </w:rPr>
        <w:t>8</w:t>
      </w:r>
      <w:r w:rsidR="000A039E" w:rsidRPr="00C007DC">
        <w:rPr>
          <w:lang w:val="en-US"/>
        </w:rPr>
        <w:t>-201</w:t>
      </w:r>
      <w:r w:rsidR="00102909">
        <w:rPr>
          <w:lang w:val="en-US"/>
        </w:rPr>
        <w:t>9</w:t>
      </w:r>
      <w:r w:rsidRPr="00C007DC">
        <w:rPr>
          <w:lang w:val="en-US"/>
        </w:rPr>
        <w:t xml:space="preserve"> budget is established on a mixed basis, with a number of specific items that are not dealt with on an accrual basis. Furthermore, the ITU budget deals solely with the Union</w:t>
      </w:r>
      <w:r w:rsidR="007A552E" w:rsidRPr="00C007DC">
        <w:rPr>
          <w:lang w:val="en-US"/>
        </w:rPr>
        <w:t>’</w:t>
      </w:r>
      <w:r w:rsidRPr="00C007DC">
        <w:rPr>
          <w:lang w:val="en-US"/>
        </w:rPr>
        <w:t>s core activity and not with activities financed by voluntary contributions, projects and funds.</w:t>
      </w:r>
    </w:p>
    <w:p w:rsidR="0022373A" w:rsidRPr="00C007DC" w:rsidRDefault="0022373A" w:rsidP="00C11E81">
      <w:pPr>
        <w:ind w:right="425"/>
        <w:jc w:val="both"/>
        <w:rPr>
          <w:lang w:val="en-US"/>
        </w:rPr>
      </w:pPr>
      <w:r w:rsidRPr="00C007DC">
        <w:rPr>
          <w:lang w:val="en-US"/>
        </w:rPr>
        <w:t>The Union</w:t>
      </w:r>
      <w:r w:rsidR="007A552E" w:rsidRPr="00C007DC">
        <w:rPr>
          <w:lang w:val="en-US"/>
        </w:rPr>
        <w:t>’</w:t>
      </w:r>
      <w:r w:rsidRPr="00C007DC">
        <w:rPr>
          <w:lang w:val="en-US"/>
        </w:rPr>
        <w:t>s financial statements are drawn up on an accrual basis using a classification based on the nature of the expenses recorded in the statement of financial performance (see Table II).</w:t>
      </w:r>
    </w:p>
    <w:p w:rsidR="0022373A" w:rsidRPr="00C007DC" w:rsidRDefault="0022373A" w:rsidP="00C11E81">
      <w:pPr>
        <w:ind w:right="425"/>
        <w:jc w:val="both"/>
        <w:rPr>
          <w:lang w:val="en-US"/>
        </w:rPr>
      </w:pPr>
      <w:r w:rsidRPr="00C007DC">
        <w:rPr>
          <w:lang w:val="en-US"/>
        </w:rPr>
        <w:t xml:space="preserve">The </w:t>
      </w:r>
      <w:r w:rsidR="00840C32" w:rsidRPr="00C007DC">
        <w:rPr>
          <w:lang w:val="en-US"/>
        </w:rPr>
        <w:t xml:space="preserve">perimeter </w:t>
      </w:r>
      <w:r w:rsidR="001A29CB" w:rsidRPr="00C007DC">
        <w:rPr>
          <w:lang w:val="en-US"/>
        </w:rPr>
        <w:t>differences are</w:t>
      </w:r>
      <w:r w:rsidR="00840C32" w:rsidRPr="00C007DC">
        <w:rPr>
          <w:lang w:val="en-US"/>
        </w:rPr>
        <w:t xml:space="preserve"> due to the </w:t>
      </w:r>
      <w:r w:rsidR="00C81B79" w:rsidRPr="00C007DC">
        <w:rPr>
          <w:lang w:val="en-US"/>
        </w:rPr>
        <w:t>Extra-budgetary</w:t>
      </w:r>
      <w:r w:rsidRPr="00C007DC">
        <w:rPr>
          <w:lang w:val="en-US"/>
        </w:rPr>
        <w:t xml:space="preserve"> funds</w:t>
      </w:r>
      <w:r w:rsidR="00840C32" w:rsidRPr="00C007DC">
        <w:rPr>
          <w:lang w:val="en-US"/>
        </w:rPr>
        <w:t>, which are not part of the regular budget.</w:t>
      </w:r>
      <w:r w:rsidRPr="00C007DC">
        <w:rPr>
          <w:lang w:val="en-US"/>
        </w:rPr>
        <w:t xml:space="preserve"> In order to reconcile the final result for budgetary control of the net result of the period after IPSAS adjustments, account has to be taken of the differences between the budget presentation and the</w:t>
      </w:r>
      <w:r w:rsidR="00424DD4" w:rsidRPr="00C007DC">
        <w:rPr>
          <w:lang w:val="en-US"/>
        </w:rPr>
        <w:t xml:space="preserve"> accrual accounting (see Table </w:t>
      </w:r>
      <w:r w:rsidRPr="00C007DC">
        <w:rPr>
          <w:lang w:val="en-US"/>
        </w:rPr>
        <w:t>V). In the budget, expenses relating to non-expendable equipment are recognized as investment expenses. In accrual accounting, non-expendable equipment (items over CHF 5</w:t>
      </w:r>
      <w:r w:rsidR="00717DC9" w:rsidRPr="00C007DC">
        <w:rPr>
          <w:lang w:val="en-US"/>
        </w:rPr>
        <w:t>’</w:t>
      </w:r>
      <w:r w:rsidRPr="00C007DC">
        <w:rPr>
          <w:lang w:val="en-US"/>
        </w:rPr>
        <w:t xml:space="preserve">000) are entered in the accounts as fixed assets and depreciated over their probable period of use, with the exception of </w:t>
      </w:r>
      <w:r w:rsidR="00424DD4" w:rsidRPr="00C007DC">
        <w:rPr>
          <w:lang w:val="en-US"/>
        </w:rPr>
        <w:t xml:space="preserve">fixed assets acquired with </w:t>
      </w:r>
      <w:r w:rsidR="00C81B79" w:rsidRPr="00C007DC">
        <w:rPr>
          <w:lang w:val="en-US"/>
        </w:rPr>
        <w:t>Extra-budgetary</w:t>
      </w:r>
      <w:r w:rsidR="00424DD4" w:rsidRPr="00C007DC">
        <w:rPr>
          <w:lang w:val="en-US"/>
        </w:rPr>
        <w:t xml:space="preserve"> funds and transferred to </w:t>
      </w:r>
      <w:r w:rsidR="00892E42" w:rsidRPr="00C007DC">
        <w:rPr>
          <w:lang w:val="en-US"/>
        </w:rPr>
        <w:t xml:space="preserve">the </w:t>
      </w:r>
      <w:r w:rsidR="00424DD4" w:rsidRPr="00C007DC">
        <w:rPr>
          <w:lang w:val="en-US"/>
        </w:rPr>
        <w:t>beneficiary of the project</w:t>
      </w:r>
      <w:r w:rsidRPr="00C007DC">
        <w:rPr>
          <w:lang w:val="en-US"/>
        </w:rPr>
        <w:t>. The depreciation expense associated with the fixed assets is recognized in the statement of financial performance and is not taken into account in the budget.</w:t>
      </w:r>
    </w:p>
    <w:p w:rsidR="0022373A" w:rsidRPr="00C007DC" w:rsidRDefault="0022373A" w:rsidP="00EC2BC4">
      <w:pPr>
        <w:ind w:right="425"/>
        <w:jc w:val="both"/>
        <w:rPr>
          <w:lang w:val="en-US"/>
        </w:rPr>
      </w:pPr>
      <w:r w:rsidRPr="00C007DC">
        <w:rPr>
          <w:lang w:val="en-US"/>
        </w:rPr>
        <w:t xml:space="preserve">In the budget, expenses corresponding to employee benefits are taken into account as and when they are paid, whereas in accrual accounting a part of the expenses is estimated by an actuary using a methodology set out in the accounting standards. </w:t>
      </w:r>
      <w:r w:rsidR="001A29CB" w:rsidRPr="00C007DC">
        <w:rPr>
          <w:lang w:val="en-US"/>
        </w:rPr>
        <w:t>After</w:t>
      </w:r>
      <w:r w:rsidR="001C0566" w:rsidRPr="00C007DC">
        <w:rPr>
          <w:lang w:val="en-US"/>
        </w:rPr>
        <w:t>-</w:t>
      </w:r>
      <w:r w:rsidR="001A29CB" w:rsidRPr="00C007DC">
        <w:rPr>
          <w:lang w:val="en-US"/>
        </w:rPr>
        <w:t>service</w:t>
      </w:r>
      <w:r w:rsidRPr="00C007DC">
        <w:rPr>
          <w:lang w:val="en-US"/>
        </w:rPr>
        <w:t xml:space="preserve"> health </w:t>
      </w:r>
      <w:r w:rsidR="001A29CB" w:rsidRPr="00C007DC">
        <w:rPr>
          <w:lang w:val="en-US"/>
        </w:rPr>
        <w:t xml:space="preserve">insurance </w:t>
      </w:r>
      <w:r w:rsidRPr="00C007DC">
        <w:rPr>
          <w:lang w:val="en-US"/>
        </w:rPr>
        <w:t>obligations are recognized in the statement of financial position, as indicated in Note 1</w:t>
      </w:r>
      <w:r w:rsidR="00EC2BC4">
        <w:rPr>
          <w:lang w:val="en-US"/>
        </w:rPr>
        <w:t>7</w:t>
      </w:r>
      <w:r w:rsidRPr="00C007DC">
        <w:rPr>
          <w:lang w:val="en-US"/>
        </w:rPr>
        <w:t>. Realized and unrealized exchange-rate differences are not taken into account in the budget but reflected in the statement of financial performance. The same goes for the provision for doubtful debts and recognition of inventories. Repayment of the FIPOI loan was not considered as an expense in the statement of financial performance, even though it had been budgeted.</w:t>
      </w:r>
    </w:p>
    <w:p w:rsidR="0022373A" w:rsidRPr="00C007DC" w:rsidRDefault="0022373A" w:rsidP="00C11E81">
      <w:pPr>
        <w:ind w:right="425"/>
        <w:jc w:val="both"/>
        <w:rPr>
          <w:lang w:val="en-US"/>
        </w:rPr>
      </w:pPr>
      <w:r w:rsidRPr="00C007DC">
        <w:rPr>
          <w:lang w:val="en-US"/>
        </w:rPr>
        <w:t>Interest associated with the interest-free loans granted by FIPOI was calculated under normal market conditions and was not paid but was recognized as an in-kind contribution and expense in the statement of financial performance.</w:t>
      </w:r>
    </w:p>
    <w:p w:rsidR="003938C6" w:rsidRDefault="00E31694" w:rsidP="00102909">
      <w:pPr>
        <w:ind w:right="425"/>
        <w:jc w:val="both"/>
      </w:pPr>
      <w:r w:rsidRPr="00C54FCF">
        <w:t xml:space="preserve">In the </w:t>
      </w:r>
      <w:r w:rsidR="00111BDD" w:rsidRPr="00C54FCF">
        <w:t>201</w:t>
      </w:r>
      <w:r w:rsidR="00102909">
        <w:t>8</w:t>
      </w:r>
      <w:r w:rsidR="00424DD4" w:rsidRPr="00C54FCF">
        <w:t xml:space="preserve"> financial year, r</w:t>
      </w:r>
      <w:r w:rsidRPr="00C54FCF">
        <w:t>evenue and expenses of CHF 1</w:t>
      </w:r>
      <w:r w:rsidR="00102909">
        <w:t>59</w:t>
      </w:r>
      <w:r w:rsidR="00E755AA">
        <w:t>.</w:t>
      </w:r>
      <w:r w:rsidR="00102909">
        <w:t>87</w:t>
      </w:r>
      <w:r w:rsidR="00424DD4" w:rsidRPr="00C54FCF">
        <w:t xml:space="preserve"> million were budgeted.</w:t>
      </w:r>
      <w:r w:rsidR="002D37B7" w:rsidRPr="00C54FCF">
        <w:t xml:space="preserve"> A constant monitoring of expenses as well as increase revenue from cost recovery </w:t>
      </w:r>
      <w:r w:rsidR="00E755AA">
        <w:t>and sales of publications</w:t>
      </w:r>
      <w:r w:rsidR="002D37B7" w:rsidRPr="00C54FCF">
        <w:t xml:space="preserve"> resulted in a budgetary surplus of CHF</w:t>
      </w:r>
      <w:r w:rsidRPr="00C54FCF">
        <w:t xml:space="preserve"> </w:t>
      </w:r>
      <w:r w:rsidR="00140423">
        <w:t>11.</w:t>
      </w:r>
      <w:r w:rsidR="00102909">
        <w:t>07</w:t>
      </w:r>
      <w:r w:rsidR="00AC6F43" w:rsidRPr="00C54FCF">
        <w:t xml:space="preserve"> million</w:t>
      </w:r>
      <w:r w:rsidR="00C54FCF" w:rsidRPr="00C54FCF">
        <w:t>.</w:t>
      </w:r>
    </w:p>
    <w:p w:rsidR="001762E6" w:rsidRDefault="001762E6" w:rsidP="007C11C4">
      <w:pPr>
        <w:spacing w:before="0"/>
        <w:ind w:right="425"/>
        <w:jc w:val="both"/>
      </w:pPr>
    </w:p>
    <w:tbl>
      <w:tblPr>
        <w:tblW w:w="5000" w:type="pct"/>
        <w:tblLook w:val="04A0" w:firstRow="1" w:lastRow="0" w:firstColumn="1" w:lastColumn="0" w:noHBand="0" w:noVBand="1"/>
      </w:tblPr>
      <w:tblGrid>
        <w:gridCol w:w="4243"/>
        <w:gridCol w:w="1985"/>
        <w:gridCol w:w="1275"/>
        <w:gridCol w:w="1249"/>
        <w:gridCol w:w="1009"/>
      </w:tblGrid>
      <w:tr w:rsidR="004009E9" w:rsidRPr="004009E9" w:rsidTr="004009E9">
        <w:trPr>
          <w:trHeight w:val="270"/>
        </w:trPr>
        <w:tc>
          <w:tcPr>
            <w:tcW w:w="217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bookmarkStart w:id="136" w:name="_Toc305764119"/>
            <w:bookmarkStart w:id="137" w:name="_Toc329011661"/>
            <w:r w:rsidRPr="004009E9">
              <w:rPr>
                <w:rFonts w:cs="Arial"/>
                <w:color w:val="000000"/>
                <w:sz w:val="18"/>
                <w:szCs w:val="18"/>
                <w:lang w:val="en-US" w:eastAsia="zh-CN"/>
              </w:rPr>
              <w:t> </w:t>
            </w:r>
          </w:p>
        </w:tc>
        <w:tc>
          <w:tcPr>
            <w:tcW w:w="2827" w:type="pct"/>
            <w:gridSpan w:val="4"/>
            <w:tcBorders>
              <w:top w:val="single" w:sz="8" w:space="0" w:color="auto"/>
              <w:left w:val="nil"/>
              <w:bottom w:val="single" w:sz="8" w:space="0" w:color="auto"/>
              <w:right w:val="single" w:sz="8" w:space="0" w:color="000000"/>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8"/>
                <w:szCs w:val="18"/>
                <w:lang w:val="en-US" w:eastAsia="zh-CN"/>
              </w:rPr>
            </w:pPr>
            <w:r w:rsidRPr="004009E9">
              <w:rPr>
                <w:rFonts w:cs="Arial"/>
                <w:b/>
                <w:bCs/>
                <w:color w:val="000000"/>
                <w:sz w:val="18"/>
                <w:szCs w:val="18"/>
                <w:lang w:val="en-US" w:eastAsia="zh-CN"/>
              </w:rPr>
              <w:t>201</w:t>
            </w:r>
            <w:r w:rsidR="000D67A3">
              <w:rPr>
                <w:rFonts w:cs="Arial"/>
                <w:b/>
                <w:bCs/>
                <w:color w:val="000000"/>
                <w:sz w:val="18"/>
                <w:szCs w:val="18"/>
                <w:lang w:val="en-US" w:eastAsia="zh-CN"/>
              </w:rPr>
              <w:t>8</w:t>
            </w:r>
          </w:p>
        </w:tc>
      </w:tr>
      <w:tr w:rsidR="004009E9" w:rsidRPr="004009E9" w:rsidTr="004009E9">
        <w:trPr>
          <w:trHeight w:val="270"/>
        </w:trPr>
        <w:tc>
          <w:tcPr>
            <w:tcW w:w="2173" w:type="pct"/>
            <w:tcBorders>
              <w:top w:val="nil"/>
              <w:left w:val="single" w:sz="8" w:space="0" w:color="auto"/>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 </w:t>
            </w:r>
          </w:p>
        </w:tc>
        <w:tc>
          <w:tcPr>
            <w:tcW w:w="1017"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8"/>
                <w:szCs w:val="18"/>
                <w:lang w:val="en-US" w:eastAsia="zh-CN"/>
              </w:rPr>
            </w:pPr>
            <w:r w:rsidRPr="004009E9">
              <w:rPr>
                <w:rFonts w:cs="Arial"/>
                <w:b/>
                <w:bCs/>
                <w:color w:val="000000"/>
                <w:sz w:val="18"/>
                <w:szCs w:val="18"/>
                <w:lang w:val="en-US" w:eastAsia="zh-CN"/>
              </w:rPr>
              <w:t>Operating</w:t>
            </w:r>
          </w:p>
        </w:tc>
        <w:tc>
          <w:tcPr>
            <w:tcW w:w="653"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8"/>
                <w:szCs w:val="18"/>
                <w:lang w:val="en-US" w:eastAsia="zh-CN"/>
              </w:rPr>
            </w:pPr>
            <w:r w:rsidRPr="004009E9">
              <w:rPr>
                <w:rFonts w:cs="Arial"/>
                <w:b/>
                <w:bCs/>
                <w:color w:val="000000"/>
                <w:sz w:val="18"/>
                <w:szCs w:val="18"/>
                <w:lang w:val="en-US" w:eastAsia="zh-CN"/>
              </w:rPr>
              <w:t>Investment</w:t>
            </w:r>
          </w:p>
        </w:tc>
        <w:tc>
          <w:tcPr>
            <w:tcW w:w="640"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8"/>
                <w:szCs w:val="18"/>
                <w:lang w:val="en-US" w:eastAsia="zh-CN"/>
              </w:rPr>
            </w:pPr>
            <w:r w:rsidRPr="004009E9">
              <w:rPr>
                <w:rFonts w:cs="Arial"/>
                <w:b/>
                <w:bCs/>
                <w:color w:val="000000"/>
                <w:sz w:val="18"/>
                <w:szCs w:val="18"/>
                <w:lang w:val="en-US" w:eastAsia="zh-CN"/>
              </w:rPr>
              <w:t>Finance</w:t>
            </w:r>
          </w:p>
        </w:tc>
        <w:tc>
          <w:tcPr>
            <w:tcW w:w="517"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18"/>
                <w:szCs w:val="18"/>
                <w:lang w:val="en-US" w:eastAsia="zh-CN"/>
              </w:rPr>
            </w:pPr>
            <w:r w:rsidRPr="004009E9">
              <w:rPr>
                <w:rFonts w:cs="Arial"/>
                <w:b/>
                <w:bCs/>
                <w:color w:val="000000"/>
                <w:sz w:val="18"/>
                <w:szCs w:val="18"/>
                <w:lang w:val="en-US" w:eastAsia="zh-CN"/>
              </w:rPr>
              <w:t>Total</w:t>
            </w:r>
          </w:p>
        </w:tc>
      </w:tr>
      <w:tr w:rsidR="004009E9" w:rsidRPr="004009E9" w:rsidTr="004009E9">
        <w:trPr>
          <w:trHeight w:val="270"/>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 </w:t>
            </w:r>
          </w:p>
        </w:tc>
        <w:tc>
          <w:tcPr>
            <w:tcW w:w="2827" w:type="pct"/>
            <w:gridSpan w:val="4"/>
            <w:tcBorders>
              <w:top w:val="single" w:sz="8" w:space="0" w:color="auto"/>
              <w:left w:val="nil"/>
              <w:bottom w:val="single" w:sz="8" w:space="0" w:color="auto"/>
              <w:right w:val="single" w:sz="8" w:space="0" w:color="000000"/>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18"/>
                <w:szCs w:val="18"/>
                <w:lang w:val="en-US" w:eastAsia="zh-CN"/>
              </w:rPr>
            </w:pPr>
            <w:r w:rsidRPr="004009E9">
              <w:rPr>
                <w:rFonts w:cs="Arial"/>
                <w:color w:val="000000"/>
                <w:sz w:val="18"/>
                <w:szCs w:val="18"/>
                <w:lang w:val="en-US" w:eastAsia="zh-CN"/>
              </w:rPr>
              <w:t>in thousands of CHF</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009E9">
              <w:rPr>
                <w:rFonts w:cs="Arial"/>
                <w:b/>
                <w:bCs/>
                <w:color w:val="000000"/>
                <w:sz w:val="18"/>
                <w:szCs w:val="18"/>
                <w:lang w:val="en-US" w:eastAsia="zh-CN"/>
              </w:rPr>
              <w:t>Results on a comparable basis</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11,</w:t>
            </w:r>
            <w:r w:rsidR="000D67A3">
              <w:rPr>
                <w:rFonts w:cs="Arial"/>
                <w:color w:val="000000"/>
                <w:sz w:val="18"/>
                <w:szCs w:val="18"/>
                <w:lang w:val="en-US" w:eastAsia="zh-CN"/>
              </w:rPr>
              <w:t>077</w:t>
            </w:r>
            <w:r w:rsidRPr="004009E9">
              <w:rPr>
                <w:rFonts w:cs="Arial"/>
                <w:color w:val="000000"/>
                <w:sz w:val="18"/>
                <w:szCs w:val="18"/>
                <w:lang w:val="en-US" w:eastAsia="zh-CN"/>
              </w:rPr>
              <w:t xml:space="preserve"> </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11,</w:t>
            </w:r>
            <w:r w:rsidR="000D67A3">
              <w:rPr>
                <w:rFonts w:cs="Arial"/>
                <w:b/>
                <w:bCs/>
                <w:color w:val="000000"/>
                <w:sz w:val="18"/>
                <w:szCs w:val="18"/>
                <w:lang w:val="en-US" w:eastAsia="zh-CN"/>
              </w:rPr>
              <w:t>077</w:t>
            </w:r>
            <w:r w:rsidRPr="004009E9">
              <w:rPr>
                <w:rFonts w:cs="Arial"/>
                <w:b/>
                <w:bCs/>
                <w:color w:val="000000"/>
                <w:sz w:val="18"/>
                <w:szCs w:val="18"/>
                <w:lang w:val="en-US" w:eastAsia="zh-CN"/>
              </w:rPr>
              <w:t xml:space="preserve">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Changes in and use of provision for doubtful debts</w:t>
            </w:r>
          </w:p>
        </w:tc>
        <w:tc>
          <w:tcPr>
            <w:tcW w:w="1017" w:type="pct"/>
            <w:tcBorders>
              <w:top w:val="nil"/>
              <w:left w:val="nil"/>
              <w:bottom w:val="nil"/>
              <w:right w:val="single" w:sz="8" w:space="0" w:color="auto"/>
            </w:tcBorders>
            <w:shd w:val="clear" w:color="auto" w:fill="auto"/>
            <w:vAlign w:val="center"/>
            <w:hideMark/>
          </w:tcPr>
          <w:p w:rsidR="004009E9" w:rsidRPr="004009E9" w:rsidRDefault="000D67A3"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Pr>
                <w:rFonts w:cs="Arial"/>
                <w:color w:val="000000"/>
                <w:sz w:val="18"/>
                <w:szCs w:val="18"/>
                <w:lang w:val="en-US" w:eastAsia="zh-CN"/>
              </w:rPr>
              <w:t>6</w:t>
            </w:r>
            <w:r w:rsidR="004009E9" w:rsidRPr="004009E9">
              <w:rPr>
                <w:rFonts w:cs="Arial"/>
                <w:color w:val="000000"/>
                <w:sz w:val="18"/>
                <w:szCs w:val="18"/>
                <w:lang w:val="en-US" w:eastAsia="zh-CN"/>
              </w:rPr>
              <w:t>,</w:t>
            </w:r>
            <w:r>
              <w:rPr>
                <w:rFonts w:cs="Arial"/>
                <w:color w:val="000000"/>
                <w:sz w:val="18"/>
                <w:szCs w:val="18"/>
                <w:lang w:val="en-US" w:eastAsia="zh-CN"/>
              </w:rPr>
              <w:t>065</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w:t>
            </w:r>
            <w:r w:rsidR="000D67A3">
              <w:rPr>
                <w:rFonts w:cs="Arial"/>
                <w:color w:val="000000"/>
                <w:sz w:val="18"/>
                <w:szCs w:val="18"/>
                <w:lang w:val="en-US" w:eastAsia="zh-CN"/>
              </w:rPr>
              <w:t>6</w:t>
            </w:r>
            <w:r w:rsidRPr="004009E9">
              <w:rPr>
                <w:rFonts w:cs="Arial"/>
                <w:color w:val="000000"/>
                <w:sz w:val="18"/>
                <w:szCs w:val="18"/>
                <w:lang w:val="en-US" w:eastAsia="zh-CN"/>
              </w:rPr>
              <w:t>,</w:t>
            </w:r>
            <w:r w:rsidR="000D67A3">
              <w:rPr>
                <w:rFonts w:cs="Arial"/>
                <w:color w:val="000000"/>
                <w:sz w:val="18"/>
                <w:szCs w:val="18"/>
                <w:lang w:val="en-US" w:eastAsia="zh-CN"/>
              </w:rPr>
              <w:t>065</w:t>
            </w:r>
            <w:r w:rsidRPr="004009E9">
              <w:rPr>
                <w:rFonts w:cs="Arial"/>
                <w:color w:val="000000"/>
                <w:sz w:val="18"/>
                <w:szCs w:val="18"/>
                <w:lang w:val="en-US" w:eastAsia="zh-CN"/>
              </w:rPr>
              <w:t xml:space="preserve">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Recognition of inventories</w:t>
            </w:r>
          </w:p>
        </w:tc>
        <w:tc>
          <w:tcPr>
            <w:tcW w:w="1017" w:type="pct"/>
            <w:tcBorders>
              <w:top w:val="nil"/>
              <w:left w:val="nil"/>
              <w:bottom w:val="nil"/>
              <w:right w:val="single" w:sz="8" w:space="0" w:color="auto"/>
            </w:tcBorders>
            <w:shd w:val="clear" w:color="auto" w:fill="auto"/>
            <w:vAlign w:val="center"/>
            <w:hideMark/>
          </w:tcPr>
          <w:p w:rsidR="004009E9" w:rsidRPr="004009E9" w:rsidRDefault="000D67A3"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Pr>
                <w:rFonts w:cs="Arial"/>
                <w:color w:val="000000"/>
                <w:sz w:val="18"/>
                <w:szCs w:val="18"/>
                <w:lang w:val="en-US" w:eastAsia="zh-CN"/>
              </w:rPr>
              <w:t>-41</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center"/>
              <w:textAlignment w:val="auto"/>
              <w:rPr>
                <w:rFonts w:cs="Arial"/>
                <w:color w:val="000000"/>
                <w:sz w:val="18"/>
                <w:szCs w:val="18"/>
                <w:lang w:val="en-US" w:eastAsia="zh-CN"/>
              </w:rPr>
            </w:pPr>
            <w:r w:rsidRPr="004009E9">
              <w:rPr>
                <w:rFonts w:cs="Arial"/>
                <w:color w:val="000000"/>
                <w:sz w:val="18"/>
                <w:szCs w:val="18"/>
                <w:lang w:val="en-US" w:eastAsia="zh-CN"/>
              </w:rPr>
              <w:t xml:space="preserve">           </w:t>
            </w:r>
            <w:r w:rsidR="000D67A3">
              <w:rPr>
                <w:rFonts w:cs="Arial"/>
                <w:color w:val="000000"/>
                <w:sz w:val="18"/>
                <w:szCs w:val="18"/>
                <w:lang w:val="en-US" w:eastAsia="zh-CN"/>
              </w:rPr>
              <w:t>-41</w:t>
            </w:r>
            <w:r w:rsidRPr="004009E9">
              <w:rPr>
                <w:rFonts w:cs="Arial"/>
                <w:color w:val="000000"/>
                <w:sz w:val="18"/>
                <w:szCs w:val="18"/>
                <w:lang w:val="en-US" w:eastAsia="zh-CN"/>
              </w:rPr>
              <w:t xml:space="preserve">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Capitalization of fixed assets</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2,</w:t>
            </w:r>
            <w:r w:rsidR="000D67A3">
              <w:rPr>
                <w:rFonts w:cs="Arial"/>
                <w:color w:val="000000"/>
                <w:sz w:val="18"/>
                <w:szCs w:val="18"/>
                <w:lang w:val="en-US" w:eastAsia="zh-CN"/>
              </w:rPr>
              <w:t>246</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2,</w:t>
            </w:r>
            <w:r w:rsidR="000D67A3">
              <w:rPr>
                <w:rFonts w:cs="Arial"/>
                <w:color w:val="000000"/>
                <w:sz w:val="18"/>
                <w:szCs w:val="18"/>
                <w:lang w:val="en-US" w:eastAsia="zh-CN"/>
              </w:rPr>
              <w:t>246</w:t>
            </w:r>
            <w:r w:rsidRPr="004009E9">
              <w:rPr>
                <w:rFonts w:cs="Arial"/>
                <w:color w:val="000000"/>
                <w:sz w:val="18"/>
                <w:szCs w:val="18"/>
                <w:lang w:val="en-US" w:eastAsia="zh-CN"/>
              </w:rPr>
              <w:t xml:space="preserve">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Depreciation</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-4,</w:t>
            </w:r>
            <w:r w:rsidR="000D67A3">
              <w:rPr>
                <w:rFonts w:cs="Arial"/>
                <w:color w:val="000000"/>
                <w:sz w:val="18"/>
                <w:szCs w:val="18"/>
                <w:lang w:val="en-US" w:eastAsia="zh-CN"/>
              </w:rPr>
              <w:t>074</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-4,</w:t>
            </w:r>
            <w:r w:rsidR="000D67A3">
              <w:rPr>
                <w:rFonts w:cs="Arial"/>
                <w:color w:val="000000"/>
                <w:sz w:val="18"/>
                <w:szCs w:val="18"/>
                <w:lang w:val="en-US" w:eastAsia="zh-CN"/>
              </w:rPr>
              <w:t>074</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Exchange-rate gains and losses</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w:t>
            </w:r>
            <w:r w:rsidR="000D67A3">
              <w:rPr>
                <w:rFonts w:cs="Arial"/>
                <w:color w:val="000000"/>
                <w:sz w:val="18"/>
                <w:szCs w:val="18"/>
                <w:lang w:val="en-US" w:eastAsia="zh-CN"/>
              </w:rPr>
              <w:t>162</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w:t>
            </w:r>
            <w:r w:rsidR="000D67A3">
              <w:rPr>
                <w:rFonts w:cs="Arial"/>
                <w:color w:val="000000"/>
                <w:sz w:val="18"/>
                <w:szCs w:val="18"/>
                <w:lang w:val="en-US" w:eastAsia="zh-CN"/>
              </w:rPr>
              <w:t>162</w:t>
            </w:r>
            <w:r w:rsidRPr="004009E9">
              <w:rPr>
                <w:rFonts w:cs="Arial"/>
                <w:color w:val="000000"/>
                <w:sz w:val="18"/>
                <w:szCs w:val="18"/>
                <w:lang w:val="en-US" w:eastAsia="zh-CN"/>
              </w:rPr>
              <w:t xml:space="preserve">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ASHI</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w:t>
            </w:r>
            <w:r w:rsidR="000D67A3">
              <w:rPr>
                <w:rFonts w:cs="Arial"/>
                <w:color w:val="000000"/>
                <w:sz w:val="18"/>
                <w:szCs w:val="18"/>
                <w:lang w:val="en-US" w:eastAsia="zh-CN"/>
              </w:rPr>
              <w:t>22</w:t>
            </w:r>
            <w:r w:rsidRPr="004009E9">
              <w:rPr>
                <w:rFonts w:cs="Arial"/>
                <w:color w:val="000000"/>
                <w:sz w:val="18"/>
                <w:szCs w:val="18"/>
                <w:lang w:val="en-US" w:eastAsia="zh-CN"/>
              </w:rPr>
              <w:t>,</w:t>
            </w:r>
            <w:r w:rsidR="000D67A3">
              <w:rPr>
                <w:rFonts w:cs="Arial"/>
                <w:color w:val="000000"/>
                <w:sz w:val="18"/>
                <w:szCs w:val="18"/>
                <w:lang w:val="en-US" w:eastAsia="zh-CN"/>
              </w:rPr>
              <w:t>267</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w:t>
            </w:r>
            <w:r w:rsidR="000D67A3">
              <w:rPr>
                <w:rFonts w:cs="Arial"/>
                <w:color w:val="000000"/>
                <w:sz w:val="18"/>
                <w:szCs w:val="18"/>
                <w:lang w:val="en-US" w:eastAsia="zh-CN"/>
              </w:rPr>
              <w:t>22</w:t>
            </w:r>
            <w:r w:rsidRPr="004009E9">
              <w:rPr>
                <w:rFonts w:cs="Arial"/>
                <w:color w:val="000000"/>
                <w:sz w:val="18"/>
                <w:szCs w:val="18"/>
                <w:lang w:val="en-US" w:eastAsia="zh-CN"/>
              </w:rPr>
              <w:t>,</w:t>
            </w:r>
            <w:r w:rsidR="000D67A3">
              <w:rPr>
                <w:rFonts w:cs="Arial"/>
                <w:color w:val="000000"/>
                <w:sz w:val="18"/>
                <w:szCs w:val="18"/>
                <w:lang w:val="en-US" w:eastAsia="zh-CN"/>
              </w:rPr>
              <w:t>267</w:t>
            </w:r>
            <w:r w:rsidRPr="004009E9">
              <w:rPr>
                <w:rFonts w:cs="Arial"/>
                <w:color w:val="000000"/>
                <w:sz w:val="18"/>
                <w:szCs w:val="18"/>
                <w:lang w:val="en-US" w:eastAsia="zh-CN"/>
              </w:rPr>
              <w:t xml:space="preserve">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Repayment of FIPOI loan not considered as expense</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1,493</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1,493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In-kind revenue</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8</w:t>
            </w:r>
            <w:r w:rsidR="000D67A3">
              <w:rPr>
                <w:rFonts w:cs="Arial"/>
                <w:color w:val="000000"/>
                <w:sz w:val="18"/>
                <w:szCs w:val="18"/>
                <w:lang w:val="en-US" w:eastAsia="zh-CN"/>
              </w:rPr>
              <w:t>62</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8</w:t>
            </w:r>
            <w:r w:rsidR="000D67A3">
              <w:rPr>
                <w:rFonts w:cs="Arial"/>
                <w:color w:val="000000"/>
                <w:sz w:val="18"/>
                <w:szCs w:val="18"/>
                <w:lang w:val="en-US" w:eastAsia="zh-CN"/>
              </w:rPr>
              <w:t>62</w:t>
            </w:r>
            <w:r w:rsidRPr="004009E9">
              <w:rPr>
                <w:rFonts w:cs="Arial"/>
                <w:color w:val="000000"/>
                <w:sz w:val="18"/>
                <w:szCs w:val="18"/>
                <w:lang w:val="en-US" w:eastAsia="zh-CN"/>
              </w:rPr>
              <w:t xml:space="preserve">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In-kind expenses</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-8</w:t>
            </w:r>
            <w:r w:rsidR="000D67A3">
              <w:rPr>
                <w:rFonts w:cs="Arial"/>
                <w:color w:val="000000"/>
                <w:sz w:val="18"/>
                <w:szCs w:val="18"/>
                <w:lang w:val="en-US" w:eastAsia="zh-CN"/>
              </w:rPr>
              <w:t>62</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-8</w:t>
            </w:r>
            <w:r w:rsidR="000D67A3">
              <w:rPr>
                <w:rFonts w:cs="Arial"/>
                <w:color w:val="000000"/>
                <w:sz w:val="18"/>
                <w:szCs w:val="18"/>
                <w:lang w:val="en-US" w:eastAsia="zh-CN"/>
              </w:rPr>
              <w:t>6</w:t>
            </w:r>
            <w:r w:rsidRPr="004009E9">
              <w:rPr>
                <w:rFonts w:cs="Arial"/>
                <w:color w:val="000000"/>
                <w:sz w:val="18"/>
                <w:szCs w:val="18"/>
                <w:lang w:val="en-US" w:eastAsia="zh-CN"/>
              </w:rPr>
              <w:t xml:space="preserve">2 </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Sale of assets</w:t>
            </w:r>
          </w:p>
        </w:tc>
        <w:tc>
          <w:tcPr>
            <w:tcW w:w="1017" w:type="pct"/>
            <w:tcBorders>
              <w:top w:val="nil"/>
              <w:left w:val="nil"/>
              <w:bottom w:val="nil"/>
              <w:right w:val="single" w:sz="8" w:space="0" w:color="auto"/>
            </w:tcBorders>
            <w:shd w:val="clear" w:color="auto" w:fill="auto"/>
            <w:vAlign w:val="center"/>
            <w:hideMark/>
          </w:tcPr>
          <w:p w:rsidR="004009E9" w:rsidRPr="004009E9" w:rsidRDefault="000D67A3"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Pr>
                <w:rFonts w:cs="Arial"/>
                <w:color w:val="000000"/>
                <w:sz w:val="18"/>
                <w:szCs w:val="18"/>
                <w:lang w:val="en-US" w:eastAsia="zh-CN"/>
              </w:rPr>
              <w:t>14</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w:t>
            </w:r>
            <w:r w:rsidR="000D67A3">
              <w:rPr>
                <w:rFonts w:cs="Arial"/>
                <w:color w:val="000000"/>
                <w:sz w:val="18"/>
                <w:szCs w:val="18"/>
                <w:lang w:val="en-US" w:eastAsia="zh-CN"/>
              </w:rPr>
              <w:t>14</w:t>
            </w:r>
          </w:p>
        </w:tc>
      </w:tr>
      <w:tr w:rsidR="004009E9" w:rsidRPr="004009E9" w:rsidTr="004009E9">
        <w:trPr>
          <w:trHeight w:val="270"/>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Other</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w:t>
            </w:r>
            <w:r w:rsidR="000D67A3">
              <w:rPr>
                <w:rFonts w:cs="Arial"/>
                <w:color w:val="000000"/>
                <w:sz w:val="18"/>
                <w:szCs w:val="18"/>
                <w:lang w:val="en-US" w:eastAsia="zh-CN"/>
              </w:rPr>
              <w:t>5</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w:t>
            </w:r>
            <w:r w:rsidR="000D67A3">
              <w:rPr>
                <w:rFonts w:cs="Arial"/>
                <w:color w:val="000000"/>
                <w:sz w:val="18"/>
                <w:szCs w:val="18"/>
                <w:lang w:val="en-US" w:eastAsia="zh-CN"/>
              </w:rPr>
              <w:t>5</w:t>
            </w:r>
            <w:r w:rsidRPr="004009E9">
              <w:rPr>
                <w:rFonts w:cs="Arial"/>
                <w:color w:val="000000"/>
                <w:sz w:val="18"/>
                <w:szCs w:val="18"/>
                <w:lang w:val="en-US" w:eastAsia="zh-CN"/>
              </w:rPr>
              <w:t xml:space="preserve"> </w:t>
            </w:r>
          </w:p>
        </w:tc>
      </w:tr>
      <w:tr w:rsidR="004009E9" w:rsidRPr="004009E9" w:rsidTr="004009E9">
        <w:trPr>
          <w:trHeight w:val="270"/>
        </w:trPr>
        <w:tc>
          <w:tcPr>
            <w:tcW w:w="217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009E9">
              <w:rPr>
                <w:rFonts w:cs="Arial"/>
                <w:b/>
                <w:bCs/>
                <w:color w:val="000000"/>
                <w:sz w:val="18"/>
                <w:szCs w:val="18"/>
                <w:lang w:val="en-US" w:eastAsia="zh-CN"/>
              </w:rPr>
              <w:t>Total IPSAS differences</w:t>
            </w:r>
          </w:p>
        </w:tc>
        <w:tc>
          <w:tcPr>
            <w:tcW w:w="1017" w:type="pct"/>
            <w:tcBorders>
              <w:top w:val="single" w:sz="8" w:space="0" w:color="auto"/>
              <w:left w:val="nil"/>
              <w:bottom w:val="single" w:sz="8" w:space="0" w:color="auto"/>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-2</w:t>
            </w:r>
            <w:r w:rsidR="000D67A3">
              <w:rPr>
                <w:rFonts w:cs="Arial"/>
                <w:b/>
                <w:bCs/>
                <w:color w:val="000000"/>
                <w:sz w:val="18"/>
                <w:szCs w:val="18"/>
                <w:lang w:val="en-US" w:eastAsia="zh-CN"/>
              </w:rPr>
              <w:t>0</w:t>
            </w:r>
            <w:r w:rsidRPr="004009E9">
              <w:rPr>
                <w:rFonts w:cs="Arial"/>
                <w:b/>
                <w:bCs/>
                <w:color w:val="000000"/>
                <w:sz w:val="18"/>
                <w:szCs w:val="18"/>
                <w:lang w:val="en-US" w:eastAsia="zh-CN"/>
              </w:rPr>
              <w:t>,</w:t>
            </w:r>
            <w:r w:rsidR="000D67A3">
              <w:rPr>
                <w:rFonts w:cs="Arial"/>
                <w:b/>
                <w:bCs/>
                <w:color w:val="000000"/>
                <w:sz w:val="18"/>
                <w:szCs w:val="18"/>
                <w:lang w:val="en-US" w:eastAsia="zh-CN"/>
              </w:rPr>
              <w:t>470</w:t>
            </w:r>
            <w:r w:rsidRPr="004009E9">
              <w:rPr>
                <w:rFonts w:cs="Arial"/>
                <w:b/>
                <w:bCs/>
                <w:color w:val="000000"/>
                <w:sz w:val="18"/>
                <w:szCs w:val="18"/>
                <w:lang w:val="en-US" w:eastAsia="zh-CN"/>
              </w:rPr>
              <w:t xml:space="preserve"> </w:t>
            </w:r>
          </w:p>
        </w:tc>
        <w:tc>
          <w:tcPr>
            <w:tcW w:w="653" w:type="pct"/>
            <w:tcBorders>
              <w:top w:val="single" w:sz="8" w:space="0" w:color="auto"/>
              <w:left w:val="nil"/>
              <w:bottom w:val="single" w:sz="8" w:space="0" w:color="auto"/>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2</w:t>
            </w:r>
            <w:r w:rsidR="000D67A3">
              <w:rPr>
                <w:rFonts w:cs="Arial"/>
                <w:b/>
                <w:bCs/>
                <w:color w:val="000000"/>
                <w:sz w:val="18"/>
                <w:szCs w:val="18"/>
                <w:lang w:val="en-US" w:eastAsia="zh-CN"/>
              </w:rPr>
              <w:t>,246</w:t>
            </w:r>
          </w:p>
        </w:tc>
        <w:tc>
          <w:tcPr>
            <w:tcW w:w="640" w:type="pct"/>
            <w:tcBorders>
              <w:top w:val="single" w:sz="8" w:space="0" w:color="auto"/>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1</w:t>
            </w:r>
            <w:r w:rsidR="000D67A3">
              <w:rPr>
                <w:rFonts w:cs="Arial"/>
                <w:b/>
                <w:bCs/>
                <w:color w:val="000000"/>
                <w:sz w:val="18"/>
                <w:szCs w:val="18"/>
                <w:lang w:val="en-US" w:eastAsia="zh-CN"/>
              </w:rPr>
              <w:t>,</w:t>
            </w:r>
            <w:r w:rsidRPr="004009E9">
              <w:rPr>
                <w:rFonts w:cs="Arial"/>
                <w:b/>
                <w:bCs/>
                <w:color w:val="000000"/>
                <w:sz w:val="18"/>
                <w:szCs w:val="18"/>
                <w:lang w:val="en-US" w:eastAsia="zh-CN"/>
              </w:rPr>
              <w:t>493</w:t>
            </w:r>
          </w:p>
        </w:tc>
        <w:tc>
          <w:tcPr>
            <w:tcW w:w="517" w:type="pct"/>
            <w:tcBorders>
              <w:top w:val="single" w:sz="8" w:space="0" w:color="auto"/>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-25794</w:t>
            </w:r>
          </w:p>
        </w:tc>
      </w:tr>
      <w:tr w:rsidR="004009E9" w:rsidRPr="004009E9" w:rsidTr="004009E9">
        <w:trPr>
          <w:trHeight w:val="255"/>
        </w:trPr>
        <w:tc>
          <w:tcPr>
            <w:tcW w:w="2173" w:type="pct"/>
            <w:tcBorders>
              <w:top w:val="nil"/>
              <w:left w:val="single" w:sz="8" w:space="0" w:color="auto"/>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 xml:space="preserve">Gain Fund 1000/1010 </w:t>
            </w:r>
          </w:p>
        </w:tc>
        <w:tc>
          <w:tcPr>
            <w:tcW w:w="10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w:t>
            </w:r>
            <w:r w:rsidR="000D67A3">
              <w:rPr>
                <w:rFonts w:cs="Arial"/>
                <w:color w:val="000000"/>
                <w:sz w:val="18"/>
                <w:szCs w:val="18"/>
                <w:lang w:val="en-US" w:eastAsia="zh-CN"/>
              </w:rPr>
              <w:t>9</w:t>
            </w:r>
            <w:r w:rsidRPr="004009E9">
              <w:rPr>
                <w:rFonts w:cs="Arial"/>
                <w:color w:val="000000"/>
                <w:sz w:val="18"/>
                <w:szCs w:val="18"/>
                <w:lang w:val="en-US" w:eastAsia="zh-CN"/>
              </w:rPr>
              <w:t>,</w:t>
            </w:r>
            <w:r w:rsidR="000D67A3">
              <w:rPr>
                <w:rFonts w:cs="Arial"/>
                <w:color w:val="000000"/>
                <w:sz w:val="18"/>
                <w:szCs w:val="18"/>
                <w:lang w:val="en-US" w:eastAsia="zh-CN"/>
              </w:rPr>
              <w:t>393</w:t>
            </w:r>
            <w:r w:rsidRPr="004009E9">
              <w:rPr>
                <w:rFonts w:cs="Arial"/>
                <w:color w:val="000000"/>
                <w:sz w:val="18"/>
                <w:szCs w:val="18"/>
                <w:lang w:val="en-US" w:eastAsia="zh-CN"/>
              </w:rPr>
              <w:t xml:space="preserve"> </w:t>
            </w:r>
          </w:p>
        </w:tc>
        <w:tc>
          <w:tcPr>
            <w:tcW w:w="653"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2,</w:t>
            </w:r>
            <w:r w:rsidR="000D67A3">
              <w:rPr>
                <w:rFonts w:cs="Arial"/>
                <w:color w:val="000000"/>
                <w:sz w:val="18"/>
                <w:szCs w:val="18"/>
                <w:lang w:val="en-US" w:eastAsia="zh-CN"/>
              </w:rPr>
              <w:t>246</w:t>
            </w:r>
            <w:r w:rsidRPr="004009E9">
              <w:rPr>
                <w:rFonts w:cs="Arial"/>
                <w:color w:val="000000"/>
                <w:sz w:val="18"/>
                <w:szCs w:val="18"/>
                <w:lang w:val="en-US" w:eastAsia="zh-CN"/>
              </w:rPr>
              <w:t xml:space="preserve"> </w:t>
            </w:r>
          </w:p>
        </w:tc>
        <w:tc>
          <w:tcPr>
            <w:tcW w:w="640" w:type="pct"/>
            <w:tcBorders>
              <w:top w:val="nil"/>
              <w:left w:val="nil"/>
              <w:bottom w:val="nil"/>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1,493 </w:t>
            </w:r>
          </w:p>
        </w:tc>
        <w:tc>
          <w:tcPr>
            <w:tcW w:w="517" w:type="pct"/>
            <w:tcBorders>
              <w:top w:val="nil"/>
              <w:left w:val="nil"/>
              <w:bottom w:val="nil"/>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w:t>
            </w:r>
            <w:r w:rsidR="000D67A3">
              <w:rPr>
                <w:rFonts w:cs="Arial"/>
                <w:color w:val="000000"/>
                <w:sz w:val="18"/>
                <w:szCs w:val="18"/>
                <w:lang w:val="en-US" w:eastAsia="zh-CN"/>
              </w:rPr>
              <w:t>5</w:t>
            </w:r>
            <w:r w:rsidRPr="004009E9">
              <w:rPr>
                <w:rFonts w:cs="Arial"/>
                <w:color w:val="000000"/>
                <w:sz w:val="18"/>
                <w:szCs w:val="18"/>
                <w:lang w:val="en-US" w:eastAsia="zh-CN"/>
              </w:rPr>
              <w:t>,</w:t>
            </w:r>
            <w:r w:rsidR="000D67A3">
              <w:rPr>
                <w:rFonts w:cs="Arial"/>
                <w:color w:val="000000"/>
                <w:sz w:val="18"/>
                <w:szCs w:val="18"/>
                <w:lang w:val="en-US" w:eastAsia="zh-CN"/>
              </w:rPr>
              <w:t>653</w:t>
            </w:r>
            <w:r w:rsidRPr="004009E9">
              <w:rPr>
                <w:rFonts w:cs="Arial"/>
                <w:color w:val="000000"/>
                <w:sz w:val="18"/>
                <w:szCs w:val="18"/>
                <w:lang w:val="en-US" w:eastAsia="zh-CN"/>
              </w:rPr>
              <w:t xml:space="preserve"> </w:t>
            </w:r>
          </w:p>
        </w:tc>
      </w:tr>
      <w:tr w:rsidR="004009E9" w:rsidRPr="004009E9" w:rsidTr="004009E9">
        <w:trPr>
          <w:trHeight w:val="270"/>
        </w:trPr>
        <w:tc>
          <w:tcPr>
            <w:tcW w:w="2173" w:type="pct"/>
            <w:tcBorders>
              <w:top w:val="nil"/>
              <w:left w:val="single" w:sz="8" w:space="0" w:color="auto"/>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18"/>
                <w:szCs w:val="18"/>
                <w:lang w:val="en-US" w:eastAsia="zh-CN"/>
              </w:rPr>
            </w:pPr>
            <w:r w:rsidRPr="004009E9">
              <w:rPr>
                <w:rFonts w:cs="Arial"/>
                <w:color w:val="000000"/>
                <w:sz w:val="18"/>
                <w:szCs w:val="18"/>
                <w:lang w:val="en-US" w:eastAsia="zh-CN"/>
              </w:rPr>
              <w:t>Increase of Fund 1010 reserves</w:t>
            </w:r>
          </w:p>
        </w:tc>
        <w:tc>
          <w:tcPr>
            <w:tcW w:w="1017"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w:t>
            </w:r>
            <w:r w:rsidR="000D67A3">
              <w:rPr>
                <w:rFonts w:cs="Arial"/>
                <w:color w:val="000000"/>
                <w:sz w:val="18"/>
                <w:szCs w:val="18"/>
                <w:lang w:val="en-US" w:eastAsia="zh-CN"/>
              </w:rPr>
              <w:t>441</w:t>
            </w:r>
            <w:r w:rsidRPr="004009E9">
              <w:rPr>
                <w:rFonts w:cs="Arial"/>
                <w:color w:val="000000"/>
                <w:sz w:val="18"/>
                <w:szCs w:val="18"/>
                <w:lang w:val="en-US" w:eastAsia="zh-CN"/>
              </w:rPr>
              <w:t xml:space="preserve"> </w:t>
            </w:r>
          </w:p>
        </w:tc>
        <w:tc>
          <w:tcPr>
            <w:tcW w:w="653"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640"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w:t>
            </w:r>
          </w:p>
        </w:tc>
        <w:tc>
          <w:tcPr>
            <w:tcW w:w="517" w:type="pct"/>
            <w:tcBorders>
              <w:top w:val="nil"/>
              <w:left w:val="nil"/>
              <w:bottom w:val="single" w:sz="4" w:space="0" w:color="auto"/>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18"/>
                <w:szCs w:val="18"/>
                <w:lang w:val="en-US" w:eastAsia="zh-CN"/>
              </w:rPr>
            </w:pPr>
            <w:r w:rsidRPr="004009E9">
              <w:rPr>
                <w:rFonts w:cs="Arial"/>
                <w:color w:val="000000"/>
                <w:sz w:val="18"/>
                <w:szCs w:val="18"/>
                <w:lang w:val="en-US" w:eastAsia="zh-CN"/>
              </w:rPr>
              <w:t xml:space="preserve">          -</w:t>
            </w:r>
            <w:r w:rsidR="000D67A3">
              <w:rPr>
                <w:rFonts w:cs="Arial"/>
                <w:color w:val="000000"/>
                <w:sz w:val="18"/>
                <w:szCs w:val="18"/>
                <w:lang w:val="en-US" w:eastAsia="zh-CN"/>
              </w:rPr>
              <w:t>441</w:t>
            </w:r>
            <w:r w:rsidRPr="004009E9">
              <w:rPr>
                <w:rFonts w:cs="Arial"/>
                <w:color w:val="000000"/>
                <w:sz w:val="18"/>
                <w:szCs w:val="18"/>
                <w:lang w:val="en-US" w:eastAsia="zh-CN"/>
              </w:rPr>
              <w:t xml:space="preserve"> </w:t>
            </w:r>
          </w:p>
        </w:tc>
      </w:tr>
      <w:tr w:rsidR="004009E9" w:rsidRPr="004009E9" w:rsidTr="004009E9">
        <w:trPr>
          <w:trHeight w:val="270"/>
        </w:trPr>
        <w:tc>
          <w:tcPr>
            <w:tcW w:w="2173" w:type="pct"/>
            <w:tcBorders>
              <w:top w:val="nil"/>
              <w:left w:val="single" w:sz="8" w:space="0" w:color="auto"/>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009E9">
              <w:rPr>
                <w:rFonts w:cs="Arial"/>
                <w:b/>
                <w:bCs/>
                <w:color w:val="000000"/>
                <w:sz w:val="18"/>
                <w:szCs w:val="18"/>
                <w:lang w:val="en-US" w:eastAsia="zh-CN"/>
              </w:rPr>
              <w:t>Total surplus</w:t>
            </w:r>
          </w:p>
        </w:tc>
        <w:tc>
          <w:tcPr>
            <w:tcW w:w="1017"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w:t>
            </w:r>
            <w:r w:rsidR="000D67A3">
              <w:rPr>
                <w:rFonts w:cs="Arial"/>
                <w:b/>
                <w:bCs/>
                <w:color w:val="000000"/>
                <w:sz w:val="18"/>
                <w:szCs w:val="18"/>
                <w:lang w:val="en-US" w:eastAsia="zh-CN"/>
              </w:rPr>
              <w:t>9</w:t>
            </w:r>
            <w:r w:rsidRPr="004009E9">
              <w:rPr>
                <w:rFonts w:cs="Arial"/>
                <w:b/>
                <w:bCs/>
                <w:color w:val="000000"/>
                <w:sz w:val="18"/>
                <w:szCs w:val="18"/>
                <w:lang w:val="en-US" w:eastAsia="zh-CN"/>
              </w:rPr>
              <w:t>,</w:t>
            </w:r>
            <w:r w:rsidR="000D67A3">
              <w:rPr>
                <w:rFonts w:cs="Arial"/>
                <w:b/>
                <w:bCs/>
                <w:color w:val="000000"/>
                <w:sz w:val="18"/>
                <w:szCs w:val="18"/>
                <w:lang w:val="en-US" w:eastAsia="zh-CN"/>
              </w:rPr>
              <w:t>835</w:t>
            </w:r>
            <w:r w:rsidRPr="004009E9">
              <w:rPr>
                <w:rFonts w:cs="Arial"/>
                <w:b/>
                <w:bCs/>
                <w:color w:val="000000"/>
                <w:sz w:val="18"/>
                <w:szCs w:val="18"/>
                <w:lang w:val="en-US" w:eastAsia="zh-CN"/>
              </w:rPr>
              <w:t xml:space="preserve"> </w:t>
            </w:r>
          </w:p>
        </w:tc>
        <w:tc>
          <w:tcPr>
            <w:tcW w:w="653"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2,</w:t>
            </w:r>
            <w:r w:rsidR="000D67A3">
              <w:rPr>
                <w:rFonts w:cs="Arial"/>
                <w:b/>
                <w:bCs/>
                <w:color w:val="000000"/>
                <w:sz w:val="18"/>
                <w:szCs w:val="18"/>
                <w:lang w:val="en-US" w:eastAsia="zh-CN"/>
              </w:rPr>
              <w:t>246</w:t>
            </w:r>
            <w:r w:rsidRPr="004009E9">
              <w:rPr>
                <w:rFonts w:cs="Arial"/>
                <w:b/>
                <w:bCs/>
                <w:color w:val="000000"/>
                <w:sz w:val="18"/>
                <w:szCs w:val="18"/>
                <w:lang w:val="en-US" w:eastAsia="zh-CN"/>
              </w:rPr>
              <w:t xml:space="preserve"> </w:t>
            </w:r>
          </w:p>
        </w:tc>
        <w:tc>
          <w:tcPr>
            <w:tcW w:w="640"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1,493 </w:t>
            </w:r>
          </w:p>
        </w:tc>
        <w:tc>
          <w:tcPr>
            <w:tcW w:w="517" w:type="pct"/>
            <w:tcBorders>
              <w:top w:val="single" w:sz="4" w:space="0" w:color="auto"/>
              <w:left w:val="nil"/>
              <w:bottom w:val="single" w:sz="8" w:space="0" w:color="auto"/>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w:t>
            </w:r>
            <w:r w:rsidR="000D67A3">
              <w:rPr>
                <w:rFonts w:cs="Arial"/>
                <w:b/>
                <w:bCs/>
                <w:color w:val="000000"/>
                <w:sz w:val="18"/>
                <w:szCs w:val="18"/>
                <w:lang w:val="en-US" w:eastAsia="zh-CN"/>
              </w:rPr>
              <w:t>6</w:t>
            </w:r>
            <w:r w:rsidRPr="004009E9">
              <w:rPr>
                <w:rFonts w:cs="Arial"/>
                <w:b/>
                <w:bCs/>
                <w:color w:val="000000"/>
                <w:sz w:val="18"/>
                <w:szCs w:val="18"/>
                <w:lang w:val="en-US" w:eastAsia="zh-CN"/>
              </w:rPr>
              <w:t>,</w:t>
            </w:r>
            <w:r w:rsidR="000D67A3">
              <w:rPr>
                <w:rFonts w:cs="Arial"/>
                <w:b/>
                <w:bCs/>
                <w:color w:val="000000"/>
                <w:sz w:val="18"/>
                <w:szCs w:val="18"/>
                <w:lang w:val="en-US" w:eastAsia="zh-CN"/>
              </w:rPr>
              <w:t>095</w:t>
            </w:r>
            <w:r w:rsidRPr="004009E9">
              <w:rPr>
                <w:rFonts w:cs="Arial"/>
                <w:b/>
                <w:bCs/>
                <w:color w:val="000000"/>
                <w:sz w:val="18"/>
                <w:szCs w:val="18"/>
                <w:lang w:val="en-US" w:eastAsia="zh-CN"/>
              </w:rPr>
              <w:t xml:space="preserve"> </w:t>
            </w:r>
          </w:p>
        </w:tc>
      </w:tr>
      <w:tr w:rsidR="004009E9" w:rsidRPr="004009E9" w:rsidTr="004009E9">
        <w:trPr>
          <w:trHeight w:val="270"/>
        </w:trPr>
        <w:tc>
          <w:tcPr>
            <w:tcW w:w="2173" w:type="pct"/>
            <w:tcBorders>
              <w:top w:val="nil"/>
              <w:left w:val="single" w:sz="8" w:space="0" w:color="auto"/>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009E9">
              <w:rPr>
                <w:rFonts w:cs="Arial"/>
                <w:b/>
                <w:bCs/>
                <w:color w:val="000000"/>
                <w:sz w:val="18"/>
                <w:szCs w:val="18"/>
                <w:lang w:val="en-US" w:eastAsia="zh-CN"/>
              </w:rPr>
              <w:t>Perimeter differences</w:t>
            </w:r>
          </w:p>
        </w:tc>
        <w:tc>
          <w:tcPr>
            <w:tcW w:w="1017"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-1,</w:t>
            </w:r>
            <w:r w:rsidR="000D67A3">
              <w:rPr>
                <w:rFonts w:cs="Arial"/>
                <w:b/>
                <w:bCs/>
                <w:color w:val="000000"/>
                <w:sz w:val="18"/>
                <w:szCs w:val="18"/>
                <w:lang w:val="en-US" w:eastAsia="zh-CN"/>
              </w:rPr>
              <w:t>881</w:t>
            </w:r>
            <w:r w:rsidRPr="004009E9">
              <w:rPr>
                <w:rFonts w:cs="Arial"/>
                <w:b/>
                <w:bCs/>
                <w:color w:val="000000"/>
                <w:sz w:val="18"/>
                <w:szCs w:val="18"/>
                <w:lang w:val="en-US" w:eastAsia="zh-CN"/>
              </w:rPr>
              <w:t xml:space="preserve"> </w:t>
            </w:r>
          </w:p>
        </w:tc>
        <w:tc>
          <w:tcPr>
            <w:tcW w:w="653"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w:t>
            </w:r>
          </w:p>
        </w:tc>
        <w:tc>
          <w:tcPr>
            <w:tcW w:w="640"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w:t>
            </w:r>
          </w:p>
        </w:tc>
        <w:tc>
          <w:tcPr>
            <w:tcW w:w="517"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ED13DF">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-1,</w:t>
            </w:r>
            <w:r w:rsidR="000D67A3">
              <w:rPr>
                <w:rFonts w:cs="Arial"/>
                <w:b/>
                <w:bCs/>
                <w:color w:val="000000"/>
                <w:sz w:val="18"/>
                <w:szCs w:val="18"/>
                <w:lang w:val="en-US" w:eastAsia="zh-CN"/>
              </w:rPr>
              <w:t>88</w:t>
            </w:r>
            <w:r w:rsidR="00ED13DF">
              <w:rPr>
                <w:rFonts w:cs="Arial"/>
                <w:b/>
                <w:bCs/>
                <w:color w:val="000000"/>
                <w:sz w:val="18"/>
                <w:szCs w:val="18"/>
                <w:lang w:val="en-US" w:eastAsia="zh-CN"/>
              </w:rPr>
              <w:t>1</w:t>
            </w:r>
            <w:r w:rsidRPr="004009E9">
              <w:rPr>
                <w:rFonts w:cs="Arial"/>
                <w:b/>
                <w:bCs/>
                <w:color w:val="000000"/>
                <w:sz w:val="18"/>
                <w:szCs w:val="18"/>
                <w:lang w:val="en-US" w:eastAsia="zh-CN"/>
              </w:rPr>
              <w:t xml:space="preserve"> </w:t>
            </w:r>
          </w:p>
        </w:tc>
      </w:tr>
      <w:tr w:rsidR="004009E9" w:rsidRPr="004009E9" w:rsidTr="004009E9">
        <w:trPr>
          <w:trHeight w:val="270"/>
        </w:trPr>
        <w:tc>
          <w:tcPr>
            <w:tcW w:w="2173" w:type="pct"/>
            <w:tcBorders>
              <w:top w:val="nil"/>
              <w:left w:val="single" w:sz="8" w:space="0" w:color="auto"/>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18"/>
                <w:szCs w:val="18"/>
                <w:lang w:val="en-US" w:eastAsia="zh-CN"/>
              </w:rPr>
            </w:pPr>
            <w:r w:rsidRPr="004009E9">
              <w:rPr>
                <w:rFonts w:cs="Arial"/>
                <w:b/>
                <w:bCs/>
                <w:color w:val="000000"/>
                <w:sz w:val="18"/>
                <w:szCs w:val="18"/>
                <w:lang w:val="en-US" w:eastAsia="zh-CN"/>
              </w:rPr>
              <w:t>Surplus as shown in the statement of financial performance</w:t>
            </w:r>
          </w:p>
        </w:tc>
        <w:tc>
          <w:tcPr>
            <w:tcW w:w="1017"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w:t>
            </w:r>
            <w:r w:rsidR="000D67A3">
              <w:rPr>
                <w:rFonts w:cs="Arial"/>
                <w:b/>
                <w:bCs/>
                <w:color w:val="000000"/>
                <w:sz w:val="18"/>
                <w:szCs w:val="18"/>
                <w:lang w:val="en-US" w:eastAsia="zh-CN"/>
              </w:rPr>
              <w:t>11</w:t>
            </w:r>
            <w:r w:rsidRPr="004009E9">
              <w:rPr>
                <w:rFonts w:cs="Arial"/>
                <w:b/>
                <w:bCs/>
                <w:color w:val="000000"/>
                <w:sz w:val="18"/>
                <w:szCs w:val="18"/>
                <w:lang w:val="en-US" w:eastAsia="zh-CN"/>
              </w:rPr>
              <w:t>,</w:t>
            </w:r>
            <w:r w:rsidR="000D67A3">
              <w:rPr>
                <w:rFonts w:cs="Arial"/>
                <w:b/>
                <w:bCs/>
                <w:color w:val="000000"/>
                <w:sz w:val="18"/>
                <w:szCs w:val="18"/>
                <w:lang w:val="en-US" w:eastAsia="zh-CN"/>
              </w:rPr>
              <w:t>715</w:t>
            </w:r>
            <w:r w:rsidRPr="004009E9">
              <w:rPr>
                <w:rFonts w:cs="Arial"/>
                <w:b/>
                <w:bCs/>
                <w:color w:val="000000"/>
                <w:sz w:val="18"/>
                <w:szCs w:val="18"/>
                <w:lang w:val="en-US" w:eastAsia="zh-CN"/>
              </w:rPr>
              <w:t xml:space="preserve"> </w:t>
            </w:r>
          </w:p>
        </w:tc>
        <w:tc>
          <w:tcPr>
            <w:tcW w:w="653"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0D67A3">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2,</w:t>
            </w:r>
            <w:r w:rsidR="000D67A3">
              <w:rPr>
                <w:rFonts w:cs="Arial"/>
                <w:b/>
                <w:bCs/>
                <w:color w:val="000000"/>
                <w:sz w:val="18"/>
                <w:szCs w:val="18"/>
                <w:lang w:val="en-US" w:eastAsia="zh-CN"/>
              </w:rPr>
              <w:t>246</w:t>
            </w:r>
            <w:r w:rsidRPr="004009E9">
              <w:rPr>
                <w:rFonts w:cs="Arial"/>
                <w:b/>
                <w:bCs/>
                <w:color w:val="000000"/>
                <w:sz w:val="18"/>
                <w:szCs w:val="18"/>
                <w:lang w:val="en-US" w:eastAsia="zh-CN"/>
              </w:rPr>
              <w:t xml:space="preserve"> </w:t>
            </w:r>
          </w:p>
        </w:tc>
        <w:tc>
          <w:tcPr>
            <w:tcW w:w="640"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4009E9">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1,493 </w:t>
            </w:r>
          </w:p>
        </w:tc>
        <w:tc>
          <w:tcPr>
            <w:tcW w:w="517" w:type="pct"/>
            <w:tcBorders>
              <w:top w:val="nil"/>
              <w:left w:val="nil"/>
              <w:bottom w:val="single" w:sz="8" w:space="0" w:color="auto"/>
              <w:right w:val="single" w:sz="8" w:space="0" w:color="auto"/>
            </w:tcBorders>
            <w:shd w:val="clear" w:color="auto" w:fill="auto"/>
            <w:vAlign w:val="center"/>
            <w:hideMark/>
          </w:tcPr>
          <w:p w:rsidR="004009E9" w:rsidRPr="004009E9" w:rsidRDefault="004009E9" w:rsidP="00F15898">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18"/>
                <w:szCs w:val="18"/>
                <w:lang w:val="en-US" w:eastAsia="zh-CN"/>
              </w:rPr>
            </w:pPr>
            <w:r w:rsidRPr="004009E9">
              <w:rPr>
                <w:rFonts w:cs="Arial"/>
                <w:b/>
                <w:bCs/>
                <w:color w:val="000000"/>
                <w:sz w:val="18"/>
                <w:szCs w:val="18"/>
                <w:lang w:val="en-US" w:eastAsia="zh-CN"/>
              </w:rPr>
              <w:t xml:space="preserve">    -7,</w:t>
            </w:r>
            <w:r w:rsidR="000D67A3">
              <w:rPr>
                <w:rFonts w:cs="Arial"/>
                <w:b/>
                <w:bCs/>
                <w:color w:val="000000"/>
                <w:sz w:val="18"/>
                <w:szCs w:val="18"/>
                <w:lang w:val="en-US" w:eastAsia="zh-CN"/>
              </w:rPr>
              <w:t>97</w:t>
            </w:r>
            <w:r w:rsidR="00F15898">
              <w:rPr>
                <w:rFonts w:cs="Arial"/>
                <w:b/>
                <w:bCs/>
                <w:color w:val="000000"/>
                <w:sz w:val="18"/>
                <w:szCs w:val="18"/>
                <w:lang w:val="en-US" w:eastAsia="zh-CN"/>
              </w:rPr>
              <w:t>6</w:t>
            </w:r>
            <w:r w:rsidRPr="004009E9">
              <w:rPr>
                <w:rFonts w:cs="Arial"/>
                <w:b/>
                <w:bCs/>
                <w:color w:val="000000"/>
                <w:sz w:val="18"/>
                <w:szCs w:val="18"/>
                <w:lang w:val="en-US" w:eastAsia="zh-CN"/>
              </w:rPr>
              <w:t xml:space="preserve"> </w:t>
            </w:r>
          </w:p>
        </w:tc>
      </w:tr>
    </w:tbl>
    <w:p w:rsidR="0022373A" w:rsidRPr="00031FC9" w:rsidRDefault="00A165D6" w:rsidP="0015643B">
      <w:pPr>
        <w:spacing w:before="200"/>
        <w:ind w:right="425"/>
        <w:rPr>
          <w:bCs/>
          <w:szCs w:val="24"/>
          <w:lang w:val="en-US"/>
        </w:rPr>
      </w:pPr>
      <w:r w:rsidRPr="00031FC9">
        <w:rPr>
          <w:b/>
          <w:bCs/>
          <w:szCs w:val="24"/>
          <w:lang w:val="en-US"/>
        </w:rPr>
        <w:t>Note 2</w:t>
      </w:r>
      <w:r w:rsidR="006D6709">
        <w:rPr>
          <w:b/>
          <w:bCs/>
          <w:szCs w:val="24"/>
          <w:lang w:val="en-US"/>
        </w:rPr>
        <w:t>7</w:t>
      </w:r>
      <w:r w:rsidR="00755453">
        <w:rPr>
          <w:b/>
          <w:bCs/>
          <w:szCs w:val="24"/>
          <w:lang w:val="en-US"/>
        </w:rPr>
        <w:tab/>
      </w:r>
      <w:r w:rsidR="0022373A" w:rsidRPr="004009E9">
        <w:rPr>
          <w:b/>
          <w:bCs/>
          <w:szCs w:val="24"/>
          <w:lang w:val="en-US"/>
        </w:rPr>
        <w:t>Related-party disclosures</w:t>
      </w:r>
      <w:bookmarkEnd w:id="136"/>
      <w:bookmarkEnd w:id="137"/>
      <w:r w:rsidR="0022373A" w:rsidRPr="00031FC9">
        <w:rPr>
          <w:b/>
          <w:bCs/>
          <w:szCs w:val="24"/>
          <w:lang w:val="en-US"/>
        </w:rPr>
        <w:t xml:space="preserve"> </w:t>
      </w:r>
    </w:p>
    <w:p w:rsidR="0022373A" w:rsidRPr="001C2A98" w:rsidRDefault="0022373A" w:rsidP="00C11E81">
      <w:pPr>
        <w:ind w:right="425"/>
        <w:jc w:val="both"/>
        <w:rPr>
          <w:lang w:val="en-US"/>
        </w:rPr>
      </w:pPr>
      <w:r w:rsidRPr="001C2A98">
        <w:rPr>
          <w:lang w:val="en-US"/>
        </w:rPr>
        <w:t>The following entit</w:t>
      </w:r>
      <w:r w:rsidR="00237BB2">
        <w:rPr>
          <w:lang w:val="en-US"/>
        </w:rPr>
        <w:t>y</w:t>
      </w:r>
      <w:r w:rsidR="0052728B">
        <w:rPr>
          <w:lang w:val="en-US"/>
        </w:rPr>
        <w:t xml:space="preserve"> </w:t>
      </w:r>
      <w:r w:rsidR="00237BB2">
        <w:rPr>
          <w:lang w:val="en-US"/>
        </w:rPr>
        <w:t xml:space="preserve">is </w:t>
      </w:r>
      <w:r w:rsidRPr="001C2A98">
        <w:rPr>
          <w:lang w:val="en-US"/>
        </w:rPr>
        <w:t xml:space="preserve">to be considered as </w:t>
      </w:r>
      <w:r w:rsidR="00237BB2">
        <w:rPr>
          <w:lang w:val="en-US"/>
        </w:rPr>
        <w:t xml:space="preserve">a </w:t>
      </w:r>
      <w:r w:rsidRPr="001C2A98">
        <w:rPr>
          <w:lang w:val="en-US"/>
        </w:rPr>
        <w:t>related part</w:t>
      </w:r>
      <w:r w:rsidR="00237BB2">
        <w:rPr>
          <w:lang w:val="en-US"/>
        </w:rPr>
        <w:t>y</w:t>
      </w:r>
      <w:r w:rsidRPr="001C2A98">
        <w:rPr>
          <w:lang w:val="en-US"/>
        </w:rPr>
        <w:t>:</w:t>
      </w:r>
    </w:p>
    <w:p w:rsidR="0022373A" w:rsidRPr="001C2A98" w:rsidRDefault="0022373A" w:rsidP="00C11E81">
      <w:pPr>
        <w:pStyle w:val="enumlev1"/>
        <w:ind w:right="425"/>
        <w:jc w:val="both"/>
        <w:rPr>
          <w:color w:val="000000"/>
          <w:lang w:val="en-US"/>
        </w:rPr>
      </w:pPr>
      <w:r w:rsidRPr="001C2A98">
        <w:rPr>
          <w:color w:val="000000"/>
          <w:lang w:val="en-US"/>
        </w:rPr>
        <w:t>–</w:t>
      </w:r>
      <w:r w:rsidRPr="001C2A98">
        <w:rPr>
          <w:color w:val="000000"/>
          <w:lang w:val="en-US"/>
        </w:rPr>
        <w:tab/>
        <w:t>the United Nations Joint Staff Pension Fund (UNJSPF</w:t>
      </w:r>
      <w:r w:rsidRPr="001C2A98">
        <w:rPr>
          <w:lang w:val="en-US"/>
        </w:rPr>
        <w:t>).</w:t>
      </w:r>
    </w:p>
    <w:p w:rsidR="0022373A" w:rsidRPr="0028367F" w:rsidRDefault="0022373A" w:rsidP="00C11E81">
      <w:pPr>
        <w:ind w:right="425"/>
        <w:jc w:val="both"/>
      </w:pPr>
      <w:r w:rsidRPr="0028367F">
        <w:t xml:space="preserve">The ITU </w:t>
      </w:r>
      <w:r w:rsidRPr="000D762F">
        <w:t>Council comprises 48 Member States</w:t>
      </w:r>
      <w:r w:rsidRPr="0028367F">
        <w:t>, without specific individuals being designated.</w:t>
      </w:r>
    </w:p>
    <w:p w:rsidR="0022373A" w:rsidRPr="001C2A98" w:rsidRDefault="0022373A" w:rsidP="007F1A93">
      <w:pPr>
        <w:ind w:right="425"/>
        <w:jc w:val="both"/>
        <w:rPr>
          <w:lang w:val="en-US"/>
        </w:rPr>
      </w:pPr>
      <w:r w:rsidRPr="001C2A98">
        <w:rPr>
          <w:lang w:val="en-US"/>
        </w:rPr>
        <w:t>The Union is managed by the Secretary-General, as executive head, assisted in that task by the Deputy Secretary-General and the Directors of the Union</w:t>
      </w:r>
      <w:r w:rsidR="007A552E">
        <w:rPr>
          <w:lang w:val="en-US"/>
        </w:rPr>
        <w:t>’</w:t>
      </w:r>
      <w:r w:rsidRPr="001C2A98">
        <w:rPr>
          <w:lang w:val="en-US"/>
        </w:rPr>
        <w:t xml:space="preserve">s three </w:t>
      </w:r>
      <w:r w:rsidR="00FB79E8">
        <w:rPr>
          <w:lang w:val="en-US"/>
        </w:rPr>
        <w:t>s</w:t>
      </w:r>
      <w:r w:rsidRPr="001C2A98">
        <w:rPr>
          <w:lang w:val="en-US"/>
        </w:rPr>
        <w:t xml:space="preserve">ectors (high-ranking officials </w:t>
      </w:r>
      <w:r w:rsidRPr="004564CB">
        <w:rPr>
          <w:spacing w:val="-2"/>
          <w:lang w:val="en-US"/>
        </w:rPr>
        <w:t>sitting on the Coordination Committee): Radiocommunication Sector (ITU-R), Telecommunication Standardization Sector (ITU-T) and Telecommunication Development Sector (ITU-D).</w:t>
      </w:r>
      <w:r w:rsidRPr="003743BC">
        <w:rPr>
          <w:lang w:val="en-US"/>
        </w:rPr>
        <w:t xml:space="preserve"> The five </w:t>
      </w:r>
      <w:r w:rsidR="00393FB2">
        <w:rPr>
          <w:lang w:val="en-US"/>
        </w:rPr>
        <w:t>E</w:t>
      </w:r>
      <w:r w:rsidRPr="003743BC">
        <w:rPr>
          <w:lang w:val="en-US"/>
        </w:rPr>
        <w:t xml:space="preserve">lected </w:t>
      </w:r>
      <w:r w:rsidR="00393FB2">
        <w:rPr>
          <w:lang w:val="en-US"/>
        </w:rPr>
        <w:t>O</w:t>
      </w:r>
      <w:r w:rsidRPr="003743BC">
        <w:rPr>
          <w:lang w:val="en-US"/>
        </w:rPr>
        <w:t xml:space="preserve">fficials are assisted </w:t>
      </w:r>
      <w:r w:rsidRPr="00AA6360">
        <w:rPr>
          <w:lang w:val="en-US"/>
        </w:rPr>
        <w:t xml:space="preserve">by </w:t>
      </w:r>
      <w:r w:rsidR="00AA421C" w:rsidRPr="00AA6360">
        <w:rPr>
          <w:lang w:val="en-US"/>
        </w:rPr>
        <w:t>four</w:t>
      </w:r>
      <w:r w:rsidRPr="003743BC">
        <w:rPr>
          <w:lang w:val="en-US"/>
        </w:rPr>
        <w:t xml:space="preserve"> </w:t>
      </w:r>
      <w:r w:rsidR="00F65D42" w:rsidRPr="003743BC">
        <w:rPr>
          <w:lang w:val="en-US"/>
        </w:rPr>
        <w:t>S</w:t>
      </w:r>
      <w:r w:rsidRPr="003743BC">
        <w:rPr>
          <w:lang w:val="en-US"/>
        </w:rPr>
        <w:t xml:space="preserve">enior </w:t>
      </w:r>
      <w:r w:rsidR="00F65D42" w:rsidRPr="003743BC">
        <w:rPr>
          <w:lang w:val="en-US"/>
        </w:rPr>
        <w:t>O</w:t>
      </w:r>
      <w:r w:rsidRPr="003743BC">
        <w:rPr>
          <w:lang w:val="en-US"/>
        </w:rPr>
        <w:t xml:space="preserve">fficials at grade D.2), and by </w:t>
      </w:r>
      <w:r w:rsidR="007F1A93">
        <w:rPr>
          <w:lang w:val="en-US"/>
        </w:rPr>
        <w:t>17</w:t>
      </w:r>
      <w:r w:rsidR="004564CB">
        <w:rPr>
          <w:lang w:val="en-US"/>
        </w:rPr>
        <w:t xml:space="preserve"> </w:t>
      </w:r>
      <w:r w:rsidRPr="003743BC">
        <w:rPr>
          <w:lang w:val="en-US"/>
        </w:rPr>
        <w:t>other management officials at grade D.1 (chiefs of department or heads of unit).</w:t>
      </w:r>
    </w:p>
    <w:p w:rsidR="00A41AA7" w:rsidRDefault="0022373A" w:rsidP="00C11E81">
      <w:pPr>
        <w:ind w:right="425"/>
        <w:jc w:val="both"/>
        <w:rPr>
          <w:lang w:val="en-US"/>
        </w:rPr>
      </w:pPr>
      <w:r w:rsidRPr="001C2A98">
        <w:rPr>
          <w:lang w:val="en-US"/>
        </w:rPr>
        <w:t xml:space="preserve">The total remuneration paid to key management officials comprises net salary, post adjustment, allowances such as representation expenses, installation grant, repatriation grant, accrued leave, rental subsidy and removal of personal </w:t>
      </w:r>
      <w:r w:rsidRPr="005507A6">
        <w:rPr>
          <w:lang w:val="en-US"/>
        </w:rPr>
        <w:t>effects.</w:t>
      </w:r>
    </w:p>
    <w:p w:rsidR="0022373A" w:rsidRPr="001C2A98" w:rsidRDefault="0022373A" w:rsidP="00C11E81">
      <w:pPr>
        <w:ind w:right="425"/>
        <w:jc w:val="both"/>
        <w:rPr>
          <w:rFonts w:eastAsia="Calibri"/>
          <w:lang w:val="en-US"/>
        </w:rPr>
      </w:pPr>
      <w:r w:rsidRPr="001C2A98">
        <w:rPr>
          <w:rFonts w:eastAsia="Calibri"/>
          <w:lang w:val="en-US"/>
        </w:rPr>
        <w:t xml:space="preserve">Key management officials are also entitled to the same benefits as staff in the Professional category, namely: </w:t>
      </w:r>
    </w:p>
    <w:p w:rsidR="0022373A" w:rsidRPr="00D128FC" w:rsidRDefault="0022373A" w:rsidP="00C11E81">
      <w:pPr>
        <w:pStyle w:val="enumlev1"/>
        <w:ind w:right="425"/>
        <w:jc w:val="both"/>
        <w:rPr>
          <w:rFonts w:eastAsia="Calibri"/>
          <w:color w:val="000000"/>
          <w:lang w:val="en-US"/>
        </w:rPr>
      </w:pPr>
      <w:r w:rsidRPr="001C2A98">
        <w:rPr>
          <w:lang w:val="en-US"/>
        </w:rPr>
        <w:t>–</w:t>
      </w:r>
      <w:r w:rsidRPr="001C2A98">
        <w:rPr>
          <w:lang w:val="en-US"/>
        </w:rPr>
        <w:tab/>
        <w:t>home leave</w:t>
      </w:r>
      <w:r w:rsidR="0085330E">
        <w:rPr>
          <w:lang w:val="en-US"/>
        </w:rPr>
        <w:t>;</w:t>
      </w:r>
    </w:p>
    <w:p w:rsidR="0022373A" w:rsidRPr="001C2A98" w:rsidRDefault="0022373A" w:rsidP="00C11E81">
      <w:pPr>
        <w:pStyle w:val="enumlev1"/>
        <w:ind w:right="425"/>
        <w:jc w:val="both"/>
        <w:rPr>
          <w:lang w:val="en-US"/>
        </w:rPr>
      </w:pPr>
      <w:r w:rsidRPr="001C2A98">
        <w:rPr>
          <w:lang w:val="en-US"/>
        </w:rPr>
        <w:t>–</w:t>
      </w:r>
      <w:r w:rsidRPr="001C2A98">
        <w:rPr>
          <w:lang w:val="en-US"/>
        </w:rPr>
        <w:tab/>
        <w:t>education grant</w:t>
      </w:r>
      <w:r w:rsidR="0085330E">
        <w:rPr>
          <w:lang w:val="en-US"/>
        </w:rPr>
        <w:t>;</w:t>
      </w:r>
    </w:p>
    <w:p w:rsidR="0022373A" w:rsidRPr="00D128FC" w:rsidRDefault="0022373A" w:rsidP="00C11E81">
      <w:pPr>
        <w:pStyle w:val="enumlev1"/>
        <w:ind w:right="425"/>
        <w:jc w:val="both"/>
        <w:rPr>
          <w:rFonts w:eastAsia="Calibri"/>
          <w:color w:val="000000"/>
          <w:lang w:val="en-US"/>
        </w:rPr>
      </w:pPr>
      <w:r w:rsidRPr="001C2A98">
        <w:rPr>
          <w:lang w:val="en-US"/>
        </w:rPr>
        <w:t>–</w:t>
      </w:r>
      <w:r w:rsidRPr="001C2A98">
        <w:rPr>
          <w:lang w:val="en-US"/>
        </w:rPr>
        <w:tab/>
        <w:t>post-employment benefits</w:t>
      </w:r>
      <w:r w:rsidRPr="00D128FC">
        <w:rPr>
          <w:rFonts w:eastAsia="Calibri"/>
          <w:color w:val="000000"/>
          <w:lang w:val="en-US"/>
        </w:rPr>
        <w:t>.</w:t>
      </w:r>
    </w:p>
    <w:p w:rsidR="0022373A" w:rsidRPr="00D128FC" w:rsidRDefault="0022373A" w:rsidP="00C11E81">
      <w:pPr>
        <w:ind w:right="425"/>
        <w:jc w:val="both"/>
        <w:rPr>
          <w:rFonts w:cs="Calibri"/>
          <w:b/>
          <w:bCs/>
          <w:spacing w:val="-4"/>
          <w:w w:val="105"/>
          <w:lang w:val="en-US"/>
        </w:rPr>
      </w:pPr>
      <w:r w:rsidRPr="001C2A98">
        <w:rPr>
          <w:rFonts w:eastAsia="Calibri"/>
          <w:lang w:val="en-US"/>
        </w:rPr>
        <w:t>These benefits cannot be separately quantified in a reliable manner</w:t>
      </w:r>
      <w:r w:rsidRPr="00D128FC">
        <w:rPr>
          <w:rFonts w:cs="Calibri"/>
          <w:bCs/>
          <w:spacing w:val="-4"/>
          <w:w w:val="105"/>
          <w:lang w:val="en-US"/>
        </w:rPr>
        <w:t>.</w:t>
      </w:r>
    </w:p>
    <w:p w:rsidR="00AF24F3" w:rsidRPr="006E6A1D" w:rsidRDefault="0022373A" w:rsidP="00C11E81">
      <w:pPr>
        <w:ind w:right="425"/>
        <w:jc w:val="both"/>
        <w:rPr>
          <w:rFonts w:eastAsia="Calibri"/>
          <w:spacing w:val="-2"/>
          <w:lang w:val="en-US"/>
        </w:rPr>
      </w:pPr>
      <w:r w:rsidRPr="006E6A1D">
        <w:rPr>
          <w:rFonts w:eastAsia="Calibri"/>
          <w:spacing w:val="-2"/>
          <w:lang w:val="en-US"/>
        </w:rPr>
        <w:t>Key management officials are ordinary participants in the United Nations Joint Staff Pension Fund.</w:t>
      </w:r>
    </w:p>
    <w:p w:rsidR="00F15898" w:rsidRDefault="0022373A" w:rsidP="0026425D">
      <w:pPr>
        <w:spacing w:after="120"/>
        <w:ind w:right="425"/>
        <w:jc w:val="both"/>
        <w:rPr>
          <w:rFonts w:eastAsia="Calibri"/>
          <w:bCs/>
          <w:lang w:val="en-US"/>
        </w:rPr>
      </w:pPr>
      <w:r w:rsidRPr="0080683B">
        <w:rPr>
          <w:rFonts w:eastAsia="Calibri"/>
          <w:bCs/>
          <w:lang w:val="en-US"/>
        </w:rPr>
        <w:t xml:space="preserve">In </w:t>
      </w:r>
      <w:r w:rsidR="00111BDD" w:rsidRPr="0080683B">
        <w:rPr>
          <w:rFonts w:eastAsia="Calibri"/>
          <w:bCs/>
          <w:lang w:val="en-US"/>
        </w:rPr>
        <w:t>201</w:t>
      </w:r>
      <w:r w:rsidR="00AA6360" w:rsidRPr="0080683B">
        <w:rPr>
          <w:rFonts w:eastAsia="Calibri"/>
          <w:bCs/>
          <w:lang w:val="en-US"/>
        </w:rPr>
        <w:t>8</w:t>
      </w:r>
      <w:r w:rsidRPr="0080683B">
        <w:rPr>
          <w:rFonts w:eastAsia="Calibri"/>
          <w:bCs/>
          <w:lang w:val="en-US"/>
        </w:rPr>
        <w:t>, the Union grant</w:t>
      </w:r>
      <w:r w:rsidR="00F15898" w:rsidRPr="0080683B">
        <w:rPr>
          <w:rFonts w:eastAsia="Calibri"/>
          <w:bCs/>
          <w:lang w:val="en-US"/>
        </w:rPr>
        <w:t xml:space="preserve">ed to the former </w:t>
      </w:r>
      <w:r w:rsidR="000E1AB5" w:rsidRPr="0080683B">
        <w:rPr>
          <w:rFonts w:eastAsia="Calibri"/>
          <w:bCs/>
          <w:lang w:val="en-US"/>
        </w:rPr>
        <w:t>El</w:t>
      </w:r>
      <w:r w:rsidR="00F15898" w:rsidRPr="0080683B">
        <w:rPr>
          <w:rFonts w:eastAsia="Calibri"/>
          <w:bCs/>
          <w:lang w:val="en-US"/>
        </w:rPr>
        <w:t xml:space="preserve">ected </w:t>
      </w:r>
      <w:r w:rsidR="000E1AB5" w:rsidRPr="0080683B">
        <w:rPr>
          <w:rFonts w:eastAsia="Calibri"/>
          <w:bCs/>
          <w:lang w:val="en-US"/>
        </w:rPr>
        <w:t xml:space="preserve">Official </w:t>
      </w:r>
      <w:r w:rsidR="00F15898" w:rsidRPr="0080683B">
        <w:rPr>
          <w:rFonts w:eastAsia="Calibri"/>
          <w:bCs/>
          <w:lang w:val="en-US"/>
        </w:rPr>
        <w:t xml:space="preserve">of BR </w:t>
      </w:r>
      <w:r w:rsidR="000E1AB5" w:rsidRPr="0080683B">
        <w:rPr>
          <w:rFonts w:eastAsia="Calibri"/>
          <w:bCs/>
          <w:lang w:val="en-US"/>
        </w:rPr>
        <w:t xml:space="preserve">(Mr. Rancy) an amount of CHF 52,092 </w:t>
      </w:r>
      <w:r w:rsidR="00F15898" w:rsidRPr="0080683B">
        <w:rPr>
          <w:rFonts w:eastAsia="Calibri"/>
          <w:bCs/>
          <w:lang w:val="en-US"/>
        </w:rPr>
        <w:t>and</w:t>
      </w:r>
      <w:r w:rsidR="0026425D" w:rsidRPr="0080683B">
        <w:rPr>
          <w:rFonts w:eastAsia="Calibri"/>
          <w:bCs/>
          <w:lang w:val="en-US"/>
        </w:rPr>
        <w:t xml:space="preserve"> to the </w:t>
      </w:r>
      <w:r w:rsidR="000E1AB5" w:rsidRPr="0080683B">
        <w:rPr>
          <w:rFonts w:eastAsia="Calibri"/>
          <w:bCs/>
          <w:lang w:val="en-US"/>
        </w:rPr>
        <w:t xml:space="preserve">former Elected Official of </w:t>
      </w:r>
      <w:r w:rsidR="00F15898" w:rsidRPr="0080683B">
        <w:rPr>
          <w:rFonts w:eastAsia="Calibri"/>
          <w:bCs/>
          <w:lang w:val="en-US"/>
        </w:rPr>
        <w:t>BDT</w:t>
      </w:r>
      <w:r w:rsidR="000E1AB5" w:rsidRPr="0080683B">
        <w:rPr>
          <w:rFonts w:eastAsia="Calibri"/>
          <w:bCs/>
          <w:lang w:val="en-US"/>
        </w:rPr>
        <w:t xml:space="preserve"> (Mr. Sanou) an amount of </w:t>
      </w:r>
      <w:r w:rsidR="0026425D" w:rsidRPr="0080683B">
        <w:rPr>
          <w:rFonts w:eastAsia="Calibri"/>
          <w:bCs/>
          <w:lang w:val="en-US"/>
        </w:rPr>
        <w:t>CHF 52,092 for services rendered to the Union during their respective mandates.</w:t>
      </w:r>
    </w:p>
    <w:tbl>
      <w:tblPr>
        <w:tblW w:w="5000" w:type="pct"/>
        <w:tblLook w:val="04A0" w:firstRow="1" w:lastRow="0" w:firstColumn="1" w:lastColumn="0" w:noHBand="0" w:noVBand="1"/>
      </w:tblPr>
      <w:tblGrid>
        <w:gridCol w:w="3395"/>
        <w:gridCol w:w="1388"/>
        <w:gridCol w:w="1833"/>
        <w:gridCol w:w="1138"/>
        <w:gridCol w:w="2007"/>
      </w:tblGrid>
      <w:tr w:rsidR="00AA6360" w:rsidRPr="00AA6360" w:rsidTr="00AA6360">
        <w:trPr>
          <w:trHeight w:val="300"/>
        </w:trPr>
        <w:tc>
          <w:tcPr>
            <w:tcW w:w="1739" w:type="pct"/>
            <w:tcBorders>
              <w:top w:val="single" w:sz="8" w:space="0" w:color="auto"/>
              <w:left w:val="single" w:sz="8" w:space="0" w:color="auto"/>
              <w:bottom w:val="nil"/>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AA6360">
              <w:rPr>
                <w:rFonts w:cs="Arial"/>
                <w:b/>
                <w:bCs/>
                <w:color w:val="000000"/>
                <w:sz w:val="22"/>
                <w:szCs w:val="22"/>
                <w:lang w:val="en-US" w:eastAsia="zh-CN"/>
              </w:rPr>
              <w:t> </w:t>
            </w:r>
          </w:p>
        </w:tc>
        <w:tc>
          <w:tcPr>
            <w:tcW w:w="1650" w:type="pct"/>
            <w:gridSpan w:val="2"/>
            <w:tcBorders>
              <w:top w:val="single" w:sz="8" w:space="0" w:color="auto"/>
              <w:left w:val="nil"/>
              <w:bottom w:val="nil"/>
              <w:right w:val="single" w:sz="8" w:space="0" w:color="000000"/>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AA6360">
              <w:rPr>
                <w:rFonts w:cs="Arial"/>
                <w:b/>
                <w:bCs/>
                <w:color w:val="000000"/>
                <w:sz w:val="22"/>
                <w:szCs w:val="22"/>
                <w:lang w:val="en-US" w:eastAsia="zh-CN"/>
              </w:rPr>
              <w:t>31.12.2018</w:t>
            </w:r>
          </w:p>
        </w:tc>
        <w:tc>
          <w:tcPr>
            <w:tcW w:w="1611" w:type="pct"/>
            <w:gridSpan w:val="2"/>
            <w:tcBorders>
              <w:top w:val="single" w:sz="8" w:space="0" w:color="auto"/>
              <w:left w:val="nil"/>
              <w:bottom w:val="nil"/>
              <w:right w:val="single" w:sz="8" w:space="0" w:color="000000"/>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AA6360">
              <w:rPr>
                <w:rFonts w:cs="Arial"/>
                <w:b/>
                <w:bCs/>
                <w:color w:val="000000"/>
                <w:sz w:val="22"/>
                <w:szCs w:val="22"/>
                <w:lang w:val="en-US" w:eastAsia="zh-CN"/>
              </w:rPr>
              <w:t>31.12.2017</w:t>
            </w:r>
          </w:p>
        </w:tc>
      </w:tr>
      <w:tr w:rsidR="00AA6360" w:rsidRPr="00AA6360" w:rsidTr="00AA6360">
        <w:trPr>
          <w:trHeight w:val="300"/>
        </w:trPr>
        <w:tc>
          <w:tcPr>
            <w:tcW w:w="1739" w:type="pct"/>
            <w:vMerge w:val="restart"/>
            <w:tcBorders>
              <w:top w:val="nil"/>
              <w:left w:val="single" w:sz="8" w:space="0" w:color="auto"/>
              <w:bottom w:val="single" w:sz="8" w:space="0" w:color="000000"/>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AA6360">
              <w:rPr>
                <w:rFonts w:cs="Arial"/>
                <w:b/>
                <w:bCs/>
                <w:color w:val="000000"/>
                <w:sz w:val="22"/>
                <w:szCs w:val="22"/>
                <w:lang w:val="en-US" w:eastAsia="zh-CN"/>
              </w:rPr>
              <w:t>In thousands of CHF</w:t>
            </w:r>
          </w:p>
        </w:tc>
        <w:tc>
          <w:tcPr>
            <w:tcW w:w="711" w:type="pct"/>
            <w:vMerge w:val="restart"/>
            <w:tcBorders>
              <w:top w:val="nil"/>
              <w:left w:val="single" w:sz="8" w:space="0" w:color="auto"/>
              <w:bottom w:val="single" w:sz="8" w:space="0" w:color="000000"/>
              <w:right w:val="nil"/>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AA6360">
              <w:rPr>
                <w:rFonts w:cs="Arial"/>
                <w:b/>
                <w:bCs/>
                <w:color w:val="000000"/>
                <w:sz w:val="22"/>
                <w:szCs w:val="22"/>
                <w:lang w:val="en-US" w:eastAsia="zh-CN"/>
              </w:rPr>
              <w:t>Number of persons</w:t>
            </w:r>
          </w:p>
        </w:tc>
        <w:tc>
          <w:tcPr>
            <w:tcW w:w="939" w:type="pct"/>
            <w:vMerge w:val="restart"/>
            <w:tcBorders>
              <w:top w:val="nil"/>
              <w:left w:val="nil"/>
              <w:bottom w:val="single" w:sz="8" w:space="0" w:color="000000"/>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AA6360">
              <w:rPr>
                <w:rFonts w:cs="Arial"/>
                <w:b/>
                <w:bCs/>
                <w:color w:val="000000"/>
                <w:sz w:val="22"/>
                <w:szCs w:val="22"/>
                <w:lang w:val="en-US" w:eastAsia="zh-CN"/>
              </w:rPr>
              <w:t>Total remuneration</w:t>
            </w:r>
          </w:p>
        </w:tc>
        <w:tc>
          <w:tcPr>
            <w:tcW w:w="583" w:type="pct"/>
            <w:tcBorders>
              <w:top w:val="nil"/>
              <w:left w:val="nil"/>
              <w:bottom w:val="nil"/>
              <w:right w:val="nil"/>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AA6360">
              <w:rPr>
                <w:rFonts w:cs="Arial"/>
                <w:b/>
                <w:bCs/>
                <w:color w:val="000000"/>
                <w:sz w:val="22"/>
                <w:szCs w:val="22"/>
                <w:lang w:val="en-US" w:eastAsia="zh-CN"/>
              </w:rPr>
              <w:t>Number</w:t>
            </w:r>
          </w:p>
        </w:tc>
        <w:tc>
          <w:tcPr>
            <w:tcW w:w="1028" w:type="pct"/>
            <w:vMerge w:val="restart"/>
            <w:tcBorders>
              <w:top w:val="nil"/>
              <w:left w:val="nil"/>
              <w:bottom w:val="single" w:sz="8" w:space="0" w:color="000000"/>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AA6360">
              <w:rPr>
                <w:rFonts w:cs="Arial"/>
                <w:b/>
                <w:bCs/>
                <w:color w:val="000000"/>
                <w:sz w:val="22"/>
                <w:szCs w:val="22"/>
                <w:lang w:val="en-US" w:eastAsia="zh-CN"/>
              </w:rPr>
              <w:t>Total remuneration</w:t>
            </w:r>
          </w:p>
        </w:tc>
      </w:tr>
      <w:tr w:rsidR="00AA6360" w:rsidRPr="00AA6360" w:rsidTr="00AA6360">
        <w:trPr>
          <w:trHeight w:val="315"/>
        </w:trPr>
        <w:tc>
          <w:tcPr>
            <w:tcW w:w="1739" w:type="pct"/>
            <w:vMerge/>
            <w:tcBorders>
              <w:top w:val="nil"/>
              <w:left w:val="single" w:sz="8" w:space="0" w:color="auto"/>
              <w:bottom w:val="single" w:sz="8" w:space="0" w:color="000000"/>
              <w:right w:val="single" w:sz="8" w:space="0" w:color="auto"/>
            </w:tcBorders>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p>
        </w:tc>
        <w:tc>
          <w:tcPr>
            <w:tcW w:w="711" w:type="pct"/>
            <w:vMerge/>
            <w:tcBorders>
              <w:top w:val="nil"/>
              <w:left w:val="single" w:sz="8" w:space="0" w:color="auto"/>
              <w:bottom w:val="single" w:sz="8" w:space="0" w:color="000000"/>
              <w:right w:val="nil"/>
            </w:tcBorders>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p>
        </w:tc>
        <w:tc>
          <w:tcPr>
            <w:tcW w:w="939" w:type="pct"/>
            <w:vMerge/>
            <w:tcBorders>
              <w:top w:val="nil"/>
              <w:left w:val="nil"/>
              <w:bottom w:val="single" w:sz="8" w:space="0" w:color="000000"/>
              <w:right w:val="single" w:sz="8" w:space="0" w:color="auto"/>
            </w:tcBorders>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p>
        </w:tc>
        <w:tc>
          <w:tcPr>
            <w:tcW w:w="583" w:type="pct"/>
            <w:tcBorders>
              <w:top w:val="nil"/>
              <w:left w:val="nil"/>
              <w:bottom w:val="single" w:sz="8" w:space="0" w:color="auto"/>
              <w:right w:val="nil"/>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color w:val="000000"/>
                <w:sz w:val="22"/>
                <w:szCs w:val="22"/>
                <w:lang w:val="en-US" w:eastAsia="zh-CN"/>
              </w:rPr>
            </w:pPr>
            <w:r w:rsidRPr="00AA6360">
              <w:rPr>
                <w:rFonts w:cs="Arial"/>
                <w:b/>
                <w:bCs/>
                <w:color w:val="000000"/>
                <w:sz w:val="22"/>
                <w:szCs w:val="22"/>
                <w:lang w:val="en-US" w:eastAsia="zh-CN"/>
              </w:rPr>
              <w:t>of persons</w:t>
            </w:r>
          </w:p>
        </w:tc>
        <w:tc>
          <w:tcPr>
            <w:tcW w:w="1028" w:type="pct"/>
            <w:vMerge/>
            <w:tcBorders>
              <w:top w:val="nil"/>
              <w:left w:val="nil"/>
              <w:bottom w:val="single" w:sz="8" w:space="0" w:color="000000"/>
              <w:right w:val="single" w:sz="8" w:space="0" w:color="auto"/>
            </w:tcBorders>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p>
        </w:tc>
      </w:tr>
      <w:tr w:rsidR="00AA6360" w:rsidRPr="00AA6360" w:rsidTr="00AA6360">
        <w:trPr>
          <w:trHeight w:val="315"/>
        </w:trPr>
        <w:tc>
          <w:tcPr>
            <w:tcW w:w="1739" w:type="pct"/>
            <w:tcBorders>
              <w:top w:val="nil"/>
              <w:left w:val="single" w:sz="8" w:space="0" w:color="auto"/>
              <w:bottom w:val="nil"/>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A6360">
              <w:rPr>
                <w:rFonts w:cs="Arial"/>
                <w:color w:val="000000"/>
                <w:sz w:val="22"/>
                <w:szCs w:val="22"/>
                <w:lang w:val="en-US" w:eastAsia="zh-CN"/>
              </w:rPr>
              <w:t>5 elected officials</w:t>
            </w:r>
          </w:p>
        </w:tc>
        <w:tc>
          <w:tcPr>
            <w:tcW w:w="711" w:type="pct"/>
            <w:tcBorders>
              <w:top w:val="nil"/>
              <w:left w:val="nil"/>
              <w:bottom w:val="nil"/>
              <w:right w:val="nil"/>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5</w:t>
            </w:r>
          </w:p>
        </w:tc>
        <w:tc>
          <w:tcPr>
            <w:tcW w:w="939" w:type="pct"/>
            <w:tcBorders>
              <w:top w:val="nil"/>
              <w:left w:val="nil"/>
              <w:bottom w:val="nil"/>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 xml:space="preserve">                     2,139 </w:t>
            </w:r>
          </w:p>
        </w:tc>
        <w:tc>
          <w:tcPr>
            <w:tcW w:w="583" w:type="pct"/>
            <w:tcBorders>
              <w:top w:val="nil"/>
              <w:left w:val="nil"/>
              <w:bottom w:val="nil"/>
              <w:right w:val="nil"/>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5</w:t>
            </w:r>
          </w:p>
        </w:tc>
        <w:tc>
          <w:tcPr>
            <w:tcW w:w="1028" w:type="pct"/>
            <w:tcBorders>
              <w:top w:val="nil"/>
              <w:left w:val="nil"/>
              <w:bottom w:val="nil"/>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2143</w:t>
            </w:r>
          </w:p>
        </w:tc>
      </w:tr>
      <w:tr w:rsidR="00AA6360" w:rsidRPr="00AA6360" w:rsidTr="00AA6360">
        <w:trPr>
          <w:trHeight w:val="315"/>
        </w:trPr>
        <w:tc>
          <w:tcPr>
            <w:tcW w:w="173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AA6360">
              <w:rPr>
                <w:rFonts w:cs="Arial"/>
                <w:b/>
                <w:bCs/>
                <w:color w:val="000000"/>
                <w:sz w:val="22"/>
                <w:szCs w:val="22"/>
                <w:lang w:val="en-US" w:eastAsia="zh-CN"/>
              </w:rPr>
              <w:t>Main management officials</w:t>
            </w:r>
          </w:p>
        </w:tc>
        <w:tc>
          <w:tcPr>
            <w:tcW w:w="711" w:type="pct"/>
            <w:tcBorders>
              <w:top w:val="single" w:sz="8" w:space="0" w:color="auto"/>
              <w:left w:val="nil"/>
              <w:bottom w:val="single" w:sz="8" w:space="0" w:color="auto"/>
              <w:right w:val="nil"/>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5</w:t>
            </w:r>
          </w:p>
        </w:tc>
        <w:tc>
          <w:tcPr>
            <w:tcW w:w="939" w:type="pct"/>
            <w:tcBorders>
              <w:top w:val="single" w:sz="8" w:space="0" w:color="auto"/>
              <w:left w:val="nil"/>
              <w:bottom w:val="single" w:sz="8" w:space="0" w:color="auto"/>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 xml:space="preserve">                     2,139 </w:t>
            </w:r>
          </w:p>
        </w:tc>
        <w:tc>
          <w:tcPr>
            <w:tcW w:w="583" w:type="pct"/>
            <w:tcBorders>
              <w:top w:val="single" w:sz="8" w:space="0" w:color="auto"/>
              <w:left w:val="nil"/>
              <w:bottom w:val="single" w:sz="8" w:space="0" w:color="auto"/>
              <w:right w:val="nil"/>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5</w:t>
            </w:r>
          </w:p>
        </w:tc>
        <w:tc>
          <w:tcPr>
            <w:tcW w:w="1028" w:type="pct"/>
            <w:tcBorders>
              <w:top w:val="single" w:sz="8" w:space="0" w:color="auto"/>
              <w:left w:val="nil"/>
              <w:bottom w:val="single" w:sz="8" w:space="0" w:color="auto"/>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 xml:space="preserve">                         2,143 </w:t>
            </w:r>
          </w:p>
        </w:tc>
      </w:tr>
      <w:tr w:rsidR="00AA6360" w:rsidRPr="00AA6360" w:rsidTr="00AA6360">
        <w:trPr>
          <w:trHeight w:val="300"/>
        </w:trPr>
        <w:tc>
          <w:tcPr>
            <w:tcW w:w="1739" w:type="pct"/>
            <w:tcBorders>
              <w:top w:val="nil"/>
              <w:left w:val="single" w:sz="8" w:space="0" w:color="auto"/>
              <w:bottom w:val="nil"/>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A6360">
              <w:rPr>
                <w:rFonts w:cs="Arial"/>
                <w:color w:val="000000"/>
                <w:sz w:val="22"/>
                <w:szCs w:val="22"/>
                <w:lang w:val="en-US" w:eastAsia="zh-CN"/>
              </w:rPr>
              <w:t>D.2 directors</w:t>
            </w:r>
          </w:p>
        </w:tc>
        <w:tc>
          <w:tcPr>
            <w:tcW w:w="711" w:type="pct"/>
            <w:tcBorders>
              <w:top w:val="nil"/>
              <w:left w:val="nil"/>
              <w:bottom w:val="nil"/>
              <w:right w:val="nil"/>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4</w:t>
            </w:r>
          </w:p>
        </w:tc>
        <w:tc>
          <w:tcPr>
            <w:tcW w:w="939" w:type="pct"/>
            <w:tcBorders>
              <w:top w:val="nil"/>
              <w:left w:val="nil"/>
              <w:bottom w:val="nil"/>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 xml:space="preserve">                     1,148 </w:t>
            </w:r>
          </w:p>
        </w:tc>
        <w:tc>
          <w:tcPr>
            <w:tcW w:w="583" w:type="pct"/>
            <w:tcBorders>
              <w:top w:val="nil"/>
              <w:left w:val="nil"/>
              <w:bottom w:val="nil"/>
              <w:right w:val="nil"/>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4</w:t>
            </w:r>
          </w:p>
        </w:tc>
        <w:tc>
          <w:tcPr>
            <w:tcW w:w="1028" w:type="pct"/>
            <w:tcBorders>
              <w:top w:val="nil"/>
              <w:left w:val="nil"/>
              <w:bottom w:val="nil"/>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 xml:space="preserve">                        1,196 </w:t>
            </w:r>
          </w:p>
        </w:tc>
      </w:tr>
      <w:tr w:rsidR="00AA6360" w:rsidRPr="00AA6360" w:rsidTr="00AA6360">
        <w:trPr>
          <w:trHeight w:val="315"/>
        </w:trPr>
        <w:tc>
          <w:tcPr>
            <w:tcW w:w="1739" w:type="pct"/>
            <w:tcBorders>
              <w:top w:val="nil"/>
              <w:left w:val="single" w:sz="8" w:space="0" w:color="auto"/>
              <w:bottom w:val="nil"/>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textAlignment w:val="auto"/>
              <w:rPr>
                <w:rFonts w:cs="Arial"/>
                <w:color w:val="000000"/>
                <w:sz w:val="22"/>
                <w:szCs w:val="22"/>
                <w:lang w:val="en-US" w:eastAsia="zh-CN"/>
              </w:rPr>
            </w:pPr>
            <w:r w:rsidRPr="00AA6360">
              <w:rPr>
                <w:rFonts w:cs="Arial"/>
                <w:color w:val="000000"/>
                <w:sz w:val="22"/>
                <w:szCs w:val="22"/>
                <w:lang w:val="en-US" w:eastAsia="zh-CN"/>
              </w:rPr>
              <w:t>D.1 directors</w:t>
            </w:r>
          </w:p>
        </w:tc>
        <w:tc>
          <w:tcPr>
            <w:tcW w:w="711" w:type="pct"/>
            <w:tcBorders>
              <w:top w:val="nil"/>
              <w:left w:val="nil"/>
              <w:bottom w:val="nil"/>
              <w:right w:val="nil"/>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17</w:t>
            </w:r>
          </w:p>
        </w:tc>
        <w:tc>
          <w:tcPr>
            <w:tcW w:w="939" w:type="pct"/>
            <w:tcBorders>
              <w:top w:val="nil"/>
              <w:left w:val="nil"/>
              <w:bottom w:val="nil"/>
              <w:right w:val="single" w:sz="8" w:space="0" w:color="auto"/>
            </w:tcBorders>
            <w:shd w:val="clear" w:color="auto" w:fill="auto"/>
            <w:vAlign w:val="center"/>
            <w:hideMark/>
          </w:tcPr>
          <w:p w:rsidR="00AA6360" w:rsidRPr="00AA6360" w:rsidRDefault="00AA6360" w:rsidP="00E6493D">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 xml:space="preserve">                      </w:t>
            </w:r>
            <w:r w:rsidR="00E6493D">
              <w:rPr>
                <w:rFonts w:cs="Arial"/>
                <w:color w:val="000000"/>
                <w:sz w:val="22"/>
                <w:szCs w:val="22"/>
                <w:lang w:val="en-US" w:eastAsia="zh-CN"/>
              </w:rPr>
              <w:t>5</w:t>
            </w:r>
            <w:r w:rsidRPr="00AA6360">
              <w:rPr>
                <w:rFonts w:cs="Arial"/>
                <w:color w:val="000000"/>
                <w:sz w:val="22"/>
                <w:szCs w:val="22"/>
                <w:lang w:val="en-US" w:eastAsia="zh-CN"/>
              </w:rPr>
              <w:t>,</w:t>
            </w:r>
            <w:r w:rsidR="00A1057E">
              <w:rPr>
                <w:rFonts w:cs="Arial"/>
                <w:color w:val="000000"/>
                <w:sz w:val="22"/>
                <w:szCs w:val="22"/>
                <w:lang w:val="en-US" w:eastAsia="zh-CN"/>
              </w:rPr>
              <w:t>102</w:t>
            </w:r>
            <w:r w:rsidRPr="00AA6360">
              <w:rPr>
                <w:rFonts w:cs="Arial"/>
                <w:color w:val="000000"/>
                <w:sz w:val="22"/>
                <w:szCs w:val="22"/>
                <w:lang w:val="en-US" w:eastAsia="zh-CN"/>
              </w:rPr>
              <w:t xml:space="preserve"> </w:t>
            </w:r>
          </w:p>
        </w:tc>
        <w:tc>
          <w:tcPr>
            <w:tcW w:w="583" w:type="pct"/>
            <w:tcBorders>
              <w:top w:val="nil"/>
              <w:left w:val="nil"/>
              <w:bottom w:val="nil"/>
              <w:right w:val="nil"/>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20</w:t>
            </w:r>
          </w:p>
        </w:tc>
        <w:tc>
          <w:tcPr>
            <w:tcW w:w="1028" w:type="pct"/>
            <w:tcBorders>
              <w:top w:val="nil"/>
              <w:left w:val="nil"/>
              <w:bottom w:val="nil"/>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 xml:space="preserve">                        4,656 </w:t>
            </w:r>
          </w:p>
        </w:tc>
      </w:tr>
      <w:tr w:rsidR="00AA6360" w:rsidRPr="00AA6360" w:rsidTr="00AA6360">
        <w:trPr>
          <w:trHeight w:val="315"/>
        </w:trPr>
        <w:tc>
          <w:tcPr>
            <w:tcW w:w="173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AA6360">
              <w:rPr>
                <w:rFonts w:cs="Arial"/>
                <w:b/>
                <w:bCs/>
                <w:color w:val="000000"/>
                <w:sz w:val="22"/>
                <w:szCs w:val="22"/>
                <w:lang w:val="en-US" w:eastAsia="zh-CN"/>
              </w:rPr>
              <w:t>Total chiefs of department</w:t>
            </w:r>
          </w:p>
        </w:tc>
        <w:tc>
          <w:tcPr>
            <w:tcW w:w="711" w:type="pct"/>
            <w:tcBorders>
              <w:top w:val="single" w:sz="8" w:space="0" w:color="auto"/>
              <w:left w:val="nil"/>
              <w:bottom w:val="single" w:sz="8" w:space="0" w:color="auto"/>
              <w:right w:val="nil"/>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21</w:t>
            </w:r>
          </w:p>
        </w:tc>
        <w:tc>
          <w:tcPr>
            <w:tcW w:w="939" w:type="pct"/>
            <w:tcBorders>
              <w:top w:val="single" w:sz="8" w:space="0" w:color="auto"/>
              <w:left w:val="nil"/>
              <w:bottom w:val="single" w:sz="8" w:space="0" w:color="auto"/>
              <w:right w:val="single" w:sz="8" w:space="0" w:color="auto"/>
            </w:tcBorders>
            <w:shd w:val="clear" w:color="auto" w:fill="auto"/>
            <w:vAlign w:val="center"/>
            <w:hideMark/>
          </w:tcPr>
          <w:p w:rsidR="00AA6360" w:rsidRPr="00AA6360" w:rsidRDefault="00AA6360" w:rsidP="00A1057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 xml:space="preserve">                     </w:t>
            </w:r>
            <w:r w:rsidR="00A1057E">
              <w:rPr>
                <w:rFonts w:cs="Arial"/>
                <w:b/>
                <w:bCs/>
                <w:color w:val="000000"/>
                <w:sz w:val="22"/>
                <w:szCs w:val="22"/>
                <w:lang w:val="en-US" w:eastAsia="zh-CN"/>
              </w:rPr>
              <w:t>6</w:t>
            </w:r>
            <w:r w:rsidRPr="00AA6360">
              <w:rPr>
                <w:rFonts w:cs="Arial"/>
                <w:b/>
                <w:bCs/>
                <w:color w:val="000000"/>
                <w:sz w:val="22"/>
                <w:szCs w:val="22"/>
                <w:lang w:val="en-US" w:eastAsia="zh-CN"/>
              </w:rPr>
              <w:t>,</w:t>
            </w:r>
            <w:r w:rsidR="00A1057E">
              <w:rPr>
                <w:rFonts w:cs="Arial"/>
                <w:b/>
                <w:bCs/>
                <w:color w:val="000000"/>
                <w:sz w:val="22"/>
                <w:szCs w:val="22"/>
                <w:lang w:val="en-US" w:eastAsia="zh-CN"/>
              </w:rPr>
              <w:t>250</w:t>
            </w:r>
            <w:r w:rsidRPr="00AA6360">
              <w:rPr>
                <w:rFonts w:cs="Arial"/>
                <w:b/>
                <w:bCs/>
                <w:color w:val="000000"/>
                <w:sz w:val="22"/>
                <w:szCs w:val="22"/>
                <w:lang w:val="en-US" w:eastAsia="zh-CN"/>
              </w:rPr>
              <w:t xml:space="preserve"> </w:t>
            </w:r>
          </w:p>
        </w:tc>
        <w:tc>
          <w:tcPr>
            <w:tcW w:w="583" w:type="pct"/>
            <w:tcBorders>
              <w:top w:val="single" w:sz="8" w:space="0" w:color="auto"/>
              <w:left w:val="nil"/>
              <w:bottom w:val="single" w:sz="8" w:space="0" w:color="auto"/>
              <w:right w:val="nil"/>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24</w:t>
            </w:r>
          </w:p>
        </w:tc>
        <w:tc>
          <w:tcPr>
            <w:tcW w:w="1028" w:type="pct"/>
            <w:tcBorders>
              <w:top w:val="single" w:sz="8" w:space="0" w:color="auto"/>
              <w:left w:val="nil"/>
              <w:bottom w:val="single" w:sz="8" w:space="0" w:color="auto"/>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 xml:space="preserve">                         5,852 </w:t>
            </w:r>
          </w:p>
        </w:tc>
      </w:tr>
      <w:tr w:rsidR="00AA6360" w:rsidRPr="00AA6360" w:rsidTr="00AA6360">
        <w:trPr>
          <w:trHeight w:val="615"/>
        </w:trPr>
        <w:tc>
          <w:tcPr>
            <w:tcW w:w="1739" w:type="pct"/>
            <w:tcBorders>
              <w:top w:val="nil"/>
              <w:left w:val="single" w:sz="8" w:space="0" w:color="auto"/>
              <w:bottom w:val="single" w:sz="8" w:space="0" w:color="auto"/>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textAlignment w:val="auto"/>
              <w:rPr>
                <w:rFonts w:cs="Arial"/>
                <w:b/>
                <w:bCs/>
                <w:color w:val="000000"/>
                <w:sz w:val="22"/>
                <w:szCs w:val="22"/>
                <w:lang w:val="en-US" w:eastAsia="zh-CN"/>
              </w:rPr>
            </w:pPr>
            <w:r w:rsidRPr="00AA6360">
              <w:rPr>
                <w:rFonts w:cs="Arial"/>
                <w:b/>
                <w:bCs/>
                <w:color w:val="000000"/>
                <w:sz w:val="22"/>
                <w:szCs w:val="22"/>
                <w:lang w:val="en-US" w:eastAsia="zh-CN"/>
              </w:rPr>
              <w:t>Total main management officials – ITU</w:t>
            </w:r>
          </w:p>
        </w:tc>
        <w:tc>
          <w:tcPr>
            <w:tcW w:w="711" w:type="pct"/>
            <w:tcBorders>
              <w:top w:val="nil"/>
              <w:left w:val="nil"/>
              <w:bottom w:val="single" w:sz="8" w:space="0" w:color="auto"/>
              <w:right w:val="nil"/>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26</w:t>
            </w:r>
          </w:p>
        </w:tc>
        <w:tc>
          <w:tcPr>
            <w:tcW w:w="939" w:type="pct"/>
            <w:tcBorders>
              <w:top w:val="nil"/>
              <w:left w:val="nil"/>
              <w:bottom w:val="single" w:sz="8" w:space="0" w:color="auto"/>
              <w:right w:val="single" w:sz="8" w:space="0" w:color="auto"/>
            </w:tcBorders>
            <w:shd w:val="clear" w:color="auto" w:fill="auto"/>
            <w:vAlign w:val="center"/>
            <w:hideMark/>
          </w:tcPr>
          <w:p w:rsidR="00AA6360" w:rsidRPr="00AA6360" w:rsidRDefault="00AA6360" w:rsidP="00A1057E">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 xml:space="preserve">                      </w:t>
            </w:r>
            <w:r w:rsidR="00A1057E">
              <w:rPr>
                <w:rFonts w:cs="Arial"/>
                <w:b/>
                <w:bCs/>
                <w:color w:val="000000"/>
                <w:sz w:val="22"/>
                <w:szCs w:val="22"/>
                <w:lang w:val="en-US" w:eastAsia="zh-CN"/>
              </w:rPr>
              <w:t>8</w:t>
            </w:r>
            <w:r w:rsidRPr="00AA6360">
              <w:rPr>
                <w:rFonts w:cs="Arial"/>
                <w:b/>
                <w:bCs/>
                <w:color w:val="000000"/>
                <w:sz w:val="22"/>
                <w:szCs w:val="22"/>
                <w:lang w:val="en-US" w:eastAsia="zh-CN"/>
              </w:rPr>
              <w:t>,</w:t>
            </w:r>
            <w:r w:rsidR="00A1057E">
              <w:rPr>
                <w:rFonts w:cs="Arial"/>
                <w:b/>
                <w:bCs/>
                <w:color w:val="000000"/>
                <w:sz w:val="22"/>
                <w:szCs w:val="22"/>
                <w:lang w:val="en-US" w:eastAsia="zh-CN"/>
              </w:rPr>
              <w:t>389</w:t>
            </w:r>
            <w:r w:rsidRPr="00AA6360">
              <w:rPr>
                <w:rFonts w:cs="Arial"/>
                <w:b/>
                <w:bCs/>
                <w:color w:val="000000"/>
                <w:sz w:val="22"/>
                <w:szCs w:val="22"/>
                <w:lang w:val="en-US" w:eastAsia="zh-CN"/>
              </w:rPr>
              <w:t xml:space="preserve"> </w:t>
            </w:r>
          </w:p>
        </w:tc>
        <w:tc>
          <w:tcPr>
            <w:tcW w:w="583" w:type="pct"/>
            <w:tcBorders>
              <w:top w:val="nil"/>
              <w:left w:val="nil"/>
              <w:bottom w:val="single" w:sz="8" w:space="0" w:color="auto"/>
              <w:right w:val="nil"/>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29</w:t>
            </w:r>
          </w:p>
        </w:tc>
        <w:tc>
          <w:tcPr>
            <w:tcW w:w="1028" w:type="pct"/>
            <w:tcBorders>
              <w:top w:val="nil"/>
              <w:left w:val="nil"/>
              <w:bottom w:val="single" w:sz="8" w:space="0" w:color="auto"/>
              <w:right w:val="single" w:sz="8" w:space="0" w:color="auto"/>
            </w:tcBorders>
            <w:shd w:val="clear" w:color="auto" w:fill="auto"/>
            <w:vAlign w:val="center"/>
            <w:hideMark/>
          </w:tcPr>
          <w:p w:rsidR="00AA6360" w:rsidRPr="00AA6360" w:rsidRDefault="00AA6360" w:rsidP="00AA6360">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 xml:space="preserve">                         7,995 </w:t>
            </w:r>
          </w:p>
        </w:tc>
      </w:tr>
    </w:tbl>
    <w:p w:rsidR="00706E3E" w:rsidRDefault="00A165D6" w:rsidP="006D6709">
      <w:pPr>
        <w:pStyle w:val="Heading5"/>
        <w:tabs>
          <w:tab w:val="clear" w:pos="567"/>
          <w:tab w:val="left" w:pos="-142"/>
        </w:tabs>
        <w:spacing w:before="240"/>
        <w:ind w:left="-142" w:right="-142" w:firstLine="0"/>
        <w:jc w:val="both"/>
        <w:rPr>
          <w:lang w:val="en-US"/>
        </w:rPr>
      </w:pPr>
      <w:bookmarkStart w:id="138" w:name="_Toc305764120"/>
      <w:bookmarkStart w:id="139" w:name="_Toc329011662"/>
      <w:r w:rsidRPr="00CD7EC2">
        <w:rPr>
          <w:lang w:val="en-US"/>
        </w:rPr>
        <w:t>Note 2</w:t>
      </w:r>
      <w:r w:rsidR="006D6709">
        <w:rPr>
          <w:lang w:val="en-US"/>
        </w:rPr>
        <w:t>8</w:t>
      </w:r>
      <w:bookmarkEnd w:id="138"/>
      <w:r w:rsidR="003938C6" w:rsidRPr="00CD7EC2">
        <w:rPr>
          <w:lang w:val="en-US"/>
        </w:rPr>
        <w:tab/>
      </w:r>
      <w:r w:rsidR="0022373A" w:rsidRPr="004009E9">
        <w:rPr>
          <w:lang w:val="en-US"/>
        </w:rPr>
        <w:t>Obligations</w:t>
      </w:r>
      <w:bookmarkEnd w:id="139"/>
    </w:p>
    <w:p w:rsidR="00522C77" w:rsidRDefault="00522C77" w:rsidP="00FB79E8">
      <w:pPr>
        <w:tabs>
          <w:tab w:val="clear" w:pos="567"/>
          <w:tab w:val="left" w:pos="-142"/>
        </w:tabs>
        <w:ind w:left="-142" w:right="142"/>
        <w:jc w:val="both"/>
        <w:rPr>
          <w:sz w:val="22"/>
          <w:lang w:val="en-US" w:eastAsia="fr-FR"/>
        </w:rPr>
      </w:pPr>
      <w:r>
        <w:rPr>
          <w:lang w:eastAsia="fr-FR"/>
        </w:rPr>
        <w:t>ITU has concluded a contract with a third-party provider for the rental, installation and maintenance</w:t>
      </w:r>
      <w:r w:rsidR="00CD7EC2">
        <w:rPr>
          <w:lang w:eastAsia="fr-FR"/>
        </w:rPr>
        <w:t xml:space="preserve"> of digital black/white and colour</w:t>
      </w:r>
      <w:r>
        <w:rPr>
          <w:lang w:eastAsia="fr-FR"/>
        </w:rPr>
        <w:t xml:space="preserve"> printing systems. This contract entered into force i</w:t>
      </w:r>
      <w:r w:rsidR="004564CB">
        <w:rPr>
          <w:lang w:eastAsia="fr-FR"/>
        </w:rPr>
        <w:t>n 2014 and will run until 2020.</w:t>
      </w:r>
      <w:r w:rsidR="00CD7EC2">
        <w:rPr>
          <w:lang w:eastAsia="fr-FR"/>
        </w:rPr>
        <w:t xml:space="preserve"> </w:t>
      </w:r>
      <w:r>
        <w:rPr>
          <w:lang w:eastAsia="fr-FR"/>
        </w:rPr>
        <w:t>ITU has no finance leases. Rentals payable under operating leases are recognized as expenses in the statement of financial performance. ITU will bear additional costs according to the number of photocopies actually processed on the basis of a contractually defined cost per page.</w:t>
      </w:r>
    </w:p>
    <w:p w:rsidR="0022373A" w:rsidRPr="004702C9" w:rsidRDefault="0022373A" w:rsidP="00FB79E8">
      <w:pPr>
        <w:spacing w:after="120"/>
        <w:ind w:left="-142" w:right="425"/>
        <w:jc w:val="both"/>
        <w:rPr>
          <w:lang w:val="en-US" w:eastAsia="fr-FR"/>
        </w:rPr>
      </w:pPr>
      <w:r w:rsidRPr="004702C9">
        <w:rPr>
          <w:lang w:val="en-US" w:eastAsia="fr-FR"/>
        </w:rPr>
        <w:t>Future minimum payments to be effected under this contract are as follows:</w:t>
      </w:r>
    </w:p>
    <w:p w:rsidR="003E7E8A" w:rsidRPr="004702C9" w:rsidRDefault="003E7E8A" w:rsidP="00C11E81">
      <w:pPr>
        <w:ind w:right="425"/>
        <w:rPr>
          <w:sz w:val="8"/>
          <w:szCs w:val="8"/>
          <w:lang w:val="en-US"/>
        </w:rPr>
      </w:pPr>
    </w:p>
    <w:tbl>
      <w:tblPr>
        <w:tblW w:w="94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06"/>
        <w:gridCol w:w="1843"/>
        <w:gridCol w:w="1843"/>
      </w:tblGrid>
      <w:tr w:rsidR="0022373A" w:rsidRPr="004702C9" w:rsidTr="004564CB">
        <w:trPr>
          <w:jc w:val="center"/>
        </w:trPr>
        <w:tc>
          <w:tcPr>
            <w:tcW w:w="5806" w:type="dxa"/>
            <w:tcBorders>
              <w:bottom w:val="nil"/>
              <w:right w:val="single" w:sz="4" w:space="0" w:color="auto"/>
            </w:tcBorders>
          </w:tcPr>
          <w:p w:rsidR="0022373A" w:rsidRPr="004702C9" w:rsidRDefault="0022373A" w:rsidP="00C11E81">
            <w:pPr>
              <w:pStyle w:val="Tabletext"/>
              <w:spacing w:before="20" w:after="20"/>
              <w:ind w:right="425"/>
              <w:rPr>
                <w:b/>
                <w:bCs/>
                <w:szCs w:val="22"/>
                <w:lang w:val="en-US"/>
              </w:rPr>
            </w:pPr>
            <w:r w:rsidRPr="004702C9">
              <w:rPr>
                <w:b/>
                <w:bCs/>
                <w:szCs w:val="22"/>
                <w:lang w:val="en-US"/>
              </w:rPr>
              <w:t>In thousands of CHF</w:t>
            </w:r>
          </w:p>
        </w:tc>
        <w:tc>
          <w:tcPr>
            <w:tcW w:w="1843" w:type="dxa"/>
            <w:tcBorders>
              <w:bottom w:val="nil"/>
              <w:right w:val="single" w:sz="4" w:space="0" w:color="auto"/>
            </w:tcBorders>
          </w:tcPr>
          <w:p w:rsidR="0022373A" w:rsidRPr="004702C9" w:rsidRDefault="0022373A" w:rsidP="00C2526C">
            <w:pPr>
              <w:pStyle w:val="Tabletext"/>
              <w:spacing w:before="20" w:after="20"/>
              <w:ind w:right="-109"/>
              <w:jc w:val="center"/>
              <w:rPr>
                <w:b/>
                <w:bCs/>
                <w:szCs w:val="22"/>
                <w:lang w:val="en-US"/>
              </w:rPr>
            </w:pPr>
            <w:r w:rsidRPr="004702C9">
              <w:rPr>
                <w:b/>
                <w:bCs/>
                <w:szCs w:val="22"/>
                <w:lang w:val="en-US"/>
              </w:rPr>
              <w:t>31.12.</w:t>
            </w:r>
            <w:r w:rsidR="00111BDD">
              <w:rPr>
                <w:b/>
                <w:bCs/>
                <w:szCs w:val="22"/>
                <w:lang w:val="en-US"/>
              </w:rPr>
              <w:t>201</w:t>
            </w:r>
            <w:r w:rsidR="00C2526C">
              <w:rPr>
                <w:b/>
                <w:bCs/>
                <w:szCs w:val="22"/>
                <w:lang w:val="en-US"/>
              </w:rPr>
              <w:t>8</w:t>
            </w:r>
          </w:p>
        </w:tc>
        <w:tc>
          <w:tcPr>
            <w:tcW w:w="1843" w:type="dxa"/>
            <w:tcBorders>
              <w:top w:val="single" w:sz="4" w:space="0" w:color="auto"/>
              <w:left w:val="single" w:sz="4" w:space="0" w:color="auto"/>
              <w:bottom w:val="nil"/>
            </w:tcBorders>
          </w:tcPr>
          <w:p w:rsidR="0022373A" w:rsidRPr="004702C9" w:rsidRDefault="0022373A" w:rsidP="00C2526C">
            <w:pPr>
              <w:pStyle w:val="Tabletext"/>
              <w:spacing w:before="20" w:after="20"/>
              <w:ind w:right="-109"/>
              <w:jc w:val="center"/>
              <w:rPr>
                <w:b/>
                <w:bCs/>
                <w:szCs w:val="22"/>
                <w:lang w:val="en-US"/>
              </w:rPr>
            </w:pPr>
            <w:r w:rsidRPr="004702C9">
              <w:rPr>
                <w:b/>
                <w:bCs/>
                <w:szCs w:val="22"/>
                <w:lang w:val="en-US"/>
              </w:rPr>
              <w:t>31.12.201</w:t>
            </w:r>
            <w:r w:rsidR="00C2526C">
              <w:rPr>
                <w:b/>
                <w:bCs/>
                <w:szCs w:val="22"/>
                <w:lang w:val="en-US"/>
              </w:rPr>
              <w:t>7</w:t>
            </w:r>
          </w:p>
        </w:tc>
      </w:tr>
      <w:tr w:rsidR="0022373A" w:rsidRPr="004702C9" w:rsidTr="006E6A1D">
        <w:trPr>
          <w:trHeight w:val="170"/>
          <w:jc w:val="center"/>
        </w:trPr>
        <w:tc>
          <w:tcPr>
            <w:tcW w:w="5806" w:type="dxa"/>
            <w:tcBorders>
              <w:top w:val="single" w:sz="4" w:space="0" w:color="auto"/>
              <w:bottom w:val="nil"/>
              <w:right w:val="single" w:sz="4" w:space="0" w:color="auto"/>
            </w:tcBorders>
          </w:tcPr>
          <w:p w:rsidR="0022373A" w:rsidRPr="004702C9" w:rsidRDefault="0022373A" w:rsidP="00C11E81">
            <w:pPr>
              <w:pStyle w:val="Tabletext"/>
              <w:spacing w:before="20" w:after="20"/>
              <w:ind w:right="425"/>
              <w:rPr>
                <w:sz w:val="8"/>
                <w:szCs w:val="8"/>
                <w:lang w:val="en-US"/>
              </w:rPr>
            </w:pPr>
          </w:p>
        </w:tc>
        <w:tc>
          <w:tcPr>
            <w:tcW w:w="1843" w:type="dxa"/>
            <w:tcBorders>
              <w:top w:val="single" w:sz="4" w:space="0" w:color="auto"/>
              <w:bottom w:val="nil"/>
              <w:right w:val="single" w:sz="4" w:space="0" w:color="auto"/>
            </w:tcBorders>
          </w:tcPr>
          <w:p w:rsidR="0022373A" w:rsidRPr="004702C9" w:rsidRDefault="0022373A" w:rsidP="006E6A1D">
            <w:pPr>
              <w:pStyle w:val="Tabletext"/>
              <w:spacing w:before="20" w:after="20"/>
              <w:ind w:right="425"/>
              <w:rPr>
                <w:sz w:val="8"/>
                <w:szCs w:val="8"/>
                <w:lang w:val="en-US"/>
              </w:rPr>
            </w:pPr>
          </w:p>
        </w:tc>
        <w:tc>
          <w:tcPr>
            <w:tcW w:w="1843" w:type="dxa"/>
            <w:tcBorders>
              <w:top w:val="single" w:sz="4" w:space="0" w:color="auto"/>
              <w:left w:val="single" w:sz="4" w:space="0" w:color="auto"/>
              <w:bottom w:val="nil"/>
            </w:tcBorders>
          </w:tcPr>
          <w:p w:rsidR="0022373A" w:rsidRPr="004702C9" w:rsidRDefault="0022373A" w:rsidP="00C11E81">
            <w:pPr>
              <w:pStyle w:val="Tabletext"/>
              <w:spacing w:before="20" w:after="20"/>
              <w:ind w:right="425"/>
              <w:rPr>
                <w:sz w:val="8"/>
                <w:szCs w:val="8"/>
                <w:lang w:val="en-US"/>
              </w:rPr>
            </w:pPr>
          </w:p>
        </w:tc>
      </w:tr>
      <w:tr w:rsidR="00905753" w:rsidRPr="00A64B52" w:rsidTr="004564CB">
        <w:trPr>
          <w:jc w:val="center"/>
        </w:trPr>
        <w:tc>
          <w:tcPr>
            <w:tcW w:w="5806" w:type="dxa"/>
            <w:tcBorders>
              <w:top w:val="nil"/>
              <w:right w:val="single" w:sz="4" w:space="0" w:color="auto"/>
            </w:tcBorders>
          </w:tcPr>
          <w:p w:rsidR="00905753" w:rsidRPr="004702C9" w:rsidRDefault="00905753" w:rsidP="00905753">
            <w:pPr>
              <w:pStyle w:val="Tabletext"/>
              <w:spacing w:before="20" w:after="20"/>
              <w:ind w:right="425"/>
              <w:rPr>
                <w:szCs w:val="22"/>
                <w:lang w:val="en-US"/>
              </w:rPr>
            </w:pPr>
            <w:r w:rsidRPr="004702C9">
              <w:rPr>
                <w:szCs w:val="22"/>
                <w:lang w:val="en-US"/>
              </w:rPr>
              <w:t>Less than one year</w:t>
            </w:r>
          </w:p>
        </w:tc>
        <w:tc>
          <w:tcPr>
            <w:tcW w:w="1843" w:type="dxa"/>
            <w:tcBorders>
              <w:top w:val="nil"/>
              <w:right w:val="single" w:sz="4" w:space="0" w:color="auto"/>
            </w:tcBorders>
          </w:tcPr>
          <w:p w:rsidR="00905753" w:rsidRPr="00A64B52" w:rsidRDefault="00905753" w:rsidP="00905753">
            <w:pPr>
              <w:pStyle w:val="Tabletext"/>
              <w:spacing w:before="20" w:after="20"/>
              <w:ind w:right="425"/>
              <w:jc w:val="right"/>
              <w:rPr>
                <w:szCs w:val="22"/>
                <w:lang w:val="en-US"/>
              </w:rPr>
            </w:pPr>
            <w:r w:rsidRPr="00A64B52">
              <w:rPr>
                <w:szCs w:val="22"/>
                <w:lang w:val="en-US"/>
              </w:rPr>
              <w:t>278</w:t>
            </w:r>
          </w:p>
        </w:tc>
        <w:tc>
          <w:tcPr>
            <w:tcW w:w="1843" w:type="dxa"/>
            <w:tcBorders>
              <w:top w:val="nil"/>
              <w:left w:val="single" w:sz="4" w:space="0" w:color="auto"/>
            </w:tcBorders>
          </w:tcPr>
          <w:p w:rsidR="00905753" w:rsidRPr="00A64B52" w:rsidRDefault="00905753" w:rsidP="00905753">
            <w:pPr>
              <w:pStyle w:val="Tabletext"/>
              <w:spacing w:before="20" w:after="20"/>
              <w:ind w:right="425"/>
              <w:jc w:val="right"/>
              <w:rPr>
                <w:szCs w:val="22"/>
                <w:lang w:val="en-US"/>
              </w:rPr>
            </w:pPr>
            <w:r w:rsidRPr="00A64B52">
              <w:rPr>
                <w:szCs w:val="22"/>
                <w:lang w:val="en-US"/>
              </w:rPr>
              <w:t>278</w:t>
            </w:r>
          </w:p>
        </w:tc>
      </w:tr>
      <w:tr w:rsidR="00905753" w:rsidRPr="00A64B52" w:rsidTr="004564CB">
        <w:trPr>
          <w:jc w:val="center"/>
        </w:trPr>
        <w:tc>
          <w:tcPr>
            <w:tcW w:w="5806" w:type="dxa"/>
            <w:tcBorders>
              <w:top w:val="nil"/>
              <w:right w:val="single" w:sz="4" w:space="0" w:color="auto"/>
            </w:tcBorders>
          </w:tcPr>
          <w:p w:rsidR="00905753" w:rsidRPr="004702C9" w:rsidRDefault="00905753" w:rsidP="00905753">
            <w:pPr>
              <w:pStyle w:val="Tabletext"/>
              <w:spacing w:before="20" w:after="20"/>
              <w:ind w:right="425"/>
              <w:rPr>
                <w:szCs w:val="22"/>
                <w:lang w:val="en-US"/>
              </w:rPr>
            </w:pPr>
            <w:r w:rsidRPr="004702C9">
              <w:rPr>
                <w:szCs w:val="22"/>
                <w:lang w:val="en-US"/>
              </w:rPr>
              <w:t>Between one and five years</w:t>
            </w:r>
          </w:p>
        </w:tc>
        <w:tc>
          <w:tcPr>
            <w:tcW w:w="1843" w:type="dxa"/>
            <w:tcBorders>
              <w:top w:val="nil"/>
              <w:right w:val="single" w:sz="4" w:space="0" w:color="auto"/>
            </w:tcBorders>
          </w:tcPr>
          <w:p w:rsidR="00905753" w:rsidRPr="00A64B52" w:rsidRDefault="00905753" w:rsidP="00905753">
            <w:pPr>
              <w:pStyle w:val="Tabletext"/>
              <w:spacing w:before="20" w:after="20"/>
              <w:ind w:right="425"/>
              <w:jc w:val="right"/>
              <w:rPr>
                <w:szCs w:val="22"/>
                <w:lang w:val="en-US"/>
              </w:rPr>
            </w:pPr>
            <w:r>
              <w:rPr>
                <w:szCs w:val="22"/>
                <w:lang w:val="en-US"/>
              </w:rPr>
              <w:t>278</w:t>
            </w:r>
          </w:p>
        </w:tc>
        <w:tc>
          <w:tcPr>
            <w:tcW w:w="1843" w:type="dxa"/>
            <w:tcBorders>
              <w:top w:val="nil"/>
              <w:left w:val="single" w:sz="4" w:space="0" w:color="auto"/>
            </w:tcBorders>
          </w:tcPr>
          <w:p w:rsidR="00905753" w:rsidRPr="00A64B52" w:rsidRDefault="00905753" w:rsidP="00905753">
            <w:pPr>
              <w:pStyle w:val="Tabletext"/>
              <w:spacing w:before="20" w:after="20"/>
              <w:ind w:right="425"/>
              <w:jc w:val="right"/>
              <w:rPr>
                <w:szCs w:val="22"/>
                <w:lang w:val="en-US"/>
              </w:rPr>
            </w:pPr>
            <w:r>
              <w:rPr>
                <w:szCs w:val="22"/>
                <w:lang w:val="en-US"/>
              </w:rPr>
              <w:t>556</w:t>
            </w:r>
          </w:p>
        </w:tc>
      </w:tr>
      <w:tr w:rsidR="00905753" w:rsidRPr="00A64B52" w:rsidTr="004564CB">
        <w:trPr>
          <w:jc w:val="center"/>
        </w:trPr>
        <w:tc>
          <w:tcPr>
            <w:tcW w:w="5806" w:type="dxa"/>
            <w:tcBorders>
              <w:top w:val="nil"/>
              <w:right w:val="single" w:sz="4" w:space="0" w:color="auto"/>
            </w:tcBorders>
          </w:tcPr>
          <w:p w:rsidR="00905753" w:rsidRPr="004702C9" w:rsidRDefault="00905753" w:rsidP="00905753">
            <w:pPr>
              <w:pStyle w:val="Tabletext"/>
              <w:spacing w:before="20" w:after="20"/>
              <w:ind w:right="425"/>
              <w:rPr>
                <w:szCs w:val="22"/>
                <w:lang w:val="en-US"/>
              </w:rPr>
            </w:pPr>
            <w:r w:rsidRPr="004702C9">
              <w:rPr>
                <w:szCs w:val="22"/>
                <w:lang w:val="en-US"/>
              </w:rPr>
              <w:t>Over five years</w:t>
            </w:r>
          </w:p>
        </w:tc>
        <w:tc>
          <w:tcPr>
            <w:tcW w:w="1843" w:type="dxa"/>
            <w:tcBorders>
              <w:top w:val="nil"/>
              <w:right w:val="single" w:sz="4" w:space="0" w:color="auto"/>
            </w:tcBorders>
          </w:tcPr>
          <w:p w:rsidR="00905753" w:rsidRPr="00A64B52" w:rsidRDefault="00905753" w:rsidP="00905753">
            <w:pPr>
              <w:pStyle w:val="Tabletext"/>
              <w:spacing w:before="20" w:after="20"/>
              <w:ind w:right="425"/>
              <w:jc w:val="right"/>
              <w:rPr>
                <w:szCs w:val="22"/>
                <w:lang w:val="en-US"/>
              </w:rPr>
            </w:pPr>
            <w:r>
              <w:rPr>
                <w:szCs w:val="22"/>
                <w:lang w:val="en-US"/>
              </w:rPr>
              <w:t>-</w:t>
            </w:r>
          </w:p>
        </w:tc>
        <w:tc>
          <w:tcPr>
            <w:tcW w:w="1843" w:type="dxa"/>
            <w:tcBorders>
              <w:top w:val="nil"/>
              <w:left w:val="single" w:sz="4" w:space="0" w:color="auto"/>
            </w:tcBorders>
          </w:tcPr>
          <w:p w:rsidR="00905753" w:rsidRPr="00A64B52" w:rsidRDefault="00905753" w:rsidP="00905753">
            <w:pPr>
              <w:pStyle w:val="Tabletext"/>
              <w:spacing w:before="20" w:after="20"/>
              <w:ind w:right="425"/>
              <w:jc w:val="right"/>
              <w:rPr>
                <w:szCs w:val="22"/>
                <w:lang w:val="en-US"/>
              </w:rPr>
            </w:pPr>
            <w:r>
              <w:rPr>
                <w:szCs w:val="22"/>
                <w:lang w:val="en-US"/>
              </w:rPr>
              <w:t>-</w:t>
            </w:r>
          </w:p>
        </w:tc>
      </w:tr>
      <w:tr w:rsidR="00905753" w:rsidRPr="00A64B52" w:rsidTr="006E6A1D">
        <w:trPr>
          <w:trHeight w:val="170"/>
          <w:jc w:val="center"/>
        </w:trPr>
        <w:tc>
          <w:tcPr>
            <w:tcW w:w="5806" w:type="dxa"/>
            <w:tcBorders>
              <w:bottom w:val="single" w:sz="4" w:space="0" w:color="auto"/>
              <w:right w:val="single" w:sz="4" w:space="0" w:color="auto"/>
            </w:tcBorders>
          </w:tcPr>
          <w:p w:rsidR="00905753" w:rsidRPr="004702C9" w:rsidRDefault="00905753" w:rsidP="00905753">
            <w:pPr>
              <w:pStyle w:val="Tabletext"/>
              <w:spacing w:before="20" w:after="20"/>
              <w:ind w:right="425"/>
              <w:rPr>
                <w:sz w:val="8"/>
                <w:szCs w:val="8"/>
                <w:lang w:val="en-US"/>
              </w:rPr>
            </w:pPr>
          </w:p>
        </w:tc>
        <w:tc>
          <w:tcPr>
            <w:tcW w:w="1843" w:type="dxa"/>
            <w:tcBorders>
              <w:bottom w:val="single" w:sz="4" w:space="0" w:color="auto"/>
              <w:right w:val="single" w:sz="4" w:space="0" w:color="auto"/>
            </w:tcBorders>
          </w:tcPr>
          <w:p w:rsidR="00905753" w:rsidRPr="00A64B52" w:rsidRDefault="00905753" w:rsidP="00905753">
            <w:pPr>
              <w:pStyle w:val="Tabletext"/>
              <w:spacing w:before="20" w:after="20"/>
              <w:ind w:right="425"/>
              <w:jc w:val="right"/>
              <w:rPr>
                <w:sz w:val="8"/>
                <w:szCs w:val="8"/>
                <w:lang w:val="en-US"/>
              </w:rPr>
            </w:pPr>
          </w:p>
        </w:tc>
        <w:tc>
          <w:tcPr>
            <w:tcW w:w="1843" w:type="dxa"/>
            <w:tcBorders>
              <w:left w:val="single" w:sz="4" w:space="0" w:color="auto"/>
              <w:bottom w:val="single" w:sz="4" w:space="0" w:color="auto"/>
            </w:tcBorders>
          </w:tcPr>
          <w:p w:rsidR="00905753" w:rsidRPr="00A64B52" w:rsidRDefault="00905753" w:rsidP="00905753">
            <w:pPr>
              <w:pStyle w:val="Tabletext"/>
              <w:spacing w:before="20" w:after="20"/>
              <w:ind w:right="425"/>
              <w:jc w:val="right"/>
              <w:rPr>
                <w:sz w:val="8"/>
                <w:szCs w:val="8"/>
                <w:lang w:val="en-US"/>
              </w:rPr>
            </w:pPr>
          </w:p>
        </w:tc>
      </w:tr>
      <w:tr w:rsidR="00905753" w:rsidRPr="00A64B52" w:rsidTr="006E6A1D">
        <w:trPr>
          <w:trHeight w:val="454"/>
          <w:jc w:val="center"/>
        </w:trPr>
        <w:tc>
          <w:tcPr>
            <w:tcW w:w="5806" w:type="dxa"/>
            <w:tcBorders>
              <w:top w:val="single" w:sz="4" w:space="0" w:color="auto"/>
              <w:bottom w:val="single" w:sz="4" w:space="0" w:color="auto"/>
              <w:right w:val="single" w:sz="4" w:space="0" w:color="auto"/>
            </w:tcBorders>
            <w:vAlign w:val="center"/>
          </w:tcPr>
          <w:p w:rsidR="00905753" w:rsidRPr="004702C9" w:rsidRDefault="00905753" w:rsidP="00905753">
            <w:pPr>
              <w:pStyle w:val="Tabletext"/>
              <w:spacing w:before="0" w:after="0"/>
              <w:ind w:right="425"/>
              <w:rPr>
                <w:rFonts w:eastAsia="Calibri"/>
                <w:b/>
                <w:bCs/>
                <w:szCs w:val="22"/>
                <w:lang w:val="en-US"/>
              </w:rPr>
            </w:pPr>
            <w:r w:rsidRPr="004702C9">
              <w:rPr>
                <w:rFonts w:eastAsia="Calibri"/>
                <w:b/>
                <w:bCs/>
                <w:szCs w:val="22"/>
                <w:lang w:val="en-US"/>
              </w:rPr>
              <w:t>Leasing obligations</w:t>
            </w:r>
          </w:p>
        </w:tc>
        <w:tc>
          <w:tcPr>
            <w:tcW w:w="1843" w:type="dxa"/>
            <w:tcBorders>
              <w:top w:val="single" w:sz="4" w:space="0" w:color="auto"/>
              <w:bottom w:val="single" w:sz="4" w:space="0" w:color="auto"/>
              <w:right w:val="single" w:sz="4" w:space="0" w:color="auto"/>
            </w:tcBorders>
            <w:vAlign w:val="center"/>
          </w:tcPr>
          <w:p w:rsidR="00905753" w:rsidRPr="00A64B52" w:rsidRDefault="00905753" w:rsidP="00905753">
            <w:pPr>
              <w:pStyle w:val="Tabletext"/>
              <w:spacing w:before="0" w:after="0"/>
              <w:ind w:right="425"/>
              <w:jc w:val="right"/>
              <w:rPr>
                <w:b/>
                <w:bCs/>
                <w:szCs w:val="22"/>
                <w:lang w:val="en-US"/>
              </w:rPr>
            </w:pPr>
            <w:r>
              <w:rPr>
                <w:b/>
                <w:bCs/>
                <w:szCs w:val="22"/>
                <w:lang w:val="en-US"/>
              </w:rPr>
              <w:t>556</w:t>
            </w:r>
          </w:p>
        </w:tc>
        <w:tc>
          <w:tcPr>
            <w:tcW w:w="1843" w:type="dxa"/>
            <w:tcBorders>
              <w:top w:val="single" w:sz="4" w:space="0" w:color="auto"/>
              <w:left w:val="single" w:sz="4" w:space="0" w:color="auto"/>
              <w:bottom w:val="single" w:sz="4" w:space="0" w:color="auto"/>
            </w:tcBorders>
            <w:vAlign w:val="center"/>
          </w:tcPr>
          <w:p w:rsidR="00905753" w:rsidRPr="00A64B52" w:rsidRDefault="00905753" w:rsidP="00905753">
            <w:pPr>
              <w:pStyle w:val="Tabletext"/>
              <w:spacing w:before="0" w:after="0"/>
              <w:ind w:right="425"/>
              <w:jc w:val="right"/>
              <w:rPr>
                <w:b/>
                <w:bCs/>
                <w:szCs w:val="22"/>
                <w:lang w:val="en-US"/>
              </w:rPr>
            </w:pPr>
            <w:r>
              <w:rPr>
                <w:b/>
                <w:bCs/>
                <w:szCs w:val="22"/>
                <w:lang w:val="en-US"/>
              </w:rPr>
              <w:t>834</w:t>
            </w:r>
          </w:p>
        </w:tc>
      </w:tr>
    </w:tbl>
    <w:p w:rsidR="00154FEB" w:rsidRPr="001B12F4" w:rsidRDefault="0022373A" w:rsidP="006E6A1D">
      <w:pPr>
        <w:spacing w:before="240"/>
        <w:ind w:left="-142" w:right="283"/>
        <w:jc w:val="both"/>
        <w:rPr>
          <w:lang w:val="en-US" w:eastAsia="fr-FR"/>
        </w:rPr>
      </w:pPr>
      <w:r w:rsidRPr="001B12F4">
        <w:rPr>
          <w:lang w:val="en-US" w:eastAsia="fr-FR"/>
        </w:rPr>
        <w:t>The Union has contractual obligations with different service providers. These contracts, which can be terminated at short notice, do not represent a predefined financial commitment.</w:t>
      </w:r>
    </w:p>
    <w:p w:rsidR="0022373A" w:rsidRPr="001C2A98" w:rsidRDefault="00A165D6" w:rsidP="00704ACD">
      <w:pPr>
        <w:pStyle w:val="Heading5"/>
        <w:ind w:right="142" w:hanging="1276"/>
        <w:jc w:val="both"/>
        <w:rPr>
          <w:lang w:val="en-US"/>
        </w:rPr>
      </w:pPr>
      <w:bookmarkStart w:id="140" w:name="_Toc305764121"/>
      <w:bookmarkStart w:id="141" w:name="_Toc329011663"/>
      <w:r>
        <w:rPr>
          <w:lang w:val="en-US"/>
        </w:rPr>
        <w:t>Note 2</w:t>
      </w:r>
      <w:r w:rsidR="006D6709">
        <w:rPr>
          <w:lang w:val="en-US"/>
        </w:rPr>
        <w:t>9</w:t>
      </w:r>
      <w:r w:rsidR="0022373A" w:rsidRPr="001C2A98">
        <w:rPr>
          <w:lang w:val="en-US"/>
        </w:rPr>
        <w:tab/>
        <w:t>Events after the reporting date</w:t>
      </w:r>
      <w:bookmarkEnd w:id="140"/>
      <w:bookmarkEnd w:id="141"/>
    </w:p>
    <w:p w:rsidR="00576138" w:rsidRPr="00883812" w:rsidRDefault="0022373A" w:rsidP="007F1A93">
      <w:pPr>
        <w:tabs>
          <w:tab w:val="clear" w:pos="567"/>
          <w:tab w:val="left" w:pos="709"/>
        </w:tabs>
        <w:ind w:right="283"/>
        <w:jc w:val="both"/>
        <w:rPr>
          <w:b/>
          <w:bCs/>
          <w:w w:val="105"/>
          <w:sz w:val="28"/>
          <w:szCs w:val="28"/>
          <w:lang w:val="en-US"/>
        </w:rPr>
      </w:pPr>
      <w:r w:rsidRPr="001C2A98">
        <w:rPr>
          <w:lang w:val="en-US" w:eastAsia="fr-FR"/>
        </w:rPr>
        <w:t xml:space="preserve">No event after the date of closure having a significant impact on the financial statements for the </w:t>
      </w:r>
      <w:r w:rsidR="00111BDD">
        <w:rPr>
          <w:lang w:val="en-US" w:eastAsia="fr-FR"/>
        </w:rPr>
        <w:t>201</w:t>
      </w:r>
      <w:r w:rsidR="007F1A93">
        <w:rPr>
          <w:lang w:val="en-US" w:eastAsia="fr-FR"/>
        </w:rPr>
        <w:t>8</w:t>
      </w:r>
      <w:r w:rsidRPr="005E77AA">
        <w:rPr>
          <w:lang w:val="en-US" w:eastAsia="fr-FR"/>
        </w:rPr>
        <w:t xml:space="preserve"> financial year is</w:t>
      </w:r>
      <w:r w:rsidRPr="001C2A98">
        <w:rPr>
          <w:lang w:val="en-US" w:eastAsia="fr-FR"/>
        </w:rPr>
        <w:t xml:space="preserve"> to be noted subsequent to the signature </w:t>
      </w:r>
      <w:r w:rsidRPr="00C60446">
        <w:rPr>
          <w:lang w:val="en-US" w:eastAsia="fr-FR"/>
        </w:rPr>
        <w:t xml:space="preserve">of the financial statements and their submission to the Council by the Secretary-General for approval </w:t>
      </w:r>
      <w:r w:rsidR="00736382" w:rsidRPr="009B73EF">
        <w:rPr>
          <w:lang w:val="en-US" w:eastAsia="fr-FR"/>
        </w:rPr>
        <w:t>on</w:t>
      </w:r>
      <w:r w:rsidR="003A3D35" w:rsidRPr="009B73EF">
        <w:rPr>
          <w:lang w:val="en-US" w:eastAsia="fr-FR"/>
        </w:rPr>
        <w:t xml:space="preserve"> </w:t>
      </w:r>
      <w:r w:rsidR="009B73EF" w:rsidRPr="0035555F">
        <w:rPr>
          <w:lang w:val="en-US" w:eastAsia="fr-FR"/>
        </w:rPr>
        <w:t>2</w:t>
      </w:r>
      <w:r w:rsidR="0035555F" w:rsidRPr="0035555F">
        <w:rPr>
          <w:lang w:val="en-US" w:eastAsia="fr-FR"/>
        </w:rPr>
        <w:t>8</w:t>
      </w:r>
      <w:r w:rsidR="006F6AF0" w:rsidRPr="0035555F">
        <w:rPr>
          <w:lang w:val="en-US" w:eastAsia="fr-FR"/>
        </w:rPr>
        <w:t xml:space="preserve"> March </w:t>
      </w:r>
      <w:r w:rsidR="001B12F4" w:rsidRPr="0035555F">
        <w:rPr>
          <w:lang w:val="en-US" w:eastAsia="fr-FR"/>
        </w:rPr>
        <w:t>201</w:t>
      </w:r>
      <w:r w:rsidR="00AA6360" w:rsidRPr="0035555F">
        <w:rPr>
          <w:lang w:val="en-US" w:eastAsia="fr-FR"/>
        </w:rPr>
        <w:t>9.</w:t>
      </w:r>
      <w:r w:rsidR="000854EA">
        <w:rPr>
          <w:lang w:val="en-US" w:eastAsia="fr-FR"/>
        </w:rPr>
        <w:br w:type="page"/>
      </w:r>
      <w:bookmarkStart w:id="142" w:name="_Toc357005997"/>
      <w:bookmarkStart w:id="143" w:name="_Toc357006004"/>
      <w:r w:rsidR="00576138" w:rsidRPr="00883812">
        <w:rPr>
          <w:b/>
          <w:bCs/>
          <w:w w:val="105"/>
          <w:sz w:val="28"/>
          <w:szCs w:val="28"/>
          <w:lang w:val="en-US"/>
        </w:rPr>
        <w:t>I</w:t>
      </w:r>
      <w:r w:rsidR="00576138" w:rsidRPr="00883812">
        <w:rPr>
          <w:b/>
          <w:bCs/>
          <w:w w:val="105"/>
          <w:sz w:val="28"/>
          <w:szCs w:val="28"/>
          <w:lang w:val="en-US"/>
        </w:rPr>
        <w:tab/>
        <w:t xml:space="preserve">REGULAR BUDGET </w:t>
      </w:r>
      <w:bookmarkEnd w:id="142"/>
      <w:r w:rsidR="005E7EC2" w:rsidRPr="00883812">
        <w:rPr>
          <w:b/>
          <w:bCs/>
          <w:w w:val="105"/>
          <w:sz w:val="28"/>
          <w:szCs w:val="28"/>
          <w:lang w:val="en-US"/>
        </w:rPr>
        <w:t xml:space="preserve">(Annex </w:t>
      </w:r>
      <w:r w:rsidR="008A0416">
        <w:rPr>
          <w:b/>
          <w:bCs/>
          <w:w w:val="105"/>
          <w:sz w:val="28"/>
          <w:szCs w:val="28"/>
          <w:lang w:val="en-US"/>
        </w:rPr>
        <w:t>B</w:t>
      </w:r>
      <w:r w:rsidR="00DB335B" w:rsidRPr="00883812">
        <w:rPr>
          <w:b/>
          <w:bCs/>
          <w:w w:val="105"/>
          <w:sz w:val="28"/>
          <w:szCs w:val="28"/>
          <w:lang w:val="en-US"/>
        </w:rPr>
        <w:t>1</w:t>
      </w:r>
      <w:r w:rsidR="00C32117" w:rsidRPr="00883812">
        <w:rPr>
          <w:b/>
          <w:bCs/>
          <w:w w:val="105"/>
          <w:sz w:val="28"/>
          <w:szCs w:val="28"/>
          <w:lang w:val="en-US"/>
        </w:rPr>
        <w:t>)</w:t>
      </w:r>
    </w:p>
    <w:p w:rsidR="007A24C0" w:rsidRPr="00B66B2E" w:rsidRDefault="00CD36C4" w:rsidP="006E6A1D">
      <w:pPr>
        <w:pStyle w:val="Headingb"/>
        <w:keepNext w:val="0"/>
        <w:keepLines w:val="0"/>
        <w:spacing w:after="120"/>
        <w:ind w:left="0" w:firstLine="0"/>
        <w:jc w:val="both"/>
        <w:rPr>
          <w:lang w:val="en-US"/>
        </w:rPr>
      </w:pPr>
      <w:r w:rsidRPr="00B66B2E">
        <w:rPr>
          <w:lang w:val="en-US"/>
        </w:rPr>
        <w:t>Regular budget</w:t>
      </w:r>
      <w:r w:rsidR="00F12DA2" w:rsidRPr="00B66B2E">
        <w:rPr>
          <w:lang w:val="en-US"/>
        </w:rPr>
        <w:t xml:space="preserve"> </w:t>
      </w:r>
    </w:p>
    <w:p w:rsidR="007A24C0" w:rsidRPr="00B66B2E" w:rsidRDefault="007A24C0" w:rsidP="00D93704">
      <w:pPr>
        <w:pStyle w:val="Headingb"/>
        <w:keepNext w:val="0"/>
        <w:keepLines w:val="0"/>
        <w:numPr>
          <w:ilvl w:val="0"/>
          <w:numId w:val="35"/>
        </w:numPr>
        <w:tabs>
          <w:tab w:val="clear" w:pos="567"/>
          <w:tab w:val="clear" w:pos="1134"/>
        </w:tabs>
        <w:ind w:left="567" w:hanging="567"/>
        <w:jc w:val="both"/>
        <w:rPr>
          <w:szCs w:val="24"/>
          <w:lang w:val="en-US"/>
        </w:rPr>
      </w:pPr>
      <w:r w:rsidRPr="004800AA">
        <w:rPr>
          <w:b w:val="0"/>
          <w:bCs/>
          <w:szCs w:val="24"/>
          <w:lang w:val="en-US"/>
        </w:rPr>
        <w:t>In the 201</w:t>
      </w:r>
      <w:r w:rsidR="00905753">
        <w:rPr>
          <w:b w:val="0"/>
          <w:bCs/>
          <w:szCs w:val="24"/>
          <w:lang w:val="en-US"/>
        </w:rPr>
        <w:t>8</w:t>
      </w:r>
      <w:r w:rsidRPr="004800AA">
        <w:rPr>
          <w:b w:val="0"/>
          <w:bCs/>
          <w:szCs w:val="24"/>
          <w:lang w:val="en-US"/>
        </w:rPr>
        <w:t xml:space="preserve"> financial year, revenue and expenses</w:t>
      </w:r>
      <w:r w:rsidR="00CF3331" w:rsidRPr="004800AA">
        <w:rPr>
          <w:b w:val="0"/>
          <w:bCs/>
          <w:szCs w:val="24"/>
          <w:lang w:val="en-US"/>
        </w:rPr>
        <w:t xml:space="preserve"> of 1</w:t>
      </w:r>
      <w:r w:rsidR="00731319">
        <w:rPr>
          <w:b w:val="0"/>
          <w:bCs/>
          <w:szCs w:val="24"/>
          <w:lang w:val="en-US"/>
        </w:rPr>
        <w:t>59</w:t>
      </w:r>
      <w:r w:rsidR="00CF3331" w:rsidRPr="004800AA">
        <w:rPr>
          <w:b w:val="0"/>
          <w:bCs/>
          <w:szCs w:val="24"/>
          <w:lang w:val="en-US"/>
        </w:rPr>
        <w:t>.</w:t>
      </w:r>
      <w:r w:rsidR="00731319">
        <w:rPr>
          <w:b w:val="0"/>
          <w:bCs/>
          <w:szCs w:val="24"/>
          <w:lang w:val="en-US"/>
        </w:rPr>
        <w:t>87</w:t>
      </w:r>
      <w:r w:rsidR="00CF3331" w:rsidRPr="004800AA">
        <w:rPr>
          <w:b w:val="0"/>
          <w:bCs/>
          <w:szCs w:val="24"/>
          <w:lang w:val="en-US"/>
        </w:rPr>
        <w:t xml:space="preserve"> million </w:t>
      </w:r>
      <w:r w:rsidRPr="004800AA">
        <w:rPr>
          <w:b w:val="0"/>
          <w:bCs/>
          <w:szCs w:val="24"/>
          <w:lang w:val="en-US"/>
        </w:rPr>
        <w:t>were budgeted</w:t>
      </w:r>
      <w:r w:rsidR="00CF3331" w:rsidRPr="004800AA">
        <w:rPr>
          <w:b w:val="0"/>
          <w:bCs/>
          <w:szCs w:val="24"/>
          <w:lang w:val="en-US"/>
        </w:rPr>
        <w:t>.</w:t>
      </w:r>
    </w:p>
    <w:p w:rsidR="00494DE0" w:rsidRPr="00AB1BCD" w:rsidRDefault="007A24C0" w:rsidP="006E6A1D">
      <w:pPr>
        <w:pStyle w:val="Headingb"/>
        <w:keepNext w:val="0"/>
        <w:keepLines w:val="0"/>
        <w:spacing w:after="120"/>
        <w:ind w:left="0" w:firstLine="0"/>
        <w:jc w:val="both"/>
        <w:rPr>
          <w:lang w:val="en-US"/>
        </w:rPr>
      </w:pPr>
      <w:r w:rsidRPr="00AB1BCD">
        <w:rPr>
          <w:lang w:val="en-US"/>
        </w:rPr>
        <w:t>R</w:t>
      </w:r>
      <w:r w:rsidR="00494DE0" w:rsidRPr="00AB1BCD">
        <w:rPr>
          <w:lang w:val="en-US"/>
        </w:rPr>
        <w:t>evenue</w:t>
      </w:r>
    </w:p>
    <w:p w:rsidR="00494DE0" w:rsidRPr="00057B81" w:rsidRDefault="00494DE0" w:rsidP="00F648C7">
      <w:pPr>
        <w:pStyle w:val="ListParagraph"/>
        <w:numPr>
          <w:ilvl w:val="0"/>
          <w:numId w:val="35"/>
        </w:numPr>
        <w:tabs>
          <w:tab w:val="left" w:pos="709"/>
        </w:tabs>
        <w:ind w:left="0" w:firstLine="0"/>
        <w:jc w:val="both"/>
        <w:rPr>
          <w:rFonts w:ascii="Calibri" w:eastAsia="Times New Roman" w:hAnsi="Calibri"/>
          <w:szCs w:val="20"/>
          <w:lang w:eastAsia="en-US"/>
        </w:rPr>
      </w:pPr>
      <w:r w:rsidRPr="00057B81">
        <w:rPr>
          <w:rFonts w:ascii="Calibri" w:eastAsia="Times New Roman" w:hAnsi="Calibri"/>
          <w:szCs w:val="20"/>
          <w:lang w:eastAsia="en-US"/>
        </w:rPr>
        <w:t>A budget of CHF 1.</w:t>
      </w:r>
      <w:r w:rsidR="00680084">
        <w:rPr>
          <w:rFonts w:ascii="Calibri" w:eastAsia="Times New Roman" w:hAnsi="Calibri"/>
          <w:szCs w:val="20"/>
          <w:lang w:eastAsia="en-US"/>
        </w:rPr>
        <w:t>25</w:t>
      </w:r>
      <w:r w:rsidRPr="00057B81">
        <w:rPr>
          <w:rFonts w:ascii="Calibri" w:eastAsia="Times New Roman" w:hAnsi="Calibri"/>
          <w:szCs w:val="20"/>
          <w:lang w:eastAsia="en-US"/>
        </w:rPr>
        <w:t xml:space="preserve"> million was allocated for the Building (CHF 0.75 million) and ICT projects </w:t>
      </w:r>
      <w:r w:rsidR="00F6603D" w:rsidRPr="00057B81">
        <w:rPr>
          <w:rFonts w:ascii="Calibri" w:eastAsia="Times New Roman" w:hAnsi="Calibri"/>
          <w:szCs w:val="20"/>
          <w:lang w:eastAsia="en-US"/>
        </w:rPr>
        <w:t>(</w:t>
      </w:r>
      <w:r w:rsidRPr="00057B81">
        <w:rPr>
          <w:rFonts w:ascii="Calibri" w:eastAsia="Times New Roman" w:hAnsi="Calibri"/>
          <w:szCs w:val="20"/>
          <w:lang w:eastAsia="en-US"/>
        </w:rPr>
        <w:t>CHF 0.5 million) for 201</w:t>
      </w:r>
      <w:r w:rsidR="00731319">
        <w:rPr>
          <w:rFonts w:ascii="Calibri" w:eastAsia="Times New Roman" w:hAnsi="Calibri"/>
          <w:szCs w:val="20"/>
          <w:lang w:eastAsia="en-US"/>
        </w:rPr>
        <w:t>8</w:t>
      </w:r>
      <w:r w:rsidRPr="00057B81">
        <w:rPr>
          <w:rFonts w:ascii="Calibri" w:eastAsia="Times New Roman" w:hAnsi="Calibri"/>
          <w:szCs w:val="20"/>
          <w:lang w:eastAsia="en-US"/>
        </w:rPr>
        <w:t>.The related expenses for 201</w:t>
      </w:r>
      <w:r w:rsidR="00731319">
        <w:rPr>
          <w:rFonts w:ascii="Calibri" w:eastAsia="Times New Roman" w:hAnsi="Calibri"/>
          <w:szCs w:val="20"/>
          <w:lang w:eastAsia="en-US"/>
        </w:rPr>
        <w:t>8</w:t>
      </w:r>
      <w:r w:rsidRPr="00057B81">
        <w:rPr>
          <w:rFonts w:ascii="Calibri" w:eastAsia="Times New Roman" w:hAnsi="Calibri"/>
          <w:szCs w:val="20"/>
          <w:lang w:eastAsia="en-US"/>
        </w:rPr>
        <w:t xml:space="preserve"> are included in the total expenses of the General Secretariat.</w:t>
      </w:r>
    </w:p>
    <w:p w:rsidR="00FF4112" w:rsidRPr="00FF4112" w:rsidRDefault="00FF4112" w:rsidP="001D2416">
      <w:pPr>
        <w:pStyle w:val="enumlev1"/>
        <w:spacing w:before="160" w:after="120"/>
        <w:jc w:val="both"/>
        <w:rPr>
          <w:b/>
          <w:bCs/>
          <w:lang w:val="en-US"/>
        </w:rPr>
      </w:pPr>
      <w:r w:rsidRPr="00FF4112">
        <w:rPr>
          <w:b/>
          <w:bCs/>
          <w:lang w:val="en-US"/>
        </w:rPr>
        <w:t>Assessed contributions</w:t>
      </w:r>
      <w:r w:rsidR="001018AB">
        <w:rPr>
          <w:b/>
          <w:bCs/>
          <w:lang w:val="en-US"/>
        </w:rPr>
        <w:t xml:space="preserve"> </w:t>
      </w:r>
    </w:p>
    <w:p w:rsidR="00AE3FFF" w:rsidRPr="003A7EEA" w:rsidRDefault="00AE3FFF" w:rsidP="00D93704">
      <w:pPr>
        <w:pStyle w:val="Headingb"/>
        <w:numPr>
          <w:ilvl w:val="0"/>
          <w:numId w:val="35"/>
        </w:numPr>
        <w:tabs>
          <w:tab w:val="clear" w:pos="1134"/>
          <w:tab w:val="left" w:pos="0"/>
        </w:tabs>
        <w:spacing w:before="0"/>
        <w:ind w:left="0" w:firstLine="0"/>
        <w:jc w:val="both"/>
        <w:rPr>
          <w:b w:val="0"/>
          <w:lang w:val="en-US"/>
        </w:rPr>
      </w:pPr>
      <w:r w:rsidRPr="00433FE9">
        <w:rPr>
          <w:b w:val="0"/>
          <w:lang w:val="en-US"/>
        </w:rPr>
        <w:t xml:space="preserve">Revenue from assessed contributions is budgeted at CHF 124.4 million a year for the biennium </w:t>
      </w:r>
      <w:r w:rsidRPr="003A7EEA">
        <w:rPr>
          <w:b w:val="0"/>
          <w:lang w:val="en-US"/>
        </w:rPr>
        <w:t>201</w:t>
      </w:r>
      <w:r w:rsidR="001018AB" w:rsidRPr="003A7EEA">
        <w:rPr>
          <w:b w:val="0"/>
          <w:lang w:val="en-US"/>
        </w:rPr>
        <w:t>8</w:t>
      </w:r>
      <w:r w:rsidRPr="003A7EEA">
        <w:rPr>
          <w:b w:val="0"/>
          <w:lang w:val="en-US"/>
        </w:rPr>
        <w:t>-201</w:t>
      </w:r>
      <w:r w:rsidR="001018AB" w:rsidRPr="003A7EEA">
        <w:rPr>
          <w:b w:val="0"/>
          <w:lang w:val="en-US"/>
        </w:rPr>
        <w:t>9</w:t>
      </w:r>
      <w:r w:rsidRPr="003A7EEA">
        <w:rPr>
          <w:b w:val="0"/>
          <w:lang w:val="en-US"/>
        </w:rPr>
        <w:t>. Total contributions actually posted to account amounted to CHF 12</w:t>
      </w:r>
      <w:r w:rsidR="001018AB" w:rsidRPr="003A7EEA">
        <w:rPr>
          <w:b w:val="0"/>
          <w:lang w:val="en-US"/>
        </w:rPr>
        <w:t>5</w:t>
      </w:r>
      <w:r w:rsidRPr="003A7EEA">
        <w:rPr>
          <w:b w:val="0"/>
          <w:lang w:val="en-US"/>
        </w:rPr>
        <w:t>.</w:t>
      </w:r>
      <w:r w:rsidR="001018AB" w:rsidRPr="003A7EEA">
        <w:rPr>
          <w:b w:val="0"/>
          <w:lang w:val="en-US"/>
        </w:rPr>
        <w:t>19</w:t>
      </w:r>
      <w:r w:rsidRPr="003A7EEA">
        <w:rPr>
          <w:b w:val="0"/>
          <w:lang w:val="en-US"/>
        </w:rPr>
        <w:t xml:space="preserve"> million in 201</w:t>
      </w:r>
      <w:r w:rsidR="001018AB" w:rsidRPr="003A7EEA">
        <w:rPr>
          <w:b w:val="0"/>
          <w:lang w:val="en-US"/>
        </w:rPr>
        <w:t>8</w:t>
      </w:r>
      <w:r w:rsidRPr="003A7EEA">
        <w:rPr>
          <w:b w:val="0"/>
          <w:lang w:val="en-US"/>
        </w:rPr>
        <w:t>.</w:t>
      </w:r>
    </w:p>
    <w:p w:rsidR="001D2416" w:rsidRPr="003A7EEA" w:rsidRDefault="001D2416" w:rsidP="00F648C7">
      <w:pPr>
        <w:spacing w:before="0"/>
        <w:jc w:val="both"/>
        <w:rPr>
          <w:lang w:val="en-US"/>
        </w:rPr>
      </w:pPr>
    </w:p>
    <w:p w:rsidR="001D2416" w:rsidRPr="003A7EEA" w:rsidRDefault="001D2416" w:rsidP="00D93704">
      <w:pPr>
        <w:pStyle w:val="ListParagraph"/>
        <w:numPr>
          <w:ilvl w:val="0"/>
          <w:numId w:val="35"/>
        </w:numPr>
        <w:tabs>
          <w:tab w:val="left" w:pos="567"/>
        </w:tabs>
        <w:ind w:left="0" w:firstLine="0"/>
        <w:jc w:val="both"/>
        <w:rPr>
          <w:rFonts w:ascii="Calibri" w:eastAsia="Times New Roman" w:hAnsi="Calibri"/>
          <w:bCs/>
          <w:szCs w:val="20"/>
          <w:lang w:val="en-GB" w:eastAsia="en-US"/>
        </w:rPr>
      </w:pPr>
      <w:r w:rsidRPr="003A7EEA">
        <w:rPr>
          <w:rFonts w:ascii="Calibri" w:eastAsia="Times New Roman" w:hAnsi="Calibri"/>
          <w:bCs/>
          <w:szCs w:val="20"/>
          <w:lang w:val="en-GB" w:eastAsia="en-US"/>
        </w:rPr>
        <w:t>In 2018, ITU’s traditional industry players continued to consolidate their memberships, following various mergers and acquisitions, and as part of an effort to reduce costs. At the same time, ITU reached out to new audiences to diversify and strengthen its membership, and in the process has evolved it industry participation to reflect the ever-changing ICT ecosystem. </w:t>
      </w:r>
    </w:p>
    <w:p w:rsidR="001D2416" w:rsidRPr="003A7EEA" w:rsidRDefault="001D2416" w:rsidP="00F648C7">
      <w:pPr>
        <w:spacing w:before="0"/>
        <w:jc w:val="both"/>
        <w:rPr>
          <w:bCs/>
        </w:rPr>
      </w:pPr>
    </w:p>
    <w:p w:rsidR="001D2416" w:rsidRPr="003A7EEA" w:rsidRDefault="001D2416" w:rsidP="00D93704">
      <w:pPr>
        <w:pStyle w:val="ListParagraph"/>
        <w:numPr>
          <w:ilvl w:val="0"/>
          <w:numId w:val="35"/>
        </w:numPr>
        <w:tabs>
          <w:tab w:val="left" w:pos="567"/>
        </w:tabs>
        <w:ind w:left="0" w:firstLine="0"/>
        <w:jc w:val="both"/>
        <w:rPr>
          <w:rFonts w:ascii="Calibri" w:eastAsia="Times New Roman" w:hAnsi="Calibri"/>
          <w:bCs/>
          <w:szCs w:val="20"/>
          <w:lang w:val="en-GB" w:eastAsia="en-US"/>
        </w:rPr>
      </w:pPr>
      <w:r w:rsidRPr="003A7EEA">
        <w:rPr>
          <w:rFonts w:ascii="Calibri" w:eastAsia="Times New Roman" w:hAnsi="Calibri"/>
          <w:bCs/>
          <w:szCs w:val="20"/>
          <w:lang w:val="en-GB" w:eastAsia="en-US"/>
        </w:rPr>
        <w:t>ITU’s total industry and academia membership reached almost 1,200 memberships and over 800 entities in 2018. These are the highest membership levels on record. ITU attracted more than 100 new memberships in the year, while maintaining the annual rate of member loss at about 5</w:t>
      </w:r>
      <w:r w:rsidR="00974038" w:rsidRPr="003A7EEA">
        <w:rPr>
          <w:rFonts w:ascii="Calibri" w:eastAsia="Times New Roman" w:hAnsi="Calibri"/>
          <w:bCs/>
          <w:szCs w:val="20"/>
          <w:lang w:val="en-GB" w:eastAsia="en-US"/>
        </w:rPr>
        <w:t> per cent</w:t>
      </w:r>
      <w:r w:rsidRPr="003A7EEA">
        <w:rPr>
          <w:rFonts w:ascii="Calibri" w:eastAsia="Times New Roman" w:hAnsi="Calibri"/>
          <w:bCs/>
          <w:szCs w:val="20"/>
          <w:lang w:val="en-GB" w:eastAsia="en-US"/>
        </w:rPr>
        <w:t>.</w:t>
      </w:r>
    </w:p>
    <w:p w:rsidR="001D2416" w:rsidRPr="003A7EEA" w:rsidRDefault="001D2416" w:rsidP="003A7EEA">
      <w:pPr>
        <w:spacing w:before="0"/>
        <w:rPr>
          <w:bCs/>
        </w:rPr>
      </w:pPr>
    </w:p>
    <w:p w:rsidR="001D2416" w:rsidRPr="0080683B" w:rsidRDefault="001D2416" w:rsidP="00D93704">
      <w:pPr>
        <w:pStyle w:val="ListParagraph"/>
        <w:numPr>
          <w:ilvl w:val="0"/>
          <w:numId w:val="35"/>
        </w:numPr>
        <w:tabs>
          <w:tab w:val="left" w:pos="567"/>
        </w:tabs>
        <w:ind w:left="0" w:firstLine="0"/>
        <w:rPr>
          <w:rFonts w:ascii="Calibri" w:eastAsia="Times New Roman" w:hAnsi="Calibri"/>
          <w:bCs/>
          <w:szCs w:val="20"/>
          <w:lang w:val="en-GB" w:eastAsia="en-US"/>
        </w:rPr>
      </w:pPr>
      <w:r w:rsidRPr="0080683B">
        <w:rPr>
          <w:rFonts w:ascii="Calibri" w:eastAsia="Times New Roman" w:hAnsi="Calibri"/>
          <w:bCs/>
          <w:szCs w:val="20"/>
          <w:lang w:val="en-GB" w:eastAsia="en-US"/>
        </w:rPr>
        <w:t xml:space="preserve">In all, ITU gained twice as many new members as it lost in 2018. Despite the continued growth in membership, revenues have remained relatively stable as new industry players for the most part have chosen to become Associates rather than Sector Members. The lower fee category of Academia also contributed to recent growth. This trend </w:t>
      </w:r>
      <w:r w:rsidR="003A7EEA" w:rsidRPr="0080683B">
        <w:rPr>
          <w:rFonts w:ascii="Calibri" w:eastAsia="Times New Roman" w:hAnsi="Calibri"/>
          <w:bCs/>
          <w:szCs w:val="20"/>
          <w:lang w:val="en-GB" w:eastAsia="en-US"/>
        </w:rPr>
        <w:t xml:space="preserve">towards </w:t>
      </w:r>
      <w:r w:rsidR="00C72CE6" w:rsidRPr="0080683B">
        <w:rPr>
          <w:rFonts w:ascii="Calibri" w:eastAsia="Times New Roman" w:hAnsi="Calibri"/>
          <w:bCs/>
          <w:szCs w:val="20"/>
          <w:lang w:val="en-GB" w:eastAsia="en-US"/>
        </w:rPr>
        <w:t xml:space="preserve">increased numbers of membership with </w:t>
      </w:r>
      <w:r w:rsidRPr="0080683B">
        <w:rPr>
          <w:rFonts w:ascii="Calibri" w:eastAsia="Times New Roman" w:hAnsi="Calibri"/>
          <w:bCs/>
          <w:szCs w:val="20"/>
          <w:lang w:val="en-GB" w:eastAsia="en-US"/>
        </w:rPr>
        <w:t>stable to modest growth in revenues is expected to continue in the coming years due to ongoing consolidation and diversification.</w:t>
      </w:r>
    </w:p>
    <w:p w:rsidR="00433FE9" w:rsidRPr="00772DA2" w:rsidRDefault="00CD36C4" w:rsidP="00C54F4F">
      <w:pPr>
        <w:pStyle w:val="enumlev1"/>
        <w:tabs>
          <w:tab w:val="clear" w:pos="567"/>
          <w:tab w:val="left" w:pos="851"/>
        </w:tabs>
        <w:spacing w:before="160" w:after="120"/>
        <w:jc w:val="both"/>
        <w:rPr>
          <w:b/>
          <w:bCs/>
          <w:lang w:val="en-US"/>
        </w:rPr>
      </w:pPr>
      <w:r w:rsidRPr="0068577A">
        <w:rPr>
          <w:b/>
          <w:bCs/>
          <w:lang w:val="en-US"/>
        </w:rPr>
        <w:t>Project support cost revenue</w:t>
      </w:r>
    </w:p>
    <w:p w:rsidR="00FF4112" w:rsidRPr="00433FE9" w:rsidRDefault="00FF4112" w:rsidP="00D93704">
      <w:pPr>
        <w:pStyle w:val="ListParagraph"/>
        <w:numPr>
          <w:ilvl w:val="0"/>
          <w:numId w:val="35"/>
        </w:numPr>
        <w:tabs>
          <w:tab w:val="left" w:pos="567"/>
        </w:tabs>
        <w:ind w:left="0" w:firstLine="0"/>
        <w:jc w:val="both"/>
        <w:rPr>
          <w:rFonts w:ascii="Calibri" w:eastAsia="Times New Roman" w:hAnsi="Calibri"/>
          <w:szCs w:val="20"/>
          <w:lang w:eastAsia="en-US"/>
        </w:rPr>
      </w:pPr>
      <w:r w:rsidRPr="00433FE9">
        <w:rPr>
          <w:rFonts w:ascii="Calibri" w:eastAsia="Times New Roman" w:hAnsi="Calibri"/>
          <w:szCs w:val="20"/>
          <w:lang w:eastAsia="en-US"/>
        </w:rPr>
        <w:t>Project support cost revenue for 201</w:t>
      </w:r>
      <w:r w:rsidR="001018AB">
        <w:rPr>
          <w:rFonts w:ascii="Calibri" w:eastAsia="Times New Roman" w:hAnsi="Calibri"/>
          <w:szCs w:val="20"/>
          <w:lang w:eastAsia="en-US"/>
        </w:rPr>
        <w:t>8</w:t>
      </w:r>
      <w:r w:rsidRPr="00433FE9">
        <w:rPr>
          <w:rFonts w:ascii="Calibri" w:eastAsia="Times New Roman" w:hAnsi="Calibri"/>
          <w:szCs w:val="20"/>
          <w:lang w:eastAsia="en-US"/>
        </w:rPr>
        <w:t xml:space="preserve"> was budgeted at CHF</w:t>
      </w:r>
      <w:r w:rsidR="006E6A1D">
        <w:rPr>
          <w:rFonts w:ascii="Calibri" w:eastAsia="Times New Roman" w:hAnsi="Calibri"/>
          <w:szCs w:val="20"/>
          <w:lang w:eastAsia="en-US"/>
        </w:rPr>
        <w:t> </w:t>
      </w:r>
      <w:r w:rsidRPr="00433FE9">
        <w:rPr>
          <w:rFonts w:ascii="Calibri" w:eastAsia="Times New Roman" w:hAnsi="Calibri"/>
          <w:szCs w:val="20"/>
          <w:lang w:eastAsia="en-US"/>
        </w:rPr>
        <w:t>1</w:t>
      </w:r>
      <w:r w:rsidR="00F810A6" w:rsidRPr="00433FE9">
        <w:rPr>
          <w:rFonts w:ascii="Calibri" w:eastAsia="Times New Roman" w:hAnsi="Calibri"/>
          <w:szCs w:val="20"/>
          <w:lang w:eastAsia="en-US"/>
        </w:rPr>
        <w:t>.3</w:t>
      </w:r>
      <w:r w:rsidR="0026242F">
        <w:rPr>
          <w:rFonts w:ascii="Calibri" w:eastAsia="Times New Roman" w:hAnsi="Calibri"/>
          <w:szCs w:val="20"/>
          <w:lang w:eastAsia="en-US"/>
        </w:rPr>
        <w:t>7</w:t>
      </w:r>
      <w:r w:rsidR="006E6A1D">
        <w:rPr>
          <w:rFonts w:ascii="Calibri" w:eastAsia="Times New Roman" w:hAnsi="Calibri"/>
          <w:szCs w:val="20"/>
          <w:lang w:eastAsia="en-US"/>
        </w:rPr>
        <w:t> </w:t>
      </w:r>
      <w:r w:rsidRPr="00433FE9">
        <w:rPr>
          <w:rFonts w:ascii="Calibri" w:eastAsia="Times New Roman" w:hAnsi="Calibri"/>
          <w:szCs w:val="20"/>
          <w:lang w:eastAsia="en-US"/>
        </w:rPr>
        <w:t>million. Actual revenue amounted to CHF</w:t>
      </w:r>
      <w:r w:rsidR="006E6A1D">
        <w:rPr>
          <w:rFonts w:ascii="Calibri" w:eastAsia="Times New Roman" w:hAnsi="Calibri"/>
          <w:szCs w:val="20"/>
          <w:lang w:eastAsia="en-US"/>
        </w:rPr>
        <w:t> </w:t>
      </w:r>
      <w:r w:rsidRPr="00433FE9">
        <w:rPr>
          <w:rFonts w:ascii="Calibri" w:eastAsia="Times New Roman" w:hAnsi="Calibri"/>
          <w:szCs w:val="20"/>
          <w:lang w:eastAsia="en-US"/>
        </w:rPr>
        <w:t>0.</w:t>
      </w:r>
      <w:r w:rsidR="00773C41">
        <w:rPr>
          <w:rFonts w:ascii="Calibri" w:eastAsia="Times New Roman" w:hAnsi="Calibri"/>
          <w:szCs w:val="20"/>
          <w:lang w:eastAsia="en-US"/>
        </w:rPr>
        <w:t>4</w:t>
      </w:r>
      <w:r w:rsidR="006E6A1D">
        <w:rPr>
          <w:rFonts w:ascii="Calibri" w:eastAsia="Times New Roman" w:hAnsi="Calibri"/>
          <w:szCs w:val="20"/>
          <w:lang w:eastAsia="en-US"/>
        </w:rPr>
        <w:t> </w:t>
      </w:r>
      <w:r w:rsidRPr="00433FE9">
        <w:rPr>
          <w:rFonts w:ascii="Calibri" w:eastAsia="Times New Roman" w:hAnsi="Calibri"/>
          <w:szCs w:val="20"/>
          <w:lang w:eastAsia="en-US"/>
        </w:rPr>
        <w:t>million</w:t>
      </w:r>
      <w:r w:rsidR="00773C41">
        <w:rPr>
          <w:rFonts w:ascii="Calibri" w:eastAsia="Times New Roman" w:hAnsi="Calibri"/>
          <w:szCs w:val="20"/>
          <w:lang w:eastAsia="en-US"/>
        </w:rPr>
        <w:t xml:space="preserve"> which represented a decrease of 10</w:t>
      </w:r>
      <w:r w:rsidR="0026242F">
        <w:rPr>
          <w:rFonts w:ascii="Calibri" w:eastAsia="Times New Roman" w:hAnsi="Calibri"/>
          <w:szCs w:val="20"/>
          <w:lang w:eastAsia="en-US"/>
        </w:rPr>
        <w:t>%</w:t>
      </w:r>
      <w:r w:rsidR="00773C41">
        <w:rPr>
          <w:rFonts w:ascii="Calibri" w:eastAsia="Times New Roman" w:hAnsi="Calibri"/>
          <w:szCs w:val="20"/>
          <w:lang w:eastAsia="en-US"/>
        </w:rPr>
        <w:t xml:space="preserve"> compared with 2017</w:t>
      </w:r>
      <w:r w:rsidR="00F6603D" w:rsidRPr="00433FE9">
        <w:rPr>
          <w:rFonts w:ascii="Calibri" w:eastAsia="Times New Roman" w:hAnsi="Calibri"/>
          <w:szCs w:val="20"/>
          <w:lang w:eastAsia="en-US"/>
        </w:rPr>
        <w:t>.</w:t>
      </w:r>
    </w:p>
    <w:p w:rsidR="00433FE9" w:rsidRPr="00433FE9" w:rsidRDefault="00C54F4F" w:rsidP="00C54F4F">
      <w:pPr>
        <w:pStyle w:val="Headingb"/>
        <w:tabs>
          <w:tab w:val="clear" w:pos="567"/>
          <w:tab w:val="left" w:pos="851"/>
        </w:tabs>
        <w:spacing w:after="120"/>
        <w:jc w:val="both"/>
        <w:rPr>
          <w:lang w:val="en-US"/>
        </w:rPr>
      </w:pPr>
      <w:r>
        <w:rPr>
          <w:lang w:val="en-US"/>
        </w:rPr>
        <w:t>Sales of publications</w:t>
      </w:r>
    </w:p>
    <w:p w:rsidR="0010479A" w:rsidRPr="0010479A" w:rsidRDefault="00773C41" w:rsidP="00D93704">
      <w:pPr>
        <w:pStyle w:val="ListParagraph"/>
        <w:numPr>
          <w:ilvl w:val="0"/>
          <w:numId w:val="35"/>
        </w:numPr>
        <w:tabs>
          <w:tab w:val="left" w:pos="567"/>
        </w:tabs>
        <w:ind w:left="0" w:firstLine="0"/>
        <w:jc w:val="both"/>
        <w:rPr>
          <w:rFonts w:ascii="Calibri" w:eastAsia="Times New Roman" w:hAnsi="Calibri"/>
          <w:szCs w:val="20"/>
          <w:lang w:eastAsia="en-US"/>
        </w:rPr>
      </w:pPr>
      <w:r w:rsidRPr="00773C41">
        <w:rPr>
          <w:rFonts w:ascii="Calibri" w:eastAsia="Times New Roman" w:hAnsi="Calibri"/>
          <w:szCs w:val="20"/>
          <w:lang w:eastAsia="en-US"/>
        </w:rPr>
        <w:t>Revenue from sales of publications in 2018, due to the unique scheduling calendar of flagship ITU-R Maritime Service Publications, was below the budget at CHF 13.86 million.   The confirmed release of new editions in 2019 during 2Q and 4Q will result to an increased revenue for ITU more in line with the 2018-2019 budget.   Sales development activities continued in 2018, including the addition of more global resellers for continued expansion of distribution channels and the contacting of several hundred Port inspectors to give advice on the enhanced anti-counterfeit controls developed by ITU-T.   Traditional users of ITU-D’s Indicators Database, including the Economist Intelligence Unit, were engaged for coordination of customized data license agreements and royalty payments to ITU, while all previously signed data agreements with others were each renewed for another year</w:t>
      </w:r>
      <w:r w:rsidRPr="00D41338">
        <w:t>.</w:t>
      </w:r>
    </w:p>
    <w:p w:rsidR="00557B83" w:rsidRDefault="00557B83">
      <w:pPr>
        <w:tabs>
          <w:tab w:val="clear" w:pos="567"/>
          <w:tab w:val="clear" w:pos="1134"/>
          <w:tab w:val="clear" w:pos="1701"/>
          <w:tab w:val="clear" w:pos="2268"/>
          <w:tab w:val="clear" w:pos="2835"/>
        </w:tabs>
        <w:overflowPunct/>
        <w:autoSpaceDE/>
        <w:autoSpaceDN/>
        <w:adjustRightInd/>
        <w:spacing w:before="0"/>
        <w:textAlignment w:val="auto"/>
        <w:rPr>
          <w:b/>
          <w:lang w:val="en-US"/>
        </w:rPr>
      </w:pPr>
      <w:r>
        <w:rPr>
          <w:lang w:val="en-US"/>
        </w:rPr>
        <w:br w:type="page"/>
      </w:r>
    </w:p>
    <w:p w:rsidR="00433FE9" w:rsidRPr="00433FE9" w:rsidRDefault="00CD36C4" w:rsidP="00C54F4F">
      <w:pPr>
        <w:pStyle w:val="Headingb"/>
        <w:tabs>
          <w:tab w:val="clear" w:pos="567"/>
          <w:tab w:val="left" w:pos="851"/>
        </w:tabs>
        <w:spacing w:after="120"/>
        <w:jc w:val="both"/>
        <w:rPr>
          <w:lang w:val="en-US"/>
        </w:rPr>
      </w:pPr>
      <w:r w:rsidRPr="002226AD">
        <w:rPr>
          <w:lang w:val="en-US"/>
        </w:rPr>
        <w:t>Products and services under cost recovery</w:t>
      </w:r>
    </w:p>
    <w:p w:rsidR="00122AD8" w:rsidRPr="005E25BD" w:rsidRDefault="00FF4112" w:rsidP="00D93704">
      <w:pPr>
        <w:pStyle w:val="ListParagraph"/>
        <w:numPr>
          <w:ilvl w:val="0"/>
          <w:numId w:val="35"/>
        </w:numPr>
        <w:tabs>
          <w:tab w:val="left" w:pos="567"/>
        </w:tabs>
        <w:ind w:left="0" w:hanging="3"/>
        <w:jc w:val="both"/>
        <w:rPr>
          <w:b/>
        </w:rPr>
      </w:pPr>
      <w:r w:rsidRPr="00433FE9">
        <w:rPr>
          <w:rFonts w:ascii="Calibri" w:eastAsia="Times New Roman" w:hAnsi="Calibri"/>
          <w:szCs w:val="20"/>
          <w:lang w:eastAsia="en-US"/>
        </w:rPr>
        <w:t>Products and service</w:t>
      </w:r>
      <w:r w:rsidR="004F54F3">
        <w:rPr>
          <w:rFonts w:ascii="Calibri" w:eastAsia="Times New Roman" w:hAnsi="Calibri"/>
          <w:szCs w:val="20"/>
          <w:lang w:eastAsia="en-US"/>
        </w:rPr>
        <w:t>s</w:t>
      </w:r>
      <w:r w:rsidRPr="00433FE9">
        <w:rPr>
          <w:rFonts w:ascii="Calibri" w:eastAsia="Times New Roman" w:hAnsi="Calibri"/>
          <w:szCs w:val="20"/>
          <w:lang w:eastAsia="en-US"/>
        </w:rPr>
        <w:t xml:space="preserve"> under cost-recovery revenue was forecast at CHF</w:t>
      </w:r>
      <w:r w:rsidR="006E6A1D">
        <w:rPr>
          <w:rFonts w:ascii="Calibri" w:eastAsia="Times New Roman" w:hAnsi="Calibri"/>
          <w:szCs w:val="20"/>
          <w:lang w:eastAsia="en-US"/>
        </w:rPr>
        <w:t> </w:t>
      </w:r>
      <w:r w:rsidRPr="00433FE9">
        <w:rPr>
          <w:rFonts w:ascii="Calibri" w:eastAsia="Times New Roman" w:hAnsi="Calibri"/>
          <w:szCs w:val="20"/>
          <w:lang w:eastAsia="en-US"/>
        </w:rPr>
        <w:t>1</w:t>
      </w:r>
      <w:r w:rsidR="0026242F">
        <w:rPr>
          <w:rFonts w:ascii="Calibri" w:eastAsia="Times New Roman" w:hAnsi="Calibri"/>
          <w:szCs w:val="20"/>
          <w:lang w:eastAsia="en-US"/>
        </w:rPr>
        <w:t>6</w:t>
      </w:r>
      <w:r w:rsidR="006E6A1D">
        <w:rPr>
          <w:rFonts w:ascii="Calibri" w:eastAsia="Times New Roman" w:hAnsi="Calibri"/>
          <w:szCs w:val="20"/>
          <w:lang w:eastAsia="en-US"/>
        </w:rPr>
        <w:t> </w:t>
      </w:r>
      <w:r w:rsidRPr="00433FE9">
        <w:rPr>
          <w:rFonts w:ascii="Calibri" w:eastAsia="Times New Roman" w:hAnsi="Calibri"/>
          <w:szCs w:val="20"/>
          <w:lang w:eastAsia="en-US"/>
        </w:rPr>
        <w:t>mi</w:t>
      </w:r>
      <w:r w:rsidR="00F810A6" w:rsidRPr="00433FE9">
        <w:rPr>
          <w:rFonts w:ascii="Calibri" w:eastAsia="Times New Roman" w:hAnsi="Calibri"/>
          <w:szCs w:val="20"/>
          <w:lang w:eastAsia="en-US"/>
        </w:rPr>
        <w:t>llion in the regular budget 201</w:t>
      </w:r>
      <w:r w:rsidR="0026242F">
        <w:rPr>
          <w:rFonts w:ascii="Calibri" w:eastAsia="Times New Roman" w:hAnsi="Calibri"/>
          <w:szCs w:val="20"/>
          <w:lang w:eastAsia="en-US"/>
        </w:rPr>
        <w:t>8</w:t>
      </w:r>
      <w:r w:rsidRPr="00433FE9">
        <w:rPr>
          <w:rFonts w:ascii="Calibri" w:eastAsia="Times New Roman" w:hAnsi="Calibri"/>
          <w:szCs w:val="20"/>
          <w:lang w:eastAsia="en-US"/>
        </w:rPr>
        <w:t xml:space="preserve">. Actual revenue came to CHF </w:t>
      </w:r>
      <w:r w:rsidR="0026242F">
        <w:rPr>
          <w:rFonts w:ascii="Calibri" w:eastAsia="Times New Roman" w:hAnsi="Calibri"/>
          <w:szCs w:val="20"/>
          <w:lang w:eastAsia="en-US"/>
        </w:rPr>
        <w:t>2</w:t>
      </w:r>
      <w:r w:rsidR="00991074">
        <w:rPr>
          <w:rFonts w:ascii="Calibri" w:eastAsia="Times New Roman" w:hAnsi="Calibri"/>
          <w:szCs w:val="20"/>
          <w:lang w:eastAsia="en-US"/>
        </w:rPr>
        <w:t>1</w:t>
      </w:r>
      <w:r w:rsidRPr="00433FE9">
        <w:rPr>
          <w:rFonts w:ascii="Calibri" w:eastAsia="Times New Roman" w:hAnsi="Calibri"/>
          <w:szCs w:val="20"/>
          <w:lang w:eastAsia="en-US"/>
        </w:rPr>
        <w:t xml:space="preserve"> million (CHF </w:t>
      </w:r>
      <w:r w:rsidR="00F810A6" w:rsidRPr="00433FE9">
        <w:rPr>
          <w:rFonts w:ascii="Calibri" w:eastAsia="Times New Roman" w:hAnsi="Calibri"/>
          <w:szCs w:val="20"/>
          <w:lang w:eastAsia="en-US"/>
        </w:rPr>
        <w:t>1</w:t>
      </w:r>
      <w:r w:rsidR="00991074">
        <w:rPr>
          <w:rFonts w:ascii="Calibri" w:eastAsia="Times New Roman" w:hAnsi="Calibri"/>
          <w:szCs w:val="20"/>
          <w:lang w:eastAsia="en-US"/>
        </w:rPr>
        <w:t>7</w:t>
      </w:r>
      <w:r w:rsidRPr="00433FE9">
        <w:rPr>
          <w:rFonts w:ascii="Calibri" w:eastAsia="Times New Roman" w:hAnsi="Calibri"/>
          <w:szCs w:val="20"/>
          <w:lang w:eastAsia="en-US"/>
        </w:rPr>
        <w:t> million in 201</w:t>
      </w:r>
      <w:r w:rsidR="007F1A93">
        <w:rPr>
          <w:rFonts w:ascii="Calibri" w:eastAsia="Times New Roman" w:hAnsi="Calibri"/>
          <w:szCs w:val="20"/>
          <w:lang w:eastAsia="en-US"/>
        </w:rPr>
        <w:t>7</w:t>
      </w:r>
      <w:r w:rsidRPr="00433FE9">
        <w:rPr>
          <w:rFonts w:ascii="Calibri" w:eastAsia="Times New Roman" w:hAnsi="Calibri"/>
          <w:szCs w:val="20"/>
          <w:lang w:eastAsia="en-US"/>
        </w:rPr>
        <w:t xml:space="preserve">). </w:t>
      </w:r>
      <w:r w:rsidR="00A23721">
        <w:rPr>
          <w:rFonts w:ascii="Calibri" w:eastAsia="Times New Roman" w:hAnsi="Calibri"/>
          <w:szCs w:val="20"/>
          <w:lang w:eastAsia="en-US"/>
        </w:rPr>
        <w:t xml:space="preserve">This increase of </w:t>
      </w:r>
      <w:r w:rsidR="00991074">
        <w:rPr>
          <w:rFonts w:ascii="Calibri" w:eastAsia="Times New Roman" w:hAnsi="Calibri"/>
          <w:szCs w:val="20"/>
          <w:lang w:eastAsia="en-US"/>
        </w:rPr>
        <w:t>24</w:t>
      </w:r>
      <w:r w:rsidR="00AE5E9A">
        <w:rPr>
          <w:rFonts w:ascii="Calibri" w:eastAsia="Times New Roman" w:hAnsi="Calibri"/>
          <w:szCs w:val="20"/>
          <w:lang w:eastAsia="en-US"/>
        </w:rPr>
        <w:t xml:space="preserve"> per cent </w:t>
      </w:r>
      <w:r w:rsidR="00A23721">
        <w:rPr>
          <w:rFonts w:ascii="Calibri" w:eastAsia="Times New Roman" w:hAnsi="Calibri"/>
          <w:szCs w:val="20"/>
          <w:lang w:eastAsia="en-US"/>
        </w:rPr>
        <w:t>is due to the good result of the Satellite network filing</w:t>
      </w:r>
      <w:r w:rsidR="001506CF">
        <w:rPr>
          <w:rFonts w:ascii="Calibri" w:eastAsia="Times New Roman" w:hAnsi="Calibri"/>
          <w:szCs w:val="20"/>
          <w:lang w:eastAsia="en-US"/>
        </w:rPr>
        <w:t>s</w:t>
      </w:r>
      <w:r w:rsidR="00A23721">
        <w:rPr>
          <w:rFonts w:ascii="Calibri" w:eastAsia="Times New Roman" w:hAnsi="Calibri"/>
          <w:szCs w:val="20"/>
          <w:lang w:eastAsia="en-US"/>
        </w:rPr>
        <w:t>.</w:t>
      </w:r>
    </w:p>
    <w:p w:rsidR="00CD36C4" w:rsidRPr="00FF4112" w:rsidRDefault="00CD36C4" w:rsidP="00D93704">
      <w:pPr>
        <w:pStyle w:val="Headingb"/>
        <w:spacing w:after="120"/>
        <w:jc w:val="both"/>
        <w:rPr>
          <w:lang w:val="en-US"/>
        </w:rPr>
      </w:pPr>
      <w:r w:rsidRPr="00FF4112">
        <w:rPr>
          <w:lang w:val="en-US"/>
        </w:rPr>
        <w:t>Interest revenue</w:t>
      </w:r>
    </w:p>
    <w:p w:rsidR="00FF4112" w:rsidRPr="00433FE9" w:rsidRDefault="00FF4112" w:rsidP="00D93704">
      <w:pPr>
        <w:pStyle w:val="ListParagraph"/>
        <w:numPr>
          <w:ilvl w:val="0"/>
          <w:numId w:val="35"/>
        </w:numPr>
        <w:tabs>
          <w:tab w:val="left" w:pos="567"/>
        </w:tabs>
        <w:ind w:left="0" w:firstLine="0"/>
        <w:jc w:val="both"/>
        <w:rPr>
          <w:rFonts w:ascii="Calibri" w:eastAsia="Times New Roman" w:hAnsi="Calibri"/>
          <w:szCs w:val="20"/>
          <w:lang w:eastAsia="en-US"/>
        </w:rPr>
      </w:pPr>
      <w:r w:rsidRPr="00433FE9">
        <w:rPr>
          <w:rFonts w:ascii="Calibri" w:eastAsia="Times New Roman" w:hAnsi="Calibri"/>
          <w:szCs w:val="20"/>
          <w:lang w:eastAsia="en-US"/>
        </w:rPr>
        <w:t>Interest revenue was budgeted at CHF 0.</w:t>
      </w:r>
      <w:r w:rsidR="00F810A6" w:rsidRPr="00433FE9">
        <w:rPr>
          <w:rFonts w:ascii="Calibri" w:eastAsia="Times New Roman" w:hAnsi="Calibri"/>
          <w:szCs w:val="20"/>
          <w:lang w:eastAsia="en-US"/>
        </w:rPr>
        <w:t>3</w:t>
      </w:r>
      <w:r w:rsidRPr="00433FE9">
        <w:rPr>
          <w:rFonts w:ascii="Calibri" w:eastAsia="Times New Roman" w:hAnsi="Calibri"/>
          <w:szCs w:val="20"/>
          <w:lang w:eastAsia="en-US"/>
        </w:rPr>
        <w:t> million. Actual revenue came to KCHF </w:t>
      </w:r>
      <w:r w:rsidR="00E025B7">
        <w:rPr>
          <w:rFonts w:ascii="Calibri" w:eastAsia="Times New Roman" w:hAnsi="Calibri"/>
          <w:szCs w:val="20"/>
          <w:lang w:eastAsia="en-US"/>
        </w:rPr>
        <w:t>377</w:t>
      </w:r>
      <w:r w:rsidRPr="00433FE9">
        <w:rPr>
          <w:rFonts w:ascii="Calibri" w:eastAsia="Times New Roman" w:hAnsi="Calibri"/>
          <w:szCs w:val="20"/>
          <w:lang w:eastAsia="en-US"/>
        </w:rPr>
        <w:t xml:space="preserve"> (</w:t>
      </w:r>
      <w:r w:rsidR="00F810A6" w:rsidRPr="00433FE9">
        <w:rPr>
          <w:rFonts w:ascii="Calibri" w:eastAsia="Times New Roman" w:hAnsi="Calibri"/>
          <w:szCs w:val="20"/>
          <w:lang w:eastAsia="en-US"/>
        </w:rPr>
        <w:t>K</w:t>
      </w:r>
      <w:r w:rsidRPr="00433FE9">
        <w:rPr>
          <w:rFonts w:ascii="Calibri" w:eastAsia="Times New Roman" w:hAnsi="Calibri"/>
          <w:szCs w:val="20"/>
          <w:lang w:eastAsia="en-US"/>
        </w:rPr>
        <w:t>CHF </w:t>
      </w:r>
      <w:r w:rsidR="00E025B7">
        <w:rPr>
          <w:rFonts w:ascii="Calibri" w:eastAsia="Times New Roman" w:hAnsi="Calibri"/>
          <w:szCs w:val="20"/>
          <w:lang w:eastAsia="en-US"/>
        </w:rPr>
        <w:t>29</w:t>
      </w:r>
      <w:r w:rsidR="00634C0A" w:rsidRPr="00433FE9">
        <w:rPr>
          <w:rFonts w:ascii="Calibri" w:eastAsia="Times New Roman" w:hAnsi="Calibri"/>
          <w:szCs w:val="20"/>
          <w:lang w:eastAsia="en-US"/>
        </w:rPr>
        <w:t> </w:t>
      </w:r>
      <w:r w:rsidRPr="00433FE9">
        <w:rPr>
          <w:rFonts w:ascii="Calibri" w:eastAsia="Times New Roman" w:hAnsi="Calibri"/>
          <w:szCs w:val="20"/>
          <w:lang w:eastAsia="en-US"/>
        </w:rPr>
        <w:t>in 201</w:t>
      </w:r>
      <w:r w:rsidR="00E025B7">
        <w:rPr>
          <w:rFonts w:ascii="Calibri" w:eastAsia="Times New Roman" w:hAnsi="Calibri"/>
          <w:szCs w:val="20"/>
          <w:lang w:eastAsia="en-US"/>
        </w:rPr>
        <w:t>7</w:t>
      </w:r>
      <w:r w:rsidRPr="00433FE9">
        <w:rPr>
          <w:rFonts w:ascii="Calibri" w:eastAsia="Times New Roman" w:hAnsi="Calibri"/>
          <w:szCs w:val="20"/>
          <w:lang w:eastAsia="en-US"/>
        </w:rPr>
        <w:t xml:space="preserve">). </w:t>
      </w:r>
      <w:r w:rsidR="00E025B7">
        <w:rPr>
          <w:rFonts w:ascii="Calibri" w:eastAsia="Times New Roman" w:hAnsi="Calibri"/>
          <w:szCs w:val="20"/>
          <w:lang w:eastAsia="en-US"/>
        </w:rPr>
        <w:t xml:space="preserve">Despite an unchanged situation of </w:t>
      </w:r>
      <w:r w:rsidR="00A23721">
        <w:rPr>
          <w:rFonts w:ascii="Calibri" w:eastAsia="Times New Roman" w:hAnsi="Calibri"/>
          <w:szCs w:val="20"/>
          <w:lang w:eastAsia="en-US"/>
        </w:rPr>
        <w:t xml:space="preserve">the market conditions related to </w:t>
      </w:r>
      <w:r w:rsidR="0069784D">
        <w:rPr>
          <w:rFonts w:ascii="Calibri" w:eastAsia="Times New Roman" w:hAnsi="Calibri"/>
          <w:szCs w:val="20"/>
          <w:lang w:eastAsia="en-US"/>
        </w:rPr>
        <w:t xml:space="preserve">the </w:t>
      </w:r>
      <w:r w:rsidR="00E025B7">
        <w:rPr>
          <w:rFonts w:ascii="Calibri" w:eastAsia="Times New Roman" w:hAnsi="Calibri"/>
          <w:szCs w:val="20"/>
          <w:lang w:eastAsia="en-US"/>
        </w:rPr>
        <w:t xml:space="preserve">Swiss </w:t>
      </w:r>
      <w:r w:rsidR="000536EE">
        <w:rPr>
          <w:rFonts w:ascii="Calibri" w:eastAsia="Times New Roman" w:hAnsi="Calibri"/>
          <w:szCs w:val="20"/>
          <w:lang w:eastAsia="en-US"/>
        </w:rPr>
        <w:t>F</w:t>
      </w:r>
      <w:r w:rsidR="00E025B7">
        <w:rPr>
          <w:rFonts w:ascii="Calibri" w:eastAsia="Times New Roman" w:hAnsi="Calibri"/>
          <w:szCs w:val="20"/>
          <w:lang w:eastAsia="en-US"/>
        </w:rPr>
        <w:t>rancs, the ITU was able to do some deposits in USD where rates with good return can be granted.</w:t>
      </w:r>
    </w:p>
    <w:p w:rsidR="001C064F" w:rsidRDefault="00CD36C4" w:rsidP="00D93704">
      <w:pPr>
        <w:pStyle w:val="Headingb"/>
        <w:tabs>
          <w:tab w:val="left" w:pos="851"/>
        </w:tabs>
        <w:spacing w:after="120"/>
        <w:jc w:val="both"/>
        <w:rPr>
          <w:lang w:val="en-US"/>
        </w:rPr>
      </w:pPr>
      <w:r w:rsidRPr="00772DA2">
        <w:rPr>
          <w:lang w:val="en-US"/>
        </w:rPr>
        <w:t>Expenses</w:t>
      </w:r>
    </w:p>
    <w:p w:rsidR="00AB1BCD" w:rsidRDefault="00CD36C4" w:rsidP="00D93704">
      <w:pPr>
        <w:pStyle w:val="Headingb"/>
        <w:numPr>
          <w:ilvl w:val="0"/>
          <w:numId w:val="35"/>
        </w:numPr>
        <w:tabs>
          <w:tab w:val="clear" w:pos="1134"/>
          <w:tab w:val="left" w:pos="0"/>
        </w:tabs>
        <w:snapToGrid w:val="0"/>
        <w:spacing w:before="0"/>
        <w:ind w:left="0" w:firstLine="0"/>
        <w:jc w:val="both"/>
        <w:rPr>
          <w:b w:val="0"/>
          <w:bCs/>
        </w:rPr>
      </w:pPr>
      <w:r w:rsidRPr="001C064F">
        <w:rPr>
          <w:b w:val="0"/>
          <w:bCs/>
        </w:rPr>
        <w:t>Information related to expenses</w:t>
      </w:r>
      <w:r w:rsidR="007D4BBA" w:rsidRPr="001C064F">
        <w:rPr>
          <w:b w:val="0"/>
          <w:bCs/>
        </w:rPr>
        <w:t xml:space="preserve"> is provided in </w:t>
      </w:r>
      <w:r w:rsidR="007D4BBA" w:rsidRPr="00E021D4">
        <w:rPr>
          <w:b w:val="0"/>
          <w:bCs/>
        </w:rPr>
        <w:t>Note 2</w:t>
      </w:r>
      <w:r w:rsidR="00524459">
        <w:rPr>
          <w:b w:val="0"/>
          <w:bCs/>
        </w:rPr>
        <w:t>3</w:t>
      </w:r>
      <w:r w:rsidRPr="001C064F">
        <w:rPr>
          <w:b w:val="0"/>
          <w:bCs/>
        </w:rPr>
        <w:t>.</w:t>
      </w:r>
    </w:p>
    <w:p w:rsidR="007910A8" w:rsidRPr="007910A8" w:rsidRDefault="007910A8" w:rsidP="00D93704">
      <w:pPr>
        <w:tabs>
          <w:tab w:val="clear" w:pos="1134"/>
          <w:tab w:val="left" w:pos="0"/>
        </w:tabs>
        <w:snapToGrid w:val="0"/>
        <w:spacing w:before="0"/>
      </w:pPr>
    </w:p>
    <w:p w:rsidR="00F9121C" w:rsidRPr="0035555F" w:rsidRDefault="00F9121C" w:rsidP="00D93704">
      <w:pPr>
        <w:pStyle w:val="ListParagraph"/>
        <w:numPr>
          <w:ilvl w:val="0"/>
          <w:numId w:val="35"/>
        </w:numPr>
        <w:tabs>
          <w:tab w:val="left" w:pos="0"/>
          <w:tab w:val="left" w:pos="567"/>
        </w:tabs>
        <w:adjustRightInd w:val="0"/>
        <w:snapToGrid w:val="0"/>
        <w:ind w:left="0" w:firstLine="0"/>
        <w:contextualSpacing w:val="0"/>
        <w:jc w:val="both"/>
        <w:rPr>
          <w:rFonts w:ascii="Calibri" w:eastAsia="Times New Roman" w:hAnsi="Calibri"/>
          <w:bCs/>
          <w:szCs w:val="20"/>
          <w:lang w:val="en-GB" w:eastAsia="en-US"/>
        </w:rPr>
      </w:pPr>
      <w:r w:rsidRPr="00F9121C">
        <w:rPr>
          <w:rFonts w:ascii="Calibri" w:eastAsia="Times New Roman" w:hAnsi="Calibri"/>
          <w:bCs/>
          <w:szCs w:val="20"/>
          <w:lang w:val="en-GB" w:eastAsia="en-US"/>
        </w:rPr>
        <w:t xml:space="preserve">Total expenditure of the Telecommunication Standardization </w:t>
      </w:r>
      <w:r w:rsidR="009213A2">
        <w:rPr>
          <w:rFonts w:ascii="Calibri" w:eastAsia="Times New Roman" w:hAnsi="Calibri"/>
          <w:bCs/>
          <w:szCs w:val="20"/>
          <w:lang w:val="en-GB" w:eastAsia="en-US"/>
        </w:rPr>
        <w:t>Bureau (TSB)</w:t>
      </w:r>
      <w:r w:rsidRPr="00F9121C">
        <w:rPr>
          <w:rFonts w:ascii="Calibri" w:eastAsia="Times New Roman" w:hAnsi="Calibri"/>
          <w:bCs/>
          <w:szCs w:val="20"/>
          <w:lang w:val="en-GB" w:eastAsia="en-US"/>
        </w:rPr>
        <w:t xml:space="preserve"> amounted to </w:t>
      </w:r>
      <w:r w:rsidR="00B10D41">
        <w:rPr>
          <w:rFonts w:ascii="Calibri" w:eastAsia="Times New Roman" w:hAnsi="Calibri"/>
          <w:bCs/>
          <w:szCs w:val="20"/>
          <w:lang w:val="en-GB" w:eastAsia="en-US"/>
        </w:rPr>
        <w:t>CHF </w:t>
      </w:r>
      <w:r w:rsidRPr="00F9121C">
        <w:rPr>
          <w:rFonts w:ascii="Calibri" w:eastAsia="Times New Roman" w:hAnsi="Calibri"/>
          <w:bCs/>
          <w:szCs w:val="20"/>
          <w:lang w:val="en-GB" w:eastAsia="en-US"/>
        </w:rPr>
        <w:t>13.2</w:t>
      </w:r>
      <w:r w:rsidR="00B10D41">
        <w:rPr>
          <w:rFonts w:ascii="Calibri" w:eastAsia="Times New Roman" w:hAnsi="Calibri"/>
          <w:bCs/>
          <w:szCs w:val="20"/>
          <w:lang w:val="en-GB" w:eastAsia="en-US"/>
        </w:rPr>
        <w:t> </w:t>
      </w:r>
      <w:r w:rsidRPr="00F9121C">
        <w:rPr>
          <w:rFonts w:ascii="Calibri" w:eastAsia="Times New Roman" w:hAnsi="Calibri"/>
          <w:bCs/>
          <w:szCs w:val="20"/>
          <w:lang w:val="en-GB" w:eastAsia="en-US"/>
        </w:rPr>
        <w:t xml:space="preserve">million in 2018, or 98 per cent of the approved budget of </w:t>
      </w:r>
      <w:r w:rsidR="00B10D41">
        <w:rPr>
          <w:rFonts w:ascii="Calibri" w:eastAsia="Times New Roman" w:hAnsi="Calibri"/>
          <w:bCs/>
          <w:szCs w:val="20"/>
          <w:lang w:val="en-GB" w:eastAsia="en-US"/>
        </w:rPr>
        <w:t>CHF </w:t>
      </w:r>
      <w:r w:rsidRPr="00F9121C">
        <w:rPr>
          <w:rFonts w:ascii="Calibri" w:eastAsia="Times New Roman" w:hAnsi="Calibri"/>
          <w:bCs/>
          <w:szCs w:val="20"/>
          <w:lang w:val="en-GB" w:eastAsia="en-US"/>
        </w:rPr>
        <w:t xml:space="preserve">13.5 million. The unspent balance of approximately </w:t>
      </w:r>
      <w:r w:rsidR="00B10D41">
        <w:rPr>
          <w:rFonts w:ascii="Calibri" w:eastAsia="Times New Roman" w:hAnsi="Calibri"/>
          <w:bCs/>
          <w:szCs w:val="20"/>
          <w:lang w:val="en-GB" w:eastAsia="en-US"/>
        </w:rPr>
        <w:t>CHF </w:t>
      </w:r>
      <w:r w:rsidRPr="00F9121C">
        <w:rPr>
          <w:rFonts w:ascii="Calibri" w:eastAsia="Times New Roman" w:hAnsi="Calibri"/>
          <w:bCs/>
          <w:szCs w:val="20"/>
          <w:lang w:val="en-GB" w:eastAsia="en-US"/>
        </w:rPr>
        <w:t>262k mainly comes from savings on staff expenses</w:t>
      </w:r>
      <w:r>
        <w:t>.</w:t>
      </w:r>
    </w:p>
    <w:p w:rsidR="0035555F" w:rsidRPr="0035555F" w:rsidRDefault="0035555F" w:rsidP="00D93704">
      <w:pPr>
        <w:pStyle w:val="ListParagraph"/>
        <w:tabs>
          <w:tab w:val="left" w:pos="0"/>
          <w:tab w:val="left" w:pos="567"/>
        </w:tabs>
        <w:ind w:left="0"/>
        <w:rPr>
          <w:rFonts w:ascii="Calibri" w:eastAsia="Times New Roman" w:hAnsi="Calibri"/>
          <w:bCs/>
          <w:szCs w:val="20"/>
          <w:lang w:val="en-GB" w:eastAsia="en-US"/>
        </w:rPr>
      </w:pPr>
    </w:p>
    <w:p w:rsidR="0035555F" w:rsidRDefault="0035555F" w:rsidP="00D93704">
      <w:pPr>
        <w:pStyle w:val="ListParagraph"/>
        <w:numPr>
          <w:ilvl w:val="0"/>
          <w:numId w:val="35"/>
        </w:numPr>
        <w:tabs>
          <w:tab w:val="left" w:pos="0"/>
          <w:tab w:val="left" w:pos="567"/>
        </w:tabs>
        <w:ind w:left="0" w:firstLine="0"/>
        <w:jc w:val="both"/>
        <w:rPr>
          <w:rFonts w:ascii="Calibri" w:eastAsia="Times New Roman" w:hAnsi="Calibri"/>
          <w:bCs/>
          <w:szCs w:val="20"/>
          <w:lang w:val="en-GB" w:eastAsia="en-US"/>
        </w:rPr>
      </w:pPr>
      <w:r>
        <w:rPr>
          <w:rFonts w:ascii="Calibri" w:eastAsia="Times New Roman" w:hAnsi="Calibri"/>
          <w:bCs/>
          <w:szCs w:val="20"/>
          <w:lang w:val="en-GB" w:eastAsia="en-US"/>
        </w:rPr>
        <w:t xml:space="preserve">During the 2018 period, </w:t>
      </w:r>
      <w:r w:rsidRPr="0035555F">
        <w:rPr>
          <w:rFonts w:ascii="Calibri" w:eastAsia="Times New Roman" w:hAnsi="Calibri"/>
          <w:bCs/>
          <w:szCs w:val="20"/>
          <w:lang w:val="en-GB" w:eastAsia="en-US"/>
        </w:rPr>
        <w:t xml:space="preserve">the budget of the Radiocommunication Bureau </w:t>
      </w:r>
      <w:r w:rsidR="009213A2">
        <w:rPr>
          <w:rFonts w:ascii="Calibri" w:eastAsia="Times New Roman" w:hAnsi="Calibri"/>
          <w:bCs/>
          <w:szCs w:val="20"/>
          <w:lang w:val="en-GB" w:eastAsia="en-US"/>
        </w:rPr>
        <w:t xml:space="preserve">(BR) </w:t>
      </w:r>
      <w:r w:rsidRPr="0035555F">
        <w:rPr>
          <w:rFonts w:ascii="Calibri" w:eastAsia="Times New Roman" w:hAnsi="Calibri"/>
          <w:bCs/>
          <w:szCs w:val="20"/>
          <w:lang w:val="en-GB" w:eastAsia="en-US"/>
        </w:rPr>
        <w:t>has been managed with rigour and in accordance with the established Financial</w:t>
      </w:r>
      <w:r w:rsidR="0076600A">
        <w:rPr>
          <w:rFonts w:ascii="Calibri" w:eastAsia="Times New Roman" w:hAnsi="Calibri"/>
          <w:bCs/>
          <w:szCs w:val="20"/>
          <w:lang w:val="en-GB" w:eastAsia="en-US"/>
        </w:rPr>
        <w:t xml:space="preserve"> Regulations and Financial</w:t>
      </w:r>
      <w:r w:rsidRPr="0035555F">
        <w:rPr>
          <w:rFonts w:ascii="Calibri" w:eastAsia="Times New Roman" w:hAnsi="Calibri"/>
          <w:bCs/>
          <w:szCs w:val="20"/>
          <w:lang w:val="en-GB" w:eastAsia="en-US"/>
        </w:rPr>
        <w:t xml:space="preserve"> Rules of the Union.</w:t>
      </w:r>
    </w:p>
    <w:p w:rsidR="0035555F" w:rsidRPr="00CC0CC8" w:rsidRDefault="0035555F" w:rsidP="00D93704">
      <w:pPr>
        <w:pStyle w:val="ListParagraph"/>
        <w:tabs>
          <w:tab w:val="left" w:pos="0"/>
          <w:tab w:val="left" w:pos="567"/>
        </w:tabs>
        <w:ind w:left="0"/>
        <w:jc w:val="both"/>
        <w:rPr>
          <w:rFonts w:ascii="Calibri" w:eastAsia="Times New Roman" w:hAnsi="Calibri" w:cs="Calibri"/>
          <w:bCs/>
          <w:szCs w:val="20"/>
          <w:lang w:val="en-GB" w:eastAsia="en-US"/>
        </w:rPr>
      </w:pPr>
    </w:p>
    <w:p w:rsidR="0035555F" w:rsidRPr="00CC0CC8" w:rsidRDefault="00CC0CC8" w:rsidP="00D93704">
      <w:pPr>
        <w:pStyle w:val="ListParagraph"/>
        <w:numPr>
          <w:ilvl w:val="0"/>
          <w:numId w:val="35"/>
        </w:numPr>
        <w:tabs>
          <w:tab w:val="left" w:pos="0"/>
          <w:tab w:val="left" w:pos="567"/>
        </w:tabs>
        <w:ind w:left="0" w:firstLine="0"/>
        <w:jc w:val="both"/>
        <w:rPr>
          <w:rFonts w:ascii="Calibri" w:eastAsia="Times New Roman" w:hAnsi="Calibri" w:cs="Calibri"/>
          <w:bCs/>
          <w:szCs w:val="20"/>
          <w:lang w:val="en-GB" w:eastAsia="en-US"/>
        </w:rPr>
      </w:pPr>
      <w:r w:rsidRPr="00CC0CC8">
        <w:rPr>
          <w:rFonts w:ascii="Calibri" w:hAnsi="Calibri" w:cs="Calibri"/>
          <w:lang w:eastAsia="en-US"/>
        </w:rPr>
        <w:t xml:space="preserve">During the ITU plenipotentiary conference’s </w:t>
      </w:r>
      <w:r w:rsidR="00A60719" w:rsidRPr="00CC0CC8">
        <w:rPr>
          <w:rFonts w:ascii="Calibri" w:hAnsi="Calibri" w:cs="Calibri"/>
          <w:lang w:eastAsia="en-US"/>
        </w:rPr>
        <w:t>preparatory meetings, the Radiocommunication Bureau had the opportunity to present its work to the membership.</w:t>
      </w:r>
    </w:p>
    <w:p w:rsidR="0035555F" w:rsidRPr="00CC0CC8" w:rsidRDefault="0035555F" w:rsidP="00D93704">
      <w:pPr>
        <w:pStyle w:val="ListParagraph"/>
        <w:tabs>
          <w:tab w:val="left" w:pos="0"/>
          <w:tab w:val="left" w:pos="567"/>
        </w:tabs>
        <w:ind w:left="0"/>
        <w:jc w:val="both"/>
        <w:rPr>
          <w:rFonts w:ascii="Calibri" w:eastAsia="Times New Roman" w:hAnsi="Calibri" w:cs="Calibri"/>
          <w:bCs/>
          <w:szCs w:val="20"/>
          <w:lang w:val="en-GB" w:eastAsia="en-US"/>
        </w:rPr>
      </w:pPr>
    </w:p>
    <w:p w:rsidR="0035555F" w:rsidRPr="00CC0CC8" w:rsidRDefault="00CC0CC8" w:rsidP="00D93704">
      <w:pPr>
        <w:pStyle w:val="ListParagraph"/>
        <w:numPr>
          <w:ilvl w:val="0"/>
          <w:numId w:val="35"/>
        </w:numPr>
        <w:tabs>
          <w:tab w:val="left" w:pos="0"/>
          <w:tab w:val="left" w:pos="567"/>
        </w:tabs>
        <w:ind w:left="0" w:firstLine="0"/>
        <w:jc w:val="both"/>
        <w:rPr>
          <w:rFonts w:ascii="Calibri" w:eastAsia="Times New Roman" w:hAnsi="Calibri" w:cs="Calibri"/>
          <w:bCs/>
          <w:szCs w:val="20"/>
          <w:lang w:val="en-GB" w:eastAsia="en-US"/>
        </w:rPr>
      </w:pPr>
      <w:r>
        <w:rPr>
          <w:rFonts w:ascii="Calibri" w:eastAsia="Times New Roman" w:hAnsi="Calibri" w:cs="Calibri"/>
          <w:bCs/>
          <w:szCs w:val="20"/>
          <w:lang w:val="en-GB" w:eastAsia="en-US"/>
        </w:rPr>
        <w:t>BR did its utmost to maintain the 2018 expenses within the limits approved in the budget.  Total expenditure of BR amounts to CHF 25 million in 2018 or 90 per cent of the approved budget of CHF 27.9 million.</w:t>
      </w:r>
    </w:p>
    <w:p w:rsidR="0087572A" w:rsidRPr="00CC0CC8" w:rsidRDefault="0087572A" w:rsidP="00D93704">
      <w:pPr>
        <w:pStyle w:val="ListParagraph"/>
        <w:tabs>
          <w:tab w:val="left" w:pos="0"/>
          <w:tab w:val="left" w:pos="567"/>
        </w:tabs>
        <w:ind w:left="0"/>
        <w:jc w:val="both"/>
        <w:rPr>
          <w:rFonts w:ascii="Calibri" w:eastAsia="Times New Roman" w:hAnsi="Calibri" w:cs="Calibri"/>
          <w:bCs/>
          <w:szCs w:val="20"/>
          <w:lang w:val="en-GB" w:eastAsia="en-US"/>
        </w:rPr>
      </w:pPr>
    </w:p>
    <w:p w:rsidR="0087572A" w:rsidRPr="0087572A" w:rsidRDefault="00654CDE" w:rsidP="00D93704">
      <w:pPr>
        <w:pStyle w:val="ListParagraph"/>
        <w:numPr>
          <w:ilvl w:val="0"/>
          <w:numId w:val="35"/>
        </w:numPr>
        <w:tabs>
          <w:tab w:val="left" w:pos="0"/>
          <w:tab w:val="left" w:pos="567"/>
        </w:tabs>
        <w:snapToGrid w:val="0"/>
        <w:ind w:left="0" w:firstLine="0"/>
        <w:contextualSpacing w:val="0"/>
        <w:jc w:val="both"/>
        <w:rPr>
          <w:rFonts w:ascii="Calibri" w:eastAsia="Times New Roman" w:hAnsi="Calibri"/>
          <w:bCs/>
          <w:szCs w:val="20"/>
          <w:lang w:val="en-GB" w:eastAsia="en-US"/>
        </w:rPr>
      </w:pPr>
      <w:r>
        <w:rPr>
          <w:rFonts w:ascii="Calibri" w:eastAsia="Times New Roman" w:hAnsi="Calibri"/>
          <w:bCs/>
          <w:lang w:val="en-GB" w:eastAsia="en-US"/>
        </w:rPr>
        <w:t xml:space="preserve">The year </w:t>
      </w:r>
      <w:r w:rsidR="0087572A" w:rsidRPr="0087572A">
        <w:rPr>
          <w:rFonts w:ascii="Calibri" w:eastAsia="Times New Roman" w:hAnsi="Calibri"/>
          <w:bCs/>
          <w:lang w:val="en-GB" w:eastAsia="en-US"/>
        </w:rPr>
        <w:t xml:space="preserve">2018 was important for </w:t>
      </w:r>
      <w:r w:rsidR="009213A2">
        <w:rPr>
          <w:rFonts w:ascii="Calibri" w:eastAsia="Times New Roman" w:hAnsi="Calibri"/>
          <w:bCs/>
          <w:lang w:val="en-GB" w:eastAsia="en-US"/>
        </w:rPr>
        <w:t>the Telecommunication Development Bureau (</w:t>
      </w:r>
      <w:r w:rsidR="0087572A" w:rsidRPr="0087572A">
        <w:rPr>
          <w:rFonts w:ascii="Calibri" w:eastAsia="Times New Roman" w:hAnsi="Calibri"/>
          <w:bCs/>
          <w:lang w:val="en-GB" w:eastAsia="en-US"/>
        </w:rPr>
        <w:t>BDT</w:t>
      </w:r>
      <w:r w:rsidR="009213A2">
        <w:rPr>
          <w:rFonts w:ascii="Calibri" w:eastAsia="Times New Roman" w:hAnsi="Calibri"/>
          <w:bCs/>
          <w:lang w:val="en-GB" w:eastAsia="en-US"/>
        </w:rPr>
        <w:t>)</w:t>
      </w:r>
      <w:r w:rsidR="0087572A" w:rsidRPr="0087572A">
        <w:rPr>
          <w:rFonts w:ascii="Calibri" w:eastAsia="Times New Roman" w:hAnsi="Calibri"/>
          <w:bCs/>
          <w:lang w:val="en-GB" w:eastAsia="en-US"/>
        </w:rPr>
        <w:t>.  The 23rd meeting of the Telecommunication Development Advisory Group (TDAG) took place from 9</w:t>
      </w:r>
      <w:r w:rsidR="009213A2">
        <w:rPr>
          <w:rFonts w:ascii="Calibri" w:eastAsia="Times New Roman" w:hAnsi="Calibri"/>
          <w:bCs/>
          <w:lang w:val="en-GB" w:eastAsia="en-US"/>
        </w:rPr>
        <w:t> </w:t>
      </w:r>
      <w:r w:rsidR="0087572A" w:rsidRPr="0087572A">
        <w:rPr>
          <w:rFonts w:ascii="Calibri" w:eastAsia="Times New Roman" w:hAnsi="Calibri"/>
          <w:bCs/>
          <w:lang w:val="en-GB" w:eastAsia="en-US"/>
        </w:rPr>
        <w:t>to</w:t>
      </w:r>
      <w:r w:rsidR="009213A2">
        <w:rPr>
          <w:rFonts w:ascii="Calibri" w:eastAsia="Times New Roman" w:hAnsi="Calibri"/>
          <w:bCs/>
          <w:lang w:val="en-GB" w:eastAsia="en-US"/>
        </w:rPr>
        <w:t> </w:t>
      </w:r>
      <w:r w:rsidR="0087572A" w:rsidRPr="0087572A">
        <w:rPr>
          <w:rFonts w:ascii="Calibri" w:eastAsia="Times New Roman" w:hAnsi="Calibri"/>
          <w:bCs/>
          <w:lang w:val="en-GB" w:eastAsia="en-US"/>
        </w:rPr>
        <w:t xml:space="preserve">11 April 2018 at ITU headquarters in Geneva.  The 18th </w:t>
      </w:r>
      <w:r>
        <w:rPr>
          <w:rFonts w:ascii="Calibri" w:eastAsia="Times New Roman" w:hAnsi="Calibri"/>
          <w:bCs/>
          <w:lang w:val="en-GB" w:eastAsia="en-US"/>
        </w:rPr>
        <w:t>E</w:t>
      </w:r>
      <w:r w:rsidR="0087572A" w:rsidRPr="0087572A">
        <w:rPr>
          <w:rFonts w:ascii="Calibri" w:eastAsia="Times New Roman" w:hAnsi="Calibri"/>
          <w:bCs/>
          <w:lang w:val="en-GB" w:eastAsia="en-US"/>
        </w:rPr>
        <w:t>dition of the Global Symposium for Regulators (GSR) was held from 9 to 12</w:t>
      </w:r>
      <w:r w:rsidR="00557B83">
        <w:rPr>
          <w:rFonts w:ascii="Calibri" w:eastAsia="Times New Roman" w:hAnsi="Calibri"/>
          <w:bCs/>
          <w:lang w:val="en-GB" w:eastAsia="en-US"/>
        </w:rPr>
        <w:t> </w:t>
      </w:r>
      <w:r w:rsidR="0087572A" w:rsidRPr="0087572A">
        <w:rPr>
          <w:rFonts w:ascii="Calibri" w:eastAsia="Times New Roman" w:hAnsi="Calibri"/>
          <w:bCs/>
          <w:lang w:val="en-GB" w:eastAsia="en-US"/>
        </w:rPr>
        <w:t xml:space="preserve">July </w:t>
      </w:r>
      <w:r>
        <w:rPr>
          <w:rFonts w:ascii="Calibri" w:eastAsia="Times New Roman" w:hAnsi="Calibri"/>
          <w:bCs/>
          <w:lang w:val="en-GB" w:eastAsia="en-US"/>
        </w:rPr>
        <w:t xml:space="preserve">2018 </w:t>
      </w:r>
      <w:r w:rsidR="0087572A" w:rsidRPr="0087572A">
        <w:rPr>
          <w:rFonts w:ascii="Calibri" w:eastAsia="Times New Roman" w:hAnsi="Calibri"/>
          <w:bCs/>
          <w:lang w:val="en-GB" w:eastAsia="en-US"/>
        </w:rPr>
        <w:t>in Geneva under the theme of “New Regulatory Frontiers”.  The 16th World Telecommunication/ICT Indicators Symposium (WTIS) was held in Geneva from 10 to 12 December</w:t>
      </w:r>
      <w:r>
        <w:rPr>
          <w:rFonts w:ascii="Calibri" w:eastAsia="Times New Roman" w:hAnsi="Calibri"/>
          <w:bCs/>
          <w:lang w:val="en-GB" w:eastAsia="en-US"/>
        </w:rPr>
        <w:t xml:space="preserve"> 2018</w:t>
      </w:r>
      <w:r w:rsidR="0087572A" w:rsidRPr="0087572A">
        <w:rPr>
          <w:rFonts w:ascii="Calibri" w:eastAsia="Times New Roman" w:hAnsi="Calibri"/>
          <w:bCs/>
          <w:lang w:val="en-GB" w:eastAsia="en-US"/>
        </w:rPr>
        <w:t>.</w:t>
      </w:r>
    </w:p>
    <w:p w:rsidR="0087572A" w:rsidRPr="0087572A" w:rsidRDefault="0087572A" w:rsidP="00D93704">
      <w:pPr>
        <w:pStyle w:val="ListParagraph"/>
        <w:tabs>
          <w:tab w:val="left" w:pos="0"/>
          <w:tab w:val="left" w:pos="567"/>
        </w:tabs>
        <w:ind w:left="0"/>
        <w:jc w:val="both"/>
        <w:rPr>
          <w:rFonts w:ascii="Calibri" w:eastAsia="Times New Roman" w:hAnsi="Calibri"/>
          <w:bCs/>
          <w:lang w:val="en-GB" w:eastAsia="en-US"/>
        </w:rPr>
      </w:pPr>
    </w:p>
    <w:p w:rsidR="0087572A" w:rsidRPr="0087572A" w:rsidRDefault="0087572A" w:rsidP="00D93704">
      <w:pPr>
        <w:pStyle w:val="ListParagraph"/>
        <w:numPr>
          <w:ilvl w:val="0"/>
          <w:numId w:val="35"/>
        </w:numPr>
        <w:tabs>
          <w:tab w:val="left" w:pos="0"/>
          <w:tab w:val="left" w:pos="567"/>
        </w:tabs>
        <w:snapToGrid w:val="0"/>
        <w:ind w:left="0" w:firstLine="0"/>
        <w:contextualSpacing w:val="0"/>
        <w:jc w:val="both"/>
        <w:rPr>
          <w:rFonts w:ascii="Calibri" w:eastAsia="Times New Roman" w:hAnsi="Calibri"/>
          <w:bCs/>
          <w:szCs w:val="20"/>
          <w:lang w:val="en-GB" w:eastAsia="en-US"/>
        </w:rPr>
      </w:pPr>
      <w:r w:rsidRPr="0087572A">
        <w:rPr>
          <w:rFonts w:ascii="Calibri" w:eastAsia="Times New Roman" w:hAnsi="Calibri"/>
          <w:bCs/>
          <w:lang w:val="en-GB" w:eastAsia="en-US"/>
        </w:rPr>
        <w:t>BDT carried out numerous capacity building</w:t>
      </w:r>
      <w:r w:rsidR="00654CDE">
        <w:rPr>
          <w:rFonts w:ascii="Calibri" w:eastAsia="Times New Roman" w:hAnsi="Calibri"/>
          <w:bCs/>
          <w:lang w:val="en-GB" w:eastAsia="en-US"/>
        </w:rPr>
        <w:t>s</w:t>
      </w:r>
      <w:r w:rsidRPr="0087572A">
        <w:rPr>
          <w:rFonts w:ascii="Calibri" w:eastAsia="Times New Roman" w:hAnsi="Calibri"/>
          <w:bCs/>
          <w:lang w:val="en-GB" w:eastAsia="en-US"/>
        </w:rPr>
        <w:t>, support and assistance program</w:t>
      </w:r>
      <w:r w:rsidR="00557B83">
        <w:rPr>
          <w:rFonts w:ascii="Calibri" w:eastAsia="Times New Roman" w:hAnsi="Calibri"/>
          <w:bCs/>
          <w:lang w:val="en-GB" w:eastAsia="en-US"/>
        </w:rPr>
        <w:t>me</w:t>
      </w:r>
      <w:r w:rsidRPr="0087572A">
        <w:rPr>
          <w:rFonts w:ascii="Calibri" w:eastAsia="Times New Roman" w:hAnsi="Calibri"/>
          <w:bCs/>
          <w:lang w:val="en-GB" w:eastAsia="en-US"/>
        </w:rPr>
        <w:t>s in the field of telecommunication/ICT for the benefit of ITU membership.  Partnership and resource mobilization were further enhanced in 2018.</w:t>
      </w:r>
    </w:p>
    <w:p w:rsidR="0087572A" w:rsidRPr="0087572A" w:rsidRDefault="0087572A" w:rsidP="00D93704">
      <w:pPr>
        <w:pStyle w:val="ListParagraph"/>
        <w:tabs>
          <w:tab w:val="left" w:pos="0"/>
          <w:tab w:val="left" w:pos="567"/>
        </w:tabs>
        <w:ind w:left="0"/>
        <w:jc w:val="both"/>
        <w:rPr>
          <w:rFonts w:ascii="Calibri" w:eastAsia="Times New Roman" w:hAnsi="Calibri"/>
          <w:bCs/>
          <w:lang w:val="en-GB" w:eastAsia="en-US"/>
        </w:rPr>
      </w:pPr>
    </w:p>
    <w:p w:rsidR="0087572A" w:rsidRPr="0087572A" w:rsidRDefault="0087572A" w:rsidP="00D93704">
      <w:pPr>
        <w:pStyle w:val="ListParagraph"/>
        <w:numPr>
          <w:ilvl w:val="0"/>
          <w:numId w:val="35"/>
        </w:numPr>
        <w:tabs>
          <w:tab w:val="left" w:pos="0"/>
          <w:tab w:val="left" w:pos="567"/>
        </w:tabs>
        <w:snapToGrid w:val="0"/>
        <w:ind w:left="0" w:firstLine="0"/>
        <w:contextualSpacing w:val="0"/>
        <w:jc w:val="both"/>
        <w:rPr>
          <w:rFonts w:ascii="Calibri" w:eastAsia="Times New Roman" w:hAnsi="Calibri"/>
          <w:bCs/>
          <w:szCs w:val="20"/>
          <w:lang w:val="en-GB" w:eastAsia="en-US"/>
        </w:rPr>
      </w:pPr>
      <w:r w:rsidRPr="0087572A">
        <w:rPr>
          <w:rFonts w:ascii="Calibri" w:eastAsia="Times New Roman" w:hAnsi="Calibri"/>
          <w:bCs/>
          <w:lang w:val="en-GB" w:eastAsia="en-US"/>
        </w:rPr>
        <w:t xml:space="preserve">In total, 38 new partnership agreements were signed with various stakeholders.  </w:t>
      </w:r>
      <w:r>
        <w:rPr>
          <w:rFonts w:ascii="Calibri" w:eastAsia="Times New Roman" w:hAnsi="Calibri"/>
          <w:bCs/>
          <w:lang w:val="en-GB" w:eastAsia="en-US"/>
        </w:rPr>
        <w:t xml:space="preserve">A detailed situation </w:t>
      </w:r>
      <w:r w:rsidRPr="0087572A">
        <w:rPr>
          <w:rFonts w:ascii="Calibri" w:eastAsia="Times New Roman" w:hAnsi="Calibri"/>
          <w:bCs/>
          <w:lang w:val="en-GB" w:eastAsia="en-US"/>
        </w:rPr>
        <w:t xml:space="preserve">on all areas of activities carried out by BDT </w:t>
      </w:r>
      <w:r>
        <w:rPr>
          <w:rFonts w:ascii="Calibri" w:eastAsia="Times New Roman" w:hAnsi="Calibri"/>
          <w:bCs/>
          <w:lang w:val="en-GB" w:eastAsia="en-US"/>
        </w:rPr>
        <w:t xml:space="preserve">is presented </w:t>
      </w:r>
      <w:r w:rsidR="007F1A93">
        <w:rPr>
          <w:rFonts w:ascii="Calibri" w:eastAsia="Times New Roman" w:hAnsi="Calibri"/>
          <w:bCs/>
          <w:lang w:val="en-GB" w:eastAsia="en-US"/>
        </w:rPr>
        <w:t xml:space="preserve">through </w:t>
      </w:r>
      <w:r w:rsidR="007F1A93" w:rsidRPr="0087572A">
        <w:rPr>
          <w:rFonts w:ascii="Calibri" w:eastAsia="Times New Roman" w:hAnsi="Calibri"/>
          <w:bCs/>
          <w:lang w:val="en-GB" w:eastAsia="en-US"/>
        </w:rPr>
        <w:t>the</w:t>
      </w:r>
      <w:r w:rsidRPr="0087572A">
        <w:rPr>
          <w:rFonts w:ascii="Calibri" w:eastAsia="Times New Roman" w:hAnsi="Calibri"/>
          <w:bCs/>
          <w:lang w:val="en-GB" w:eastAsia="en-US"/>
        </w:rPr>
        <w:t xml:space="preserve"> 2018 Performance Report</w:t>
      </w:r>
      <w:r>
        <w:rPr>
          <w:rFonts w:ascii="Calibri" w:eastAsia="Times New Roman" w:hAnsi="Calibri"/>
          <w:bCs/>
          <w:lang w:val="en-GB" w:eastAsia="en-US"/>
        </w:rPr>
        <w:t>.</w:t>
      </w:r>
    </w:p>
    <w:p w:rsidR="0087572A" w:rsidRPr="0087572A" w:rsidRDefault="0087572A" w:rsidP="00D93704">
      <w:pPr>
        <w:pStyle w:val="ListParagraph"/>
        <w:tabs>
          <w:tab w:val="left" w:pos="0"/>
          <w:tab w:val="left" w:pos="567"/>
        </w:tabs>
        <w:ind w:left="0"/>
        <w:jc w:val="both"/>
        <w:rPr>
          <w:rFonts w:ascii="Calibri" w:eastAsia="Times New Roman" w:hAnsi="Calibri"/>
          <w:bCs/>
          <w:szCs w:val="20"/>
          <w:highlight w:val="yellow"/>
          <w:lang w:val="en-GB" w:eastAsia="en-US"/>
        </w:rPr>
      </w:pPr>
    </w:p>
    <w:p w:rsidR="0087572A" w:rsidRDefault="0087572A" w:rsidP="00D93704">
      <w:pPr>
        <w:pStyle w:val="ListParagraph"/>
        <w:numPr>
          <w:ilvl w:val="0"/>
          <w:numId w:val="35"/>
        </w:numPr>
        <w:tabs>
          <w:tab w:val="left" w:pos="0"/>
          <w:tab w:val="left" w:pos="567"/>
        </w:tabs>
        <w:spacing w:before="60"/>
        <w:ind w:left="0" w:firstLine="0"/>
        <w:jc w:val="both"/>
        <w:rPr>
          <w:rFonts w:ascii="Calibri" w:eastAsia="Times New Roman" w:hAnsi="Calibri" w:cstheme="minorBidi"/>
          <w:bCs/>
          <w:lang w:val="en-GB" w:eastAsia="en-US"/>
        </w:rPr>
      </w:pPr>
      <w:r w:rsidRPr="000863EA">
        <w:rPr>
          <w:rFonts w:ascii="Calibri" w:eastAsia="Times New Roman" w:hAnsi="Calibri" w:cstheme="minorBidi"/>
          <w:bCs/>
          <w:lang w:val="en-GB" w:eastAsia="en-US"/>
        </w:rPr>
        <w:t xml:space="preserve">As at 31 December 2018, out of </w:t>
      </w:r>
      <w:r w:rsidR="00557B83">
        <w:rPr>
          <w:rFonts w:ascii="Calibri" w:eastAsia="Times New Roman" w:hAnsi="Calibri" w:cstheme="minorBidi"/>
          <w:bCs/>
          <w:lang w:val="en-GB" w:eastAsia="en-US"/>
        </w:rPr>
        <w:t xml:space="preserve">a </w:t>
      </w:r>
      <w:r w:rsidRPr="000863EA">
        <w:rPr>
          <w:rFonts w:ascii="Calibri" w:eastAsia="Times New Roman" w:hAnsi="Calibri" w:cstheme="minorBidi"/>
          <w:bCs/>
          <w:lang w:val="en-GB" w:eastAsia="en-US"/>
        </w:rPr>
        <w:t>total of 253 actions (specific activities) planned for 2018 by BDT from the operational budget, 251 have been implemented and 2 were postponed.</w:t>
      </w:r>
    </w:p>
    <w:p w:rsidR="0087572A" w:rsidRPr="0087572A" w:rsidRDefault="0087572A" w:rsidP="00D93704">
      <w:pPr>
        <w:pStyle w:val="ListParagraph"/>
        <w:tabs>
          <w:tab w:val="left" w:pos="0"/>
          <w:tab w:val="left" w:pos="567"/>
        </w:tabs>
        <w:snapToGrid w:val="0"/>
        <w:ind w:left="0"/>
        <w:contextualSpacing w:val="0"/>
        <w:jc w:val="both"/>
        <w:rPr>
          <w:rFonts w:ascii="Calibri" w:eastAsia="Times New Roman" w:hAnsi="Calibri"/>
          <w:bCs/>
          <w:szCs w:val="20"/>
          <w:highlight w:val="yellow"/>
          <w:lang w:val="en-GB" w:eastAsia="en-US"/>
        </w:rPr>
      </w:pPr>
    </w:p>
    <w:p w:rsidR="0087572A" w:rsidRPr="00B754E3" w:rsidRDefault="009213A2" w:rsidP="00D93704">
      <w:pPr>
        <w:pStyle w:val="ListParagraph"/>
        <w:numPr>
          <w:ilvl w:val="0"/>
          <w:numId w:val="35"/>
        </w:numPr>
        <w:tabs>
          <w:tab w:val="left" w:pos="0"/>
          <w:tab w:val="left" w:pos="567"/>
        </w:tabs>
        <w:spacing w:before="60"/>
        <w:ind w:left="0" w:firstLine="0"/>
        <w:jc w:val="both"/>
        <w:rPr>
          <w:rFonts w:ascii="Calibri" w:eastAsia="Times New Roman" w:hAnsi="Calibri"/>
          <w:bCs/>
          <w:lang w:val="en-GB" w:eastAsia="en-US"/>
        </w:rPr>
      </w:pPr>
      <w:r>
        <w:rPr>
          <w:rFonts w:ascii="Calibri" w:eastAsia="Times New Roman" w:hAnsi="Calibri"/>
          <w:bCs/>
          <w:lang w:val="en-GB" w:eastAsia="en-US"/>
        </w:rPr>
        <w:t>The t</w:t>
      </w:r>
      <w:r w:rsidR="0087572A" w:rsidRPr="00921D54">
        <w:rPr>
          <w:rFonts w:ascii="Calibri" w:eastAsia="Times New Roman" w:hAnsi="Calibri"/>
          <w:bCs/>
          <w:lang w:val="en-GB" w:eastAsia="en-US"/>
        </w:rPr>
        <w:t xml:space="preserve">otal expenditure of BDT amounted to </w:t>
      </w:r>
      <w:r>
        <w:rPr>
          <w:rFonts w:ascii="Calibri" w:eastAsia="Times New Roman" w:hAnsi="Calibri"/>
          <w:bCs/>
          <w:lang w:val="en-GB" w:eastAsia="en-US"/>
        </w:rPr>
        <w:t>CHF </w:t>
      </w:r>
      <w:r w:rsidR="0087572A" w:rsidRPr="00921D54">
        <w:rPr>
          <w:rFonts w:ascii="Calibri" w:eastAsia="Times New Roman" w:hAnsi="Calibri"/>
          <w:bCs/>
          <w:lang w:val="en-GB" w:eastAsia="en-US"/>
        </w:rPr>
        <w:t xml:space="preserve">26.9 million in 2018, or 96.5 per cent of the approved budget of </w:t>
      </w:r>
      <w:r w:rsidR="00557B83">
        <w:rPr>
          <w:rFonts w:ascii="Calibri" w:eastAsia="Times New Roman" w:hAnsi="Calibri"/>
          <w:bCs/>
          <w:lang w:val="en-GB" w:eastAsia="en-US"/>
        </w:rPr>
        <w:t>CHF </w:t>
      </w:r>
      <w:r w:rsidR="0087572A" w:rsidRPr="00921D54">
        <w:rPr>
          <w:rFonts w:ascii="Calibri" w:eastAsia="Times New Roman" w:hAnsi="Calibri"/>
          <w:bCs/>
          <w:lang w:val="en-GB" w:eastAsia="en-US"/>
        </w:rPr>
        <w:t xml:space="preserve">27.8 million. The overall savings amounted to </w:t>
      </w:r>
      <w:r w:rsidR="00557B83">
        <w:rPr>
          <w:rFonts w:ascii="Calibri" w:eastAsia="Times New Roman" w:hAnsi="Calibri"/>
          <w:bCs/>
          <w:lang w:val="en-GB" w:eastAsia="en-US"/>
        </w:rPr>
        <w:t>CHF </w:t>
      </w:r>
      <w:r w:rsidR="0087572A" w:rsidRPr="00921D54">
        <w:rPr>
          <w:rFonts w:ascii="Calibri" w:eastAsia="Times New Roman" w:hAnsi="Calibri"/>
          <w:bCs/>
          <w:lang w:val="en-GB" w:eastAsia="en-US"/>
        </w:rPr>
        <w:t>0.9 million, mainly under staff costs.</w:t>
      </w:r>
    </w:p>
    <w:p w:rsidR="0035555F" w:rsidRPr="0035555F" w:rsidRDefault="0035555F" w:rsidP="00AE5E9A">
      <w:pPr>
        <w:pStyle w:val="ListParagraph"/>
        <w:tabs>
          <w:tab w:val="left" w:pos="0"/>
        </w:tabs>
        <w:ind w:left="0"/>
        <w:rPr>
          <w:rFonts w:ascii="Calibri" w:eastAsia="Times New Roman" w:hAnsi="Calibri"/>
          <w:bCs/>
          <w:szCs w:val="20"/>
          <w:lang w:val="en-GB" w:eastAsia="en-US"/>
        </w:rPr>
      </w:pPr>
    </w:p>
    <w:p w:rsidR="00CD36C4" w:rsidRPr="00772DA2" w:rsidRDefault="00375257" w:rsidP="00EB3EEF">
      <w:pPr>
        <w:pStyle w:val="Headingb"/>
        <w:tabs>
          <w:tab w:val="clear" w:pos="567"/>
          <w:tab w:val="left" w:pos="851"/>
        </w:tabs>
        <w:spacing w:before="0"/>
        <w:jc w:val="both"/>
        <w:rPr>
          <w:lang w:val="en-US"/>
        </w:rPr>
      </w:pPr>
      <w:r>
        <w:rPr>
          <w:lang w:val="en-US"/>
        </w:rPr>
        <w:t>Ex</w:t>
      </w:r>
      <w:r w:rsidR="00CD36C4" w:rsidRPr="00772DA2">
        <w:rPr>
          <w:lang w:val="en-US"/>
        </w:rPr>
        <w:t>penses not foreseen in the budget</w:t>
      </w:r>
    </w:p>
    <w:p w:rsidR="00494DE0" w:rsidRDefault="00494DE0" w:rsidP="00D93704">
      <w:pPr>
        <w:pStyle w:val="ListParagraph"/>
        <w:numPr>
          <w:ilvl w:val="0"/>
          <w:numId w:val="35"/>
        </w:numPr>
        <w:tabs>
          <w:tab w:val="left" w:pos="567"/>
        </w:tabs>
        <w:spacing w:before="160"/>
        <w:ind w:left="0" w:firstLine="0"/>
        <w:jc w:val="both"/>
        <w:rPr>
          <w:rFonts w:ascii="Calibri" w:eastAsia="Times New Roman" w:hAnsi="Calibri"/>
          <w:lang w:eastAsia="en-US"/>
        </w:rPr>
      </w:pPr>
      <w:r w:rsidRPr="00747E30">
        <w:rPr>
          <w:rFonts w:ascii="Calibri" w:eastAsia="Times New Roman" w:hAnsi="Calibri"/>
          <w:lang w:eastAsia="en-US"/>
        </w:rPr>
        <w:t>An amount of CHF </w:t>
      </w:r>
      <w:r w:rsidR="00BE0E59">
        <w:rPr>
          <w:rFonts w:ascii="Calibri" w:eastAsia="Times New Roman" w:hAnsi="Calibri"/>
          <w:lang w:eastAsia="en-US"/>
        </w:rPr>
        <w:t>22.2</w:t>
      </w:r>
      <w:r w:rsidR="005E25BD">
        <w:rPr>
          <w:rFonts w:ascii="Calibri" w:eastAsia="Times New Roman" w:hAnsi="Calibri"/>
          <w:lang w:eastAsia="en-US"/>
        </w:rPr>
        <w:t>2</w:t>
      </w:r>
      <w:r w:rsidRPr="00747E30">
        <w:rPr>
          <w:rFonts w:ascii="Calibri" w:eastAsia="Times New Roman" w:hAnsi="Calibri"/>
          <w:lang w:eastAsia="en-US"/>
        </w:rPr>
        <w:t xml:space="preserve"> million was recognized as expense for adjustment of the After-Service Health Insurance (ASHI) provision for employees.</w:t>
      </w:r>
    </w:p>
    <w:p w:rsidR="00747E30" w:rsidRPr="00747E30" w:rsidRDefault="00747E30" w:rsidP="00D93704">
      <w:pPr>
        <w:pStyle w:val="ListParagraph"/>
        <w:tabs>
          <w:tab w:val="left" w:pos="567"/>
        </w:tabs>
        <w:ind w:left="0"/>
        <w:jc w:val="both"/>
        <w:rPr>
          <w:rFonts w:ascii="Calibri" w:eastAsia="Times New Roman" w:hAnsi="Calibri"/>
          <w:lang w:eastAsia="en-US"/>
        </w:rPr>
      </w:pPr>
    </w:p>
    <w:p w:rsidR="00CB657D" w:rsidRDefault="00CD36C4" w:rsidP="00D93704">
      <w:pPr>
        <w:pStyle w:val="ListParagraph"/>
        <w:numPr>
          <w:ilvl w:val="0"/>
          <w:numId w:val="35"/>
        </w:numPr>
        <w:tabs>
          <w:tab w:val="left" w:pos="567"/>
        </w:tabs>
        <w:ind w:left="0" w:firstLine="0"/>
        <w:jc w:val="both"/>
      </w:pPr>
      <w:r w:rsidRPr="00747E30">
        <w:rPr>
          <w:rFonts w:ascii="Calibri" w:eastAsia="Times New Roman" w:hAnsi="Calibri"/>
          <w:lang w:eastAsia="en-US"/>
        </w:rPr>
        <w:t xml:space="preserve">An in-kind contribution was recognized as both an expense and </w:t>
      </w:r>
      <w:r w:rsidR="00BA43BB">
        <w:rPr>
          <w:rFonts w:ascii="Calibri" w:eastAsia="Times New Roman" w:hAnsi="Calibri"/>
          <w:lang w:eastAsia="en-US"/>
        </w:rPr>
        <w:t xml:space="preserve">a </w:t>
      </w:r>
      <w:r w:rsidR="005E6DA7" w:rsidRPr="00747E30">
        <w:rPr>
          <w:rFonts w:ascii="Calibri" w:eastAsia="Times New Roman" w:hAnsi="Calibri"/>
          <w:lang w:eastAsia="en-US"/>
        </w:rPr>
        <w:t>revenue</w:t>
      </w:r>
      <w:r w:rsidRPr="00747E30">
        <w:rPr>
          <w:rFonts w:ascii="Calibri" w:eastAsia="Times New Roman" w:hAnsi="Calibri"/>
          <w:lang w:eastAsia="en-US"/>
        </w:rPr>
        <w:t>. This recognition of the in-kind contribution is further to the Swiss Parliament</w:t>
      </w:r>
      <w:r w:rsidR="007A552E" w:rsidRPr="00747E30">
        <w:rPr>
          <w:rFonts w:ascii="Calibri" w:eastAsia="Times New Roman" w:hAnsi="Calibri"/>
          <w:lang w:eastAsia="en-US"/>
        </w:rPr>
        <w:t>’</w:t>
      </w:r>
      <w:r w:rsidRPr="00747E30">
        <w:rPr>
          <w:rFonts w:ascii="Calibri" w:eastAsia="Times New Roman" w:hAnsi="Calibri"/>
          <w:lang w:eastAsia="en-US"/>
        </w:rPr>
        <w:t>s decision, which took effect on 1</w:t>
      </w:r>
      <w:r w:rsidR="00AA20AB" w:rsidRPr="00747E30">
        <w:rPr>
          <w:rFonts w:ascii="Calibri" w:eastAsia="Times New Roman" w:hAnsi="Calibri"/>
          <w:lang w:eastAsia="en-US"/>
        </w:rPr>
        <w:t> </w:t>
      </w:r>
      <w:r w:rsidRPr="00747E30">
        <w:rPr>
          <w:rFonts w:ascii="Calibri" w:eastAsia="Times New Roman" w:hAnsi="Calibri"/>
          <w:lang w:eastAsia="en-US"/>
        </w:rPr>
        <w:t>January</w:t>
      </w:r>
      <w:r w:rsidR="00AA20AB" w:rsidRPr="00747E30">
        <w:rPr>
          <w:rFonts w:ascii="Calibri" w:eastAsia="Times New Roman" w:hAnsi="Calibri"/>
          <w:lang w:eastAsia="en-US"/>
        </w:rPr>
        <w:t> </w:t>
      </w:r>
      <w:r w:rsidRPr="00747E30">
        <w:rPr>
          <w:rFonts w:ascii="Calibri" w:eastAsia="Times New Roman" w:hAnsi="Calibri"/>
          <w:lang w:eastAsia="en-US"/>
        </w:rPr>
        <w:t>1996, to cease charging interest on loans granted by the Building Foundation for International Organizati</w:t>
      </w:r>
      <w:r w:rsidR="00843991" w:rsidRPr="00747E30">
        <w:rPr>
          <w:rFonts w:ascii="Calibri" w:eastAsia="Times New Roman" w:hAnsi="Calibri"/>
          <w:lang w:eastAsia="en-US"/>
        </w:rPr>
        <w:t xml:space="preserve">ons (FIPOI). At 31 December </w:t>
      </w:r>
      <w:r w:rsidR="00111BDD" w:rsidRPr="00747E30">
        <w:rPr>
          <w:rFonts w:ascii="Calibri" w:eastAsia="Times New Roman" w:hAnsi="Calibri"/>
          <w:lang w:eastAsia="en-US"/>
        </w:rPr>
        <w:t>201</w:t>
      </w:r>
      <w:r w:rsidR="00BE0E59">
        <w:rPr>
          <w:rFonts w:ascii="Calibri" w:eastAsia="Times New Roman" w:hAnsi="Calibri"/>
          <w:lang w:eastAsia="en-US"/>
        </w:rPr>
        <w:t>8</w:t>
      </w:r>
      <w:r w:rsidRPr="00747E30">
        <w:rPr>
          <w:rFonts w:ascii="Calibri" w:eastAsia="Times New Roman" w:hAnsi="Calibri"/>
          <w:lang w:eastAsia="en-US"/>
        </w:rPr>
        <w:t>, this contribution represents a saving</w:t>
      </w:r>
      <w:r w:rsidR="00CC26E1" w:rsidRPr="00747E30">
        <w:rPr>
          <w:rFonts w:ascii="Calibri" w:eastAsia="Times New Roman" w:hAnsi="Calibri"/>
          <w:lang w:eastAsia="en-US"/>
        </w:rPr>
        <w:t xml:space="preserve"> for the Union of some </w:t>
      </w:r>
      <w:r w:rsidR="00763A13">
        <w:rPr>
          <w:rFonts w:ascii="Calibri" w:eastAsia="Times New Roman" w:hAnsi="Calibri"/>
          <w:lang w:eastAsia="en-US"/>
        </w:rPr>
        <w:t>KCHF </w:t>
      </w:r>
      <w:r w:rsidR="005E25BD">
        <w:rPr>
          <w:rFonts w:ascii="Calibri" w:eastAsia="Times New Roman" w:hAnsi="Calibri"/>
          <w:lang w:eastAsia="en-US"/>
        </w:rPr>
        <w:t>8</w:t>
      </w:r>
      <w:r w:rsidR="00BE0E59">
        <w:rPr>
          <w:rFonts w:ascii="Calibri" w:eastAsia="Times New Roman" w:hAnsi="Calibri"/>
          <w:lang w:eastAsia="en-US"/>
        </w:rPr>
        <w:t>62</w:t>
      </w:r>
      <w:r w:rsidR="00DB5E04" w:rsidRPr="00747E30">
        <w:rPr>
          <w:rFonts w:ascii="Calibri" w:eastAsia="Times New Roman" w:hAnsi="Calibri"/>
          <w:lang w:eastAsia="en-US"/>
        </w:rPr>
        <w:t>,</w:t>
      </w:r>
      <w:r w:rsidRPr="00747E30">
        <w:rPr>
          <w:rFonts w:ascii="Calibri" w:eastAsia="Times New Roman" w:hAnsi="Calibri"/>
          <w:lang w:eastAsia="en-US"/>
        </w:rPr>
        <w:t xml:space="preserve"> based on a long-term interest rate of 3.25 per cent.</w:t>
      </w:r>
    </w:p>
    <w:p w:rsidR="00F64487" w:rsidRPr="007A1724" w:rsidRDefault="00F64487" w:rsidP="00D93704">
      <w:pPr>
        <w:spacing w:before="0"/>
      </w:pPr>
    </w:p>
    <w:p w:rsidR="00CD36C4" w:rsidRDefault="00CD36C4" w:rsidP="00D93704">
      <w:pPr>
        <w:pStyle w:val="ListParagraph"/>
        <w:numPr>
          <w:ilvl w:val="0"/>
          <w:numId w:val="35"/>
        </w:numPr>
        <w:tabs>
          <w:tab w:val="left" w:pos="567"/>
        </w:tabs>
        <w:ind w:left="0" w:firstLine="0"/>
        <w:jc w:val="both"/>
        <w:rPr>
          <w:rFonts w:ascii="Calibri" w:eastAsia="Times New Roman" w:hAnsi="Calibri"/>
          <w:lang w:eastAsia="en-US"/>
        </w:rPr>
      </w:pPr>
      <w:r w:rsidRPr="00F64487">
        <w:rPr>
          <w:rFonts w:ascii="Calibri" w:eastAsia="Times New Roman" w:hAnsi="Calibri"/>
          <w:lang w:eastAsia="en-US"/>
        </w:rPr>
        <w:t xml:space="preserve">An amount of CHF </w:t>
      </w:r>
      <w:r w:rsidR="005E25BD">
        <w:rPr>
          <w:rFonts w:ascii="Calibri" w:eastAsia="Times New Roman" w:hAnsi="Calibri"/>
          <w:lang w:eastAsia="en-US"/>
        </w:rPr>
        <w:t>4.</w:t>
      </w:r>
      <w:r w:rsidR="00BE0E59">
        <w:rPr>
          <w:rFonts w:ascii="Calibri" w:eastAsia="Times New Roman" w:hAnsi="Calibri"/>
          <w:lang w:eastAsia="en-US"/>
        </w:rPr>
        <w:t>3</w:t>
      </w:r>
      <w:r w:rsidR="00AA20AB" w:rsidRPr="00F64487">
        <w:rPr>
          <w:rFonts w:ascii="Calibri" w:eastAsia="Times New Roman" w:hAnsi="Calibri"/>
          <w:lang w:eastAsia="en-US"/>
        </w:rPr>
        <w:t> </w:t>
      </w:r>
      <w:r w:rsidRPr="00F64487">
        <w:rPr>
          <w:rFonts w:ascii="Calibri" w:eastAsia="Times New Roman" w:hAnsi="Calibri"/>
          <w:lang w:eastAsia="en-US"/>
        </w:rPr>
        <w:t xml:space="preserve">million was recognized as expense for depreciation registered during the </w:t>
      </w:r>
      <w:r w:rsidR="00111BDD" w:rsidRPr="00F64487">
        <w:rPr>
          <w:rFonts w:ascii="Calibri" w:eastAsia="Times New Roman" w:hAnsi="Calibri"/>
          <w:lang w:eastAsia="en-US"/>
        </w:rPr>
        <w:t>201</w:t>
      </w:r>
      <w:r w:rsidR="00BE0E59">
        <w:rPr>
          <w:rFonts w:ascii="Calibri" w:eastAsia="Times New Roman" w:hAnsi="Calibri"/>
          <w:lang w:eastAsia="en-US"/>
        </w:rPr>
        <w:t>8</w:t>
      </w:r>
      <w:r w:rsidRPr="00F64487">
        <w:rPr>
          <w:rFonts w:ascii="Calibri" w:eastAsia="Times New Roman" w:hAnsi="Calibri"/>
          <w:lang w:eastAsia="en-US"/>
        </w:rPr>
        <w:t xml:space="preserve"> period.</w:t>
      </w:r>
    </w:p>
    <w:p w:rsidR="00E017DC" w:rsidRPr="0035555F" w:rsidRDefault="00E017DC" w:rsidP="00EB19BA">
      <w:pPr>
        <w:pStyle w:val="ListParagraph"/>
        <w:tabs>
          <w:tab w:val="left" w:pos="0"/>
        </w:tabs>
        <w:ind w:left="0"/>
        <w:rPr>
          <w:rFonts w:ascii="Calibri" w:eastAsia="Times New Roman" w:hAnsi="Calibri"/>
          <w:bCs/>
          <w:szCs w:val="20"/>
          <w:lang w:val="en-GB" w:eastAsia="en-US"/>
        </w:rPr>
      </w:pPr>
    </w:p>
    <w:p w:rsidR="00E017DC" w:rsidRPr="00780C78" w:rsidRDefault="00E017DC" w:rsidP="00E017DC">
      <w:pPr>
        <w:pStyle w:val="Headingb"/>
        <w:tabs>
          <w:tab w:val="clear" w:pos="567"/>
          <w:tab w:val="left" w:pos="851"/>
        </w:tabs>
        <w:spacing w:before="0"/>
        <w:jc w:val="both"/>
      </w:pPr>
      <w:r w:rsidRPr="00780C78">
        <w:rPr>
          <w:lang w:val="en-US"/>
        </w:rPr>
        <w:t>Fraud case</w:t>
      </w:r>
    </w:p>
    <w:p w:rsidR="00E017DC" w:rsidRPr="00780C78" w:rsidRDefault="00E017DC" w:rsidP="00D93704">
      <w:pPr>
        <w:pStyle w:val="ListParagraph"/>
        <w:numPr>
          <w:ilvl w:val="0"/>
          <w:numId w:val="35"/>
        </w:numPr>
        <w:tabs>
          <w:tab w:val="left" w:pos="567"/>
        </w:tabs>
        <w:spacing w:before="160" w:after="120"/>
        <w:ind w:left="0" w:firstLine="0"/>
        <w:jc w:val="both"/>
        <w:rPr>
          <w:rFonts w:ascii="Calibri" w:eastAsia="Times New Roman" w:hAnsi="Calibri"/>
          <w:lang w:eastAsia="en-US"/>
        </w:rPr>
      </w:pPr>
      <w:r w:rsidRPr="00780C78">
        <w:rPr>
          <w:rFonts w:ascii="Calibri" w:eastAsia="Times New Roman" w:hAnsi="Calibri"/>
          <w:lang w:eastAsia="en-US"/>
        </w:rPr>
        <w:t>Following the case of fraud at the ITU Regional Office for Asia and the Pacific region which was investigated in the course of 2018, the investigation process concluded on the financial damage suffered by ITU amounting to CHF 1’550’970. The concerned staff member was dismissed in early 2019.</w:t>
      </w:r>
      <w:r w:rsidR="00BF3AD9" w:rsidRPr="00780C78">
        <w:rPr>
          <w:rFonts w:ascii="Calibri" w:eastAsia="Times New Roman" w:hAnsi="Calibri"/>
          <w:lang w:eastAsia="en-US"/>
        </w:rPr>
        <w:t xml:space="preserve"> </w:t>
      </w:r>
      <w:r w:rsidRPr="00780C78">
        <w:rPr>
          <w:rFonts w:ascii="Calibri" w:eastAsia="Times New Roman" w:hAnsi="Calibri"/>
          <w:lang w:eastAsia="en-US"/>
        </w:rPr>
        <w:t>The implicated vendors, their owners/shareholders and implicated consultants have been excluded from participating in any kind of contractual relation with ITU.</w:t>
      </w:r>
    </w:p>
    <w:p w:rsidR="00E017DC" w:rsidRPr="00780C78" w:rsidRDefault="00E017DC" w:rsidP="00D93704">
      <w:pPr>
        <w:pStyle w:val="ListParagraph"/>
        <w:tabs>
          <w:tab w:val="left" w:pos="567"/>
        </w:tabs>
        <w:ind w:left="0"/>
        <w:jc w:val="both"/>
        <w:rPr>
          <w:rFonts w:ascii="Calibri" w:eastAsia="Times New Roman" w:hAnsi="Calibri"/>
          <w:lang w:eastAsia="en-US"/>
        </w:rPr>
      </w:pPr>
    </w:p>
    <w:p w:rsidR="00E017DC" w:rsidRPr="00780C78" w:rsidRDefault="00EB19BA" w:rsidP="00D93704">
      <w:pPr>
        <w:pStyle w:val="ListParagraph"/>
        <w:numPr>
          <w:ilvl w:val="0"/>
          <w:numId w:val="35"/>
        </w:numPr>
        <w:tabs>
          <w:tab w:val="left" w:pos="567"/>
        </w:tabs>
        <w:ind w:left="0" w:firstLine="0"/>
        <w:jc w:val="both"/>
        <w:rPr>
          <w:rFonts w:ascii="Calibri" w:eastAsia="Times New Roman" w:hAnsi="Calibri"/>
          <w:lang w:eastAsia="en-US"/>
        </w:rPr>
      </w:pPr>
      <w:r w:rsidRPr="00780C78">
        <w:rPr>
          <w:rFonts w:ascii="Calibri" w:eastAsia="Times New Roman" w:hAnsi="Calibri"/>
          <w:lang w:eastAsia="en-US"/>
        </w:rPr>
        <w:t xml:space="preserve">In accordance with the </w:t>
      </w:r>
      <w:r w:rsidR="00E017DC" w:rsidRPr="00780C78">
        <w:rPr>
          <w:rFonts w:ascii="Calibri" w:eastAsia="Times New Roman" w:hAnsi="Calibri"/>
          <w:lang w:eastAsia="en-US"/>
        </w:rPr>
        <w:t>IPSAS requirement</w:t>
      </w:r>
      <w:r w:rsidRPr="00780C78">
        <w:rPr>
          <w:rFonts w:ascii="Calibri" w:eastAsia="Times New Roman" w:hAnsi="Calibri"/>
          <w:lang w:eastAsia="en-US"/>
        </w:rPr>
        <w:t>s,</w:t>
      </w:r>
      <w:r w:rsidR="00E017DC" w:rsidRPr="00780C78">
        <w:rPr>
          <w:rFonts w:ascii="Calibri" w:eastAsia="Times New Roman" w:hAnsi="Calibri"/>
          <w:lang w:eastAsia="en-US"/>
        </w:rPr>
        <w:t xml:space="preserve"> a provision </w:t>
      </w:r>
      <w:r w:rsidR="00BF3AD9" w:rsidRPr="00780C78">
        <w:rPr>
          <w:rFonts w:ascii="Calibri" w:eastAsia="Times New Roman" w:hAnsi="Calibri"/>
          <w:lang w:eastAsia="en-US"/>
        </w:rPr>
        <w:t>was created in the 2018 Financial Statements corresponding to the amount above, in the event that the donors decide to claim the amounts corresponding to the fraud</w:t>
      </w:r>
      <w:r w:rsidRPr="00780C78">
        <w:rPr>
          <w:rFonts w:ascii="Calibri" w:eastAsia="Times New Roman" w:hAnsi="Calibri"/>
          <w:lang w:eastAsia="en-US"/>
        </w:rPr>
        <w:t>.</w:t>
      </w:r>
      <w:r w:rsidR="00BF3AD9" w:rsidRPr="00780C78">
        <w:rPr>
          <w:rFonts w:ascii="Calibri" w:eastAsia="Times New Roman" w:hAnsi="Calibri"/>
          <w:lang w:eastAsia="en-US"/>
        </w:rPr>
        <w:t xml:space="preserve"> </w:t>
      </w:r>
      <w:r w:rsidR="00E017DC" w:rsidRPr="00780C78">
        <w:rPr>
          <w:rFonts w:ascii="Calibri" w:eastAsia="Times New Roman" w:hAnsi="Calibri"/>
          <w:lang w:eastAsia="en-US"/>
        </w:rPr>
        <w:t>An equivalent amount</w:t>
      </w:r>
      <w:r w:rsidRPr="00780C78">
        <w:rPr>
          <w:rFonts w:ascii="Calibri" w:eastAsia="Times New Roman" w:hAnsi="Calibri"/>
          <w:lang w:eastAsia="en-US"/>
        </w:rPr>
        <w:t>, i.e. CHF 1’550’970</w:t>
      </w:r>
      <w:r w:rsidR="00E017DC" w:rsidRPr="00780C78">
        <w:rPr>
          <w:rFonts w:ascii="Calibri" w:eastAsia="Times New Roman" w:hAnsi="Calibri"/>
          <w:lang w:eastAsia="en-US"/>
        </w:rPr>
        <w:t xml:space="preserve"> is also recognized in the assets of the financial position</w:t>
      </w:r>
      <w:r w:rsidR="00BF3AD9" w:rsidRPr="00780C78">
        <w:rPr>
          <w:rFonts w:ascii="Calibri" w:eastAsia="Times New Roman" w:hAnsi="Calibri"/>
          <w:lang w:eastAsia="en-US"/>
        </w:rPr>
        <w:t>.</w:t>
      </w:r>
    </w:p>
    <w:p w:rsidR="00E017DC" w:rsidRPr="00780C78" w:rsidRDefault="00E017DC" w:rsidP="00D93704">
      <w:pPr>
        <w:spacing w:before="0"/>
      </w:pPr>
    </w:p>
    <w:p w:rsidR="00E017DC" w:rsidRPr="00780C78" w:rsidRDefault="00CE7D91" w:rsidP="00D93704">
      <w:pPr>
        <w:pStyle w:val="ListParagraph"/>
        <w:numPr>
          <w:ilvl w:val="0"/>
          <w:numId w:val="35"/>
        </w:numPr>
        <w:tabs>
          <w:tab w:val="left" w:pos="567"/>
        </w:tabs>
        <w:ind w:left="0" w:firstLine="0"/>
        <w:jc w:val="both"/>
        <w:rPr>
          <w:rFonts w:ascii="Calibri" w:eastAsia="Times New Roman" w:hAnsi="Calibri"/>
          <w:lang w:eastAsia="en-US"/>
        </w:rPr>
      </w:pPr>
      <w:r w:rsidRPr="00780C78">
        <w:rPr>
          <w:rFonts w:ascii="Calibri" w:eastAsia="Times New Roman" w:hAnsi="Calibri"/>
          <w:lang w:eastAsia="en-US"/>
        </w:rPr>
        <w:t>T</w:t>
      </w:r>
      <w:r w:rsidR="00E017DC" w:rsidRPr="00780C78">
        <w:rPr>
          <w:rFonts w:ascii="Calibri" w:eastAsia="Times New Roman" w:hAnsi="Calibri"/>
          <w:lang w:eastAsia="en-US"/>
        </w:rPr>
        <w:t>hrough an official letter</w:t>
      </w:r>
      <w:r w:rsidRPr="00780C78">
        <w:rPr>
          <w:rFonts w:ascii="Calibri" w:eastAsia="Times New Roman" w:hAnsi="Calibri"/>
          <w:lang w:eastAsia="en-US"/>
        </w:rPr>
        <w:t xml:space="preserve"> dated 15 February 2019</w:t>
      </w:r>
      <w:r w:rsidR="00E017DC" w:rsidRPr="00780C78">
        <w:rPr>
          <w:rFonts w:ascii="Calibri" w:eastAsia="Times New Roman" w:hAnsi="Calibri"/>
          <w:lang w:eastAsia="en-US"/>
        </w:rPr>
        <w:t xml:space="preserve">, </w:t>
      </w:r>
      <w:r w:rsidRPr="00780C78">
        <w:rPr>
          <w:rFonts w:ascii="Calibri" w:eastAsia="Times New Roman" w:hAnsi="Calibri"/>
          <w:lang w:eastAsia="en-US"/>
        </w:rPr>
        <w:t xml:space="preserve">the </w:t>
      </w:r>
      <w:r w:rsidR="00E017DC" w:rsidRPr="00780C78">
        <w:rPr>
          <w:rFonts w:ascii="Calibri" w:eastAsia="Times New Roman" w:hAnsi="Calibri"/>
          <w:lang w:eastAsia="en-US"/>
        </w:rPr>
        <w:t xml:space="preserve">staff </w:t>
      </w:r>
      <w:r w:rsidRPr="00780C78">
        <w:rPr>
          <w:rFonts w:ascii="Calibri" w:eastAsia="Times New Roman" w:hAnsi="Calibri"/>
          <w:lang w:eastAsia="en-US"/>
        </w:rPr>
        <w:t xml:space="preserve">member concerned was requested </w:t>
      </w:r>
      <w:r w:rsidR="00E017DC" w:rsidRPr="00780C78">
        <w:rPr>
          <w:rFonts w:ascii="Calibri" w:eastAsia="Times New Roman" w:hAnsi="Calibri"/>
          <w:lang w:eastAsia="en-US"/>
        </w:rPr>
        <w:t>to reimburse the above</w:t>
      </w:r>
      <w:r w:rsidRPr="00780C78">
        <w:rPr>
          <w:rFonts w:ascii="Calibri" w:eastAsia="Times New Roman" w:hAnsi="Calibri"/>
          <w:lang w:eastAsia="en-US"/>
        </w:rPr>
        <w:t>-mentioned</w:t>
      </w:r>
      <w:r w:rsidR="00E017DC" w:rsidRPr="00780C78">
        <w:rPr>
          <w:rFonts w:ascii="Calibri" w:eastAsia="Times New Roman" w:hAnsi="Calibri"/>
          <w:lang w:eastAsia="en-US"/>
        </w:rPr>
        <w:t xml:space="preserve"> amount due. Part of t</w:t>
      </w:r>
      <w:r w:rsidRPr="00780C78">
        <w:rPr>
          <w:rFonts w:ascii="Calibri" w:eastAsia="Times New Roman" w:hAnsi="Calibri"/>
          <w:lang w:eastAsia="en-US"/>
        </w:rPr>
        <w:t xml:space="preserve">his amount </w:t>
      </w:r>
      <w:r w:rsidR="00E017DC" w:rsidRPr="00780C78">
        <w:rPr>
          <w:rFonts w:ascii="Calibri" w:eastAsia="Times New Roman" w:hAnsi="Calibri"/>
          <w:lang w:eastAsia="en-US"/>
        </w:rPr>
        <w:t>c</w:t>
      </w:r>
      <w:r w:rsidRPr="00780C78">
        <w:rPr>
          <w:rFonts w:ascii="Calibri" w:eastAsia="Times New Roman" w:hAnsi="Calibri"/>
          <w:lang w:eastAsia="en-US"/>
        </w:rPr>
        <w:t xml:space="preserve">ould </w:t>
      </w:r>
      <w:r w:rsidR="00E017DC" w:rsidRPr="00780C78">
        <w:rPr>
          <w:rFonts w:ascii="Calibri" w:eastAsia="Times New Roman" w:hAnsi="Calibri"/>
          <w:lang w:eastAsia="en-US"/>
        </w:rPr>
        <w:t xml:space="preserve">be </w:t>
      </w:r>
      <w:r w:rsidRPr="00780C78">
        <w:rPr>
          <w:rFonts w:ascii="Calibri" w:eastAsia="Times New Roman" w:hAnsi="Calibri"/>
          <w:lang w:eastAsia="en-US"/>
        </w:rPr>
        <w:t xml:space="preserve">reimbursed </w:t>
      </w:r>
      <w:r w:rsidR="00BF3AD9" w:rsidRPr="00780C78">
        <w:rPr>
          <w:rFonts w:ascii="Calibri" w:eastAsia="Times New Roman" w:hAnsi="Calibri"/>
          <w:lang w:eastAsia="en-US"/>
        </w:rPr>
        <w:t>b</w:t>
      </w:r>
      <w:r w:rsidR="00E017DC" w:rsidRPr="00780C78">
        <w:rPr>
          <w:rFonts w:ascii="Calibri" w:eastAsia="Times New Roman" w:hAnsi="Calibri"/>
          <w:lang w:eastAsia="en-US"/>
        </w:rPr>
        <w:t>y making the necessary arrangements with United Nations Staff Pension Fund (UNSP</w:t>
      </w:r>
      <w:r w:rsidRPr="00780C78">
        <w:rPr>
          <w:rFonts w:ascii="Calibri" w:eastAsia="Times New Roman" w:hAnsi="Calibri"/>
          <w:lang w:eastAsia="en-US"/>
        </w:rPr>
        <w:t>F</w:t>
      </w:r>
      <w:r w:rsidR="00E017DC" w:rsidRPr="00780C78">
        <w:rPr>
          <w:rFonts w:ascii="Calibri" w:eastAsia="Times New Roman" w:hAnsi="Calibri"/>
          <w:lang w:eastAsia="en-US"/>
        </w:rPr>
        <w:t xml:space="preserve">) </w:t>
      </w:r>
      <w:r w:rsidRPr="00780C78">
        <w:rPr>
          <w:rFonts w:ascii="Calibri" w:eastAsia="Times New Roman" w:hAnsi="Calibri"/>
          <w:lang w:eastAsia="en-US"/>
        </w:rPr>
        <w:t>by</w:t>
      </w:r>
      <w:r w:rsidR="00E017DC" w:rsidRPr="00780C78">
        <w:rPr>
          <w:rFonts w:ascii="Calibri" w:eastAsia="Times New Roman" w:hAnsi="Calibri"/>
          <w:lang w:eastAsia="en-US"/>
        </w:rPr>
        <w:t xml:space="preserve"> transferring </w:t>
      </w:r>
      <w:r w:rsidRPr="00780C78">
        <w:rPr>
          <w:rFonts w:ascii="Calibri" w:eastAsia="Times New Roman" w:hAnsi="Calibri"/>
          <w:lang w:eastAsia="en-US"/>
        </w:rPr>
        <w:t>the staff member’s</w:t>
      </w:r>
      <w:r w:rsidR="00E017DC" w:rsidRPr="00780C78">
        <w:rPr>
          <w:rFonts w:ascii="Calibri" w:eastAsia="Times New Roman" w:hAnsi="Calibri"/>
          <w:lang w:eastAsia="en-US"/>
        </w:rPr>
        <w:t xml:space="preserve"> accumulated pension right to the ITU Administration through a withdrawal settlement of </w:t>
      </w:r>
      <w:r w:rsidRPr="00780C78">
        <w:rPr>
          <w:rFonts w:ascii="Calibri" w:eastAsia="Times New Roman" w:hAnsi="Calibri"/>
          <w:lang w:eastAsia="en-US"/>
        </w:rPr>
        <w:t xml:space="preserve">the staff member’s </w:t>
      </w:r>
      <w:r w:rsidR="00E017DC" w:rsidRPr="00780C78">
        <w:rPr>
          <w:rFonts w:ascii="Calibri" w:eastAsia="Times New Roman" w:hAnsi="Calibri"/>
          <w:lang w:eastAsia="en-US"/>
        </w:rPr>
        <w:t xml:space="preserve">accumulated contributions to the UNJSPF. </w:t>
      </w:r>
      <w:r w:rsidRPr="00780C78">
        <w:rPr>
          <w:rFonts w:ascii="Calibri" w:eastAsia="Times New Roman" w:hAnsi="Calibri"/>
          <w:lang w:eastAsia="en-US"/>
        </w:rPr>
        <w:t xml:space="preserve">The </w:t>
      </w:r>
      <w:r w:rsidR="00E017DC" w:rsidRPr="00780C78">
        <w:rPr>
          <w:rFonts w:ascii="Calibri" w:eastAsia="Times New Roman" w:hAnsi="Calibri"/>
          <w:lang w:eastAsia="en-US"/>
        </w:rPr>
        <w:t>ITU Secretary-General reserves the ITU’s right to introduce any other possible courses of action open for obtaining a reparation of th</w:t>
      </w:r>
      <w:r w:rsidRPr="00780C78">
        <w:rPr>
          <w:rFonts w:ascii="Calibri" w:eastAsia="Times New Roman" w:hAnsi="Calibri"/>
          <w:lang w:eastAsia="en-US"/>
        </w:rPr>
        <w:t>e</w:t>
      </w:r>
      <w:r w:rsidR="00E017DC" w:rsidRPr="00780C78">
        <w:rPr>
          <w:rFonts w:ascii="Calibri" w:eastAsia="Times New Roman" w:hAnsi="Calibri"/>
          <w:lang w:eastAsia="en-US"/>
        </w:rPr>
        <w:t>se damages</w:t>
      </w:r>
      <w:r w:rsidRPr="00780C78">
        <w:rPr>
          <w:rFonts w:ascii="Calibri" w:eastAsia="Times New Roman" w:hAnsi="Calibri"/>
          <w:lang w:eastAsia="en-US"/>
        </w:rPr>
        <w:t>,</w:t>
      </w:r>
      <w:r w:rsidR="00E017DC" w:rsidRPr="00780C78">
        <w:rPr>
          <w:rFonts w:ascii="Calibri" w:eastAsia="Times New Roman" w:hAnsi="Calibri"/>
          <w:lang w:eastAsia="en-US"/>
        </w:rPr>
        <w:t xml:space="preserve"> including t</w:t>
      </w:r>
      <w:r w:rsidRPr="00780C78">
        <w:rPr>
          <w:rFonts w:ascii="Calibri" w:eastAsia="Times New Roman" w:hAnsi="Calibri"/>
          <w:lang w:eastAsia="en-US"/>
        </w:rPr>
        <w:t>h</w:t>
      </w:r>
      <w:r w:rsidR="00E017DC" w:rsidRPr="00780C78">
        <w:rPr>
          <w:rFonts w:ascii="Calibri" w:eastAsia="Times New Roman" w:hAnsi="Calibri"/>
          <w:lang w:eastAsia="en-US"/>
        </w:rPr>
        <w:t>rough procedures at the national level.</w:t>
      </w:r>
    </w:p>
    <w:p w:rsidR="00E017DC" w:rsidRPr="00E017DC" w:rsidRDefault="00E017DC" w:rsidP="00E017DC">
      <w:pPr>
        <w:pStyle w:val="ListParagraph"/>
        <w:tabs>
          <w:tab w:val="left" w:pos="709"/>
        </w:tabs>
        <w:ind w:left="0"/>
        <w:jc w:val="both"/>
        <w:rPr>
          <w:rFonts w:ascii="Calibri" w:eastAsia="Times New Roman" w:hAnsi="Calibri"/>
          <w:lang w:eastAsia="en-US"/>
        </w:rPr>
      </w:pPr>
    </w:p>
    <w:p w:rsidR="00CD36C4" w:rsidRPr="00350C94" w:rsidRDefault="00CD36C4" w:rsidP="00F648C7">
      <w:pPr>
        <w:pStyle w:val="Headingb"/>
        <w:tabs>
          <w:tab w:val="clear" w:pos="567"/>
          <w:tab w:val="left" w:pos="851"/>
        </w:tabs>
        <w:spacing w:before="0" w:after="120"/>
        <w:jc w:val="both"/>
        <w:rPr>
          <w:lang w:val="en-US"/>
        </w:rPr>
      </w:pPr>
      <w:r w:rsidRPr="00350C94">
        <w:rPr>
          <w:lang w:val="en-US"/>
        </w:rPr>
        <w:t>Reserve for debtors</w:t>
      </w:r>
    </w:p>
    <w:p w:rsidR="00CD36C4" w:rsidRDefault="00CD36C4" w:rsidP="00D93704">
      <w:pPr>
        <w:pStyle w:val="ListParagraph"/>
        <w:numPr>
          <w:ilvl w:val="0"/>
          <w:numId w:val="35"/>
        </w:numPr>
        <w:tabs>
          <w:tab w:val="left" w:pos="567"/>
        </w:tabs>
        <w:ind w:left="0" w:firstLine="0"/>
        <w:jc w:val="both"/>
        <w:rPr>
          <w:rFonts w:ascii="Calibri" w:eastAsia="Times New Roman" w:hAnsi="Calibri"/>
          <w:lang w:eastAsia="en-US"/>
        </w:rPr>
      </w:pPr>
      <w:r w:rsidRPr="00F64487">
        <w:rPr>
          <w:rFonts w:ascii="Calibri" w:eastAsia="Times New Roman" w:hAnsi="Calibri"/>
          <w:lang w:eastAsia="en-US"/>
        </w:rPr>
        <w:t>Following the payment of receivable</w:t>
      </w:r>
      <w:r w:rsidR="00742D62" w:rsidRPr="00F64487">
        <w:rPr>
          <w:rFonts w:ascii="Calibri" w:eastAsia="Times New Roman" w:hAnsi="Calibri"/>
          <w:lang w:eastAsia="en-US"/>
        </w:rPr>
        <w:t xml:space="preserve">s amounting to </w:t>
      </w:r>
      <w:r w:rsidR="00742D62" w:rsidRPr="007F69FD">
        <w:rPr>
          <w:rFonts w:ascii="Calibri" w:eastAsia="Times New Roman" w:hAnsi="Calibri"/>
          <w:lang w:eastAsia="en-US"/>
        </w:rPr>
        <w:t xml:space="preserve">CHF </w:t>
      </w:r>
      <w:r w:rsidR="00BE0E59">
        <w:rPr>
          <w:rFonts w:ascii="Calibri" w:eastAsia="Times New Roman" w:hAnsi="Calibri"/>
          <w:lang w:eastAsia="en-US"/>
        </w:rPr>
        <w:t>8.8</w:t>
      </w:r>
      <w:r w:rsidR="00350C94" w:rsidRPr="007F69FD">
        <w:rPr>
          <w:rFonts w:ascii="Calibri" w:eastAsia="Times New Roman" w:hAnsi="Calibri"/>
          <w:lang w:eastAsia="en-US"/>
        </w:rPr>
        <w:t xml:space="preserve"> </w:t>
      </w:r>
      <w:r w:rsidRPr="007F69FD">
        <w:rPr>
          <w:rFonts w:ascii="Calibri" w:eastAsia="Times New Roman" w:hAnsi="Calibri"/>
          <w:lang w:eastAsia="en-US"/>
        </w:rPr>
        <w:t>million</w:t>
      </w:r>
      <w:r w:rsidRPr="00F64487">
        <w:rPr>
          <w:rFonts w:ascii="Calibri" w:eastAsia="Times New Roman" w:hAnsi="Calibri"/>
          <w:lang w:eastAsia="en-US"/>
        </w:rPr>
        <w:t xml:space="preserve"> for which a provision had been constituted in past years, the provision for doubtful debt</w:t>
      </w:r>
      <w:r w:rsidR="00E01499">
        <w:rPr>
          <w:rFonts w:ascii="Calibri" w:eastAsia="Times New Roman" w:hAnsi="Calibri"/>
          <w:lang w:eastAsia="en-US"/>
        </w:rPr>
        <w:t>s</w:t>
      </w:r>
      <w:r w:rsidRPr="00F64487">
        <w:rPr>
          <w:rFonts w:ascii="Calibri" w:eastAsia="Times New Roman" w:hAnsi="Calibri"/>
          <w:lang w:eastAsia="en-US"/>
        </w:rPr>
        <w:t xml:space="preserve"> has been reduced accordingly</w:t>
      </w:r>
      <w:r w:rsidR="00742D62" w:rsidRPr="00F64487">
        <w:rPr>
          <w:rFonts w:ascii="Calibri" w:eastAsia="Times New Roman" w:hAnsi="Calibri"/>
          <w:lang w:eastAsia="en-US"/>
        </w:rPr>
        <w:t xml:space="preserve">. At year end, an adjustment was recorded amounting </w:t>
      </w:r>
      <w:r w:rsidR="00E01499">
        <w:rPr>
          <w:rFonts w:ascii="Calibri" w:eastAsia="Times New Roman" w:hAnsi="Calibri"/>
          <w:lang w:eastAsia="en-US"/>
        </w:rPr>
        <w:t xml:space="preserve">to </w:t>
      </w:r>
      <w:r w:rsidR="00742D62" w:rsidRPr="00F64487">
        <w:rPr>
          <w:rFonts w:ascii="Calibri" w:eastAsia="Times New Roman" w:hAnsi="Calibri"/>
          <w:lang w:eastAsia="en-US"/>
        </w:rPr>
        <w:t>CHF</w:t>
      </w:r>
      <w:r w:rsidR="00E01499">
        <w:rPr>
          <w:rFonts w:ascii="Calibri" w:eastAsia="Times New Roman" w:hAnsi="Calibri"/>
          <w:lang w:eastAsia="en-US"/>
        </w:rPr>
        <w:t> </w:t>
      </w:r>
      <w:r w:rsidR="00903467">
        <w:rPr>
          <w:rFonts w:ascii="Calibri" w:eastAsia="Times New Roman" w:hAnsi="Calibri"/>
          <w:lang w:eastAsia="en-US"/>
        </w:rPr>
        <w:t>2.7</w:t>
      </w:r>
      <w:r w:rsidR="00742D62" w:rsidRPr="00F64487">
        <w:rPr>
          <w:rFonts w:ascii="Calibri" w:eastAsia="Times New Roman" w:hAnsi="Calibri"/>
          <w:lang w:eastAsia="en-US"/>
        </w:rPr>
        <w:t xml:space="preserve"> million for </w:t>
      </w:r>
      <w:r w:rsidR="00BA43BB">
        <w:rPr>
          <w:rFonts w:ascii="Calibri" w:eastAsia="Times New Roman" w:hAnsi="Calibri"/>
          <w:lang w:eastAsia="en-US"/>
        </w:rPr>
        <w:t xml:space="preserve">the </w:t>
      </w:r>
      <w:r w:rsidR="00742D62" w:rsidRPr="00F64487">
        <w:rPr>
          <w:rFonts w:ascii="Calibri" w:eastAsia="Times New Roman" w:hAnsi="Calibri"/>
          <w:lang w:eastAsia="en-US"/>
        </w:rPr>
        <w:t xml:space="preserve">regular budget and </w:t>
      </w:r>
      <w:r w:rsidR="00F64487">
        <w:rPr>
          <w:rFonts w:ascii="Calibri" w:eastAsia="Times New Roman" w:hAnsi="Calibri"/>
          <w:lang w:eastAsia="en-US"/>
        </w:rPr>
        <w:t>K</w:t>
      </w:r>
      <w:r w:rsidR="00742D62" w:rsidRPr="00F64487">
        <w:rPr>
          <w:rFonts w:ascii="Calibri" w:eastAsia="Times New Roman" w:hAnsi="Calibri"/>
          <w:lang w:eastAsia="en-US"/>
        </w:rPr>
        <w:t>CHF</w:t>
      </w:r>
      <w:r w:rsidR="00BE5A6B" w:rsidRPr="00F64487">
        <w:rPr>
          <w:rFonts w:ascii="Calibri" w:eastAsia="Times New Roman" w:hAnsi="Calibri"/>
          <w:lang w:eastAsia="en-US"/>
        </w:rPr>
        <w:t> </w:t>
      </w:r>
      <w:r w:rsidR="007F69FD">
        <w:rPr>
          <w:rFonts w:ascii="Calibri" w:eastAsia="Times New Roman" w:hAnsi="Calibri"/>
          <w:lang w:eastAsia="en-US"/>
        </w:rPr>
        <w:t>2</w:t>
      </w:r>
      <w:r w:rsidR="00903467">
        <w:rPr>
          <w:rFonts w:ascii="Calibri" w:eastAsia="Times New Roman" w:hAnsi="Calibri"/>
          <w:lang w:eastAsia="en-US"/>
        </w:rPr>
        <w:t>16</w:t>
      </w:r>
      <w:r w:rsidR="00BE5A6B" w:rsidRPr="00F64487">
        <w:rPr>
          <w:rFonts w:ascii="Calibri" w:eastAsia="Times New Roman" w:hAnsi="Calibri"/>
          <w:lang w:eastAsia="en-US"/>
        </w:rPr>
        <w:t> </w:t>
      </w:r>
      <w:r w:rsidR="00742D62" w:rsidRPr="00F64487">
        <w:rPr>
          <w:rFonts w:ascii="Calibri" w:eastAsia="Times New Roman" w:hAnsi="Calibri"/>
          <w:lang w:eastAsia="en-US"/>
        </w:rPr>
        <w:t xml:space="preserve">for Telecom World </w:t>
      </w:r>
      <w:r w:rsidR="00111BDD" w:rsidRPr="00F64487">
        <w:rPr>
          <w:rFonts w:ascii="Calibri" w:eastAsia="Times New Roman" w:hAnsi="Calibri"/>
          <w:lang w:eastAsia="en-US"/>
        </w:rPr>
        <w:t>201</w:t>
      </w:r>
      <w:r w:rsidR="00903467">
        <w:rPr>
          <w:rFonts w:ascii="Calibri" w:eastAsia="Times New Roman" w:hAnsi="Calibri"/>
          <w:lang w:eastAsia="en-US"/>
        </w:rPr>
        <w:t>8</w:t>
      </w:r>
      <w:r w:rsidR="00742D62" w:rsidRPr="00F64487">
        <w:rPr>
          <w:rFonts w:ascii="Calibri" w:eastAsia="Times New Roman" w:hAnsi="Calibri"/>
          <w:lang w:eastAsia="en-US"/>
        </w:rPr>
        <w:t xml:space="preserve"> related doubtful debts.</w:t>
      </w:r>
    </w:p>
    <w:p w:rsidR="00F648C7" w:rsidRDefault="00F648C7">
      <w:pPr>
        <w:tabs>
          <w:tab w:val="clear" w:pos="567"/>
          <w:tab w:val="clear" w:pos="1134"/>
          <w:tab w:val="clear" w:pos="1701"/>
          <w:tab w:val="clear" w:pos="2268"/>
          <w:tab w:val="clear" w:pos="2835"/>
        </w:tabs>
        <w:overflowPunct/>
        <w:autoSpaceDE/>
        <w:autoSpaceDN/>
        <w:adjustRightInd/>
        <w:spacing w:before="0"/>
        <w:textAlignment w:val="auto"/>
        <w:rPr>
          <w:szCs w:val="24"/>
          <w:lang w:val="en-US"/>
        </w:rPr>
      </w:pPr>
      <w:r>
        <w:br w:type="page"/>
      </w:r>
    </w:p>
    <w:p w:rsidR="00143615" w:rsidRPr="00F64487" w:rsidRDefault="00143615" w:rsidP="00143615">
      <w:pPr>
        <w:pStyle w:val="ListParagraph"/>
        <w:tabs>
          <w:tab w:val="left" w:pos="709"/>
        </w:tabs>
        <w:ind w:left="0"/>
        <w:jc w:val="both"/>
        <w:rPr>
          <w:rFonts w:ascii="Calibri" w:eastAsia="Times New Roman" w:hAnsi="Calibri"/>
          <w:lang w:eastAsia="en-US"/>
        </w:rPr>
      </w:pPr>
    </w:p>
    <w:p w:rsidR="00CD36C4" w:rsidRPr="00772DA2" w:rsidRDefault="00CD36C4" w:rsidP="00706E3E">
      <w:pPr>
        <w:pStyle w:val="Headingb"/>
        <w:jc w:val="both"/>
        <w:rPr>
          <w:lang w:val="en-US"/>
        </w:rPr>
      </w:pPr>
      <w:bookmarkStart w:id="144" w:name="_Toc305764129"/>
      <w:r w:rsidRPr="0082727D">
        <w:rPr>
          <w:lang w:val="en-US"/>
        </w:rPr>
        <w:t>Fellowships</w:t>
      </w:r>
      <w:bookmarkEnd w:id="144"/>
    </w:p>
    <w:p w:rsidR="00CD36C4" w:rsidRDefault="00CD36C4" w:rsidP="00CD36C4">
      <w:pPr>
        <w:pStyle w:val="Headingb"/>
        <w:spacing w:before="0"/>
        <w:jc w:val="center"/>
      </w:pPr>
      <w:r w:rsidRPr="00772DA2">
        <w:t>Table in thousands of CHF</w:t>
      </w:r>
    </w:p>
    <w:p w:rsidR="00143615" w:rsidRPr="00143615" w:rsidRDefault="00143615" w:rsidP="00143615"/>
    <w:tbl>
      <w:tblPr>
        <w:tblW w:w="5000" w:type="pct"/>
        <w:tblLook w:val="04A0" w:firstRow="1" w:lastRow="0" w:firstColumn="1" w:lastColumn="0" w:noHBand="0" w:noVBand="1"/>
      </w:tblPr>
      <w:tblGrid>
        <w:gridCol w:w="2919"/>
        <w:gridCol w:w="1261"/>
        <w:gridCol w:w="1671"/>
        <w:gridCol w:w="1819"/>
        <w:gridCol w:w="2091"/>
      </w:tblGrid>
      <w:tr w:rsidR="00B47AA4" w:rsidRPr="00B47AA4" w:rsidTr="00B47AA4">
        <w:trPr>
          <w:trHeight w:val="615"/>
        </w:trPr>
        <w:tc>
          <w:tcPr>
            <w:tcW w:w="149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color w:val="000000"/>
                <w:sz w:val="20"/>
                <w:lang w:val="en-US" w:eastAsia="zh-CN"/>
              </w:rPr>
            </w:pPr>
            <w:r w:rsidRPr="00B47AA4">
              <w:rPr>
                <w:rFonts w:ascii="Times New Roman" w:hAnsi="Times New Roman"/>
                <w:color w:val="000000"/>
                <w:sz w:val="20"/>
                <w:lang w:val="en-US" w:eastAsia="zh-CN"/>
              </w:rPr>
              <w:t> </w:t>
            </w:r>
          </w:p>
        </w:tc>
        <w:tc>
          <w:tcPr>
            <w:tcW w:w="646" w:type="pct"/>
            <w:tcBorders>
              <w:top w:val="single" w:sz="8" w:space="0" w:color="auto"/>
              <w:left w:val="nil"/>
              <w:bottom w:val="single" w:sz="8" w:space="0" w:color="auto"/>
              <w:right w:val="single" w:sz="8" w:space="0" w:color="auto"/>
            </w:tcBorders>
            <w:shd w:val="clear" w:color="auto" w:fill="auto"/>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B47AA4">
              <w:rPr>
                <w:b/>
                <w:bCs/>
                <w:color w:val="000000"/>
                <w:sz w:val="22"/>
                <w:szCs w:val="22"/>
                <w:lang w:val="en-US" w:eastAsia="zh-CN"/>
              </w:rPr>
              <w:t>Budget 2018</w:t>
            </w:r>
          </w:p>
        </w:tc>
        <w:tc>
          <w:tcPr>
            <w:tcW w:w="856" w:type="pct"/>
            <w:tcBorders>
              <w:top w:val="single" w:sz="8" w:space="0" w:color="auto"/>
              <w:left w:val="nil"/>
              <w:bottom w:val="single" w:sz="8" w:space="0" w:color="auto"/>
              <w:right w:val="single" w:sz="8" w:space="0" w:color="auto"/>
            </w:tcBorders>
            <w:shd w:val="clear" w:color="auto" w:fill="auto"/>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B47AA4">
              <w:rPr>
                <w:b/>
                <w:bCs/>
                <w:color w:val="000000"/>
                <w:sz w:val="22"/>
                <w:szCs w:val="22"/>
                <w:lang w:val="en-US" w:eastAsia="zh-CN"/>
              </w:rPr>
              <w:t>Expenses 2018</w:t>
            </w:r>
          </w:p>
        </w:tc>
        <w:tc>
          <w:tcPr>
            <w:tcW w:w="932" w:type="pct"/>
            <w:tcBorders>
              <w:top w:val="single" w:sz="8" w:space="0" w:color="auto"/>
              <w:left w:val="nil"/>
              <w:bottom w:val="single" w:sz="8" w:space="0" w:color="auto"/>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B47AA4">
              <w:rPr>
                <w:b/>
                <w:bCs/>
                <w:color w:val="000000"/>
                <w:sz w:val="22"/>
                <w:szCs w:val="22"/>
                <w:lang w:val="en-US" w:eastAsia="zh-CN"/>
              </w:rPr>
              <w:t>Available</w:t>
            </w:r>
          </w:p>
        </w:tc>
        <w:tc>
          <w:tcPr>
            <w:tcW w:w="1071" w:type="pct"/>
            <w:tcBorders>
              <w:top w:val="single" w:sz="8" w:space="0" w:color="auto"/>
              <w:left w:val="nil"/>
              <w:bottom w:val="single" w:sz="8" w:space="0" w:color="auto"/>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r w:rsidRPr="00B47AA4">
              <w:rPr>
                <w:b/>
                <w:bCs/>
                <w:color w:val="000000"/>
                <w:sz w:val="22"/>
                <w:szCs w:val="22"/>
                <w:lang w:val="en-US" w:eastAsia="zh-CN"/>
              </w:rPr>
              <w:t>Utilization rate</w:t>
            </w:r>
          </w:p>
        </w:tc>
      </w:tr>
      <w:tr w:rsidR="00B47AA4" w:rsidRPr="00B47AA4" w:rsidTr="00B47AA4">
        <w:trPr>
          <w:trHeight w:val="300"/>
        </w:trPr>
        <w:tc>
          <w:tcPr>
            <w:tcW w:w="1495" w:type="pct"/>
            <w:tcBorders>
              <w:top w:val="nil"/>
              <w:left w:val="single" w:sz="8" w:space="0" w:color="auto"/>
              <w:bottom w:val="nil"/>
              <w:right w:val="single" w:sz="8" w:space="0" w:color="auto"/>
            </w:tcBorders>
            <w:shd w:val="clear" w:color="auto" w:fill="auto"/>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B47AA4">
              <w:rPr>
                <w:color w:val="000000"/>
                <w:sz w:val="22"/>
                <w:szCs w:val="22"/>
                <w:lang w:val="en-US" w:eastAsia="zh-CN"/>
              </w:rPr>
              <w:t>Regular budget</w:t>
            </w:r>
          </w:p>
        </w:tc>
        <w:tc>
          <w:tcPr>
            <w:tcW w:w="646" w:type="pct"/>
            <w:tcBorders>
              <w:top w:val="nil"/>
              <w:left w:val="nil"/>
              <w:bottom w:val="nil"/>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B47AA4">
              <w:rPr>
                <w:b/>
                <w:bCs/>
                <w:color w:val="000000"/>
                <w:sz w:val="22"/>
                <w:szCs w:val="22"/>
                <w:lang w:val="en-US" w:eastAsia="zh-CN"/>
              </w:rPr>
              <w:t xml:space="preserve">        1,568 </w:t>
            </w:r>
          </w:p>
        </w:tc>
        <w:tc>
          <w:tcPr>
            <w:tcW w:w="856" w:type="pct"/>
            <w:tcBorders>
              <w:top w:val="nil"/>
              <w:left w:val="nil"/>
              <w:bottom w:val="nil"/>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B47AA4">
              <w:rPr>
                <w:b/>
                <w:bCs/>
                <w:color w:val="000000"/>
                <w:sz w:val="22"/>
                <w:szCs w:val="22"/>
                <w:lang w:val="en-US" w:eastAsia="zh-CN"/>
              </w:rPr>
              <w:t>924</w:t>
            </w:r>
          </w:p>
        </w:tc>
        <w:tc>
          <w:tcPr>
            <w:tcW w:w="932" w:type="pct"/>
            <w:tcBorders>
              <w:top w:val="nil"/>
              <w:left w:val="nil"/>
              <w:bottom w:val="nil"/>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B47AA4">
              <w:rPr>
                <w:b/>
                <w:bCs/>
                <w:color w:val="000000"/>
                <w:sz w:val="22"/>
                <w:szCs w:val="22"/>
                <w:lang w:val="en-US" w:eastAsia="zh-CN"/>
              </w:rPr>
              <w:t xml:space="preserve">                     644 </w:t>
            </w:r>
          </w:p>
        </w:tc>
        <w:tc>
          <w:tcPr>
            <w:tcW w:w="1071" w:type="pct"/>
            <w:tcBorders>
              <w:top w:val="nil"/>
              <w:left w:val="nil"/>
              <w:bottom w:val="nil"/>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B47AA4">
              <w:rPr>
                <w:b/>
                <w:bCs/>
                <w:color w:val="000000"/>
                <w:sz w:val="22"/>
                <w:szCs w:val="22"/>
                <w:lang w:val="en-US" w:eastAsia="zh-CN"/>
              </w:rPr>
              <w:t>59%</w:t>
            </w:r>
          </w:p>
        </w:tc>
      </w:tr>
      <w:tr w:rsidR="00B47AA4" w:rsidRPr="00B47AA4" w:rsidTr="00B47AA4">
        <w:trPr>
          <w:trHeight w:val="300"/>
        </w:trPr>
        <w:tc>
          <w:tcPr>
            <w:tcW w:w="1495" w:type="pct"/>
            <w:tcBorders>
              <w:top w:val="nil"/>
              <w:left w:val="single" w:sz="8" w:space="0" w:color="auto"/>
              <w:bottom w:val="nil"/>
              <w:right w:val="single" w:sz="8" w:space="0" w:color="auto"/>
            </w:tcBorders>
            <w:shd w:val="clear" w:color="auto" w:fill="auto"/>
            <w:vAlign w:val="center"/>
            <w:hideMark/>
          </w:tcPr>
          <w:p w:rsidR="00B47AA4" w:rsidRPr="00B47AA4" w:rsidRDefault="0055044D" w:rsidP="0055044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Pr>
                <w:color w:val="000000"/>
                <w:sz w:val="22"/>
                <w:szCs w:val="22"/>
                <w:lang w:val="en-US" w:eastAsia="zh-CN"/>
              </w:rPr>
              <w:t>ITU-R</w:t>
            </w:r>
          </w:p>
        </w:tc>
        <w:tc>
          <w:tcPr>
            <w:tcW w:w="646" w:type="pct"/>
            <w:tcBorders>
              <w:top w:val="nil"/>
              <w:left w:val="nil"/>
              <w:bottom w:val="nil"/>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 xml:space="preserve">            150 </w:t>
            </w:r>
          </w:p>
        </w:tc>
        <w:tc>
          <w:tcPr>
            <w:tcW w:w="856" w:type="pct"/>
            <w:tcBorders>
              <w:top w:val="nil"/>
              <w:left w:val="nil"/>
              <w:bottom w:val="nil"/>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83</w:t>
            </w:r>
          </w:p>
        </w:tc>
        <w:tc>
          <w:tcPr>
            <w:tcW w:w="932" w:type="pct"/>
            <w:tcBorders>
              <w:top w:val="nil"/>
              <w:left w:val="nil"/>
              <w:bottom w:val="nil"/>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 xml:space="preserve">                       67 </w:t>
            </w:r>
          </w:p>
        </w:tc>
        <w:tc>
          <w:tcPr>
            <w:tcW w:w="1071" w:type="pct"/>
            <w:tcBorders>
              <w:top w:val="nil"/>
              <w:left w:val="nil"/>
              <w:bottom w:val="nil"/>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56%</w:t>
            </w:r>
          </w:p>
        </w:tc>
      </w:tr>
      <w:tr w:rsidR="00B47AA4" w:rsidRPr="00B47AA4" w:rsidTr="00B47AA4">
        <w:trPr>
          <w:trHeight w:val="300"/>
        </w:trPr>
        <w:tc>
          <w:tcPr>
            <w:tcW w:w="1495" w:type="pct"/>
            <w:tcBorders>
              <w:top w:val="nil"/>
              <w:left w:val="single" w:sz="8" w:space="0" w:color="auto"/>
              <w:bottom w:val="nil"/>
              <w:right w:val="single" w:sz="8" w:space="0" w:color="auto"/>
            </w:tcBorders>
            <w:shd w:val="clear" w:color="auto" w:fill="auto"/>
            <w:vAlign w:val="center"/>
            <w:hideMark/>
          </w:tcPr>
          <w:p w:rsidR="00B47AA4" w:rsidRPr="00B47AA4" w:rsidRDefault="0055044D" w:rsidP="0055044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Pr>
                <w:color w:val="000000"/>
                <w:sz w:val="22"/>
                <w:szCs w:val="22"/>
                <w:lang w:val="en-US" w:eastAsia="zh-CN"/>
              </w:rPr>
              <w:t>ITU-T</w:t>
            </w:r>
          </w:p>
        </w:tc>
        <w:tc>
          <w:tcPr>
            <w:tcW w:w="646" w:type="pct"/>
            <w:tcBorders>
              <w:top w:val="nil"/>
              <w:left w:val="nil"/>
              <w:bottom w:val="nil"/>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 xml:space="preserve">            450 </w:t>
            </w:r>
          </w:p>
        </w:tc>
        <w:tc>
          <w:tcPr>
            <w:tcW w:w="856" w:type="pct"/>
            <w:tcBorders>
              <w:top w:val="nil"/>
              <w:left w:val="nil"/>
              <w:bottom w:val="nil"/>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423</w:t>
            </w:r>
          </w:p>
        </w:tc>
        <w:tc>
          <w:tcPr>
            <w:tcW w:w="932" w:type="pct"/>
            <w:tcBorders>
              <w:top w:val="nil"/>
              <w:left w:val="nil"/>
              <w:bottom w:val="nil"/>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 xml:space="preserve">                       27 </w:t>
            </w:r>
          </w:p>
        </w:tc>
        <w:tc>
          <w:tcPr>
            <w:tcW w:w="1071" w:type="pct"/>
            <w:tcBorders>
              <w:top w:val="nil"/>
              <w:left w:val="nil"/>
              <w:bottom w:val="nil"/>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94%</w:t>
            </w:r>
          </w:p>
        </w:tc>
      </w:tr>
      <w:tr w:rsidR="00B47AA4" w:rsidRPr="00B47AA4" w:rsidTr="00B47AA4">
        <w:trPr>
          <w:trHeight w:val="300"/>
        </w:trPr>
        <w:tc>
          <w:tcPr>
            <w:tcW w:w="1495" w:type="pct"/>
            <w:tcBorders>
              <w:top w:val="nil"/>
              <w:left w:val="single" w:sz="8" w:space="0" w:color="auto"/>
              <w:bottom w:val="single" w:sz="4" w:space="0" w:color="auto"/>
              <w:right w:val="single" w:sz="8" w:space="0" w:color="auto"/>
            </w:tcBorders>
            <w:shd w:val="clear" w:color="auto" w:fill="auto"/>
            <w:vAlign w:val="center"/>
            <w:hideMark/>
          </w:tcPr>
          <w:p w:rsidR="00B47AA4" w:rsidRPr="00B47AA4" w:rsidRDefault="0055044D" w:rsidP="0055044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Pr>
                <w:color w:val="000000"/>
                <w:sz w:val="22"/>
                <w:szCs w:val="22"/>
                <w:lang w:val="en-US" w:eastAsia="zh-CN"/>
              </w:rPr>
              <w:t>ITU-D</w:t>
            </w:r>
          </w:p>
        </w:tc>
        <w:tc>
          <w:tcPr>
            <w:tcW w:w="646" w:type="pct"/>
            <w:tcBorders>
              <w:top w:val="nil"/>
              <w:left w:val="nil"/>
              <w:bottom w:val="single" w:sz="4" w:space="0" w:color="auto"/>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 xml:space="preserve">            968 </w:t>
            </w:r>
          </w:p>
        </w:tc>
        <w:tc>
          <w:tcPr>
            <w:tcW w:w="856" w:type="pct"/>
            <w:tcBorders>
              <w:top w:val="nil"/>
              <w:left w:val="nil"/>
              <w:bottom w:val="single" w:sz="4" w:space="0" w:color="auto"/>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417</w:t>
            </w:r>
          </w:p>
        </w:tc>
        <w:tc>
          <w:tcPr>
            <w:tcW w:w="932" w:type="pct"/>
            <w:tcBorders>
              <w:top w:val="nil"/>
              <w:left w:val="nil"/>
              <w:bottom w:val="single" w:sz="4" w:space="0" w:color="auto"/>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 xml:space="preserve">                     551 </w:t>
            </w:r>
          </w:p>
        </w:tc>
        <w:tc>
          <w:tcPr>
            <w:tcW w:w="1071" w:type="pct"/>
            <w:tcBorders>
              <w:top w:val="nil"/>
              <w:left w:val="nil"/>
              <w:bottom w:val="single" w:sz="4" w:space="0" w:color="auto"/>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43%</w:t>
            </w:r>
          </w:p>
        </w:tc>
      </w:tr>
      <w:tr w:rsidR="00B47AA4" w:rsidRPr="00B47AA4" w:rsidTr="00B47AA4">
        <w:trPr>
          <w:trHeight w:val="315"/>
        </w:trPr>
        <w:tc>
          <w:tcPr>
            <w:tcW w:w="1495" w:type="pct"/>
            <w:tcBorders>
              <w:top w:val="nil"/>
              <w:left w:val="single" w:sz="8" w:space="0" w:color="auto"/>
              <w:bottom w:val="single" w:sz="8" w:space="0" w:color="auto"/>
              <w:right w:val="single" w:sz="8" w:space="0" w:color="auto"/>
            </w:tcBorders>
            <w:shd w:val="clear" w:color="auto" w:fill="auto"/>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B47AA4">
              <w:rPr>
                <w:color w:val="000000"/>
                <w:sz w:val="22"/>
                <w:szCs w:val="22"/>
                <w:lang w:val="en-US" w:eastAsia="zh-CN"/>
              </w:rPr>
              <w:t>Extrabudgetary</w:t>
            </w:r>
            <w:proofErr w:type="spellEnd"/>
            <w:r w:rsidRPr="00B47AA4">
              <w:rPr>
                <w:color w:val="000000"/>
                <w:sz w:val="22"/>
                <w:szCs w:val="22"/>
                <w:lang w:val="en-US" w:eastAsia="zh-CN"/>
              </w:rPr>
              <w:t xml:space="preserve"> fund</w:t>
            </w:r>
          </w:p>
        </w:tc>
        <w:tc>
          <w:tcPr>
            <w:tcW w:w="646" w:type="pct"/>
            <w:tcBorders>
              <w:top w:val="nil"/>
              <w:left w:val="nil"/>
              <w:bottom w:val="single" w:sz="8" w:space="0" w:color="auto"/>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805</w:t>
            </w:r>
          </w:p>
        </w:tc>
        <w:tc>
          <w:tcPr>
            <w:tcW w:w="856" w:type="pct"/>
            <w:tcBorders>
              <w:top w:val="nil"/>
              <w:left w:val="nil"/>
              <w:bottom w:val="single" w:sz="8" w:space="0" w:color="auto"/>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183</w:t>
            </w:r>
          </w:p>
        </w:tc>
        <w:tc>
          <w:tcPr>
            <w:tcW w:w="932" w:type="pct"/>
            <w:tcBorders>
              <w:top w:val="nil"/>
              <w:left w:val="nil"/>
              <w:bottom w:val="single" w:sz="8" w:space="0" w:color="auto"/>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622</w:t>
            </w:r>
          </w:p>
        </w:tc>
        <w:tc>
          <w:tcPr>
            <w:tcW w:w="1071" w:type="pct"/>
            <w:tcBorders>
              <w:top w:val="nil"/>
              <w:left w:val="nil"/>
              <w:bottom w:val="single" w:sz="8" w:space="0" w:color="auto"/>
              <w:right w:val="single" w:sz="8" w:space="0" w:color="auto"/>
            </w:tcBorders>
            <w:shd w:val="clear" w:color="auto" w:fill="auto"/>
            <w:noWrap/>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23%</w:t>
            </w:r>
          </w:p>
        </w:tc>
      </w:tr>
      <w:tr w:rsidR="00B47AA4" w:rsidRPr="00B47AA4" w:rsidTr="00B47AA4">
        <w:trPr>
          <w:trHeight w:val="315"/>
        </w:trPr>
        <w:tc>
          <w:tcPr>
            <w:tcW w:w="1495" w:type="pct"/>
            <w:tcBorders>
              <w:top w:val="nil"/>
              <w:left w:val="single" w:sz="8" w:space="0" w:color="auto"/>
              <w:bottom w:val="single" w:sz="8" w:space="0" w:color="auto"/>
              <w:right w:val="single" w:sz="8" w:space="0" w:color="auto"/>
            </w:tcBorders>
            <w:shd w:val="clear" w:color="auto" w:fill="auto"/>
            <w:vAlign w:val="center"/>
            <w:hideMark/>
          </w:tcPr>
          <w:p w:rsidR="00B47AA4" w:rsidRPr="00B47AA4" w:rsidRDefault="00B47AA4" w:rsidP="00B47AA4">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B47AA4">
              <w:rPr>
                <w:b/>
                <w:bCs/>
                <w:color w:val="000000"/>
                <w:sz w:val="22"/>
                <w:szCs w:val="22"/>
                <w:lang w:val="en-US" w:eastAsia="zh-CN"/>
              </w:rPr>
              <w:t>Total</w:t>
            </w:r>
          </w:p>
        </w:tc>
        <w:tc>
          <w:tcPr>
            <w:tcW w:w="646" w:type="pct"/>
            <w:tcBorders>
              <w:top w:val="nil"/>
              <w:left w:val="nil"/>
              <w:bottom w:val="single" w:sz="8" w:space="0" w:color="auto"/>
              <w:right w:val="single" w:sz="8" w:space="0" w:color="auto"/>
            </w:tcBorders>
            <w:shd w:val="clear" w:color="auto" w:fill="auto"/>
            <w:noWrap/>
            <w:vAlign w:val="center"/>
            <w:hideMark/>
          </w:tcPr>
          <w:p w:rsidR="00B47AA4" w:rsidRPr="00B47AA4" w:rsidRDefault="00B47AA4" w:rsidP="005E0B41">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B47AA4">
              <w:rPr>
                <w:b/>
                <w:bCs/>
                <w:color w:val="000000"/>
                <w:sz w:val="22"/>
                <w:szCs w:val="22"/>
                <w:lang w:val="en-US" w:eastAsia="zh-CN"/>
              </w:rPr>
              <w:t xml:space="preserve">        </w:t>
            </w:r>
            <w:r w:rsidR="005E0B41">
              <w:rPr>
                <w:b/>
                <w:bCs/>
                <w:color w:val="000000"/>
                <w:sz w:val="22"/>
                <w:szCs w:val="22"/>
                <w:lang w:val="en-US" w:eastAsia="zh-CN"/>
              </w:rPr>
              <w:t>2</w:t>
            </w:r>
            <w:r w:rsidRPr="00B47AA4">
              <w:rPr>
                <w:b/>
                <w:bCs/>
                <w:color w:val="000000"/>
                <w:sz w:val="22"/>
                <w:szCs w:val="22"/>
                <w:lang w:val="en-US" w:eastAsia="zh-CN"/>
              </w:rPr>
              <w:t>,</w:t>
            </w:r>
            <w:r w:rsidR="005E0B41">
              <w:rPr>
                <w:b/>
                <w:bCs/>
                <w:color w:val="000000"/>
                <w:sz w:val="22"/>
                <w:szCs w:val="22"/>
                <w:lang w:val="en-US" w:eastAsia="zh-CN"/>
              </w:rPr>
              <w:t>373</w:t>
            </w:r>
          </w:p>
        </w:tc>
        <w:tc>
          <w:tcPr>
            <w:tcW w:w="856" w:type="pct"/>
            <w:tcBorders>
              <w:top w:val="nil"/>
              <w:left w:val="nil"/>
              <w:bottom w:val="single" w:sz="8" w:space="0" w:color="auto"/>
              <w:right w:val="single" w:sz="8" w:space="0" w:color="auto"/>
            </w:tcBorders>
            <w:shd w:val="clear" w:color="auto" w:fill="auto"/>
            <w:noWrap/>
            <w:vAlign w:val="center"/>
            <w:hideMark/>
          </w:tcPr>
          <w:p w:rsidR="00B47AA4" w:rsidRPr="00B47AA4" w:rsidRDefault="00B47AA4" w:rsidP="005E0B41">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B47AA4">
              <w:rPr>
                <w:b/>
                <w:bCs/>
                <w:color w:val="000000"/>
                <w:sz w:val="22"/>
                <w:szCs w:val="22"/>
                <w:lang w:val="en-US" w:eastAsia="zh-CN"/>
              </w:rPr>
              <w:t xml:space="preserve">               </w:t>
            </w:r>
            <w:r w:rsidR="005E0B41">
              <w:rPr>
                <w:b/>
                <w:bCs/>
                <w:color w:val="000000"/>
                <w:sz w:val="22"/>
                <w:szCs w:val="22"/>
                <w:lang w:val="en-US" w:eastAsia="zh-CN"/>
              </w:rPr>
              <w:t>1</w:t>
            </w:r>
            <w:r w:rsidRPr="00B47AA4">
              <w:rPr>
                <w:b/>
                <w:bCs/>
                <w:color w:val="000000"/>
                <w:sz w:val="22"/>
                <w:szCs w:val="22"/>
                <w:lang w:val="en-US" w:eastAsia="zh-CN"/>
              </w:rPr>
              <w:t>,</w:t>
            </w:r>
            <w:r w:rsidR="005E0B41">
              <w:rPr>
                <w:b/>
                <w:bCs/>
                <w:color w:val="000000"/>
                <w:sz w:val="22"/>
                <w:szCs w:val="22"/>
                <w:lang w:val="en-US" w:eastAsia="zh-CN"/>
              </w:rPr>
              <w:t>107</w:t>
            </w:r>
          </w:p>
        </w:tc>
        <w:tc>
          <w:tcPr>
            <w:tcW w:w="932" w:type="pct"/>
            <w:tcBorders>
              <w:top w:val="nil"/>
              <w:left w:val="nil"/>
              <w:bottom w:val="single" w:sz="8" w:space="0" w:color="auto"/>
              <w:right w:val="single" w:sz="8" w:space="0" w:color="auto"/>
            </w:tcBorders>
            <w:shd w:val="clear" w:color="auto" w:fill="auto"/>
            <w:noWrap/>
            <w:vAlign w:val="center"/>
            <w:hideMark/>
          </w:tcPr>
          <w:p w:rsidR="00B47AA4" w:rsidRPr="00B47AA4" w:rsidRDefault="00B47AA4" w:rsidP="005E0B41">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B47AA4">
              <w:rPr>
                <w:b/>
                <w:bCs/>
                <w:color w:val="000000"/>
                <w:sz w:val="22"/>
                <w:szCs w:val="22"/>
                <w:lang w:val="en-US" w:eastAsia="zh-CN"/>
              </w:rPr>
              <w:t xml:space="preserve">                 1,</w:t>
            </w:r>
            <w:r w:rsidR="005E0B41">
              <w:rPr>
                <w:b/>
                <w:bCs/>
                <w:color w:val="000000"/>
                <w:sz w:val="22"/>
                <w:szCs w:val="22"/>
                <w:lang w:val="en-US" w:eastAsia="zh-CN"/>
              </w:rPr>
              <w:t>266</w:t>
            </w:r>
          </w:p>
        </w:tc>
        <w:tc>
          <w:tcPr>
            <w:tcW w:w="1071" w:type="pct"/>
            <w:tcBorders>
              <w:top w:val="nil"/>
              <w:left w:val="nil"/>
              <w:bottom w:val="single" w:sz="8" w:space="0" w:color="auto"/>
              <w:right w:val="single" w:sz="8" w:space="0" w:color="auto"/>
            </w:tcBorders>
            <w:shd w:val="clear" w:color="auto" w:fill="auto"/>
            <w:noWrap/>
            <w:vAlign w:val="center"/>
            <w:hideMark/>
          </w:tcPr>
          <w:p w:rsidR="00B47AA4" w:rsidRPr="00B47AA4" w:rsidRDefault="005E0B41" w:rsidP="005E0B41">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Pr>
                <w:b/>
                <w:bCs/>
                <w:color w:val="000000"/>
                <w:sz w:val="22"/>
                <w:szCs w:val="22"/>
                <w:lang w:val="en-US" w:eastAsia="zh-CN"/>
              </w:rPr>
              <w:t>53</w:t>
            </w:r>
            <w:r w:rsidR="00B47AA4" w:rsidRPr="00B47AA4">
              <w:rPr>
                <w:b/>
                <w:bCs/>
                <w:color w:val="000000"/>
                <w:sz w:val="22"/>
                <w:szCs w:val="22"/>
                <w:lang w:val="en-US" w:eastAsia="zh-CN"/>
              </w:rPr>
              <w:t>%</w:t>
            </w:r>
          </w:p>
        </w:tc>
      </w:tr>
    </w:tbl>
    <w:p w:rsidR="00F23F1A" w:rsidRPr="00F47B8E" w:rsidRDefault="00F47B8E" w:rsidP="00381DE7">
      <w:pPr>
        <w:pStyle w:val="ListParagraph"/>
        <w:tabs>
          <w:tab w:val="left" w:pos="7350"/>
        </w:tabs>
        <w:rPr>
          <w:rFonts w:ascii="Calibri" w:eastAsia="Times New Roman" w:hAnsi="Calibri"/>
          <w:lang w:eastAsia="en-US"/>
        </w:rPr>
      </w:pPr>
      <w:r>
        <w:rPr>
          <w:rFonts w:ascii="Calibri" w:eastAsia="Times New Roman" w:hAnsi="Calibri"/>
          <w:lang w:eastAsia="en-US"/>
        </w:rPr>
        <w:tab/>
      </w:r>
      <w:r>
        <w:rPr>
          <w:rFonts w:ascii="Calibri" w:eastAsia="Times New Roman" w:hAnsi="Calibri"/>
          <w:lang w:eastAsia="en-US"/>
        </w:rPr>
        <w:tab/>
      </w:r>
    </w:p>
    <w:p w:rsidR="00117E81" w:rsidRDefault="00117E81" w:rsidP="00B47AA4">
      <w:pPr>
        <w:tabs>
          <w:tab w:val="clear" w:pos="567"/>
          <w:tab w:val="clear" w:pos="1134"/>
          <w:tab w:val="clear" w:pos="1701"/>
          <w:tab w:val="clear" w:pos="2268"/>
          <w:tab w:val="clear" w:pos="2835"/>
          <w:tab w:val="left" w:pos="7350"/>
        </w:tabs>
        <w:spacing w:before="0"/>
        <w:rPr>
          <w:szCs w:val="24"/>
          <w:u w:val="single"/>
          <w:lang w:val="en-US"/>
        </w:rPr>
      </w:pPr>
    </w:p>
    <w:p w:rsidR="00F23F1A" w:rsidRDefault="00F23F1A" w:rsidP="00B47AA4">
      <w:pPr>
        <w:tabs>
          <w:tab w:val="clear" w:pos="567"/>
          <w:tab w:val="clear" w:pos="1134"/>
          <w:tab w:val="clear" w:pos="1701"/>
          <w:tab w:val="clear" w:pos="2268"/>
          <w:tab w:val="clear" w:pos="2835"/>
          <w:tab w:val="left" w:pos="7350"/>
        </w:tabs>
        <w:spacing w:before="0"/>
        <w:rPr>
          <w:szCs w:val="24"/>
          <w:u w:val="single"/>
          <w:lang w:val="en-US"/>
        </w:rPr>
      </w:pPr>
      <w:r w:rsidRPr="00F47B8E">
        <w:rPr>
          <w:szCs w:val="24"/>
          <w:u w:val="single"/>
          <w:lang w:val="en-US"/>
        </w:rPr>
        <w:t>Geographical representation</w:t>
      </w:r>
    </w:p>
    <w:p w:rsidR="00117E81" w:rsidRDefault="00117E81" w:rsidP="00B47AA4">
      <w:pPr>
        <w:tabs>
          <w:tab w:val="clear" w:pos="567"/>
          <w:tab w:val="clear" w:pos="1134"/>
          <w:tab w:val="clear" w:pos="1701"/>
          <w:tab w:val="clear" w:pos="2268"/>
          <w:tab w:val="clear" w:pos="2835"/>
          <w:tab w:val="left" w:pos="7350"/>
        </w:tabs>
        <w:spacing w:before="0"/>
        <w:rPr>
          <w:szCs w:val="24"/>
          <w:u w:val="single"/>
          <w:lang w:val="en-US"/>
        </w:rPr>
      </w:pPr>
    </w:p>
    <w:p w:rsidR="00117E81" w:rsidRPr="00F23F1A" w:rsidRDefault="00117E81" w:rsidP="00B47AA4">
      <w:pPr>
        <w:tabs>
          <w:tab w:val="clear" w:pos="567"/>
          <w:tab w:val="clear" w:pos="1134"/>
          <w:tab w:val="clear" w:pos="1701"/>
          <w:tab w:val="clear" w:pos="2268"/>
          <w:tab w:val="clear" w:pos="2835"/>
          <w:tab w:val="left" w:pos="7350"/>
        </w:tabs>
        <w:spacing w:before="0"/>
        <w:rPr>
          <w:szCs w:val="24"/>
          <w:lang w:val="en-US"/>
        </w:rPr>
      </w:pPr>
    </w:p>
    <w:p w:rsidR="00F23F1A" w:rsidRDefault="00F23F1A" w:rsidP="00F23F1A">
      <w:pPr>
        <w:tabs>
          <w:tab w:val="clear" w:pos="567"/>
          <w:tab w:val="clear" w:pos="1134"/>
          <w:tab w:val="clear" w:pos="1701"/>
          <w:tab w:val="clear" w:pos="2268"/>
          <w:tab w:val="clear" w:pos="2835"/>
          <w:tab w:val="left" w:pos="7350"/>
        </w:tabs>
        <w:spacing w:before="0"/>
        <w:jc w:val="center"/>
        <w:rPr>
          <w:sz w:val="18"/>
          <w:szCs w:val="14"/>
          <w:lang w:val="en-US"/>
        </w:rPr>
      </w:pPr>
      <w:r>
        <w:rPr>
          <w:noProof/>
          <w:lang w:eastAsia="zh-CN"/>
        </w:rPr>
        <w:drawing>
          <wp:inline distT="0" distB="0" distL="0" distR="0" wp14:anchorId="26FF44CA" wp14:editId="29FED300">
            <wp:extent cx="4048125" cy="22288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F23F1A" w:rsidRDefault="00F23F1A" w:rsidP="00CD36C4">
      <w:pPr>
        <w:tabs>
          <w:tab w:val="clear" w:pos="567"/>
          <w:tab w:val="clear" w:pos="1134"/>
          <w:tab w:val="clear" w:pos="1701"/>
          <w:tab w:val="clear" w:pos="2268"/>
          <w:tab w:val="clear" w:pos="2835"/>
          <w:tab w:val="left" w:pos="7350"/>
        </w:tabs>
        <w:spacing w:before="0"/>
        <w:rPr>
          <w:sz w:val="18"/>
          <w:szCs w:val="14"/>
          <w:lang w:val="en-US"/>
        </w:rPr>
      </w:pPr>
    </w:p>
    <w:p w:rsidR="00B47AA4" w:rsidRDefault="00DF305E" w:rsidP="009C0AD0">
      <w:pPr>
        <w:spacing w:before="60"/>
      </w:pPr>
      <w:r w:rsidRPr="0080683B">
        <w:t>D</w:t>
      </w:r>
      <w:r w:rsidR="00B47AA4" w:rsidRPr="0080683B">
        <w:t>ocument C19/</w:t>
      </w:r>
      <w:r w:rsidR="00ED15E1" w:rsidRPr="0080683B">
        <w:t>31</w:t>
      </w:r>
      <w:r w:rsidR="00B47AA4" w:rsidRPr="0080683B">
        <w:t xml:space="preserve"> </w:t>
      </w:r>
      <w:r w:rsidRPr="0080683B">
        <w:t>provides further d</w:t>
      </w:r>
      <w:r w:rsidR="00B47AA4" w:rsidRPr="0080683B">
        <w:t>etailed information on fellowship</w:t>
      </w:r>
      <w:r w:rsidR="006F588C" w:rsidRPr="0080683B">
        <w:t>s</w:t>
      </w:r>
      <w:r w:rsidR="00B47AA4" w:rsidRPr="0080683B">
        <w:t>.</w:t>
      </w:r>
    </w:p>
    <w:p w:rsidR="00F23F1A" w:rsidRDefault="00F23F1A" w:rsidP="00CD36C4">
      <w:pPr>
        <w:tabs>
          <w:tab w:val="clear" w:pos="567"/>
          <w:tab w:val="clear" w:pos="1134"/>
          <w:tab w:val="clear" w:pos="1701"/>
          <w:tab w:val="clear" w:pos="2268"/>
          <w:tab w:val="clear" w:pos="2835"/>
          <w:tab w:val="left" w:pos="7350"/>
        </w:tabs>
        <w:spacing w:before="0"/>
        <w:rPr>
          <w:sz w:val="18"/>
          <w:szCs w:val="14"/>
          <w:lang w:val="en-US"/>
        </w:rPr>
      </w:pPr>
    </w:p>
    <w:p w:rsidR="00CD36C4" w:rsidRPr="00F00437" w:rsidRDefault="00CD36C4" w:rsidP="00AC5E61">
      <w:pPr>
        <w:pStyle w:val="Headingb"/>
        <w:tabs>
          <w:tab w:val="left" w:pos="709"/>
        </w:tabs>
        <w:spacing w:after="120"/>
        <w:jc w:val="both"/>
        <w:rPr>
          <w:lang w:val="en-US"/>
        </w:rPr>
      </w:pPr>
      <w:r w:rsidRPr="00F00437">
        <w:rPr>
          <w:lang w:val="en-US"/>
        </w:rPr>
        <w:t>Reserve Account</w:t>
      </w:r>
    </w:p>
    <w:p w:rsidR="00CD36C4" w:rsidRDefault="00CD36C4" w:rsidP="00D93704">
      <w:pPr>
        <w:pStyle w:val="ListParagraph"/>
        <w:numPr>
          <w:ilvl w:val="0"/>
          <w:numId w:val="35"/>
        </w:numPr>
        <w:tabs>
          <w:tab w:val="left" w:pos="567"/>
        </w:tabs>
        <w:adjustRightInd w:val="0"/>
        <w:snapToGrid w:val="0"/>
        <w:ind w:left="0" w:firstLine="0"/>
        <w:contextualSpacing w:val="0"/>
        <w:jc w:val="both"/>
        <w:rPr>
          <w:rFonts w:ascii="Calibri" w:eastAsia="Times New Roman" w:hAnsi="Calibri"/>
          <w:lang w:eastAsia="en-US"/>
        </w:rPr>
      </w:pPr>
      <w:r w:rsidRPr="002B447E">
        <w:rPr>
          <w:rFonts w:ascii="Calibri" w:eastAsia="Times New Roman" w:hAnsi="Calibri"/>
          <w:lang w:eastAsia="en-US"/>
        </w:rPr>
        <w:t>In accordance with No. 485 of the Convention and Article 27 of the Financial Regulations, the Reserve Account is maintained mainly from unused appropriations. It is thus made up of ITU</w:t>
      </w:r>
      <w:r w:rsidR="007A552E" w:rsidRPr="002B447E">
        <w:rPr>
          <w:rFonts w:ascii="Calibri" w:eastAsia="Times New Roman" w:hAnsi="Calibri"/>
          <w:lang w:eastAsia="en-US"/>
        </w:rPr>
        <w:t>’</w:t>
      </w:r>
      <w:r w:rsidRPr="002B447E">
        <w:rPr>
          <w:rFonts w:ascii="Calibri" w:eastAsia="Times New Roman" w:hAnsi="Calibri"/>
          <w:lang w:eastAsia="en-US"/>
        </w:rPr>
        <w:t>s own funds.</w:t>
      </w:r>
    </w:p>
    <w:p w:rsidR="001C6301" w:rsidRPr="002B447E" w:rsidRDefault="001C6301" w:rsidP="00D93704">
      <w:pPr>
        <w:pStyle w:val="ListParagraph"/>
        <w:tabs>
          <w:tab w:val="left" w:pos="567"/>
        </w:tabs>
        <w:adjustRightInd w:val="0"/>
        <w:snapToGrid w:val="0"/>
        <w:ind w:left="0"/>
        <w:contextualSpacing w:val="0"/>
        <w:jc w:val="both"/>
        <w:rPr>
          <w:rFonts w:ascii="Calibri" w:eastAsia="Times New Roman" w:hAnsi="Calibri"/>
          <w:lang w:eastAsia="en-US"/>
        </w:rPr>
      </w:pPr>
    </w:p>
    <w:p w:rsidR="00CD36C4" w:rsidRPr="002B447E" w:rsidRDefault="00CD36C4" w:rsidP="00D93704">
      <w:pPr>
        <w:pStyle w:val="ListParagraph"/>
        <w:numPr>
          <w:ilvl w:val="0"/>
          <w:numId w:val="35"/>
        </w:numPr>
        <w:tabs>
          <w:tab w:val="left" w:pos="567"/>
        </w:tabs>
        <w:adjustRightInd w:val="0"/>
        <w:snapToGrid w:val="0"/>
        <w:ind w:left="0" w:firstLine="0"/>
        <w:contextualSpacing w:val="0"/>
        <w:jc w:val="both"/>
        <w:rPr>
          <w:rFonts w:ascii="Calibri" w:eastAsia="Times New Roman" w:hAnsi="Calibri"/>
          <w:lang w:eastAsia="en-US"/>
        </w:rPr>
      </w:pPr>
      <w:r w:rsidRPr="002B447E">
        <w:rPr>
          <w:rFonts w:ascii="Calibri" w:eastAsia="Times New Roman" w:hAnsi="Calibri"/>
          <w:lang w:eastAsia="en-US"/>
        </w:rPr>
        <w:t xml:space="preserve">The Reserve Account also includes funds derived from those activities in respect of which ITU applies the cost-recovery principle pursuant to Council Resolution 1113 (Document C97/133). </w:t>
      </w:r>
      <w:r w:rsidR="001C6301">
        <w:rPr>
          <w:rFonts w:ascii="Calibri" w:eastAsia="Times New Roman" w:hAnsi="Calibri"/>
          <w:lang w:eastAsia="en-US"/>
        </w:rPr>
        <w:t xml:space="preserve"> </w:t>
      </w:r>
      <w:r w:rsidRPr="002B447E">
        <w:rPr>
          <w:rFonts w:ascii="Calibri" w:eastAsia="Times New Roman" w:hAnsi="Calibri"/>
          <w:lang w:eastAsia="en-US"/>
        </w:rPr>
        <w:t>The products and services to which ITU applies cost recovery are currently:</w:t>
      </w:r>
    </w:p>
    <w:p w:rsidR="00CD36C4" w:rsidRPr="00F00437" w:rsidRDefault="00CD36C4" w:rsidP="00D93704">
      <w:pPr>
        <w:pStyle w:val="enumlev1"/>
        <w:tabs>
          <w:tab w:val="clear" w:pos="567"/>
        </w:tabs>
        <w:ind w:left="993" w:hanging="426"/>
        <w:jc w:val="both"/>
        <w:rPr>
          <w:lang w:val="en-US"/>
        </w:rPr>
      </w:pPr>
      <w:r w:rsidRPr="00F00437">
        <w:rPr>
          <w:lang w:val="en-US"/>
        </w:rPr>
        <w:t>–</w:t>
      </w:r>
      <w:r w:rsidRPr="00F00437">
        <w:rPr>
          <w:lang w:val="en-US"/>
        </w:rPr>
        <w:tab/>
      </w:r>
      <w:proofErr w:type="gramStart"/>
      <w:r w:rsidRPr="00F00437">
        <w:rPr>
          <w:lang w:val="en-US"/>
        </w:rPr>
        <w:t>registration</w:t>
      </w:r>
      <w:proofErr w:type="gramEnd"/>
      <w:r w:rsidRPr="00F00437">
        <w:rPr>
          <w:lang w:val="en-US"/>
        </w:rPr>
        <w:t xml:space="preserve"> of universal international </w:t>
      </w:r>
      <w:proofErr w:type="spellStart"/>
      <w:r w:rsidRPr="00F00437">
        <w:rPr>
          <w:lang w:val="en-US"/>
        </w:rPr>
        <w:t>freephone</w:t>
      </w:r>
      <w:proofErr w:type="spellEnd"/>
      <w:r w:rsidRPr="00F00437">
        <w:rPr>
          <w:lang w:val="en-US"/>
        </w:rPr>
        <w:t xml:space="preserve"> numbers (UIFN)</w:t>
      </w:r>
      <w:r w:rsidR="00AA20AB" w:rsidRPr="00F00437">
        <w:rPr>
          <w:lang w:val="en-US"/>
        </w:rPr>
        <w:t>;</w:t>
      </w:r>
    </w:p>
    <w:p w:rsidR="00CD36C4" w:rsidRPr="00F00437" w:rsidRDefault="00CD36C4" w:rsidP="00D93704">
      <w:pPr>
        <w:pStyle w:val="enumlev1"/>
        <w:tabs>
          <w:tab w:val="clear" w:pos="567"/>
        </w:tabs>
        <w:snapToGrid w:val="0"/>
        <w:spacing w:before="60" w:after="60"/>
        <w:ind w:left="993" w:hanging="426"/>
        <w:jc w:val="both"/>
        <w:rPr>
          <w:lang w:val="en-US"/>
        </w:rPr>
      </w:pPr>
      <w:r w:rsidRPr="00F00437">
        <w:rPr>
          <w:lang w:val="en-US"/>
        </w:rPr>
        <w:t>–</w:t>
      </w:r>
      <w:r w:rsidRPr="00F00437">
        <w:rPr>
          <w:lang w:val="en-US"/>
        </w:rPr>
        <w:tab/>
        <w:t>Memorandum of Understanding on global mobile personal communication systems (GMPCS MoUs)</w:t>
      </w:r>
      <w:r w:rsidR="00AA20AB" w:rsidRPr="00F00437">
        <w:rPr>
          <w:lang w:val="en-US"/>
        </w:rPr>
        <w:t>;</w:t>
      </w:r>
    </w:p>
    <w:p w:rsidR="002C297D" w:rsidRDefault="002C297D">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CD36C4" w:rsidRPr="00F00437" w:rsidRDefault="00CD36C4" w:rsidP="00D93704">
      <w:pPr>
        <w:pStyle w:val="enumlev1"/>
        <w:tabs>
          <w:tab w:val="clear" w:pos="567"/>
        </w:tabs>
        <w:snapToGrid w:val="0"/>
        <w:spacing w:before="0" w:after="60"/>
        <w:ind w:left="993" w:hanging="426"/>
        <w:jc w:val="both"/>
        <w:rPr>
          <w:lang w:val="en-US"/>
        </w:rPr>
      </w:pPr>
      <w:r w:rsidRPr="00F00437">
        <w:rPr>
          <w:lang w:val="en-US"/>
        </w:rPr>
        <w:t>–</w:t>
      </w:r>
      <w:r w:rsidRPr="00F00437">
        <w:rPr>
          <w:lang w:val="en-US"/>
        </w:rPr>
        <w:tab/>
        <w:t>processing of satellite network filings</w:t>
      </w:r>
      <w:r w:rsidR="00AA20AB" w:rsidRPr="00F00437">
        <w:rPr>
          <w:lang w:val="en-US"/>
        </w:rPr>
        <w:t>;</w:t>
      </w:r>
    </w:p>
    <w:p w:rsidR="00CD36C4" w:rsidRPr="00F00437" w:rsidRDefault="00CD36C4" w:rsidP="00D93704">
      <w:pPr>
        <w:pStyle w:val="enumlev1"/>
        <w:tabs>
          <w:tab w:val="clear" w:pos="567"/>
        </w:tabs>
        <w:snapToGrid w:val="0"/>
        <w:spacing w:before="0" w:after="60"/>
        <w:ind w:left="993" w:hanging="426"/>
        <w:jc w:val="both"/>
        <w:rPr>
          <w:lang w:val="en-US"/>
        </w:rPr>
      </w:pPr>
      <w:r w:rsidRPr="00F00437">
        <w:rPr>
          <w:lang w:val="en-US"/>
        </w:rPr>
        <w:t>–</w:t>
      </w:r>
      <w:r w:rsidRPr="00F00437">
        <w:rPr>
          <w:lang w:val="en-US"/>
        </w:rPr>
        <w:tab/>
        <w:t>registration of universal international premium-rate numbers (UIPRN) and universal international shared-cost numbers (UISCN)</w:t>
      </w:r>
      <w:r w:rsidR="00AA20AB" w:rsidRPr="00F00437">
        <w:rPr>
          <w:lang w:val="en-US"/>
        </w:rPr>
        <w:t>;</w:t>
      </w:r>
    </w:p>
    <w:p w:rsidR="00CD36C4" w:rsidRPr="00F00437" w:rsidRDefault="00CD36C4" w:rsidP="00D93704">
      <w:pPr>
        <w:pStyle w:val="enumlev1"/>
        <w:tabs>
          <w:tab w:val="clear" w:pos="567"/>
        </w:tabs>
        <w:snapToGrid w:val="0"/>
        <w:spacing w:before="0" w:after="60"/>
        <w:ind w:left="993" w:hanging="426"/>
        <w:jc w:val="both"/>
        <w:rPr>
          <w:lang w:val="en-US"/>
        </w:rPr>
      </w:pPr>
      <w:r w:rsidRPr="00F00437">
        <w:rPr>
          <w:lang w:val="en-US"/>
        </w:rPr>
        <w:t>–</w:t>
      </w:r>
      <w:r w:rsidRPr="00F00437">
        <w:rPr>
          <w:lang w:val="en-US"/>
        </w:rPr>
        <w:tab/>
        <w:t>TELECOM</w:t>
      </w:r>
      <w:r w:rsidR="00AA20AB" w:rsidRPr="00F00437">
        <w:rPr>
          <w:lang w:val="en-US"/>
        </w:rPr>
        <w:t>;</w:t>
      </w:r>
    </w:p>
    <w:p w:rsidR="00CD36C4" w:rsidRPr="00F00437" w:rsidRDefault="00CD36C4" w:rsidP="00D93704">
      <w:pPr>
        <w:pStyle w:val="enumlev1"/>
        <w:tabs>
          <w:tab w:val="clear" w:pos="567"/>
        </w:tabs>
        <w:snapToGrid w:val="0"/>
        <w:spacing w:before="0" w:after="60"/>
        <w:ind w:left="993" w:hanging="426"/>
        <w:jc w:val="both"/>
        <w:rPr>
          <w:lang w:val="en-US"/>
        </w:rPr>
      </w:pPr>
      <w:r w:rsidRPr="00F00437">
        <w:rPr>
          <w:lang w:val="en-US"/>
        </w:rPr>
        <w:t>–</w:t>
      </w:r>
      <w:r w:rsidRPr="00F00437">
        <w:rPr>
          <w:lang w:val="en-US"/>
        </w:rPr>
        <w:tab/>
        <w:t>publication sales</w:t>
      </w:r>
      <w:r w:rsidR="00AA20AB" w:rsidRPr="00F00437">
        <w:rPr>
          <w:lang w:val="en-US"/>
        </w:rPr>
        <w:t>;</w:t>
      </w:r>
    </w:p>
    <w:p w:rsidR="00CD36C4" w:rsidRDefault="00CD36C4" w:rsidP="00D93704">
      <w:pPr>
        <w:pStyle w:val="enumlev1"/>
        <w:tabs>
          <w:tab w:val="clear" w:pos="567"/>
        </w:tabs>
        <w:snapToGrid w:val="0"/>
        <w:spacing w:before="0" w:after="60"/>
        <w:ind w:left="993" w:hanging="426"/>
        <w:jc w:val="both"/>
        <w:rPr>
          <w:lang w:val="en-US"/>
        </w:rPr>
      </w:pPr>
      <w:r w:rsidRPr="00F00437">
        <w:rPr>
          <w:lang w:val="en-US"/>
        </w:rPr>
        <w:t>–</w:t>
      </w:r>
      <w:r w:rsidRPr="00F00437">
        <w:rPr>
          <w:lang w:val="en-US"/>
        </w:rPr>
        <w:tab/>
        <w:t>project support revenue.</w:t>
      </w:r>
    </w:p>
    <w:p w:rsidR="009623EA" w:rsidRPr="0002174A" w:rsidRDefault="009623EA" w:rsidP="00704ACD">
      <w:pPr>
        <w:pStyle w:val="Heading9"/>
        <w:tabs>
          <w:tab w:val="clear" w:pos="567"/>
          <w:tab w:val="clear" w:pos="1134"/>
          <w:tab w:val="clear" w:pos="1701"/>
        </w:tabs>
        <w:snapToGrid w:val="0"/>
        <w:spacing w:before="360" w:after="240"/>
        <w:ind w:left="709" w:hanging="709"/>
        <w:jc w:val="both"/>
        <w:rPr>
          <w:w w:val="105"/>
          <w:sz w:val="28"/>
          <w:szCs w:val="28"/>
          <w:lang w:val="en-US"/>
        </w:rPr>
      </w:pPr>
      <w:r w:rsidRPr="0002174A">
        <w:rPr>
          <w:w w:val="105"/>
          <w:sz w:val="28"/>
          <w:szCs w:val="28"/>
          <w:lang w:val="en-US"/>
        </w:rPr>
        <w:t>II</w:t>
      </w:r>
      <w:r w:rsidRPr="0002174A">
        <w:rPr>
          <w:w w:val="105"/>
          <w:sz w:val="28"/>
          <w:szCs w:val="28"/>
          <w:lang w:val="en-US"/>
        </w:rPr>
        <w:tab/>
      </w:r>
      <w:r>
        <w:rPr>
          <w:w w:val="105"/>
          <w:sz w:val="28"/>
          <w:szCs w:val="28"/>
          <w:lang w:val="en-US"/>
        </w:rPr>
        <w:t>NEW HEADQUARTER</w:t>
      </w:r>
      <w:r w:rsidR="00876E7C">
        <w:rPr>
          <w:w w:val="105"/>
          <w:sz w:val="28"/>
          <w:szCs w:val="28"/>
          <w:lang w:val="en-US"/>
        </w:rPr>
        <w:t>S</w:t>
      </w:r>
      <w:r>
        <w:rPr>
          <w:w w:val="105"/>
          <w:sz w:val="28"/>
          <w:szCs w:val="28"/>
          <w:lang w:val="en-US"/>
        </w:rPr>
        <w:t xml:space="preserve"> PREMISES (</w:t>
      </w:r>
      <w:r w:rsidRPr="0002174A">
        <w:rPr>
          <w:w w:val="105"/>
          <w:sz w:val="28"/>
          <w:szCs w:val="28"/>
          <w:lang w:val="en-US"/>
        </w:rPr>
        <w:t xml:space="preserve">ANNEX </w:t>
      </w:r>
      <w:r w:rsidR="008A0416">
        <w:rPr>
          <w:w w:val="105"/>
          <w:sz w:val="28"/>
          <w:szCs w:val="28"/>
          <w:lang w:val="en-US"/>
        </w:rPr>
        <w:t>B</w:t>
      </w:r>
      <w:r>
        <w:rPr>
          <w:w w:val="105"/>
          <w:sz w:val="28"/>
          <w:szCs w:val="28"/>
          <w:lang w:val="en-US"/>
        </w:rPr>
        <w:t>2</w:t>
      </w:r>
      <w:r w:rsidRPr="005F5EA1">
        <w:rPr>
          <w:w w:val="105"/>
          <w:sz w:val="28"/>
          <w:szCs w:val="28"/>
          <w:lang w:val="en-US"/>
        </w:rPr>
        <w:t>)</w:t>
      </w:r>
    </w:p>
    <w:p w:rsidR="002E36E6" w:rsidRDefault="006C5024" w:rsidP="00D93704">
      <w:pPr>
        <w:pStyle w:val="ListParagraph"/>
        <w:numPr>
          <w:ilvl w:val="0"/>
          <w:numId w:val="35"/>
        </w:numPr>
        <w:tabs>
          <w:tab w:val="left" w:pos="567"/>
        </w:tabs>
        <w:ind w:left="0" w:firstLine="0"/>
        <w:jc w:val="both"/>
        <w:rPr>
          <w:rFonts w:ascii="Calibri" w:eastAsia="Times New Roman" w:hAnsi="Calibri"/>
          <w:lang w:eastAsia="en-US"/>
        </w:rPr>
      </w:pPr>
      <w:r w:rsidRPr="006C5024">
        <w:rPr>
          <w:rFonts w:ascii="Calibri" w:eastAsia="Times New Roman" w:hAnsi="Calibri"/>
          <w:lang w:eastAsia="en-US"/>
        </w:rPr>
        <w:t xml:space="preserve">During 2018, the winning architect and the secretariat have worked extensively to optimize the design for the overall project cost, respecting the </w:t>
      </w:r>
      <w:proofErr w:type="spellStart"/>
      <w:r w:rsidRPr="006C5024">
        <w:rPr>
          <w:rFonts w:ascii="Calibri" w:eastAsia="Times New Roman" w:hAnsi="Calibri"/>
          <w:lang w:eastAsia="en-US"/>
        </w:rPr>
        <w:t>programme</w:t>
      </w:r>
      <w:proofErr w:type="spellEnd"/>
      <w:r w:rsidRPr="006C5024">
        <w:rPr>
          <w:rFonts w:ascii="Calibri" w:eastAsia="Times New Roman" w:hAnsi="Calibri"/>
          <w:lang w:eastAsia="en-US"/>
        </w:rPr>
        <w:t xml:space="preserve"> requirements.</w:t>
      </w:r>
    </w:p>
    <w:p w:rsidR="006C5024" w:rsidRPr="006C5024" w:rsidRDefault="006C5024" w:rsidP="00D93704">
      <w:pPr>
        <w:pStyle w:val="ListParagraph"/>
        <w:tabs>
          <w:tab w:val="left" w:pos="567"/>
        </w:tabs>
        <w:ind w:left="0"/>
        <w:jc w:val="both"/>
        <w:rPr>
          <w:rFonts w:ascii="Calibri" w:eastAsia="Times New Roman" w:hAnsi="Calibri"/>
          <w:lang w:eastAsia="en-US"/>
        </w:rPr>
      </w:pPr>
    </w:p>
    <w:p w:rsidR="006C5024" w:rsidRDefault="006C5024" w:rsidP="00D93704">
      <w:pPr>
        <w:pStyle w:val="ListParagraph"/>
        <w:numPr>
          <w:ilvl w:val="0"/>
          <w:numId w:val="35"/>
        </w:numPr>
        <w:tabs>
          <w:tab w:val="left" w:pos="567"/>
        </w:tabs>
        <w:snapToGrid w:val="0"/>
        <w:ind w:left="0" w:firstLine="0"/>
        <w:contextualSpacing w:val="0"/>
        <w:jc w:val="both"/>
        <w:rPr>
          <w:rFonts w:ascii="Calibri" w:eastAsia="Times New Roman" w:hAnsi="Calibri"/>
          <w:lang w:eastAsia="en-US"/>
        </w:rPr>
      </w:pPr>
      <w:r w:rsidRPr="006C5024">
        <w:rPr>
          <w:rFonts w:ascii="Calibri" w:eastAsia="Times New Roman" w:hAnsi="Calibri"/>
          <w:lang w:eastAsia="en-US"/>
        </w:rPr>
        <w:t>The architect is now creating technical documentation to support the “second message” to the Host Country requesting the second and final loan tranche for the demolition and construction phases. The first loan tranche, covering the current phase, was intended to be available until 31</w:t>
      </w:r>
      <w:r w:rsidR="0002150F">
        <w:rPr>
          <w:rFonts w:ascii="Calibri" w:eastAsia="Times New Roman" w:hAnsi="Calibri"/>
          <w:lang w:eastAsia="en-US"/>
        </w:rPr>
        <w:t> </w:t>
      </w:r>
      <w:r w:rsidRPr="006C5024">
        <w:rPr>
          <w:rFonts w:ascii="Calibri" w:eastAsia="Times New Roman" w:hAnsi="Calibri"/>
          <w:lang w:eastAsia="en-US"/>
        </w:rPr>
        <w:t>December 2019.</w:t>
      </w:r>
    </w:p>
    <w:p w:rsidR="006C5024" w:rsidRPr="0002150F" w:rsidRDefault="006C5024" w:rsidP="00D93704">
      <w:pPr>
        <w:adjustRightInd/>
        <w:snapToGrid w:val="0"/>
        <w:spacing w:before="0"/>
      </w:pPr>
    </w:p>
    <w:p w:rsidR="006C5024" w:rsidRPr="006C5024" w:rsidRDefault="006C5024" w:rsidP="00D93704">
      <w:pPr>
        <w:pStyle w:val="ListParagraph"/>
        <w:numPr>
          <w:ilvl w:val="0"/>
          <w:numId w:val="35"/>
        </w:numPr>
        <w:tabs>
          <w:tab w:val="left" w:pos="567"/>
        </w:tabs>
        <w:ind w:left="0" w:firstLine="0"/>
        <w:jc w:val="both"/>
        <w:rPr>
          <w:rFonts w:ascii="Calibri" w:eastAsia="Times New Roman" w:hAnsi="Calibri"/>
          <w:lang w:eastAsia="en-US"/>
        </w:rPr>
      </w:pPr>
      <w:r w:rsidRPr="006C5024">
        <w:rPr>
          <w:rFonts w:ascii="Calibri" w:eastAsia="Times New Roman" w:hAnsi="Calibri"/>
          <w:lang w:eastAsia="en-US"/>
        </w:rPr>
        <w:t xml:space="preserve">However, the Host Country indicated that the first loan tranche could be extended beyond </w:t>
      </w:r>
      <w:r w:rsidR="0002150F">
        <w:rPr>
          <w:rFonts w:ascii="Calibri" w:eastAsia="Times New Roman" w:hAnsi="Calibri"/>
          <w:lang w:eastAsia="en-US"/>
        </w:rPr>
        <w:t xml:space="preserve">the </w:t>
      </w:r>
      <w:r w:rsidRPr="006C5024">
        <w:rPr>
          <w:rFonts w:ascii="Calibri" w:eastAsia="Times New Roman" w:hAnsi="Calibri"/>
          <w:lang w:eastAsia="en-US"/>
        </w:rPr>
        <w:t>end of 2019 to allow more time to determine the exact total project cost envelope. Since the decision was made to extend the concept design, the architect has continued cost-optimizing the initial concept design that was delivered in October 2018. The final version is due</w:t>
      </w:r>
      <w:r w:rsidR="0002150F">
        <w:rPr>
          <w:rFonts w:ascii="Calibri" w:eastAsia="Times New Roman" w:hAnsi="Calibri"/>
          <w:lang w:eastAsia="en-US"/>
        </w:rPr>
        <w:t xml:space="preserve"> on</w:t>
      </w:r>
      <w:r w:rsidRPr="006C5024">
        <w:rPr>
          <w:rFonts w:ascii="Calibri" w:eastAsia="Times New Roman" w:hAnsi="Calibri"/>
          <w:lang w:eastAsia="en-US"/>
        </w:rPr>
        <w:t xml:space="preserve"> 1 April 2019.</w:t>
      </w:r>
    </w:p>
    <w:p w:rsidR="006C5024" w:rsidRPr="006C5024" w:rsidRDefault="006C5024" w:rsidP="00D93704">
      <w:pPr>
        <w:pStyle w:val="ListParagraph"/>
        <w:tabs>
          <w:tab w:val="left" w:pos="567"/>
        </w:tabs>
        <w:ind w:left="0"/>
        <w:jc w:val="both"/>
        <w:rPr>
          <w:rFonts w:ascii="Calibri" w:eastAsia="Times New Roman" w:hAnsi="Calibri"/>
          <w:lang w:eastAsia="en-US"/>
        </w:rPr>
      </w:pPr>
    </w:p>
    <w:p w:rsidR="0002150F" w:rsidRPr="0002150F" w:rsidRDefault="006C5024" w:rsidP="00D93704">
      <w:pPr>
        <w:pStyle w:val="ListParagraph"/>
        <w:numPr>
          <w:ilvl w:val="0"/>
          <w:numId w:val="35"/>
        </w:numPr>
        <w:tabs>
          <w:tab w:val="left" w:pos="567"/>
        </w:tabs>
        <w:ind w:left="0" w:firstLine="0"/>
        <w:jc w:val="both"/>
        <w:rPr>
          <w:rFonts w:ascii="Calibri" w:eastAsia="Times New Roman" w:hAnsi="Calibri"/>
          <w:lang w:eastAsia="en-US"/>
        </w:rPr>
      </w:pPr>
      <w:r w:rsidRPr="006C5024">
        <w:rPr>
          <w:rFonts w:ascii="Calibri" w:eastAsia="Times New Roman" w:hAnsi="Calibri"/>
          <w:lang w:eastAsia="en-US"/>
        </w:rPr>
        <w:t xml:space="preserve">A comprehensive cost estimate, taking into account the recommendation </w:t>
      </w:r>
      <w:r w:rsidR="0002150F">
        <w:rPr>
          <w:rFonts w:ascii="Calibri" w:eastAsia="Times New Roman" w:hAnsi="Calibri"/>
          <w:lang w:eastAsia="en-US"/>
        </w:rPr>
        <w:t>in</w:t>
      </w:r>
      <w:r w:rsidRPr="006C5024">
        <w:rPr>
          <w:rFonts w:ascii="Calibri" w:eastAsia="Times New Roman" w:hAnsi="Calibri"/>
          <w:lang w:eastAsia="en-US"/>
        </w:rPr>
        <w:t xml:space="preserve"> Resolution</w:t>
      </w:r>
      <w:r w:rsidR="0002150F">
        <w:rPr>
          <w:rFonts w:ascii="Calibri" w:eastAsia="Times New Roman" w:hAnsi="Calibri"/>
          <w:lang w:eastAsia="en-US"/>
        </w:rPr>
        <w:t> </w:t>
      </w:r>
      <w:r w:rsidRPr="006C5024">
        <w:rPr>
          <w:rFonts w:ascii="Calibri" w:eastAsia="Times New Roman" w:hAnsi="Calibri"/>
          <w:lang w:eastAsia="en-US"/>
        </w:rPr>
        <w:t xml:space="preserve">212 </w:t>
      </w:r>
      <w:r w:rsidR="0002150F">
        <w:rPr>
          <w:rFonts w:ascii="Calibri" w:eastAsia="Times New Roman" w:hAnsi="Calibri"/>
          <w:lang w:eastAsia="en-US"/>
        </w:rPr>
        <w:t xml:space="preserve">(Dubai, 2018) </w:t>
      </w:r>
      <w:r w:rsidRPr="006C5024">
        <w:rPr>
          <w:rFonts w:ascii="Calibri" w:eastAsia="Times New Roman" w:hAnsi="Calibri"/>
          <w:lang w:eastAsia="en-US"/>
        </w:rPr>
        <w:t>has been developed and will be shared with Members States at the Council</w:t>
      </w:r>
      <w:r w:rsidR="0002150F">
        <w:rPr>
          <w:rFonts w:ascii="Calibri" w:eastAsia="Times New Roman" w:hAnsi="Calibri"/>
          <w:lang w:eastAsia="en-US"/>
        </w:rPr>
        <w:t> 2019</w:t>
      </w:r>
      <w:r w:rsidRPr="006C5024">
        <w:rPr>
          <w:rFonts w:ascii="Calibri" w:eastAsia="Times New Roman" w:hAnsi="Calibri"/>
          <w:lang w:eastAsia="en-US"/>
        </w:rPr>
        <w:t xml:space="preserve"> Session.</w:t>
      </w:r>
    </w:p>
    <w:p w:rsidR="006C5024" w:rsidRPr="006C5024" w:rsidRDefault="006C5024" w:rsidP="00D93704">
      <w:pPr>
        <w:pStyle w:val="ListParagraph"/>
        <w:tabs>
          <w:tab w:val="left" w:pos="567"/>
        </w:tabs>
        <w:ind w:left="0"/>
        <w:jc w:val="both"/>
        <w:rPr>
          <w:rFonts w:ascii="Calibri" w:eastAsia="Times New Roman" w:hAnsi="Calibri"/>
          <w:lang w:eastAsia="en-US"/>
        </w:rPr>
      </w:pPr>
    </w:p>
    <w:p w:rsidR="006C5024" w:rsidRPr="0080683B" w:rsidRDefault="006C5024" w:rsidP="00D93704">
      <w:pPr>
        <w:pStyle w:val="ListParagraph"/>
        <w:numPr>
          <w:ilvl w:val="0"/>
          <w:numId w:val="35"/>
        </w:numPr>
        <w:tabs>
          <w:tab w:val="left" w:pos="567"/>
        </w:tabs>
        <w:ind w:left="0" w:firstLine="0"/>
        <w:jc w:val="both"/>
        <w:rPr>
          <w:rFonts w:ascii="Calibri" w:eastAsia="Times New Roman" w:hAnsi="Calibri"/>
          <w:lang w:eastAsia="en-US"/>
        </w:rPr>
      </w:pPr>
      <w:r w:rsidRPr="0080683B">
        <w:rPr>
          <w:rFonts w:ascii="Calibri" w:eastAsia="Times New Roman" w:hAnsi="Calibri"/>
          <w:lang w:eastAsia="en-US"/>
        </w:rPr>
        <w:t xml:space="preserve">To assist the team with professional expertise in the construction business, an external consultancy firm has been </w:t>
      </w:r>
      <w:r w:rsidR="0002150F" w:rsidRPr="0080683B">
        <w:rPr>
          <w:rFonts w:ascii="Calibri" w:eastAsia="Times New Roman" w:hAnsi="Calibri"/>
          <w:lang w:eastAsia="en-US"/>
        </w:rPr>
        <w:t xml:space="preserve">hired for the </w:t>
      </w:r>
      <w:r w:rsidRPr="0080683B">
        <w:rPr>
          <w:rFonts w:ascii="Calibri" w:eastAsia="Times New Roman" w:hAnsi="Calibri"/>
          <w:lang w:eastAsia="en-US"/>
        </w:rPr>
        <w:t>first time to provide technical support consultancy until April</w:t>
      </w:r>
      <w:r w:rsidR="0002150F" w:rsidRPr="0080683B">
        <w:rPr>
          <w:rFonts w:ascii="Calibri" w:eastAsia="Times New Roman" w:hAnsi="Calibri"/>
          <w:lang w:eastAsia="en-US"/>
        </w:rPr>
        <w:t> </w:t>
      </w:r>
      <w:r w:rsidRPr="0080683B">
        <w:rPr>
          <w:rFonts w:ascii="Calibri" w:eastAsia="Times New Roman" w:hAnsi="Calibri"/>
          <w:lang w:eastAsia="en-US"/>
        </w:rPr>
        <w:t>2019. In the meantime, an international procurement action was launched in November 2018 for the long-term project management, technical and risk support (ECPSS – External Construction Project Support Services) from April 2019 onwards.</w:t>
      </w:r>
    </w:p>
    <w:p w:rsidR="006C5024" w:rsidRPr="0080683B" w:rsidRDefault="006C5024" w:rsidP="00D93704">
      <w:pPr>
        <w:pStyle w:val="ListParagraph"/>
        <w:tabs>
          <w:tab w:val="left" w:pos="567"/>
        </w:tabs>
        <w:ind w:left="0"/>
        <w:jc w:val="both"/>
        <w:rPr>
          <w:rFonts w:ascii="Calibri" w:eastAsia="Times New Roman" w:hAnsi="Calibri"/>
          <w:lang w:eastAsia="en-US"/>
        </w:rPr>
      </w:pPr>
    </w:p>
    <w:p w:rsidR="006C5024" w:rsidRPr="0080683B" w:rsidRDefault="006C5024" w:rsidP="00D93704">
      <w:pPr>
        <w:pStyle w:val="ListParagraph"/>
        <w:numPr>
          <w:ilvl w:val="0"/>
          <w:numId w:val="35"/>
        </w:numPr>
        <w:tabs>
          <w:tab w:val="left" w:pos="567"/>
        </w:tabs>
        <w:ind w:left="0" w:firstLine="0"/>
        <w:jc w:val="both"/>
        <w:rPr>
          <w:rFonts w:ascii="Calibri" w:eastAsia="Times New Roman" w:hAnsi="Calibri"/>
          <w:lang w:eastAsia="en-US"/>
        </w:rPr>
      </w:pPr>
      <w:r w:rsidRPr="0080683B">
        <w:rPr>
          <w:rFonts w:ascii="Calibri" w:eastAsia="Times New Roman" w:hAnsi="Calibri"/>
          <w:lang w:eastAsia="en-US"/>
        </w:rPr>
        <w:t>Following t</w:t>
      </w:r>
      <w:r w:rsidR="0002150F" w:rsidRPr="0080683B">
        <w:rPr>
          <w:rFonts w:ascii="Calibri" w:eastAsia="Times New Roman" w:hAnsi="Calibri"/>
          <w:lang w:eastAsia="en-US"/>
        </w:rPr>
        <w:t>he</w:t>
      </w:r>
      <w:r w:rsidRPr="0080683B">
        <w:rPr>
          <w:rFonts w:ascii="Calibri" w:eastAsia="Times New Roman" w:hAnsi="Calibri"/>
          <w:lang w:eastAsia="en-US"/>
        </w:rPr>
        <w:t xml:space="preserve"> endorsement of Res</w:t>
      </w:r>
      <w:r w:rsidR="0002150F" w:rsidRPr="0080683B">
        <w:rPr>
          <w:rFonts w:ascii="Calibri" w:eastAsia="Times New Roman" w:hAnsi="Calibri"/>
          <w:lang w:eastAsia="en-US"/>
        </w:rPr>
        <w:t xml:space="preserve">olution </w:t>
      </w:r>
      <w:r w:rsidRPr="0080683B">
        <w:rPr>
          <w:rFonts w:ascii="Calibri" w:eastAsia="Times New Roman" w:hAnsi="Calibri"/>
          <w:lang w:eastAsia="en-US"/>
        </w:rPr>
        <w:t>212</w:t>
      </w:r>
      <w:r w:rsidR="0002150F" w:rsidRPr="0080683B">
        <w:rPr>
          <w:rFonts w:ascii="Calibri" w:eastAsia="Times New Roman" w:hAnsi="Calibri"/>
          <w:lang w:eastAsia="en-US"/>
        </w:rPr>
        <w:t xml:space="preserve"> (Dubai, 2018)</w:t>
      </w:r>
      <w:r w:rsidRPr="0080683B">
        <w:rPr>
          <w:rFonts w:ascii="Calibri" w:eastAsia="Times New Roman" w:hAnsi="Calibri"/>
          <w:lang w:eastAsia="en-US"/>
        </w:rPr>
        <w:t xml:space="preserve"> the ITU has signed </w:t>
      </w:r>
      <w:r w:rsidR="0002150F" w:rsidRPr="0080683B">
        <w:rPr>
          <w:rFonts w:ascii="Calibri" w:eastAsia="Times New Roman" w:hAnsi="Calibri"/>
          <w:lang w:eastAsia="en-US"/>
        </w:rPr>
        <w:t>two</w:t>
      </w:r>
      <w:r w:rsidRPr="0080683B">
        <w:rPr>
          <w:rFonts w:ascii="Calibri" w:eastAsia="Times New Roman" w:hAnsi="Calibri"/>
          <w:lang w:eastAsia="en-US"/>
        </w:rPr>
        <w:t xml:space="preserve"> sponsorship agreements</w:t>
      </w:r>
      <w:r w:rsidR="00EC7A68" w:rsidRPr="0080683B">
        <w:rPr>
          <w:rFonts w:ascii="Calibri" w:eastAsia="Times New Roman" w:hAnsi="Calibri"/>
          <w:lang w:eastAsia="en-US"/>
        </w:rPr>
        <w:t>, one</w:t>
      </w:r>
      <w:r w:rsidRPr="0080683B">
        <w:rPr>
          <w:rFonts w:ascii="Calibri" w:eastAsia="Times New Roman" w:hAnsi="Calibri"/>
          <w:lang w:eastAsia="en-US"/>
        </w:rPr>
        <w:t xml:space="preserve"> with the Administration of Saudi Arabia for CHF 10 million and </w:t>
      </w:r>
      <w:r w:rsidR="00EC7A68" w:rsidRPr="0080683B">
        <w:rPr>
          <w:rFonts w:ascii="Calibri" w:eastAsia="Times New Roman" w:hAnsi="Calibri"/>
          <w:lang w:eastAsia="en-US"/>
        </w:rPr>
        <w:t xml:space="preserve">one with </w:t>
      </w:r>
      <w:r w:rsidRPr="0080683B">
        <w:rPr>
          <w:rFonts w:ascii="Calibri" w:eastAsia="Times New Roman" w:hAnsi="Calibri"/>
          <w:lang w:eastAsia="en-US"/>
        </w:rPr>
        <w:t xml:space="preserve">the </w:t>
      </w:r>
      <w:r w:rsidR="0002150F" w:rsidRPr="0080683B">
        <w:rPr>
          <w:rFonts w:ascii="Calibri" w:eastAsia="Times New Roman" w:hAnsi="Calibri"/>
          <w:lang w:eastAsia="en-US"/>
        </w:rPr>
        <w:t xml:space="preserve">Administration of the </w:t>
      </w:r>
      <w:r w:rsidRPr="0080683B">
        <w:rPr>
          <w:rFonts w:ascii="Calibri" w:eastAsia="Times New Roman" w:hAnsi="Calibri"/>
          <w:lang w:eastAsia="en-US"/>
        </w:rPr>
        <w:t xml:space="preserve">United Arab </w:t>
      </w:r>
      <w:r w:rsidR="0002150F" w:rsidRPr="0080683B">
        <w:rPr>
          <w:rFonts w:ascii="Calibri" w:eastAsia="Times New Roman" w:hAnsi="Calibri"/>
          <w:lang w:eastAsia="en-US"/>
        </w:rPr>
        <w:t>E</w:t>
      </w:r>
      <w:r w:rsidRPr="0080683B">
        <w:rPr>
          <w:rFonts w:ascii="Calibri" w:eastAsia="Times New Roman" w:hAnsi="Calibri"/>
          <w:lang w:eastAsia="en-US"/>
        </w:rPr>
        <w:t>mirates for CHF 5 million.</w:t>
      </w:r>
    </w:p>
    <w:p w:rsidR="0002150F" w:rsidRPr="0002150F" w:rsidRDefault="0002150F" w:rsidP="00D93704"/>
    <w:p w:rsidR="006C5024" w:rsidRDefault="006C5024" w:rsidP="00D93704">
      <w:pPr>
        <w:pStyle w:val="ListParagraph"/>
        <w:numPr>
          <w:ilvl w:val="0"/>
          <w:numId w:val="35"/>
        </w:numPr>
        <w:tabs>
          <w:tab w:val="left" w:pos="567"/>
        </w:tabs>
        <w:ind w:left="0" w:firstLine="0"/>
        <w:jc w:val="both"/>
        <w:rPr>
          <w:rFonts w:ascii="Calibri" w:eastAsia="Times New Roman" w:hAnsi="Calibri"/>
          <w:lang w:eastAsia="en-US"/>
        </w:rPr>
      </w:pPr>
      <w:r w:rsidRPr="006C5024">
        <w:rPr>
          <w:rFonts w:ascii="Calibri" w:eastAsia="Times New Roman" w:hAnsi="Calibri"/>
          <w:lang w:eastAsia="en-US"/>
        </w:rPr>
        <w:t xml:space="preserve">The ITU also received a donation from the Czech Republic amounting </w:t>
      </w:r>
      <w:r w:rsidR="0002150F">
        <w:rPr>
          <w:rFonts w:ascii="Calibri" w:eastAsia="Times New Roman" w:hAnsi="Calibri"/>
          <w:lang w:eastAsia="en-US"/>
        </w:rPr>
        <w:t xml:space="preserve">to </w:t>
      </w:r>
      <w:r w:rsidRPr="006C5024">
        <w:rPr>
          <w:rFonts w:ascii="Calibri" w:eastAsia="Times New Roman" w:hAnsi="Calibri"/>
          <w:lang w:eastAsia="en-US"/>
        </w:rPr>
        <w:t>USD 100,000.</w:t>
      </w:r>
    </w:p>
    <w:p w:rsidR="00286942" w:rsidRPr="006C5024" w:rsidRDefault="00286942" w:rsidP="00D93704">
      <w:pPr>
        <w:pStyle w:val="ListParagraph"/>
        <w:tabs>
          <w:tab w:val="left" w:pos="567"/>
        </w:tabs>
        <w:ind w:left="0"/>
        <w:jc w:val="both"/>
        <w:rPr>
          <w:rFonts w:ascii="Calibri" w:eastAsia="Times New Roman" w:hAnsi="Calibri"/>
          <w:lang w:eastAsia="en-US"/>
        </w:rPr>
      </w:pPr>
    </w:p>
    <w:p w:rsidR="006C5024" w:rsidRPr="00B51606" w:rsidRDefault="006C5024" w:rsidP="00D93704">
      <w:pPr>
        <w:pStyle w:val="ListParagraph"/>
        <w:numPr>
          <w:ilvl w:val="0"/>
          <w:numId w:val="35"/>
        </w:numPr>
        <w:tabs>
          <w:tab w:val="left" w:pos="567"/>
        </w:tabs>
        <w:ind w:left="0" w:firstLine="0"/>
        <w:jc w:val="both"/>
        <w:rPr>
          <w:rFonts w:ascii="Calibri" w:eastAsia="Times New Roman" w:hAnsi="Calibri"/>
          <w:lang w:eastAsia="en-US"/>
        </w:rPr>
      </w:pPr>
      <w:r w:rsidRPr="00B51606">
        <w:rPr>
          <w:rFonts w:ascii="Calibri" w:eastAsia="Times New Roman" w:hAnsi="Calibri"/>
          <w:lang w:eastAsia="en-US"/>
        </w:rPr>
        <w:t xml:space="preserve">An amount of CHF 1,667,000 has been received from the loan and </w:t>
      </w:r>
      <w:r w:rsidR="009855B3" w:rsidRPr="00B51606">
        <w:rPr>
          <w:rFonts w:ascii="Calibri" w:eastAsia="Times New Roman" w:hAnsi="Calibri"/>
          <w:lang w:eastAsia="en-US"/>
        </w:rPr>
        <w:t>in 2018</w:t>
      </w:r>
      <w:r w:rsidR="00EB6AC0" w:rsidRPr="00B51606">
        <w:rPr>
          <w:rFonts w:ascii="Calibri" w:eastAsia="Times New Roman" w:hAnsi="Calibri"/>
          <w:lang w:eastAsia="en-US"/>
        </w:rPr>
        <w:t>,</w:t>
      </w:r>
      <w:r w:rsidR="009855B3" w:rsidRPr="00B51606">
        <w:rPr>
          <w:rFonts w:ascii="Calibri" w:eastAsia="Times New Roman" w:hAnsi="Calibri"/>
          <w:lang w:eastAsia="en-US"/>
        </w:rPr>
        <w:t xml:space="preserve"> the expenses </w:t>
      </w:r>
      <w:r w:rsidR="0080683B" w:rsidRPr="00B51606">
        <w:rPr>
          <w:rFonts w:ascii="Calibri" w:eastAsia="Times New Roman" w:hAnsi="Calibri"/>
          <w:lang w:eastAsia="en-US"/>
        </w:rPr>
        <w:t>for t</w:t>
      </w:r>
      <w:r w:rsidR="009855B3" w:rsidRPr="00B51606">
        <w:rPr>
          <w:rFonts w:ascii="Calibri" w:eastAsia="Times New Roman" w:hAnsi="Calibri"/>
          <w:lang w:eastAsia="en-US"/>
        </w:rPr>
        <w:t>he new building project amounted to CHF 1,479,209.</w:t>
      </w:r>
    </w:p>
    <w:p w:rsidR="00CD36C4" w:rsidRPr="0002174A" w:rsidRDefault="00CD36C4" w:rsidP="008A0416">
      <w:pPr>
        <w:pStyle w:val="Heading9"/>
        <w:tabs>
          <w:tab w:val="clear" w:pos="567"/>
          <w:tab w:val="clear" w:pos="1134"/>
          <w:tab w:val="left" w:pos="851"/>
        </w:tabs>
        <w:spacing w:before="360"/>
        <w:rPr>
          <w:w w:val="105"/>
          <w:sz w:val="28"/>
          <w:szCs w:val="28"/>
          <w:lang w:val="en-US"/>
        </w:rPr>
      </w:pPr>
      <w:r w:rsidRPr="0002174A">
        <w:rPr>
          <w:w w:val="105"/>
          <w:sz w:val="28"/>
          <w:szCs w:val="28"/>
          <w:lang w:val="en-US"/>
        </w:rPr>
        <w:t>II</w:t>
      </w:r>
      <w:r w:rsidR="001C0691">
        <w:rPr>
          <w:w w:val="105"/>
          <w:sz w:val="28"/>
          <w:szCs w:val="28"/>
          <w:lang w:val="en-US"/>
        </w:rPr>
        <w:t>I</w:t>
      </w:r>
      <w:r w:rsidRPr="0002174A">
        <w:rPr>
          <w:w w:val="105"/>
          <w:sz w:val="28"/>
          <w:szCs w:val="28"/>
          <w:lang w:val="en-US"/>
        </w:rPr>
        <w:tab/>
        <w:t xml:space="preserve">STAFF SUPERANNUATION AND BENEVOLENT FUNDS (ANNEX </w:t>
      </w:r>
      <w:r w:rsidR="008A0416">
        <w:rPr>
          <w:w w:val="105"/>
          <w:sz w:val="28"/>
          <w:szCs w:val="28"/>
          <w:lang w:val="en-US"/>
        </w:rPr>
        <w:t>B</w:t>
      </w:r>
      <w:r w:rsidR="009623EA">
        <w:rPr>
          <w:w w:val="105"/>
          <w:sz w:val="28"/>
          <w:szCs w:val="28"/>
          <w:lang w:val="en-US"/>
        </w:rPr>
        <w:t>3</w:t>
      </w:r>
      <w:r w:rsidRPr="005F5EA1">
        <w:rPr>
          <w:w w:val="105"/>
          <w:sz w:val="28"/>
          <w:szCs w:val="28"/>
          <w:lang w:val="en-US"/>
        </w:rPr>
        <w:t>)</w:t>
      </w:r>
    </w:p>
    <w:p w:rsidR="006F0140" w:rsidRPr="002E36E6" w:rsidRDefault="00E656A1" w:rsidP="00D93704">
      <w:pPr>
        <w:pStyle w:val="ListParagraph"/>
        <w:numPr>
          <w:ilvl w:val="0"/>
          <w:numId w:val="35"/>
        </w:numPr>
        <w:tabs>
          <w:tab w:val="left" w:pos="567"/>
        </w:tabs>
        <w:spacing w:before="120"/>
        <w:ind w:left="0" w:firstLine="0"/>
        <w:jc w:val="both"/>
        <w:rPr>
          <w:rFonts w:ascii="Calibri" w:eastAsia="Times New Roman" w:hAnsi="Calibri"/>
          <w:lang w:eastAsia="en-US"/>
        </w:rPr>
      </w:pPr>
      <w:r>
        <w:rPr>
          <w:rFonts w:ascii="Calibri" w:eastAsia="Times New Roman" w:hAnsi="Calibri"/>
          <w:lang w:eastAsia="en-US"/>
        </w:rPr>
        <w:t>T</w:t>
      </w:r>
      <w:r w:rsidR="00CD36C4" w:rsidRPr="002E36E6">
        <w:rPr>
          <w:rFonts w:ascii="Calibri" w:eastAsia="Times New Roman" w:hAnsi="Calibri"/>
          <w:lang w:eastAsia="en-US"/>
        </w:rPr>
        <w:t xml:space="preserve">he ITU Staff Superannuation and Benevolent Funds are the set of funds that guarantee the pensions of employees who were in service prior to 1 January 1960, the date on which ITU became affiliated to the United Nations Joint Staff Pension Fund. They originally comprised several individual funds and accounts. </w:t>
      </w:r>
      <w:r w:rsidR="00EC79FF" w:rsidRPr="002E36E6">
        <w:rPr>
          <w:rFonts w:ascii="Calibri" w:eastAsia="Times New Roman" w:hAnsi="Calibri"/>
          <w:lang w:eastAsia="en-US"/>
        </w:rPr>
        <w:t>At the end of</w:t>
      </w:r>
      <w:r w:rsidR="00C27436" w:rsidRPr="002E36E6">
        <w:rPr>
          <w:rFonts w:ascii="Calibri" w:eastAsia="Times New Roman" w:hAnsi="Calibri"/>
          <w:lang w:eastAsia="en-US"/>
        </w:rPr>
        <w:t xml:space="preserve"> </w:t>
      </w:r>
      <w:r w:rsidR="00111BDD" w:rsidRPr="002E36E6">
        <w:rPr>
          <w:rFonts w:ascii="Calibri" w:eastAsia="Times New Roman" w:hAnsi="Calibri"/>
          <w:lang w:eastAsia="en-US"/>
        </w:rPr>
        <w:t>201</w:t>
      </w:r>
      <w:r w:rsidR="009229D9">
        <w:rPr>
          <w:rFonts w:ascii="Calibri" w:eastAsia="Times New Roman" w:hAnsi="Calibri"/>
          <w:lang w:eastAsia="en-US"/>
        </w:rPr>
        <w:t>8</w:t>
      </w:r>
      <w:r w:rsidR="00C27436" w:rsidRPr="002E36E6">
        <w:rPr>
          <w:rFonts w:ascii="Calibri" w:eastAsia="Times New Roman" w:hAnsi="Calibri"/>
          <w:lang w:eastAsia="en-US"/>
        </w:rPr>
        <w:t>, the Reserve and Complement Fund pa</w:t>
      </w:r>
      <w:r w:rsidR="00BE5A6B" w:rsidRPr="002E36E6">
        <w:rPr>
          <w:rFonts w:ascii="Calibri" w:eastAsia="Times New Roman" w:hAnsi="Calibri"/>
          <w:lang w:eastAsia="en-US"/>
        </w:rPr>
        <w:t>id</w:t>
      </w:r>
      <w:r w:rsidR="00C27436" w:rsidRPr="002E36E6">
        <w:rPr>
          <w:rFonts w:ascii="Calibri" w:eastAsia="Times New Roman" w:hAnsi="Calibri"/>
          <w:lang w:eastAsia="en-US"/>
        </w:rPr>
        <w:t xml:space="preserve"> out </w:t>
      </w:r>
      <w:r w:rsidR="00FC65FA" w:rsidRPr="00C16004">
        <w:rPr>
          <w:rFonts w:ascii="Calibri" w:eastAsia="Times New Roman" w:hAnsi="Calibri"/>
          <w:lang w:eastAsia="en-US"/>
        </w:rPr>
        <w:t>2</w:t>
      </w:r>
      <w:r w:rsidR="00C16004" w:rsidRPr="00C16004">
        <w:rPr>
          <w:rFonts w:ascii="Calibri" w:eastAsia="Times New Roman" w:hAnsi="Calibri"/>
          <w:lang w:eastAsia="en-US"/>
        </w:rPr>
        <w:t>2</w:t>
      </w:r>
      <w:r w:rsidR="00C16660" w:rsidRPr="00C16004">
        <w:rPr>
          <w:rFonts w:ascii="Calibri" w:eastAsia="Times New Roman" w:hAnsi="Calibri"/>
          <w:lang w:eastAsia="en-US"/>
        </w:rPr>
        <w:t xml:space="preserve"> </w:t>
      </w:r>
      <w:r w:rsidR="006F3BBC" w:rsidRPr="00C16004">
        <w:rPr>
          <w:rFonts w:ascii="Calibri" w:eastAsia="Times New Roman" w:hAnsi="Calibri"/>
          <w:lang w:eastAsia="en-US"/>
        </w:rPr>
        <w:t xml:space="preserve">retirement pensions and </w:t>
      </w:r>
      <w:r w:rsidR="008F79E1" w:rsidRPr="00C16004">
        <w:rPr>
          <w:rFonts w:ascii="Calibri" w:eastAsia="Times New Roman" w:hAnsi="Calibri"/>
          <w:lang w:eastAsia="en-US"/>
        </w:rPr>
        <w:t>22</w:t>
      </w:r>
      <w:r w:rsidR="00C27436" w:rsidRPr="00C16004">
        <w:rPr>
          <w:rFonts w:ascii="Calibri" w:eastAsia="Times New Roman" w:hAnsi="Calibri"/>
          <w:lang w:eastAsia="en-US"/>
        </w:rPr>
        <w:t xml:space="preserve"> survivor’s</w:t>
      </w:r>
      <w:r w:rsidR="00C27436" w:rsidRPr="002E36E6">
        <w:rPr>
          <w:rFonts w:ascii="Calibri" w:eastAsia="Times New Roman" w:hAnsi="Calibri"/>
          <w:lang w:eastAsia="en-US"/>
        </w:rPr>
        <w:t xml:space="preserve"> pensions; and the Assistance Fund serve</w:t>
      </w:r>
      <w:r w:rsidR="00BE5A6B" w:rsidRPr="002E36E6">
        <w:rPr>
          <w:rFonts w:ascii="Calibri" w:eastAsia="Times New Roman" w:hAnsi="Calibri"/>
          <w:lang w:eastAsia="en-US"/>
        </w:rPr>
        <w:t>d</w:t>
      </w:r>
      <w:r w:rsidR="00C27436" w:rsidRPr="002E36E6">
        <w:rPr>
          <w:rFonts w:ascii="Calibri" w:eastAsia="Times New Roman" w:hAnsi="Calibri"/>
          <w:lang w:eastAsia="en-US"/>
        </w:rPr>
        <w:t xml:space="preserve"> to assist staff members and pensioners in difficult financial situations. The most recent calculation of the obligations to be provisioned for beneficiaries of the ITU Staff Superannuation and Benevolent Funds was made on 31 December 2011.</w:t>
      </w:r>
    </w:p>
    <w:p w:rsidR="006F0140" w:rsidRPr="002E36E6" w:rsidRDefault="006F0140" w:rsidP="00D93704">
      <w:pPr>
        <w:pStyle w:val="ListParagraph"/>
        <w:tabs>
          <w:tab w:val="left" w:pos="567"/>
        </w:tabs>
        <w:ind w:left="0"/>
        <w:jc w:val="both"/>
        <w:rPr>
          <w:rFonts w:ascii="Calibri" w:eastAsia="Times New Roman" w:hAnsi="Calibri"/>
          <w:lang w:eastAsia="en-US"/>
        </w:rPr>
      </w:pPr>
    </w:p>
    <w:p w:rsidR="006F0140" w:rsidRPr="002E36E6" w:rsidRDefault="00CD36C4" w:rsidP="00D93704">
      <w:pPr>
        <w:pStyle w:val="ListParagraph"/>
        <w:numPr>
          <w:ilvl w:val="0"/>
          <w:numId w:val="35"/>
        </w:numPr>
        <w:tabs>
          <w:tab w:val="left" w:pos="567"/>
        </w:tabs>
        <w:ind w:left="0" w:firstLine="0"/>
        <w:jc w:val="both"/>
        <w:rPr>
          <w:rFonts w:ascii="Calibri" w:eastAsia="Times New Roman" w:hAnsi="Calibri"/>
          <w:lang w:eastAsia="en-US"/>
        </w:rPr>
      </w:pPr>
      <w:r w:rsidRPr="002E36E6">
        <w:rPr>
          <w:rFonts w:ascii="Calibri" w:eastAsia="Times New Roman" w:hAnsi="Calibri"/>
          <w:lang w:eastAsia="en-US"/>
        </w:rPr>
        <w:t>Pursuant to Resolution 7 (Geneva, 1959) of the Plenipotentiary Conference, the staff of ITU is affiliated, as from 1 January 1960, to the United Nations Joint Staff Pension Fund. Under Article 86 of the Regulations of the ITU Staff Superannuation and Benevolent Funds, those Funds are managed by the Union. The assets of the Funds must be invested in trustee securities. The accounts of these Funds are verified by the External Auditor as part of the periodic audits of the accounts of the Union.</w:t>
      </w:r>
    </w:p>
    <w:p w:rsidR="006F0140" w:rsidRPr="002E36E6" w:rsidRDefault="006F0140" w:rsidP="00D93704">
      <w:pPr>
        <w:pStyle w:val="ListParagraph"/>
        <w:tabs>
          <w:tab w:val="left" w:pos="567"/>
        </w:tabs>
        <w:ind w:left="0"/>
        <w:jc w:val="both"/>
        <w:rPr>
          <w:rFonts w:ascii="Calibri" w:eastAsia="Times New Roman" w:hAnsi="Calibri"/>
          <w:lang w:eastAsia="en-US"/>
        </w:rPr>
      </w:pPr>
    </w:p>
    <w:p w:rsidR="002E36E6" w:rsidRPr="00586B02" w:rsidRDefault="008D3C00" w:rsidP="00D93704">
      <w:pPr>
        <w:pStyle w:val="ListParagraph"/>
        <w:numPr>
          <w:ilvl w:val="0"/>
          <w:numId w:val="35"/>
        </w:numPr>
        <w:tabs>
          <w:tab w:val="left" w:pos="567"/>
        </w:tabs>
        <w:ind w:left="0" w:firstLine="0"/>
        <w:jc w:val="both"/>
        <w:rPr>
          <w:rFonts w:ascii="Calibri" w:eastAsia="Times New Roman" w:hAnsi="Calibri"/>
          <w:lang w:eastAsia="en-US"/>
        </w:rPr>
      </w:pPr>
      <w:r w:rsidRPr="00586B02">
        <w:rPr>
          <w:rFonts w:ascii="Calibri" w:eastAsia="Times New Roman" w:hAnsi="Calibri"/>
          <w:lang w:eastAsia="en-US"/>
        </w:rPr>
        <w:t xml:space="preserve">A current account for each of the </w:t>
      </w:r>
      <w:r w:rsidR="002D6F5B" w:rsidRPr="00586B02">
        <w:rPr>
          <w:rFonts w:ascii="Calibri" w:eastAsia="Times New Roman" w:hAnsi="Calibri"/>
          <w:lang w:eastAsia="en-US"/>
        </w:rPr>
        <w:t xml:space="preserve">two remaining </w:t>
      </w:r>
      <w:r w:rsidRPr="00586B02">
        <w:rPr>
          <w:rFonts w:ascii="Calibri" w:eastAsia="Times New Roman" w:hAnsi="Calibri"/>
          <w:lang w:eastAsia="en-US"/>
        </w:rPr>
        <w:t xml:space="preserve">Funds is held with the </w:t>
      </w:r>
      <w:r w:rsidR="002D6F5B" w:rsidRPr="00586B02">
        <w:rPr>
          <w:rFonts w:ascii="Calibri" w:eastAsia="Times New Roman" w:hAnsi="Calibri"/>
          <w:lang w:eastAsia="en-US"/>
        </w:rPr>
        <w:t xml:space="preserve">Credit </w:t>
      </w:r>
      <w:proofErr w:type="spellStart"/>
      <w:r w:rsidR="002D6F5B" w:rsidRPr="00586B02">
        <w:rPr>
          <w:rFonts w:ascii="Calibri" w:eastAsia="Times New Roman" w:hAnsi="Calibri"/>
          <w:lang w:eastAsia="en-US"/>
        </w:rPr>
        <w:t>Mutuel</w:t>
      </w:r>
      <w:proofErr w:type="spellEnd"/>
      <w:r w:rsidR="002D6F5B" w:rsidRPr="00586B02">
        <w:rPr>
          <w:rFonts w:ascii="Calibri" w:eastAsia="Times New Roman" w:hAnsi="Calibri"/>
          <w:lang w:eastAsia="en-US"/>
        </w:rPr>
        <w:t xml:space="preserve"> in France.</w:t>
      </w:r>
      <w:r w:rsidR="006526C4" w:rsidRPr="00586B02">
        <w:rPr>
          <w:rFonts w:ascii="Calibri" w:eastAsia="Times New Roman" w:hAnsi="Calibri"/>
          <w:lang w:eastAsia="en-US"/>
        </w:rPr>
        <w:t xml:space="preserve"> T</w:t>
      </w:r>
      <w:r w:rsidR="006F0140" w:rsidRPr="00586B02">
        <w:rPr>
          <w:rFonts w:ascii="Calibri" w:eastAsia="Times New Roman" w:hAnsi="Calibri"/>
          <w:lang w:eastAsia="en-US"/>
        </w:rPr>
        <w:t xml:space="preserve">he Reserve and Complement fund presented a deficit of CHF </w:t>
      </w:r>
      <w:r w:rsidR="009229D9">
        <w:rPr>
          <w:rFonts w:ascii="Calibri" w:eastAsia="Times New Roman" w:hAnsi="Calibri"/>
          <w:lang w:eastAsia="en-US"/>
        </w:rPr>
        <w:t>19</w:t>
      </w:r>
      <w:r w:rsidR="006F0140" w:rsidRPr="00586B02">
        <w:rPr>
          <w:rFonts w:ascii="Calibri" w:eastAsia="Times New Roman" w:hAnsi="Calibri"/>
          <w:lang w:eastAsia="en-US"/>
        </w:rPr>
        <w:t>’</w:t>
      </w:r>
      <w:r w:rsidR="009229D9">
        <w:rPr>
          <w:rFonts w:ascii="Calibri" w:eastAsia="Times New Roman" w:hAnsi="Calibri"/>
          <w:lang w:eastAsia="en-US"/>
        </w:rPr>
        <w:t>363</w:t>
      </w:r>
      <w:r w:rsidR="006F0140" w:rsidRPr="00586B02">
        <w:rPr>
          <w:rFonts w:ascii="Calibri" w:eastAsia="Times New Roman" w:hAnsi="Calibri"/>
          <w:lang w:eastAsia="en-US"/>
        </w:rPr>
        <w:t>.80.</w:t>
      </w:r>
    </w:p>
    <w:p w:rsidR="00CD36C4" w:rsidRDefault="001C0691" w:rsidP="00AC5E61">
      <w:pPr>
        <w:pStyle w:val="Heading9"/>
        <w:tabs>
          <w:tab w:val="clear" w:pos="567"/>
          <w:tab w:val="left" w:pos="851"/>
        </w:tabs>
        <w:spacing w:before="360" w:after="120"/>
        <w:jc w:val="both"/>
        <w:rPr>
          <w:w w:val="105"/>
          <w:sz w:val="28"/>
          <w:szCs w:val="28"/>
          <w:lang w:val="en-US"/>
        </w:rPr>
      </w:pPr>
      <w:r>
        <w:rPr>
          <w:w w:val="105"/>
          <w:sz w:val="28"/>
          <w:szCs w:val="28"/>
          <w:lang w:val="en-US"/>
        </w:rPr>
        <w:t>IV</w:t>
      </w:r>
      <w:r w:rsidR="00CD36C4" w:rsidRPr="002E36E6">
        <w:rPr>
          <w:w w:val="105"/>
          <w:sz w:val="28"/>
          <w:szCs w:val="28"/>
          <w:lang w:val="en-US"/>
        </w:rPr>
        <w:tab/>
        <w:t>UNITED NATIONS DEVELOPMENT PROGRAMME (ANNEX </w:t>
      </w:r>
      <w:r w:rsidR="008A0416">
        <w:rPr>
          <w:w w:val="105"/>
          <w:sz w:val="28"/>
          <w:szCs w:val="28"/>
          <w:lang w:val="en-US"/>
        </w:rPr>
        <w:t>B</w:t>
      </w:r>
      <w:r w:rsidR="009623EA" w:rsidRPr="002E36E6">
        <w:rPr>
          <w:w w:val="105"/>
          <w:sz w:val="28"/>
          <w:szCs w:val="28"/>
          <w:lang w:val="en-US"/>
        </w:rPr>
        <w:t>4</w:t>
      </w:r>
      <w:r w:rsidR="00CD36C4" w:rsidRPr="002E36E6">
        <w:rPr>
          <w:w w:val="105"/>
          <w:sz w:val="28"/>
          <w:szCs w:val="28"/>
          <w:lang w:val="en-US"/>
        </w:rPr>
        <w:t>)</w:t>
      </w:r>
    </w:p>
    <w:p w:rsidR="00CD36C4" w:rsidRPr="002E36E6" w:rsidRDefault="00CD36C4" w:rsidP="00D93704">
      <w:pPr>
        <w:pStyle w:val="ListParagraph"/>
        <w:numPr>
          <w:ilvl w:val="0"/>
          <w:numId w:val="35"/>
        </w:numPr>
        <w:tabs>
          <w:tab w:val="left" w:pos="567"/>
        </w:tabs>
        <w:ind w:left="0" w:firstLine="0"/>
        <w:jc w:val="both"/>
        <w:rPr>
          <w:rFonts w:ascii="Calibri" w:eastAsia="Times New Roman" w:hAnsi="Calibri"/>
          <w:lang w:eastAsia="en-US"/>
        </w:rPr>
      </w:pPr>
      <w:r w:rsidRPr="002E36E6">
        <w:rPr>
          <w:rFonts w:ascii="Calibri" w:eastAsia="Times New Roman" w:hAnsi="Calibri"/>
          <w:lang w:eastAsia="en-US"/>
        </w:rPr>
        <w:t>Within the various categories of UNDP projects, ITU can be the executing agency either on an exclusive basis or jointly with UNDP.</w:t>
      </w:r>
    </w:p>
    <w:p w:rsidR="00D34EB0" w:rsidRPr="002E36E6" w:rsidRDefault="00D34EB0" w:rsidP="00D93704">
      <w:pPr>
        <w:pStyle w:val="ListParagraph"/>
        <w:tabs>
          <w:tab w:val="left" w:pos="567"/>
        </w:tabs>
        <w:ind w:left="0"/>
        <w:jc w:val="both"/>
        <w:rPr>
          <w:rFonts w:ascii="Calibri" w:eastAsia="Times New Roman" w:hAnsi="Calibri"/>
          <w:lang w:eastAsia="en-US"/>
        </w:rPr>
      </w:pPr>
    </w:p>
    <w:p w:rsidR="00D34EB0" w:rsidRPr="002E36E6" w:rsidRDefault="00CD36C4" w:rsidP="00D93704">
      <w:pPr>
        <w:pStyle w:val="ListParagraph"/>
        <w:numPr>
          <w:ilvl w:val="0"/>
          <w:numId w:val="35"/>
        </w:numPr>
        <w:tabs>
          <w:tab w:val="left" w:pos="567"/>
        </w:tabs>
        <w:ind w:left="0" w:firstLine="0"/>
        <w:jc w:val="both"/>
        <w:rPr>
          <w:rFonts w:ascii="Calibri" w:eastAsia="Times New Roman" w:hAnsi="Calibri"/>
          <w:lang w:eastAsia="en-US"/>
        </w:rPr>
      </w:pPr>
      <w:r w:rsidRPr="002E36E6">
        <w:rPr>
          <w:rFonts w:ascii="Calibri" w:eastAsia="Times New Roman" w:hAnsi="Calibri"/>
          <w:lang w:eastAsia="en-US"/>
        </w:rPr>
        <w:t>In general</w:t>
      </w:r>
      <w:r w:rsidR="00306F16" w:rsidRPr="002E36E6">
        <w:rPr>
          <w:rFonts w:ascii="Calibri" w:eastAsia="Times New Roman" w:hAnsi="Calibri"/>
          <w:lang w:eastAsia="en-US"/>
        </w:rPr>
        <w:t>,</w:t>
      </w:r>
      <w:r w:rsidRPr="002E36E6">
        <w:rPr>
          <w:rFonts w:ascii="Calibri" w:eastAsia="Times New Roman" w:hAnsi="Calibri"/>
          <w:lang w:eastAsia="en-US"/>
        </w:rPr>
        <w:t xml:space="preserve"> there are </w:t>
      </w:r>
      <w:r w:rsidR="00D34EB0" w:rsidRPr="002E36E6">
        <w:rPr>
          <w:rFonts w:ascii="Calibri" w:eastAsia="Times New Roman" w:hAnsi="Calibri"/>
          <w:lang w:eastAsia="en-US"/>
        </w:rPr>
        <w:t>two</w:t>
      </w:r>
      <w:r w:rsidRPr="002E36E6">
        <w:rPr>
          <w:rFonts w:ascii="Calibri" w:eastAsia="Times New Roman" w:hAnsi="Calibri"/>
          <w:lang w:eastAsia="en-US"/>
        </w:rPr>
        <w:t xml:space="preserve"> categories of UNDP projects</w:t>
      </w:r>
      <w:r w:rsidR="008B59FD" w:rsidRPr="002E36E6">
        <w:rPr>
          <w:rFonts w:ascii="Calibri" w:eastAsia="Times New Roman" w:hAnsi="Calibri"/>
          <w:lang w:eastAsia="en-US"/>
        </w:rPr>
        <w:t xml:space="preserve">: </w:t>
      </w:r>
      <w:r w:rsidRPr="002E36E6">
        <w:rPr>
          <w:rFonts w:ascii="Calibri" w:eastAsia="Times New Roman" w:hAnsi="Calibri"/>
          <w:lang w:eastAsia="en-US"/>
        </w:rPr>
        <w:t>projects executed by ITU</w:t>
      </w:r>
      <w:r w:rsidR="008B59FD" w:rsidRPr="002E36E6">
        <w:rPr>
          <w:rFonts w:ascii="Calibri" w:eastAsia="Times New Roman" w:hAnsi="Calibri"/>
          <w:lang w:eastAsia="en-US"/>
        </w:rPr>
        <w:t xml:space="preserve"> and </w:t>
      </w:r>
      <w:r w:rsidRPr="002E36E6">
        <w:rPr>
          <w:rFonts w:ascii="Calibri" w:eastAsia="Times New Roman" w:hAnsi="Calibri"/>
          <w:lang w:eastAsia="en-US"/>
        </w:rPr>
        <w:t>projects executed by governments</w:t>
      </w:r>
      <w:r w:rsidR="00BD7301" w:rsidRPr="002E36E6">
        <w:rPr>
          <w:rFonts w:ascii="Calibri" w:eastAsia="Times New Roman" w:hAnsi="Calibri"/>
          <w:lang w:eastAsia="en-US"/>
        </w:rPr>
        <w:t>.</w:t>
      </w:r>
    </w:p>
    <w:p w:rsidR="00D402DA" w:rsidRDefault="00D402DA" w:rsidP="00D93704">
      <w:pPr>
        <w:tabs>
          <w:tab w:val="clear" w:pos="1134"/>
          <w:tab w:val="clear" w:pos="1701"/>
          <w:tab w:val="clear" w:pos="2268"/>
          <w:tab w:val="clear" w:pos="2835"/>
        </w:tabs>
        <w:overflowPunct/>
        <w:autoSpaceDE/>
        <w:autoSpaceDN/>
        <w:adjustRightInd/>
        <w:spacing w:before="0"/>
        <w:textAlignment w:val="auto"/>
        <w:rPr>
          <w:szCs w:val="24"/>
          <w:lang w:val="en-US"/>
        </w:rPr>
      </w:pPr>
    </w:p>
    <w:p w:rsidR="00D34EB0" w:rsidRDefault="00CD36C4" w:rsidP="00D93704">
      <w:pPr>
        <w:pStyle w:val="ListParagraph"/>
        <w:numPr>
          <w:ilvl w:val="0"/>
          <w:numId w:val="35"/>
        </w:numPr>
        <w:tabs>
          <w:tab w:val="left" w:pos="567"/>
        </w:tabs>
        <w:ind w:left="0" w:firstLine="0"/>
        <w:jc w:val="both"/>
        <w:rPr>
          <w:rFonts w:ascii="Calibri" w:eastAsia="Times New Roman" w:hAnsi="Calibri"/>
          <w:lang w:eastAsia="en-US"/>
        </w:rPr>
      </w:pPr>
      <w:r w:rsidRPr="007E4FF1">
        <w:rPr>
          <w:rFonts w:ascii="Calibri" w:eastAsia="Times New Roman" w:hAnsi="Calibri"/>
          <w:lang w:eastAsia="en-US"/>
        </w:rPr>
        <w:t>For projects that are either partially or entirely executed by ITU, the Union has a budgetary allocation from UNDP. At the end of each year, on the basis of the project delivery report (PDR), UNDP reimburses ITU for all expenditure incurred, within the allocation. For the support that ITU provides to the projects, ITU has an allocation that is based pro rata on the expenditure recorded in the PDRs.</w:t>
      </w:r>
    </w:p>
    <w:p w:rsidR="0015643B" w:rsidRPr="007E4FF1" w:rsidRDefault="0015643B" w:rsidP="00D93704">
      <w:pPr>
        <w:pStyle w:val="ListParagraph"/>
        <w:tabs>
          <w:tab w:val="left" w:pos="567"/>
        </w:tabs>
        <w:ind w:left="0"/>
        <w:jc w:val="both"/>
        <w:rPr>
          <w:rFonts w:ascii="Calibri" w:eastAsia="Times New Roman" w:hAnsi="Calibri"/>
          <w:lang w:eastAsia="en-US"/>
        </w:rPr>
      </w:pPr>
    </w:p>
    <w:p w:rsidR="006526C4" w:rsidRPr="002E36E6" w:rsidRDefault="00CD36C4" w:rsidP="00D93704">
      <w:pPr>
        <w:pStyle w:val="ListParagraph"/>
        <w:numPr>
          <w:ilvl w:val="0"/>
          <w:numId w:val="35"/>
        </w:numPr>
        <w:tabs>
          <w:tab w:val="left" w:pos="567"/>
        </w:tabs>
        <w:ind w:left="0" w:firstLine="0"/>
        <w:jc w:val="both"/>
        <w:rPr>
          <w:rFonts w:ascii="Calibri" w:eastAsia="Times New Roman" w:hAnsi="Calibri"/>
          <w:lang w:eastAsia="en-US"/>
        </w:rPr>
      </w:pPr>
      <w:r w:rsidRPr="002E36E6">
        <w:rPr>
          <w:rFonts w:ascii="Calibri" w:eastAsia="Times New Roman" w:hAnsi="Calibri"/>
          <w:lang w:eastAsia="en-US"/>
        </w:rPr>
        <w:t xml:space="preserve">In </w:t>
      </w:r>
      <w:r w:rsidR="00111BDD" w:rsidRPr="002E36E6">
        <w:rPr>
          <w:rFonts w:ascii="Calibri" w:eastAsia="Times New Roman" w:hAnsi="Calibri"/>
          <w:lang w:eastAsia="en-US"/>
        </w:rPr>
        <w:t>201</w:t>
      </w:r>
      <w:r w:rsidR="00F95B14">
        <w:rPr>
          <w:rFonts w:ascii="Calibri" w:eastAsia="Times New Roman" w:hAnsi="Calibri"/>
          <w:lang w:eastAsia="en-US"/>
        </w:rPr>
        <w:t>8</w:t>
      </w:r>
      <w:r w:rsidRPr="002E36E6">
        <w:rPr>
          <w:rFonts w:ascii="Calibri" w:eastAsia="Times New Roman" w:hAnsi="Calibri"/>
          <w:lang w:eastAsia="en-US"/>
        </w:rPr>
        <w:t xml:space="preserve">, the operating fund with UNDP shows a balance of </w:t>
      </w:r>
      <w:r w:rsidR="008330AF" w:rsidRPr="002E36E6">
        <w:rPr>
          <w:rFonts w:ascii="Calibri" w:eastAsia="Times New Roman" w:hAnsi="Calibri"/>
          <w:lang w:eastAsia="en-US"/>
        </w:rPr>
        <w:t>CHF </w:t>
      </w:r>
      <w:r w:rsidR="006526C4" w:rsidRPr="002E36E6">
        <w:rPr>
          <w:rFonts w:ascii="Calibri" w:eastAsia="Times New Roman" w:hAnsi="Calibri"/>
          <w:lang w:eastAsia="en-US"/>
        </w:rPr>
        <w:t>3</w:t>
      </w:r>
      <w:r w:rsidR="00F95B14">
        <w:rPr>
          <w:rFonts w:ascii="Calibri" w:eastAsia="Times New Roman" w:hAnsi="Calibri"/>
          <w:lang w:eastAsia="en-US"/>
        </w:rPr>
        <w:t>35</w:t>
      </w:r>
      <w:r w:rsidR="008330AF" w:rsidRPr="002E36E6">
        <w:rPr>
          <w:rFonts w:ascii="Calibri" w:eastAsia="Times New Roman" w:hAnsi="Calibri"/>
          <w:lang w:eastAsia="en-US"/>
        </w:rPr>
        <w:t>’</w:t>
      </w:r>
      <w:r w:rsidR="00F95B14">
        <w:rPr>
          <w:rFonts w:ascii="Calibri" w:eastAsia="Times New Roman" w:hAnsi="Calibri"/>
          <w:lang w:eastAsia="en-US"/>
        </w:rPr>
        <w:t>815</w:t>
      </w:r>
      <w:r w:rsidR="008330AF" w:rsidRPr="002E36E6">
        <w:rPr>
          <w:rFonts w:ascii="Calibri" w:eastAsia="Times New Roman" w:hAnsi="Calibri"/>
          <w:lang w:eastAsia="en-US"/>
        </w:rPr>
        <w:t xml:space="preserve"> in </w:t>
      </w:r>
      <w:r w:rsidR="006526C4" w:rsidRPr="002E36E6">
        <w:rPr>
          <w:rFonts w:ascii="Calibri" w:eastAsia="Times New Roman" w:hAnsi="Calibri"/>
          <w:lang w:eastAsia="en-US"/>
        </w:rPr>
        <w:t>ITU</w:t>
      </w:r>
      <w:r w:rsidR="007A552E" w:rsidRPr="002E36E6">
        <w:rPr>
          <w:rFonts w:ascii="Calibri" w:eastAsia="Times New Roman" w:hAnsi="Calibri"/>
          <w:lang w:eastAsia="en-US"/>
        </w:rPr>
        <w:t>’</w:t>
      </w:r>
      <w:r w:rsidRPr="002E36E6">
        <w:rPr>
          <w:rFonts w:ascii="Calibri" w:eastAsia="Times New Roman" w:hAnsi="Calibri"/>
          <w:lang w:eastAsia="en-US"/>
        </w:rPr>
        <w:t>s favor (CHF</w:t>
      </w:r>
      <w:r w:rsidR="00AA20AB" w:rsidRPr="002E36E6">
        <w:rPr>
          <w:rFonts w:ascii="Calibri" w:eastAsia="Times New Roman" w:hAnsi="Calibri"/>
          <w:lang w:eastAsia="en-US"/>
        </w:rPr>
        <w:t> </w:t>
      </w:r>
      <w:r w:rsidR="00F95B14">
        <w:rPr>
          <w:rFonts w:ascii="Calibri" w:eastAsia="Times New Roman" w:hAnsi="Calibri"/>
          <w:lang w:eastAsia="en-US"/>
        </w:rPr>
        <w:t>317</w:t>
      </w:r>
      <w:r w:rsidR="00BD7301" w:rsidRPr="002E36E6">
        <w:rPr>
          <w:rFonts w:ascii="Calibri" w:eastAsia="Times New Roman" w:hAnsi="Calibri"/>
          <w:lang w:eastAsia="en-US"/>
        </w:rPr>
        <w:t>’</w:t>
      </w:r>
      <w:r w:rsidR="00F95B14">
        <w:rPr>
          <w:rFonts w:ascii="Calibri" w:eastAsia="Times New Roman" w:hAnsi="Calibri"/>
          <w:lang w:eastAsia="en-US"/>
        </w:rPr>
        <w:t>959</w:t>
      </w:r>
      <w:r w:rsidR="00D06680" w:rsidRPr="002E36E6">
        <w:rPr>
          <w:rFonts w:ascii="Calibri" w:eastAsia="Times New Roman" w:hAnsi="Calibri"/>
          <w:lang w:eastAsia="en-US"/>
        </w:rPr>
        <w:t xml:space="preserve"> </w:t>
      </w:r>
      <w:r w:rsidR="00BD7301" w:rsidRPr="002E36E6">
        <w:rPr>
          <w:rFonts w:ascii="Calibri" w:eastAsia="Times New Roman" w:hAnsi="Calibri"/>
          <w:lang w:eastAsia="en-US"/>
        </w:rPr>
        <w:t xml:space="preserve">in </w:t>
      </w:r>
      <w:r w:rsidR="00F95B14">
        <w:rPr>
          <w:rFonts w:ascii="Calibri" w:eastAsia="Times New Roman" w:hAnsi="Calibri"/>
          <w:lang w:eastAsia="en-US"/>
        </w:rPr>
        <w:t>ITU</w:t>
      </w:r>
      <w:r w:rsidR="00BD7301" w:rsidRPr="002E36E6">
        <w:rPr>
          <w:rFonts w:ascii="Calibri" w:eastAsia="Times New Roman" w:hAnsi="Calibri"/>
          <w:lang w:eastAsia="en-US"/>
        </w:rPr>
        <w:t xml:space="preserve">’s favor </w:t>
      </w:r>
      <w:r w:rsidR="008330AF" w:rsidRPr="002E36E6">
        <w:rPr>
          <w:rFonts w:ascii="Calibri" w:eastAsia="Times New Roman" w:hAnsi="Calibri"/>
          <w:lang w:eastAsia="en-US"/>
        </w:rPr>
        <w:t xml:space="preserve">in </w:t>
      </w:r>
      <w:r w:rsidRPr="002E36E6">
        <w:rPr>
          <w:rFonts w:ascii="Calibri" w:eastAsia="Times New Roman" w:hAnsi="Calibri"/>
          <w:lang w:eastAsia="en-US"/>
        </w:rPr>
        <w:t>201</w:t>
      </w:r>
      <w:r w:rsidR="00F95B14">
        <w:rPr>
          <w:rFonts w:ascii="Calibri" w:eastAsia="Times New Roman" w:hAnsi="Calibri"/>
          <w:lang w:eastAsia="en-US"/>
        </w:rPr>
        <w:t>7</w:t>
      </w:r>
      <w:r w:rsidRPr="002E36E6">
        <w:rPr>
          <w:rFonts w:ascii="Calibri" w:eastAsia="Times New Roman" w:hAnsi="Calibri"/>
          <w:lang w:eastAsia="en-US"/>
        </w:rPr>
        <w:t>).</w:t>
      </w:r>
    </w:p>
    <w:p w:rsidR="00CD36C4" w:rsidRPr="002E36E6" w:rsidRDefault="00CD36C4" w:rsidP="00AC5E61">
      <w:pPr>
        <w:pStyle w:val="Heading9"/>
        <w:tabs>
          <w:tab w:val="clear" w:pos="567"/>
          <w:tab w:val="left" w:pos="851"/>
        </w:tabs>
        <w:spacing w:before="360" w:after="120"/>
        <w:jc w:val="both"/>
        <w:rPr>
          <w:w w:val="105"/>
          <w:sz w:val="28"/>
          <w:szCs w:val="28"/>
          <w:lang w:val="en-US"/>
        </w:rPr>
      </w:pPr>
      <w:r w:rsidRPr="002E36E6">
        <w:rPr>
          <w:w w:val="105"/>
          <w:sz w:val="28"/>
          <w:szCs w:val="28"/>
          <w:lang w:val="en-US"/>
        </w:rPr>
        <w:t>V</w:t>
      </w:r>
      <w:r w:rsidRPr="002E36E6">
        <w:rPr>
          <w:w w:val="105"/>
          <w:sz w:val="28"/>
          <w:szCs w:val="28"/>
          <w:lang w:val="en-US"/>
        </w:rPr>
        <w:tab/>
        <w:t xml:space="preserve">TRUST FUNDS (ANNEX </w:t>
      </w:r>
      <w:r w:rsidR="008A0416">
        <w:rPr>
          <w:w w:val="105"/>
          <w:sz w:val="28"/>
          <w:szCs w:val="28"/>
          <w:lang w:val="en-US"/>
        </w:rPr>
        <w:t>B</w:t>
      </w:r>
      <w:r w:rsidR="009623EA" w:rsidRPr="002E36E6">
        <w:rPr>
          <w:w w:val="105"/>
          <w:sz w:val="28"/>
          <w:szCs w:val="28"/>
          <w:lang w:val="en-US"/>
        </w:rPr>
        <w:t>5</w:t>
      </w:r>
      <w:r w:rsidRPr="002E36E6">
        <w:rPr>
          <w:w w:val="105"/>
          <w:sz w:val="28"/>
          <w:szCs w:val="28"/>
          <w:lang w:val="en-US"/>
        </w:rPr>
        <w:t>)</w:t>
      </w:r>
    </w:p>
    <w:p w:rsidR="00CD36C4" w:rsidRPr="002E36E6" w:rsidRDefault="003D2D3A" w:rsidP="00D93704">
      <w:pPr>
        <w:pStyle w:val="ListParagraph"/>
        <w:numPr>
          <w:ilvl w:val="0"/>
          <w:numId w:val="35"/>
        </w:numPr>
        <w:tabs>
          <w:tab w:val="left" w:pos="567"/>
        </w:tabs>
        <w:ind w:left="0" w:firstLine="0"/>
        <w:jc w:val="both"/>
        <w:rPr>
          <w:rFonts w:ascii="Calibri" w:eastAsia="Times New Roman" w:hAnsi="Calibri"/>
          <w:lang w:eastAsia="en-US"/>
        </w:rPr>
      </w:pPr>
      <w:r w:rsidRPr="002E36E6">
        <w:rPr>
          <w:rFonts w:ascii="Calibri" w:eastAsia="Times New Roman" w:hAnsi="Calibri"/>
          <w:lang w:eastAsia="en-US"/>
        </w:rPr>
        <w:t>The</w:t>
      </w:r>
      <w:r w:rsidR="00CD36C4" w:rsidRPr="002E36E6">
        <w:rPr>
          <w:rFonts w:ascii="Calibri" w:eastAsia="Times New Roman" w:hAnsi="Calibri"/>
          <w:lang w:eastAsia="en-US"/>
        </w:rPr>
        <w:t xml:space="preserve"> Special Fund for Technical Cooperation (SFTC) was designed to meet the needs of developing countries requesting urgent assistance.</w:t>
      </w:r>
      <w:r w:rsidR="006F0378" w:rsidRPr="002E36E6">
        <w:rPr>
          <w:rFonts w:ascii="Calibri" w:eastAsia="Times New Roman" w:hAnsi="Calibri"/>
          <w:lang w:eastAsia="en-US"/>
        </w:rPr>
        <w:t xml:space="preserve"> </w:t>
      </w:r>
      <w:r w:rsidR="00CD36C4" w:rsidRPr="002E36E6">
        <w:rPr>
          <w:rFonts w:ascii="Calibri" w:eastAsia="Times New Roman" w:hAnsi="Calibri"/>
          <w:lang w:eastAsia="en-US"/>
        </w:rPr>
        <w:t>It is based on voluntary contributions, either in cash in any currency or in some other form.</w:t>
      </w:r>
    </w:p>
    <w:p w:rsidR="00743C18" w:rsidRPr="002E36E6" w:rsidRDefault="00743C18" w:rsidP="00D93704">
      <w:pPr>
        <w:pStyle w:val="ListParagraph"/>
        <w:tabs>
          <w:tab w:val="left" w:pos="567"/>
        </w:tabs>
        <w:ind w:left="0"/>
        <w:jc w:val="both"/>
        <w:rPr>
          <w:rFonts w:ascii="Calibri" w:eastAsia="Times New Roman" w:hAnsi="Calibri"/>
          <w:lang w:eastAsia="en-US"/>
        </w:rPr>
      </w:pPr>
    </w:p>
    <w:p w:rsidR="0041589C" w:rsidRPr="00252A68" w:rsidRDefault="00CD36C4" w:rsidP="00D93704">
      <w:pPr>
        <w:pStyle w:val="ListParagraph"/>
        <w:numPr>
          <w:ilvl w:val="0"/>
          <w:numId w:val="35"/>
        </w:numPr>
        <w:tabs>
          <w:tab w:val="left" w:pos="567"/>
        </w:tabs>
        <w:ind w:left="0" w:firstLine="0"/>
        <w:jc w:val="both"/>
        <w:rPr>
          <w:rFonts w:ascii="Calibri" w:eastAsia="Times New Roman" w:hAnsi="Calibri"/>
          <w:lang w:eastAsia="en-US"/>
        </w:rPr>
      </w:pPr>
      <w:r w:rsidRPr="00252A68">
        <w:rPr>
          <w:rFonts w:ascii="Calibri" w:eastAsia="Times New Roman" w:hAnsi="Calibri"/>
          <w:lang w:eastAsia="en-US"/>
        </w:rPr>
        <w:t>Unused appropriations for all types of project</w:t>
      </w:r>
      <w:r w:rsidR="007A2952" w:rsidRPr="00252A68">
        <w:rPr>
          <w:rFonts w:ascii="Calibri" w:eastAsia="Times New Roman" w:hAnsi="Calibri"/>
          <w:lang w:eastAsia="en-US"/>
        </w:rPr>
        <w:t>s from third parties as well as ITU funds</w:t>
      </w:r>
      <w:r w:rsidRPr="00252A68">
        <w:rPr>
          <w:rFonts w:ascii="Calibri" w:eastAsia="Times New Roman" w:hAnsi="Calibri"/>
          <w:lang w:eastAsia="en-US"/>
        </w:rPr>
        <w:t xml:space="preserve"> amount</w:t>
      </w:r>
      <w:r w:rsidR="008D1744" w:rsidRPr="00252A68">
        <w:rPr>
          <w:rFonts w:ascii="Calibri" w:eastAsia="Times New Roman" w:hAnsi="Calibri"/>
          <w:lang w:eastAsia="en-US"/>
        </w:rPr>
        <w:t>ed</w:t>
      </w:r>
      <w:r w:rsidRPr="00252A68">
        <w:rPr>
          <w:rFonts w:ascii="Calibri" w:eastAsia="Times New Roman" w:hAnsi="Calibri"/>
          <w:lang w:eastAsia="en-US"/>
        </w:rPr>
        <w:t xml:space="preserve"> to CHF </w:t>
      </w:r>
      <w:r w:rsidR="008D1744" w:rsidRPr="00252A68">
        <w:rPr>
          <w:rFonts w:ascii="Calibri" w:eastAsia="Times New Roman" w:hAnsi="Calibri"/>
          <w:lang w:eastAsia="en-US"/>
        </w:rPr>
        <w:t>2</w:t>
      </w:r>
      <w:r w:rsidR="00252A68" w:rsidRPr="00252A68">
        <w:rPr>
          <w:rFonts w:ascii="Calibri" w:eastAsia="Times New Roman" w:hAnsi="Calibri"/>
          <w:lang w:eastAsia="en-US"/>
        </w:rPr>
        <w:t>8.1</w:t>
      </w:r>
      <w:r w:rsidR="001945EA" w:rsidRPr="00252A68">
        <w:rPr>
          <w:rFonts w:ascii="Calibri" w:eastAsia="Times New Roman" w:hAnsi="Calibri"/>
          <w:lang w:eastAsia="en-US"/>
        </w:rPr>
        <w:t xml:space="preserve"> million</w:t>
      </w:r>
      <w:r w:rsidR="008D1744" w:rsidRPr="00252A68">
        <w:rPr>
          <w:rFonts w:ascii="Calibri" w:eastAsia="Times New Roman" w:hAnsi="Calibri"/>
          <w:lang w:eastAsia="en-US"/>
        </w:rPr>
        <w:t xml:space="preserve"> </w:t>
      </w:r>
      <w:r w:rsidRPr="00252A68">
        <w:rPr>
          <w:rFonts w:ascii="Calibri" w:eastAsia="Times New Roman" w:hAnsi="Calibri"/>
          <w:lang w:eastAsia="en-US"/>
        </w:rPr>
        <w:t xml:space="preserve">in </w:t>
      </w:r>
      <w:r w:rsidR="00111BDD" w:rsidRPr="00252A68">
        <w:rPr>
          <w:rFonts w:ascii="Calibri" w:eastAsia="Times New Roman" w:hAnsi="Calibri"/>
          <w:lang w:eastAsia="en-US"/>
        </w:rPr>
        <w:t>201</w:t>
      </w:r>
      <w:r w:rsidR="00252A68" w:rsidRPr="00252A68">
        <w:rPr>
          <w:rFonts w:ascii="Calibri" w:eastAsia="Times New Roman" w:hAnsi="Calibri"/>
          <w:lang w:eastAsia="en-US"/>
        </w:rPr>
        <w:t>8</w:t>
      </w:r>
      <w:r w:rsidR="0083697E" w:rsidRPr="00252A68">
        <w:rPr>
          <w:rFonts w:ascii="Calibri" w:eastAsia="Times New Roman" w:hAnsi="Calibri"/>
          <w:lang w:eastAsia="en-US"/>
        </w:rPr>
        <w:t xml:space="preserve"> (</w:t>
      </w:r>
      <w:r w:rsidR="00252A68" w:rsidRPr="00252A68">
        <w:rPr>
          <w:rFonts w:ascii="Calibri" w:eastAsia="Times New Roman" w:hAnsi="Calibri"/>
          <w:lang w:eastAsia="en-US"/>
        </w:rPr>
        <w:t>CHF 20.1 million</w:t>
      </w:r>
      <w:r w:rsidR="0083697E" w:rsidRPr="00252A68">
        <w:rPr>
          <w:rFonts w:ascii="Calibri" w:eastAsia="Times New Roman" w:hAnsi="Calibri"/>
          <w:lang w:eastAsia="en-US"/>
        </w:rPr>
        <w:t xml:space="preserve"> </w:t>
      </w:r>
      <w:r w:rsidR="007A2952" w:rsidRPr="00252A68">
        <w:rPr>
          <w:rFonts w:ascii="Calibri" w:eastAsia="Times New Roman" w:hAnsi="Calibri"/>
          <w:lang w:eastAsia="en-US"/>
        </w:rPr>
        <w:t>in 201</w:t>
      </w:r>
      <w:r w:rsidR="00252A68" w:rsidRPr="00252A68">
        <w:rPr>
          <w:rFonts w:ascii="Calibri" w:eastAsia="Times New Roman" w:hAnsi="Calibri"/>
          <w:lang w:eastAsia="en-US"/>
        </w:rPr>
        <w:t>7</w:t>
      </w:r>
      <w:r w:rsidR="0083697E" w:rsidRPr="00252A68">
        <w:rPr>
          <w:rFonts w:ascii="Calibri" w:eastAsia="Times New Roman" w:hAnsi="Calibri"/>
          <w:lang w:eastAsia="en-US"/>
        </w:rPr>
        <w:t>)</w:t>
      </w:r>
      <w:r w:rsidRPr="00252A68">
        <w:rPr>
          <w:rFonts w:ascii="Calibri" w:eastAsia="Times New Roman" w:hAnsi="Calibri"/>
          <w:lang w:eastAsia="en-US"/>
        </w:rPr>
        <w:t xml:space="preserve">. The balance of third-party funds in the process of allocation, which stood at </w:t>
      </w:r>
      <w:r w:rsidR="008D1744" w:rsidRPr="00252A68">
        <w:rPr>
          <w:rFonts w:ascii="Calibri" w:eastAsia="Times New Roman" w:hAnsi="Calibri"/>
          <w:lang w:eastAsia="en-US"/>
        </w:rPr>
        <w:t xml:space="preserve">CHF </w:t>
      </w:r>
      <w:r w:rsidR="00CB7F99" w:rsidRPr="00252A68">
        <w:rPr>
          <w:rFonts w:ascii="Calibri" w:eastAsia="Times New Roman" w:hAnsi="Calibri"/>
          <w:lang w:eastAsia="en-US"/>
        </w:rPr>
        <w:t>1.</w:t>
      </w:r>
      <w:r w:rsidR="00F95B14" w:rsidRPr="00252A68">
        <w:rPr>
          <w:rFonts w:ascii="Calibri" w:eastAsia="Times New Roman" w:hAnsi="Calibri"/>
          <w:lang w:eastAsia="en-US"/>
        </w:rPr>
        <w:t>3</w:t>
      </w:r>
      <w:r w:rsidR="00BF5D67" w:rsidRPr="00252A68">
        <w:rPr>
          <w:rFonts w:ascii="Calibri" w:eastAsia="Times New Roman" w:hAnsi="Calibri"/>
          <w:lang w:eastAsia="en-US"/>
        </w:rPr>
        <w:t xml:space="preserve"> million</w:t>
      </w:r>
      <w:r w:rsidR="008D1744" w:rsidRPr="00252A68">
        <w:rPr>
          <w:rFonts w:ascii="Calibri" w:eastAsia="Times New Roman" w:hAnsi="Calibri"/>
          <w:lang w:eastAsia="en-US"/>
        </w:rPr>
        <w:t xml:space="preserve"> </w:t>
      </w:r>
      <w:r w:rsidR="00ED451E" w:rsidRPr="00252A68">
        <w:rPr>
          <w:rFonts w:ascii="Calibri" w:eastAsia="Times New Roman" w:hAnsi="Calibri"/>
          <w:lang w:eastAsia="en-US"/>
        </w:rPr>
        <w:t xml:space="preserve">at the end of </w:t>
      </w:r>
      <w:r w:rsidR="00111BDD" w:rsidRPr="00252A68">
        <w:rPr>
          <w:rFonts w:ascii="Calibri" w:eastAsia="Times New Roman" w:hAnsi="Calibri"/>
          <w:lang w:eastAsia="en-US"/>
        </w:rPr>
        <w:t>201</w:t>
      </w:r>
      <w:r w:rsidR="00F95B14" w:rsidRPr="00252A68">
        <w:rPr>
          <w:rFonts w:ascii="Calibri" w:eastAsia="Times New Roman" w:hAnsi="Calibri"/>
          <w:lang w:eastAsia="en-US"/>
        </w:rPr>
        <w:t>8</w:t>
      </w:r>
      <w:r w:rsidR="00ED451E" w:rsidRPr="00252A68">
        <w:rPr>
          <w:rFonts w:ascii="Calibri" w:eastAsia="Times New Roman" w:hAnsi="Calibri"/>
          <w:lang w:eastAsia="en-US"/>
        </w:rPr>
        <w:t xml:space="preserve"> (</w:t>
      </w:r>
      <w:r w:rsidRPr="00252A68">
        <w:rPr>
          <w:rFonts w:ascii="Calibri" w:eastAsia="Times New Roman" w:hAnsi="Calibri"/>
          <w:lang w:eastAsia="en-US"/>
        </w:rPr>
        <w:t>CHF </w:t>
      </w:r>
      <w:r w:rsidR="00F95B14" w:rsidRPr="00252A68">
        <w:rPr>
          <w:rFonts w:ascii="Calibri" w:eastAsia="Times New Roman" w:hAnsi="Calibri"/>
          <w:lang w:eastAsia="en-US"/>
        </w:rPr>
        <w:t>1</w:t>
      </w:r>
      <w:r w:rsidR="00BF5D67" w:rsidRPr="00252A68">
        <w:rPr>
          <w:rFonts w:ascii="Calibri" w:eastAsia="Times New Roman" w:hAnsi="Calibri"/>
          <w:lang w:eastAsia="en-US"/>
        </w:rPr>
        <w:t>,</w:t>
      </w:r>
      <w:r w:rsidR="00F95B14" w:rsidRPr="00252A68">
        <w:rPr>
          <w:rFonts w:ascii="Calibri" w:eastAsia="Times New Roman" w:hAnsi="Calibri"/>
          <w:lang w:eastAsia="en-US"/>
        </w:rPr>
        <w:t>9</w:t>
      </w:r>
      <w:r w:rsidR="00BF5D67" w:rsidRPr="00252A68">
        <w:rPr>
          <w:rFonts w:ascii="Calibri" w:eastAsia="Times New Roman" w:hAnsi="Calibri"/>
          <w:lang w:eastAsia="en-US"/>
        </w:rPr>
        <w:t xml:space="preserve"> million a</w:t>
      </w:r>
      <w:r w:rsidRPr="00252A68">
        <w:rPr>
          <w:rFonts w:ascii="Calibri" w:eastAsia="Times New Roman" w:hAnsi="Calibri"/>
          <w:lang w:eastAsia="en-US"/>
        </w:rPr>
        <w:t xml:space="preserve">t </w:t>
      </w:r>
      <w:r w:rsidR="00F30BBA" w:rsidRPr="00252A68">
        <w:rPr>
          <w:rFonts w:ascii="Calibri" w:eastAsia="Times New Roman" w:hAnsi="Calibri"/>
          <w:lang w:eastAsia="en-US"/>
        </w:rPr>
        <w:t xml:space="preserve">the </w:t>
      </w:r>
      <w:r w:rsidRPr="00252A68">
        <w:rPr>
          <w:rFonts w:ascii="Calibri" w:eastAsia="Times New Roman" w:hAnsi="Calibri"/>
          <w:lang w:eastAsia="en-US"/>
        </w:rPr>
        <w:t xml:space="preserve">end </w:t>
      </w:r>
      <w:r w:rsidR="00F30BBA" w:rsidRPr="00252A68">
        <w:rPr>
          <w:rFonts w:ascii="Calibri" w:eastAsia="Times New Roman" w:hAnsi="Calibri"/>
          <w:lang w:eastAsia="en-US"/>
        </w:rPr>
        <w:t xml:space="preserve">of </w:t>
      </w:r>
      <w:r w:rsidRPr="00252A68">
        <w:rPr>
          <w:rFonts w:ascii="Calibri" w:eastAsia="Times New Roman" w:hAnsi="Calibri"/>
          <w:lang w:eastAsia="en-US"/>
        </w:rPr>
        <w:t>201</w:t>
      </w:r>
      <w:r w:rsidR="00F95B14" w:rsidRPr="00252A68">
        <w:rPr>
          <w:rFonts w:ascii="Calibri" w:eastAsia="Times New Roman" w:hAnsi="Calibri"/>
          <w:lang w:eastAsia="en-US"/>
        </w:rPr>
        <w:t>7</w:t>
      </w:r>
      <w:r w:rsidR="00ED451E" w:rsidRPr="00252A68">
        <w:rPr>
          <w:rFonts w:ascii="Calibri" w:eastAsia="Times New Roman" w:hAnsi="Calibri"/>
          <w:lang w:eastAsia="en-US"/>
        </w:rPr>
        <w:t>)</w:t>
      </w:r>
      <w:r w:rsidRPr="00252A68">
        <w:rPr>
          <w:rFonts w:ascii="Calibri" w:eastAsia="Times New Roman" w:hAnsi="Calibri"/>
          <w:lang w:eastAsia="en-US"/>
        </w:rPr>
        <w:t>, represent</w:t>
      </w:r>
      <w:r w:rsidR="00ED451E" w:rsidRPr="00252A68">
        <w:rPr>
          <w:rFonts w:ascii="Calibri" w:eastAsia="Times New Roman" w:hAnsi="Calibri"/>
          <w:lang w:eastAsia="en-US"/>
        </w:rPr>
        <w:t>s</w:t>
      </w:r>
      <w:r w:rsidRPr="00252A68">
        <w:rPr>
          <w:rFonts w:ascii="Calibri" w:eastAsia="Times New Roman" w:hAnsi="Calibri"/>
          <w:lang w:eastAsia="en-US"/>
        </w:rPr>
        <w:t xml:space="preserve"> newly received funds for projects about to start as well as residual funds from closed projects, which balance will either </w:t>
      </w:r>
      <w:r w:rsidR="00BE5A6B" w:rsidRPr="00252A68">
        <w:rPr>
          <w:rFonts w:ascii="Calibri" w:eastAsia="Times New Roman" w:hAnsi="Calibri"/>
          <w:lang w:eastAsia="en-US"/>
        </w:rPr>
        <w:t xml:space="preserve">be </w:t>
      </w:r>
      <w:r w:rsidRPr="00252A68">
        <w:rPr>
          <w:rFonts w:ascii="Calibri" w:eastAsia="Times New Roman" w:hAnsi="Calibri"/>
          <w:lang w:eastAsia="en-US"/>
        </w:rPr>
        <w:t>returned to donors or allocated to new projects</w:t>
      </w:r>
      <w:r w:rsidR="001945EA" w:rsidRPr="00252A68">
        <w:rPr>
          <w:rFonts w:ascii="Calibri" w:eastAsia="Times New Roman" w:hAnsi="Calibri"/>
          <w:lang w:eastAsia="en-US"/>
        </w:rPr>
        <w:t>.</w:t>
      </w:r>
    </w:p>
    <w:p w:rsidR="00CD36C4" w:rsidRPr="002E36E6" w:rsidRDefault="00CD36C4" w:rsidP="00D93704">
      <w:pPr>
        <w:pStyle w:val="ListParagraph"/>
        <w:tabs>
          <w:tab w:val="left" w:pos="567"/>
        </w:tabs>
        <w:ind w:left="0"/>
        <w:jc w:val="both"/>
        <w:rPr>
          <w:rFonts w:ascii="Calibri" w:eastAsia="Times New Roman" w:hAnsi="Calibri"/>
          <w:lang w:eastAsia="en-US"/>
        </w:rPr>
      </w:pPr>
    </w:p>
    <w:p w:rsidR="00CD36C4" w:rsidRDefault="00CD36C4" w:rsidP="00D93704">
      <w:pPr>
        <w:pStyle w:val="ListParagraph"/>
        <w:numPr>
          <w:ilvl w:val="0"/>
          <w:numId w:val="35"/>
        </w:numPr>
        <w:tabs>
          <w:tab w:val="left" w:pos="567"/>
        </w:tabs>
        <w:ind w:left="0" w:firstLine="0"/>
        <w:jc w:val="both"/>
        <w:rPr>
          <w:rFonts w:ascii="Calibri" w:eastAsia="Times New Roman" w:hAnsi="Calibri"/>
          <w:lang w:eastAsia="en-US"/>
        </w:rPr>
      </w:pPr>
      <w:r w:rsidRPr="002E36E6">
        <w:rPr>
          <w:rFonts w:ascii="Calibri" w:eastAsia="Times New Roman" w:hAnsi="Calibri"/>
          <w:lang w:eastAsia="en-US"/>
        </w:rPr>
        <w:t xml:space="preserve">In </w:t>
      </w:r>
      <w:r w:rsidR="00111BDD" w:rsidRPr="002E36E6">
        <w:rPr>
          <w:rFonts w:ascii="Calibri" w:eastAsia="Times New Roman" w:hAnsi="Calibri"/>
          <w:lang w:eastAsia="en-US"/>
        </w:rPr>
        <w:t>201</w:t>
      </w:r>
      <w:r w:rsidR="00F95B14">
        <w:rPr>
          <w:rFonts w:ascii="Calibri" w:eastAsia="Times New Roman" w:hAnsi="Calibri"/>
          <w:lang w:eastAsia="en-US"/>
        </w:rPr>
        <w:t>8</w:t>
      </w:r>
      <w:r w:rsidRPr="002E36E6">
        <w:rPr>
          <w:rFonts w:ascii="Calibri" w:eastAsia="Times New Roman" w:hAnsi="Calibri"/>
          <w:lang w:eastAsia="en-US"/>
        </w:rPr>
        <w:t xml:space="preserve">, liquid assets </w:t>
      </w:r>
      <w:r w:rsidR="00F30BBA" w:rsidRPr="002E36E6">
        <w:rPr>
          <w:rFonts w:ascii="Calibri" w:eastAsia="Times New Roman" w:hAnsi="Calibri"/>
          <w:lang w:eastAsia="en-US"/>
        </w:rPr>
        <w:t>amount</w:t>
      </w:r>
      <w:r w:rsidR="008D4651" w:rsidRPr="002E36E6">
        <w:rPr>
          <w:rFonts w:ascii="Calibri" w:eastAsia="Times New Roman" w:hAnsi="Calibri"/>
          <w:lang w:eastAsia="en-US"/>
        </w:rPr>
        <w:t>ed</w:t>
      </w:r>
      <w:r w:rsidR="00F30BBA" w:rsidRPr="002E36E6">
        <w:rPr>
          <w:rFonts w:ascii="Calibri" w:eastAsia="Times New Roman" w:hAnsi="Calibri"/>
          <w:lang w:eastAsia="en-US"/>
        </w:rPr>
        <w:t xml:space="preserve"> </w:t>
      </w:r>
      <w:r w:rsidRPr="002E36E6">
        <w:rPr>
          <w:rFonts w:ascii="Calibri" w:eastAsia="Times New Roman" w:hAnsi="Calibri"/>
          <w:lang w:eastAsia="en-US"/>
        </w:rPr>
        <w:t>to CHF </w:t>
      </w:r>
      <w:r w:rsidR="00F95B14">
        <w:rPr>
          <w:rFonts w:ascii="Calibri" w:eastAsia="Times New Roman" w:hAnsi="Calibri"/>
          <w:lang w:eastAsia="en-US"/>
        </w:rPr>
        <w:t>16</w:t>
      </w:r>
      <w:r w:rsidR="00C75576" w:rsidRPr="002E36E6">
        <w:rPr>
          <w:rFonts w:ascii="Calibri" w:eastAsia="Times New Roman" w:hAnsi="Calibri"/>
          <w:lang w:eastAsia="en-US"/>
        </w:rPr>
        <w:t>.</w:t>
      </w:r>
      <w:r w:rsidR="00F95B14">
        <w:rPr>
          <w:rFonts w:ascii="Calibri" w:eastAsia="Times New Roman" w:hAnsi="Calibri"/>
          <w:lang w:eastAsia="en-US"/>
        </w:rPr>
        <w:t>4</w:t>
      </w:r>
      <w:r w:rsidR="00C75576" w:rsidRPr="002E36E6">
        <w:rPr>
          <w:rFonts w:ascii="Calibri" w:eastAsia="Times New Roman" w:hAnsi="Calibri"/>
          <w:lang w:eastAsia="en-US"/>
        </w:rPr>
        <w:t xml:space="preserve"> million</w:t>
      </w:r>
      <w:r w:rsidR="008D4651" w:rsidRPr="002E36E6">
        <w:rPr>
          <w:rFonts w:ascii="Calibri" w:eastAsia="Times New Roman" w:hAnsi="Calibri"/>
          <w:lang w:eastAsia="en-US"/>
        </w:rPr>
        <w:t xml:space="preserve"> </w:t>
      </w:r>
      <w:r w:rsidRPr="002E36E6">
        <w:rPr>
          <w:rFonts w:ascii="Calibri" w:eastAsia="Times New Roman" w:hAnsi="Calibri"/>
          <w:lang w:eastAsia="en-US"/>
        </w:rPr>
        <w:t xml:space="preserve">(CHF </w:t>
      </w:r>
      <w:r w:rsidR="00E15AC4" w:rsidRPr="002E36E6">
        <w:rPr>
          <w:rFonts w:ascii="Calibri" w:eastAsia="Times New Roman" w:hAnsi="Calibri"/>
          <w:lang w:eastAsia="en-US"/>
        </w:rPr>
        <w:t>2</w:t>
      </w:r>
      <w:r w:rsidR="00F95B14">
        <w:rPr>
          <w:rFonts w:ascii="Calibri" w:eastAsia="Times New Roman" w:hAnsi="Calibri"/>
          <w:lang w:eastAsia="en-US"/>
        </w:rPr>
        <w:t>1</w:t>
      </w:r>
      <w:r w:rsidR="00E15AC4" w:rsidRPr="002E36E6">
        <w:rPr>
          <w:rFonts w:ascii="Calibri" w:eastAsia="Times New Roman" w:hAnsi="Calibri"/>
          <w:lang w:eastAsia="en-US"/>
        </w:rPr>
        <w:t>.</w:t>
      </w:r>
      <w:r w:rsidR="00F95B14">
        <w:rPr>
          <w:rFonts w:ascii="Calibri" w:eastAsia="Times New Roman" w:hAnsi="Calibri"/>
          <w:lang w:eastAsia="en-US"/>
        </w:rPr>
        <w:t>3</w:t>
      </w:r>
      <w:r w:rsidR="00C75576" w:rsidRPr="002E36E6">
        <w:rPr>
          <w:rFonts w:ascii="Calibri" w:eastAsia="Times New Roman" w:hAnsi="Calibri"/>
          <w:lang w:eastAsia="en-US"/>
        </w:rPr>
        <w:t xml:space="preserve"> million</w:t>
      </w:r>
      <w:r w:rsidR="008D4651" w:rsidRPr="002E36E6">
        <w:rPr>
          <w:rFonts w:ascii="Calibri" w:eastAsia="Times New Roman" w:hAnsi="Calibri"/>
          <w:lang w:eastAsia="en-US"/>
        </w:rPr>
        <w:t xml:space="preserve"> </w:t>
      </w:r>
      <w:r w:rsidRPr="002E36E6">
        <w:rPr>
          <w:rFonts w:ascii="Calibri" w:eastAsia="Times New Roman" w:hAnsi="Calibri"/>
          <w:lang w:eastAsia="en-US"/>
        </w:rPr>
        <w:t>in</w:t>
      </w:r>
      <w:r w:rsidR="00F30BBA" w:rsidRPr="002E36E6">
        <w:rPr>
          <w:rFonts w:ascii="Calibri" w:eastAsia="Times New Roman" w:hAnsi="Calibri"/>
          <w:lang w:eastAsia="en-US"/>
        </w:rPr>
        <w:t xml:space="preserve"> </w:t>
      </w:r>
      <w:r w:rsidRPr="002E36E6">
        <w:rPr>
          <w:rFonts w:ascii="Calibri" w:eastAsia="Times New Roman" w:hAnsi="Calibri"/>
          <w:lang w:eastAsia="en-US"/>
        </w:rPr>
        <w:t>201</w:t>
      </w:r>
      <w:r w:rsidR="00F95B14">
        <w:rPr>
          <w:rFonts w:ascii="Calibri" w:eastAsia="Times New Roman" w:hAnsi="Calibri"/>
          <w:lang w:eastAsia="en-US"/>
        </w:rPr>
        <w:t>7</w:t>
      </w:r>
      <w:r w:rsidRPr="002E36E6">
        <w:rPr>
          <w:rFonts w:ascii="Calibri" w:eastAsia="Times New Roman" w:hAnsi="Calibri"/>
          <w:lang w:eastAsia="en-US"/>
        </w:rPr>
        <w:t>). Investments amount</w:t>
      </w:r>
      <w:r w:rsidR="008D4651" w:rsidRPr="002E36E6">
        <w:rPr>
          <w:rFonts w:ascii="Calibri" w:eastAsia="Times New Roman" w:hAnsi="Calibri"/>
          <w:lang w:eastAsia="en-US"/>
        </w:rPr>
        <w:t>ed</w:t>
      </w:r>
      <w:r w:rsidRPr="002E36E6">
        <w:rPr>
          <w:rFonts w:ascii="Calibri" w:eastAsia="Times New Roman" w:hAnsi="Calibri"/>
          <w:lang w:eastAsia="en-US"/>
        </w:rPr>
        <w:t xml:space="preserve"> to CHF </w:t>
      </w:r>
      <w:r w:rsidR="00F95B14">
        <w:rPr>
          <w:rFonts w:ascii="Calibri" w:eastAsia="Times New Roman" w:hAnsi="Calibri"/>
          <w:lang w:eastAsia="en-US"/>
        </w:rPr>
        <w:t>18.4</w:t>
      </w:r>
      <w:r w:rsidR="006B2E0B" w:rsidRPr="002E36E6">
        <w:rPr>
          <w:rFonts w:ascii="Calibri" w:eastAsia="Times New Roman" w:hAnsi="Calibri"/>
          <w:lang w:eastAsia="en-US"/>
        </w:rPr>
        <w:t xml:space="preserve"> million</w:t>
      </w:r>
      <w:r w:rsidR="008D4651" w:rsidRPr="002E36E6">
        <w:rPr>
          <w:rFonts w:ascii="Calibri" w:eastAsia="Times New Roman" w:hAnsi="Calibri"/>
          <w:lang w:eastAsia="en-US"/>
        </w:rPr>
        <w:t xml:space="preserve"> </w:t>
      </w:r>
      <w:r w:rsidRPr="002E36E6">
        <w:rPr>
          <w:rFonts w:ascii="Calibri" w:eastAsia="Times New Roman" w:hAnsi="Calibri"/>
          <w:lang w:eastAsia="en-US"/>
        </w:rPr>
        <w:t xml:space="preserve">at </w:t>
      </w:r>
      <w:r w:rsidR="00F30BBA" w:rsidRPr="002E36E6">
        <w:rPr>
          <w:rFonts w:ascii="Calibri" w:eastAsia="Times New Roman" w:hAnsi="Calibri"/>
          <w:lang w:eastAsia="en-US"/>
        </w:rPr>
        <w:t xml:space="preserve">the </w:t>
      </w:r>
      <w:r w:rsidRPr="002E36E6">
        <w:rPr>
          <w:rFonts w:ascii="Calibri" w:eastAsia="Times New Roman" w:hAnsi="Calibri"/>
          <w:lang w:eastAsia="en-US"/>
        </w:rPr>
        <w:t xml:space="preserve">end of </w:t>
      </w:r>
      <w:r w:rsidR="00111BDD" w:rsidRPr="002E36E6">
        <w:rPr>
          <w:rFonts w:ascii="Calibri" w:eastAsia="Times New Roman" w:hAnsi="Calibri"/>
          <w:lang w:eastAsia="en-US"/>
        </w:rPr>
        <w:t>201</w:t>
      </w:r>
      <w:r w:rsidR="00F95B14">
        <w:rPr>
          <w:rFonts w:ascii="Calibri" w:eastAsia="Times New Roman" w:hAnsi="Calibri"/>
          <w:lang w:eastAsia="en-US"/>
        </w:rPr>
        <w:t>8</w:t>
      </w:r>
      <w:r w:rsidRPr="002E36E6">
        <w:rPr>
          <w:rFonts w:ascii="Calibri" w:eastAsia="Times New Roman" w:hAnsi="Calibri"/>
          <w:lang w:eastAsia="en-US"/>
        </w:rPr>
        <w:t xml:space="preserve"> (CHF </w:t>
      </w:r>
      <w:r w:rsidR="00F95B14">
        <w:rPr>
          <w:rFonts w:ascii="Calibri" w:eastAsia="Times New Roman" w:hAnsi="Calibri"/>
          <w:lang w:eastAsia="en-US"/>
        </w:rPr>
        <w:t>9.3</w:t>
      </w:r>
      <w:r w:rsidR="006B2E0B" w:rsidRPr="002E36E6">
        <w:rPr>
          <w:rFonts w:ascii="Calibri" w:eastAsia="Times New Roman" w:hAnsi="Calibri"/>
          <w:lang w:eastAsia="en-US"/>
        </w:rPr>
        <w:t xml:space="preserve"> million</w:t>
      </w:r>
      <w:r w:rsidR="008D4651" w:rsidRPr="002E36E6">
        <w:rPr>
          <w:rFonts w:ascii="Calibri" w:eastAsia="Times New Roman" w:hAnsi="Calibri"/>
          <w:lang w:eastAsia="en-US"/>
        </w:rPr>
        <w:t xml:space="preserve"> </w:t>
      </w:r>
      <w:r w:rsidRPr="002E36E6">
        <w:rPr>
          <w:rFonts w:ascii="Calibri" w:eastAsia="Times New Roman" w:hAnsi="Calibri"/>
          <w:lang w:eastAsia="en-US"/>
        </w:rPr>
        <w:t>in 201</w:t>
      </w:r>
      <w:r w:rsidR="00F95B14">
        <w:rPr>
          <w:rFonts w:ascii="Calibri" w:eastAsia="Times New Roman" w:hAnsi="Calibri"/>
          <w:lang w:eastAsia="en-US"/>
        </w:rPr>
        <w:t>7</w:t>
      </w:r>
      <w:r w:rsidRPr="002E36E6">
        <w:rPr>
          <w:rFonts w:ascii="Calibri" w:eastAsia="Times New Roman" w:hAnsi="Calibri"/>
          <w:lang w:eastAsia="en-US"/>
        </w:rPr>
        <w:t xml:space="preserve">). These deposits yielded interest </w:t>
      </w:r>
      <w:r w:rsidR="006B2E0B" w:rsidRPr="002E36E6">
        <w:rPr>
          <w:rFonts w:ascii="Calibri" w:eastAsia="Times New Roman" w:hAnsi="Calibri"/>
          <w:lang w:eastAsia="en-US"/>
        </w:rPr>
        <w:t>amounting</w:t>
      </w:r>
      <w:r w:rsidRPr="002E36E6">
        <w:rPr>
          <w:rFonts w:ascii="Calibri" w:eastAsia="Times New Roman" w:hAnsi="Calibri"/>
          <w:lang w:eastAsia="en-US"/>
        </w:rPr>
        <w:t xml:space="preserve"> </w:t>
      </w:r>
      <w:r w:rsidR="0041589C" w:rsidRPr="002E36E6">
        <w:rPr>
          <w:rFonts w:ascii="Calibri" w:eastAsia="Times New Roman" w:hAnsi="Calibri"/>
          <w:lang w:eastAsia="en-US"/>
        </w:rPr>
        <w:t xml:space="preserve">to </w:t>
      </w:r>
      <w:r w:rsidR="006B2E0B" w:rsidRPr="002E36E6">
        <w:rPr>
          <w:rFonts w:ascii="Calibri" w:eastAsia="Times New Roman" w:hAnsi="Calibri"/>
          <w:lang w:eastAsia="en-US"/>
        </w:rPr>
        <w:t>K</w:t>
      </w:r>
      <w:r w:rsidRPr="002E36E6">
        <w:rPr>
          <w:rFonts w:ascii="Calibri" w:eastAsia="Times New Roman" w:hAnsi="Calibri"/>
          <w:lang w:eastAsia="en-US"/>
        </w:rPr>
        <w:t>CHF </w:t>
      </w:r>
      <w:r w:rsidR="00F95B14">
        <w:rPr>
          <w:rFonts w:ascii="Calibri" w:eastAsia="Times New Roman" w:hAnsi="Calibri"/>
          <w:lang w:eastAsia="en-US"/>
        </w:rPr>
        <w:t>298</w:t>
      </w:r>
      <w:r w:rsidR="008D4651" w:rsidRPr="002E36E6">
        <w:rPr>
          <w:rFonts w:ascii="Calibri" w:eastAsia="Times New Roman" w:hAnsi="Calibri"/>
          <w:lang w:eastAsia="en-US"/>
        </w:rPr>
        <w:t xml:space="preserve"> </w:t>
      </w:r>
      <w:r w:rsidRPr="002E36E6">
        <w:rPr>
          <w:rFonts w:ascii="Calibri" w:eastAsia="Times New Roman" w:hAnsi="Calibri"/>
          <w:lang w:eastAsia="en-US"/>
        </w:rPr>
        <w:t xml:space="preserve">in </w:t>
      </w:r>
      <w:r w:rsidR="00111BDD" w:rsidRPr="002E36E6">
        <w:rPr>
          <w:rFonts w:ascii="Calibri" w:eastAsia="Times New Roman" w:hAnsi="Calibri"/>
          <w:lang w:eastAsia="en-US"/>
        </w:rPr>
        <w:t>201</w:t>
      </w:r>
      <w:r w:rsidR="00F95B14">
        <w:rPr>
          <w:rFonts w:ascii="Calibri" w:eastAsia="Times New Roman" w:hAnsi="Calibri"/>
          <w:lang w:eastAsia="en-US"/>
        </w:rPr>
        <w:t>8</w:t>
      </w:r>
      <w:r w:rsidRPr="002E36E6">
        <w:rPr>
          <w:rFonts w:ascii="Calibri" w:eastAsia="Times New Roman" w:hAnsi="Calibri"/>
          <w:lang w:eastAsia="en-US"/>
        </w:rPr>
        <w:t xml:space="preserve"> (</w:t>
      </w:r>
      <w:r w:rsidR="006B2E0B" w:rsidRPr="002E36E6">
        <w:rPr>
          <w:rFonts w:ascii="Calibri" w:eastAsia="Times New Roman" w:hAnsi="Calibri"/>
          <w:lang w:eastAsia="en-US"/>
        </w:rPr>
        <w:t>K</w:t>
      </w:r>
      <w:r w:rsidRPr="002E36E6">
        <w:rPr>
          <w:rFonts w:ascii="Calibri" w:eastAsia="Times New Roman" w:hAnsi="Calibri"/>
          <w:lang w:eastAsia="en-US"/>
        </w:rPr>
        <w:t xml:space="preserve">CHF </w:t>
      </w:r>
      <w:r w:rsidR="00E15AC4" w:rsidRPr="002E36E6">
        <w:rPr>
          <w:rFonts w:ascii="Calibri" w:eastAsia="Times New Roman" w:hAnsi="Calibri"/>
          <w:lang w:eastAsia="en-US"/>
        </w:rPr>
        <w:t>17</w:t>
      </w:r>
      <w:r w:rsidR="00F95B14">
        <w:rPr>
          <w:rFonts w:ascii="Calibri" w:eastAsia="Times New Roman" w:hAnsi="Calibri"/>
          <w:lang w:eastAsia="en-US"/>
        </w:rPr>
        <w:t>2</w:t>
      </w:r>
      <w:r w:rsidR="008D4651" w:rsidRPr="002E36E6">
        <w:rPr>
          <w:rFonts w:ascii="Calibri" w:eastAsia="Times New Roman" w:hAnsi="Calibri"/>
          <w:lang w:eastAsia="en-US"/>
        </w:rPr>
        <w:t xml:space="preserve"> </w:t>
      </w:r>
      <w:r w:rsidRPr="002E36E6">
        <w:rPr>
          <w:rFonts w:ascii="Calibri" w:eastAsia="Times New Roman" w:hAnsi="Calibri"/>
          <w:lang w:eastAsia="en-US"/>
        </w:rPr>
        <w:t>in 201</w:t>
      </w:r>
      <w:r w:rsidR="00F95B14">
        <w:rPr>
          <w:rFonts w:ascii="Calibri" w:eastAsia="Times New Roman" w:hAnsi="Calibri"/>
          <w:lang w:eastAsia="en-US"/>
        </w:rPr>
        <w:t>7</w:t>
      </w:r>
      <w:r w:rsidRPr="002E36E6">
        <w:rPr>
          <w:rFonts w:ascii="Calibri" w:eastAsia="Times New Roman" w:hAnsi="Calibri"/>
          <w:lang w:eastAsia="en-US"/>
        </w:rPr>
        <w:t>).</w:t>
      </w:r>
    </w:p>
    <w:p w:rsidR="006B2E0B" w:rsidRPr="002E36E6" w:rsidRDefault="006B2E0B" w:rsidP="002E36E6">
      <w:pPr>
        <w:pStyle w:val="ListParagraph"/>
        <w:tabs>
          <w:tab w:val="left" w:pos="851"/>
        </w:tabs>
        <w:ind w:left="0"/>
        <w:jc w:val="both"/>
        <w:rPr>
          <w:rFonts w:ascii="Calibri" w:eastAsia="Times New Roman" w:hAnsi="Calibri"/>
          <w:lang w:eastAsia="en-US"/>
        </w:rPr>
      </w:pPr>
    </w:p>
    <w:p w:rsidR="00CD36C4" w:rsidRPr="002E36E6" w:rsidRDefault="00CD36C4" w:rsidP="00F95B14">
      <w:pPr>
        <w:pStyle w:val="ListParagraph"/>
        <w:tabs>
          <w:tab w:val="left" w:pos="851"/>
        </w:tabs>
        <w:ind w:left="0"/>
        <w:jc w:val="both"/>
        <w:rPr>
          <w:rFonts w:ascii="Calibri" w:eastAsia="Times New Roman" w:hAnsi="Calibri"/>
          <w:b/>
          <w:bCs/>
          <w:lang w:eastAsia="en-US"/>
        </w:rPr>
      </w:pPr>
      <w:r w:rsidRPr="002E36E6">
        <w:rPr>
          <w:rFonts w:ascii="Calibri" w:eastAsia="Times New Roman" w:hAnsi="Calibri"/>
          <w:b/>
          <w:bCs/>
          <w:lang w:eastAsia="en-US"/>
        </w:rPr>
        <w:t xml:space="preserve">Project delivery and support costs </w:t>
      </w:r>
      <w:r w:rsidR="00111BDD" w:rsidRPr="002E36E6">
        <w:rPr>
          <w:rFonts w:ascii="Calibri" w:eastAsia="Times New Roman" w:hAnsi="Calibri"/>
          <w:b/>
          <w:bCs/>
          <w:lang w:eastAsia="en-US"/>
        </w:rPr>
        <w:t>201</w:t>
      </w:r>
      <w:r w:rsidR="00F95B14">
        <w:rPr>
          <w:rFonts w:ascii="Calibri" w:eastAsia="Times New Roman" w:hAnsi="Calibri"/>
          <w:b/>
          <w:bCs/>
          <w:lang w:eastAsia="en-US"/>
        </w:rPr>
        <w:t>8</w:t>
      </w:r>
    </w:p>
    <w:p w:rsidR="002D7E22" w:rsidRPr="002E36E6" w:rsidRDefault="00CD36C4" w:rsidP="00D93704">
      <w:pPr>
        <w:pStyle w:val="ListParagraph"/>
        <w:numPr>
          <w:ilvl w:val="0"/>
          <w:numId w:val="35"/>
        </w:numPr>
        <w:tabs>
          <w:tab w:val="left" w:pos="567"/>
        </w:tabs>
        <w:adjustRightInd w:val="0"/>
        <w:snapToGrid w:val="0"/>
        <w:spacing w:before="120"/>
        <w:ind w:left="0" w:firstLine="0"/>
        <w:contextualSpacing w:val="0"/>
        <w:jc w:val="both"/>
        <w:rPr>
          <w:rFonts w:ascii="Calibri" w:eastAsia="Times New Roman" w:hAnsi="Calibri"/>
          <w:lang w:eastAsia="en-US"/>
        </w:rPr>
      </w:pPr>
      <w:r w:rsidRPr="002E36E6">
        <w:rPr>
          <w:rFonts w:ascii="Calibri" w:eastAsia="Times New Roman" w:hAnsi="Calibri"/>
          <w:lang w:eastAsia="en-US"/>
        </w:rPr>
        <w:t xml:space="preserve">In </w:t>
      </w:r>
      <w:r w:rsidR="00111BDD" w:rsidRPr="002E36E6">
        <w:rPr>
          <w:rFonts w:ascii="Calibri" w:eastAsia="Times New Roman" w:hAnsi="Calibri"/>
          <w:lang w:eastAsia="en-US"/>
        </w:rPr>
        <w:t>201</w:t>
      </w:r>
      <w:r w:rsidR="00F95B14">
        <w:rPr>
          <w:rFonts w:ascii="Calibri" w:eastAsia="Times New Roman" w:hAnsi="Calibri"/>
          <w:lang w:eastAsia="en-US"/>
        </w:rPr>
        <w:t>8</w:t>
      </w:r>
      <w:r w:rsidRPr="002E36E6">
        <w:rPr>
          <w:rFonts w:ascii="Calibri" w:eastAsia="Times New Roman" w:hAnsi="Calibri"/>
          <w:lang w:eastAsia="en-US"/>
        </w:rPr>
        <w:t>, expenses for all types of trust fund project</w:t>
      </w:r>
      <w:r w:rsidR="00D34DD8" w:rsidRPr="002E36E6">
        <w:rPr>
          <w:rFonts w:ascii="Calibri" w:eastAsia="Times New Roman" w:hAnsi="Calibri"/>
          <w:lang w:eastAsia="en-US"/>
        </w:rPr>
        <w:t>s</w:t>
      </w:r>
      <w:r w:rsidRPr="002E36E6">
        <w:rPr>
          <w:rFonts w:ascii="Calibri" w:eastAsia="Times New Roman" w:hAnsi="Calibri"/>
          <w:lang w:eastAsia="en-US"/>
        </w:rPr>
        <w:t xml:space="preserve"> amount</w:t>
      </w:r>
      <w:r w:rsidR="00D34DD8" w:rsidRPr="002E36E6">
        <w:rPr>
          <w:rFonts w:ascii="Calibri" w:eastAsia="Times New Roman" w:hAnsi="Calibri"/>
          <w:lang w:eastAsia="en-US"/>
        </w:rPr>
        <w:t>ed</w:t>
      </w:r>
      <w:r w:rsidRPr="002E36E6">
        <w:rPr>
          <w:rFonts w:ascii="Calibri" w:eastAsia="Times New Roman" w:hAnsi="Calibri"/>
          <w:lang w:eastAsia="en-US"/>
        </w:rPr>
        <w:t xml:space="preserve"> to CHF </w:t>
      </w:r>
      <w:r w:rsidR="00F95B14">
        <w:rPr>
          <w:rFonts w:ascii="Calibri" w:eastAsia="Times New Roman" w:hAnsi="Calibri"/>
          <w:lang w:eastAsia="en-US"/>
        </w:rPr>
        <w:t>8.9</w:t>
      </w:r>
      <w:r w:rsidR="002A0C57" w:rsidRPr="002E36E6">
        <w:rPr>
          <w:rFonts w:ascii="Calibri" w:eastAsia="Times New Roman" w:hAnsi="Calibri"/>
          <w:lang w:eastAsia="en-US"/>
        </w:rPr>
        <w:t xml:space="preserve"> million</w:t>
      </w:r>
      <w:r w:rsidR="008F15EC" w:rsidRPr="002E36E6">
        <w:rPr>
          <w:rFonts w:ascii="Calibri" w:eastAsia="Times New Roman" w:hAnsi="Calibri"/>
          <w:lang w:eastAsia="en-US"/>
        </w:rPr>
        <w:t>,</w:t>
      </w:r>
      <w:r w:rsidRPr="002E36E6">
        <w:rPr>
          <w:rFonts w:ascii="Calibri" w:eastAsia="Times New Roman" w:hAnsi="Calibri"/>
          <w:lang w:eastAsia="en-US"/>
        </w:rPr>
        <w:t xml:space="preserve"> as against CHF </w:t>
      </w:r>
      <w:r w:rsidR="00F95B14">
        <w:rPr>
          <w:rFonts w:ascii="Calibri" w:eastAsia="Times New Roman" w:hAnsi="Calibri"/>
          <w:lang w:eastAsia="en-US"/>
        </w:rPr>
        <w:t>9</w:t>
      </w:r>
      <w:r w:rsidR="00E15AC4" w:rsidRPr="002E36E6">
        <w:rPr>
          <w:rFonts w:ascii="Calibri" w:eastAsia="Times New Roman" w:hAnsi="Calibri"/>
          <w:lang w:eastAsia="en-US"/>
        </w:rPr>
        <w:t xml:space="preserve"> </w:t>
      </w:r>
      <w:r w:rsidR="002A0C57" w:rsidRPr="002E36E6">
        <w:rPr>
          <w:rFonts w:ascii="Calibri" w:eastAsia="Times New Roman" w:hAnsi="Calibri"/>
          <w:lang w:eastAsia="en-US"/>
        </w:rPr>
        <w:t>million</w:t>
      </w:r>
      <w:r w:rsidRPr="002E36E6">
        <w:rPr>
          <w:rFonts w:ascii="Calibri" w:eastAsia="Times New Roman" w:hAnsi="Calibri"/>
          <w:lang w:eastAsia="en-US"/>
        </w:rPr>
        <w:t xml:space="preserve"> in 201</w:t>
      </w:r>
      <w:r w:rsidR="00F95B14">
        <w:rPr>
          <w:rFonts w:ascii="Calibri" w:eastAsia="Times New Roman" w:hAnsi="Calibri"/>
          <w:lang w:eastAsia="en-US"/>
        </w:rPr>
        <w:t>7</w:t>
      </w:r>
      <w:r w:rsidRPr="002E36E6">
        <w:rPr>
          <w:rFonts w:ascii="Calibri" w:eastAsia="Times New Roman" w:hAnsi="Calibri"/>
          <w:lang w:eastAsia="en-US"/>
        </w:rPr>
        <w:t>.</w:t>
      </w:r>
      <w:r w:rsidR="0046222D" w:rsidRPr="002E36E6">
        <w:rPr>
          <w:rFonts w:ascii="Calibri" w:eastAsia="Times New Roman" w:hAnsi="Calibri"/>
          <w:lang w:eastAsia="en-US"/>
        </w:rPr>
        <w:t xml:space="preserve"> The support costs amounted to </w:t>
      </w:r>
      <w:r w:rsidR="002A0C57" w:rsidRPr="002E36E6">
        <w:rPr>
          <w:rFonts w:ascii="Calibri" w:eastAsia="Times New Roman" w:hAnsi="Calibri"/>
          <w:lang w:eastAsia="en-US"/>
        </w:rPr>
        <w:t>K</w:t>
      </w:r>
      <w:r w:rsidR="0046222D" w:rsidRPr="002E36E6">
        <w:rPr>
          <w:rFonts w:ascii="Calibri" w:eastAsia="Times New Roman" w:hAnsi="Calibri"/>
          <w:lang w:eastAsia="en-US"/>
        </w:rPr>
        <w:t xml:space="preserve">CHF </w:t>
      </w:r>
      <w:r w:rsidR="00E15AC4" w:rsidRPr="002E36E6">
        <w:rPr>
          <w:rFonts w:ascii="Calibri" w:eastAsia="Times New Roman" w:hAnsi="Calibri"/>
          <w:lang w:eastAsia="en-US"/>
        </w:rPr>
        <w:t>5</w:t>
      </w:r>
      <w:r w:rsidR="00F95B14">
        <w:rPr>
          <w:rFonts w:ascii="Calibri" w:eastAsia="Times New Roman" w:hAnsi="Calibri"/>
          <w:lang w:eastAsia="en-US"/>
        </w:rPr>
        <w:t>26</w:t>
      </w:r>
      <w:r w:rsidR="00E15AC4" w:rsidRPr="002E36E6">
        <w:rPr>
          <w:rFonts w:ascii="Calibri" w:eastAsia="Times New Roman" w:hAnsi="Calibri"/>
          <w:lang w:eastAsia="en-US"/>
        </w:rPr>
        <w:t xml:space="preserve"> </w:t>
      </w:r>
      <w:r w:rsidR="0046222D" w:rsidRPr="002E36E6">
        <w:rPr>
          <w:rFonts w:ascii="Calibri" w:eastAsia="Times New Roman" w:hAnsi="Calibri"/>
          <w:lang w:eastAsia="en-US"/>
        </w:rPr>
        <w:t>in 201</w:t>
      </w:r>
      <w:r w:rsidR="00F95B14">
        <w:rPr>
          <w:rFonts w:ascii="Calibri" w:eastAsia="Times New Roman" w:hAnsi="Calibri"/>
          <w:lang w:eastAsia="en-US"/>
        </w:rPr>
        <w:t>8</w:t>
      </w:r>
      <w:r w:rsidR="0046222D" w:rsidRPr="002E36E6">
        <w:rPr>
          <w:rFonts w:ascii="Calibri" w:eastAsia="Times New Roman" w:hAnsi="Calibri"/>
          <w:lang w:eastAsia="en-US"/>
        </w:rPr>
        <w:t xml:space="preserve"> (</w:t>
      </w:r>
      <w:r w:rsidR="002A0C57" w:rsidRPr="002E36E6">
        <w:rPr>
          <w:rFonts w:ascii="Calibri" w:eastAsia="Times New Roman" w:hAnsi="Calibri"/>
          <w:lang w:eastAsia="en-US"/>
        </w:rPr>
        <w:t>K</w:t>
      </w:r>
      <w:r w:rsidR="0046222D" w:rsidRPr="002E36E6">
        <w:rPr>
          <w:rFonts w:ascii="Calibri" w:eastAsia="Times New Roman" w:hAnsi="Calibri"/>
          <w:lang w:eastAsia="en-US"/>
        </w:rPr>
        <w:t xml:space="preserve">CHF </w:t>
      </w:r>
      <w:r w:rsidR="00F95B14">
        <w:rPr>
          <w:rFonts w:ascii="Calibri" w:eastAsia="Times New Roman" w:hAnsi="Calibri"/>
          <w:lang w:eastAsia="en-US"/>
        </w:rPr>
        <w:t>568</w:t>
      </w:r>
      <w:r w:rsidR="002A0C57" w:rsidRPr="002E36E6">
        <w:rPr>
          <w:rFonts w:ascii="Calibri" w:eastAsia="Times New Roman" w:hAnsi="Calibri"/>
          <w:lang w:eastAsia="en-US"/>
        </w:rPr>
        <w:t xml:space="preserve"> </w:t>
      </w:r>
      <w:r w:rsidR="0046222D" w:rsidRPr="002E36E6">
        <w:rPr>
          <w:rFonts w:ascii="Calibri" w:eastAsia="Times New Roman" w:hAnsi="Calibri"/>
          <w:lang w:eastAsia="en-US"/>
        </w:rPr>
        <w:t>in 201</w:t>
      </w:r>
      <w:r w:rsidR="00F95B14">
        <w:rPr>
          <w:rFonts w:ascii="Calibri" w:eastAsia="Times New Roman" w:hAnsi="Calibri"/>
          <w:lang w:eastAsia="en-US"/>
        </w:rPr>
        <w:t>7</w:t>
      </w:r>
      <w:r w:rsidR="0046222D" w:rsidRPr="002E36E6">
        <w:rPr>
          <w:rFonts w:ascii="Calibri" w:eastAsia="Times New Roman" w:hAnsi="Calibri"/>
          <w:lang w:eastAsia="en-US"/>
        </w:rPr>
        <w:t>).</w:t>
      </w:r>
    </w:p>
    <w:p w:rsidR="00CD36C4" w:rsidRPr="00823212" w:rsidRDefault="00CD36C4" w:rsidP="00D93704">
      <w:pPr>
        <w:pStyle w:val="Heading9"/>
        <w:tabs>
          <w:tab w:val="clear" w:pos="567"/>
          <w:tab w:val="left" w:pos="851"/>
        </w:tabs>
        <w:spacing w:before="360" w:after="120"/>
        <w:jc w:val="both"/>
        <w:rPr>
          <w:w w:val="105"/>
          <w:sz w:val="28"/>
          <w:szCs w:val="28"/>
          <w:lang w:val="en-US"/>
        </w:rPr>
      </w:pPr>
      <w:r w:rsidRPr="00823212">
        <w:rPr>
          <w:w w:val="105"/>
          <w:sz w:val="28"/>
          <w:szCs w:val="28"/>
          <w:lang w:val="en-US"/>
        </w:rPr>
        <w:t>V</w:t>
      </w:r>
      <w:r w:rsidR="001C0691">
        <w:rPr>
          <w:w w:val="105"/>
          <w:sz w:val="28"/>
          <w:szCs w:val="28"/>
          <w:lang w:val="en-US"/>
        </w:rPr>
        <w:t>I</w:t>
      </w:r>
      <w:r w:rsidRPr="00823212">
        <w:rPr>
          <w:w w:val="105"/>
          <w:sz w:val="28"/>
          <w:szCs w:val="28"/>
          <w:lang w:val="en-US"/>
        </w:rPr>
        <w:tab/>
        <w:t xml:space="preserve">VOLUNTARY CONTRIBUTIONS (ANNEX </w:t>
      </w:r>
      <w:r w:rsidR="008A0416">
        <w:rPr>
          <w:w w:val="105"/>
          <w:sz w:val="28"/>
          <w:szCs w:val="28"/>
          <w:lang w:val="en-US"/>
        </w:rPr>
        <w:t>B</w:t>
      </w:r>
      <w:r w:rsidR="009623EA" w:rsidRPr="00823212">
        <w:rPr>
          <w:w w:val="105"/>
          <w:sz w:val="28"/>
          <w:szCs w:val="28"/>
          <w:lang w:val="en-US"/>
        </w:rPr>
        <w:t>6</w:t>
      </w:r>
      <w:r w:rsidRPr="00823212">
        <w:rPr>
          <w:w w:val="105"/>
          <w:sz w:val="28"/>
          <w:szCs w:val="28"/>
          <w:lang w:val="en-US"/>
        </w:rPr>
        <w:t>)</w:t>
      </w:r>
    </w:p>
    <w:p w:rsidR="00940926" w:rsidRDefault="00471941" w:rsidP="00D93704">
      <w:pPr>
        <w:pStyle w:val="ListParagraph"/>
        <w:numPr>
          <w:ilvl w:val="0"/>
          <w:numId w:val="35"/>
        </w:numPr>
        <w:tabs>
          <w:tab w:val="left" w:pos="567"/>
        </w:tabs>
        <w:ind w:left="0" w:firstLine="0"/>
        <w:jc w:val="both"/>
        <w:rPr>
          <w:rFonts w:ascii="Calibri" w:eastAsia="Times New Roman" w:hAnsi="Calibri"/>
          <w:lang w:eastAsia="en-US"/>
        </w:rPr>
      </w:pPr>
      <w:r w:rsidRPr="0069714D">
        <w:rPr>
          <w:rFonts w:ascii="Calibri" w:eastAsia="Times New Roman" w:hAnsi="Calibri"/>
          <w:lang w:eastAsia="en-US"/>
        </w:rPr>
        <w:t>In 201</w:t>
      </w:r>
      <w:r w:rsidR="0069714D" w:rsidRPr="0069714D">
        <w:rPr>
          <w:rFonts w:ascii="Calibri" w:eastAsia="Times New Roman" w:hAnsi="Calibri"/>
          <w:lang w:eastAsia="en-US"/>
        </w:rPr>
        <w:t>8</w:t>
      </w:r>
      <w:r w:rsidRPr="0069714D">
        <w:rPr>
          <w:rFonts w:ascii="Calibri" w:eastAsia="Times New Roman" w:hAnsi="Calibri"/>
          <w:lang w:eastAsia="en-US"/>
        </w:rPr>
        <w:t>, liquid assets amounted to CHF </w:t>
      </w:r>
      <w:r w:rsidR="003D092F" w:rsidRPr="0069714D">
        <w:rPr>
          <w:rFonts w:ascii="Calibri" w:eastAsia="Times New Roman" w:hAnsi="Calibri"/>
          <w:lang w:eastAsia="en-US"/>
        </w:rPr>
        <w:t>9</w:t>
      </w:r>
      <w:r w:rsidR="0069714D" w:rsidRPr="0069714D">
        <w:rPr>
          <w:rFonts w:ascii="Calibri" w:eastAsia="Times New Roman" w:hAnsi="Calibri"/>
          <w:lang w:eastAsia="en-US"/>
        </w:rPr>
        <w:t>.7</w:t>
      </w:r>
      <w:r w:rsidRPr="0069714D">
        <w:rPr>
          <w:rFonts w:ascii="Calibri" w:eastAsia="Times New Roman" w:hAnsi="Calibri"/>
          <w:lang w:eastAsia="en-US"/>
        </w:rPr>
        <w:t xml:space="preserve"> million (CHF </w:t>
      </w:r>
      <w:r w:rsidR="0069714D" w:rsidRPr="0069714D">
        <w:rPr>
          <w:rFonts w:ascii="Calibri" w:eastAsia="Times New Roman" w:hAnsi="Calibri"/>
          <w:lang w:eastAsia="en-US"/>
        </w:rPr>
        <w:t>9</w:t>
      </w:r>
      <w:r w:rsidRPr="0069714D">
        <w:rPr>
          <w:rFonts w:ascii="Calibri" w:eastAsia="Times New Roman" w:hAnsi="Calibri"/>
          <w:lang w:eastAsia="en-US"/>
        </w:rPr>
        <w:t xml:space="preserve"> million in 201</w:t>
      </w:r>
      <w:r w:rsidR="0069714D" w:rsidRPr="0069714D">
        <w:rPr>
          <w:rFonts w:ascii="Calibri" w:eastAsia="Times New Roman" w:hAnsi="Calibri"/>
          <w:lang w:eastAsia="en-US"/>
        </w:rPr>
        <w:t>7</w:t>
      </w:r>
      <w:r w:rsidRPr="0069714D">
        <w:rPr>
          <w:rFonts w:ascii="Calibri" w:eastAsia="Times New Roman" w:hAnsi="Calibri"/>
          <w:lang w:eastAsia="en-US"/>
        </w:rPr>
        <w:t xml:space="preserve">). </w:t>
      </w:r>
    </w:p>
    <w:p w:rsidR="0069714D" w:rsidRPr="0069714D" w:rsidRDefault="0069714D" w:rsidP="00D93704">
      <w:pPr>
        <w:pStyle w:val="ListParagraph"/>
        <w:tabs>
          <w:tab w:val="left" w:pos="567"/>
        </w:tabs>
        <w:ind w:left="0"/>
        <w:jc w:val="both"/>
        <w:rPr>
          <w:rFonts w:ascii="Calibri" w:eastAsia="Times New Roman" w:hAnsi="Calibri"/>
          <w:lang w:eastAsia="en-US"/>
        </w:rPr>
      </w:pPr>
    </w:p>
    <w:p w:rsidR="0037066B" w:rsidRPr="00823212" w:rsidRDefault="00940926" w:rsidP="00D93704">
      <w:pPr>
        <w:pStyle w:val="ListParagraph"/>
        <w:numPr>
          <w:ilvl w:val="0"/>
          <w:numId w:val="35"/>
        </w:numPr>
        <w:tabs>
          <w:tab w:val="left" w:pos="567"/>
        </w:tabs>
        <w:ind w:left="0" w:firstLine="0"/>
        <w:jc w:val="both"/>
        <w:rPr>
          <w:rFonts w:ascii="Calibri" w:eastAsia="Times New Roman" w:hAnsi="Calibri"/>
          <w:lang w:eastAsia="en-US"/>
        </w:rPr>
      </w:pPr>
      <w:r w:rsidRPr="00823212">
        <w:rPr>
          <w:rFonts w:ascii="Calibri" w:eastAsia="Times New Roman" w:hAnsi="Calibri"/>
          <w:lang w:eastAsia="en-US"/>
        </w:rPr>
        <w:t>In 201</w:t>
      </w:r>
      <w:r w:rsidR="0069714D">
        <w:rPr>
          <w:rFonts w:ascii="Calibri" w:eastAsia="Times New Roman" w:hAnsi="Calibri"/>
          <w:lang w:eastAsia="en-US"/>
        </w:rPr>
        <w:t>8</w:t>
      </w:r>
      <w:r w:rsidRPr="00823212">
        <w:rPr>
          <w:rFonts w:ascii="Calibri" w:eastAsia="Times New Roman" w:hAnsi="Calibri"/>
          <w:lang w:eastAsia="en-US"/>
        </w:rPr>
        <w:t xml:space="preserve">, expenses for all types of Voluntary </w:t>
      </w:r>
      <w:r w:rsidR="0037066B" w:rsidRPr="00823212">
        <w:rPr>
          <w:rFonts w:ascii="Calibri" w:eastAsia="Times New Roman" w:hAnsi="Calibri"/>
          <w:lang w:eastAsia="en-US"/>
        </w:rPr>
        <w:t>contributions</w:t>
      </w:r>
      <w:r w:rsidRPr="00823212">
        <w:rPr>
          <w:rFonts w:ascii="Calibri" w:eastAsia="Times New Roman" w:hAnsi="Calibri"/>
          <w:lang w:eastAsia="en-US"/>
        </w:rPr>
        <w:t xml:space="preserve"> amounted to CHF </w:t>
      </w:r>
      <w:r w:rsidR="003D092F" w:rsidRPr="00823212">
        <w:rPr>
          <w:rFonts w:ascii="Calibri" w:eastAsia="Times New Roman" w:hAnsi="Calibri"/>
          <w:lang w:eastAsia="en-US"/>
        </w:rPr>
        <w:t>2.</w:t>
      </w:r>
      <w:r w:rsidR="0069714D">
        <w:rPr>
          <w:rFonts w:ascii="Calibri" w:eastAsia="Times New Roman" w:hAnsi="Calibri"/>
          <w:lang w:eastAsia="en-US"/>
        </w:rPr>
        <w:t>6</w:t>
      </w:r>
      <w:r w:rsidR="003D092F" w:rsidRPr="00823212">
        <w:rPr>
          <w:rFonts w:ascii="Calibri" w:eastAsia="Times New Roman" w:hAnsi="Calibri"/>
          <w:lang w:eastAsia="en-US"/>
        </w:rPr>
        <w:t xml:space="preserve"> m</w:t>
      </w:r>
      <w:r w:rsidRPr="00823212">
        <w:rPr>
          <w:rFonts w:ascii="Calibri" w:eastAsia="Times New Roman" w:hAnsi="Calibri"/>
          <w:lang w:eastAsia="en-US"/>
        </w:rPr>
        <w:t>illion, as against CHF </w:t>
      </w:r>
      <w:r w:rsidR="0069714D">
        <w:rPr>
          <w:rFonts w:ascii="Calibri" w:eastAsia="Times New Roman" w:hAnsi="Calibri"/>
          <w:lang w:eastAsia="en-US"/>
        </w:rPr>
        <w:t>2.8</w:t>
      </w:r>
      <w:r w:rsidRPr="00823212">
        <w:rPr>
          <w:rFonts w:ascii="Calibri" w:eastAsia="Times New Roman" w:hAnsi="Calibri"/>
          <w:lang w:eastAsia="en-US"/>
        </w:rPr>
        <w:t xml:space="preserve"> million in 201</w:t>
      </w:r>
      <w:r w:rsidR="0069714D">
        <w:rPr>
          <w:rFonts w:ascii="Calibri" w:eastAsia="Times New Roman" w:hAnsi="Calibri"/>
          <w:lang w:eastAsia="en-US"/>
        </w:rPr>
        <w:t>7</w:t>
      </w:r>
      <w:r w:rsidRPr="00823212">
        <w:rPr>
          <w:rFonts w:ascii="Calibri" w:eastAsia="Times New Roman" w:hAnsi="Calibri"/>
          <w:lang w:eastAsia="en-US"/>
        </w:rPr>
        <w:t>.</w:t>
      </w:r>
    </w:p>
    <w:p w:rsidR="0079154C" w:rsidRPr="000A304A" w:rsidRDefault="0079154C" w:rsidP="00D93704">
      <w:pPr>
        <w:pStyle w:val="Heading9"/>
        <w:tabs>
          <w:tab w:val="clear" w:pos="567"/>
          <w:tab w:val="left" w:pos="851"/>
        </w:tabs>
        <w:spacing w:before="360" w:after="120"/>
        <w:jc w:val="both"/>
        <w:rPr>
          <w:w w:val="105"/>
          <w:sz w:val="28"/>
          <w:szCs w:val="28"/>
          <w:lang w:val="en-US"/>
        </w:rPr>
      </w:pPr>
      <w:r w:rsidRPr="000A304A">
        <w:rPr>
          <w:w w:val="105"/>
          <w:sz w:val="28"/>
          <w:szCs w:val="28"/>
          <w:lang w:val="en-US"/>
        </w:rPr>
        <w:t>VI</w:t>
      </w:r>
      <w:r w:rsidR="001C0691" w:rsidRPr="000A304A">
        <w:rPr>
          <w:w w:val="105"/>
          <w:sz w:val="28"/>
          <w:szCs w:val="28"/>
          <w:lang w:val="en-US"/>
        </w:rPr>
        <w:t>I</w:t>
      </w:r>
      <w:r w:rsidRPr="000A304A">
        <w:rPr>
          <w:w w:val="105"/>
          <w:sz w:val="28"/>
          <w:szCs w:val="28"/>
          <w:lang w:val="en-US"/>
        </w:rPr>
        <w:tab/>
        <w:t xml:space="preserve">ICT DEVELOPMENT FUND (ANNEX </w:t>
      </w:r>
      <w:r w:rsidR="008A0416" w:rsidRPr="000A304A">
        <w:rPr>
          <w:w w:val="105"/>
          <w:sz w:val="28"/>
          <w:szCs w:val="28"/>
          <w:lang w:val="en-US"/>
        </w:rPr>
        <w:t>B</w:t>
      </w:r>
      <w:r w:rsidR="009623EA" w:rsidRPr="000A304A">
        <w:rPr>
          <w:w w:val="105"/>
          <w:sz w:val="28"/>
          <w:szCs w:val="28"/>
          <w:lang w:val="en-US"/>
        </w:rPr>
        <w:t>7</w:t>
      </w:r>
      <w:r w:rsidRPr="000A304A">
        <w:rPr>
          <w:w w:val="105"/>
          <w:sz w:val="28"/>
          <w:szCs w:val="28"/>
          <w:lang w:val="en-US"/>
        </w:rPr>
        <w:t>)</w:t>
      </w:r>
    </w:p>
    <w:p w:rsidR="0079154C" w:rsidRPr="000A304A" w:rsidRDefault="004E134E" w:rsidP="009A35B7">
      <w:pPr>
        <w:pStyle w:val="ListParagraph"/>
        <w:numPr>
          <w:ilvl w:val="0"/>
          <w:numId w:val="35"/>
        </w:numPr>
        <w:tabs>
          <w:tab w:val="left" w:pos="709"/>
        </w:tabs>
        <w:ind w:left="0" w:firstLine="0"/>
        <w:jc w:val="both"/>
        <w:rPr>
          <w:rFonts w:ascii="Calibri" w:eastAsia="Times New Roman" w:hAnsi="Calibri"/>
          <w:lang w:eastAsia="en-US"/>
        </w:rPr>
      </w:pPr>
      <w:r w:rsidRPr="000A304A">
        <w:rPr>
          <w:rFonts w:ascii="Calibri" w:eastAsia="Times New Roman" w:hAnsi="Calibri"/>
          <w:lang w:eastAsia="en-US"/>
        </w:rPr>
        <w:t>The balance of the ICT Development Fund stood at CHF 4.3 million at 31 December</w:t>
      </w:r>
      <w:r w:rsidR="009A35B7" w:rsidRPr="000A304A">
        <w:rPr>
          <w:rFonts w:ascii="Calibri" w:eastAsia="Times New Roman" w:hAnsi="Calibri"/>
          <w:lang w:eastAsia="en-US"/>
        </w:rPr>
        <w:t> </w:t>
      </w:r>
      <w:r w:rsidRPr="000A304A">
        <w:rPr>
          <w:rFonts w:ascii="Calibri" w:eastAsia="Times New Roman" w:hAnsi="Calibri"/>
          <w:lang w:eastAsia="en-US"/>
        </w:rPr>
        <w:t>2018 (CHF 4.4 million at 31 December 2017).</w:t>
      </w:r>
    </w:p>
    <w:p w:rsidR="0079154C" w:rsidRPr="000A304A" w:rsidRDefault="0079154C" w:rsidP="00AC5E61">
      <w:pPr>
        <w:pStyle w:val="ListParagraph"/>
        <w:tabs>
          <w:tab w:val="left" w:pos="709"/>
        </w:tabs>
        <w:ind w:left="0"/>
        <w:jc w:val="both"/>
        <w:rPr>
          <w:rFonts w:ascii="Calibri" w:eastAsia="Times New Roman" w:hAnsi="Calibri"/>
          <w:lang w:eastAsia="en-US"/>
        </w:rPr>
      </w:pPr>
    </w:p>
    <w:p w:rsidR="00D2431D" w:rsidRPr="000A304A" w:rsidRDefault="00CD36C4" w:rsidP="0089117B">
      <w:pPr>
        <w:pStyle w:val="ListParagraph"/>
        <w:numPr>
          <w:ilvl w:val="0"/>
          <w:numId w:val="35"/>
        </w:numPr>
        <w:tabs>
          <w:tab w:val="left" w:pos="709"/>
        </w:tabs>
        <w:ind w:left="0" w:firstLine="0"/>
        <w:jc w:val="both"/>
        <w:rPr>
          <w:rFonts w:ascii="Calibri" w:eastAsia="Times New Roman" w:hAnsi="Calibri"/>
          <w:lang w:eastAsia="en-US"/>
        </w:rPr>
      </w:pPr>
      <w:r w:rsidRPr="000A304A">
        <w:rPr>
          <w:rFonts w:ascii="Calibri" w:eastAsia="Times New Roman" w:hAnsi="Calibri"/>
          <w:lang w:eastAsia="en-US"/>
        </w:rPr>
        <w:t xml:space="preserve">In </w:t>
      </w:r>
      <w:r w:rsidR="00111BDD" w:rsidRPr="000A304A">
        <w:rPr>
          <w:rFonts w:ascii="Calibri" w:eastAsia="Times New Roman" w:hAnsi="Calibri"/>
          <w:lang w:eastAsia="en-US"/>
        </w:rPr>
        <w:t>201</w:t>
      </w:r>
      <w:r w:rsidR="0046189A" w:rsidRPr="000A304A">
        <w:rPr>
          <w:rFonts w:ascii="Calibri" w:eastAsia="Times New Roman" w:hAnsi="Calibri"/>
          <w:lang w:eastAsia="en-US"/>
        </w:rPr>
        <w:t>8</w:t>
      </w:r>
      <w:r w:rsidRPr="000A304A">
        <w:rPr>
          <w:rFonts w:ascii="Calibri" w:eastAsia="Times New Roman" w:hAnsi="Calibri"/>
          <w:lang w:eastAsia="en-US"/>
        </w:rPr>
        <w:t xml:space="preserve">, </w:t>
      </w:r>
      <w:r w:rsidR="004E134E" w:rsidRPr="000A304A">
        <w:rPr>
          <w:rFonts w:ascii="Calibri" w:eastAsia="Times New Roman" w:hAnsi="Calibri"/>
          <w:lang w:eastAsia="en-US"/>
        </w:rPr>
        <w:t xml:space="preserve">an amount of KCHF 295 was allocated for the financing of ICT projects and the interest on deposit which amounted to </w:t>
      </w:r>
      <w:r w:rsidR="0046189A" w:rsidRPr="000A304A">
        <w:rPr>
          <w:rFonts w:ascii="Calibri" w:eastAsia="Times New Roman" w:hAnsi="Calibri"/>
          <w:lang w:eastAsia="en-US"/>
        </w:rPr>
        <w:t>KCHF 72</w:t>
      </w:r>
      <w:r w:rsidR="004E134E" w:rsidRPr="000A304A">
        <w:rPr>
          <w:rFonts w:ascii="Calibri" w:eastAsia="Times New Roman" w:hAnsi="Calibri"/>
          <w:lang w:eastAsia="en-US"/>
        </w:rPr>
        <w:t xml:space="preserve"> was transferred to the ICTDF </w:t>
      </w:r>
      <w:r w:rsidR="0089117B" w:rsidRPr="000A304A">
        <w:rPr>
          <w:rFonts w:ascii="Calibri" w:eastAsia="Times New Roman" w:hAnsi="Calibri"/>
          <w:lang w:eastAsia="en-US"/>
        </w:rPr>
        <w:t>Ca</w:t>
      </w:r>
      <w:r w:rsidR="004E134E" w:rsidRPr="000A304A">
        <w:rPr>
          <w:rFonts w:ascii="Calibri" w:eastAsia="Times New Roman" w:hAnsi="Calibri"/>
          <w:lang w:eastAsia="en-US"/>
        </w:rPr>
        <w:t>pital</w:t>
      </w:r>
      <w:r w:rsidR="009A35B7" w:rsidRPr="000A304A">
        <w:rPr>
          <w:rFonts w:ascii="Calibri" w:eastAsia="Times New Roman" w:hAnsi="Calibri"/>
          <w:lang w:eastAsia="en-US"/>
        </w:rPr>
        <w:t xml:space="preserve"> </w:t>
      </w:r>
      <w:r w:rsidR="0089117B" w:rsidRPr="000A304A">
        <w:rPr>
          <w:rFonts w:ascii="Calibri" w:eastAsia="Times New Roman" w:hAnsi="Calibri"/>
          <w:lang w:eastAsia="en-US"/>
        </w:rPr>
        <w:t>F</w:t>
      </w:r>
      <w:r w:rsidR="009A35B7" w:rsidRPr="000A304A">
        <w:rPr>
          <w:rFonts w:ascii="Calibri" w:eastAsia="Times New Roman" w:hAnsi="Calibri"/>
          <w:lang w:eastAsia="en-US"/>
        </w:rPr>
        <w:t>und</w:t>
      </w:r>
      <w:r w:rsidR="004E134E" w:rsidRPr="000A304A">
        <w:rPr>
          <w:rFonts w:ascii="Calibri" w:eastAsia="Times New Roman" w:hAnsi="Calibri"/>
          <w:lang w:eastAsia="en-US"/>
        </w:rPr>
        <w:t>.</w:t>
      </w:r>
    </w:p>
    <w:p w:rsidR="0022373A" w:rsidRPr="003F6048" w:rsidRDefault="000C2D54" w:rsidP="00D93704">
      <w:pPr>
        <w:pStyle w:val="Heading9"/>
        <w:tabs>
          <w:tab w:val="clear" w:pos="567"/>
          <w:tab w:val="left" w:pos="851"/>
        </w:tabs>
        <w:snapToGrid w:val="0"/>
        <w:spacing w:before="360" w:after="120"/>
        <w:jc w:val="both"/>
        <w:rPr>
          <w:w w:val="105"/>
          <w:sz w:val="28"/>
          <w:szCs w:val="28"/>
          <w:lang w:val="en-US"/>
        </w:rPr>
      </w:pPr>
      <w:r w:rsidRPr="003F6048">
        <w:rPr>
          <w:w w:val="105"/>
          <w:sz w:val="28"/>
          <w:szCs w:val="28"/>
          <w:lang w:val="en-US"/>
        </w:rPr>
        <w:t>VII</w:t>
      </w:r>
      <w:r w:rsidR="001C0691">
        <w:rPr>
          <w:w w:val="105"/>
          <w:sz w:val="28"/>
          <w:szCs w:val="28"/>
          <w:lang w:val="en-US"/>
        </w:rPr>
        <w:t>I</w:t>
      </w:r>
      <w:r w:rsidR="00737D33" w:rsidRPr="003F6048">
        <w:rPr>
          <w:w w:val="105"/>
          <w:sz w:val="28"/>
          <w:szCs w:val="28"/>
          <w:lang w:val="en-US"/>
        </w:rPr>
        <w:tab/>
      </w:r>
      <w:r w:rsidR="00DD2E54">
        <w:rPr>
          <w:w w:val="105"/>
          <w:sz w:val="28"/>
          <w:szCs w:val="28"/>
          <w:lang w:val="en-US"/>
        </w:rPr>
        <w:t>ITU TELECOM WORLD 201</w:t>
      </w:r>
      <w:r w:rsidR="00434CD6">
        <w:rPr>
          <w:w w:val="105"/>
          <w:sz w:val="28"/>
          <w:szCs w:val="28"/>
          <w:lang w:val="en-US"/>
        </w:rPr>
        <w:t>8</w:t>
      </w:r>
      <w:bookmarkEnd w:id="143"/>
      <w:r w:rsidR="00CB708C" w:rsidRPr="003F6048">
        <w:rPr>
          <w:w w:val="105"/>
          <w:sz w:val="28"/>
          <w:szCs w:val="28"/>
          <w:lang w:val="en-US"/>
        </w:rPr>
        <w:t xml:space="preserve"> (ANNEX </w:t>
      </w:r>
      <w:r w:rsidR="008A0416">
        <w:rPr>
          <w:w w:val="105"/>
          <w:sz w:val="28"/>
          <w:szCs w:val="28"/>
          <w:lang w:val="en-US"/>
        </w:rPr>
        <w:t>B</w:t>
      </w:r>
      <w:r w:rsidR="009623EA" w:rsidRPr="003F6048">
        <w:rPr>
          <w:w w:val="105"/>
          <w:sz w:val="28"/>
          <w:szCs w:val="28"/>
          <w:lang w:val="en-US"/>
        </w:rPr>
        <w:t>8</w:t>
      </w:r>
      <w:r w:rsidR="00CB708C" w:rsidRPr="003F6048">
        <w:rPr>
          <w:w w:val="105"/>
          <w:sz w:val="28"/>
          <w:szCs w:val="28"/>
          <w:lang w:val="en-US"/>
        </w:rPr>
        <w:t>)</w:t>
      </w:r>
    </w:p>
    <w:p w:rsidR="00037E97" w:rsidRDefault="00037E97" w:rsidP="00D93704">
      <w:pPr>
        <w:pStyle w:val="ListParagraph"/>
        <w:numPr>
          <w:ilvl w:val="0"/>
          <w:numId w:val="35"/>
        </w:numPr>
        <w:tabs>
          <w:tab w:val="left" w:pos="567"/>
        </w:tabs>
        <w:adjustRightInd w:val="0"/>
        <w:snapToGrid w:val="0"/>
        <w:ind w:left="0" w:firstLine="0"/>
        <w:contextualSpacing w:val="0"/>
        <w:jc w:val="both"/>
        <w:rPr>
          <w:rFonts w:ascii="Calibri" w:eastAsia="Times New Roman" w:hAnsi="Calibri"/>
          <w:lang w:eastAsia="en-US"/>
        </w:rPr>
      </w:pPr>
      <w:r w:rsidRPr="00037E97">
        <w:rPr>
          <w:rFonts w:ascii="Calibri" w:eastAsia="Times New Roman" w:hAnsi="Calibri"/>
          <w:lang w:eastAsia="en-US"/>
        </w:rPr>
        <w:t>The revised ITU Telecom World 2018 budget was approved on 17 July 2018 with an expected total revenue of CHF 7,046,000 and total expenses of CHF 6,670,000 that would generate an Event result of CHF 376,000.   Due to the forecasted decline in total revenue, the need to reduce expenses had become a necessity which has le</w:t>
      </w:r>
      <w:r w:rsidR="00371FC0">
        <w:rPr>
          <w:rFonts w:ascii="Calibri" w:eastAsia="Times New Roman" w:hAnsi="Calibri"/>
          <w:lang w:eastAsia="en-US"/>
        </w:rPr>
        <w:t>d to the revision of the budget.</w:t>
      </w:r>
    </w:p>
    <w:p w:rsidR="00371FC0" w:rsidRDefault="00371FC0" w:rsidP="00D93704">
      <w:pPr>
        <w:pStyle w:val="ListParagraph"/>
        <w:tabs>
          <w:tab w:val="left" w:pos="567"/>
        </w:tabs>
        <w:adjustRightInd w:val="0"/>
        <w:snapToGrid w:val="0"/>
        <w:ind w:left="0"/>
        <w:contextualSpacing w:val="0"/>
        <w:jc w:val="both"/>
        <w:rPr>
          <w:rFonts w:ascii="Calibri" w:eastAsia="Times New Roman" w:hAnsi="Calibri"/>
          <w:lang w:eastAsia="en-US"/>
        </w:rPr>
      </w:pPr>
    </w:p>
    <w:p w:rsidR="00371FC0" w:rsidRDefault="00371FC0" w:rsidP="00D93704">
      <w:pPr>
        <w:pStyle w:val="ListParagraph"/>
        <w:numPr>
          <w:ilvl w:val="0"/>
          <w:numId w:val="35"/>
        </w:numPr>
        <w:tabs>
          <w:tab w:val="left" w:pos="567"/>
        </w:tabs>
        <w:adjustRightInd w:val="0"/>
        <w:snapToGrid w:val="0"/>
        <w:ind w:left="0" w:firstLine="0"/>
        <w:contextualSpacing w:val="0"/>
        <w:jc w:val="both"/>
        <w:rPr>
          <w:rFonts w:ascii="Calibri" w:eastAsia="Times New Roman" w:hAnsi="Calibri"/>
          <w:lang w:eastAsia="en-US"/>
        </w:rPr>
      </w:pPr>
      <w:r w:rsidRPr="00371FC0">
        <w:rPr>
          <w:rFonts w:ascii="Calibri" w:eastAsia="Times New Roman" w:hAnsi="Calibri"/>
          <w:lang w:eastAsia="en-US"/>
        </w:rPr>
        <w:t>As of 31 December 2018, ITU Telecom World 2018 shows an Event result of -CHF 254,867.62 with a total actual revenue of CHF 5,743,749.64 and overall actual expenses of CHF 5,998,617.26.  The negative Event result is mainly due to the shortfall in sponsorships and sales in rental space as well as the unpaid debts.  Without the provisions for such debts amounting to CHF 215,970.95 the event result would have been -CHF 38,896.67.</w:t>
      </w:r>
    </w:p>
    <w:p w:rsidR="00371FC0" w:rsidRPr="00D402DA" w:rsidRDefault="00371FC0" w:rsidP="00D93704">
      <w:pPr>
        <w:snapToGrid w:val="0"/>
        <w:spacing w:before="0"/>
      </w:pPr>
    </w:p>
    <w:p w:rsidR="00371FC0" w:rsidRDefault="00371FC0" w:rsidP="00D93704">
      <w:pPr>
        <w:pStyle w:val="ListParagraph"/>
        <w:numPr>
          <w:ilvl w:val="0"/>
          <w:numId w:val="35"/>
        </w:numPr>
        <w:tabs>
          <w:tab w:val="left" w:pos="567"/>
        </w:tabs>
        <w:adjustRightInd w:val="0"/>
        <w:snapToGrid w:val="0"/>
        <w:ind w:left="0" w:firstLine="0"/>
        <w:contextualSpacing w:val="0"/>
        <w:jc w:val="both"/>
        <w:rPr>
          <w:rFonts w:ascii="Calibri" w:eastAsia="Times New Roman" w:hAnsi="Calibri"/>
          <w:lang w:eastAsia="en-US"/>
        </w:rPr>
      </w:pPr>
      <w:r w:rsidRPr="00371FC0">
        <w:rPr>
          <w:rFonts w:ascii="Calibri" w:eastAsia="Times New Roman" w:hAnsi="Calibri"/>
          <w:lang w:eastAsia="en-US"/>
        </w:rPr>
        <w:t xml:space="preserve">Actual total revenue represents 82% of revenue budget of CHF 7,046,000.  An important market for Telecom Events is the national industry in the Host Country.  However, several entities that ITU had targeted for sponsorships and space were instead engaged directly by the Host Country as their supporter to help them fulfill their financial obligation to the Event.  </w:t>
      </w:r>
    </w:p>
    <w:p w:rsidR="00371FC0" w:rsidRPr="00D402DA" w:rsidRDefault="00371FC0" w:rsidP="00D93704">
      <w:pPr>
        <w:snapToGrid w:val="0"/>
        <w:spacing w:before="0"/>
      </w:pPr>
    </w:p>
    <w:p w:rsidR="00371FC0" w:rsidRDefault="00371FC0" w:rsidP="00D93704">
      <w:pPr>
        <w:pStyle w:val="ListParagraph"/>
        <w:numPr>
          <w:ilvl w:val="0"/>
          <w:numId w:val="35"/>
        </w:numPr>
        <w:tabs>
          <w:tab w:val="left" w:pos="567"/>
        </w:tabs>
        <w:adjustRightInd w:val="0"/>
        <w:snapToGrid w:val="0"/>
        <w:ind w:left="0" w:firstLine="0"/>
        <w:contextualSpacing w:val="0"/>
        <w:jc w:val="both"/>
        <w:rPr>
          <w:rFonts w:ascii="Calibri" w:eastAsia="Times New Roman" w:hAnsi="Calibri"/>
          <w:lang w:eastAsia="en-US"/>
        </w:rPr>
      </w:pPr>
      <w:r w:rsidRPr="00371FC0">
        <w:rPr>
          <w:rFonts w:ascii="Calibri" w:eastAsia="Times New Roman" w:hAnsi="Calibri"/>
          <w:lang w:eastAsia="en-US"/>
        </w:rPr>
        <w:t>The Host Country has contributed both in monetary terms and in-kind allocation of free goods and services, in accordance with the Host Country Agreement between ITU and the Government of the Republic of South Africa.  The amount of monetary contributions from the Host Country totaled CHF 1,601,112.04 which comprise a lump sum payment of CHF 1.5 million to share ITU Telecom’s core expenses in the preparation, planning and implementation of the Event.   In addition, CHF</w:t>
      </w:r>
      <w:r w:rsidR="009213A2">
        <w:rPr>
          <w:rFonts w:ascii="Calibri" w:eastAsia="Times New Roman" w:hAnsi="Calibri"/>
          <w:lang w:eastAsia="en-US"/>
        </w:rPr>
        <w:t> </w:t>
      </w:r>
      <w:r w:rsidRPr="00371FC0">
        <w:rPr>
          <w:rFonts w:ascii="Calibri" w:eastAsia="Times New Roman" w:hAnsi="Calibri"/>
          <w:lang w:eastAsia="en-US"/>
        </w:rPr>
        <w:t>101,112.04 has been received from the Government for staff missions to the Host Country.  Such financial support represented 28% of the total actual revenue and 99% of the budgeted amount as Host Country contribution.  Goods and services of significant value have also been provided by the Host Country, free-of-charge including the venue with electricity and cleaning services, security services, local staff, IT equipment, local transportation for participants, etc</w:t>
      </w:r>
      <w:r w:rsidR="009213A2">
        <w:rPr>
          <w:rFonts w:ascii="Calibri" w:eastAsia="Times New Roman" w:hAnsi="Calibri"/>
          <w:lang w:eastAsia="en-US"/>
        </w:rPr>
        <w:t>.</w:t>
      </w:r>
    </w:p>
    <w:p w:rsidR="00371FC0" w:rsidRPr="00D402DA" w:rsidRDefault="00371FC0" w:rsidP="00D402DA">
      <w:pPr>
        <w:snapToGrid w:val="0"/>
        <w:spacing w:before="0"/>
      </w:pPr>
    </w:p>
    <w:p w:rsidR="00371FC0" w:rsidRDefault="00371FC0" w:rsidP="00D93704">
      <w:pPr>
        <w:pStyle w:val="ListParagraph"/>
        <w:numPr>
          <w:ilvl w:val="0"/>
          <w:numId w:val="35"/>
        </w:numPr>
        <w:tabs>
          <w:tab w:val="left" w:pos="567"/>
        </w:tabs>
        <w:adjustRightInd w:val="0"/>
        <w:snapToGrid w:val="0"/>
        <w:ind w:left="0" w:firstLine="0"/>
        <w:contextualSpacing w:val="0"/>
        <w:jc w:val="both"/>
        <w:rPr>
          <w:rFonts w:ascii="Calibri" w:eastAsia="Times New Roman" w:hAnsi="Calibri"/>
          <w:lang w:eastAsia="en-US"/>
        </w:rPr>
      </w:pPr>
      <w:r w:rsidRPr="00371FC0">
        <w:rPr>
          <w:rFonts w:ascii="Calibri" w:eastAsia="Times New Roman" w:hAnsi="Calibri"/>
          <w:lang w:eastAsia="en-US"/>
        </w:rPr>
        <w:t>The Exhibition consists of a total of 3,048 m2 paid exhibition space which includes raw space of 2,250 m2 and turnkey stands of 798 m2.  The rented raw space of 2,250 m2 corresponds to 65% of 3,450 m2 which was the area forecasted in the budget.    Actual revenue from rental of raw space amounted to CHF 1,121,255 which is equivalent to 64% of the budget. In 2017, the actual revenue from rental of raw space totaled CHF 1,853,924 which represented about the same amount as that year’s budget.  The 2018 actual revenue from raw space corresponds to 60% of that in 2017.  The space rental included discounted rates in line with policies and procedures.  Sales from Turnkey Solution packages total CHF 724,300 for 798 m2 which correspond to 67% of the amount foreseen in the budget and 66% of the space forecasted to be sold (1,212 m2).  In 2017, the actual revenue from Turnkey was CHF 1.036 million for 1,307 m2 while in 2016, 914 m2 have been sold for CHF 625,790.</w:t>
      </w:r>
    </w:p>
    <w:p w:rsidR="00371FC0" w:rsidRPr="00371FC0" w:rsidRDefault="00371FC0" w:rsidP="00D93704">
      <w:pPr>
        <w:pStyle w:val="ListParagraph"/>
        <w:tabs>
          <w:tab w:val="left" w:pos="567"/>
        </w:tabs>
        <w:adjustRightInd w:val="0"/>
        <w:snapToGrid w:val="0"/>
        <w:ind w:left="0"/>
        <w:contextualSpacing w:val="0"/>
        <w:jc w:val="both"/>
        <w:rPr>
          <w:rFonts w:ascii="Calibri" w:eastAsia="Times New Roman" w:hAnsi="Calibri"/>
          <w:lang w:eastAsia="en-US"/>
        </w:rPr>
      </w:pPr>
    </w:p>
    <w:p w:rsidR="00371FC0" w:rsidRDefault="00371FC0" w:rsidP="00D93704">
      <w:pPr>
        <w:pStyle w:val="ListParagraph"/>
        <w:numPr>
          <w:ilvl w:val="0"/>
          <w:numId w:val="35"/>
        </w:numPr>
        <w:tabs>
          <w:tab w:val="left" w:pos="567"/>
        </w:tabs>
        <w:adjustRightInd w:val="0"/>
        <w:snapToGrid w:val="0"/>
        <w:ind w:left="0" w:firstLine="0"/>
        <w:contextualSpacing w:val="0"/>
        <w:jc w:val="both"/>
        <w:rPr>
          <w:rFonts w:ascii="Calibri" w:eastAsia="Times New Roman" w:hAnsi="Calibri"/>
          <w:lang w:eastAsia="en-US"/>
        </w:rPr>
      </w:pPr>
      <w:r w:rsidRPr="00371FC0">
        <w:rPr>
          <w:rFonts w:ascii="Calibri" w:eastAsia="Times New Roman" w:hAnsi="Calibri"/>
          <w:lang w:eastAsia="en-US"/>
        </w:rPr>
        <w:t xml:space="preserve">Actual revenue from all admissions fees amounts to CHF 319,710 which is significantly higher than the budget of CHF 150,000.  Forum admission revenue exceeded the budget by 24%.  There were 407 forum admission passes sold amounting to CHF 315,425 compared with the budgeted amount of CHF 141,000 and forecasted 120 participants.  The increase is significant compared with the revenue in 2017 for 121 forum admission passes sold which amounted to only CHF 113,600.  Total revenue from exhibition admission fee amounted to CHF 4,285 which represents 48% of the budget.  International visitors were charged CHF 20 while South African nationals paid CHF 5.  There were 479 paid visitors during the Event compared with 2,509 in 2017, 381 in 2016 and 212 in 2015. </w:t>
      </w:r>
    </w:p>
    <w:p w:rsidR="00371FC0" w:rsidRPr="00371FC0" w:rsidRDefault="00371FC0" w:rsidP="00D93704">
      <w:pPr>
        <w:pStyle w:val="ListParagraph"/>
        <w:tabs>
          <w:tab w:val="left" w:pos="567"/>
        </w:tabs>
        <w:adjustRightInd w:val="0"/>
        <w:snapToGrid w:val="0"/>
        <w:ind w:left="0"/>
        <w:contextualSpacing w:val="0"/>
        <w:jc w:val="both"/>
        <w:rPr>
          <w:rFonts w:ascii="Calibri" w:eastAsia="Times New Roman" w:hAnsi="Calibri"/>
          <w:lang w:eastAsia="en-US"/>
        </w:rPr>
      </w:pPr>
    </w:p>
    <w:p w:rsidR="00371FC0" w:rsidRDefault="00371FC0" w:rsidP="00D93704">
      <w:pPr>
        <w:pStyle w:val="ListParagraph"/>
        <w:numPr>
          <w:ilvl w:val="0"/>
          <w:numId w:val="35"/>
        </w:numPr>
        <w:tabs>
          <w:tab w:val="left" w:pos="567"/>
        </w:tabs>
        <w:adjustRightInd w:val="0"/>
        <w:snapToGrid w:val="0"/>
        <w:ind w:left="0" w:firstLine="0"/>
        <w:contextualSpacing w:val="0"/>
        <w:jc w:val="both"/>
        <w:rPr>
          <w:rFonts w:ascii="Calibri" w:eastAsia="Times New Roman" w:hAnsi="Calibri"/>
          <w:lang w:eastAsia="en-US"/>
        </w:rPr>
      </w:pPr>
      <w:r w:rsidRPr="00371FC0">
        <w:rPr>
          <w:rFonts w:ascii="Calibri" w:eastAsia="Times New Roman" w:hAnsi="Calibri"/>
          <w:lang w:eastAsia="en-US"/>
        </w:rPr>
        <w:t>Actual overall expenses of CHF 5,998,617.26 represents 90% of total expense budget of CHF</w:t>
      </w:r>
      <w:r w:rsidR="00396439">
        <w:rPr>
          <w:rFonts w:ascii="Calibri" w:eastAsia="Times New Roman" w:hAnsi="Calibri"/>
          <w:lang w:eastAsia="en-US"/>
        </w:rPr>
        <w:t> </w:t>
      </w:r>
      <w:r w:rsidRPr="00371FC0">
        <w:rPr>
          <w:rFonts w:ascii="Calibri" w:eastAsia="Times New Roman" w:hAnsi="Calibri"/>
          <w:lang w:eastAsia="en-US"/>
        </w:rPr>
        <w:t xml:space="preserve">6,670,000. The continuous application of efficiency measures by ITU Telecom Secretariat and the financial controls exercised by the Financial Resources Management Department led to some savings.  Out of the total direct cost budget of CHF 2,470,000 only CHF 2,286,703.19 (93%) were spent.  This includes provisions for unpaid debts totaling CHF 215,970.95.  </w:t>
      </w:r>
    </w:p>
    <w:p w:rsidR="00371FC0" w:rsidRPr="00371FC0" w:rsidRDefault="00371FC0" w:rsidP="00D93704">
      <w:pPr>
        <w:pStyle w:val="ListParagraph"/>
        <w:tabs>
          <w:tab w:val="left" w:pos="567"/>
        </w:tabs>
        <w:adjustRightInd w:val="0"/>
        <w:snapToGrid w:val="0"/>
        <w:ind w:left="0"/>
        <w:contextualSpacing w:val="0"/>
        <w:jc w:val="both"/>
        <w:rPr>
          <w:rFonts w:ascii="Calibri" w:eastAsia="Times New Roman" w:hAnsi="Calibri"/>
          <w:lang w:eastAsia="en-US"/>
        </w:rPr>
      </w:pPr>
    </w:p>
    <w:p w:rsidR="00371FC0" w:rsidRPr="00371FC0" w:rsidRDefault="00371FC0" w:rsidP="00D93704">
      <w:pPr>
        <w:pStyle w:val="ListParagraph"/>
        <w:numPr>
          <w:ilvl w:val="0"/>
          <w:numId w:val="35"/>
        </w:numPr>
        <w:tabs>
          <w:tab w:val="left" w:pos="567"/>
        </w:tabs>
        <w:adjustRightInd w:val="0"/>
        <w:snapToGrid w:val="0"/>
        <w:ind w:left="0" w:firstLine="0"/>
        <w:contextualSpacing w:val="0"/>
        <w:jc w:val="both"/>
        <w:rPr>
          <w:rFonts w:ascii="Calibri" w:eastAsia="Times New Roman" w:hAnsi="Calibri"/>
          <w:lang w:eastAsia="en-US"/>
        </w:rPr>
      </w:pPr>
      <w:r w:rsidRPr="00371FC0">
        <w:rPr>
          <w:rFonts w:ascii="Calibri" w:eastAsia="Times New Roman" w:hAnsi="Calibri"/>
          <w:lang w:eastAsia="en-US"/>
        </w:rPr>
        <w:t xml:space="preserve">Core expenses comprise ITU cost recovery and ITU Telecom Secretariat cost during the period when the staff have rendered services for the event.  Such indirect cost totaling CHF 3,711,914.07 represents only 88% of the core expense budget.  A fixed amount of CHF 1 million for ITU cost recovery was foreseen in the budget which represents the salaries and remunerations of staff in other departments who have rendered services for ITU Telecom World 2018.  The lower amount of core expenses is due to savings made from ITU Telecom Secretariat vacant posts and partial reimbursable detachments of ITU Telecom staff to other ITU departments.   </w:t>
      </w:r>
    </w:p>
    <w:p w:rsidR="00375257" w:rsidRDefault="00375257" w:rsidP="0046189A">
      <w:pPr>
        <w:pStyle w:val="Heading9"/>
        <w:tabs>
          <w:tab w:val="clear" w:pos="567"/>
          <w:tab w:val="left" w:pos="851"/>
        </w:tabs>
        <w:snapToGrid w:val="0"/>
        <w:spacing w:before="360" w:after="120"/>
        <w:jc w:val="both"/>
        <w:rPr>
          <w:w w:val="105"/>
          <w:sz w:val="28"/>
          <w:szCs w:val="28"/>
          <w:lang w:val="en-US"/>
        </w:rPr>
      </w:pPr>
      <w:r w:rsidRPr="0046189A">
        <w:rPr>
          <w:w w:val="105"/>
          <w:sz w:val="28"/>
          <w:szCs w:val="28"/>
          <w:lang w:val="en-US"/>
        </w:rPr>
        <w:t>I</w:t>
      </w:r>
      <w:r w:rsidR="00C66AE8" w:rsidRPr="0046189A">
        <w:rPr>
          <w:w w:val="105"/>
          <w:sz w:val="28"/>
          <w:szCs w:val="28"/>
          <w:lang w:val="en-US"/>
        </w:rPr>
        <w:t>X</w:t>
      </w:r>
      <w:r w:rsidRPr="0046189A">
        <w:rPr>
          <w:w w:val="105"/>
          <w:sz w:val="28"/>
          <w:szCs w:val="28"/>
          <w:lang w:val="en-US"/>
        </w:rPr>
        <w:tab/>
        <w:t>EXTERNAL AUDIT OF THE UNION’S ACCOUNTS</w:t>
      </w:r>
    </w:p>
    <w:p w:rsidR="0046189A" w:rsidRPr="0046189A" w:rsidRDefault="0046189A" w:rsidP="00D402DA">
      <w:pPr>
        <w:spacing w:before="0"/>
        <w:rPr>
          <w:lang w:val="en-US"/>
        </w:rPr>
      </w:pPr>
    </w:p>
    <w:p w:rsidR="009C0AD0" w:rsidRPr="007E41D0" w:rsidRDefault="00375257" w:rsidP="00D93704">
      <w:pPr>
        <w:pStyle w:val="ListParagraph"/>
        <w:numPr>
          <w:ilvl w:val="0"/>
          <w:numId w:val="35"/>
        </w:numPr>
        <w:tabs>
          <w:tab w:val="left" w:pos="567"/>
        </w:tabs>
        <w:ind w:left="0" w:firstLine="0"/>
        <w:jc w:val="both"/>
      </w:pPr>
      <w:r w:rsidRPr="007E41D0">
        <w:rPr>
          <w:rFonts w:ascii="Calibri" w:eastAsia="Times New Roman" w:hAnsi="Calibri"/>
          <w:lang w:eastAsia="en-US"/>
        </w:rPr>
        <w:t>Pursuant to Article 28 of the Financial Regulations, the External Auditor of the Union’s accounts is the supreme audit institution of Italy which has been appointed by Council at its 2011 session, in a manner decided by the Plenipotentiary Conference and for a four-year term. The audit was carried out in accordance with generally accepted common auditing standards and, subject to any special directions of the Council, in accordance with the Additional terms of reference governing external audit set out in Annex 1 to the Financial Regulations.</w:t>
      </w:r>
    </w:p>
    <w:p w:rsidR="007E41D0" w:rsidRPr="007E41D0" w:rsidRDefault="007E41D0" w:rsidP="00D93704">
      <w:pPr>
        <w:pStyle w:val="ListParagraph"/>
        <w:tabs>
          <w:tab w:val="left" w:pos="567"/>
        </w:tabs>
        <w:ind w:left="0"/>
        <w:jc w:val="both"/>
      </w:pPr>
    </w:p>
    <w:p w:rsidR="00375257" w:rsidRDefault="00375257" w:rsidP="00D93704">
      <w:pPr>
        <w:pStyle w:val="ListParagraph"/>
        <w:numPr>
          <w:ilvl w:val="0"/>
          <w:numId w:val="35"/>
        </w:numPr>
        <w:tabs>
          <w:tab w:val="left" w:pos="567"/>
        </w:tabs>
        <w:ind w:left="0" w:firstLine="0"/>
        <w:jc w:val="both"/>
        <w:rPr>
          <w:rFonts w:ascii="Calibri" w:eastAsia="Times New Roman" w:hAnsi="Calibri"/>
          <w:lang w:eastAsia="en-US"/>
        </w:rPr>
      </w:pPr>
      <w:r w:rsidRPr="002E36E6">
        <w:rPr>
          <w:rFonts w:ascii="Calibri" w:eastAsia="Times New Roman" w:hAnsi="Calibri"/>
          <w:lang w:eastAsia="en-US"/>
        </w:rPr>
        <w:t>Pursuant to the United Nations accounting standards, the information submitted for auditing is presented in the form of statements or tables.</w:t>
      </w:r>
    </w:p>
    <w:p w:rsidR="00371FC0" w:rsidRPr="00D402DA" w:rsidRDefault="00371FC0" w:rsidP="00D93704">
      <w:pPr>
        <w:spacing w:before="0"/>
      </w:pPr>
    </w:p>
    <w:p w:rsidR="00375257" w:rsidRPr="002E36E6" w:rsidRDefault="00375257" w:rsidP="00D93704">
      <w:pPr>
        <w:pStyle w:val="ListParagraph"/>
        <w:numPr>
          <w:ilvl w:val="0"/>
          <w:numId w:val="35"/>
        </w:numPr>
        <w:tabs>
          <w:tab w:val="left" w:pos="567"/>
        </w:tabs>
        <w:ind w:left="0" w:firstLine="0"/>
        <w:jc w:val="both"/>
        <w:rPr>
          <w:rFonts w:ascii="Calibri" w:eastAsia="Times New Roman" w:hAnsi="Calibri"/>
          <w:lang w:eastAsia="en-US"/>
        </w:rPr>
      </w:pPr>
      <w:r w:rsidRPr="002E36E6">
        <w:rPr>
          <w:rFonts w:ascii="Calibri" w:eastAsia="Times New Roman" w:hAnsi="Calibri"/>
          <w:lang w:eastAsia="en-US"/>
        </w:rPr>
        <w:t>The audited accounts are submitted to the Council for approval. They are accompanied by the reports of the External Auditor, who will be invited to introduce his reports at the relevant meeting of the Council</w:t>
      </w:r>
      <w:r w:rsidR="00106D57" w:rsidRPr="002E36E6">
        <w:rPr>
          <w:rFonts w:ascii="Calibri" w:eastAsia="Times New Roman" w:hAnsi="Calibri"/>
          <w:lang w:eastAsia="en-US"/>
        </w:rPr>
        <w:t>.</w:t>
      </w:r>
    </w:p>
    <w:p w:rsidR="000B07D0" w:rsidRPr="0046729C" w:rsidRDefault="0015643B" w:rsidP="00AD2E81">
      <w:pPr>
        <w:pStyle w:val="ListParagraph"/>
        <w:numPr>
          <w:ilvl w:val="0"/>
          <w:numId w:val="35"/>
        </w:numPr>
        <w:tabs>
          <w:tab w:val="left" w:pos="709"/>
          <w:tab w:val="left" w:pos="6237"/>
        </w:tabs>
        <w:snapToGrid w:val="0"/>
        <w:ind w:left="0" w:firstLine="0"/>
        <w:jc w:val="right"/>
        <w:rPr>
          <w:sz w:val="20"/>
        </w:rPr>
      </w:pPr>
      <w:r w:rsidRPr="0046189A">
        <w:rPr>
          <w:rFonts w:ascii="Calibri" w:eastAsia="Times New Roman" w:hAnsi="Calibri"/>
          <w:lang w:eastAsia="en-US"/>
        </w:rPr>
        <w:br w:type="page"/>
      </w:r>
    </w:p>
    <w:p w:rsidR="00FF654B" w:rsidRDefault="00FF654B" w:rsidP="00375257">
      <w:pPr>
        <w:jc w:val="both"/>
        <w:rPr>
          <w:sz w:val="22"/>
          <w:szCs w:val="22"/>
        </w:rPr>
      </w:pPr>
    </w:p>
    <w:p w:rsidR="002038A4" w:rsidRPr="00CE23DC" w:rsidRDefault="002038A4" w:rsidP="002D6C39">
      <w:pPr>
        <w:snapToGrid w:val="0"/>
        <w:spacing w:before="0"/>
        <w:jc w:val="both"/>
        <w:rPr>
          <w:sz w:val="16"/>
          <w:szCs w:val="16"/>
        </w:rPr>
      </w:pPr>
    </w:p>
    <w:p w:rsidR="00E0106C" w:rsidRPr="00E0106C" w:rsidRDefault="00E0106C" w:rsidP="00CE23DC">
      <w:pPr>
        <w:pStyle w:val="AnnexNo"/>
        <w:rPr>
          <w:w w:val="105"/>
          <w:lang w:val="en-US"/>
        </w:rPr>
      </w:pPr>
      <w:bookmarkStart w:id="145" w:name="_Toc357006005"/>
      <w:r w:rsidRPr="00E0106C">
        <w:rPr>
          <w:w w:val="105"/>
          <w:lang w:val="en-US"/>
        </w:rPr>
        <w:t>ANNEX A</w:t>
      </w:r>
      <w:bookmarkEnd w:id="145"/>
    </w:p>
    <w:p w:rsidR="00E0106C" w:rsidRPr="00E0106C" w:rsidRDefault="00E0106C" w:rsidP="00CE23DC">
      <w:pPr>
        <w:pStyle w:val="AnnexNo"/>
        <w:rPr>
          <w:lang w:val="en-US"/>
        </w:rPr>
      </w:pPr>
      <w:r w:rsidRPr="00E0106C">
        <w:rPr>
          <w:lang w:val="en-US"/>
        </w:rPr>
        <w:t>DRAFT RESOLUTION</w:t>
      </w:r>
    </w:p>
    <w:p w:rsidR="00E0106C" w:rsidRPr="00E0106C" w:rsidRDefault="00E0106C" w:rsidP="009F5BEE">
      <w:pPr>
        <w:pStyle w:val="Annextitle"/>
        <w:rPr>
          <w:lang w:val="en-US"/>
        </w:rPr>
      </w:pPr>
      <w:r w:rsidRPr="00E0106C">
        <w:rPr>
          <w:lang w:val="en-US"/>
        </w:rPr>
        <w:t>Financial operating report for the 201</w:t>
      </w:r>
      <w:r w:rsidR="009F5BEE">
        <w:rPr>
          <w:lang w:val="en-US"/>
        </w:rPr>
        <w:t>8</w:t>
      </w:r>
      <w:r w:rsidRPr="00E0106C">
        <w:rPr>
          <w:lang w:val="en-US"/>
        </w:rPr>
        <w:t xml:space="preserve"> financial year</w:t>
      </w:r>
    </w:p>
    <w:p w:rsidR="00E0106C" w:rsidRPr="00E0106C" w:rsidRDefault="00E0106C" w:rsidP="00CE23DC">
      <w:pPr>
        <w:pStyle w:val="Normalaftertitle"/>
        <w:rPr>
          <w:lang w:val="en-US"/>
        </w:rPr>
      </w:pPr>
      <w:r w:rsidRPr="00E0106C">
        <w:rPr>
          <w:lang w:val="en-US"/>
        </w:rPr>
        <w:t>The Council,</w:t>
      </w:r>
    </w:p>
    <w:p w:rsidR="00E0106C" w:rsidRPr="000A304A" w:rsidRDefault="00E0106C" w:rsidP="00F907D2">
      <w:pPr>
        <w:pStyle w:val="Call"/>
        <w:rPr>
          <w:lang w:val="en-US"/>
        </w:rPr>
      </w:pPr>
      <w:proofErr w:type="gramStart"/>
      <w:r w:rsidRPr="000A304A">
        <w:rPr>
          <w:lang w:val="en-US"/>
        </w:rPr>
        <w:t>in</w:t>
      </w:r>
      <w:proofErr w:type="gramEnd"/>
      <w:r w:rsidRPr="000A304A">
        <w:rPr>
          <w:lang w:val="en-US"/>
        </w:rPr>
        <w:t xml:space="preserve"> view of</w:t>
      </w:r>
    </w:p>
    <w:p w:rsidR="00E0106C" w:rsidRPr="000A304A" w:rsidRDefault="007C640D" w:rsidP="00CE23DC">
      <w:pPr>
        <w:rPr>
          <w:lang w:val="en-US"/>
        </w:rPr>
      </w:pPr>
      <w:hyperlink r:id="rId47" w:history="1">
        <w:r w:rsidR="00E0106C" w:rsidRPr="000A304A">
          <w:rPr>
            <w:color w:val="0000FF"/>
            <w:u w:val="single"/>
            <w:lang w:val="en-US"/>
          </w:rPr>
          <w:t>No. 101</w:t>
        </w:r>
      </w:hyperlink>
      <w:r w:rsidR="00E0106C" w:rsidRPr="000A304A">
        <w:rPr>
          <w:lang w:val="en-US"/>
        </w:rPr>
        <w:t xml:space="preserve"> of the Convention of the International Telecommunication Union and </w:t>
      </w:r>
      <w:hyperlink r:id="rId48" w:history="1">
        <w:r w:rsidR="00E0106C" w:rsidRPr="000A304A">
          <w:rPr>
            <w:color w:val="0000FF"/>
            <w:u w:val="single"/>
            <w:lang w:val="en-US"/>
          </w:rPr>
          <w:t>Article 30</w:t>
        </w:r>
      </w:hyperlink>
      <w:r w:rsidR="00E0106C" w:rsidRPr="000A304A">
        <w:rPr>
          <w:lang w:val="en-US"/>
        </w:rPr>
        <w:t xml:space="preserve"> of the Financial Regulations of the Union,</w:t>
      </w:r>
    </w:p>
    <w:p w:rsidR="00E0106C" w:rsidRPr="000A304A" w:rsidRDefault="00E0106C" w:rsidP="00F907D2">
      <w:pPr>
        <w:pStyle w:val="Call"/>
        <w:rPr>
          <w:lang w:val="en-US"/>
        </w:rPr>
      </w:pPr>
      <w:proofErr w:type="gramStart"/>
      <w:r w:rsidRPr="000A304A">
        <w:rPr>
          <w:lang w:val="en-US"/>
        </w:rPr>
        <w:t>having</w:t>
      </w:r>
      <w:proofErr w:type="gramEnd"/>
      <w:r w:rsidRPr="000A304A">
        <w:rPr>
          <w:lang w:val="en-US"/>
        </w:rPr>
        <w:t xml:space="preserve"> examined</w:t>
      </w:r>
    </w:p>
    <w:p w:rsidR="00E0106C" w:rsidRPr="000A304A" w:rsidRDefault="00E0106C" w:rsidP="00396439">
      <w:pPr>
        <w:rPr>
          <w:lang w:val="en-US"/>
        </w:rPr>
      </w:pPr>
      <w:r w:rsidRPr="000A304A">
        <w:rPr>
          <w:lang w:val="en-US"/>
        </w:rPr>
        <w:t>the financial operating report for the 201</w:t>
      </w:r>
      <w:r w:rsidR="009F5BEE" w:rsidRPr="000A304A">
        <w:rPr>
          <w:lang w:val="en-US"/>
        </w:rPr>
        <w:t>8</w:t>
      </w:r>
      <w:r w:rsidRPr="000A304A">
        <w:rPr>
          <w:lang w:val="en-US"/>
        </w:rPr>
        <w:t xml:space="preserve"> financial year, covering the audited accounts for the 201</w:t>
      </w:r>
      <w:r w:rsidR="009F5BEE" w:rsidRPr="000A304A">
        <w:rPr>
          <w:lang w:val="en-US"/>
        </w:rPr>
        <w:t>8</w:t>
      </w:r>
      <w:r w:rsidRPr="000A304A">
        <w:rPr>
          <w:lang w:val="en-US"/>
        </w:rPr>
        <w:t xml:space="preserve"> financial year of the budget of the Union, the situation of the ITU TELECOM 201</w:t>
      </w:r>
      <w:r w:rsidR="009F5BEE" w:rsidRPr="000A304A">
        <w:rPr>
          <w:lang w:val="en-US"/>
        </w:rPr>
        <w:t>8</w:t>
      </w:r>
      <w:r w:rsidRPr="000A304A">
        <w:rPr>
          <w:lang w:val="en-US"/>
        </w:rPr>
        <w:t xml:space="preserve"> accounts and the audited 201</w:t>
      </w:r>
      <w:r w:rsidR="009F5BEE" w:rsidRPr="000A304A">
        <w:rPr>
          <w:lang w:val="en-US"/>
        </w:rPr>
        <w:t>8</w:t>
      </w:r>
      <w:r w:rsidRPr="000A304A">
        <w:rPr>
          <w:lang w:val="en-US"/>
        </w:rPr>
        <w:t xml:space="preserve"> accounts for technical cooperation projects, voluntary contributions and the ITU Staff Superannuation and Benevolent Funds,</w:t>
      </w:r>
    </w:p>
    <w:p w:rsidR="00E0106C" w:rsidRPr="000A304A" w:rsidRDefault="00E0106C" w:rsidP="00F907D2">
      <w:pPr>
        <w:pStyle w:val="Call"/>
        <w:rPr>
          <w:lang w:val="en-US"/>
        </w:rPr>
      </w:pPr>
      <w:proofErr w:type="gramStart"/>
      <w:r w:rsidRPr="000A304A">
        <w:rPr>
          <w:lang w:val="en-US"/>
        </w:rPr>
        <w:t>having</w:t>
      </w:r>
      <w:proofErr w:type="gramEnd"/>
      <w:r w:rsidRPr="000A304A">
        <w:rPr>
          <w:lang w:val="en-US"/>
        </w:rPr>
        <w:t xml:space="preserve"> noted</w:t>
      </w:r>
    </w:p>
    <w:p w:rsidR="00E0106C" w:rsidRPr="000A304A" w:rsidRDefault="00E0106C" w:rsidP="009F5BEE">
      <w:pPr>
        <w:rPr>
          <w:color w:val="0000FF"/>
          <w:u w:val="single"/>
          <w:lang w:val="en-US"/>
        </w:rPr>
      </w:pPr>
      <w:proofErr w:type="gramStart"/>
      <w:r w:rsidRPr="000A304A">
        <w:rPr>
          <w:lang w:val="en-US"/>
        </w:rPr>
        <w:t>that</w:t>
      </w:r>
      <w:proofErr w:type="gramEnd"/>
      <w:r w:rsidRPr="000A304A">
        <w:rPr>
          <w:lang w:val="en-US"/>
        </w:rPr>
        <w:t xml:space="preserve"> the External Auditor's reports are set out in </w:t>
      </w:r>
      <w:r w:rsidRPr="000A304A">
        <w:rPr>
          <w:lang w:val="en-US"/>
        </w:rPr>
        <w:fldChar w:fldCharType="begin"/>
      </w:r>
      <w:r w:rsidR="00345ACF" w:rsidRPr="000A304A">
        <w:rPr>
          <w:lang w:val="en-US"/>
        </w:rPr>
        <w:instrText>HYPERLINK "http://www.itu.int/md/S19-CL-C-0040/en"</w:instrText>
      </w:r>
      <w:r w:rsidRPr="000A304A">
        <w:rPr>
          <w:lang w:val="en-US"/>
        </w:rPr>
        <w:fldChar w:fldCharType="separate"/>
      </w:r>
      <w:r w:rsidRPr="000A304A">
        <w:rPr>
          <w:color w:val="0000FF"/>
          <w:u w:val="single"/>
          <w:lang w:val="en-US"/>
        </w:rPr>
        <w:t>Document C1</w:t>
      </w:r>
      <w:r w:rsidR="009F5BEE" w:rsidRPr="000A304A">
        <w:rPr>
          <w:color w:val="0000FF"/>
          <w:u w:val="single"/>
          <w:lang w:val="en-US"/>
        </w:rPr>
        <w:t>9</w:t>
      </w:r>
      <w:r w:rsidRPr="000A304A">
        <w:rPr>
          <w:color w:val="0000FF"/>
          <w:u w:val="single"/>
          <w:lang w:val="en-US"/>
        </w:rPr>
        <w:t>/40,</w:t>
      </w:r>
    </w:p>
    <w:p w:rsidR="00E0106C" w:rsidRPr="000A304A" w:rsidRDefault="00E0106C" w:rsidP="00F907D2">
      <w:pPr>
        <w:pStyle w:val="Call"/>
        <w:rPr>
          <w:lang w:val="en-US"/>
        </w:rPr>
      </w:pPr>
      <w:r w:rsidRPr="000A304A">
        <w:rPr>
          <w:lang w:val="en-US"/>
        </w:rPr>
        <w:fldChar w:fldCharType="end"/>
      </w:r>
      <w:proofErr w:type="gramStart"/>
      <w:r w:rsidRPr="000A304A">
        <w:rPr>
          <w:lang w:val="en-US"/>
        </w:rPr>
        <w:t>resolves</w:t>
      </w:r>
      <w:proofErr w:type="gramEnd"/>
    </w:p>
    <w:p w:rsidR="00E0106C" w:rsidRPr="00E0106C" w:rsidRDefault="00E0106C" w:rsidP="00664C9A">
      <w:pPr>
        <w:rPr>
          <w:lang w:val="en-US"/>
        </w:rPr>
      </w:pPr>
      <w:proofErr w:type="gramStart"/>
      <w:r w:rsidRPr="000A304A">
        <w:rPr>
          <w:lang w:val="en-US"/>
        </w:rPr>
        <w:t>to</w:t>
      </w:r>
      <w:proofErr w:type="gramEnd"/>
      <w:r w:rsidRPr="000A304A">
        <w:rPr>
          <w:lang w:val="en-US"/>
        </w:rPr>
        <w:t xml:space="preserve"> approve the financial operating report for the 201</w:t>
      </w:r>
      <w:r w:rsidR="009F5BEE" w:rsidRPr="000A304A">
        <w:rPr>
          <w:lang w:val="en-US"/>
        </w:rPr>
        <w:t>8</w:t>
      </w:r>
      <w:r w:rsidRPr="000A304A">
        <w:rPr>
          <w:lang w:val="en-US"/>
        </w:rPr>
        <w:t xml:space="preserve"> financial year </w:t>
      </w:r>
      <w:r w:rsidR="007E2407" w:rsidRPr="000A304A">
        <w:rPr>
          <w:lang w:val="en-US"/>
        </w:rPr>
        <w:t>(</w:t>
      </w:r>
      <w:hyperlink r:id="rId49" w:history="1">
        <w:r w:rsidR="007E2407" w:rsidRPr="000A304A">
          <w:rPr>
            <w:rStyle w:val="Hyperlink"/>
            <w:lang w:val="en-US"/>
          </w:rPr>
          <w:t>Document C1</w:t>
        </w:r>
        <w:r w:rsidR="00664C9A" w:rsidRPr="000A304A">
          <w:rPr>
            <w:rStyle w:val="Hyperlink"/>
            <w:lang w:val="en-US"/>
          </w:rPr>
          <w:t>9</w:t>
        </w:r>
        <w:r w:rsidR="007E2407" w:rsidRPr="000A304A">
          <w:rPr>
            <w:rStyle w:val="Hyperlink"/>
            <w:lang w:val="en-US"/>
          </w:rPr>
          <w:t>/4</w:t>
        </w:r>
        <w:r w:rsidR="00664C9A" w:rsidRPr="000A304A">
          <w:rPr>
            <w:rStyle w:val="Hyperlink"/>
            <w:lang w:val="en-US"/>
          </w:rPr>
          <w:t>2</w:t>
        </w:r>
      </w:hyperlink>
      <w:r w:rsidR="007E2407" w:rsidRPr="000A304A">
        <w:rPr>
          <w:lang w:val="en-US"/>
        </w:rPr>
        <w:t xml:space="preserve">), </w:t>
      </w:r>
      <w:r w:rsidRPr="000A304A">
        <w:rPr>
          <w:lang w:val="en-US"/>
        </w:rPr>
        <w:t>covering the audited accounts of the Union, the situation of the ITU TELECOM 201</w:t>
      </w:r>
      <w:r w:rsidR="009F5BEE" w:rsidRPr="000A304A">
        <w:rPr>
          <w:lang w:val="en-US"/>
        </w:rPr>
        <w:t>8</w:t>
      </w:r>
      <w:r w:rsidRPr="000A304A">
        <w:rPr>
          <w:lang w:val="en-US"/>
        </w:rPr>
        <w:t xml:space="preserve"> accounts and the 201</w:t>
      </w:r>
      <w:r w:rsidR="009F5BEE" w:rsidRPr="000A304A">
        <w:rPr>
          <w:lang w:val="en-US"/>
        </w:rPr>
        <w:t>8</w:t>
      </w:r>
      <w:r w:rsidRPr="000A304A">
        <w:rPr>
          <w:lang w:val="en-US"/>
        </w:rPr>
        <w:t> audited accounts for technical cooperation projects, voluntary contributions and the ITU</w:t>
      </w:r>
      <w:r w:rsidRPr="00E0106C">
        <w:rPr>
          <w:lang w:val="en-US"/>
        </w:rPr>
        <w:t xml:space="preserve"> Staff Superannuation and Benevolent Funds.</w:t>
      </w:r>
    </w:p>
    <w:p w:rsidR="004E6E17" w:rsidRDefault="004E6E17">
      <w:pPr>
        <w:tabs>
          <w:tab w:val="clear" w:pos="567"/>
          <w:tab w:val="clear" w:pos="1134"/>
          <w:tab w:val="clear" w:pos="1701"/>
          <w:tab w:val="clear" w:pos="2268"/>
          <w:tab w:val="clear" w:pos="2835"/>
        </w:tabs>
        <w:overflowPunct/>
        <w:autoSpaceDE/>
        <w:autoSpaceDN/>
        <w:adjustRightInd/>
        <w:spacing w:before="0"/>
        <w:textAlignment w:val="auto"/>
        <w:rPr>
          <w:bCs/>
          <w:w w:val="105"/>
          <w:sz w:val="28"/>
          <w:szCs w:val="28"/>
          <w:lang w:val="en-US"/>
        </w:rPr>
      </w:pPr>
      <w:r>
        <w:rPr>
          <w:b/>
          <w:bCs/>
          <w:w w:val="105"/>
          <w:sz w:val="28"/>
          <w:szCs w:val="28"/>
          <w:lang w:val="en-US"/>
        </w:rPr>
        <w:br w:type="page"/>
      </w:r>
    </w:p>
    <w:p w:rsidR="00860C6B" w:rsidRDefault="00860C6B" w:rsidP="008A0416">
      <w:pPr>
        <w:pStyle w:val="Heading9"/>
        <w:snapToGrid w:val="0"/>
        <w:spacing w:before="0"/>
        <w:jc w:val="center"/>
        <w:rPr>
          <w:b w:val="0"/>
          <w:bCs/>
          <w:w w:val="105"/>
          <w:sz w:val="28"/>
          <w:szCs w:val="28"/>
          <w:lang w:val="en-US"/>
        </w:rPr>
      </w:pPr>
      <w:r>
        <w:rPr>
          <w:b w:val="0"/>
          <w:bCs/>
          <w:w w:val="105"/>
          <w:sz w:val="28"/>
          <w:szCs w:val="28"/>
          <w:lang w:val="en-US"/>
        </w:rPr>
        <w:t xml:space="preserve">ANNEX </w:t>
      </w:r>
      <w:r w:rsidR="008A0416">
        <w:rPr>
          <w:b w:val="0"/>
          <w:bCs/>
          <w:w w:val="105"/>
          <w:sz w:val="28"/>
          <w:szCs w:val="28"/>
          <w:lang w:val="en-US"/>
        </w:rPr>
        <w:t>B</w:t>
      </w:r>
      <w:r>
        <w:rPr>
          <w:b w:val="0"/>
          <w:bCs/>
          <w:w w:val="105"/>
          <w:sz w:val="28"/>
          <w:szCs w:val="28"/>
          <w:lang w:val="en-US"/>
        </w:rPr>
        <w:t>1</w:t>
      </w:r>
    </w:p>
    <w:p w:rsidR="00860C6B" w:rsidRDefault="00860C6B" w:rsidP="002502E2">
      <w:pPr>
        <w:snapToGrid w:val="0"/>
        <w:spacing w:after="120"/>
        <w:jc w:val="center"/>
        <w:rPr>
          <w:b/>
          <w:bCs/>
          <w:sz w:val="28"/>
          <w:szCs w:val="28"/>
          <w:lang w:val="en-US"/>
        </w:rPr>
      </w:pPr>
      <w:r w:rsidRPr="002502E2">
        <w:rPr>
          <w:b/>
          <w:bCs/>
          <w:sz w:val="28"/>
          <w:szCs w:val="28"/>
          <w:lang w:val="en-US"/>
        </w:rPr>
        <w:t>Regular Budget</w:t>
      </w:r>
    </w:p>
    <w:p w:rsidR="00071109" w:rsidRDefault="00071109" w:rsidP="002502E2">
      <w:pPr>
        <w:snapToGrid w:val="0"/>
        <w:spacing w:after="120"/>
        <w:jc w:val="center"/>
        <w:rPr>
          <w:b/>
          <w:bCs/>
          <w:sz w:val="28"/>
          <w:szCs w:val="28"/>
          <w:lang w:val="en-US"/>
        </w:rPr>
      </w:pPr>
    </w:p>
    <w:tbl>
      <w:tblPr>
        <w:tblW w:w="5223" w:type="pct"/>
        <w:tblInd w:w="-431" w:type="dxa"/>
        <w:tblLayout w:type="fixed"/>
        <w:tblLook w:val="04A0" w:firstRow="1" w:lastRow="0" w:firstColumn="1" w:lastColumn="0" w:noHBand="0" w:noVBand="1"/>
      </w:tblPr>
      <w:tblGrid>
        <w:gridCol w:w="2696"/>
        <w:gridCol w:w="1274"/>
        <w:gridCol w:w="1135"/>
        <w:gridCol w:w="1133"/>
        <w:gridCol w:w="288"/>
        <w:gridCol w:w="1276"/>
        <w:gridCol w:w="1129"/>
        <w:gridCol w:w="6"/>
        <w:gridCol w:w="1270"/>
      </w:tblGrid>
      <w:tr w:rsidR="0006469C" w:rsidRPr="00071109" w:rsidTr="0006469C">
        <w:trPr>
          <w:trHeight w:val="300"/>
        </w:trPr>
        <w:tc>
          <w:tcPr>
            <w:tcW w:w="13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Revenue</w:t>
            </w:r>
          </w:p>
        </w:tc>
        <w:tc>
          <w:tcPr>
            <w:tcW w:w="2501" w:type="pct"/>
            <w:gridSpan w:val="5"/>
            <w:tcBorders>
              <w:top w:val="single" w:sz="4" w:space="0" w:color="auto"/>
              <w:left w:val="nil"/>
              <w:bottom w:val="single" w:sz="4" w:space="0" w:color="auto"/>
              <w:right w:val="single" w:sz="4" w:space="0" w:color="000000"/>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Budgeted amounts</w:t>
            </w:r>
          </w:p>
        </w:tc>
        <w:tc>
          <w:tcPr>
            <w:tcW w:w="55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Actual amounts </w:t>
            </w:r>
          </w:p>
        </w:tc>
        <w:tc>
          <w:tcPr>
            <w:tcW w:w="6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Difference between final budget and actual amounts</w:t>
            </w:r>
          </w:p>
        </w:tc>
      </w:tr>
      <w:tr w:rsidR="0006469C" w:rsidRPr="00071109" w:rsidTr="0006469C">
        <w:trPr>
          <w:trHeight w:val="450"/>
        </w:trPr>
        <w:tc>
          <w:tcPr>
            <w:tcW w:w="1321" w:type="pct"/>
            <w:vMerge/>
            <w:tcBorders>
              <w:top w:val="single" w:sz="4" w:space="0" w:color="auto"/>
              <w:left w:val="single" w:sz="4" w:space="0" w:color="auto"/>
              <w:bottom w:val="single" w:sz="4" w:space="0" w:color="000000"/>
              <w:right w:val="single" w:sz="4" w:space="0" w:color="auto"/>
            </w:tcBorders>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p>
        </w:tc>
        <w:tc>
          <w:tcPr>
            <w:tcW w:w="624" w:type="pct"/>
            <w:tcBorders>
              <w:top w:val="nil"/>
              <w:left w:val="nil"/>
              <w:bottom w:val="single" w:sz="4" w:space="0" w:color="auto"/>
              <w:right w:val="single" w:sz="4" w:space="0" w:color="auto"/>
            </w:tcBorders>
            <w:shd w:val="clear" w:color="auto" w:fill="auto"/>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Initial Budget</w:t>
            </w:r>
          </w:p>
        </w:tc>
        <w:tc>
          <w:tcPr>
            <w:tcW w:w="556" w:type="pct"/>
            <w:tcBorders>
              <w:top w:val="nil"/>
              <w:left w:val="nil"/>
              <w:bottom w:val="single" w:sz="4" w:space="0" w:color="auto"/>
              <w:right w:val="nil"/>
            </w:tcBorders>
            <w:shd w:val="clear" w:color="auto" w:fill="auto"/>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Deferred Activity</w:t>
            </w:r>
          </w:p>
        </w:tc>
        <w:tc>
          <w:tcPr>
            <w:tcW w:w="696" w:type="pct"/>
            <w:gridSpan w:val="2"/>
            <w:tcBorders>
              <w:top w:val="nil"/>
              <w:left w:val="nil"/>
              <w:bottom w:val="single" w:sz="4" w:space="0" w:color="auto"/>
              <w:right w:val="nil"/>
            </w:tcBorders>
            <w:shd w:val="clear" w:color="auto" w:fill="auto"/>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Budget transfers</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Final budget</w:t>
            </w:r>
          </w:p>
        </w:tc>
        <w:tc>
          <w:tcPr>
            <w:tcW w:w="556" w:type="pct"/>
            <w:gridSpan w:val="2"/>
            <w:vMerge/>
            <w:tcBorders>
              <w:top w:val="single" w:sz="4" w:space="0" w:color="auto"/>
              <w:left w:val="single" w:sz="4" w:space="0" w:color="auto"/>
              <w:bottom w:val="single" w:sz="4" w:space="0" w:color="000000"/>
              <w:right w:val="single" w:sz="4" w:space="0" w:color="auto"/>
            </w:tcBorders>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p>
        </w:tc>
        <w:tc>
          <w:tcPr>
            <w:tcW w:w="622" w:type="pct"/>
            <w:vMerge/>
            <w:tcBorders>
              <w:top w:val="single" w:sz="4" w:space="0" w:color="auto"/>
              <w:left w:val="single" w:sz="4" w:space="0" w:color="auto"/>
              <w:bottom w:val="single" w:sz="4" w:space="0" w:color="000000"/>
              <w:right w:val="single" w:sz="4" w:space="0" w:color="auto"/>
            </w:tcBorders>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p>
        </w:tc>
      </w:tr>
      <w:tr w:rsidR="0006469C" w:rsidRPr="00071109" w:rsidTr="0006469C">
        <w:trPr>
          <w:trHeight w:val="300"/>
        </w:trPr>
        <w:tc>
          <w:tcPr>
            <w:tcW w:w="1321" w:type="pct"/>
            <w:vMerge/>
            <w:tcBorders>
              <w:top w:val="single" w:sz="4" w:space="0" w:color="auto"/>
              <w:left w:val="single" w:sz="4" w:space="0" w:color="auto"/>
              <w:bottom w:val="single" w:sz="4" w:space="0" w:color="000000"/>
              <w:right w:val="single" w:sz="4" w:space="0" w:color="auto"/>
            </w:tcBorders>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p>
        </w:tc>
        <w:tc>
          <w:tcPr>
            <w:tcW w:w="624" w:type="pct"/>
            <w:tcBorders>
              <w:top w:val="nil"/>
              <w:left w:val="nil"/>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31.12.2018 </w:t>
            </w:r>
          </w:p>
        </w:tc>
        <w:tc>
          <w:tcPr>
            <w:tcW w:w="556" w:type="pct"/>
            <w:tcBorders>
              <w:top w:val="nil"/>
              <w:left w:val="nil"/>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31.12.2018 </w:t>
            </w:r>
          </w:p>
        </w:tc>
        <w:tc>
          <w:tcPr>
            <w:tcW w:w="696" w:type="pct"/>
            <w:gridSpan w:val="2"/>
            <w:tcBorders>
              <w:top w:val="nil"/>
              <w:left w:val="nil"/>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31.12.2018 </w:t>
            </w:r>
          </w:p>
        </w:tc>
        <w:tc>
          <w:tcPr>
            <w:tcW w:w="625" w:type="pct"/>
            <w:tcBorders>
              <w:top w:val="nil"/>
              <w:left w:val="nil"/>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31.12.2018 </w:t>
            </w:r>
          </w:p>
        </w:tc>
        <w:tc>
          <w:tcPr>
            <w:tcW w:w="556" w:type="pct"/>
            <w:gridSpan w:val="2"/>
            <w:tcBorders>
              <w:top w:val="nil"/>
              <w:left w:val="nil"/>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31.12.2018 </w:t>
            </w:r>
          </w:p>
        </w:tc>
        <w:tc>
          <w:tcPr>
            <w:tcW w:w="622" w:type="pct"/>
            <w:tcBorders>
              <w:top w:val="nil"/>
              <w:left w:val="nil"/>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31.12.2018 </w:t>
            </w:r>
          </w:p>
        </w:tc>
      </w:tr>
      <w:tr w:rsidR="0006469C" w:rsidRPr="00071109" w:rsidTr="0006469C">
        <w:trPr>
          <w:trHeight w:val="300"/>
        </w:trPr>
        <w:tc>
          <w:tcPr>
            <w:tcW w:w="1321" w:type="pct"/>
            <w:tcBorders>
              <w:top w:val="nil"/>
              <w:left w:val="single" w:sz="4" w:space="0" w:color="auto"/>
              <w:bottom w:val="nil"/>
              <w:right w:val="nil"/>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624" w:type="pct"/>
            <w:tcBorders>
              <w:top w:val="nil"/>
              <w:left w:val="single" w:sz="4" w:space="0" w:color="auto"/>
              <w:bottom w:val="nil"/>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556" w:type="pct"/>
            <w:tcBorders>
              <w:top w:val="nil"/>
              <w:left w:val="nil"/>
              <w:bottom w:val="nil"/>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696" w:type="pct"/>
            <w:gridSpan w:val="2"/>
            <w:tcBorders>
              <w:top w:val="nil"/>
              <w:left w:val="nil"/>
              <w:bottom w:val="nil"/>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625" w:type="pct"/>
            <w:tcBorders>
              <w:top w:val="nil"/>
              <w:left w:val="nil"/>
              <w:bottom w:val="nil"/>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556" w:type="pct"/>
            <w:gridSpan w:val="2"/>
            <w:tcBorders>
              <w:top w:val="nil"/>
              <w:left w:val="nil"/>
              <w:bottom w:val="nil"/>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622" w:type="pct"/>
            <w:tcBorders>
              <w:top w:val="nil"/>
              <w:left w:val="nil"/>
              <w:bottom w:val="nil"/>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r>
      <w:tr w:rsidR="0006469C" w:rsidRPr="00071109" w:rsidTr="0006469C">
        <w:trPr>
          <w:trHeight w:val="300"/>
        </w:trPr>
        <w:tc>
          <w:tcPr>
            <w:tcW w:w="1321" w:type="pct"/>
            <w:tcBorders>
              <w:top w:val="nil"/>
              <w:left w:val="single" w:sz="4" w:space="0" w:color="auto"/>
              <w:bottom w:val="nil"/>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Assessed contributions Member States</w:t>
            </w:r>
          </w:p>
        </w:tc>
        <w:tc>
          <w:tcPr>
            <w:tcW w:w="624" w:type="pct"/>
            <w:tcBorders>
              <w:top w:val="nil"/>
              <w:left w:val="single" w:sz="4" w:space="0" w:color="auto"/>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w:t>
            </w:r>
            <w:r>
              <w:rPr>
                <w:rFonts w:ascii="Arial" w:hAnsi="Arial" w:cs="Arial"/>
                <w:i/>
                <w:iCs/>
                <w:color w:val="000000"/>
                <w:sz w:val="16"/>
                <w:szCs w:val="16"/>
                <w:lang w:val="en-US" w:eastAsia="zh-CN"/>
              </w:rPr>
              <w:t>106</w:t>
            </w:r>
            <w:r w:rsidRPr="00071109">
              <w:rPr>
                <w:rFonts w:ascii="Arial" w:hAnsi="Arial" w:cs="Arial"/>
                <w:i/>
                <w:iCs/>
                <w:color w:val="000000"/>
                <w:sz w:val="16"/>
                <w:szCs w:val="16"/>
                <w:lang w:val="en-US" w:eastAsia="zh-CN"/>
              </w:rPr>
              <w:t xml:space="preserve">,371 </w:t>
            </w:r>
          </w:p>
        </w:tc>
        <w:tc>
          <w:tcPr>
            <w:tcW w:w="556" w:type="pct"/>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96" w:type="pct"/>
            <w:gridSpan w:val="2"/>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25" w:type="pct"/>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106,371 </w:t>
            </w:r>
          </w:p>
        </w:tc>
        <w:tc>
          <w:tcPr>
            <w:tcW w:w="556" w:type="pct"/>
            <w:gridSpan w:val="2"/>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108,597 </w:t>
            </w:r>
          </w:p>
        </w:tc>
        <w:tc>
          <w:tcPr>
            <w:tcW w:w="622" w:type="pct"/>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2,226 </w:t>
            </w:r>
          </w:p>
        </w:tc>
      </w:tr>
      <w:tr w:rsidR="0006469C" w:rsidRPr="00071109" w:rsidTr="0006469C">
        <w:trPr>
          <w:trHeight w:val="300"/>
        </w:trPr>
        <w:tc>
          <w:tcPr>
            <w:tcW w:w="1321" w:type="pct"/>
            <w:tcBorders>
              <w:top w:val="nil"/>
              <w:left w:val="single" w:sz="4" w:space="0" w:color="auto"/>
              <w:bottom w:val="nil"/>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Assessed contributions Sector Members</w:t>
            </w:r>
          </w:p>
        </w:tc>
        <w:tc>
          <w:tcPr>
            <w:tcW w:w="624" w:type="pct"/>
            <w:tcBorders>
              <w:top w:val="nil"/>
              <w:left w:val="single" w:sz="4" w:space="0" w:color="auto"/>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15,875 </w:t>
            </w:r>
          </w:p>
        </w:tc>
        <w:tc>
          <w:tcPr>
            <w:tcW w:w="556" w:type="pct"/>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96" w:type="pct"/>
            <w:gridSpan w:val="2"/>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25" w:type="pct"/>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15,875 </w:t>
            </w:r>
          </w:p>
        </w:tc>
        <w:tc>
          <w:tcPr>
            <w:tcW w:w="556" w:type="pct"/>
            <w:gridSpan w:val="2"/>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14,219 </w:t>
            </w:r>
          </w:p>
        </w:tc>
        <w:tc>
          <w:tcPr>
            <w:tcW w:w="622" w:type="pct"/>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-1,656 </w:t>
            </w:r>
          </w:p>
        </w:tc>
      </w:tr>
      <w:tr w:rsidR="0006469C" w:rsidRPr="00071109" w:rsidTr="0006469C">
        <w:trPr>
          <w:trHeight w:val="300"/>
        </w:trPr>
        <w:tc>
          <w:tcPr>
            <w:tcW w:w="1321" w:type="pct"/>
            <w:tcBorders>
              <w:top w:val="nil"/>
              <w:left w:val="single" w:sz="4" w:space="0" w:color="auto"/>
              <w:bottom w:val="nil"/>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Assessed contributions Associates</w:t>
            </w:r>
          </w:p>
        </w:tc>
        <w:tc>
          <w:tcPr>
            <w:tcW w:w="624" w:type="pct"/>
            <w:tcBorders>
              <w:top w:val="nil"/>
              <w:left w:val="single" w:sz="4" w:space="0" w:color="auto"/>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1,955 </w:t>
            </w:r>
          </w:p>
        </w:tc>
        <w:tc>
          <w:tcPr>
            <w:tcW w:w="556" w:type="pct"/>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96" w:type="pct"/>
            <w:gridSpan w:val="2"/>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25" w:type="pct"/>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1,955 </w:t>
            </w:r>
          </w:p>
        </w:tc>
        <w:tc>
          <w:tcPr>
            <w:tcW w:w="556" w:type="pct"/>
            <w:gridSpan w:val="2"/>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1,787 </w:t>
            </w:r>
          </w:p>
        </w:tc>
        <w:tc>
          <w:tcPr>
            <w:tcW w:w="622" w:type="pct"/>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-168 </w:t>
            </w:r>
          </w:p>
        </w:tc>
      </w:tr>
      <w:tr w:rsidR="0006469C" w:rsidRPr="00071109" w:rsidTr="0006469C">
        <w:trPr>
          <w:trHeight w:val="300"/>
        </w:trPr>
        <w:tc>
          <w:tcPr>
            <w:tcW w:w="1321" w:type="pct"/>
            <w:tcBorders>
              <w:top w:val="nil"/>
              <w:left w:val="single" w:sz="4" w:space="0" w:color="auto"/>
              <w:bottom w:val="nil"/>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Assessed contributions Academia</w:t>
            </w:r>
          </w:p>
        </w:tc>
        <w:tc>
          <w:tcPr>
            <w:tcW w:w="624" w:type="pct"/>
            <w:tcBorders>
              <w:top w:val="nil"/>
              <w:left w:val="single" w:sz="4" w:space="0" w:color="auto"/>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200 </w:t>
            </w:r>
          </w:p>
        </w:tc>
        <w:tc>
          <w:tcPr>
            <w:tcW w:w="556" w:type="pct"/>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96" w:type="pct"/>
            <w:gridSpan w:val="2"/>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25" w:type="pct"/>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200 </w:t>
            </w:r>
          </w:p>
        </w:tc>
        <w:tc>
          <w:tcPr>
            <w:tcW w:w="556" w:type="pct"/>
            <w:gridSpan w:val="2"/>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358 </w:t>
            </w:r>
          </w:p>
        </w:tc>
        <w:tc>
          <w:tcPr>
            <w:tcW w:w="622" w:type="pct"/>
            <w:tcBorders>
              <w:top w:val="nil"/>
              <w:left w:val="nil"/>
              <w:bottom w:val="nil"/>
              <w:right w:val="single" w:sz="4" w:space="0" w:color="auto"/>
            </w:tcBorders>
            <w:shd w:val="clear" w:color="auto" w:fill="auto"/>
            <w:noWrap/>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158 </w:t>
            </w:r>
          </w:p>
        </w:tc>
      </w:tr>
      <w:tr w:rsidR="0006469C" w:rsidRPr="00071109" w:rsidTr="0006469C">
        <w:trPr>
          <w:trHeight w:val="300"/>
        </w:trPr>
        <w:tc>
          <w:tcPr>
            <w:tcW w:w="1321" w:type="pct"/>
            <w:tcBorders>
              <w:top w:val="nil"/>
              <w:left w:val="single" w:sz="4" w:space="0" w:color="auto"/>
              <w:bottom w:val="nil"/>
              <w:right w:val="nil"/>
            </w:tcBorders>
            <w:shd w:val="clear" w:color="auto" w:fill="auto"/>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Conferences contributions</w:t>
            </w:r>
          </w:p>
        </w:tc>
        <w:tc>
          <w:tcPr>
            <w:tcW w:w="624" w:type="pct"/>
            <w:tcBorders>
              <w:top w:val="nil"/>
              <w:left w:val="single" w:sz="4" w:space="0" w:color="auto"/>
              <w:bottom w:val="nil"/>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556" w:type="pct"/>
            <w:tcBorders>
              <w:top w:val="nil"/>
              <w:left w:val="nil"/>
              <w:bottom w:val="nil"/>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96" w:type="pct"/>
            <w:gridSpan w:val="2"/>
            <w:tcBorders>
              <w:top w:val="nil"/>
              <w:left w:val="nil"/>
              <w:bottom w:val="nil"/>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25" w:type="pct"/>
            <w:tcBorders>
              <w:top w:val="nil"/>
              <w:left w:val="nil"/>
              <w:bottom w:val="nil"/>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556" w:type="pct"/>
            <w:gridSpan w:val="2"/>
            <w:tcBorders>
              <w:top w:val="nil"/>
              <w:left w:val="nil"/>
              <w:bottom w:val="nil"/>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230 </w:t>
            </w:r>
          </w:p>
        </w:tc>
        <w:tc>
          <w:tcPr>
            <w:tcW w:w="622" w:type="pct"/>
            <w:tcBorders>
              <w:top w:val="nil"/>
              <w:left w:val="nil"/>
              <w:bottom w:val="nil"/>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790</w:t>
            </w:r>
            <w:r w:rsidRPr="00071109">
              <w:rPr>
                <w:rFonts w:ascii="Arial" w:hAnsi="Arial" w:cs="Arial"/>
                <w:i/>
                <w:iCs/>
                <w:color w:val="000000"/>
                <w:sz w:val="16"/>
                <w:szCs w:val="16"/>
                <w:lang w:val="en-US" w:eastAsia="zh-CN"/>
              </w:rPr>
              <w:t> </w:t>
            </w:r>
          </w:p>
        </w:tc>
      </w:tr>
      <w:tr w:rsidR="0006469C" w:rsidRPr="00071109" w:rsidTr="0006469C">
        <w:trPr>
          <w:trHeight w:val="300"/>
        </w:trPr>
        <w:tc>
          <w:tcPr>
            <w:tcW w:w="1321" w:type="pct"/>
            <w:tcBorders>
              <w:top w:val="single" w:sz="4" w:space="0" w:color="auto"/>
              <w:left w:val="single" w:sz="4" w:space="0" w:color="auto"/>
              <w:bottom w:val="single" w:sz="4" w:space="0" w:color="auto"/>
              <w:right w:val="nil"/>
            </w:tcBorders>
            <w:shd w:val="clear" w:color="auto" w:fill="auto"/>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Assessed contributions</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124,401 </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w:t>
            </w:r>
          </w:p>
        </w:tc>
        <w:tc>
          <w:tcPr>
            <w:tcW w:w="696" w:type="pct"/>
            <w:gridSpan w:val="2"/>
            <w:tcBorders>
              <w:top w:val="single" w:sz="4" w:space="0" w:color="auto"/>
              <w:left w:val="nil"/>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124,401 </w:t>
            </w:r>
          </w:p>
        </w:tc>
        <w:tc>
          <w:tcPr>
            <w:tcW w:w="556" w:type="pct"/>
            <w:gridSpan w:val="2"/>
            <w:tcBorders>
              <w:top w:val="single" w:sz="4" w:space="0" w:color="auto"/>
              <w:left w:val="nil"/>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125,191 </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790 </w:t>
            </w:r>
          </w:p>
        </w:tc>
      </w:tr>
      <w:tr w:rsidR="0006469C" w:rsidRPr="00071109" w:rsidTr="0006469C">
        <w:trPr>
          <w:trHeight w:val="300"/>
        </w:trPr>
        <w:tc>
          <w:tcPr>
            <w:tcW w:w="1321" w:type="pct"/>
            <w:tcBorders>
              <w:top w:val="nil"/>
              <w:left w:val="single" w:sz="4" w:space="0" w:color="auto"/>
              <w:bottom w:val="nil"/>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624" w:type="pct"/>
            <w:tcBorders>
              <w:top w:val="nil"/>
              <w:left w:val="single" w:sz="4" w:space="0" w:color="auto"/>
              <w:bottom w:val="nil"/>
              <w:right w:val="single" w:sz="4" w:space="0" w:color="auto"/>
            </w:tcBorders>
            <w:shd w:val="clear" w:color="auto" w:fill="auto"/>
            <w:noWrap/>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556" w:type="pct"/>
            <w:tcBorders>
              <w:top w:val="nil"/>
              <w:left w:val="nil"/>
              <w:bottom w:val="nil"/>
              <w:right w:val="single" w:sz="4" w:space="0" w:color="auto"/>
            </w:tcBorders>
            <w:shd w:val="clear" w:color="auto" w:fill="auto"/>
            <w:noWrap/>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696" w:type="pct"/>
            <w:gridSpan w:val="2"/>
            <w:tcBorders>
              <w:top w:val="nil"/>
              <w:left w:val="nil"/>
              <w:bottom w:val="nil"/>
              <w:right w:val="single" w:sz="4" w:space="0" w:color="auto"/>
            </w:tcBorders>
            <w:shd w:val="clear" w:color="auto" w:fill="auto"/>
            <w:noWrap/>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625" w:type="pct"/>
            <w:tcBorders>
              <w:top w:val="nil"/>
              <w:left w:val="nil"/>
              <w:bottom w:val="nil"/>
              <w:right w:val="single" w:sz="4" w:space="0" w:color="auto"/>
            </w:tcBorders>
            <w:shd w:val="clear" w:color="auto" w:fill="auto"/>
            <w:noWrap/>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556" w:type="pct"/>
            <w:gridSpan w:val="2"/>
            <w:tcBorders>
              <w:top w:val="nil"/>
              <w:left w:val="nil"/>
              <w:bottom w:val="nil"/>
              <w:right w:val="single" w:sz="4" w:space="0" w:color="auto"/>
            </w:tcBorders>
            <w:shd w:val="clear" w:color="auto" w:fill="auto"/>
            <w:noWrap/>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622" w:type="pct"/>
            <w:tcBorders>
              <w:top w:val="nil"/>
              <w:left w:val="nil"/>
              <w:bottom w:val="nil"/>
              <w:right w:val="single" w:sz="4" w:space="0" w:color="auto"/>
            </w:tcBorders>
            <w:shd w:val="clear" w:color="auto" w:fill="auto"/>
            <w:noWrap/>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r>
      <w:tr w:rsidR="0006469C" w:rsidRPr="00071109" w:rsidTr="0006469C">
        <w:trPr>
          <w:trHeight w:val="300"/>
        </w:trPr>
        <w:tc>
          <w:tcPr>
            <w:tcW w:w="1321" w:type="pct"/>
            <w:tcBorders>
              <w:top w:val="nil"/>
              <w:left w:val="single" w:sz="4" w:space="0" w:color="auto"/>
              <w:bottom w:val="nil"/>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Support cost</w:t>
            </w:r>
          </w:p>
        </w:tc>
        <w:tc>
          <w:tcPr>
            <w:tcW w:w="624" w:type="pct"/>
            <w:tcBorders>
              <w:top w:val="nil"/>
              <w:left w:val="single" w:sz="4" w:space="0" w:color="auto"/>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1,375 </w:t>
            </w:r>
          </w:p>
        </w:tc>
        <w:tc>
          <w:tcPr>
            <w:tcW w:w="556"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96"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25"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1,375 </w:t>
            </w:r>
          </w:p>
        </w:tc>
        <w:tc>
          <w:tcPr>
            <w:tcW w:w="556"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426 </w:t>
            </w:r>
          </w:p>
        </w:tc>
        <w:tc>
          <w:tcPr>
            <w:tcW w:w="622"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-949 </w:t>
            </w:r>
          </w:p>
        </w:tc>
      </w:tr>
      <w:tr w:rsidR="0006469C" w:rsidRPr="00071109" w:rsidTr="0006469C">
        <w:trPr>
          <w:trHeight w:val="300"/>
        </w:trPr>
        <w:tc>
          <w:tcPr>
            <w:tcW w:w="1321" w:type="pct"/>
            <w:tcBorders>
              <w:top w:val="nil"/>
              <w:left w:val="single" w:sz="4" w:space="0" w:color="auto"/>
              <w:bottom w:val="nil"/>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Sales of Publications</w:t>
            </w:r>
          </w:p>
        </w:tc>
        <w:tc>
          <w:tcPr>
            <w:tcW w:w="624" w:type="pct"/>
            <w:tcBorders>
              <w:top w:val="nil"/>
              <w:left w:val="single" w:sz="4" w:space="0" w:color="auto"/>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19,000 </w:t>
            </w:r>
          </w:p>
        </w:tc>
        <w:tc>
          <w:tcPr>
            <w:tcW w:w="556"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96"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25"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19,000 </w:t>
            </w:r>
          </w:p>
        </w:tc>
        <w:tc>
          <w:tcPr>
            <w:tcW w:w="556"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13,865 </w:t>
            </w:r>
          </w:p>
        </w:tc>
        <w:tc>
          <w:tcPr>
            <w:tcW w:w="622"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-5,135 </w:t>
            </w:r>
          </w:p>
        </w:tc>
      </w:tr>
      <w:tr w:rsidR="0006469C" w:rsidRPr="00071109" w:rsidTr="0006469C">
        <w:trPr>
          <w:trHeight w:val="300"/>
        </w:trPr>
        <w:tc>
          <w:tcPr>
            <w:tcW w:w="1321" w:type="pct"/>
            <w:tcBorders>
              <w:top w:val="nil"/>
              <w:left w:val="single" w:sz="4" w:space="0" w:color="auto"/>
              <w:bottom w:val="nil"/>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UIFN</w:t>
            </w:r>
          </w:p>
        </w:tc>
        <w:tc>
          <w:tcPr>
            <w:tcW w:w="624" w:type="pct"/>
            <w:tcBorders>
              <w:top w:val="nil"/>
              <w:left w:val="single" w:sz="4" w:space="0" w:color="auto"/>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500 </w:t>
            </w:r>
          </w:p>
        </w:tc>
        <w:tc>
          <w:tcPr>
            <w:tcW w:w="556"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96"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25"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250 </w:t>
            </w:r>
          </w:p>
        </w:tc>
        <w:tc>
          <w:tcPr>
            <w:tcW w:w="556"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w:t>
            </w:r>
            <w:r w:rsidR="0006469C">
              <w:rPr>
                <w:rFonts w:ascii="Arial" w:hAnsi="Arial" w:cs="Arial"/>
                <w:i/>
                <w:iCs/>
                <w:color w:val="000000"/>
                <w:sz w:val="16"/>
                <w:szCs w:val="16"/>
                <w:lang w:val="en-US" w:eastAsia="zh-CN"/>
              </w:rPr>
              <w:t>9</w:t>
            </w:r>
            <w:r w:rsidRPr="00071109">
              <w:rPr>
                <w:rFonts w:ascii="Arial" w:hAnsi="Arial" w:cs="Arial"/>
                <w:i/>
                <w:iCs/>
                <w:color w:val="000000"/>
                <w:sz w:val="16"/>
                <w:szCs w:val="16"/>
                <w:lang w:val="en-US" w:eastAsia="zh-CN"/>
              </w:rPr>
              <w:t xml:space="preserve">05 </w:t>
            </w:r>
          </w:p>
        </w:tc>
        <w:tc>
          <w:tcPr>
            <w:tcW w:w="622"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655 </w:t>
            </w:r>
          </w:p>
        </w:tc>
      </w:tr>
      <w:tr w:rsidR="0006469C" w:rsidRPr="00071109" w:rsidTr="0006469C">
        <w:trPr>
          <w:trHeight w:val="300"/>
        </w:trPr>
        <w:tc>
          <w:tcPr>
            <w:tcW w:w="1321" w:type="pct"/>
            <w:tcBorders>
              <w:top w:val="nil"/>
              <w:left w:val="single" w:sz="4" w:space="0" w:color="auto"/>
              <w:bottom w:val="nil"/>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TELECOM</w:t>
            </w:r>
          </w:p>
        </w:tc>
        <w:tc>
          <w:tcPr>
            <w:tcW w:w="624" w:type="pct"/>
            <w:tcBorders>
              <w:top w:val="nil"/>
              <w:left w:val="single" w:sz="4" w:space="0" w:color="auto"/>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1,500 </w:t>
            </w:r>
          </w:p>
        </w:tc>
        <w:tc>
          <w:tcPr>
            <w:tcW w:w="556"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96"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25"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1,500 </w:t>
            </w:r>
          </w:p>
        </w:tc>
        <w:tc>
          <w:tcPr>
            <w:tcW w:w="556"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1,000 </w:t>
            </w:r>
          </w:p>
        </w:tc>
        <w:tc>
          <w:tcPr>
            <w:tcW w:w="622"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-500 </w:t>
            </w:r>
          </w:p>
        </w:tc>
      </w:tr>
      <w:tr w:rsidR="0006469C" w:rsidRPr="00071109" w:rsidTr="0006469C">
        <w:trPr>
          <w:trHeight w:val="300"/>
        </w:trPr>
        <w:tc>
          <w:tcPr>
            <w:tcW w:w="1321" w:type="pct"/>
            <w:tcBorders>
              <w:top w:val="nil"/>
              <w:left w:val="single" w:sz="4" w:space="0" w:color="auto"/>
              <w:bottom w:val="nil"/>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SNF Cost recovery</w:t>
            </w:r>
          </w:p>
        </w:tc>
        <w:tc>
          <w:tcPr>
            <w:tcW w:w="624" w:type="pct"/>
            <w:tcBorders>
              <w:top w:val="nil"/>
              <w:left w:val="single" w:sz="4" w:space="0" w:color="auto"/>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14,000 </w:t>
            </w:r>
          </w:p>
        </w:tc>
        <w:tc>
          <w:tcPr>
            <w:tcW w:w="556"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96"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25"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13,000 </w:t>
            </w:r>
          </w:p>
        </w:tc>
        <w:tc>
          <w:tcPr>
            <w:tcW w:w="556"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19,070 </w:t>
            </w:r>
          </w:p>
        </w:tc>
        <w:tc>
          <w:tcPr>
            <w:tcW w:w="622"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6,070 </w:t>
            </w:r>
          </w:p>
        </w:tc>
      </w:tr>
      <w:tr w:rsidR="0006469C" w:rsidRPr="00071109" w:rsidTr="0006469C">
        <w:trPr>
          <w:trHeight w:val="300"/>
        </w:trPr>
        <w:tc>
          <w:tcPr>
            <w:tcW w:w="1321" w:type="pct"/>
            <w:tcBorders>
              <w:top w:val="nil"/>
              <w:left w:val="single" w:sz="4" w:space="0" w:color="auto"/>
              <w:bottom w:val="nil"/>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Cost recovery other</w:t>
            </w:r>
          </w:p>
        </w:tc>
        <w:tc>
          <w:tcPr>
            <w:tcW w:w="624" w:type="pct"/>
            <w:tcBorders>
              <w:top w:val="nil"/>
              <w:left w:val="single" w:sz="4" w:space="0" w:color="auto"/>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556"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96"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625"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   </w:t>
            </w:r>
          </w:p>
        </w:tc>
        <w:tc>
          <w:tcPr>
            <w:tcW w:w="556"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22 </w:t>
            </w:r>
          </w:p>
        </w:tc>
        <w:tc>
          <w:tcPr>
            <w:tcW w:w="622"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22 </w:t>
            </w:r>
          </w:p>
        </w:tc>
      </w:tr>
      <w:tr w:rsidR="0006469C" w:rsidRPr="00071109" w:rsidTr="0006469C">
        <w:trPr>
          <w:trHeight w:val="300"/>
        </w:trPr>
        <w:tc>
          <w:tcPr>
            <w:tcW w:w="1321" w:type="pct"/>
            <w:tcBorders>
              <w:top w:val="single" w:sz="4" w:space="0" w:color="auto"/>
              <w:left w:val="single" w:sz="4" w:space="0" w:color="auto"/>
              <w:bottom w:val="single" w:sz="4" w:space="0" w:color="auto"/>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Cost recovery</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36,375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w:t>
            </w:r>
          </w:p>
        </w:tc>
        <w:tc>
          <w:tcPr>
            <w:tcW w:w="696" w:type="pct"/>
            <w:gridSpan w:val="2"/>
            <w:tcBorders>
              <w:top w:val="single" w:sz="4" w:space="0" w:color="auto"/>
              <w:left w:val="nil"/>
              <w:bottom w:val="single" w:sz="4" w:space="0" w:color="auto"/>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35,125 </w:t>
            </w:r>
          </w:p>
        </w:tc>
        <w:tc>
          <w:tcPr>
            <w:tcW w:w="556" w:type="pct"/>
            <w:gridSpan w:val="2"/>
            <w:tcBorders>
              <w:top w:val="single" w:sz="4" w:space="0" w:color="auto"/>
              <w:left w:val="nil"/>
              <w:bottom w:val="single" w:sz="4" w:space="0" w:color="auto"/>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35,289 </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164 </w:t>
            </w:r>
          </w:p>
        </w:tc>
      </w:tr>
      <w:tr w:rsidR="0006469C" w:rsidRPr="00071109" w:rsidTr="0006469C">
        <w:trPr>
          <w:trHeight w:val="135"/>
        </w:trPr>
        <w:tc>
          <w:tcPr>
            <w:tcW w:w="1321" w:type="pct"/>
            <w:tcBorders>
              <w:top w:val="nil"/>
              <w:left w:val="single" w:sz="4" w:space="0" w:color="auto"/>
              <w:bottom w:val="nil"/>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624" w:type="pct"/>
            <w:tcBorders>
              <w:top w:val="nil"/>
              <w:left w:val="single" w:sz="4" w:space="0" w:color="auto"/>
              <w:bottom w:val="nil"/>
              <w:right w:val="single" w:sz="4" w:space="0" w:color="auto"/>
            </w:tcBorders>
            <w:shd w:val="clear" w:color="auto" w:fill="auto"/>
            <w:noWrap/>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556" w:type="pct"/>
            <w:tcBorders>
              <w:top w:val="nil"/>
              <w:left w:val="nil"/>
              <w:bottom w:val="nil"/>
              <w:right w:val="single" w:sz="4" w:space="0" w:color="auto"/>
            </w:tcBorders>
            <w:shd w:val="clear" w:color="auto" w:fill="auto"/>
            <w:noWrap/>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696" w:type="pct"/>
            <w:gridSpan w:val="2"/>
            <w:tcBorders>
              <w:top w:val="nil"/>
              <w:left w:val="nil"/>
              <w:bottom w:val="nil"/>
              <w:right w:val="single" w:sz="4" w:space="0" w:color="auto"/>
            </w:tcBorders>
            <w:shd w:val="clear" w:color="auto" w:fill="auto"/>
            <w:noWrap/>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625" w:type="pct"/>
            <w:tcBorders>
              <w:top w:val="nil"/>
              <w:left w:val="nil"/>
              <w:bottom w:val="nil"/>
              <w:right w:val="single" w:sz="4" w:space="0" w:color="auto"/>
            </w:tcBorders>
            <w:shd w:val="clear" w:color="auto" w:fill="auto"/>
            <w:noWrap/>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556" w:type="pct"/>
            <w:gridSpan w:val="2"/>
            <w:tcBorders>
              <w:top w:val="nil"/>
              <w:left w:val="nil"/>
              <w:bottom w:val="nil"/>
              <w:right w:val="single" w:sz="4" w:space="0" w:color="auto"/>
            </w:tcBorders>
            <w:shd w:val="clear" w:color="auto" w:fill="auto"/>
            <w:noWrap/>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c>
          <w:tcPr>
            <w:tcW w:w="622" w:type="pct"/>
            <w:tcBorders>
              <w:top w:val="nil"/>
              <w:left w:val="nil"/>
              <w:bottom w:val="nil"/>
              <w:right w:val="single" w:sz="4" w:space="0" w:color="auto"/>
            </w:tcBorders>
            <w:shd w:val="clear" w:color="auto" w:fill="auto"/>
            <w:noWrap/>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color w:val="000000"/>
                <w:sz w:val="16"/>
                <w:szCs w:val="16"/>
                <w:lang w:val="en-US" w:eastAsia="zh-CN"/>
              </w:rPr>
            </w:pPr>
            <w:r w:rsidRPr="00071109">
              <w:rPr>
                <w:rFonts w:ascii="Arial" w:hAnsi="Arial" w:cs="Arial"/>
                <w:color w:val="000000"/>
                <w:sz w:val="16"/>
                <w:szCs w:val="16"/>
                <w:lang w:val="en-US" w:eastAsia="zh-CN"/>
              </w:rPr>
              <w:t> </w:t>
            </w:r>
          </w:p>
        </w:tc>
      </w:tr>
      <w:tr w:rsidR="0006469C" w:rsidRPr="00071109" w:rsidTr="0006469C">
        <w:trPr>
          <w:trHeight w:val="300"/>
        </w:trPr>
        <w:tc>
          <w:tcPr>
            <w:tcW w:w="1321" w:type="pct"/>
            <w:tcBorders>
              <w:top w:val="nil"/>
              <w:left w:val="single" w:sz="4" w:space="0" w:color="auto"/>
              <w:bottom w:val="nil"/>
              <w:right w:val="nil"/>
            </w:tcBorders>
            <w:shd w:val="clear" w:color="auto" w:fill="auto"/>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Interests</w:t>
            </w:r>
          </w:p>
        </w:tc>
        <w:tc>
          <w:tcPr>
            <w:tcW w:w="624" w:type="pct"/>
            <w:tcBorders>
              <w:top w:val="nil"/>
              <w:left w:val="single" w:sz="4" w:space="0" w:color="auto"/>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300 </w:t>
            </w:r>
          </w:p>
        </w:tc>
        <w:tc>
          <w:tcPr>
            <w:tcW w:w="556" w:type="pct"/>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w:t>
            </w:r>
          </w:p>
        </w:tc>
        <w:tc>
          <w:tcPr>
            <w:tcW w:w="696" w:type="pct"/>
            <w:gridSpan w:val="2"/>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w:t>
            </w:r>
          </w:p>
        </w:tc>
        <w:tc>
          <w:tcPr>
            <w:tcW w:w="625" w:type="pct"/>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300 </w:t>
            </w:r>
          </w:p>
        </w:tc>
        <w:tc>
          <w:tcPr>
            <w:tcW w:w="556" w:type="pct"/>
            <w:gridSpan w:val="2"/>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377 </w:t>
            </w:r>
          </w:p>
        </w:tc>
        <w:tc>
          <w:tcPr>
            <w:tcW w:w="622" w:type="pct"/>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77 </w:t>
            </w:r>
          </w:p>
        </w:tc>
      </w:tr>
      <w:tr w:rsidR="0006469C" w:rsidRPr="00071109" w:rsidTr="0006469C">
        <w:trPr>
          <w:trHeight w:val="300"/>
        </w:trPr>
        <w:tc>
          <w:tcPr>
            <w:tcW w:w="1321" w:type="pct"/>
            <w:tcBorders>
              <w:top w:val="nil"/>
              <w:left w:val="single" w:sz="4" w:space="0" w:color="auto"/>
              <w:bottom w:val="nil"/>
              <w:right w:val="nil"/>
            </w:tcBorders>
            <w:shd w:val="clear" w:color="auto" w:fill="auto"/>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Other revenue</w:t>
            </w:r>
          </w:p>
        </w:tc>
        <w:tc>
          <w:tcPr>
            <w:tcW w:w="624" w:type="pct"/>
            <w:tcBorders>
              <w:top w:val="nil"/>
              <w:left w:val="single" w:sz="4" w:space="0" w:color="auto"/>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16"/>
                <w:szCs w:val="16"/>
                <w:lang w:val="en-US" w:eastAsia="zh-CN"/>
              </w:rPr>
            </w:pPr>
            <w:r w:rsidRPr="00071109">
              <w:rPr>
                <w:rFonts w:ascii="Arial" w:hAnsi="Arial" w:cs="Arial"/>
                <w:b/>
                <w:bCs/>
                <w:sz w:val="16"/>
                <w:szCs w:val="16"/>
                <w:lang w:val="en-US" w:eastAsia="zh-CN"/>
              </w:rPr>
              <w:t xml:space="preserve">                 100 </w:t>
            </w:r>
          </w:p>
        </w:tc>
        <w:tc>
          <w:tcPr>
            <w:tcW w:w="556" w:type="pct"/>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16"/>
                <w:szCs w:val="16"/>
                <w:lang w:val="en-US" w:eastAsia="zh-CN"/>
              </w:rPr>
            </w:pPr>
            <w:r w:rsidRPr="00071109">
              <w:rPr>
                <w:rFonts w:ascii="Arial" w:hAnsi="Arial" w:cs="Arial"/>
                <w:b/>
                <w:bCs/>
                <w:sz w:val="16"/>
                <w:szCs w:val="16"/>
                <w:lang w:val="en-US" w:eastAsia="zh-CN"/>
              </w:rPr>
              <w:t> </w:t>
            </w:r>
          </w:p>
        </w:tc>
        <w:tc>
          <w:tcPr>
            <w:tcW w:w="696" w:type="pct"/>
            <w:gridSpan w:val="2"/>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w:t>
            </w:r>
          </w:p>
        </w:tc>
        <w:tc>
          <w:tcPr>
            <w:tcW w:w="625" w:type="pct"/>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100 </w:t>
            </w:r>
          </w:p>
        </w:tc>
        <w:tc>
          <w:tcPr>
            <w:tcW w:w="556" w:type="pct"/>
            <w:gridSpan w:val="2"/>
            <w:tcBorders>
              <w:top w:val="nil"/>
              <w:left w:val="nil"/>
              <w:bottom w:val="nil"/>
              <w:right w:val="single" w:sz="4" w:space="0" w:color="auto"/>
            </w:tcBorders>
            <w:shd w:val="clear" w:color="auto" w:fill="auto"/>
            <w:noWrap/>
            <w:hideMark/>
          </w:tcPr>
          <w:p w:rsidR="00071109" w:rsidRPr="00071109" w:rsidRDefault="00071109" w:rsidP="00031C0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16"/>
                <w:szCs w:val="16"/>
                <w:lang w:val="en-US" w:eastAsia="zh-CN"/>
              </w:rPr>
            </w:pPr>
            <w:r w:rsidRPr="00071109">
              <w:rPr>
                <w:rFonts w:ascii="Arial" w:hAnsi="Arial" w:cs="Arial"/>
                <w:b/>
                <w:bCs/>
                <w:sz w:val="16"/>
                <w:szCs w:val="16"/>
                <w:lang w:val="en-US" w:eastAsia="zh-CN"/>
              </w:rPr>
              <w:t xml:space="preserve">          </w:t>
            </w:r>
            <w:r w:rsidR="00031C08">
              <w:rPr>
                <w:rFonts w:ascii="Arial" w:hAnsi="Arial" w:cs="Arial"/>
                <w:b/>
                <w:bCs/>
                <w:sz w:val="16"/>
                <w:szCs w:val="16"/>
                <w:lang w:val="en-US" w:eastAsia="zh-CN"/>
              </w:rPr>
              <w:t>1,994</w:t>
            </w:r>
            <w:r w:rsidRPr="00071109">
              <w:rPr>
                <w:rFonts w:ascii="Arial" w:hAnsi="Arial" w:cs="Arial"/>
                <w:b/>
                <w:bCs/>
                <w:sz w:val="16"/>
                <w:szCs w:val="16"/>
                <w:lang w:val="en-US" w:eastAsia="zh-CN"/>
              </w:rPr>
              <w:t xml:space="preserve"> </w:t>
            </w:r>
          </w:p>
        </w:tc>
        <w:tc>
          <w:tcPr>
            <w:tcW w:w="622" w:type="pct"/>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16"/>
                <w:szCs w:val="16"/>
                <w:lang w:val="en-US" w:eastAsia="zh-CN"/>
              </w:rPr>
            </w:pPr>
            <w:r w:rsidRPr="00071109">
              <w:rPr>
                <w:rFonts w:ascii="Arial" w:hAnsi="Arial" w:cs="Arial"/>
                <w:b/>
                <w:bCs/>
                <w:sz w:val="16"/>
                <w:szCs w:val="16"/>
                <w:lang w:val="en-US" w:eastAsia="zh-CN"/>
              </w:rPr>
              <w:t xml:space="preserve">               343 </w:t>
            </w:r>
          </w:p>
        </w:tc>
      </w:tr>
      <w:tr w:rsidR="0006469C" w:rsidRPr="00071109" w:rsidTr="0006469C">
        <w:trPr>
          <w:trHeight w:val="300"/>
        </w:trPr>
        <w:tc>
          <w:tcPr>
            <w:tcW w:w="1321" w:type="pct"/>
            <w:tcBorders>
              <w:top w:val="nil"/>
              <w:left w:val="single" w:sz="4" w:space="0" w:color="auto"/>
              <w:bottom w:val="nil"/>
              <w:right w:val="nil"/>
            </w:tcBorders>
            <w:shd w:val="clear" w:color="auto" w:fill="auto"/>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Withdrawal from Reserve Account</w:t>
            </w:r>
          </w:p>
        </w:tc>
        <w:tc>
          <w:tcPr>
            <w:tcW w:w="624" w:type="pct"/>
            <w:tcBorders>
              <w:top w:val="nil"/>
              <w:left w:val="single" w:sz="4" w:space="0" w:color="auto"/>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-2,245 </w:t>
            </w:r>
          </w:p>
        </w:tc>
        <w:tc>
          <w:tcPr>
            <w:tcW w:w="556" w:type="pct"/>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w:t>
            </w:r>
          </w:p>
        </w:tc>
        <w:tc>
          <w:tcPr>
            <w:tcW w:w="696" w:type="pct"/>
            <w:gridSpan w:val="2"/>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w:t>
            </w:r>
          </w:p>
        </w:tc>
        <w:tc>
          <w:tcPr>
            <w:tcW w:w="625" w:type="pct"/>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-2,245 </w:t>
            </w:r>
          </w:p>
        </w:tc>
        <w:tc>
          <w:tcPr>
            <w:tcW w:w="556" w:type="pct"/>
            <w:gridSpan w:val="2"/>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   </w:t>
            </w:r>
          </w:p>
        </w:tc>
        <w:tc>
          <w:tcPr>
            <w:tcW w:w="622" w:type="pct"/>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2,245 </w:t>
            </w:r>
          </w:p>
        </w:tc>
      </w:tr>
      <w:tr w:rsidR="0006469C" w:rsidRPr="00071109" w:rsidTr="0006469C">
        <w:trPr>
          <w:trHeight w:val="300"/>
        </w:trPr>
        <w:tc>
          <w:tcPr>
            <w:tcW w:w="1321" w:type="pct"/>
            <w:tcBorders>
              <w:top w:val="nil"/>
              <w:left w:val="single" w:sz="4" w:space="0" w:color="auto"/>
              <w:bottom w:val="nil"/>
              <w:right w:val="nil"/>
            </w:tcBorders>
            <w:shd w:val="clear" w:color="auto" w:fill="auto"/>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Savings from previous years</w:t>
            </w:r>
          </w:p>
        </w:tc>
        <w:tc>
          <w:tcPr>
            <w:tcW w:w="624" w:type="pct"/>
            <w:tcBorders>
              <w:top w:val="nil"/>
              <w:left w:val="single" w:sz="4" w:space="0" w:color="auto"/>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946 </w:t>
            </w:r>
          </w:p>
        </w:tc>
        <w:tc>
          <w:tcPr>
            <w:tcW w:w="556" w:type="pct"/>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w:t>
            </w:r>
          </w:p>
        </w:tc>
        <w:tc>
          <w:tcPr>
            <w:tcW w:w="696" w:type="pct"/>
            <w:gridSpan w:val="2"/>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w:t>
            </w:r>
          </w:p>
        </w:tc>
        <w:tc>
          <w:tcPr>
            <w:tcW w:w="625" w:type="pct"/>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946 </w:t>
            </w:r>
          </w:p>
        </w:tc>
        <w:tc>
          <w:tcPr>
            <w:tcW w:w="556" w:type="pct"/>
            <w:gridSpan w:val="2"/>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w:t>
            </w:r>
          </w:p>
        </w:tc>
        <w:tc>
          <w:tcPr>
            <w:tcW w:w="622" w:type="pct"/>
            <w:tcBorders>
              <w:top w:val="nil"/>
              <w:left w:val="nil"/>
              <w:bottom w:val="nil"/>
              <w:right w:val="single" w:sz="4" w:space="0" w:color="auto"/>
            </w:tcBorders>
            <w:shd w:val="clear" w:color="auto" w:fill="auto"/>
            <w:noWrap/>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w:t>
            </w:r>
          </w:p>
        </w:tc>
      </w:tr>
      <w:tr w:rsidR="00071109" w:rsidRPr="00071109" w:rsidTr="0085402F">
        <w:trPr>
          <w:trHeight w:val="300"/>
        </w:trPr>
        <w:tc>
          <w:tcPr>
            <w:tcW w:w="1321"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Total revenue</w:t>
            </w:r>
          </w:p>
        </w:tc>
        <w:tc>
          <w:tcPr>
            <w:tcW w:w="624"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xml:space="preserve">     159,877 </w:t>
            </w:r>
          </w:p>
        </w:tc>
        <w:tc>
          <w:tcPr>
            <w:tcW w:w="556"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w:t>
            </w:r>
          </w:p>
        </w:tc>
        <w:tc>
          <w:tcPr>
            <w:tcW w:w="696" w:type="pct"/>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xml:space="preserve">            -   </w:t>
            </w:r>
          </w:p>
        </w:tc>
        <w:tc>
          <w:tcPr>
            <w:tcW w:w="625"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xml:space="preserve">    158,627 </w:t>
            </w:r>
          </w:p>
        </w:tc>
        <w:tc>
          <w:tcPr>
            <w:tcW w:w="556" w:type="pct"/>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71109" w:rsidRPr="00071109" w:rsidRDefault="00071109" w:rsidP="00031C08">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xml:space="preserve">   </w:t>
            </w:r>
            <w:r w:rsidR="0006469C">
              <w:rPr>
                <w:rFonts w:ascii="Arial" w:hAnsi="Arial" w:cs="Arial"/>
                <w:b/>
                <w:bCs/>
                <w:color w:val="000000"/>
                <w:sz w:val="20"/>
                <w:lang w:val="en-US" w:eastAsia="zh-CN"/>
              </w:rPr>
              <w:t>16</w:t>
            </w:r>
            <w:r w:rsidR="00031C08">
              <w:rPr>
                <w:rFonts w:ascii="Arial" w:hAnsi="Arial" w:cs="Arial"/>
                <w:b/>
                <w:bCs/>
                <w:color w:val="000000"/>
                <w:sz w:val="20"/>
                <w:lang w:val="en-US" w:eastAsia="zh-CN"/>
              </w:rPr>
              <w:t>2</w:t>
            </w:r>
            <w:r w:rsidRPr="00071109">
              <w:rPr>
                <w:rFonts w:ascii="Arial" w:hAnsi="Arial" w:cs="Arial"/>
                <w:b/>
                <w:bCs/>
                <w:color w:val="000000"/>
                <w:sz w:val="20"/>
                <w:lang w:val="en-US" w:eastAsia="zh-CN"/>
              </w:rPr>
              <w:t>,</w:t>
            </w:r>
            <w:r w:rsidR="00031C08">
              <w:rPr>
                <w:rFonts w:ascii="Arial" w:hAnsi="Arial" w:cs="Arial"/>
                <w:b/>
                <w:bCs/>
                <w:color w:val="000000"/>
                <w:sz w:val="20"/>
                <w:lang w:val="en-US" w:eastAsia="zh-CN"/>
              </w:rPr>
              <w:t>851</w:t>
            </w:r>
            <w:r w:rsidRPr="00071109">
              <w:rPr>
                <w:rFonts w:ascii="Arial" w:hAnsi="Arial" w:cs="Arial"/>
                <w:b/>
                <w:bCs/>
                <w:color w:val="000000"/>
                <w:sz w:val="20"/>
                <w:lang w:val="en-US" w:eastAsia="zh-CN"/>
              </w:rPr>
              <w:t xml:space="preserve"> </w:t>
            </w:r>
          </w:p>
        </w:tc>
        <w:tc>
          <w:tcPr>
            <w:tcW w:w="622"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xml:space="preserve">       2,673 </w:t>
            </w:r>
          </w:p>
        </w:tc>
      </w:tr>
      <w:tr w:rsidR="00071109" w:rsidRPr="00071109" w:rsidTr="0006469C">
        <w:trPr>
          <w:trHeight w:val="300"/>
        </w:trPr>
        <w:tc>
          <w:tcPr>
            <w:tcW w:w="1321" w:type="pct"/>
            <w:vMerge w:val="restart"/>
            <w:tcBorders>
              <w:top w:val="nil"/>
              <w:left w:val="single" w:sz="4" w:space="0" w:color="auto"/>
              <w:bottom w:val="single" w:sz="4" w:space="0" w:color="000000"/>
              <w:right w:val="single" w:sz="4" w:space="0" w:color="auto"/>
            </w:tcBorders>
            <w:shd w:val="clear" w:color="auto" w:fill="auto"/>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Expenses</w:t>
            </w:r>
          </w:p>
        </w:tc>
        <w:tc>
          <w:tcPr>
            <w:tcW w:w="2501" w:type="pct"/>
            <w:gridSpan w:val="5"/>
            <w:tcBorders>
              <w:top w:val="single" w:sz="4" w:space="0" w:color="auto"/>
              <w:left w:val="nil"/>
              <w:bottom w:val="single" w:sz="4" w:space="0" w:color="auto"/>
              <w:right w:val="single" w:sz="4" w:space="0" w:color="000000"/>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Budgeted amounts</w:t>
            </w:r>
          </w:p>
        </w:tc>
        <w:tc>
          <w:tcPr>
            <w:tcW w:w="556" w:type="pct"/>
            <w:gridSpan w:val="2"/>
            <w:tcBorders>
              <w:top w:val="nil"/>
              <w:left w:val="single" w:sz="4" w:space="0" w:color="auto"/>
              <w:bottom w:val="single" w:sz="4" w:space="0" w:color="000000"/>
              <w:right w:val="single" w:sz="4" w:space="0" w:color="auto"/>
            </w:tcBorders>
            <w:shd w:val="clear" w:color="auto" w:fill="auto"/>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Actual amounts </w:t>
            </w:r>
          </w:p>
        </w:tc>
        <w:tc>
          <w:tcPr>
            <w:tcW w:w="622" w:type="pct"/>
            <w:tcBorders>
              <w:top w:val="nil"/>
              <w:left w:val="single" w:sz="4" w:space="0" w:color="auto"/>
              <w:bottom w:val="single" w:sz="4" w:space="0" w:color="000000"/>
              <w:right w:val="single" w:sz="4" w:space="0" w:color="auto"/>
            </w:tcBorders>
            <w:shd w:val="clear" w:color="auto" w:fill="auto"/>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Difference between final budget and actual amounts</w:t>
            </w:r>
          </w:p>
        </w:tc>
      </w:tr>
      <w:tr w:rsidR="0006469C" w:rsidRPr="00071109" w:rsidTr="0006469C">
        <w:trPr>
          <w:trHeight w:val="450"/>
        </w:trPr>
        <w:tc>
          <w:tcPr>
            <w:tcW w:w="1321" w:type="pct"/>
            <w:vMerge/>
            <w:tcBorders>
              <w:top w:val="nil"/>
              <w:left w:val="single" w:sz="4" w:space="0" w:color="auto"/>
              <w:bottom w:val="single" w:sz="4" w:space="0" w:color="000000"/>
              <w:right w:val="single" w:sz="4" w:space="0" w:color="auto"/>
            </w:tcBorders>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p>
        </w:tc>
        <w:tc>
          <w:tcPr>
            <w:tcW w:w="624" w:type="pct"/>
            <w:tcBorders>
              <w:top w:val="nil"/>
              <w:left w:val="nil"/>
              <w:bottom w:val="single" w:sz="4" w:space="0" w:color="auto"/>
              <w:right w:val="single" w:sz="4" w:space="0" w:color="auto"/>
            </w:tcBorders>
            <w:shd w:val="clear" w:color="auto" w:fill="auto"/>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Initial Budget</w:t>
            </w:r>
          </w:p>
        </w:tc>
        <w:tc>
          <w:tcPr>
            <w:tcW w:w="556" w:type="pct"/>
            <w:tcBorders>
              <w:top w:val="nil"/>
              <w:left w:val="nil"/>
              <w:bottom w:val="single" w:sz="4" w:space="0" w:color="auto"/>
              <w:right w:val="nil"/>
            </w:tcBorders>
            <w:shd w:val="clear" w:color="auto" w:fill="auto"/>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w:t>
            </w:r>
          </w:p>
        </w:tc>
        <w:tc>
          <w:tcPr>
            <w:tcW w:w="555" w:type="pct"/>
            <w:tcBorders>
              <w:top w:val="nil"/>
              <w:left w:val="nil"/>
              <w:bottom w:val="single" w:sz="4" w:space="0" w:color="auto"/>
              <w:right w:val="nil"/>
            </w:tcBorders>
            <w:shd w:val="clear" w:color="auto" w:fill="auto"/>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Budget transfers</w:t>
            </w:r>
          </w:p>
        </w:tc>
        <w:tc>
          <w:tcPr>
            <w:tcW w:w="766" w:type="pct"/>
            <w:gridSpan w:val="2"/>
            <w:tcBorders>
              <w:top w:val="nil"/>
              <w:left w:val="single" w:sz="4" w:space="0" w:color="auto"/>
              <w:bottom w:val="single" w:sz="4" w:space="0" w:color="auto"/>
              <w:right w:val="single" w:sz="4" w:space="0" w:color="auto"/>
            </w:tcBorders>
            <w:shd w:val="clear" w:color="auto" w:fill="auto"/>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Final budget</w:t>
            </w:r>
          </w:p>
        </w:tc>
        <w:tc>
          <w:tcPr>
            <w:tcW w:w="553" w:type="pct"/>
            <w:tcBorders>
              <w:top w:val="nil"/>
              <w:left w:val="single" w:sz="4" w:space="0" w:color="auto"/>
              <w:bottom w:val="single" w:sz="4" w:space="0" w:color="000000"/>
              <w:right w:val="single" w:sz="4" w:space="0" w:color="auto"/>
            </w:tcBorders>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p>
        </w:tc>
        <w:tc>
          <w:tcPr>
            <w:tcW w:w="625" w:type="pct"/>
            <w:gridSpan w:val="2"/>
            <w:tcBorders>
              <w:top w:val="nil"/>
              <w:left w:val="single" w:sz="4" w:space="0" w:color="auto"/>
              <w:bottom w:val="single" w:sz="4" w:space="0" w:color="000000"/>
              <w:right w:val="single" w:sz="4" w:space="0" w:color="auto"/>
            </w:tcBorders>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16"/>
                <w:szCs w:val="16"/>
                <w:lang w:val="en-US" w:eastAsia="zh-CN"/>
              </w:rPr>
            </w:pPr>
          </w:p>
        </w:tc>
      </w:tr>
      <w:tr w:rsidR="0006469C" w:rsidRPr="00071109" w:rsidTr="0006469C">
        <w:trPr>
          <w:trHeight w:val="300"/>
        </w:trPr>
        <w:tc>
          <w:tcPr>
            <w:tcW w:w="1321" w:type="pct"/>
            <w:vMerge/>
            <w:tcBorders>
              <w:top w:val="nil"/>
              <w:left w:val="single" w:sz="4" w:space="0" w:color="auto"/>
              <w:bottom w:val="single" w:sz="4" w:space="0" w:color="000000"/>
              <w:right w:val="single" w:sz="4" w:space="0" w:color="auto"/>
            </w:tcBorders>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p>
        </w:tc>
        <w:tc>
          <w:tcPr>
            <w:tcW w:w="624" w:type="pct"/>
            <w:tcBorders>
              <w:top w:val="nil"/>
              <w:left w:val="nil"/>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31.12.2018 </w:t>
            </w:r>
          </w:p>
        </w:tc>
        <w:tc>
          <w:tcPr>
            <w:tcW w:w="556" w:type="pct"/>
            <w:tcBorders>
              <w:top w:val="nil"/>
              <w:left w:val="nil"/>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w:t>
            </w:r>
          </w:p>
        </w:tc>
        <w:tc>
          <w:tcPr>
            <w:tcW w:w="555" w:type="pct"/>
            <w:tcBorders>
              <w:top w:val="nil"/>
              <w:left w:val="nil"/>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31.12.2018 </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31.12.2018 </w:t>
            </w:r>
          </w:p>
        </w:tc>
        <w:tc>
          <w:tcPr>
            <w:tcW w:w="553" w:type="pct"/>
            <w:tcBorders>
              <w:top w:val="nil"/>
              <w:left w:val="nil"/>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31.12.2018 </w:t>
            </w:r>
          </w:p>
        </w:tc>
        <w:tc>
          <w:tcPr>
            <w:tcW w:w="625" w:type="pct"/>
            <w:gridSpan w:val="2"/>
            <w:tcBorders>
              <w:top w:val="nil"/>
              <w:left w:val="nil"/>
              <w:bottom w:val="single" w:sz="4" w:space="0" w:color="auto"/>
              <w:right w:val="single" w:sz="4" w:space="0" w:color="auto"/>
            </w:tcBorders>
            <w:shd w:val="clear" w:color="auto" w:fill="auto"/>
            <w:noWrap/>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color w:val="000000"/>
                <w:sz w:val="16"/>
                <w:szCs w:val="16"/>
                <w:lang w:val="en-US" w:eastAsia="zh-CN"/>
              </w:rPr>
            </w:pPr>
            <w:r w:rsidRPr="00071109">
              <w:rPr>
                <w:rFonts w:ascii="Arial" w:hAnsi="Arial" w:cs="Arial"/>
                <w:b/>
                <w:bCs/>
                <w:color w:val="000000"/>
                <w:sz w:val="16"/>
                <w:szCs w:val="16"/>
                <w:lang w:val="en-US" w:eastAsia="zh-CN"/>
              </w:rPr>
              <w:t xml:space="preserve"> 31.12.2018 </w:t>
            </w:r>
          </w:p>
        </w:tc>
      </w:tr>
      <w:tr w:rsidR="0006469C" w:rsidRPr="00071109" w:rsidTr="0006469C">
        <w:trPr>
          <w:trHeight w:val="300"/>
        </w:trPr>
        <w:tc>
          <w:tcPr>
            <w:tcW w:w="1321" w:type="pct"/>
            <w:tcBorders>
              <w:top w:val="nil"/>
              <w:left w:val="single" w:sz="4" w:space="0" w:color="auto"/>
              <w:bottom w:val="nil"/>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General Secretariat</w:t>
            </w:r>
          </w:p>
        </w:tc>
        <w:tc>
          <w:tcPr>
            <w:tcW w:w="624" w:type="pct"/>
            <w:tcBorders>
              <w:top w:val="nil"/>
              <w:left w:val="single" w:sz="4" w:space="0" w:color="auto"/>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90,549 </w:t>
            </w:r>
          </w:p>
        </w:tc>
        <w:tc>
          <w:tcPr>
            <w:tcW w:w="556" w:type="pct"/>
            <w:tcBorders>
              <w:top w:val="nil"/>
              <w:left w:val="nil"/>
              <w:bottom w:val="nil"/>
              <w:right w:val="nil"/>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p>
        </w:tc>
        <w:tc>
          <w:tcPr>
            <w:tcW w:w="555" w:type="pct"/>
            <w:tcBorders>
              <w:top w:val="nil"/>
              <w:left w:val="single" w:sz="4" w:space="0" w:color="auto"/>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766"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90,549 </w:t>
            </w:r>
          </w:p>
        </w:tc>
        <w:tc>
          <w:tcPr>
            <w:tcW w:w="553"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81,803 </w:t>
            </w:r>
          </w:p>
        </w:tc>
        <w:tc>
          <w:tcPr>
            <w:tcW w:w="625"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8,746 </w:t>
            </w:r>
          </w:p>
        </w:tc>
      </w:tr>
      <w:tr w:rsidR="0006469C" w:rsidRPr="00071109" w:rsidTr="0006469C">
        <w:trPr>
          <w:trHeight w:val="300"/>
        </w:trPr>
        <w:tc>
          <w:tcPr>
            <w:tcW w:w="1321" w:type="pct"/>
            <w:tcBorders>
              <w:top w:val="nil"/>
              <w:left w:val="single" w:sz="4" w:space="0" w:color="auto"/>
              <w:bottom w:val="nil"/>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Radiocommunication Sector</w:t>
            </w:r>
          </w:p>
        </w:tc>
        <w:tc>
          <w:tcPr>
            <w:tcW w:w="624" w:type="pct"/>
            <w:tcBorders>
              <w:top w:val="nil"/>
              <w:left w:val="single" w:sz="4" w:space="0" w:color="auto"/>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27,988 </w:t>
            </w:r>
          </w:p>
        </w:tc>
        <w:tc>
          <w:tcPr>
            <w:tcW w:w="556"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555"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766"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27,988 </w:t>
            </w:r>
          </w:p>
        </w:tc>
        <w:tc>
          <w:tcPr>
            <w:tcW w:w="553"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w:t>
            </w:r>
            <w:r w:rsidR="0006469C">
              <w:rPr>
                <w:rFonts w:ascii="Arial" w:hAnsi="Arial" w:cs="Arial"/>
                <w:i/>
                <w:iCs/>
                <w:color w:val="000000"/>
                <w:sz w:val="16"/>
                <w:szCs w:val="16"/>
                <w:lang w:val="en-US" w:eastAsia="zh-CN"/>
              </w:rPr>
              <w:t>2</w:t>
            </w:r>
            <w:r w:rsidRPr="00071109">
              <w:rPr>
                <w:rFonts w:ascii="Arial" w:hAnsi="Arial" w:cs="Arial"/>
                <w:i/>
                <w:iCs/>
                <w:color w:val="000000"/>
                <w:sz w:val="16"/>
                <w:szCs w:val="16"/>
                <w:lang w:val="en-US" w:eastAsia="zh-CN"/>
              </w:rPr>
              <w:t xml:space="preserve">5,052 </w:t>
            </w:r>
          </w:p>
        </w:tc>
        <w:tc>
          <w:tcPr>
            <w:tcW w:w="625"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2,936 </w:t>
            </w:r>
          </w:p>
        </w:tc>
      </w:tr>
      <w:tr w:rsidR="0006469C" w:rsidRPr="00071109" w:rsidTr="0006469C">
        <w:trPr>
          <w:trHeight w:val="300"/>
        </w:trPr>
        <w:tc>
          <w:tcPr>
            <w:tcW w:w="1321" w:type="pct"/>
            <w:tcBorders>
              <w:top w:val="nil"/>
              <w:left w:val="single" w:sz="4" w:space="0" w:color="auto"/>
              <w:bottom w:val="nil"/>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Telecommunication Standardization Sector</w:t>
            </w:r>
          </w:p>
        </w:tc>
        <w:tc>
          <w:tcPr>
            <w:tcW w:w="624" w:type="pct"/>
            <w:tcBorders>
              <w:top w:val="nil"/>
              <w:left w:val="single" w:sz="4" w:space="0" w:color="auto"/>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13,505 </w:t>
            </w:r>
          </w:p>
        </w:tc>
        <w:tc>
          <w:tcPr>
            <w:tcW w:w="556"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555"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766"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13,505 </w:t>
            </w:r>
          </w:p>
        </w:tc>
        <w:tc>
          <w:tcPr>
            <w:tcW w:w="553"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13,243 </w:t>
            </w:r>
          </w:p>
        </w:tc>
        <w:tc>
          <w:tcPr>
            <w:tcW w:w="625"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262 </w:t>
            </w:r>
          </w:p>
        </w:tc>
      </w:tr>
      <w:tr w:rsidR="0006469C" w:rsidRPr="00071109" w:rsidTr="0006469C">
        <w:trPr>
          <w:trHeight w:val="300"/>
        </w:trPr>
        <w:tc>
          <w:tcPr>
            <w:tcW w:w="1321" w:type="pct"/>
            <w:tcBorders>
              <w:top w:val="nil"/>
              <w:left w:val="single" w:sz="4" w:space="0" w:color="auto"/>
              <w:bottom w:val="nil"/>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Telecommunication Development Sector</w:t>
            </w:r>
          </w:p>
        </w:tc>
        <w:tc>
          <w:tcPr>
            <w:tcW w:w="624" w:type="pct"/>
            <w:tcBorders>
              <w:top w:val="nil"/>
              <w:left w:val="single" w:sz="4" w:space="0" w:color="auto"/>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27,835 </w:t>
            </w:r>
          </w:p>
        </w:tc>
        <w:tc>
          <w:tcPr>
            <w:tcW w:w="556"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555"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766"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27,835 </w:t>
            </w:r>
          </w:p>
        </w:tc>
        <w:tc>
          <w:tcPr>
            <w:tcW w:w="553"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26,863 </w:t>
            </w:r>
          </w:p>
        </w:tc>
        <w:tc>
          <w:tcPr>
            <w:tcW w:w="625"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972 </w:t>
            </w:r>
          </w:p>
        </w:tc>
      </w:tr>
      <w:tr w:rsidR="0006469C" w:rsidRPr="00071109" w:rsidTr="0006469C">
        <w:trPr>
          <w:trHeight w:val="300"/>
        </w:trPr>
        <w:tc>
          <w:tcPr>
            <w:tcW w:w="1321" w:type="pct"/>
            <w:tcBorders>
              <w:top w:val="nil"/>
              <w:left w:val="single" w:sz="4" w:space="0" w:color="auto"/>
              <w:bottom w:val="nil"/>
              <w:right w:val="nil"/>
            </w:tcBorders>
            <w:shd w:val="clear" w:color="auto" w:fill="auto"/>
            <w:vAlign w:val="bottom"/>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Expenses not foreseen in approved budget</w:t>
            </w:r>
          </w:p>
        </w:tc>
        <w:tc>
          <w:tcPr>
            <w:tcW w:w="624" w:type="pct"/>
            <w:tcBorders>
              <w:top w:val="nil"/>
              <w:left w:val="single" w:sz="4" w:space="0" w:color="auto"/>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556"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555" w:type="pct"/>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w:t>
            </w:r>
          </w:p>
        </w:tc>
        <w:tc>
          <w:tcPr>
            <w:tcW w:w="766" w:type="pct"/>
            <w:gridSpan w:val="2"/>
            <w:tcBorders>
              <w:top w:val="nil"/>
              <w:left w:val="nil"/>
              <w:bottom w:val="nil"/>
              <w:right w:val="single" w:sz="4" w:space="0" w:color="auto"/>
            </w:tcBorders>
            <w:shd w:val="clear" w:color="auto" w:fill="auto"/>
            <w:noWrap/>
            <w:vAlign w:val="bottom"/>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   </w:t>
            </w:r>
          </w:p>
        </w:tc>
        <w:tc>
          <w:tcPr>
            <w:tcW w:w="553" w:type="pct"/>
            <w:tcBorders>
              <w:top w:val="nil"/>
              <w:left w:val="nil"/>
              <w:bottom w:val="nil"/>
              <w:right w:val="single" w:sz="4" w:space="0" w:color="auto"/>
            </w:tcBorders>
            <w:shd w:val="clear" w:color="auto" w:fill="auto"/>
            <w:noWrap/>
            <w:vAlign w:val="bottom"/>
            <w:hideMark/>
          </w:tcPr>
          <w:p w:rsidR="00071109" w:rsidRPr="00071109" w:rsidRDefault="00071109" w:rsidP="00031C0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sidRPr="00071109">
              <w:rPr>
                <w:rFonts w:ascii="Arial" w:hAnsi="Arial" w:cs="Arial"/>
                <w:i/>
                <w:iCs/>
                <w:color w:val="000000"/>
                <w:sz w:val="16"/>
                <w:szCs w:val="16"/>
                <w:lang w:val="en-US" w:eastAsia="zh-CN"/>
              </w:rPr>
              <w:t xml:space="preserve">           </w:t>
            </w:r>
            <w:r w:rsidR="00031C08">
              <w:rPr>
                <w:rFonts w:ascii="Arial" w:hAnsi="Arial" w:cs="Arial"/>
                <w:i/>
                <w:iCs/>
                <w:color w:val="000000"/>
                <w:sz w:val="16"/>
                <w:szCs w:val="16"/>
                <w:lang w:val="en-US" w:eastAsia="zh-CN"/>
              </w:rPr>
              <w:t>4</w:t>
            </w:r>
            <w:r w:rsidRPr="00071109">
              <w:rPr>
                <w:rFonts w:ascii="Arial" w:hAnsi="Arial" w:cs="Arial"/>
                <w:i/>
                <w:iCs/>
                <w:color w:val="000000"/>
                <w:sz w:val="16"/>
                <w:szCs w:val="16"/>
                <w:lang w:val="en-US" w:eastAsia="zh-CN"/>
              </w:rPr>
              <w:t>,</w:t>
            </w:r>
            <w:r w:rsidR="00031C08">
              <w:rPr>
                <w:rFonts w:ascii="Arial" w:hAnsi="Arial" w:cs="Arial"/>
                <w:i/>
                <w:iCs/>
                <w:color w:val="000000"/>
                <w:sz w:val="16"/>
                <w:szCs w:val="16"/>
                <w:lang w:val="en-US" w:eastAsia="zh-CN"/>
              </w:rPr>
              <w:t>813</w:t>
            </w:r>
            <w:r w:rsidRPr="00071109">
              <w:rPr>
                <w:rFonts w:ascii="Arial" w:hAnsi="Arial" w:cs="Arial"/>
                <w:i/>
                <w:iCs/>
                <w:color w:val="000000"/>
                <w:sz w:val="16"/>
                <w:szCs w:val="16"/>
                <w:lang w:val="en-US" w:eastAsia="zh-CN"/>
              </w:rPr>
              <w:t xml:space="preserve"> </w:t>
            </w:r>
          </w:p>
        </w:tc>
        <w:tc>
          <w:tcPr>
            <w:tcW w:w="625" w:type="pct"/>
            <w:gridSpan w:val="2"/>
            <w:tcBorders>
              <w:top w:val="nil"/>
              <w:left w:val="nil"/>
              <w:bottom w:val="nil"/>
              <w:right w:val="single" w:sz="4" w:space="0" w:color="auto"/>
            </w:tcBorders>
            <w:shd w:val="clear" w:color="auto" w:fill="auto"/>
            <w:noWrap/>
            <w:vAlign w:val="bottom"/>
            <w:hideMark/>
          </w:tcPr>
          <w:p w:rsidR="00071109" w:rsidRPr="00071109" w:rsidRDefault="0006469C"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i/>
                <w:iCs/>
                <w:color w:val="000000"/>
                <w:sz w:val="16"/>
                <w:szCs w:val="16"/>
                <w:lang w:val="en-US" w:eastAsia="zh-CN"/>
              </w:rPr>
            </w:pPr>
            <w:r>
              <w:rPr>
                <w:rFonts w:ascii="Arial" w:hAnsi="Arial" w:cs="Arial"/>
                <w:i/>
                <w:iCs/>
                <w:color w:val="000000"/>
                <w:sz w:val="16"/>
                <w:szCs w:val="16"/>
                <w:lang w:val="en-US" w:eastAsia="zh-CN"/>
              </w:rPr>
              <w:t xml:space="preserve">         </w:t>
            </w:r>
            <w:r w:rsidR="00071109" w:rsidRPr="00071109">
              <w:rPr>
                <w:rFonts w:ascii="Arial" w:hAnsi="Arial" w:cs="Arial"/>
                <w:i/>
                <w:iCs/>
                <w:color w:val="000000"/>
                <w:sz w:val="16"/>
                <w:szCs w:val="16"/>
                <w:lang w:val="en-US" w:eastAsia="zh-CN"/>
              </w:rPr>
              <w:t xml:space="preserve">  -3,262 </w:t>
            </w:r>
          </w:p>
        </w:tc>
      </w:tr>
      <w:tr w:rsidR="0006469C" w:rsidRPr="00071109" w:rsidTr="0085402F">
        <w:trPr>
          <w:trHeight w:val="300"/>
        </w:trPr>
        <w:tc>
          <w:tcPr>
            <w:tcW w:w="1321" w:type="pct"/>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rsidR="00071109" w:rsidRPr="00071109" w:rsidRDefault="00E24157" w:rsidP="00E24157">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Pr>
                <w:rFonts w:ascii="Arial" w:hAnsi="Arial" w:cs="Arial"/>
                <w:b/>
                <w:bCs/>
                <w:color w:val="000000"/>
                <w:sz w:val="20"/>
                <w:lang w:val="en-US" w:eastAsia="zh-CN"/>
              </w:rPr>
              <w:t>T</w:t>
            </w:r>
            <w:r w:rsidR="00071109" w:rsidRPr="00071109">
              <w:rPr>
                <w:rFonts w:ascii="Arial" w:hAnsi="Arial" w:cs="Arial"/>
                <w:b/>
                <w:bCs/>
                <w:color w:val="000000"/>
                <w:sz w:val="20"/>
                <w:lang w:val="en-US" w:eastAsia="zh-CN"/>
              </w:rPr>
              <w:t xml:space="preserve">otal expenses  </w:t>
            </w:r>
          </w:p>
        </w:tc>
        <w:tc>
          <w:tcPr>
            <w:tcW w:w="62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xml:space="preserve">     159,877 </w:t>
            </w:r>
          </w:p>
        </w:tc>
        <w:tc>
          <w:tcPr>
            <w:tcW w:w="556"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w:t>
            </w:r>
          </w:p>
        </w:tc>
        <w:tc>
          <w:tcPr>
            <w:tcW w:w="555"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xml:space="preserve">            -   </w:t>
            </w:r>
          </w:p>
        </w:tc>
        <w:tc>
          <w:tcPr>
            <w:tcW w:w="766" w:type="pct"/>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xml:space="preserve">    159,877 </w:t>
            </w:r>
          </w:p>
        </w:tc>
        <w:tc>
          <w:tcPr>
            <w:tcW w:w="553"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71109" w:rsidRPr="00071109" w:rsidRDefault="00071109" w:rsidP="00031C08">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xml:space="preserve"> 15</w:t>
            </w:r>
            <w:r w:rsidR="00031C08">
              <w:rPr>
                <w:rFonts w:ascii="Arial" w:hAnsi="Arial" w:cs="Arial"/>
                <w:b/>
                <w:bCs/>
                <w:color w:val="000000"/>
                <w:sz w:val="20"/>
                <w:lang w:val="en-US" w:eastAsia="zh-CN"/>
              </w:rPr>
              <w:t>1</w:t>
            </w:r>
            <w:r w:rsidRPr="00071109">
              <w:rPr>
                <w:rFonts w:ascii="Arial" w:hAnsi="Arial" w:cs="Arial"/>
                <w:b/>
                <w:bCs/>
                <w:color w:val="000000"/>
                <w:sz w:val="20"/>
                <w:lang w:val="en-US" w:eastAsia="zh-CN"/>
              </w:rPr>
              <w:t>,</w:t>
            </w:r>
            <w:r w:rsidR="00031C08">
              <w:rPr>
                <w:rFonts w:ascii="Arial" w:hAnsi="Arial" w:cs="Arial"/>
                <w:b/>
                <w:bCs/>
                <w:color w:val="000000"/>
                <w:sz w:val="20"/>
                <w:lang w:val="en-US" w:eastAsia="zh-CN"/>
              </w:rPr>
              <w:t>774</w:t>
            </w:r>
            <w:r w:rsidRPr="00071109">
              <w:rPr>
                <w:rFonts w:ascii="Arial" w:hAnsi="Arial" w:cs="Arial"/>
                <w:b/>
                <w:bCs/>
                <w:color w:val="000000"/>
                <w:sz w:val="20"/>
                <w:lang w:val="en-US" w:eastAsia="zh-CN"/>
              </w:rPr>
              <w:t xml:space="preserve"> </w:t>
            </w:r>
          </w:p>
        </w:tc>
        <w:tc>
          <w:tcPr>
            <w:tcW w:w="625" w:type="pct"/>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xml:space="preserve">        9,654 </w:t>
            </w:r>
          </w:p>
        </w:tc>
      </w:tr>
      <w:tr w:rsidR="0006469C" w:rsidRPr="00071109" w:rsidTr="0006469C">
        <w:trPr>
          <w:trHeight w:val="300"/>
        </w:trPr>
        <w:tc>
          <w:tcPr>
            <w:tcW w:w="1321" w:type="pct"/>
            <w:tcBorders>
              <w:top w:val="nil"/>
              <w:left w:val="single" w:sz="4" w:space="0" w:color="auto"/>
              <w:bottom w:val="single" w:sz="4" w:space="0" w:color="auto"/>
              <w:right w:val="nil"/>
            </w:tcBorders>
            <w:shd w:val="clear" w:color="auto" w:fill="auto"/>
            <w:vAlign w:val="center"/>
            <w:hideMark/>
          </w:tcPr>
          <w:p w:rsidR="00071109" w:rsidRPr="00071109" w:rsidRDefault="00071109" w:rsidP="00071109">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Result</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w:t>
            </w:r>
          </w:p>
        </w:tc>
        <w:tc>
          <w:tcPr>
            <w:tcW w:w="556" w:type="pct"/>
            <w:tcBorders>
              <w:top w:val="nil"/>
              <w:left w:val="nil"/>
              <w:bottom w:val="single" w:sz="4" w:space="0" w:color="auto"/>
              <w:right w:val="single" w:sz="4" w:space="0" w:color="auto"/>
            </w:tcBorders>
            <w:shd w:val="clear" w:color="auto" w:fill="auto"/>
            <w:noWrap/>
            <w:vAlign w:val="center"/>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w:t>
            </w:r>
          </w:p>
        </w:tc>
        <w:tc>
          <w:tcPr>
            <w:tcW w:w="555" w:type="pct"/>
            <w:tcBorders>
              <w:top w:val="nil"/>
              <w:left w:val="nil"/>
              <w:bottom w:val="single" w:sz="4" w:space="0" w:color="auto"/>
              <w:right w:val="single" w:sz="4" w:space="0" w:color="auto"/>
            </w:tcBorders>
            <w:shd w:val="clear" w:color="auto" w:fill="auto"/>
            <w:noWrap/>
            <w:vAlign w:val="center"/>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w:t>
            </w:r>
          </w:p>
        </w:tc>
        <w:tc>
          <w:tcPr>
            <w:tcW w:w="553" w:type="pct"/>
            <w:tcBorders>
              <w:top w:val="nil"/>
              <w:left w:val="nil"/>
              <w:bottom w:val="single" w:sz="4" w:space="0" w:color="auto"/>
              <w:right w:val="single" w:sz="4" w:space="0" w:color="auto"/>
            </w:tcBorders>
            <w:shd w:val="clear" w:color="auto" w:fill="auto"/>
            <w:noWrap/>
            <w:vAlign w:val="center"/>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xml:space="preserve">     11,077 </w:t>
            </w:r>
          </w:p>
        </w:tc>
        <w:tc>
          <w:tcPr>
            <w:tcW w:w="625" w:type="pct"/>
            <w:gridSpan w:val="2"/>
            <w:tcBorders>
              <w:top w:val="nil"/>
              <w:left w:val="nil"/>
              <w:bottom w:val="single" w:sz="4" w:space="0" w:color="auto"/>
              <w:right w:val="single" w:sz="4" w:space="0" w:color="auto"/>
            </w:tcBorders>
            <w:shd w:val="clear" w:color="auto" w:fill="auto"/>
            <w:noWrap/>
            <w:vAlign w:val="center"/>
            <w:hideMark/>
          </w:tcPr>
          <w:p w:rsidR="00071109" w:rsidRPr="00071109" w:rsidRDefault="00071109" w:rsidP="0006469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color w:val="000000"/>
                <w:sz w:val="20"/>
                <w:lang w:val="en-US" w:eastAsia="zh-CN"/>
              </w:rPr>
            </w:pPr>
            <w:r w:rsidRPr="00071109">
              <w:rPr>
                <w:rFonts w:ascii="Arial" w:hAnsi="Arial" w:cs="Arial"/>
                <w:b/>
                <w:bCs/>
                <w:color w:val="000000"/>
                <w:sz w:val="20"/>
                <w:lang w:val="en-US" w:eastAsia="zh-CN"/>
              </w:rPr>
              <w:t xml:space="preserve">       12,327 </w:t>
            </w:r>
          </w:p>
        </w:tc>
      </w:tr>
    </w:tbl>
    <w:p w:rsidR="003D789A" w:rsidRDefault="007A32EE" w:rsidP="008A0416">
      <w:pPr>
        <w:pStyle w:val="Heading9"/>
        <w:snapToGrid w:val="0"/>
        <w:spacing w:before="0"/>
        <w:jc w:val="center"/>
        <w:rPr>
          <w:b w:val="0"/>
          <w:bCs/>
          <w:w w:val="105"/>
          <w:sz w:val="28"/>
          <w:szCs w:val="28"/>
          <w:lang w:val="en-US"/>
        </w:rPr>
      </w:pPr>
      <w:r>
        <w:rPr>
          <w:color w:val="000000"/>
          <w:lang w:val="en-US"/>
        </w:rPr>
        <w:br w:type="page"/>
      </w:r>
      <w:r w:rsidR="003D789A">
        <w:rPr>
          <w:b w:val="0"/>
          <w:bCs/>
          <w:w w:val="105"/>
          <w:sz w:val="28"/>
          <w:szCs w:val="28"/>
          <w:lang w:val="en-US"/>
        </w:rPr>
        <w:t xml:space="preserve">ANNEX </w:t>
      </w:r>
      <w:r w:rsidR="008A0416">
        <w:rPr>
          <w:b w:val="0"/>
          <w:bCs/>
          <w:w w:val="105"/>
          <w:sz w:val="28"/>
          <w:szCs w:val="28"/>
          <w:lang w:val="en-US"/>
        </w:rPr>
        <w:t>B</w:t>
      </w:r>
      <w:r w:rsidR="003D789A">
        <w:rPr>
          <w:b w:val="0"/>
          <w:bCs/>
          <w:w w:val="105"/>
          <w:sz w:val="28"/>
          <w:szCs w:val="28"/>
          <w:lang w:val="en-US"/>
        </w:rPr>
        <w:t>2</w:t>
      </w:r>
    </w:p>
    <w:p w:rsidR="003D789A" w:rsidRPr="002502E2" w:rsidRDefault="003D789A" w:rsidP="002502E2">
      <w:pPr>
        <w:snapToGrid w:val="0"/>
        <w:spacing w:after="120"/>
        <w:jc w:val="center"/>
        <w:rPr>
          <w:b/>
          <w:bCs/>
          <w:sz w:val="28"/>
          <w:szCs w:val="28"/>
          <w:lang w:val="en-US"/>
        </w:rPr>
      </w:pPr>
      <w:r w:rsidRPr="002502E2">
        <w:rPr>
          <w:b/>
          <w:bCs/>
          <w:sz w:val="28"/>
          <w:szCs w:val="28"/>
          <w:lang w:val="en-US"/>
        </w:rPr>
        <w:t xml:space="preserve">New </w:t>
      </w:r>
      <w:r w:rsidR="009623EA" w:rsidRPr="002502E2">
        <w:rPr>
          <w:b/>
          <w:bCs/>
          <w:sz w:val="28"/>
          <w:szCs w:val="28"/>
          <w:lang w:val="en-US"/>
        </w:rPr>
        <w:t>headquarter</w:t>
      </w:r>
      <w:r w:rsidR="004F4A3C">
        <w:rPr>
          <w:b/>
          <w:bCs/>
          <w:sz w:val="28"/>
          <w:szCs w:val="28"/>
          <w:lang w:val="en-US"/>
        </w:rPr>
        <w:t>s</w:t>
      </w:r>
      <w:r w:rsidR="009623EA" w:rsidRPr="002502E2">
        <w:rPr>
          <w:b/>
          <w:bCs/>
          <w:sz w:val="28"/>
          <w:szCs w:val="28"/>
          <w:lang w:val="en-US"/>
        </w:rPr>
        <w:t xml:space="preserve"> premises</w:t>
      </w:r>
    </w:p>
    <w:tbl>
      <w:tblPr>
        <w:tblW w:w="5000" w:type="pct"/>
        <w:jc w:val="center"/>
        <w:tblLook w:val="04A0" w:firstRow="1" w:lastRow="0" w:firstColumn="1" w:lastColumn="0" w:noHBand="0" w:noVBand="1"/>
      </w:tblPr>
      <w:tblGrid>
        <w:gridCol w:w="6091"/>
        <w:gridCol w:w="1843"/>
        <w:gridCol w:w="1837"/>
      </w:tblGrid>
      <w:tr w:rsidR="004651F8" w:rsidRPr="004651F8" w:rsidTr="006A0AC1">
        <w:trPr>
          <w:trHeight w:val="255"/>
          <w:jc w:val="center"/>
        </w:trPr>
        <w:tc>
          <w:tcPr>
            <w:tcW w:w="3117" w:type="pct"/>
            <w:tcBorders>
              <w:top w:val="single" w:sz="4" w:space="0" w:color="auto"/>
              <w:left w:val="single" w:sz="4" w:space="0" w:color="auto"/>
              <w:bottom w:val="single" w:sz="4" w:space="0" w:color="auto"/>
              <w:right w:val="nil"/>
            </w:tcBorders>
            <w:shd w:val="clear" w:color="auto" w:fill="auto"/>
            <w:noWrap/>
            <w:vAlign w:val="bottom"/>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4651F8">
              <w:rPr>
                <w:rFonts w:asciiTheme="minorHAnsi" w:hAnsiTheme="minorHAnsi" w:cs="Arial"/>
                <w:sz w:val="20"/>
                <w:lang w:val="en-US" w:eastAsia="zh-CN"/>
              </w:rPr>
              <w:t>(in thousands of Swiss francs)</w:t>
            </w:r>
          </w:p>
        </w:tc>
        <w:tc>
          <w:tcPr>
            <w:tcW w:w="943" w:type="pct"/>
            <w:tcBorders>
              <w:top w:val="single" w:sz="4" w:space="0" w:color="auto"/>
              <w:left w:val="single" w:sz="4" w:space="0" w:color="auto"/>
              <w:bottom w:val="single" w:sz="4" w:space="0" w:color="auto"/>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31/12/2018</w:t>
            </w:r>
          </w:p>
        </w:tc>
        <w:tc>
          <w:tcPr>
            <w:tcW w:w="941" w:type="pct"/>
            <w:tcBorders>
              <w:top w:val="single" w:sz="4" w:space="0" w:color="auto"/>
              <w:left w:val="nil"/>
              <w:bottom w:val="single" w:sz="4" w:space="0" w:color="auto"/>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31/12/2017</w:t>
            </w:r>
          </w:p>
        </w:tc>
      </w:tr>
      <w:tr w:rsidR="004651F8" w:rsidRPr="004651F8" w:rsidTr="006A0AC1">
        <w:trPr>
          <w:trHeight w:val="255"/>
          <w:jc w:val="center"/>
        </w:trPr>
        <w:tc>
          <w:tcPr>
            <w:tcW w:w="3117" w:type="pct"/>
            <w:tcBorders>
              <w:top w:val="nil"/>
              <w:left w:val="single" w:sz="4" w:space="0" w:color="auto"/>
              <w:bottom w:val="nil"/>
              <w:right w:val="nil"/>
            </w:tcBorders>
            <w:shd w:val="clear" w:color="auto" w:fill="auto"/>
            <w:noWrap/>
            <w:vAlign w:val="bottom"/>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4651F8">
              <w:rPr>
                <w:rFonts w:asciiTheme="minorHAnsi" w:hAnsiTheme="minorHAnsi" w:cs="Arial"/>
                <w:sz w:val="20"/>
                <w:lang w:val="en-US" w:eastAsia="zh-CN"/>
              </w:rPr>
              <w:t> </w:t>
            </w:r>
          </w:p>
        </w:tc>
        <w:tc>
          <w:tcPr>
            <w:tcW w:w="943" w:type="pct"/>
            <w:tcBorders>
              <w:top w:val="nil"/>
              <w:left w:val="single" w:sz="4" w:space="0" w:color="auto"/>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 </w:t>
            </w:r>
          </w:p>
        </w:tc>
        <w:tc>
          <w:tcPr>
            <w:tcW w:w="941" w:type="pct"/>
            <w:tcBorders>
              <w:top w:val="nil"/>
              <w:left w:val="nil"/>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 </w:t>
            </w:r>
          </w:p>
        </w:tc>
      </w:tr>
      <w:tr w:rsidR="004651F8" w:rsidRPr="004651F8" w:rsidTr="006A0AC1">
        <w:trPr>
          <w:trHeight w:val="255"/>
          <w:jc w:val="center"/>
        </w:trPr>
        <w:tc>
          <w:tcPr>
            <w:tcW w:w="3117" w:type="pct"/>
            <w:tcBorders>
              <w:top w:val="nil"/>
              <w:left w:val="single" w:sz="4" w:space="0" w:color="auto"/>
              <w:bottom w:val="nil"/>
              <w:right w:val="nil"/>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REVENUE</w:t>
            </w:r>
          </w:p>
        </w:tc>
        <w:tc>
          <w:tcPr>
            <w:tcW w:w="943" w:type="pct"/>
            <w:tcBorders>
              <w:top w:val="nil"/>
              <w:left w:val="single" w:sz="4" w:space="0" w:color="auto"/>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 </w:t>
            </w:r>
          </w:p>
        </w:tc>
        <w:tc>
          <w:tcPr>
            <w:tcW w:w="941" w:type="pct"/>
            <w:tcBorders>
              <w:top w:val="nil"/>
              <w:left w:val="nil"/>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 </w:t>
            </w:r>
          </w:p>
        </w:tc>
      </w:tr>
      <w:tr w:rsidR="004651F8" w:rsidRPr="004651F8" w:rsidTr="006A0AC1">
        <w:trPr>
          <w:trHeight w:val="255"/>
          <w:jc w:val="center"/>
        </w:trPr>
        <w:tc>
          <w:tcPr>
            <w:tcW w:w="3117" w:type="pct"/>
            <w:tcBorders>
              <w:top w:val="nil"/>
              <w:left w:val="single" w:sz="4" w:space="0" w:color="auto"/>
              <w:bottom w:val="nil"/>
              <w:right w:val="nil"/>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 </w:t>
            </w:r>
          </w:p>
        </w:tc>
        <w:tc>
          <w:tcPr>
            <w:tcW w:w="943" w:type="pct"/>
            <w:tcBorders>
              <w:top w:val="nil"/>
              <w:left w:val="single" w:sz="4" w:space="0" w:color="auto"/>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 </w:t>
            </w:r>
          </w:p>
        </w:tc>
        <w:tc>
          <w:tcPr>
            <w:tcW w:w="941" w:type="pct"/>
            <w:tcBorders>
              <w:top w:val="nil"/>
              <w:left w:val="nil"/>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 </w:t>
            </w:r>
          </w:p>
        </w:tc>
      </w:tr>
      <w:tr w:rsidR="004651F8" w:rsidRPr="004651F8" w:rsidTr="006A0AC1">
        <w:trPr>
          <w:trHeight w:val="255"/>
          <w:jc w:val="center"/>
        </w:trPr>
        <w:tc>
          <w:tcPr>
            <w:tcW w:w="3117" w:type="pct"/>
            <w:tcBorders>
              <w:top w:val="nil"/>
              <w:left w:val="single" w:sz="4" w:space="0" w:color="auto"/>
              <w:bottom w:val="nil"/>
              <w:right w:val="nil"/>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4651F8">
              <w:rPr>
                <w:rFonts w:asciiTheme="minorHAnsi" w:hAnsiTheme="minorHAnsi" w:cs="Arial"/>
                <w:sz w:val="20"/>
                <w:lang w:val="en-US" w:eastAsia="zh-CN"/>
              </w:rPr>
              <w:t>Operating revenue</w:t>
            </w:r>
          </w:p>
        </w:tc>
        <w:tc>
          <w:tcPr>
            <w:tcW w:w="943" w:type="pct"/>
            <w:tcBorders>
              <w:top w:val="nil"/>
              <w:left w:val="single" w:sz="4" w:space="0" w:color="auto"/>
              <w:bottom w:val="nil"/>
              <w:right w:val="single" w:sz="4" w:space="0" w:color="auto"/>
            </w:tcBorders>
            <w:shd w:val="clear" w:color="auto" w:fill="auto"/>
            <w:noWrap/>
            <w:vAlign w:val="bottom"/>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651F8">
              <w:rPr>
                <w:rFonts w:asciiTheme="minorHAnsi" w:hAnsiTheme="minorHAnsi" w:cs="Arial"/>
                <w:sz w:val="20"/>
                <w:lang w:val="en-US" w:eastAsia="zh-CN"/>
              </w:rPr>
              <w:t>0</w:t>
            </w:r>
          </w:p>
        </w:tc>
        <w:tc>
          <w:tcPr>
            <w:tcW w:w="941" w:type="pct"/>
            <w:tcBorders>
              <w:top w:val="nil"/>
              <w:left w:val="nil"/>
              <w:bottom w:val="nil"/>
              <w:right w:val="single" w:sz="4" w:space="0" w:color="auto"/>
            </w:tcBorders>
            <w:shd w:val="clear" w:color="auto" w:fill="auto"/>
            <w:noWrap/>
            <w:vAlign w:val="bottom"/>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20"/>
                <w:lang w:val="en-US" w:eastAsia="zh-CN"/>
              </w:rPr>
            </w:pPr>
            <w:r w:rsidRPr="004651F8">
              <w:rPr>
                <w:rFonts w:asciiTheme="minorHAnsi" w:hAnsiTheme="minorHAnsi" w:cs="Arial"/>
                <w:sz w:val="20"/>
                <w:lang w:val="en-US" w:eastAsia="zh-CN"/>
              </w:rPr>
              <w:t>48</w:t>
            </w:r>
          </w:p>
        </w:tc>
      </w:tr>
      <w:tr w:rsidR="004651F8" w:rsidRPr="004651F8" w:rsidTr="006A0AC1">
        <w:trPr>
          <w:trHeight w:val="255"/>
          <w:jc w:val="center"/>
        </w:trPr>
        <w:tc>
          <w:tcPr>
            <w:tcW w:w="3117" w:type="pct"/>
            <w:tcBorders>
              <w:top w:val="nil"/>
              <w:left w:val="single" w:sz="4" w:space="0" w:color="auto"/>
              <w:bottom w:val="nil"/>
              <w:right w:val="nil"/>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4651F8">
              <w:rPr>
                <w:rFonts w:asciiTheme="minorHAnsi" w:hAnsiTheme="minorHAnsi" w:cs="Arial"/>
                <w:sz w:val="20"/>
                <w:lang w:val="en-US" w:eastAsia="zh-CN"/>
              </w:rPr>
              <w:t> </w:t>
            </w:r>
          </w:p>
        </w:tc>
        <w:tc>
          <w:tcPr>
            <w:tcW w:w="943" w:type="pct"/>
            <w:tcBorders>
              <w:top w:val="nil"/>
              <w:left w:val="single" w:sz="4" w:space="0" w:color="auto"/>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 </w:t>
            </w:r>
          </w:p>
        </w:tc>
        <w:tc>
          <w:tcPr>
            <w:tcW w:w="941" w:type="pct"/>
            <w:tcBorders>
              <w:top w:val="nil"/>
              <w:left w:val="nil"/>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 </w:t>
            </w:r>
          </w:p>
        </w:tc>
      </w:tr>
      <w:tr w:rsidR="004651F8" w:rsidRPr="004651F8" w:rsidTr="006A0AC1">
        <w:trPr>
          <w:trHeight w:val="255"/>
          <w:jc w:val="center"/>
        </w:trPr>
        <w:tc>
          <w:tcPr>
            <w:tcW w:w="3117" w:type="pct"/>
            <w:tcBorders>
              <w:top w:val="single" w:sz="4" w:space="0" w:color="auto"/>
              <w:left w:val="single" w:sz="4" w:space="0" w:color="auto"/>
              <w:bottom w:val="single" w:sz="4" w:space="0" w:color="auto"/>
              <w:right w:val="nil"/>
            </w:tcBorders>
            <w:shd w:val="clear" w:color="000000" w:fill="C5D9F1"/>
            <w:noWrap/>
            <w:vAlign w:val="center"/>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Total revenue</w:t>
            </w:r>
          </w:p>
        </w:tc>
        <w:tc>
          <w:tcPr>
            <w:tcW w:w="943"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0</w:t>
            </w:r>
          </w:p>
        </w:tc>
        <w:tc>
          <w:tcPr>
            <w:tcW w:w="941" w:type="pct"/>
            <w:tcBorders>
              <w:top w:val="single" w:sz="4" w:space="0" w:color="auto"/>
              <w:left w:val="nil"/>
              <w:bottom w:val="single" w:sz="4" w:space="0" w:color="auto"/>
              <w:right w:val="single" w:sz="4" w:space="0" w:color="auto"/>
            </w:tcBorders>
            <w:shd w:val="clear" w:color="000000" w:fill="C5D9F1"/>
            <w:noWrap/>
            <w:vAlign w:val="center"/>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 </w:t>
            </w:r>
          </w:p>
        </w:tc>
      </w:tr>
      <w:tr w:rsidR="004651F8" w:rsidRPr="004651F8" w:rsidTr="006A0AC1">
        <w:trPr>
          <w:trHeight w:val="70"/>
          <w:jc w:val="center"/>
        </w:trPr>
        <w:tc>
          <w:tcPr>
            <w:tcW w:w="3117" w:type="pct"/>
            <w:tcBorders>
              <w:top w:val="nil"/>
              <w:left w:val="single" w:sz="4" w:space="0" w:color="auto"/>
              <w:bottom w:val="nil"/>
              <w:right w:val="nil"/>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 </w:t>
            </w:r>
          </w:p>
        </w:tc>
        <w:tc>
          <w:tcPr>
            <w:tcW w:w="943" w:type="pct"/>
            <w:tcBorders>
              <w:top w:val="nil"/>
              <w:left w:val="single" w:sz="4" w:space="0" w:color="auto"/>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 </w:t>
            </w:r>
          </w:p>
        </w:tc>
        <w:tc>
          <w:tcPr>
            <w:tcW w:w="941" w:type="pct"/>
            <w:tcBorders>
              <w:top w:val="nil"/>
              <w:left w:val="nil"/>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 </w:t>
            </w:r>
          </w:p>
        </w:tc>
      </w:tr>
      <w:tr w:rsidR="004651F8" w:rsidRPr="004651F8" w:rsidTr="006A0AC1">
        <w:trPr>
          <w:trHeight w:val="315"/>
          <w:jc w:val="center"/>
        </w:trPr>
        <w:tc>
          <w:tcPr>
            <w:tcW w:w="3117" w:type="pct"/>
            <w:tcBorders>
              <w:top w:val="nil"/>
              <w:left w:val="single" w:sz="4" w:space="0" w:color="auto"/>
              <w:bottom w:val="nil"/>
              <w:right w:val="nil"/>
            </w:tcBorders>
            <w:shd w:val="clear" w:color="auto" w:fill="auto"/>
            <w:noWrap/>
            <w:vAlign w:val="bottom"/>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EXPENSES</w:t>
            </w:r>
          </w:p>
        </w:tc>
        <w:tc>
          <w:tcPr>
            <w:tcW w:w="943" w:type="pct"/>
            <w:tcBorders>
              <w:top w:val="nil"/>
              <w:left w:val="single" w:sz="4" w:space="0" w:color="auto"/>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 </w:t>
            </w:r>
          </w:p>
        </w:tc>
        <w:tc>
          <w:tcPr>
            <w:tcW w:w="941" w:type="pct"/>
            <w:tcBorders>
              <w:top w:val="nil"/>
              <w:left w:val="nil"/>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 </w:t>
            </w:r>
          </w:p>
        </w:tc>
      </w:tr>
      <w:tr w:rsidR="004651F8" w:rsidRPr="004651F8" w:rsidTr="006A0AC1">
        <w:trPr>
          <w:trHeight w:val="255"/>
          <w:jc w:val="center"/>
        </w:trPr>
        <w:tc>
          <w:tcPr>
            <w:tcW w:w="3117" w:type="pct"/>
            <w:tcBorders>
              <w:top w:val="nil"/>
              <w:left w:val="single" w:sz="4" w:space="0" w:color="auto"/>
              <w:bottom w:val="nil"/>
              <w:right w:val="nil"/>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 </w:t>
            </w:r>
          </w:p>
        </w:tc>
        <w:tc>
          <w:tcPr>
            <w:tcW w:w="943" w:type="pct"/>
            <w:tcBorders>
              <w:top w:val="nil"/>
              <w:left w:val="single" w:sz="4" w:space="0" w:color="auto"/>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 </w:t>
            </w:r>
          </w:p>
        </w:tc>
        <w:tc>
          <w:tcPr>
            <w:tcW w:w="941" w:type="pct"/>
            <w:tcBorders>
              <w:top w:val="nil"/>
              <w:left w:val="nil"/>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 </w:t>
            </w:r>
          </w:p>
        </w:tc>
      </w:tr>
      <w:tr w:rsidR="004651F8" w:rsidRPr="004651F8" w:rsidTr="006A0AC1">
        <w:trPr>
          <w:trHeight w:val="255"/>
          <w:jc w:val="center"/>
        </w:trPr>
        <w:tc>
          <w:tcPr>
            <w:tcW w:w="3117" w:type="pct"/>
            <w:tcBorders>
              <w:top w:val="nil"/>
              <w:left w:val="single" w:sz="4" w:space="0" w:color="auto"/>
              <w:bottom w:val="nil"/>
              <w:right w:val="nil"/>
            </w:tcBorders>
            <w:shd w:val="clear" w:color="auto" w:fill="auto"/>
            <w:noWrap/>
            <w:vAlign w:val="bottom"/>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4651F8">
              <w:rPr>
                <w:rFonts w:asciiTheme="minorHAnsi" w:hAnsiTheme="minorHAnsi" w:cs="Arial"/>
                <w:sz w:val="20"/>
                <w:lang w:val="en-US" w:eastAsia="zh-CN"/>
              </w:rPr>
              <w:t>Employee expenses</w:t>
            </w:r>
          </w:p>
        </w:tc>
        <w:tc>
          <w:tcPr>
            <w:tcW w:w="943" w:type="pct"/>
            <w:tcBorders>
              <w:top w:val="nil"/>
              <w:left w:val="single" w:sz="4" w:space="0" w:color="auto"/>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171</w:t>
            </w:r>
          </w:p>
        </w:tc>
        <w:tc>
          <w:tcPr>
            <w:tcW w:w="941" w:type="pct"/>
            <w:tcBorders>
              <w:top w:val="nil"/>
              <w:left w:val="nil"/>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18</w:t>
            </w:r>
          </w:p>
        </w:tc>
      </w:tr>
      <w:tr w:rsidR="004651F8" w:rsidRPr="004651F8" w:rsidTr="006A0AC1">
        <w:trPr>
          <w:trHeight w:val="255"/>
          <w:jc w:val="center"/>
        </w:trPr>
        <w:tc>
          <w:tcPr>
            <w:tcW w:w="3117" w:type="pct"/>
            <w:tcBorders>
              <w:top w:val="nil"/>
              <w:left w:val="single" w:sz="4" w:space="0" w:color="auto"/>
              <w:bottom w:val="nil"/>
              <w:right w:val="nil"/>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4651F8">
              <w:rPr>
                <w:rFonts w:asciiTheme="minorHAnsi" w:hAnsiTheme="minorHAnsi" w:cs="Arial"/>
                <w:sz w:val="20"/>
                <w:lang w:val="en-US" w:eastAsia="zh-CN"/>
              </w:rPr>
              <w:t>Mission expenses</w:t>
            </w:r>
          </w:p>
        </w:tc>
        <w:tc>
          <w:tcPr>
            <w:tcW w:w="943" w:type="pct"/>
            <w:tcBorders>
              <w:top w:val="nil"/>
              <w:left w:val="single" w:sz="4" w:space="0" w:color="auto"/>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0</w:t>
            </w:r>
          </w:p>
        </w:tc>
        <w:tc>
          <w:tcPr>
            <w:tcW w:w="941" w:type="pct"/>
            <w:tcBorders>
              <w:top w:val="nil"/>
              <w:left w:val="nil"/>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52</w:t>
            </w:r>
          </w:p>
        </w:tc>
      </w:tr>
      <w:tr w:rsidR="004651F8" w:rsidRPr="004651F8" w:rsidTr="006A0AC1">
        <w:trPr>
          <w:trHeight w:val="255"/>
          <w:jc w:val="center"/>
        </w:trPr>
        <w:tc>
          <w:tcPr>
            <w:tcW w:w="3117" w:type="pct"/>
            <w:tcBorders>
              <w:top w:val="nil"/>
              <w:left w:val="single" w:sz="4" w:space="0" w:color="auto"/>
              <w:bottom w:val="nil"/>
              <w:right w:val="nil"/>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4651F8">
              <w:rPr>
                <w:rFonts w:asciiTheme="minorHAnsi" w:hAnsiTheme="minorHAnsi" w:cs="Arial"/>
                <w:sz w:val="20"/>
                <w:lang w:val="en-US" w:eastAsia="zh-CN"/>
              </w:rPr>
              <w:t>Contractual services</w:t>
            </w:r>
          </w:p>
        </w:tc>
        <w:tc>
          <w:tcPr>
            <w:tcW w:w="943" w:type="pct"/>
            <w:tcBorders>
              <w:top w:val="nil"/>
              <w:left w:val="single" w:sz="4" w:space="0" w:color="auto"/>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1</w:t>
            </w:r>
          </w:p>
        </w:tc>
        <w:tc>
          <w:tcPr>
            <w:tcW w:w="941" w:type="pct"/>
            <w:tcBorders>
              <w:top w:val="nil"/>
              <w:left w:val="nil"/>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287</w:t>
            </w:r>
          </w:p>
        </w:tc>
      </w:tr>
      <w:tr w:rsidR="004651F8" w:rsidRPr="004651F8" w:rsidTr="006A0AC1">
        <w:trPr>
          <w:trHeight w:val="255"/>
          <w:jc w:val="center"/>
        </w:trPr>
        <w:tc>
          <w:tcPr>
            <w:tcW w:w="3117" w:type="pct"/>
            <w:tcBorders>
              <w:top w:val="nil"/>
              <w:left w:val="single" w:sz="4" w:space="0" w:color="auto"/>
              <w:bottom w:val="nil"/>
              <w:right w:val="nil"/>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4651F8">
              <w:rPr>
                <w:rFonts w:asciiTheme="minorHAnsi" w:hAnsiTheme="minorHAnsi" w:cs="Arial"/>
                <w:sz w:val="20"/>
                <w:lang w:val="en-US" w:eastAsia="zh-CN"/>
              </w:rPr>
              <w:t>Rental and maintenance of premises and equipment</w:t>
            </w:r>
          </w:p>
        </w:tc>
        <w:tc>
          <w:tcPr>
            <w:tcW w:w="943" w:type="pct"/>
            <w:tcBorders>
              <w:top w:val="nil"/>
              <w:left w:val="single" w:sz="4" w:space="0" w:color="auto"/>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0</w:t>
            </w:r>
          </w:p>
        </w:tc>
        <w:tc>
          <w:tcPr>
            <w:tcW w:w="941" w:type="pct"/>
            <w:tcBorders>
              <w:top w:val="nil"/>
              <w:left w:val="nil"/>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35</w:t>
            </w:r>
          </w:p>
        </w:tc>
      </w:tr>
      <w:tr w:rsidR="004651F8" w:rsidRPr="004651F8" w:rsidTr="006A0AC1">
        <w:trPr>
          <w:trHeight w:val="255"/>
          <w:jc w:val="center"/>
        </w:trPr>
        <w:tc>
          <w:tcPr>
            <w:tcW w:w="3117" w:type="pct"/>
            <w:tcBorders>
              <w:top w:val="nil"/>
              <w:left w:val="single" w:sz="4" w:space="0" w:color="auto"/>
              <w:bottom w:val="nil"/>
              <w:right w:val="nil"/>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4651F8">
              <w:rPr>
                <w:rFonts w:asciiTheme="minorHAnsi" w:hAnsiTheme="minorHAnsi" w:cs="Arial"/>
                <w:sz w:val="20"/>
                <w:lang w:val="en-US" w:eastAsia="zh-CN"/>
              </w:rPr>
              <w:t>Equipment and supplies</w:t>
            </w:r>
          </w:p>
        </w:tc>
        <w:tc>
          <w:tcPr>
            <w:tcW w:w="943" w:type="pct"/>
            <w:tcBorders>
              <w:top w:val="nil"/>
              <w:left w:val="single" w:sz="4" w:space="0" w:color="auto"/>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15</w:t>
            </w:r>
          </w:p>
        </w:tc>
        <w:tc>
          <w:tcPr>
            <w:tcW w:w="941" w:type="pct"/>
            <w:tcBorders>
              <w:top w:val="nil"/>
              <w:left w:val="nil"/>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5</w:t>
            </w:r>
          </w:p>
        </w:tc>
      </w:tr>
      <w:tr w:rsidR="004651F8" w:rsidRPr="004651F8" w:rsidTr="006A0AC1">
        <w:trPr>
          <w:trHeight w:val="255"/>
          <w:jc w:val="center"/>
        </w:trPr>
        <w:tc>
          <w:tcPr>
            <w:tcW w:w="3117" w:type="pct"/>
            <w:tcBorders>
              <w:top w:val="nil"/>
              <w:left w:val="single" w:sz="4" w:space="0" w:color="auto"/>
              <w:bottom w:val="nil"/>
              <w:right w:val="nil"/>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4651F8">
              <w:rPr>
                <w:rFonts w:asciiTheme="minorHAnsi" w:hAnsiTheme="minorHAnsi" w:cs="Arial"/>
                <w:sz w:val="20"/>
                <w:lang w:val="en-US" w:eastAsia="zh-CN"/>
              </w:rPr>
              <w:t>Shipping, telecommunication and service expenses</w:t>
            </w:r>
          </w:p>
        </w:tc>
        <w:tc>
          <w:tcPr>
            <w:tcW w:w="943" w:type="pct"/>
            <w:tcBorders>
              <w:top w:val="nil"/>
              <w:left w:val="single" w:sz="4" w:space="0" w:color="auto"/>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0</w:t>
            </w:r>
          </w:p>
        </w:tc>
        <w:tc>
          <w:tcPr>
            <w:tcW w:w="941" w:type="pct"/>
            <w:tcBorders>
              <w:top w:val="nil"/>
              <w:left w:val="nil"/>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0</w:t>
            </w:r>
          </w:p>
        </w:tc>
      </w:tr>
      <w:tr w:rsidR="004651F8" w:rsidRPr="004651F8" w:rsidTr="006A0AC1">
        <w:trPr>
          <w:trHeight w:val="255"/>
          <w:jc w:val="center"/>
        </w:trPr>
        <w:tc>
          <w:tcPr>
            <w:tcW w:w="3117" w:type="pct"/>
            <w:tcBorders>
              <w:top w:val="nil"/>
              <w:left w:val="single" w:sz="4" w:space="0" w:color="auto"/>
              <w:bottom w:val="nil"/>
              <w:right w:val="nil"/>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4651F8">
              <w:rPr>
                <w:rFonts w:asciiTheme="minorHAnsi" w:hAnsiTheme="minorHAnsi" w:cs="Arial"/>
                <w:sz w:val="20"/>
                <w:lang w:val="en-US" w:eastAsia="zh-CN"/>
              </w:rPr>
              <w:t>Other expenses</w:t>
            </w:r>
          </w:p>
        </w:tc>
        <w:tc>
          <w:tcPr>
            <w:tcW w:w="943" w:type="pct"/>
            <w:tcBorders>
              <w:top w:val="nil"/>
              <w:left w:val="single" w:sz="4" w:space="0" w:color="auto"/>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0</w:t>
            </w:r>
          </w:p>
        </w:tc>
        <w:tc>
          <w:tcPr>
            <w:tcW w:w="941" w:type="pct"/>
            <w:tcBorders>
              <w:top w:val="nil"/>
              <w:left w:val="nil"/>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320</w:t>
            </w:r>
          </w:p>
        </w:tc>
      </w:tr>
      <w:tr w:rsidR="004651F8" w:rsidRPr="004651F8" w:rsidTr="006A0AC1">
        <w:trPr>
          <w:trHeight w:val="255"/>
          <w:jc w:val="center"/>
        </w:trPr>
        <w:tc>
          <w:tcPr>
            <w:tcW w:w="3117" w:type="pct"/>
            <w:tcBorders>
              <w:top w:val="nil"/>
              <w:left w:val="single" w:sz="4" w:space="0" w:color="auto"/>
              <w:bottom w:val="nil"/>
              <w:right w:val="nil"/>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4651F8">
              <w:rPr>
                <w:rFonts w:asciiTheme="minorHAnsi" w:hAnsiTheme="minorHAnsi" w:cs="Arial"/>
                <w:sz w:val="20"/>
                <w:lang w:val="en-US" w:eastAsia="zh-CN"/>
              </w:rPr>
              <w:t>Finance expenses</w:t>
            </w:r>
          </w:p>
        </w:tc>
        <w:tc>
          <w:tcPr>
            <w:tcW w:w="943" w:type="pct"/>
            <w:tcBorders>
              <w:top w:val="nil"/>
              <w:left w:val="single" w:sz="4" w:space="0" w:color="auto"/>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0</w:t>
            </w:r>
          </w:p>
        </w:tc>
        <w:tc>
          <w:tcPr>
            <w:tcW w:w="941" w:type="pct"/>
            <w:tcBorders>
              <w:top w:val="nil"/>
              <w:left w:val="nil"/>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0</w:t>
            </w:r>
          </w:p>
        </w:tc>
      </w:tr>
      <w:tr w:rsidR="004651F8" w:rsidRPr="004651F8" w:rsidTr="006A0AC1">
        <w:trPr>
          <w:trHeight w:val="80"/>
          <w:jc w:val="center"/>
        </w:trPr>
        <w:tc>
          <w:tcPr>
            <w:tcW w:w="3117" w:type="pct"/>
            <w:tcBorders>
              <w:top w:val="nil"/>
              <w:left w:val="single" w:sz="4" w:space="0" w:color="auto"/>
              <w:bottom w:val="nil"/>
              <w:right w:val="nil"/>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4651F8">
              <w:rPr>
                <w:rFonts w:asciiTheme="minorHAnsi" w:hAnsiTheme="minorHAnsi" w:cs="Arial"/>
                <w:sz w:val="20"/>
                <w:lang w:val="en-US" w:eastAsia="zh-CN"/>
              </w:rPr>
              <w:t> </w:t>
            </w:r>
          </w:p>
        </w:tc>
        <w:tc>
          <w:tcPr>
            <w:tcW w:w="943" w:type="pct"/>
            <w:tcBorders>
              <w:top w:val="nil"/>
              <w:left w:val="single" w:sz="4" w:space="0" w:color="auto"/>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 </w:t>
            </w:r>
          </w:p>
        </w:tc>
        <w:tc>
          <w:tcPr>
            <w:tcW w:w="941" w:type="pct"/>
            <w:tcBorders>
              <w:top w:val="nil"/>
              <w:left w:val="nil"/>
              <w:bottom w:val="nil"/>
              <w:right w:val="single" w:sz="4" w:space="0" w:color="auto"/>
            </w:tcBorders>
            <w:shd w:val="clear" w:color="auto" w:fill="auto"/>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 </w:t>
            </w:r>
          </w:p>
        </w:tc>
      </w:tr>
      <w:tr w:rsidR="004651F8" w:rsidRPr="004651F8" w:rsidTr="006A0AC1">
        <w:trPr>
          <w:trHeight w:val="255"/>
          <w:jc w:val="center"/>
        </w:trPr>
        <w:tc>
          <w:tcPr>
            <w:tcW w:w="3117" w:type="pct"/>
            <w:tcBorders>
              <w:top w:val="single" w:sz="4" w:space="0" w:color="auto"/>
              <w:left w:val="single" w:sz="4" w:space="0" w:color="auto"/>
              <w:bottom w:val="single" w:sz="4" w:space="0" w:color="auto"/>
              <w:right w:val="nil"/>
            </w:tcBorders>
            <w:shd w:val="clear" w:color="000000" w:fill="C5D9F1"/>
            <w:noWrap/>
            <w:vAlign w:val="center"/>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Total expenses</w:t>
            </w:r>
          </w:p>
        </w:tc>
        <w:tc>
          <w:tcPr>
            <w:tcW w:w="943"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188</w:t>
            </w:r>
          </w:p>
        </w:tc>
        <w:tc>
          <w:tcPr>
            <w:tcW w:w="941" w:type="pct"/>
            <w:tcBorders>
              <w:top w:val="single" w:sz="4" w:space="0" w:color="auto"/>
              <w:left w:val="nil"/>
              <w:bottom w:val="single" w:sz="4" w:space="0" w:color="auto"/>
              <w:right w:val="single" w:sz="4" w:space="0" w:color="auto"/>
            </w:tcBorders>
            <w:shd w:val="clear" w:color="000000" w:fill="C5D9F1"/>
            <w:noWrap/>
            <w:vAlign w:val="center"/>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 </w:t>
            </w:r>
            <w:r w:rsidRPr="00DA0E89">
              <w:rPr>
                <w:rFonts w:asciiTheme="minorHAnsi" w:hAnsiTheme="minorHAnsi" w:cs="Arial"/>
                <w:b/>
                <w:bCs/>
                <w:color w:val="000000"/>
                <w:sz w:val="20"/>
                <w:lang w:val="en-US" w:eastAsia="zh-CN"/>
              </w:rPr>
              <w:t>718</w:t>
            </w:r>
          </w:p>
        </w:tc>
      </w:tr>
      <w:tr w:rsidR="004651F8" w:rsidRPr="004651F8" w:rsidTr="006A0AC1">
        <w:trPr>
          <w:trHeight w:val="255"/>
          <w:jc w:val="center"/>
        </w:trPr>
        <w:tc>
          <w:tcPr>
            <w:tcW w:w="3117" w:type="pct"/>
            <w:tcBorders>
              <w:top w:val="nil"/>
              <w:left w:val="single" w:sz="4" w:space="0" w:color="auto"/>
              <w:bottom w:val="single" w:sz="4" w:space="0" w:color="auto"/>
              <w:right w:val="nil"/>
            </w:tcBorders>
            <w:shd w:val="clear" w:color="auto" w:fill="auto"/>
            <w:noWrap/>
            <w:vAlign w:val="center"/>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Surplus/deficit for the period</w:t>
            </w:r>
          </w:p>
        </w:tc>
        <w:tc>
          <w:tcPr>
            <w:tcW w:w="943" w:type="pct"/>
            <w:tcBorders>
              <w:top w:val="nil"/>
              <w:left w:val="single" w:sz="4" w:space="0" w:color="auto"/>
              <w:bottom w:val="single" w:sz="4" w:space="0" w:color="auto"/>
              <w:right w:val="single" w:sz="4" w:space="0" w:color="auto"/>
            </w:tcBorders>
            <w:shd w:val="clear" w:color="auto" w:fill="auto"/>
            <w:noWrap/>
            <w:vAlign w:val="center"/>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-188</w:t>
            </w:r>
          </w:p>
        </w:tc>
        <w:tc>
          <w:tcPr>
            <w:tcW w:w="941" w:type="pct"/>
            <w:tcBorders>
              <w:top w:val="nil"/>
              <w:left w:val="nil"/>
              <w:bottom w:val="single" w:sz="4" w:space="0" w:color="auto"/>
              <w:right w:val="single" w:sz="4" w:space="0" w:color="auto"/>
            </w:tcBorders>
            <w:shd w:val="clear" w:color="auto" w:fill="auto"/>
            <w:noWrap/>
            <w:vAlign w:val="center"/>
            <w:hideMark/>
          </w:tcPr>
          <w:p w:rsidR="004651F8" w:rsidRPr="004651F8" w:rsidRDefault="004651F8" w:rsidP="004651F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 </w:t>
            </w:r>
            <w:r w:rsidRPr="00DA0E89">
              <w:rPr>
                <w:rFonts w:asciiTheme="minorHAnsi" w:hAnsiTheme="minorHAnsi" w:cs="Arial"/>
                <w:color w:val="000000"/>
                <w:sz w:val="20"/>
                <w:lang w:val="en-US" w:eastAsia="zh-CN"/>
              </w:rPr>
              <w:t>-718</w:t>
            </w:r>
          </w:p>
        </w:tc>
      </w:tr>
    </w:tbl>
    <w:p w:rsidR="00860C6B" w:rsidRDefault="00860C6B" w:rsidP="00BE5761">
      <w:pPr>
        <w:tabs>
          <w:tab w:val="left" w:pos="851"/>
        </w:tabs>
        <w:spacing w:before="240"/>
        <w:rPr>
          <w:color w:val="000000"/>
          <w:lang w:val="en-US"/>
        </w:rPr>
      </w:pPr>
    </w:p>
    <w:tbl>
      <w:tblPr>
        <w:tblW w:w="5000" w:type="pct"/>
        <w:tblLook w:val="04A0" w:firstRow="1" w:lastRow="0" w:firstColumn="1" w:lastColumn="0" w:noHBand="0" w:noVBand="1"/>
      </w:tblPr>
      <w:tblGrid>
        <w:gridCol w:w="6137"/>
        <w:gridCol w:w="1817"/>
        <w:gridCol w:w="1817"/>
      </w:tblGrid>
      <w:tr w:rsidR="00DA0E89" w:rsidRPr="00DA0E89" w:rsidTr="00DA0E89">
        <w:trPr>
          <w:trHeight w:val="300"/>
        </w:trPr>
        <w:tc>
          <w:tcPr>
            <w:tcW w:w="3140" w:type="pct"/>
            <w:tcBorders>
              <w:top w:val="single" w:sz="4" w:space="0" w:color="auto"/>
              <w:left w:val="single" w:sz="4" w:space="0" w:color="auto"/>
              <w:bottom w:val="single" w:sz="4" w:space="0" w:color="auto"/>
              <w:right w:val="nil"/>
            </w:tcBorders>
            <w:shd w:val="clear" w:color="auto" w:fill="auto"/>
            <w:noWrap/>
            <w:vAlign w:val="bottom"/>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20"/>
                <w:lang w:val="en-US" w:eastAsia="zh-CN"/>
              </w:rPr>
            </w:pPr>
            <w:r w:rsidRPr="00DA0E89">
              <w:rPr>
                <w:rFonts w:asciiTheme="minorHAnsi" w:hAnsiTheme="minorHAnsi" w:cs="Arial"/>
                <w:sz w:val="20"/>
                <w:lang w:val="en-US" w:eastAsia="zh-CN"/>
              </w:rPr>
              <w:t>(in thousands of CHF)</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31/12/2018</w:t>
            </w:r>
          </w:p>
        </w:tc>
        <w:tc>
          <w:tcPr>
            <w:tcW w:w="930" w:type="pct"/>
            <w:tcBorders>
              <w:top w:val="single" w:sz="4" w:space="0" w:color="auto"/>
              <w:left w:val="nil"/>
              <w:bottom w:val="single" w:sz="4" w:space="0" w:color="auto"/>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31/12/2017</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ASSETS</w:t>
            </w:r>
          </w:p>
        </w:tc>
        <w:tc>
          <w:tcPr>
            <w:tcW w:w="93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c>
          <w:tcPr>
            <w:tcW w:w="930" w:type="pct"/>
            <w:tcBorders>
              <w:top w:val="nil"/>
              <w:left w:val="nil"/>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Current assets</w:t>
            </w:r>
          </w:p>
        </w:tc>
        <w:tc>
          <w:tcPr>
            <w:tcW w:w="93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c>
          <w:tcPr>
            <w:tcW w:w="930" w:type="pct"/>
            <w:tcBorders>
              <w:top w:val="nil"/>
              <w:left w:val="nil"/>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Cash and cash equivalents</w:t>
            </w:r>
          </w:p>
        </w:tc>
        <w:tc>
          <w:tcPr>
            <w:tcW w:w="93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xml:space="preserve">               296 </w:t>
            </w:r>
          </w:p>
        </w:tc>
        <w:tc>
          <w:tcPr>
            <w:tcW w:w="930" w:type="pct"/>
            <w:tcBorders>
              <w:top w:val="nil"/>
              <w:left w:val="nil"/>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xml:space="preserve">               407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Investments</w:t>
            </w:r>
          </w:p>
        </w:tc>
        <w:tc>
          <w:tcPr>
            <w:tcW w:w="93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c>
          <w:tcPr>
            <w:tcW w:w="930" w:type="pct"/>
            <w:tcBorders>
              <w:top w:val="nil"/>
              <w:left w:val="nil"/>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DA0E89" w:rsidRPr="00DA0E89" w:rsidTr="00DA0E89">
        <w:trPr>
          <w:trHeight w:val="300"/>
        </w:trPr>
        <w:tc>
          <w:tcPr>
            <w:tcW w:w="314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Total current assets </w:t>
            </w:r>
          </w:p>
        </w:tc>
        <w:tc>
          <w:tcPr>
            <w:tcW w:w="930" w:type="pct"/>
            <w:tcBorders>
              <w:top w:val="single" w:sz="4" w:space="0" w:color="auto"/>
              <w:left w:val="nil"/>
              <w:bottom w:val="single" w:sz="4" w:space="0" w:color="auto"/>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               296 </w:t>
            </w:r>
          </w:p>
        </w:tc>
        <w:tc>
          <w:tcPr>
            <w:tcW w:w="930" w:type="pct"/>
            <w:tcBorders>
              <w:top w:val="single" w:sz="4" w:space="0" w:color="auto"/>
              <w:left w:val="nil"/>
              <w:bottom w:val="single" w:sz="4" w:space="0" w:color="auto"/>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               407 </w:t>
            </w:r>
          </w:p>
        </w:tc>
      </w:tr>
      <w:tr w:rsidR="00DA0E89" w:rsidRPr="00DA0E89" w:rsidTr="00DA0E89">
        <w:trPr>
          <w:trHeight w:val="7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c>
          <w:tcPr>
            <w:tcW w:w="93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c>
          <w:tcPr>
            <w:tcW w:w="930" w:type="pct"/>
            <w:tcBorders>
              <w:top w:val="nil"/>
              <w:left w:val="nil"/>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Non-current assets</w:t>
            </w:r>
          </w:p>
        </w:tc>
        <w:tc>
          <w:tcPr>
            <w:tcW w:w="93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c>
          <w:tcPr>
            <w:tcW w:w="930" w:type="pct"/>
            <w:tcBorders>
              <w:top w:val="nil"/>
              <w:left w:val="nil"/>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Property, plant and equipment</w:t>
            </w:r>
          </w:p>
        </w:tc>
        <w:tc>
          <w:tcPr>
            <w:tcW w:w="93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c>
          <w:tcPr>
            <w:tcW w:w="930" w:type="pct"/>
            <w:tcBorders>
              <w:top w:val="nil"/>
              <w:left w:val="nil"/>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Intangible assets</w:t>
            </w:r>
          </w:p>
        </w:tc>
        <w:tc>
          <w:tcPr>
            <w:tcW w:w="93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c>
          <w:tcPr>
            <w:tcW w:w="930" w:type="pct"/>
            <w:tcBorders>
              <w:top w:val="nil"/>
              <w:left w:val="nil"/>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Assets under construction</w:t>
            </w:r>
          </w:p>
        </w:tc>
        <w:tc>
          <w:tcPr>
            <w:tcW w:w="93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xml:space="preserve">           1,279 </w:t>
            </w:r>
          </w:p>
        </w:tc>
        <w:tc>
          <w:tcPr>
            <w:tcW w:w="930" w:type="pct"/>
            <w:tcBorders>
              <w:top w:val="nil"/>
              <w:left w:val="nil"/>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Total non-current assets</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           1,279 </w:t>
            </w:r>
          </w:p>
        </w:tc>
        <w:tc>
          <w:tcPr>
            <w:tcW w:w="930" w:type="pct"/>
            <w:tcBorders>
              <w:top w:val="single" w:sz="4" w:space="0" w:color="auto"/>
              <w:left w:val="nil"/>
              <w:bottom w:val="single" w:sz="4" w:space="0" w:color="auto"/>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                  -   </w:t>
            </w:r>
          </w:p>
        </w:tc>
      </w:tr>
      <w:tr w:rsidR="00DA0E89" w:rsidRPr="00DA0E89" w:rsidTr="00DA0E89">
        <w:trPr>
          <w:trHeight w:val="300"/>
        </w:trPr>
        <w:tc>
          <w:tcPr>
            <w:tcW w:w="3140" w:type="pct"/>
            <w:tcBorders>
              <w:top w:val="single" w:sz="4" w:space="0" w:color="auto"/>
              <w:left w:val="single" w:sz="4" w:space="0" w:color="auto"/>
              <w:bottom w:val="single" w:sz="4" w:space="0" w:color="auto"/>
              <w:right w:val="nil"/>
            </w:tcBorders>
            <w:shd w:val="clear" w:color="000000" w:fill="C5D9F1"/>
            <w:noWrap/>
            <w:vAlign w:val="center"/>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Total ASSETS</w:t>
            </w:r>
          </w:p>
        </w:tc>
        <w:tc>
          <w:tcPr>
            <w:tcW w:w="930"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           1,575 </w:t>
            </w:r>
          </w:p>
        </w:tc>
        <w:tc>
          <w:tcPr>
            <w:tcW w:w="930" w:type="pct"/>
            <w:tcBorders>
              <w:top w:val="single" w:sz="4" w:space="0" w:color="auto"/>
              <w:left w:val="nil"/>
              <w:bottom w:val="single" w:sz="4" w:space="0" w:color="auto"/>
              <w:right w:val="single" w:sz="4" w:space="0" w:color="auto"/>
            </w:tcBorders>
            <w:shd w:val="clear" w:color="000000" w:fill="C5D9F1"/>
            <w:noWrap/>
            <w:vAlign w:val="center"/>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               407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LIABILITIES</w:t>
            </w:r>
          </w:p>
        </w:tc>
        <w:tc>
          <w:tcPr>
            <w:tcW w:w="93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w:t>
            </w:r>
          </w:p>
        </w:tc>
        <w:tc>
          <w:tcPr>
            <w:tcW w:w="930" w:type="pct"/>
            <w:tcBorders>
              <w:top w:val="nil"/>
              <w:left w:val="nil"/>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Current liabilities</w:t>
            </w:r>
          </w:p>
        </w:tc>
        <w:tc>
          <w:tcPr>
            <w:tcW w:w="93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w:t>
            </w:r>
          </w:p>
        </w:tc>
        <w:tc>
          <w:tcPr>
            <w:tcW w:w="930" w:type="pct"/>
            <w:tcBorders>
              <w:top w:val="nil"/>
              <w:left w:val="nil"/>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Suppliers and other creditors</w:t>
            </w:r>
          </w:p>
        </w:tc>
        <w:tc>
          <w:tcPr>
            <w:tcW w:w="93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xml:space="preserve">                 39 </w:t>
            </w:r>
          </w:p>
        </w:tc>
        <w:tc>
          <w:tcPr>
            <w:tcW w:w="930" w:type="pct"/>
            <w:tcBorders>
              <w:top w:val="nil"/>
              <w:left w:val="nil"/>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xml:space="preserve">               358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Total current liabilities</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                 39 </w:t>
            </w:r>
          </w:p>
        </w:tc>
        <w:tc>
          <w:tcPr>
            <w:tcW w:w="930" w:type="pct"/>
            <w:tcBorders>
              <w:top w:val="single" w:sz="4" w:space="0" w:color="auto"/>
              <w:left w:val="nil"/>
              <w:bottom w:val="single" w:sz="4" w:space="0" w:color="auto"/>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               358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c>
          <w:tcPr>
            <w:tcW w:w="93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w:t>
            </w:r>
          </w:p>
        </w:tc>
        <w:tc>
          <w:tcPr>
            <w:tcW w:w="930" w:type="pct"/>
            <w:tcBorders>
              <w:top w:val="nil"/>
              <w:left w:val="nil"/>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Non-current liabilities</w:t>
            </w:r>
          </w:p>
        </w:tc>
        <w:tc>
          <w:tcPr>
            <w:tcW w:w="93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w:t>
            </w:r>
          </w:p>
        </w:tc>
        <w:tc>
          <w:tcPr>
            <w:tcW w:w="930" w:type="pct"/>
            <w:tcBorders>
              <w:top w:val="nil"/>
              <w:left w:val="nil"/>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Borrowings</w:t>
            </w:r>
          </w:p>
        </w:tc>
        <w:tc>
          <w:tcPr>
            <w:tcW w:w="93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xml:space="preserve">           2,387 </w:t>
            </w:r>
          </w:p>
        </w:tc>
        <w:tc>
          <w:tcPr>
            <w:tcW w:w="930" w:type="pct"/>
            <w:tcBorders>
              <w:top w:val="nil"/>
              <w:left w:val="nil"/>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xml:space="preserve">               720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Employee benefits</w:t>
            </w:r>
          </w:p>
        </w:tc>
        <w:tc>
          <w:tcPr>
            <w:tcW w:w="93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xml:space="preserve">                    8 </w:t>
            </w:r>
          </w:p>
        </w:tc>
        <w:tc>
          <w:tcPr>
            <w:tcW w:w="930" w:type="pct"/>
            <w:tcBorders>
              <w:top w:val="nil"/>
              <w:left w:val="nil"/>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Total non-current liabilities</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           2,395 </w:t>
            </w:r>
          </w:p>
        </w:tc>
        <w:tc>
          <w:tcPr>
            <w:tcW w:w="930" w:type="pct"/>
            <w:tcBorders>
              <w:top w:val="single" w:sz="4" w:space="0" w:color="auto"/>
              <w:left w:val="nil"/>
              <w:bottom w:val="single" w:sz="4" w:space="0" w:color="auto"/>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               720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Own fund allocated</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             -859 </w:t>
            </w:r>
          </w:p>
        </w:tc>
        <w:tc>
          <w:tcPr>
            <w:tcW w:w="930" w:type="pct"/>
            <w:tcBorders>
              <w:top w:val="single" w:sz="4" w:space="0" w:color="auto"/>
              <w:left w:val="nil"/>
              <w:bottom w:val="single" w:sz="4" w:space="0" w:color="auto"/>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             -671 </w:t>
            </w:r>
          </w:p>
        </w:tc>
      </w:tr>
      <w:tr w:rsidR="00DA0E89" w:rsidRPr="00DA0E89" w:rsidTr="00DA0E89">
        <w:trPr>
          <w:trHeight w:val="300"/>
        </w:trPr>
        <w:tc>
          <w:tcPr>
            <w:tcW w:w="3140" w:type="pct"/>
            <w:tcBorders>
              <w:top w:val="nil"/>
              <w:left w:val="single" w:sz="4" w:space="0" w:color="auto"/>
              <w:bottom w:val="nil"/>
              <w:right w:val="nil"/>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c>
          <w:tcPr>
            <w:tcW w:w="930" w:type="pct"/>
            <w:tcBorders>
              <w:top w:val="nil"/>
              <w:left w:val="single" w:sz="4" w:space="0" w:color="auto"/>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c>
          <w:tcPr>
            <w:tcW w:w="930" w:type="pct"/>
            <w:tcBorders>
              <w:top w:val="nil"/>
              <w:left w:val="nil"/>
              <w:bottom w:val="nil"/>
              <w:right w:val="single" w:sz="4" w:space="0" w:color="auto"/>
            </w:tcBorders>
            <w:shd w:val="clear" w:color="auto" w:fill="auto"/>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DA0E89" w:rsidRPr="00DA0E89" w:rsidTr="00DA0E89">
        <w:trPr>
          <w:trHeight w:val="300"/>
        </w:trPr>
        <w:tc>
          <w:tcPr>
            <w:tcW w:w="3140" w:type="pct"/>
            <w:tcBorders>
              <w:top w:val="single" w:sz="4" w:space="0" w:color="auto"/>
              <w:left w:val="single" w:sz="4" w:space="0" w:color="auto"/>
              <w:bottom w:val="single" w:sz="4" w:space="0" w:color="auto"/>
              <w:right w:val="nil"/>
            </w:tcBorders>
            <w:shd w:val="clear" w:color="000000" w:fill="C5D9F1"/>
            <w:noWrap/>
            <w:vAlign w:val="center"/>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TOTAL LIABILITIES</w:t>
            </w:r>
          </w:p>
        </w:tc>
        <w:tc>
          <w:tcPr>
            <w:tcW w:w="930"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           1,575 </w:t>
            </w:r>
          </w:p>
        </w:tc>
        <w:tc>
          <w:tcPr>
            <w:tcW w:w="930" w:type="pct"/>
            <w:tcBorders>
              <w:top w:val="single" w:sz="4" w:space="0" w:color="auto"/>
              <w:left w:val="nil"/>
              <w:bottom w:val="single" w:sz="4" w:space="0" w:color="auto"/>
              <w:right w:val="single" w:sz="4" w:space="0" w:color="auto"/>
            </w:tcBorders>
            <w:shd w:val="clear" w:color="000000" w:fill="C5D9F1"/>
            <w:noWrap/>
            <w:vAlign w:val="center"/>
            <w:hideMark/>
          </w:tcPr>
          <w:p w:rsidR="00DA0E89" w:rsidRPr="00DA0E89" w:rsidRDefault="00DA0E89" w:rsidP="00DA0E89">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               407 </w:t>
            </w:r>
          </w:p>
        </w:tc>
      </w:tr>
    </w:tbl>
    <w:p w:rsidR="002502E2" w:rsidRDefault="002502E2">
      <w:pPr>
        <w:tabs>
          <w:tab w:val="clear" w:pos="567"/>
          <w:tab w:val="clear" w:pos="1134"/>
          <w:tab w:val="clear" w:pos="1701"/>
          <w:tab w:val="clear" w:pos="2268"/>
          <w:tab w:val="clear" w:pos="2835"/>
        </w:tabs>
        <w:overflowPunct/>
        <w:autoSpaceDE/>
        <w:autoSpaceDN/>
        <w:adjustRightInd/>
        <w:spacing w:before="0"/>
        <w:textAlignment w:val="auto"/>
        <w:rPr>
          <w:color w:val="000000"/>
          <w:lang w:val="en-US"/>
        </w:rPr>
      </w:pPr>
    </w:p>
    <w:p w:rsidR="0022373A" w:rsidRPr="001C2A98" w:rsidRDefault="003E338B" w:rsidP="008A0416">
      <w:pPr>
        <w:pStyle w:val="Heading9"/>
        <w:snapToGrid w:val="0"/>
        <w:spacing w:before="0"/>
        <w:jc w:val="center"/>
        <w:rPr>
          <w:b w:val="0"/>
          <w:bCs/>
          <w:w w:val="105"/>
          <w:sz w:val="28"/>
          <w:szCs w:val="28"/>
          <w:lang w:val="en-US"/>
        </w:rPr>
      </w:pPr>
      <w:bookmarkStart w:id="146" w:name="_Toc357006007"/>
      <w:r w:rsidRPr="004D6371">
        <w:rPr>
          <w:b w:val="0"/>
          <w:bCs/>
          <w:w w:val="105"/>
          <w:sz w:val="28"/>
          <w:szCs w:val="28"/>
          <w:lang w:val="en-US"/>
        </w:rPr>
        <w:t>A</w:t>
      </w:r>
      <w:r w:rsidR="00EA524F" w:rsidRPr="004D6371">
        <w:rPr>
          <w:b w:val="0"/>
          <w:bCs/>
          <w:w w:val="105"/>
          <w:sz w:val="28"/>
          <w:szCs w:val="28"/>
          <w:lang w:val="en-US"/>
        </w:rPr>
        <w:t xml:space="preserve">NNEX </w:t>
      </w:r>
      <w:r w:rsidR="008A0416">
        <w:rPr>
          <w:b w:val="0"/>
          <w:bCs/>
          <w:w w:val="105"/>
          <w:sz w:val="28"/>
          <w:szCs w:val="28"/>
          <w:lang w:val="en-US"/>
        </w:rPr>
        <w:t>B</w:t>
      </w:r>
      <w:bookmarkEnd w:id="146"/>
      <w:r w:rsidR="003D789A" w:rsidRPr="004D6371">
        <w:rPr>
          <w:b w:val="0"/>
          <w:bCs/>
          <w:w w:val="105"/>
          <w:sz w:val="28"/>
          <w:szCs w:val="28"/>
          <w:lang w:val="en-US"/>
        </w:rPr>
        <w:t>3</w:t>
      </w:r>
    </w:p>
    <w:p w:rsidR="00BC69AA" w:rsidRDefault="00BC69AA" w:rsidP="0089730A">
      <w:pPr>
        <w:pStyle w:val="Headingb"/>
        <w:snapToGrid w:val="0"/>
        <w:spacing w:before="0"/>
        <w:jc w:val="center"/>
        <w:rPr>
          <w:sz w:val="22"/>
          <w:szCs w:val="22"/>
          <w:lang w:val="en-US"/>
        </w:rPr>
      </w:pPr>
    </w:p>
    <w:p w:rsidR="0022373A" w:rsidRPr="002502E2" w:rsidRDefault="0022373A" w:rsidP="002502E2">
      <w:pPr>
        <w:pStyle w:val="Headingb"/>
        <w:snapToGrid w:val="0"/>
        <w:spacing w:before="0"/>
        <w:jc w:val="center"/>
        <w:rPr>
          <w:sz w:val="28"/>
          <w:szCs w:val="28"/>
          <w:lang w:val="en-US"/>
        </w:rPr>
      </w:pPr>
      <w:r w:rsidRPr="002502E2">
        <w:rPr>
          <w:sz w:val="28"/>
          <w:szCs w:val="28"/>
          <w:lang w:val="en-US"/>
        </w:rPr>
        <w:t>S</w:t>
      </w:r>
      <w:r w:rsidR="002502E2">
        <w:rPr>
          <w:sz w:val="28"/>
          <w:szCs w:val="28"/>
          <w:lang w:val="en-US"/>
        </w:rPr>
        <w:t xml:space="preserve">taff Superannuation and Benevolent Funds - </w:t>
      </w:r>
      <w:r w:rsidR="00834D1F" w:rsidRPr="002502E2">
        <w:rPr>
          <w:sz w:val="28"/>
          <w:szCs w:val="28"/>
          <w:lang w:val="en-US"/>
        </w:rPr>
        <w:t xml:space="preserve">See Note </w:t>
      </w:r>
      <w:r w:rsidR="0089730A" w:rsidRPr="002502E2">
        <w:rPr>
          <w:sz w:val="28"/>
          <w:szCs w:val="28"/>
          <w:lang w:val="en-US"/>
        </w:rPr>
        <w:t>2</w:t>
      </w:r>
    </w:p>
    <w:tbl>
      <w:tblPr>
        <w:tblW w:w="5000" w:type="pct"/>
        <w:tblLook w:val="04A0" w:firstRow="1" w:lastRow="0" w:firstColumn="1" w:lastColumn="0" w:noHBand="0" w:noVBand="1"/>
      </w:tblPr>
      <w:tblGrid>
        <w:gridCol w:w="4831"/>
        <w:gridCol w:w="1195"/>
        <w:gridCol w:w="1190"/>
        <w:gridCol w:w="1411"/>
        <w:gridCol w:w="1144"/>
      </w:tblGrid>
      <w:tr w:rsidR="00DC3DFD" w:rsidRPr="003D789A" w:rsidTr="0032355A">
        <w:trPr>
          <w:trHeight w:val="405"/>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DC3DFD" w:rsidRPr="003D789A" w:rsidRDefault="003D789A" w:rsidP="0032355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r>
              <w:rPr>
                <w:rFonts w:cs="Calibri"/>
                <w:b/>
                <w:bCs/>
                <w:sz w:val="20"/>
                <w:lang w:val="en-US"/>
              </w:rPr>
              <w:t>Statement of financial performance for the 201</w:t>
            </w:r>
            <w:r w:rsidR="0032355A">
              <w:rPr>
                <w:rFonts w:cs="Calibri"/>
                <w:b/>
                <w:bCs/>
                <w:sz w:val="20"/>
                <w:lang w:val="en-US"/>
              </w:rPr>
              <w:t>8</w:t>
            </w:r>
            <w:r>
              <w:rPr>
                <w:rFonts w:cs="Calibri"/>
                <w:b/>
                <w:bCs/>
                <w:sz w:val="20"/>
                <w:lang w:val="en-US"/>
              </w:rPr>
              <w:t xml:space="preserve"> period with 201</w:t>
            </w:r>
            <w:r w:rsidR="0032355A">
              <w:rPr>
                <w:rFonts w:cs="Calibri"/>
                <w:b/>
                <w:bCs/>
                <w:sz w:val="20"/>
                <w:lang w:val="en-US"/>
              </w:rPr>
              <w:t>7</w:t>
            </w:r>
            <w:r>
              <w:rPr>
                <w:rFonts w:cs="Calibri"/>
                <w:b/>
                <w:bCs/>
                <w:sz w:val="20"/>
                <w:lang w:val="en-US"/>
              </w:rPr>
              <w:t xml:space="preserve"> comparative figures</w:t>
            </w:r>
          </w:p>
        </w:tc>
      </w:tr>
      <w:tr w:rsidR="0032355A" w:rsidRPr="00DC3DFD" w:rsidTr="0032355A">
        <w:trPr>
          <w:trHeight w:val="615"/>
        </w:trPr>
        <w:tc>
          <w:tcPr>
            <w:tcW w:w="2540" w:type="pct"/>
            <w:tcBorders>
              <w:top w:val="single" w:sz="4" w:space="0" w:color="auto"/>
              <w:left w:val="single" w:sz="4" w:space="0" w:color="auto"/>
              <w:bottom w:val="nil"/>
              <w:right w:val="nil"/>
            </w:tcBorders>
            <w:shd w:val="clear" w:color="auto" w:fill="auto"/>
            <w:noWrap/>
            <w:vAlign w:val="center"/>
            <w:hideMark/>
          </w:tcPr>
          <w:p w:rsidR="003D789A" w:rsidRPr="003D789A"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3D789A">
              <w:rPr>
                <w:rFonts w:asciiTheme="minorHAnsi" w:hAnsiTheme="minorHAnsi"/>
                <w:sz w:val="22"/>
                <w:szCs w:val="22"/>
                <w:lang w:val="en-US" w:eastAsia="zh-CN"/>
              </w:rPr>
              <w:t> </w:t>
            </w:r>
          </w:p>
        </w:tc>
        <w:tc>
          <w:tcPr>
            <w:tcW w:w="1253" w:type="pct"/>
            <w:gridSpan w:val="2"/>
            <w:tcBorders>
              <w:top w:val="single" w:sz="4" w:space="0" w:color="auto"/>
              <w:left w:val="single" w:sz="4" w:space="0" w:color="auto"/>
              <w:bottom w:val="nil"/>
              <w:right w:val="single" w:sz="4" w:space="0" w:color="000000"/>
            </w:tcBorders>
            <w:shd w:val="clear" w:color="auto" w:fill="auto"/>
            <w:vAlign w:val="bottom"/>
            <w:hideMark/>
          </w:tcPr>
          <w:p w:rsidR="003D789A" w:rsidRPr="003D789A" w:rsidRDefault="003D789A" w:rsidP="003D789A">
            <w:pPr>
              <w:jc w:val="center"/>
              <w:rPr>
                <w:rFonts w:cs="Calibri"/>
                <w:b/>
                <w:bCs/>
                <w:sz w:val="18"/>
                <w:szCs w:val="18"/>
                <w:lang w:val="fr-FR"/>
              </w:rPr>
            </w:pPr>
            <w:r w:rsidRPr="003D789A">
              <w:rPr>
                <w:rFonts w:cs="Calibri"/>
                <w:b/>
                <w:bCs/>
                <w:sz w:val="18"/>
                <w:szCs w:val="18"/>
                <w:lang w:val="fr-FR"/>
              </w:rPr>
              <w:t xml:space="preserve">Reserve and </w:t>
            </w:r>
            <w:proofErr w:type="spellStart"/>
            <w:r w:rsidRPr="003D789A">
              <w:rPr>
                <w:rFonts w:cs="Calibri"/>
                <w:b/>
                <w:bCs/>
                <w:sz w:val="18"/>
                <w:szCs w:val="18"/>
                <w:lang w:val="fr-FR"/>
              </w:rPr>
              <w:t>Complement</w:t>
            </w:r>
            <w:proofErr w:type="spellEnd"/>
            <w:r w:rsidRPr="003D789A">
              <w:rPr>
                <w:rFonts w:cs="Calibri"/>
                <w:b/>
                <w:bCs/>
                <w:sz w:val="18"/>
                <w:szCs w:val="18"/>
                <w:lang w:val="fr-FR"/>
              </w:rPr>
              <w:t xml:space="preserve"> </w:t>
            </w:r>
            <w:proofErr w:type="spellStart"/>
            <w:r w:rsidRPr="003D789A">
              <w:rPr>
                <w:rFonts w:cs="Calibri"/>
                <w:b/>
                <w:bCs/>
                <w:sz w:val="18"/>
                <w:szCs w:val="18"/>
                <w:lang w:val="fr-FR"/>
              </w:rPr>
              <w:t>fund</w:t>
            </w:r>
            <w:proofErr w:type="spellEnd"/>
          </w:p>
        </w:tc>
        <w:tc>
          <w:tcPr>
            <w:tcW w:w="1207" w:type="pct"/>
            <w:gridSpan w:val="2"/>
            <w:tcBorders>
              <w:top w:val="single" w:sz="4" w:space="0" w:color="auto"/>
              <w:left w:val="nil"/>
              <w:bottom w:val="nil"/>
              <w:right w:val="single" w:sz="4" w:space="0" w:color="000000"/>
            </w:tcBorders>
            <w:shd w:val="clear" w:color="auto" w:fill="auto"/>
            <w:noWrap/>
            <w:vAlign w:val="center"/>
            <w:hideMark/>
          </w:tcPr>
          <w:p w:rsidR="003D789A" w:rsidRPr="00DC3DFD" w:rsidRDefault="003D789A" w:rsidP="003D789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8"/>
                <w:szCs w:val="18"/>
                <w:lang w:val="fr-CH" w:eastAsia="zh-CN"/>
              </w:rPr>
            </w:pPr>
            <w:r>
              <w:rPr>
                <w:rFonts w:cs="Calibri"/>
                <w:b/>
                <w:bCs/>
                <w:sz w:val="20"/>
              </w:rPr>
              <w:t>Assistance fund</w:t>
            </w:r>
          </w:p>
        </w:tc>
      </w:tr>
      <w:tr w:rsidR="0032355A" w:rsidRPr="00DC3DFD" w:rsidTr="0032355A">
        <w:trPr>
          <w:trHeight w:val="300"/>
        </w:trPr>
        <w:tc>
          <w:tcPr>
            <w:tcW w:w="2540" w:type="pct"/>
            <w:tcBorders>
              <w:top w:val="nil"/>
              <w:left w:val="single" w:sz="4" w:space="0" w:color="auto"/>
              <w:bottom w:val="single" w:sz="4" w:space="0" w:color="auto"/>
              <w:right w:val="nil"/>
            </w:tcBorders>
            <w:shd w:val="clear" w:color="auto" w:fill="auto"/>
            <w:noWrap/>
            <w:vAlign w:val="center"/>
            <w:hideMark/>
          </w:tcPr>
          <w:p w:rsidR="003D789A" w:rsidRPr="00DC3DFD"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DC3DFD">
              <w:rPr>
                <w:rFonts w:asciiTheme="minorHAnsi" w:hAnsiTheme="minorHAnsi"/>
                <w:sz w:val="22"/>
                <w:szCs w:val="22"/>
                <w:lang w:val="en-US" w:eastAsia="zh-CN"/>
              </w:rPr>
              <w:t> </w:t>
            </w:r>
          </w:p>
        </w:tc>
        <w:tc>
          <w:tcPr>
            <w:tcW w:w="1253" w:type="pct"/>
            <w:gridSpan w:val="2"/>
            <w:tcBorders>
              <w:top w:val="nil"/>
              <w:left w:val="single" w:sz="4" w:space="0" w:color="auto"/>
              <w:bottom w:val="single" w:sz="4" w:space="0" w:color="auto"/>
              <w:right w:val="nil"/>
            </w:tcBorders>
            <w:shd w:val="clear" w:color="auto" w:fill="auto"/>
            <w:noWrap/>
            <w:vAlign w:val="center"/>
            <w:hideMark/>
          </w:tcPr>
          <w:p w:rsidR="003D789A" w:rsidRPr="003D789A" w:rsidRDefault="003D789A" w:rsidP="003D789A">
            <w:pPr>
              <w:jc w:val="center"/>
              <w:rPr>
                <w:rFonts w:cs="Calibri"/>
                <w:sz w:val="18"/>
                <w:szCs w:val="18"/>
              </w:rPr>
            </w:pPr>
            <w:r w:rsidRPr="003D789A">
              <w:rPr>
                <w:rFonts w:cs="Calibri"/>
                <w:sz w:val="18"/>
                <w:szCs w:val="18"/>
              </w:rPr>
              <w:t>CHF</w:t>
            </w:r>
          </w:p>
        </w:tc>
        <w:tc>
          <w:tcPr>
            <w:tcW w:w="1207" w:type="pct"/>
            <w:gridSpan w:val="2"/>
            <w:tcBorders>
              <w:top w:val="nil"/>
              <w:left w:val="single" w:sz="4" w:space="0" w:color="auto"/>
              <w:bottom w:val="single" w:sz="4" w:space="0" w:color="auto"/>
              <w:right w:val="single" w:sz="4" w:space="0" w:color="000000"/>
            </w:tcBorders>
            <w:shd w:val="clear" w:color="auto" w:fill="auto"/>
            <w:noWrap/>
            <w:vAlign w:val="center"/>
            <w:hideMark/>
          </w:tcPr>
          <w:p w:rsidR="003D789A" w:rsidRPr="00DC3DFD" w:rsidRDefault="003D789A" w:rsidP="003D789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r w:rsidRPr="00DC3DFD">
              <w:rPr>
                <w:rFonts w:asciiTheme="minorHAnsi" w:hAnsiTheme="minorHAnsi"/>
                <w:sz w:val="20"/>
                <w:lang w:val="en-US" w:eastAsia="zh-CN"/>
              </w:rPr>
              <w:t>CHF</w:t>
            </w:r>
          </w:p>
        </w:tc>
      </w:tr>
      <w:tr w:rsidR="0032355A" w:rsidRPr="00DC3DFD" w:rsidTr="0032355A">
        <w:trPr>
          <w:trHeight w:val="300"/>
        </w:trPr>
        <w:tc>
          <w:tcPr>
            <w:tcW w:w="2540"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61" w:type="pct"/>
            <w:tcBorders>
              <w:top w:val="nil"/>
              <w:left w:val="nil"/>
              <w:bottom w:val="nil"/>
              <w:right w:val="single" w:sz="4" w:space="0" w:color="auto"/>
            </w:tcBorders>
            <w:shd w:val="clear" w:color="auto" w:fill="auto"/>
            <w:noWrap/>
            <w:vAlign w:val="center"/>
            <w:hideMark/>
          </w:tcPr>
          <w:p w:rsidR="00DC3DFD" w:rsidRPr="00DC3DFD" w:rsidRDefault="00DC3DFD" w:rsidP="0032355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201</w:t>
            </w:r>
            <w:r w:rsidR="0032355A">
              <w:rPr>
                <w:rFonts w:asciiTheme="minorHAnsi" w:hAnsiTheme="minorHAnsi"/>
                <w:sz w:val="18"/>
                <w:szCs w:val="18"/>
                <w:lang w:val="en-US" w:eastAsia="zh-CN"/>
              </w:rPr>
              <w:t>8</w:t>
            </w:r>
          </w:p>
        </w:tc>
        <w:tc>
          <w:tcPr>
            <w:tcW w:w="592" w:type="pct"/>
            <w:tcBorders>
              <w:top w:val="nil"/>
              <w:left w:val="nil"/>
              <w:bottom w:val="nil"/>
              <w:right w:val="single" w:sz="4" w:space="0" w:color="auto"/>
            </w:tcBorders>
            <w:shd w:val="clear" w:color="auto" w:fill="auto"/>
            <w:noWrap/>
            <w:vAlign w:val="center"/>
            <w:hideMark/>
          </w:tcPr>
          <w:p w:rsidR="00DC3DFD" w:rsidRPr="00DC3DFD" w:rsidRDefault="00DC3DFD" w:rsidP="0032355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201</w:t>
            </w:r>
            <w:r w:rsidR="0032355A">
              <w:rPr>
                <w:rFonts w:asciiTheme="minorHAnsi" w:hAnsiTheme="minorHAnsi"/>
                <w:sz w:val="18"/>
                <w:szCs w:val="18"/>
                <w:lang w:val="en-US" w:eastAsia="zh-CN"/>
              </w:rPr>
              <w:t>7</w:t>
            </w:r>
          </w:p>
        </w:tc>
        <w:tc>
          <w:tcPr>
            <w:tcW w:w="535" w:type="pct"/>
            <w:tcBorders>
              <w:top w:val="nil"/>
              <w:left w:val="nil"/>
              <w:bottom w:val="nil"/>
              <w:right w:val="single" w:sz="4" w:space="0" w:color="auto"/>
            </w:tcBorders>
            <w:shd w:val="clear" w:color="auto" w:fill="auto"/>
            <w:noWrap/>
            <w:vAlign w:val="center"/>
            <w:hideMark/>
          </w:tcPr>
          <w:p w:rsidR="00DC3DFD" w:rsidRPr="00DC3DFD" w:rsidRDefault="00DC3DFD" w:rsidP="0032355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201</w:t>
            </w:r>
            <w:r w:rsidR="0032355A">
              <w:rPr>
                <w:rFonts w:asciiTheme="minorHAnsi" w:hAnsiTheme="minorHAnsi"/>
                <w:sz w:val="18"/>
                <w:szCs w:val="18"/>
                <w:lang w:val="en-US" w:eastAsia="zh-CN"/>
              </w:rPr>
              <w:t>8</w:t>
            </w:r>
          </w:p>
        </w:tc>
        <w:tc>
          <w:tcPr>
            <w:tcW w:w="672" w:type="pct"/>
            <w:tcBorders>
              <w:top w:val="nil"/>
              <w:left w:val="nil"/>
              <w:bottom w:val="nil"/>
              <w:right w:val="single" w:sz="4" w:space="0" w:color="auto"/>
            </w:tcBorders>
            <w:shd w:val="clear" w:color="auto" w:fill="auto"/>
            <w:noWrap/>
            <w:vAlign w:val="center"/>
            <w:hideMark/>
          </w:tcPr>
          <w:p w:rsidR="00DC3DFD" w:rsidRPr="00DC3DFD" w:rsidRDefault="00DC3DFD" w:rsidP="0032355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201</w:t>
            </w:r>
            <w:r w:rsidR="0032355A">
              <w:rPr>
                <w:rFonts w:asciiTheme="minorHAnsi" w:hAnsiTheme="minorHAnsi"/>
                <w:sz w:val="18"/>
                <w:szCs w:val="18"/>
                <w:lang w:val="en-US" w:eastAsia="zh-CN"/>
              </w:rPr>
              <w:t>7</w:t>
            </w:r>
          </w:p>
        </w:tc>
      </w:tr>
      <w:tr w:rsidR="0032355A" w:rsidRPr="00DC3DFD" w:rsidTr="0032355A">
        <w:trPr>
          <w:trHeight w:val="300"/>
        </w:trPr>
        <w:tc>
          <w:tcPr>
            <w:tcW w:w="2540" w:type="pct"/>
            <w:tcBorders>
              <w:top w:val="nil"/>
              <w:left w:val="single" w:sz="4" w:space="0" w:color="auto"/>
              <w:bottom w:val="nil"/>
              <w:right w:val="single" w:sz="4" w:space="0" w:color="auto"/>
            </w:tcBorders>
            <w:shd w:val="clear" w:color="auto" w:fill="auto"/>
            <w:noWrap/>
            <w:vAlign w:val="center"/>
            <w:hideMark/>
          </w:tcPr>
          <w:p w:rsidR="00DC3DFD" w:rsidRPr="00DC3DFD"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u w:val="single"/>
                <w:lang w:val="en-US" w:eastAsia="zh-CN"/>
              </w:rPr>
            </w:pPr>
            <w:r>
              <w:rPr>
                <w:rFonts w:asciiTheme="minorHAnsi" w:hAnsiTheme="minorHAnsi"/>
                <w:sz w:val="18"/>
                <w:szCs w:val="18"/>
                <w:u w:val="single"/>
                <w:lang w:val="en-US" w:eastAsia="zh-CN"/>
              </w:rPr>
              <w:t>EXPENSES</w:t>
            </w:r>
          </w:p>
        </w:tc>
        <w:tc>
          <w:tcPr>
            <w:tcW w:w="661" w:type="pct"/>
            <w:tcBorders>
              <w:top w:val="nil"/>
              <w:left w:val="nil"/>
              <w:bottom w:val="nil"/>
              <w:right w:val="nil"/>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u w:val="single"/>
                <w:lang w:val="en-US" w:eastAsia="zh-CN"/>
              </w:rPr>
            </w:pPr>
          </w:p>
        </w:tc>
        <w:tc>
          <w:tcPr>
            <w:tcW w:w="592"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35" w:type="pct"/>
            <w:tcBorders>
              <w:top w:val="nil"/>
              <w:left w:val="nil"/>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72" w:type="pct"/>
            <w:tcBorders>
              <w:top w:val="nil"/>
              <w:left w:val="nil"/>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32355A" w:rsidRPr="00DC3DFD" w:rsidTr="0032355A">
        <w:trPr>
          <w:trHeight w:val="300"/>
        </w:trPr>
        <w:tc>
          <w:tcPr>
            <w:tcW w:w="2540"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DC3DFD">
              <w:rPr>
                <w:rFonts w:asciiTheme="minorHAnsi" w:hAnsiTheme="minorHAnsi"/>
                <w:sz w:val="22"/>
                <w:szCs w:val="22"/>
                <w:lang w:val="en-US" w:eastAsia="zh-CN"/>
              </w:rPr>
              <w:t> </w:t>
            </w:r>
          </w:p>
        </w:tc>
        <w:tc>
          <w:tcPr>
            <w:tcW w:w="661" w:type="pct"/>
            <w:tcBorders>
              <w:top w:val="nil"/>
              <w:left w:val="nil"/>
              <w:bottom w:val="nil"/>
              <w:right w:val="nil"/>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p>
        </w:tc>
        <w:tc>
          <w:tcPr>
            <w:tcW w:w="592" w:type="pct"/>
            <w:tcBorders>
              <w:top w:val="nil"/>
              <w:left w:val="single" w:sz="4" w:space="0" w:color="auto"/>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DC3DFD">
              <w:rPr>
                <w:rFonts w:asciiTheme="minorHAnsi" w:hAnsiTheme="minorHAnsi"/>
                <w:sz w:val="22"/>
                <w:szCs w:val="22"/>
                <w:lang w:val="en-US" w:eastAsia="zh-CN"/>
              </w:rPr>
              <w:t> </w:t>
            </w:r>
          </w:p>
        </w:tc>
        <w:tc>
          <w:tcPr>
            <w:tcW w:w="535" w:type="pct"/>
            <w:tcBorders>
              <w:top w:val="nil"/>
              <w:left w:val="nil"/>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DC3DFD">
              <w:rPr>
                <w:rFonts w:asciiTheme="minorHAnsi" w:hAnsiTheme="minorHAnsi"/>
                <w:sz w:val="22"/>
                <w:szCs w:val="22"/>
                <w:lang w:val="en-US" w:eastAsia="zh-CN"/>
              </w:rPr>
              <w:t> </w:t>
            </w:r>
          </w:p>
        </w:tc>
        <w:tc>
          <w:tcPr>
            <w:tcW w:w="672" w:type="pct"/>
            <w:tcBorders>
              <w:top w:val="nil"/>
              <w:left w:val="nil"/>
              <w:bottom w:val="nil"/>
              <w:right w:val="single" w:sz="4" w:space="0" w:color="auto"/>
            </w:tcBorders>
            <w:shd w:val="clear" w:color="auto" w:fill="auto"/>
            <w:noWrap/>
            <w:vAlign w:val="center"/>
            <w:hideMark/>
          </w:tcPr>
          <w:p w:rsidR="00DC3DFD" w:rsidRPr="00DC3DFD" w:rsidRDefault="00DC3DFD" w:rsidP="00DC3DF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DC3DFD">
              <w:rPr>
                <w:rFonts w:asciiTheme="minorHAnsi" w:hAnsiTheme="minorHAnsi"/>
                <w:sz w:val="22"/>
                <w:szCs w:val="22"/>
                <w:lang w:val="en-US" w:eastAsia="zh-CN"/>
              </w:rPr>
              <w:t> </w:t>
            </w:r>
          </w:p>
        </w:tc>
      </w:tr>
      <w:tr w:rsidR="0032355A" w:rsidRPr="00DC3DFD" w:rsidTr="0032355A">
        <w:trPr>
          <w:trHeight w:val="300"/>
        </w:trPr>
        <w:tc>
          <w:tcPr>
            <w:tcW w:w="2540" w:type="pct"/>
            <w:tcBorders>
              <w:top w:val="nil"/>
              <w:left w:val="single" w:sz="4" w:space="0" w:color="auto"/>
              <w:bottom w:val="nil"/>
              <w:right w:val="single" w:sz="4" w:space="0" w:color="auto"/>
            </w:tcBorders>
            <w:shd w:val="clear" w:color="auto" w:fill="auto"/>
            <w:noWrap/>
            <w:vAlign w:val="center"/>
            <w:hideMark/>
          </w:tcPr>
          <w:p w:rsidR="0032355A" w:rsidRPr="003D2130"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Pensions</w:t>
            </w:r>
          </w:p>
        </w:tc>
        <w:tc>
          <w:tcPr>
            <w:tcW w:w="661" w:type="pct"/>
            <w:tcBorders>
              <w:top w:val="nil"/>
              <w:left w:val="nil"/>
              <w:bottom w:val="nil"/>
              <w:right w:val="nil"/>
            </w:tcBorders>
            <w:shd w:val="clear" w:color="auto" w:fill="auto"/>
            <w:noWrap/>
            <w:vAlign w:val="center"/>
            <w:hideMark/>
          </w:tcPr>
          <w:p w:rsidR="0032355A" w:rsidRPr="003D2130"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 xml:space="preserve">      </w:t>
            </w:r>
            <w:r>
              <w:rPr>
                <w:rFonts w:asciiTheme="minorHAnsi" w:hAnsiTheme="minorHAnsi"/>
                <w:sz w:val="18"/>
                <w:szCs w:val="18"/>
                <w:lang w:val="en-US" w:eastAsia="zh-CN"/>
              </w:rPr>
              <w:t>19</w:t>
            </w:r>
            <w:r w:rsidRPr="003D2130">
              <w:rPr>
                <w:rFonts w:asciiTheme="minorHAnsi" w:hAnsiTheme="minorHAnsi"/>
                <w:sz w:val="18"/>
                <w:szCs w:val="18"/>
                <w:lang w:val="en-US" w:eastAsia="zh-CN"/>
              </w:rPr>
              <w:t>,</w:t>
            </w:r>
            <w:r>
              <w:rPr>
                <w:rFonts w:asciiTheme="minorHAnsi" w:hAnsiTheme="minorHAnsi"/>
                <w:sz w:val="18"/>
                <w:szCs w:val="18"/>
                <w:lang w:val="en-US" w:eastAsia="zh-CN"/>
              </w:rPr>
              <w:t>363.</w:t>
            </w:r>
            <w:r w:rsidRPr="003D2130">
              <w:rPr>
                <w:rFonts w:asciiTheme="minorHAnsi" w:hAnsiTheme="minorHAnsi"/>
                <w:sz w:val="18"/>
                <w:szCs w:val="18"/>
                <w:lang w:val="en-US" w:eastAsia="zh-CN"/>
              </w:rPr>
              <w:t xml:space="preserve">80 </w:t>
            </w:r>
          </w:p>
        </w:tc>
        <w:tc>
          <w:tcPr>
            <w:tcW w:w="592" w:type="pct"/>
            <w:tcBorders>
              <w:top w:val="nil"/>
              <w:left w:val="single" w:sz="4" w:space="0" w:color="auto"/>
              <w:bottom w:val="nil"/>
              <w:right w:val="nil"/>
            </w:tcBorders>
            <w:shd w:val="clear" w:color="auto" w:fill="auto"/>
            <w:noWrap/>
            <w:vAlign w:val="center"/>
            <w:hideMark/>
          </w:tcPr>
          <w:p w:rsidR="0032355A" w:rsidRPr="003D2130"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 xml:space="preserve">      21,862.80 </w:t>
            </w:r>
          </w:p>
        </w:tc>
        <w:tc>
          <w:tcPr>
            <w:tcW w:w="535" w:type="pct"/>
            <w:tcBorders>
              <w:top w:val="nil"/>
              <w:left w:val="single" w:sz="4" w:space="0" w:color="auto"/>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672"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r>
      <w:tr w:rsidR="0032355A" w:rsidRPr="00DC3DFD" w:rsidTr="0032355A">
        <w:trPr>
          <w:trHeight w:val="300"/>
        </w:trPr>
        <w:tc>
          <w:tcPr>
            <w:tcW w:w="2540" w:type="pct"/>
            <w:tcBorders>
              <w:top w:val="nil"/>
              <w:left w:val="single" w:sz="4" w:space="0" w:color="auto"/>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Don</w:t>
            </w:r>
            <w:r>
              <w:rPr>
                <w:rFonts w:asciiTheme="minorHAnsi" w:hAnsiTheme="minorHAnsi"/>
                <w:sz w:val="18"/>
                <w:szCs w:val="18"/>
                <w:lang w:val="en-US" w:eastAsia="zh-CN"/>
              </w:rPr>
              <w:t>ation</w:t>
            </w:r>
            <w:r w:rsidRPr="00DC3DFD">
              <w:rPr>
                <w:rFonts w:asciiTheme="minorHAnsi" w:hAnsiTheme="minorHAnsi"/>
                <w:sz w:val="18"/>
                <w:szCs w:val="18"/>
                <w:lang w:val="en-US" w:eastAsia="zh-CN"/>
              </w:rPr>
              <w:t>s</w:t>
            </w:r>
          </w:p>
        </w:tc>
        <w:tc>
          <w:tcPr>
            <w:tcW w:w="661"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92"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35"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72"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32355A" w:rsidRPr="00DC3DFD" w:rsidTr="0032355A">
        <w:trPr>
          <w:trHeight w:val="300"/>
        </w:trPr>
        <w:tc>
          <w:tcPr>
            <w:tcW w:w="2540" w:type="pct"/>
            <w:tcBorders>
              <w:top w:val="nil"/>
              <w:left w:val="single" w:sz="4" w:space="0" w:color="auto"/>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Other expenses</w:t>
            </w:r>
          </w:p>
        </w:tc>
        <w:tc>
          <w:tcPr>
            <w:tcW w:w="661" w:type="pct"/>
            <w:tcBorders>
              <w:top w:val="nil"/>
              <w:left w:val="nil"/>
              <w:bottom w:val="nil"/>
              <w:right w:val="nil"/>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92" w:type="pct"/>
            <w:tcBorders>
              <w:top w:val="nil"/>
              <w:left w:val="single" w:sz="4" w:space="0" w:color="auto"/>
              <w:bottom w:val="nil"/>
              <w:right w:val="nil"/>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35" w:type="pct"/>
            <w:tcBorders>
              <w:top w:val="nil"/>
              <w:left w:val="single" w:sz="4" w:space="0" w:color="auto"/>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672"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r>
      <w:tr w:rsidR="0032355A" w:rsidRPr="00DC3DFD" w:rsidTr="0032355A">
        <w:trPr>
          <w:trHeight w:val="300"/>
        </w:trPr>
        <w:tc>
          <w:tcPr>
            <w:tcW w:w="2540" w:type="pct"/>
            <w:tcBorders>
              <w:top w:val="nil"/>
              <w:left w:val="single" w:sz="4" w:space="0" w:color="auto"/>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Total </w:t>
            </w:r>
            <w:r>
              <w:rPr>
                <w:rFonts w:asciiTheme="minorHAnsi" w:hAnsiTheme="minorHAnsi"/>
                <w:sz w:val="18"/>
                <w:szCs w:val="18"/>
                <w:lang w:val="en-US" w:eastAsia="zh-CN"/>
              </w:rPr>
              <w:t>expenses</w:t>
            </w:r>
          </w:p>
        </w:tc>
        <w:tc>
          <w:tcPr>
            <w:tcW w:w="661" w:type="pct"/>
            <w:tcBorders>
              <w:top w:val="nil"/>
              <w:left w:val="nil"/>
              <w:bottom w:val="nil"/>
              <w:right w:val="nil"/>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w:t>
            </w:r>
            <w:r>
              <w:rPr>
                <w:rFonts w:asciiTheme="minorHAnsi" w:hAnsiTheme="minorHAnsi"/>
                <w:sz w:val="18"/>
                <w:szCs w:val="18"/>
                <w:lang w:val="en-US" w:eastAsia="zh-CN"/>
              </w:rPr>
              <w:t>19</w:t>
            </w:r>
            <w:r w:rsidRPr="00DC3DFD">
              <w:rPr>
                <w:rFonts w:asciiTheme="minorHAnsi" w:hAnsiTheme="minorHAnsi"/>
                <w:sz w:val="18"/>
                <w:szCs w:val="18"/>
                <w:lang w:val="en-US" w:eastAsia="zh-CN"/>
              </w:rPr>
              <w:t>,</w:t>
            </w:r>
            <w:r>
              <w:rPr>
                <w:rFonts w:asciiTheme="minorHAnsi" w:hAnsiTheme="minorHAnsi"/>
                <w:sz w:val="18"/>
                <w:szCs w:val="18"/>
                <w:lang w:val="en-US" w:eastAsia="zh-CN"/>
              </w:rPr>
              <w:t>363</w:t>
            </w:r>
            <w:r w:rsidRPr="00DC3DFD">
              <w:rPr>
                <w:rFonts w:asciiTheme="minorHAnsi" w:hAnsiTheme="minorHAnsi"/>
                <w:sz w:val="18"/>
                <w:szCs w:val="18"/>
                <w:lang w:val="en-US" w:eastAsia="zh-CN"/>
              </w:rPr>
              <w:t xml:space="preserve">80 </w:t>
            </w:r>
          </w:p>
        </w:tc>
        <w:tc>
          <w:tcPr>
            <w:tcW w:w="592" w:type="pct"/>
            <w:tcBorders>
              <w:top w:val="nil"/>
              <w:left w:val="single" w:sz="4" w:space="0" w:color="auto"/>
              <w:bottom w:val="nil"/>
              <w:right w:val="nil"/>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21,862.80 </w:t>
            </w:r>
          </w:p>
        </w:tc>
        <w:tc>
          <w:tcPr>
            <w:tcW w:w="535" w:type="pct"/>
            <w:tcBorders>
              <w:top w:val="nil"/>
              <w:left w:val="single" w:sz="4" w:space="0" w:color="auto"/>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672"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r>
      <w:tr w:rsidR="0032355A" w:rsidRPr="00DC3DFD" w:rsidTr="0032355A">
        <w:trPr>
          <w:trHeight w:val="300"/>
        </w:trPr>
        <w:tc>
          <w:tcPr>
            <w:tcW w:w="2540" w:type="pct"/>
            <w:tcBorders>
              <w:top w:val="nil"/>
              <w:left w:val="single" w:sz="4" w:space="0" w:color="auto"/>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Surplus of the year</w:t>
            </w:r>
          </w:p>
        </w:tc>
        <w:tc>
          <w:tcPr>
            <w:tcW w:w="661" w:type="pct"/>
            <w:tcBorders>
              <w:top w:val="nil"/>
              <w:left w:val="nil"/>
              <w:bottom w:val="single" w:sz="4" w:space="0" w:color="auto"/>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92" w:type="pct"/>
            <w:tcBorders>
              <w:top w:val="nil"/>
              <w:left w:val="nil"/>
              <w:bottom w:val="single" w:sz="4" w:space="0" w:color="auto"/>
              <w:right w:val="nil"/>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35" w:type="pct"/>
            <w:tcBorders>
              <w:top w:val="nil"/>
              <w:left w:val="single" w:sz="4" w:space="0" w:color="auto"/>
              <w:bottom w:val="single" w:sz="4" w:space="0" w:color="auto"/>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34.35 </w:t>
            </w:r>
          </w:p>
        </w:tc>
      </w:tr>
      <w:tr w:rsidR="0032355A" w:rsidRPr="00DC3DFD" w:rsidTr="0032355A">
        <w:trPr>
          <w:trHeight w:val="300"/>
        </w:trPr>
        <w:tc>
          <w:tcPr>
            <w:tcW w:w="2540" w:type="pct"/>
            <w:tcBorders>
              <w:top w:val="nil"/>
              <w:left w:val="single" w:sz="4" w:space="0" w:color="auto"/>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TOTAL</w:t>
            </w:r>
          </w:p>
        </w:tc>
        <w:tc>
          <w:tcPr>
            <w:tcW w:w="661"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 xml:space="preserve">      </w:t>
            </w:r>
            <w:r>
              <w:rPr>
                <w:rFonts w:asciiTheme="minorHAnsi" w:hAnsiTheme="minorHAnsi"/>
                <w:b/>
                <w:bCs/>
                <w:sz w:val="18"/>
                <w:szCs w:val="18"/>
                <w:lang w:val="en-US" w:eastAsia="zh-CN"/>
              </w:rPr>
              <w:t>19</w:t>
            </w:r>
            <w:r w:rsidRPr="00DC3DFD">
              <w:rPr>
                <w:rFonts w:asciiTheme="minorHAnsi" w:hAnsiTheme="minorHAnsi"/>
                <w:b/>
                <w:bCs/>
                <w:sz w:val="18"/>
                <w:szCs w:val="18"/>
                <w:lang w:val="en-US" w:eastAsia="zh-CN"/>
              </w:rPr>
              <w:t>,</w:t>
            </w:r>
            <w:r>
              <w:rPr>
                <w:rFonts w:asciiTheme="minorHAnsi" w:hAnsiTheme="minorHAnsi"/>
                <w:b/>
                <w:bCs/>
                <w:sz w:val="18"/>
                <w:szCs w:val="18"/>
                <w:lang w:val="en-US" w:eastAsia="zh-CN"/>
              </w:rPr>
              <w:t>363</w:t>
            </w:r>
            <w:r w:rsidRPr="00DC3DFD">
              <w:rPr>
                <w:rFonts w:asciiTheme="minorHAnsi" w:hAnsiTheme="minorHAnsi"/>
                <w:b/>
                <w:bCs/>
                <w:sz w:val="18"/>
                <w:szCs w:val="18"/>
                <w:lang w:val="en-US" w:eastAsia="zh-CN"/>
              </w:rPr>
              <w:t xml:space="preserve">.80 </w:t>
            </w:r>
          </w:p>
        </w:tc>
        <w:tc>
          <w:tcPr>
            <w:tcW w:w="592" w:type="pct"/>
            <w:tcBorders>
              <w:top w:val="single" w:sz="4" w:space="0" w:color="auto"/>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21,862.80</w:t>
            </w:r>
          </w:p>
        </w:tc>
        <w:tc>
          <w:tcPr>
            <w:tcW w:w="535"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 xml:space="preserve">           </w:t>
            </w:r>
            <w:r w:rsidRPr="00DC3DFD">
              <w:rPr>
                <w:rFonts w:asciiTheme="minorHAnsi" w:hAnsiTheme="minorHAnsi"/>
                <w:sz w:val="18"/>
                <w:szCs w:val="18"/>
                <w:lang w:val="en-US" w:eastAsia="zh-CN"/>
              </w:rPr>
              <w:t xml:space="preserve">                 -   </w:t>
            </w:r>
          </w:p>
        </w:tc>
        <w:tc>
          <w:tcPr>
            <w:tcW w:w="672"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 xml:space="preserve">           34.35 </w:t>
            </w:r>
          </w:p>
        </w:tc>
      </w:tr>
      <w:tr w:rsidR="0032355A" w:rsidRPr="00DC3DFD" w:rsidTr="0032355A">
        <w:trPr>
          <w:trHeight w:val="300"/>
        </w:trPr>
        <w:tc>
          <w:tcPr>
            <w:tcW w:w="2540" w:type="pct"/>
            <w:tcBorders>
              <w:top w:val="nil"/>
              <w:left w:val="single" w:sz="4" w:space="0" w:color="auto"/>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61"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92"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35"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72"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32355A" w:rsidRPr="00DC3DFD" w:rsidTr="0032355A">
        <w:trPr>
          <w:trHeight w:val="300"/>
        </w:trPr>
        <w:tc>
          <w:tcPr>
            <w:tcW w:w="2540" w:type="pct"/>
            <w:tcBorders>
              <w:top w:val="nil"/>
              <w:left w:val="single" w:sz="4" w:space="0" w:color="auto"/>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u w:val="single"/>
                <w:lang w:val="en-US" w:eastAsia="zh-CN"/>
              </w:rPr>
            </w:pPr>
            <w:r w:rsidRPr="00DC3DFD">
              <w:rPr>
                <w:rFonts w:asciiTheme="minorHAnsi" w:hAnsiTheme="minorHAnsi"/>
                <w:sz w:val="18"/>
                <w:szCs w:val="18"/>
                <w:u w:val="single"/>
                <w:lang w:val="en-US" w:eastAsia="zh-CN"/>
              </w:rPr>
              <w:t>R</w:t>
            </w:r>
            <w:r>
              <w:rPr>
                <w:rFonts w:asciiTheme="minorHAnsi" w:hAnsiTheme="minorHAnsi"/>
                <w:sz w:val="18"/>
                <w:szCs w:val="18"/>
                <w:u w:val="single"/>
                <w:lang w:val="en-US" w:eastAsia="zh-CN"/>
              </w:rPr>
              <w:t>EVENUE</w:t>
            </w:r>
          </w:p>
        </w:tc>
        <w:tc>
          <w:tcPr>
            <w:tcW w:w="661"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92"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35"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72"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32355A" w:rsidRPr="00DC3DFD" w:rsidTr="0032355A">
        <w:trPr>
          <w:trHeight w:val="300"/>
        </w:trPr>
        <w:tc>
          <w:tcPr>
            <w:tcW w:w="2540" w:type="pct"/>
            <w:tcBorders>
              <w:top w:val="nil"/>
              <w:left w:val="single" w:sz="4" w:space="0" w:color="auto"/>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61"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92"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35"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72"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32355A" w:rsidRPr="00DC3DFD" w:rsidTr="0032355A">
        <w:trPr>
          <w:trHeight w:val="300"/>
        </w:trPr>
        <w:tc>
          <w:tcPr>
            <w:tcW w:w="2540" w:type="pct"/>
            <w:tcBorders>
              <w:top w:val="nil"/>
              <w:left w:val="single" w:sz="4" w:space="0" w:color="auto"/>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Investment interests</w:t>
            </w:r>
          </w:p>
        </w:tc>
        <w:tc>
          <w:tcPr>
            <w:tcW w:w="661"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592"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784.65</w:t>
            </w:r>
          </w:p>
        </w:tc>
        <w:tc>
          <w:tcPr>
            <w:tcW w:w="535"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672"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34.35</w:t>
            </w:r>
          </w:p>
        </w:tc>
      </w:tr>
      <w:tr w:rsidR="0032355A" w:rsidRPr="00DC3DFD" w:rsidTr="0032355A">
        <w:trPr>
          <w:trHeight w:val="300"/>
        </w:trPr>
        <w:tc>
          <w:tcPr>
            <w:tcW w:w="2540" w:type="pct"/>
            <w:tcBorders>
              <w:top w:val="nil"/>
              <w:left w:val="single" w:sz="4" w:space="0" w:color="auto"/>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Total  </w:t>
            </w:r>
            <w:r>
              <w:rPr>
                <w:rFonts w:asciiTheme="minorHAnsi" w:hAnsiTheme="minorHAnsi"/>
                <w:sz w:val="18"/>
                <w:szCs w:val="18"/>
                <w:lang w:val="en-US" w:eastAsia="zh-CN"/>
              </w:rPr>
              <w:t>revenue</w:t>
            </w:r>
          </w:p>
        </w:tc>
        <w:tc>
          <w:tcPr>
            <w:tcW w:w="661"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592"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784.65</w:t>
            </w:r>
          </w:p>
        </w:tc>
        <w:tc>
          <w:tcPr>
            <w:tcW w:w="535"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672" w:type="pct"/>
            <w:tcBorders>
              <w:top w:val="nil"/>
              <w:left w:val="nil"/>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34.35</w:t>
            </w:r>
          </w:p>
        </w:tc>
      </w:tr>
      <w:tr w:rsidR="0032355A" w:rsidRPr="00DC3DFD" w:rsidTr="0032355A">
        <w:trPr>
          <w:trHeight w:val="300"/>
        </w:trPr>
        <w:tc>
          <w:tcPr>
            <w:tcW w:w="2540" w:type="pct"/>
            <w:tcBorders>
              <w:top w:val="nil"/>
              <w:left w:val="single" w:sz="4" w:space="0" w:color="auto"/>
              <w:bottom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Deficit of the year</w:t>
            </w:r>
          </w:p>
        </w:tc>
        <w:tc>
          <w:tcPr>
            <w:tcW w:w="661" w:type="pct"/>
            <w:tcBorders>
              <w:top w:val="nil"/>
              <w:left w:val="nil"/>
              <w:bottom w:val="single" w:sz="4" w:space="0" w:color="auto"/>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19</w:t>
            </w:r>
            <w:r w:rsidRPr="00DC3DFD">
              <w:rPr>
                <w:rFonts w:asciiTheme="minorHAnsi" w:hAnsiTheme="minorHAnsi"/>
                <w:sz w:val="18"/>
                <w:szCs w:val="18"/>
                <w:lang w:val="en-US" w:eastAsia="zh-CN"/>
              </w:rPr>
              <w:t>,</w:t>
            </w:r>
            <w:r>
              <w:rPr>
                <w:rFonts w:asciiTheme="minorHAnsi" w:hAnsiTheme="minorHAnsi"/>
                <w:sz w:val="18"/>
                <w:szCs w:val="18"/>
                <w:lang w:val="en-US" w:eastAsia="zh-CN"/>
              </w:rPr>
              <w:t>363</w:t>
            </w:r>
            <w:r w:rsidRPr="00DC3DFD">
              <w:rPr>
                <w:rFonts w:asciiTheme="minorHAnsi" w:hAnsiTheme="minorHAnsi"/>
                <w:sz w:val="18"/>
                <w:szCs w:val="18"/>
                <w:lang w:val="en-US" w:eastAsia="zh-CN"/>
              </w:rPr>
              <w:t>.</w:t>
            </w:r>
            <w:r>
              <w:rPr>
                <w:rFonts w:asciiTheme="minorHAnsi" w:hAnsiTheme="minorHAnsi"/>
                <w:sz w:val="18"/>
                <w:szCs w:val="18"/>
                <w:lang w:val="en-US" w:eastAsia="zh-CN"/>
              </w:rPr>
              <w:t>80</w:t>
            </w:r>
          </w:p>
        </w:tc>
        <w:tc>
          <w:tcPr>
            <w:tcW w:w="592" w:type="pct"/>
            <w:tcBorders>
              <w:top w:val="nil"/>
              <w:left w:val="nil"/>
              <w:bottom w:val="single" w:sz="4" w:space="0" w:color="auto"/>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21,078.15</w:t>
            </w:r>
          </w:p>
        </w:tc>
        <w:tc>
          <w:tcPr>
            <w:tcW w:w="535" w:type="pct"/>
            <w:tcBorders>
              <w:top w:val="nil"/>
              <w:left w:val="nil"/>
              <w:bottom w:val="single" w:sz="4" w:space="0" w:color="auto"/>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72" w:type="pct"/>
            <w:tcBorders>
              <w:top w:val="nil"/>
              <w:left w:val="nil"/>
              <w:bottom w:val="single" w:sz="4" w:space="0" w:color="auto"/>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32355A" w:rsidRPr="00DC3DFD" w:rsidTr="0032355A">
        <w:trPr>
          <w:trHeight w:val="255"/>
        </w:trPr>
        <w:tc>
          <w:tcPr>
            <w:tcW w:w="2540" w:type="pct"/>
            <w:tcBorders>
              <w:top w:val="nil"/>
              <w:left w:val="single" w:sz="4" w:space="0" w:color="auto"/>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61" w:type="pct"/>
            <w:tcBorders>
              <w:top w:val="nil"/>
              <w:left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92" w:type="pct"/>
            <w:tcBorders>
              <w:top w:val="nil"/>
              <w:left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535" w:type="pct"/>
            <w:tcBorders>
              <w:top w:val="nil"/>
              <w:left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672" w:type="pct"/>
            <w:tcBorders>
              <w:top w:val="nil"/>
              <w:left w:val="nil"/>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32355A" w:rsidRPr="00DC3DFD" w:rsidTr="0032355A">
        <w:trPr>
          <w:trHeight w:val="300"/>
        </w:trPr>
        <w:tc>
          <w:tcPr>
            <w:tcW w:w="2540" w:type="pct"/>
            <w:tcBorders>
              <w:top w:val="nil"/>
              <w:left w:val="single" w:sz="4" w:space="0" w:color="auto"/>
              <w:bottom w:val="single" w:sz="4" w:space="0" w:color="auto"/>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TOTAL</w:t>
            </w:r>
          </w:p>
        </w:tc>
        <w:tc>
          <w:tcPr>
            <w:tcW w:w="661" w:type="pct"/>
            <w:tcBorders>
              <w:top w:val="nil"/>
              <w:left w:val="nil"/>
              <w:bottom w:val="single" w:sz="4" w:space="0" w:color="auto"/>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Pr>
                <w:rFonts w:asciiTheme="minorHAnsi" w:hAnsiTheme="minorHAnsi"/>
                <w:b/>
                <w:bCs/>
                <w:sz w:val="18"/>
                <w:szCs w:val="18"/>
                <w:lang w:val="en-US" w:eastAsia="zh-CN"/>
              </w:rPr>
              <w:t>19</w:t>
            </w:r>
            <w:r w:rsidRPr="00DC3DFD">
              <w:rPr>
                <w:rFonts w:asciiTheme="minorHAnsi" w:hAnsiTheme="minorHAnsi"/>
                <w:b/>
                <w:bCs/>
                <w:sz w:val="18"/>
                <w:szCs w:val="18"/>
                <w:lang w:val="en-US" w:eastAsia="zh-CN"/>
              </w:rPr>
              <w:t>,</w:t>
            </w:r>
            <w:r>
              <w:rPr>
                <w:rFonts w:asciiTheme="minorHAnsi" w:hAnsiTheme="minorHAnsi"/>
                <w:b/>
                <w:bCs/>
                <w:sz w:val="18"/>
                <w:szCs w:val="18"/>
                <w:lang w:val="en-US" w:eastAsia="zh-CN"/>
              </w:rPr>
              <w:t>363</w:t>
            </w:r>
            <w:r w:rsidRPr="00DC3DFD">
              <w:rPr>
                <w:rFonts w:asciiTheme="minorHAnsi" w:hAnsiTheme="minorHAnsi"/>
                <w:b/>
                <w:bCs/>
                <w:sz w:val="18"/>
                <w:szCs w:val="18"/>
                <w:lang w:val="en-US" w:eastAsia="zh-CN"/>
              </w:rPr>
              <w:t>.80</w:t>
            </w:r>
          </w:p>
        </w:tc>
        <w:tc>
          <w:tcPr>
            <w:tcW w:w="592" w:type="pct"/>
            <w:tcBorders>
              <w:top w:val="nil"/>
              <w:left w:val="nil"/>
              <w:bottom w:val="single" w:sz="4" w:space="0" w:color="auto"/>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21,862.8080</w:t>
            </w:r>
          </w:p>
        </w:tc>
        <w:tc>
          <w:tcPr>
            <w:tcW w:w="535" w:type="pct"/>
            <w:tcBorders>
              <w:top w:val="nil"/>
              <w:left w:val="nil"/>
              <w:bottom w:val="single" w:sz="4" w:space="0" w:color="auto"/>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sz w:val="18"/>
                <w:szCs w:val="18"/>
                <w:lang w:val="en-US" w:eastAsia="zh-CN"/>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32355A" w:rsidRPr="00DC3DFD"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34.35</w:t>
            </w:r>
          </w:p>
        </w:tc>
      </w:tr>
    </w:tbl>
    <w:p w:rsidR="00DC3DFD" w:rsidRPr="004206B9" w:rsidRDefault="00DC3DFD" w:rsidP="00F11A39">
      <w:pPr>
        <w:rPr>
          <w:sz w:val="22"/>
          <w:szCs w:val="18"/>
          <w:lang w:val="en-US"/>
        </w:rPr>
      </w:pPr>
    </w:p>
    <w:tbl>
      <w:tblPr>
        <w:tblW w:w="5000" w:type="pct"/>
        <w:tblLook w:val="04A0" w:firstRow="1" w:lastRow="0" w:firstColumn="1" w:lastColumn="0" w:noHBand="0" w:noVBand="1"/>
      </w:tblPr>
      <w:tblGrid>
        <w:gridCol w:w="4227"/>
        <w:gridCol w:w="1475"/>
        <w:gridCol w:w="1477"/>
        <w:gridCol w:w="1296"/>
        <w:gridCol w:w="1296"/>
      </w:tblGrid>
      <w:tr w:rsidR="004206B9" w:rsidRPr="003D789A" w:rsidTr="004206B9">
        <w:trPr>
          <w:trHeight w:val="30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4206B9" w:rsidRPr="003D789A" w:rsidRDefault="003D789A" w:rsidP="0032355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val="en-US" w:eastAsia="zh-CN"/>
              </w:rPr>
            </w:pPr>
            <w:bookmarkStart w:id="147" w:name="_Toc357006008"/>
            <w:r w:rsidRPr="009E79DA">
              <w:rPr>
                <w:rFonts w:cs="Calibri"/>
                <w:b/>
                <w:bCs/>
                <w:sz w:val="18"/>
                <w:szCs w:val="18"/>
                <w:lang w:val="en-US"/>
              </w:rPr>
              <w:t>Statement of financial situation at 31 December 201</w:t>
            </w:r>
            <w:r w:rsidR="0032355A">
              <w:rPr>
                <w:rFonts w:cs="Calibri"/>
                <w:b/>
                <w:bCs/>
                <w:sz w:val="18"/>
                <w:szCs w:val="18"/>
                <w:lang w:val="en-US"/>
              </w:rPr>
              <w:t>8</w:t>
            </w:r>
            <w:r w:rsidRPr="009E79DA">
              <w:rPr>
                <w:rFonts w:cs="Calibri"/>
                <w:b/>
                <w:bCs/>
                <w:sz w:val="18"/>
                <w:szCs w:val="18"/>
                <w:lang w:val="en-US"/>
              </w:rPr>
              <w:t xml:space="preserve"> with 31 December 201</w:t>
            </w:r>
            <w:r w:rsidR="0032355A">
              <w:rPr>
                <w:rFonts w:cs="Calibri"/>
                <w:b/>
                <w:bCs/>
                <w:sz w:val="18"/>
                <w:szCs w:val="18"/>
                <w:lang w:val="en-US"/>
              </w:rPr>
              <w:t>7</w:t>
            </w:r>
            <w:r w:rsidRPr="009E79DA">
              <w:rPr>
                <w:rFonts w:cs="Calibri"/>
                <w:b/>
                <w:bCs/>
                <w:sz w:val="18"/>
                <w:szCs w:val="18"/>
                <w:lang w:val="en-US"/>
              </w:rPr>
              <w:t xml:space="preserve"> comparative figures</w:t>
            </w:r>
          </w:p>
        </w:tc>
      </w:tr>
      <w:tr w:rsidR="003D789A" w:rsidRPr="004206B9" w:rsidTr="004206B9">
        <w:trPr>
          <w:trHeight w:val="615"/>
        </w:trPr>
        <w:tc>
          <w:tcPr>
            <w:tcW w:w="2163" w:type="pct"/>
            <w:tcBorders>
              <w:top w:val="single" w:sz="4" w:space="0" w:color="auto"/>
              <w:left w:val="single" w:sz="4" w:space="0" w:color="auto"/>
              <w:bottom w:val="nil"/>
              <w:right w:val="single" w:sz="4" w:space="0" w:color="auto"/>
            </w:tcBorders>
            <w:shd w:val="clear" w:color="auto" w:fill="auto"/>
            <w:noWrap/>
            <w:vAlign w:val="center"/>
            <w:hideMark/>
          </w:tcPr>
          <w:p w:rsidR="003D789A" w:rsidRPr="003D789A"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eastAsia="zh-CN"/>
              </w:rPr>
            </w:pPr>
            <w:r w:rsidRPr="003D789A">
              <w:rPr>
                <w:rFonts w:asciiTheme="minorHAnsi" w:hAnsiTheme="minorHAnsi"/>
                <w:szCs w:val="24"/>
                <w:lang w:val="en-US" w:eastAsia="zh-CN"/>
              </w:rPr>
              <w:t> </w:t>
            </w:r>
          </w:p>
        </w:tc>
        <w:tc>
          <w:tcPr>
            <w:tcW w:w="1511" w:type="pct"/>
            <w:gridSpan w:val="2"/>
            <w:tcBorders>
              <w:top w:val="single" w:sz="4" w:space="0" w:color="auto"/>
              <w:left w:val="nil"/>
              <w:bottom w:val="nil"/>
              <w:right w:val="single" w:sz="4" w:space="0" w:color="000000"/>
            </w:tcBorders>
            <w:shd w:val="clear" w:color="auto" w:fill="auto"/>
            <w:vAlign w:val="bottom"/>
            <w:hideMark/>
          </w:tcPr>
          <w:p w:rsidR="003D789A" w:rsidRPr="003D789A" w:rsidRDefault="003D789A" w:rsidP="003D789A">
            <w:pPr>
              <w:jc w:val="center"/>
              <w:rPr>
                <w:rFonts w:cs="Calibri"/>
                <w:b/>
                <w:bCs/>
                <w:sz w:val="18"/>
                <w:szCs w:val="18"/>
                <w:lang w:val="fr-FR"/>
              </w:rPr>
            </w:pPr>
            <w:r w:rsidRPr="003D789A">
              <w:rPr>
                <w:rFonts w:cs="Calibri"/>
                <w:b/>
                <w:bCs/>
                <w:sz w:val="18"/>
                <w:szCs w:val="18"/>
                <w:lang w:val="fr-FR"/>
              </w:rPr>
              <w:t xml:space="preserve">Reserve and </w:t>
            </w:r>
            <w:proofErr w:type="spellStart"/>
            <w:r w:rsidRPr="003D789A">
              <w:rPr>
                <w:rFonts w:cs="Calibri"/>
                <w:b/>
                <w:bCs/>
                <w:sz w:val="18"/>
                <w:szCs w:val="18"/>
                <w:lang w:val="fr-FR"/>
              </w:rPr>
              <w:t>Complement</w:t>
            </w:r>
            <w:proofErr w:type="spellEnd"/>
            <w:r w:rsidRPr="003D789A">
              <w:rPr>
                <w:rFonts w:cs="Calibri"/>
                <w:b/>
                <w:bCs/>
                <w:sz w:val="18"/>
                <w:szCs w:val="18"/>
                <w:lang w:val="fr-FR"/>
              </w:rPr>
              <w:t xml:space="preserve"> </w:t>
            </w:r>
            <w:proofErr w:type="spellStart"/>
            <w:r w:rsidRPr="003D789A">
              <w:rPr>
                <w:rFonts w:cs="Calibri"/>
                <w:b/>
                <w:bCs/>
                <w:sz w:val="18"/>
                <w:szCs w:val="18"/>
                <w:lang w:val="fr-FR"/>
              </w:rPr>
              <w:t>fund</w:t>
            </w:r>
            <w:proofErr w:type="spellEnd"/>
          </w:p>
        </w:tc>
        <w:tc>
          <w:tcPr>
            <w:tcW w:w="1326" w:type="pct"/>
            <w:gridSpan w:val="2"/>
            <w:tcBorders>
              <w:top w:val="single" w:sz="4" w:space="0" w:color="auto"/>
              <w:left w:val="nil"/>
              <w:bottom w:val="nil"/>
              <w:right w:val="single" w:sz="4" w:space="0" w:color="000000"/>
            </w:tcBorders>
            <w:shd w:val="clear" w:color="auto" w:fill="auto"/>
            <w:noWrap/>
            <w:vAlign w:val="center"/>
            <w:hideMark/>
          </w:tcPr>
          <w:p w:rsidR="003D789A" w:rsidRPr="00DC3DFD" w:rsidRDefault="003D789A" w:rsidP="003D789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8"/>
                <w:szCs w:val="18"/>
                <w:lang w:val="fr-CH" w:eastAsia="zh-CN"/>
              </w:rPr>
            </w:pPr>
            <w:r>
              <w:rPr>
                <w:rFonts w:cs="Calibri"/>
                <w:b/>
                <w:bCs/>
                <w:sz w:val="20"/>
              </w:rPr>
              <w:t>Assistance fund</w:t>
            </w:r>
          </w:p>
        </w:tc>
      </w:tr>
      <w:tr w:rsidR="003D789A"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3D789A" w:rsidRPr="004206B9" w:rsidRDefault="003D789A"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eastAsia="zh-CN"/>
              </w:rPr>
            </w:pPr>
            <w:r w:rsidRPr="004206B9">
              <w:rPr>
                <w:rFonts w:asciiTheme="minorHAnsi" w:hAnsiTheme="minorHAnsi"/>
                <w:szCs w:val="24"/>
                <w:lang w:val="en-US" w:eastAsia="zh-CN"/>
              </w:rPr>
              <w:t> </w:t>
            </w:r>
          </w:p>
        </w:tc>
        <w:tc>
          <w:tcPr>
            <w:tcW w:w="1511" w:type="pct"/>
            <w:gridSpan w:val="2"/>
            <w:tcBorders>
              <w:top w:val="nil"/>
              <w:left w:val="nil"/>
              <w:bottom w:val="single" w:sz="4" w:space="0" w:color="auto"/>
              <w:right w:val="nil"/>
            </w:tcBorders>
            <w:shd w:val="clear" w:color="auto" w:fill="auto"/>
            <w:noWrap/>
            <w:vAlign w:val="center"/>
            <w:hideMark/>
          </w:tcPr>
          <w:p w:rsidR="003D789A" w:rsidRPr="003D789A" w:rsidRDefault="003D789A" w:rsidP="003D789A">
            <w:pPr>
              <w:jc w:val="center"/>
              <w:rPr>
                <w:rFonts w:cs="Calibri"/>
                <w:sz w:val="18"/>
                <w:szCs w:val="18"/>
              </w:rPr>
            </w:pPr>
            <w:r w:rsidRPr="003D789A">
              <w:rPr>
                <w:rFonts w:cs="Calibri"/>
                <w:sz w:val="18"/>
                <w:szCs w:val="18"/>
              </w:rPr>
              <w:t>CHF</w:t>
            </w:r>
          </w:p>
        </w:tc>
        <w:tc>
          <w:tcPr>
            <w:tcW w:w="1326" w:type="pct"/>
            <w:gridSpan w:val="2"/>
            <w:tcBorders>
              <w:top w:val="nil"/>
              <w:left w:val="single" w:sz="4" w:space="0" w:color="auto"/>
              <w:bottom w:val="single" w:sz="4" w:space="0" w:color="auto"/>
              <w:right w:val="single" w:sz="4" w:space="0" w:color="000000"/>
            </w:tcBorders>
            <w:shd w:val="clear" w:color="auto" w:fill="auto"/>
            <w:noWrap/>
            <w:vAlign w:val="center"/>
            <w:hideMark/>
          </w:tcPr>
          <w:p w:rsidR="003D789A" w:rsidRPr="00DC3DFD" w:rsidRDefault="003D789A" w:rsidP="003D789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val="en-US" w:eastAsia="zh-CN"/>
              </w:rPr>
            </w:pPr>
            <w:r w:rsidRPr="00DC3DFD">
              <w:rPr>
                <w:rFonts w:asciiTheme="minorHAnsi" w:hAnsiTheme="minorHAnsi"/>
                <w:sz w:val="20"/>
                <w:lang w:val="en-US" w:eastAsia="zh-CN"/>
              </w:rPr>
              <w:t>CHF</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5" w:type="pct"/>
            <w:tcBorders>
              <w:top w:val="nil"/>
              <w:left w:val="nil"/>
              <w:bottom w:val="nil"/>
              <w:right w:val="single" w:sz="4" w:space="0" w:color="auto"/>
            </w:tcBorders>
            <w:shd w:val="clear" w:color="auto" w:fill="auto"/>
            <w:noWrap/>
            <w:vAlign w:val="center"/>
            <w:hideMark/>
          </w:tcPr>
          <w:p w:rsidR="004206B9" w:rsidRPr="004206B9" w:rsidRDefault="004206B9" w:rsidP="0032355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201</w:t>
            </w:r>
            <w:r w:rsidR="0032355A">
              <w:rPr>
                <w:rFonts w:asciiTheme="minorHAnsi" w:hAnsiTheme="minorHAnsi"/>
                <w:sz w:val="18"/>
                <w:szCs w:val="18"/>
                <w:lang w:val="en-US" w:eastAsia="zh-CN"/>
              </w:rPr>
              <w:t>8</w:t>
            </w:r>
          </w:p>
        </w:tc>
        <w:tc>
          <w:tcPr>
            <w:tcW w:w="756" w:type="pct"/>
            <w:tcBorders>
              <w:top w:val="nil"/>
              <w:left w:val="nil"/>
              <w:bottom w:val="nil"/>
              <w:right w:val="single" w:sz="4" w:space="0" w:color="auto"/>
            </w:tcBorders>
            <w:shd w:val="clear" w:color="auto" w:fill="auto"/>
            <w:noWrap/>
            <w:vAlign w:val="center"/>
            <w:hideMark/>
          </w:tcPr>
          <w:p w:rsidR="004206B9" w:rsidRPr="004206B9" w:rsidRDefault="004206B9" w:rsidP="0032355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201</w:t>
            </w:r>
            <w:r w:rsidR="0032355A">
              <w:rPr>
                <w:rFonts w:asciiTheme="minorHAnsi" w:hAnsiTheme="minorHAnsi"/>
                <w:sz w:val="18"/>
                <w:szCs w:val="18"/>
                <w:lang w:val="en-US" w:eastAsia="zh-CN"/>
              </w:rPr>
              <w:t>7</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32355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201</w:t>
            </w:r>
            <w:r w:rsidR="0032355A">
              <w:rPr>
                <w:rFonts w:asciiTheme="minorHAnsi" w:hAnsiTheme="minorHAnsi"/>
                <w:sz w:val="18"/>
                <w:szCs w:val="18"/>
                <w:lang w:val="en-US" w:eastAsia="zh-CN"/>
              </w:rPr>
              <w:t>8</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32355A">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201</w:t>
            </w:r>
            <w:r w:rsidR="0032355A">
              <w:rPr>
                <w:rFonts w:asciiTheme="minorHAnsi" w:hAnsiTheme="minorHAnsi"/>
                <w:sz w:val="18"/>
                <w:szCs w:val="18"/>
                <w:lang w:val="en-US" w:eastAsia="zh-CN"/>
              </w:rPr>
              <w:t>7</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4206B9" w:rsidRDefault="004206B9" w:rsidP="003D78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u w:val="single"/>
                <w:lang w:val="en-US" w:eastAsia="zh-CN"/>
              </w:rPr>
            </w:pPr>
            <w:r w:rsidRPr="004206B9">
              <w:rPr>
                <w:rFonts w:asciiTheme="minorHAnsi" w:hAnsiTheme="minorHAnsi"/>
                <w:sz w:val="18"/>
                <w:szCs w:val="18"/>
                <w:u w:val="single"/>
                <w:lang w:val="en-US" w:eastAsia="zh-CN"/>
              </w:rPr>
              <w:t>A</w:t>
            </w:r>
            <w:r w:rsidR="003D789A">
              <w:rPr>
                <w:rFonts w:asciiTheme="minorHAnsi" w:hAnsiTheme="minorHAnsi"/>
                <w:sz w:val="18"/>
                <w:szCs w:val="18"/>
                <w:u w:val="single"/>
                <w:lang w:val="en-US" w:eastAsia="zh-CN"/>
              </w:rPr>
              <w:t>SSETS</w:t>
            </w:r>
          </w:p>
        </w:tc>
        <w:tc>
          <w:tcPr>
            <w:tcW w:w="755"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4206B9"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5"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32355A"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Cash and cash equivalent</w:t>
            </w:r>
          </w:p>
        </w:tc>
        <w:tc>
          <w:tcPr>
            <w:tcW w:w="755"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6,2</w:t>
            </w:r>
            <w:r>
              <w:rPr>
                <w:rFonts w:asciiTheme="minorHAnsi" w:hAnsiTheme="minorHAnsi"/>
                <w:sz w:val="18"/>
                <w:szCs w:val="18"/>
                <w:lang w:val="en-US" w:eastAsia="zh-CN"/>
              </w:rPr>
              <w:t>36</w:t>
            </w:r>
            <w:r w:rsidRPr="004206B9">
              <w:rPr>
                <w:rFonts w:asciiTheme="minorHAnsi" w:hAnsiTheme="minorHAnsi"/>
                <w:sz w:val="18"/>
                <w:szCs w:val="18"/>
                <w:lang w:val="en-US" w:eastAsia="zh-CN"/>
              </w:rPr>
              <w:t>,</w:t>
            </w:r>
            <w:r>
              <w:rPr>
                <w:rFonts w:asciiTheme="minorHAnsi" w:hAnsiTheme="minorHAnsi"/>
                <w:sz w:val="18"/>
                <w:szCs w:val="18"/>
                <w:lang w:val="en-US" w:eastAsia="zh-CN"/>
              </w:rPr>
              <w:t>867</w:t>
            </w:r>
            <w:r w:rsidRPr="004206B9">
              <w:rPr>
                <w:rFonts w:asciiTheme="minorHAnsi" w:hAnsiTheme="minorHAnsi"/>
                <w:sz w:val="18"/>
                <w:szCs w:val="18"/>
                <w:lang w:val="en-US" w:eastAsia="zh-CN"/>
              </w:rPr>
              <w:t>.</w:t>
            </w:r>
            <w:r>
              <w:rPr>
                <w:rFonts w:asciiTheme="minorHAnsi" w:hAnsiTheme="minorHAnsi"/>
                <w:sz w:val="18"/>
                <w:szCs w:val="18"/>
                <w:lang w:val="en-US" w:eastAsia="zh-CN"/>
              </w:rPr>
              <w:t>4</w:t>
            </w:r>
            <w:r w:rsidRPr="004206B9">
              <w:rPr>
                <w:rFonts w:asciiTheme="minorHAnsi" w:hAnsiTheme="minorHAnsi"/>
                <w:sz w:val="18"/>
                <w:szCs w:val="18"/>
                <w:lang w:val="en-US" w:eastAsia="zh-CN"/>
              </w:rPr>
              <w:t>0</w:t>
            </w:r>
          </w:p>
        </w:tc>
        <w:tc>
          <w:tcPr>
            <w:tcW w:w="756"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6,256,231.20</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277,</w:t>
            </w:r>
            <w:r>
              <w:rPr>
                <w:rFonts w:asciiTheme="minorHAnsi" w:hAnsiTheme="minorHAnsi"/>
                <w:sz w:val="18"/>
                <w:szCs w:val="18"/>
                <w:lang w:val="en-US" w:eastAsia="zh-CN"/>
              </w:rPr>
              <w:t>580</w:t>
            </w:r>
            <w:r w:rsidRPr="004206B9">
              <w:rPr>
                <w:rFonts w:asciiTheme="minorHAnsi" w:hAnsiTheme="minorHAnsi"/>
                <w:sz w:val="18"/>
                <w:szCs w:val="18"/>
                <w:lang w:val="en-US" w:eastAsia="zh-CN"/>
              </w:rPr>
              <w:t>.84</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277,441.84</w:t>
            </w:r>
          </w:p>
        </w:tc>
      </w:tr>
      <w:tr w:rsidR="0032355A"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Funds to receive</w:t>
            </w:r>
          </w:p>
        </w:tc>
        <w:tc>
          <w:tcPr>
            <w:tcW w:w="755"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32355A"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Debtors</w:t>
            </w:r>
          </w:p>
        </w:tc>
        <w:tc>
          <w:tcPr>
            <w:tcW w:w="755"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32355A"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Transitory Assets</w:t>
            </w:r>
          </w:p>
        </w:tc>
        <w:tc>
          <w:tcPr>
            <w:tcW w:w="755"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139.00</w:t>
            </w:r>
          </w:p>
        </w:tc>
      </w:tr>
      <w:tr w:rsidR="0032355A"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TOTAL</w:t>
            </w:r>
          </w:p>
        </w:tc>
        <w:tc>
          <w:tcPr>
            <w:tcW w:w="755"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6,</w:t>
            </w:r>
            <w:r>
              <w:rPr>
                <w:rFonts w:asciiTheme="minorHAnsi" w:hAnsiTheme="minorHAnsi"/>
                <w:b/>
                <w:bCs/>
                <w:sz w:val="18"/>
                <w:szCs w:val="18"/>
                <w:lang w:val="en-US" w:eastAsia="zh-CN"/>
              </w:rPr>
              <w:t>236</w:t>
            </w:r>
            <w:r w:rsidRPr="004206B9">
              <w:rPr>
                <w:rFonts w:asciiTheme="minorHAnsi" w:hAnsiTheme="minorHAnsi"/>
                <w:b/>
                <w:bCs/>
                <w:sz w:val="18"/>
                <w:szCs w:val="18"/>
                <w:lang w:val="en-US" w:eastAsia="zh-CN"/>
              </w:rPr>
              <w:t>,</w:t>
            </w:r>
            <w:r>
              <w:rPr>
                <w:rFonts w:asciiTheme="minorHAnsi" w:hAnsiTheme="minorHAnsi"/>
                <w:b/>
                <w:bCs/>
                <w:sz w:val="18"/>
                <w:szCs w:val="18"/>
                <w:lang w:val="en-US" w:eastAsia="zh-CN"/>
              </w:rPr>
              <w:t>867</w:t>
            </w:r>
            <w:r w:rsidRPr="004206B9">
              <w:rPr>
                <w:rFonts w:asciiTheme="minorHAnsi" w:hAnsiTheme="minorHAnsi"/>
                <w:b/>
                <w:bCs/>
                <w:sz w:val="18"/>
                <w:szCs w:val="18"/>
                <w:lang w:val="en-US" w:eastAsia="zh-CN"/>
              </w:rPr>
              <w:t>.</w:t>
            </w:r>
            <w:r>
              <w:rPr>
                <w:rFonts w:asciiTheme="minorHAnsi" w:hAnsiTheme="minorHAnsi"/>
                <w:b/>
                <w:bCs/>
                <w:sz w:val="18"/>
                <w:szCs w:val="18"/>
                <w:lang w:val="en-US" w:eastAsia="zh-CN"/>
              </w:rPr>
              <w:t>4</w:t>
            </w:r>
            <w:r w:rsidRPr="004206B9">
              <w:rPr>
                <w:rFonts w:asciiTheme="minorHAnsi" w:hAnsiTheme="minorHAnsi"/>
                <w:b/>
                <w:bCs/>
                <w:sz w:val="18"/>
                <w:szCs w:val="18"/>
                <w:lang w:val="en-US" w:eastAsia="zh-CN"/>
              </w:rPr>
              <w:t>0</w:t>
            </w:r>
          </w:p>
        </w:tc>
        <w:tc>
          <w:tcPr>
            <w:tcW w:w="756"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6,256,231.20</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277,580.84</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277,580.84</w:t>
            </w:r>
          </w:p>
        </w:tc>
      </w:tr>
      <w:tr w:rsidR="0032355A"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u w:val="single"/>
                <w:lang w:val="en-US" w:eastAsia="zh-CN"/>
              </w:rPr>
            </w:pPr>
            <w:r>
              <w:rPr>
                <w:rFonts w:asciiTheme="minorHAnsi" w:hAnsiTheme="minorHAnsi"/>
                <w:sz w:val="18"/>
                <w:szCs w:val="18"/>
                <w:u w:val="single"/>
                <w:lang w:val="en-US" w:eastAsia="zh-CN"/>
              </w:rPr>
              <w:t>LIABILITIES</w:t>
            </w:r>
          </w:p>
        </w:tc>
        <w:tc>
          <w:tcPr>
            <w:tcW w:w="755"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32355A"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5"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32355A"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32355A" w:rsidRPr="003D2130"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Employee benefits</w:t>
            </w:r>
          </w:p>
        </w:tc>
        <w:tc>
          <w:tcPr>
            <w:tcW w:w="755" w:type="pct"/>
            <w:tcBorders>
              <w:top w:val="nil"/>
              <w:left w:val="nil"/>
              <w:bottom w:val="nil"/>
              <w:right w:val="single" w:sz="4" w:space="0" w:color="auto"/>
            </w:tcBorders>
            <w:shd w:val="clear" w:color="auto" w:fill="auto"/>
            <w:noWrap/>
            <w:vAlign w:val="center"/>
            <w:hideMark/>
          </w:tcPr>
          <w:p w:rsidR="0032355A" w:rsidRPr="003D2130"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54,000.00</w:t>
            </w:r>
          </w:p>
        </w:tc>
        <w:tc>
          <w:tcPr>
            <w:tcW w:w="756" w:type="pct"/>
            <w:tcBorders>
              <w:top w:val="nil"/>
              <w:left w:val="nil"/>
              <w:bottom w:val="nil"/>
              <w:right w:val="single" w:sz="4" w:space="0" w:color="auto"/>
            </w:tcBorders>
            <w:shd w:val="clear" w:color="auto" w:fill="auto"/>
            <w:noWrap/>
            <w:vAlign w:val="center"/>
            <w:hideMark/>
          </w:tcPr>
          <w:p w:rsidR="0032355A" w:rsidRPr="003D2130"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54,000.00</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32355A"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Pr>
                <w:rFonts w:asciiTheme="minorHAnsi" w:hAnsiTheme="minorHAnsi"/>
                <w:sz w:val="18"/>
                <w:szCs w:val="18"/>
                <w:lang w:val="en-US" w:eastAsia="zh-CN"/>
              </w:rPr>
              <w:t>Own fund allocated</w:t>
            </w:r>
          </w:p>
        </w:tc>
        <w:tc>
          <w:tcPr>
            <w:tcW w:w="755"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6,</w:t>
            </w:r>
            <w:r>
              <w:rPr>
                <w:rFonts w:asciiTheme="minorHAnsi" w:hAnsiTheme="minorHAnsi"/>
                <w:sz w:val="18"/>
                <w:szCs w:val="18"/>
                <w:lang w:val="en-US" w:eastAsia="zh-CN"/>
              </w:rPr>
              <w:t>182</w:t>
            </w:r>
            <w:r w:rsidRPr="004206B9">
              <w:rPr>
                <w:rFonts w:asciiTheme="minorHAnsi" w:hAnsiTheme="minorHAnsi"/>
                <w:sz w:val="18"/>
                <w:szCs w:val="18"/>
                <w:lang w:val="en-US" w:eastAsia="zh-CN"/>
              </w:rPr>
              <w:t>,</w:t>
            </w:r>
            <w:r>
              <w:rPr>
                <w:rFonts w:asciiTheme="minorHAnsi" w:hAnsiTheme="minorHAnsi"/>
                <w:sz w:val="18"/>
                <w:szCs w:val="18"/>
                <w:lang w:val="en-US" w:eastAsia="zh-CN"/>
              </w:rPr>
              <w:t>867</w:t>
            </w:r>
            <w:r w:rsidRPr="004206B9">
              <w:rPr>
                <w:rFonts w:asciiTheme="minorHAnsi" w:hAnsiTheme="minorHAnsi"/>
                <w:sz w:val="18"/>
                <w:szCs w:val="18"/>
                <w:lang w:val="en-US" w:eastAsia="zh-CN"/>
              </w:rPr>
              <w:t>.</w:t>
            </w:r>
            <w:r>
              <w:rPr>
                <w:rFonts w:asciiTheme="minorHAnsi" w:hAnsiTheme="minorHAnsi"/>
                <w:sz w:val="18"/>
                <w:szCs w:val="18"/>
                <w:lang w:val="en-US" w:eastAsia="zh-CN"/>
              </w:rPr>
              <w:t>4</w:t>
            </w:r>
            <w:r w:rsidRPr="004206B9">
              <w:rPr>
                <w:rFonts w:asciiTheme="minorHAnsi" w:hAnsiTheme="minorHAnsi"/>
                <w:sz w:val="18"/>
                <w:szCs w:val="18"/>
                <w:lang w:val="en-US" w:eastAsia="zh-CN"/>
              </w:rPr>
              <w:t>0</w:t>
            </w:r>
          </w:p>
        </w:tc>
        <w:tc>
          <w:tcPr>
            <w:tcW w:w="756"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6,202,231.20</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277,580.84</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277,580.84</w:t>
            </w:r>
          </w:p>
        </w:tc>
      </w:tr>
      <w:tr w:rsidR="0032355A"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5" w:type="pct"/>
            <w:tcBorders>
              <w:top w:val="nil"/>
              <w:left w:val="nil"/>
              <w:bottom w:val="single" w:sz="4" w:space="0" w:color="auto"/>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single" w:sz="4" w:space="0" w:color="auto"/>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single" w:sz="4" w:space="0" w:color="auto"/>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single" w:sz="4" w:space="0" w:color="auto"/>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32355A"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5"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756"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63" w:type="pct"/>
            <w:tcBorders>
              <w:top w:val="nil"/>
              <w:left w:val="nil"/>
              <w:bottom w:val="nil"/>
              <w:right w:val="nil"/>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p>
        </w:tc>
        <w:tc>
          <w:tcPr>
            <w:tcW w:w="663" w:type="pct"/>
            <w:tcBorders>
              <w:top w:val="nil"/>
              <w:left w:val="single" w:sz="4" w:space="0" w:color="auto"/>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18"/>
                <w:szCs w:val="18"/>
                <w:lang w:val="en-US" w:eastAsia="zh-CN"/>
              </w:rPr>
            </w:pPr>
          </w:p>
        </w:tc>
      </w:tr>
      <w:tr w:rsidR="0032355A" w:rsidRPr="004206B9" w:rsidTr="004206B9">
        <w:trPr>
          <w:trHeight w:val="300"/>
        </w:trPr>
        <w:tc>
          <w:tcPr>
            <w:tcW w:w="2163" w:type="pct"/>
            <w:tcBorders>
              <w:top w:val="nil"/>
              <w:left w:val="single" w:sz="4" w:space="0" w:color="auto"/>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TOTAL</w:t>
            </w:r>
          </w:p>
        </w:tc>
        <w:tc>
          <w:tcPr>
            <w:tcW w:w="755"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6,2</w:t>
            </w:r>
            <w:r>
              <w:rPr>
                <w:rFonts w:asciiTheme="minorHAnsi" w:hAnsiTheme="minorHAnsi"/>
                <w:b/>
                <w:bCs/>
                <w:sz w:val="18"/>
                <w:szCs w:val="18"/>
                <w:lang w:val="en-US" w:eastAsia="zh-CN"/>
              </w:rPr>
              <w:t>36</w:t>
            </w:r>
            <w:r w:rsidRPr="004206B9">
              <w:rPr>
                <w:rFonts w:asciiTheme="minorHAnsi" w:hAnsiTheme="minorHAnsi"/>
                <w:b/>
                <w:bCs/>
                <w:sz w:val="18"/>
                <w:szCs w:val="18"/>
                <w:lang w:val="en-US" w:eastAsia="zh-CN"/>
              </w:rPr>
              <w:t>,</w:t>
            </w:r>
            <w:r>
              <w:rPr>
                <w:rFonts w:asciiTheme="minorHAnsi" w:hAnsiTheme="minorHAnsi"/>
                <w:b/>
                <w:bCs/>
                <w:sz w:val="18"/>
                <w:szCs w:val="18"/>
                <w:lang w:val="en-US" w:eastAsia="zh-CN"/>
              </w:rPr>
              <w:t>867</w:t>
            </w:r>
            <w:r w:rsidRPr="004206B9">
              <w:rPr>
                <w:rFonts w:asciiTheme="minorHAnsi" w:hAnsiTheme="minorHAnsi"/>
                <w:b/>
                <w:bCs/>
                <w:sz w:val="18"/>
                <w:szCs w:val="18"/>
                <w:lang w:val="en-US" w:eastAsia="zh-CN"/>
              </w:rPr>
              <w:t>.</w:t>
            </w:r>
            <w:r>
              <w:rPr>
                <w:rFonts w:asciiTheme="minorHAnsi" w:hAnsiTheme="minorHAnsi"/>
                <w:b/>
                <w:bCs/>
                <w:sz w:val="18"/>
                <w:szCs w:val="18"/>
                <w:lang w:val="en-US" w:eastAsia="zh-CN"/>
              </w:rPr>
              <w:t>40</w:t>
            </w:r>
          </w:p>
        </w:tc>
        <w:tc>
          <w:tcPr>
            <w:tcW w:w="756"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6,256,231.20</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277,580.84</w:t>
            </w:r>
          </w:p>
        </w:tc>
        <w:tc>
          <w:tcPr>
            <w:tcW w:w="663" w:type="pct"/>
            <w:tcBorders>
              <w:top w:val="nil"/>
              <w:left w:val="nil"/>
              <w:bottom w:val="nil"/>
              <w:right w:val="single" w:sz="4" w:space="0" w:color="auto"/>
            </w:tcBorders>
            <w:shd w:val="clear" w:color="auto" w:fill="auto"/>
            <w:noWrap/>
            <w:vAlign w:val="center"/>
            <w:hideMark/>
          </w:tcPr>
          <w:p w:rsidR="0032355A" w:rsidRPr="004206B9" w:rsidRDefault="0032355A" w:rsidP="0032355A">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277,580.84</w:t>
            </w:r>
          </w:p>
        </w:tc>
      </w:tr>
      <w:tr w:rsidR="004206B9" w:rsidRPr="004206B9" w:rsidTr="004206B9">
        <w:trPr>
          <w:trHeight w:val="300"/>
        </w:trPr>
        <w:tc>
          <w:tcPr>
            <w:tcW w:w="2163" w:type="pct"/>
            <w:tcBorders>
              <w:top w:val="nil"/>
              <w:left w:val="single" w:sz="4" w:space="0" w:color="auto"/>
              <w:bottom w:val="single" w:sz="4" w:space="0" w:color="auto"/>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eastAsia="zh-CN"/>
              </w:rPr>
            </w:pPr>
            <w:r w:rsidRPr="004206B9">
              <w:rPr>
                <w:rFonts w:asciiTheme="minorHAnsi" w:hAnsiTheme="minorHAnsi"/>
                <w:szCs w:val="24"/>
                <w:lang w:val="en-US" w:eastAsia="zh-CN"/>
              </w:rPr>
              <w:t> </w:t>
            </w:r>
          </w:p>
        </w:tc>
        <w:tc>
          <w:tcPr>
            <w:tcW w:w="755" w:type="pct"/>
            <w:tcBorders>
              <w:top w:val="nil"/>
              <w:left w:val="nil"/>
              <w:bottom w:val="single" w:sz="4" w:space="0" w:color="auto"/>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eastAsia="zh-CN"/>
              </w:rPr>
            </w:pPr>
            <w:r w:rsidRPr="004206B9">
              <w:rPr>
                <w:rFonts w:asciiTheme="minorHAnsi" w:hAnsiTheme="minorHAnsi"/>
                <w:szCs w:val="24"/>
                <w:lang w:val="en-US" w:eastAsia="zh-CN"/>
              </w:rPr>
              <w:t> </w:t>
            </w:r>
          </w:p>
        </w:tc>
        <w:tc>
          <w:tcPr>
            <w:tcW w:w="756" w:type="pct"/>
            <w:tcBorders>
              <w:top w:val="nil"/>
              <w:left w:val="nil"/>
              <w:bottom w:val="single" w:sz="4" w:space="0" w:color="auto"/>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eastAsia="zh-CN"/>
              </w:rPr>
            </w:pPr>
            <w:r w:rsidRPr="004206B9">
              <w:rPr>
                <w:rFonts w:asciiTheme="minorHAnsi" w:hAnsiTheme="minorHAnsi"/>
                <w:szCs w:val="24"/>
                <w:lang w:val="en-US" w:eastAsia="zh-CN"/>
              </w:rPr>
              <w:t> </w:t>
            </w:r>
          </w:p>
        </w:tc>
        <w:tc>
          <w:tcPr>
            <w:tcW w:w="663" w:type="pct"/>
            <w:tcBorders>
              <w:top w:val="nil"/>
              <w:left w:val="nil"/>
              <w:bottom w:val="single" w:sz="4" w:space="0" w:color="auto"/>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eastAsia="zh-CN"/>
              </w:rPr>
            </w:pPr>
            <w:r w:rsidRPr="004206B9">
              <w:rPr>
                <w:rFonts w:asciiTheme="minorHAnsi" w:hAnsiTheme="minorHAnsi"/>
                <w:szCs w:val="24"/>
                <w:lang w:val="en-US" w:eastAsia="zh-CN"/>
              </w:rPr>
              <w:t> </w:t>
            </w:r>
          </w:p>
        </w:tc>
        <w:tc>
          <w:tcPr>
            <w:tcW w:w="663" w:type="pct"/>
            <w:tcBorders>
              <w:top w:val="nil"/>
              <w:left w:val="nil"/>
              <w:bottom w:val="single" w:sz="4" w:space="0" w:color="auto"/>
              <w:right w:val="single" w:sz="4" w:space="0" w:color="auto"/>
            </w:tcBorders>
            <w:shd w:val="clear" w:color="auto" w:fill="auto"/>
            <w:noWrap/>
            <w:vAlign w:val="center"/>
            <w:hideMark/>
          </w:tcPr>
          <w:p w:rsidR="004206B9" w:rsidRPr="004206B9" w:rsidRDefault="004206B9" w:rsidP="004206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Cs w:val="24"/>
                <w:lang w:val="en-US" w:eastAsia="zh-CN"/>
              </w:rPr>
            </w:pPr>
            <w:r w:rsidRPr="004206B9">
              <w:rPr>
                <w:rFonts w:asciiTheme="minorHAnsi" w:hAnsiTheme="minorHAnsi"/>
                <w:szCs w:val="24"/>
                <w:lang w:val="en-US" w:eastAsia="zh-CN"/>
              </w:rPr>
              <w:t> </w:t>
            </w:r>
          </w:p>
        </w:tc>
      </w:tr>
    </w:tbl>
    <w:p w:rsidR="004206B9" w:rsidRDefault="004206B9" w:rsidP="0089730A">
      <w:pPr>
        <w:pStyle w:val="Heading9"/>
        <w:jc w:val="center"/>
        <w:rPr>
          <w:b w:val="0"/>
          <w:bCs/>
          <w:w w:val="105"/>
          <w:sz w:val="28"/>
          <w:szCs w:val="28"/>
          <w:lang w:val="en-US"/>
        </w:rPr>
      </w:pPr>
    </w:p>
    <w:p w:rsidR="0022373A" w:rsidRPr="001C2A98" w:rsidRDefault="00EA524F" w:rsidP="008A0416">
      <w:pPr>
        <w:pStyle w:val="Heading9"/>
        <w:jc w:val="center"/>
        <w:rPr>
          <w:b w:val="0"/>
          <w:bCs/>
          <w:w w:val="105"/>
          <w:sz w:val="28"/>
          <w:szCs w:val="28"/>
          <w:lang w:val="en-US"/>
        </w:rPr>
      </w:pPr>
      <w:r>
        <w:rPr>
          <w:b w:val="0"/>
          <w:bCs/>
          <w:w w:val="105"/>
          <w:sz w:val="28"/>
          <w:szCs w:val="28"/>
          <w:lang w:val="en-US"/>
        </w:rPr>
        <w:t xml:space="preserve">ANNEX </w:t>
      </w:r>
      <w:r w:rsidR="008A0416">
        <w:rPr>
          <w:b w:val="0"/>
          <w:bCs/>
          <w:w w:val="105"/>
          <w:sz w:val="28"/>
          <w:szCs w:val="28"/>
          <w:lang w:val="en-US"/>
        </w:rPr>
        <w:t>B</w:t>
      </w:r>
      <w:r w:rsidR="004D6371">
        <w:rPr>
          <w:b w:val="0"/>
          <w:bCs/>
          <w:w w:val="105"/>
          <w:sz w:val="28"/>
          <w:szCs w:val="28"/>
          <w:lang w:val="en-US"/>
        </w:rPr>
        <w:t>4</w:t>
      </w:r>
      <w:bookmarkEnd w:id="147"/>
    </w:p>
    <w:p w:rsidR="0022373A" w:rsidRPr="00A53968" w:rsidRDefault="0022373A" w:rsidP="00721974">
      <w:pPr>
        <w:pStyle w:val="Headingb"/>
        <w:spacing w:before="240" w:after="120"/>
        <w:jc w:val="center"/>
        <w:rPr>
          <w:sz w:val="28"/>
          <w:szCs w:val="28"/>
          <w:lang w:val="en-US"/>
        </w:rPr>
      </w:pPr>
      <w:r w:rsidRPr="00A53968">
        <w:rPr>
          <w:sz w:val="28"/>
          <w:szCs w:val="28"/>
          <w:lang w:val="en-US"/>
        </w:rPr>
        <w:t xml:space="preserve">UNDP </w:t>
      </w:r>
      <w:r w:rsidR="00721974">
        <w:rPr>
          <w:sz w:val="28"/>
          <w:szCs w:val="28"/>
          <w:lang w:val="en-US"/>
        </w:rPr>
        <w:t>p</w:t>
      </w:r>
      <w:r w:rsidR="00A53EFC">
        <w:rPr>
          <w:sz w:val="28"/>
          <w:szCs w:val="28"/>
          <w:lang w:val="en-US"/>
        </w:rPr>
        <w:t xml:space="preserve">rojects </w:t>
      </w:r>
      <w:r w:rsidRPr="00A53968">
        <w:rPr>
          <w:sz w:val="28"/>
          <w:szCs w:val="28"/>
          <w:lang w:val="en-US"/>
        </w:rPr>
        <w:t>(in US dollars)</w:t>
      </w:r>
      <w:r w:rsidR="00834D1F" w:rsidRPr="00A53968">
        <w:rPr>
          <w:sz w:val="28"/>
          <w:szCs w:val="28"/>
          <w:lang w:val="en-US"/>
        </w:rPr>
        <w:t xml:space="preserve"> </w:t>
      </w:r>
      <w:r w:rsidR="00A53968">
        <w:rPr>
          <w:sz w:val="28"/>
          <w:szCs w:val="28"/>
          <w:lang w:val="en-US"/>
        </w:rPr>
        <w:t>- S</w:t>
      </w:r>
      <w:r w:rsidR="00834D1F" w:rsidRPr="00A53968">
        <w:rPr>
          <w:sz w:val="28"/>
          <w:szCs w:val="28"/>
          <w:lang w:val="en-US"/>
        </w:rPr>
        <w:t xml:space="preserve">ee Note </w:t>
      </w:r>
      <w:r w:rsidR="004D6371" w:rsidRPr="00A53968">
        <w:rPr>
          <w:sz w:val="28"/>
          <w:szCs w:val="28"/>
          <w:lang w:val="en-US"/>
        </w:rPr>
        <w:t>20</w:t>
      </w:r>
    </w:p>
    <w:p w:rsidR="00C34FA0" w:rsidRDefault="00C34FA0" w:rsidP="005D3458">
      <w:pPr>
        <w:rPr>
          <w:lang w:val="en-US"/>
        </w:rPr>
      </w:pPr>
    </w:p>
    <w:tbl>
      <w:tblPr>
        <w:tblW w:w="5000" w:type="pct"/>
        <w:tblLayout w:type="fixed"/>
        <w:tblLook w:val="04A0" w:firstRow="1" w:lastRow="0" w:firstColumn="1" w:lastColumn="0" w:noHBand="0" w:noVBand="1"/>
      </w:tblPr>
      <w:tblGrid>
        <w:gridCol w:w="1412"/>
        <w:gridCol w:w="1340"/>
        <w:gridCol w:w="2281"/>
        <w:gridCol w:w="1726"/>
        <w:gridCol w:w="1550"/>
        <w:gridCol w:w="1462"/>
      </w:tblGrid>
      <w:tr w:rsidR="00463AFD" w:rsidRPr="00463AFD" w:rsidTr="00463AFD">
        <w:trPr>
          <w:trHeight w:val="300"/>
        </w:trPr>
        <w:tc>
          <w:tcPr>
            <w:tcW w:w="72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463AFD">
              <w:rPr>
                <w:color w:val="000000"/>
                <w:sz w:val="22"/>
                <w:szCs w:val="22"/>
                <w:lang w:val="en-US" w:eastAsia="zh-CN"/>
              </w:rPr>
              <w:t>Projects</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463AFD">
              <w:rPr>
                <w:color w:val="000000"/>
                <w:sz w:val="22"/>
                <w:szCs w:val="22"/>
                <w:lang w:val="en-US" w:eastAsia="zh-CN"/>
              </w:rPr>
              <w:t>Balance at 31.12.2017</w:t>
            </w:r>
          </w:p>
        </w:tc>
        <w:tc>
          <w:tcPr>
            <w:tcW w:w="1167" w:type="pct"/>
            <w:tcBorders>
              <w:top w:val="single" w:sz="4" w:space="0" w:color="auto"/>
              <w:left w:val="nil"/>
              <w:bottom w:val="single" w:sz="4" w:space="0" w:color="auto"/>
              <w:right w:val="single" w:sz="4" w:space="0" w:color="auto"/>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463AFD">
              <w:rPr>
                <w:color w:val="000000"/>
                <w:sz w:val="22"/>
                <w:szCs w:val="22"/>
                <w:lang w:val="en-US" w:eastAsia="zh-CN"/>
              </w:rPr>
              <w:t>Revenue/Closure</w:t>
            </w:r>
          </w:p>
        </w:tc>
        <w:tc>
          <w:tcPr>
            <w:tcW w:w="167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463AFD">
              <w:rPr>
                <w:color w:val="000000"/>
                <w:sz w:val="22"/>
                <w:szCs w:val="22"/>
                <w:lang w:val="en-US" w:eastAsia="zh-CN"/>
              </w:rPr>
              <w:t>Expenses</w:t>
            </w:r>
          </w:p>
        </w:tc>
        <w:tc>
          <w:tcPr>
            <w:tcW w:w="7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463AFD">
              <w:rPr>
                <w:color w:val="000000"/>
                <w:sz w:val="22"/>
                <w:szCs w:val="22"/>
                <w:lang w:val="en-US" w:eastAsia="zh-CN"/>
              </w:rPr>
              <w:t>Balance at 31.12.2018</w:t>
            </w:r>
          </w:p>
        </w:tc>
      </w:tr>
      <w:tr w:rsidR="00463AFD" w:rsidRPr="00463AFD" w:rsidTr="00463AFD">
        <w:trPr>
          <w:trHeight w:val="600"/>
        </w:trPr>
        <w:tc>
          <w:tcPr>
            <w:tcW w:w="723" w:type="pct"/>
            <w:vMerge/>
            <w:tcBorders>
              <w:top w:val="single" w:sz="4" w:space="0" w:color="auto"/>
              <w:left w:val="single" w:sz="4" w:space="0" w:color="auto"/>
              <w:bottom w:val="single" w:sz="4" w:space="0" w:color="000000"/>
              <w:right w:val="single" w:sz="4" w:space="0" w:color="auto"/>
            </w:tcBorders>
            <w:vAlign w:val="center"/>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167" w:type="pct"/>
            <w:tcBorders>
              <w:top w:val="nil"/>
              <w:left w:val="nil"/>
              <w:bottom w:val="single" w:sz="4" w:space="0" w:color="auto"/>
              <w:right w:val="single" w:sz="4" w:space="0" w:color="auto"/>
            </w:tcBorders>
            <w:shd w:val="clear" w:color="auto" w:fill="auto"/>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463AFD">
              <w:rPr>
                <w:color w:val="000000"/>
                <w:sz w:val="22"/>
                <w:szCs w:val="22"/>
                <w:lang w:val="en-US" w:eastAsia="zh-CN"/>
              </w:rPr>
              <w:t>Funds Received/ Reimbursed in 2018</w:t>
            </w:r>
          </w:p>
        </w:tc>
        <w:tc>
          <w:tcPr>
            <w:tcW w:w="883" w:type="pct"/>
            <w:tcBorders>
              <w:top w:val="nil"/>
              <w:left w:val="nil"/>
              <w:bottom w:val="single" w:sz="4" w:space="0" w:color="auto"/>
              <w:right w:val="single" w:sz="4" w:space="0" w:color="auto"/>
            </w:tcBorders>
            <w:shd w:val="clear" w:color="auto" w:fill="auto"/>
            <w:vAlign w:val="center"/>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63AFD">
              <w:rPr>
                <w:color w:val="000000"/>
                <w:sz w:val="22"/>
                <w:szCs w:val="22"/>
                <w:lang w:val="en-US" w:eastAsia="zh-CN"/>
              </w:rPr>
              <w:t>Project Expenses</w:t>
            </w:r>
          </w:p>
        </w:tc>
        <w:tc>
          <w:tcPr>
            <w:tcW w:w="793" w:type="pct"/>
            <w:tcBorders>
              <w:top w:val="nil"/>
              <w:left w:val="nil"/>
              <w:bottom w:val="single" w:sz="4" w:space="0" w:color="auto"/>
              <w:right w:val="single" w:sz="4" w:space="0" w:color="auto"/>
            </w:tcBorders>
            <w:shd w:val="clear" w:color="auto" w:fill="auto"/>
            <w:vAlign w:val="center"/>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63AFD">
              <w:rPr>
                <w:color w:val="000000"/>
                <w:sz w:val="22"/>
                <w:szCs w:val="22"/>
                <w:lang w:val="en-US" w:eastAsia="zh-CN"/>
              </w:rPr>
              <w:t>Support Costs</w:t>
            </w:r>
          </w:p>
        </w:tc>
        <w:tc>
          <w:tcPr>
            <w:tcW w:w="748" w:type="pct"/>
            <w:vMerge/>
            <w:tcBorders>
              <w:top w:val="single" w:sz="4" w:space="0" w:color="auto"/>
              <w:left w:val="single" w:sz="4" w:space="0" w:color="auto"/>
              <w:bottom w:val="single" w:sz="4" w:space="0" w:color="000000"/>
              <w:right w:val="single" w:sz="4" w:space="0" w:color="auto"/>
            </w:tcBorders>
            <w:vAlign w:val="center"/>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463AFD" w:rsidRPr="00463AFD" w:rsidTr="00463AFD">
        <w:trPr>
          <w:trHeight w:val="300"/>
        </w:trPr>
        <w:tc>
          <w:tcPr>
            <w:tcW w:w="723" w:type="pct"/>
            <w:tcBorders>
              <w:top w:val="nil"/>
              <w:left w:val="nil"/>
              <w:bottom w:val="nil"/>
              <w:right w:val="nil"/>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686" w:type="pct"/>
            <w:tcBorders>
              <w:top w:val="nil"/>
              <w:left w:val="nil"/>
              <w:bottom w:val="nil"/>
              <w:right w:val="nil"/>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167" w:type="pct"/>
            <w:tcBorders>
              <w:top w:val="nil"/>
              <w:left w:val="nil"/>
              <w:bottom w:val="nil"/>
              <w:right w:val="nil"/>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883" w:type="pct"/>
            <w:tcBorders>
              <w:top w:val="nil"/>
              <w:left w:val="nil"/>
              <w:bottom w:val="nil"/>
              <w:right w:val="nil"/>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793" w:type="pct"/>
            <w:tcBorders>
              <w:top w:val="nil"/>
              <w:left w:val="nil"/>
              <w:bottom w:val="nil"/>
              <w:right w:val="nil"/>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748" w:type="pct"/>
            <w:tcBorders>
              <w:top w:val="nil"/>
              <w:left w:val="nil"/>
              <w:bottom w:val="nil"/>
              <w:right w:val="nil"/>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463AFD" w:rsidRPr="00463AFD" w:rsidTr="00463AFD">
        <w:trPr>
          <w:trHeight w:val="600"/>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463AFD">
              <w:rPr>
                <w:color w:val="000000"/>
                <w:sz w:val="22"/>
                <w:szCs w:val="22"/>
                <w:lang w:val="en-US" w:eastAsia="zh-CN"/>
              </w:rPr>
              <w:t>P.40552.1.01</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63AFD">
              <w:rPr>
                <w:color w:val="000000"/>
                <w:sz w:val="22"/>
                <w:szCs w:val="22"/>
                <w:lang w:val="en-US" w:eastAsia="zh-CN"/>
              </w:rPr>
              <w:t xml:space="preserve">         187,457.54 </w:t>
            </w:r>
          </w:p>
        </w:tc>
        <w:tc>
          <w:tcPr>
            <w:tcW w:w="1167" w:type="pct"/>
            <w:tcBorders>
              <w:top w:val="single" w:sz="4" w:space="0" w:color="auto"/>
              <w:left w:val="nil"/>
              <w:bottom w:val="single" w:sz="4" w:space="0" w:color="auto"/>
              <w:right w:val="single" w:sz="4" w:space="0" w:color="auto"/>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63AFD">
              <w:rPr>
                <w:color w:val="000000"/>
                <w:sz w:val="22"/>
                <w:szCs w:val="22"/>
                <w:lang w:val="en-US" w:eastAsia="zh-CN"/>
              </w:rPr>
              <w:t xml:space="preserve">                        (187,457.54)</w:t>
            </w:r>
          </w:p>
        </w:tc>
        <w:tc>
          <w:tcPr>
            <w:tcW w:w="883" w:type="pct"/>
            <w:tcBorders>
              <w:top w:val="single" w:sz="4" w:space="0" w:color="auto"/>
              <w:left w:val="nil"/>
              <w:bottom w:val="single" w:sz="4" w:space="0" w:color="auto"/>
              <w:right w:val="single" w:sz="4" w:space="0" w:color="auto"/>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63AFD">
              <w:rPr>
                <w:color w:val="000000"/>
                <w:sz w:val="22"/>
                <w:szCs w:val="22"/>
                <w:lang w:val="en-US" w:eastAsia="zh-CN"/>
              </w:rPr>
              <w:t xml:space="preserve">                                 -   </w:t>
            </w:r>
          </w:p>
        </w:tc>
        <w:tc>
          <w:tcPr>
            <w:tcW w:w="793" w:type="pct"/>
            <w:tcBorders>
              <w:top w:val="single" w:sz="4" w:space="0" w:color="auto"/>
              <w:left w:val="nil"/>
              <w:bottom w:val="single" w:sz="4" w:space="0" w:color="auto"/>
              <w:right w:val="single" w:sz="4" w:space="0" w:color="auto"/>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63AFD">
              <w:rPr>
                <w:color w:val="000000"/>
                <w:sz w:val="22"/>
                <w:szCs w:val="22"/>
                <w:lang w:val="en-US" w:eastAsia="zh-CN"/>
              </w:rPr>
              <w:t xml:space="preserve">                             -   </w:t>
            </w:r>
          </w:p>
        </w:tc>
        <w:tc>
          <w:tcPr>
            <w:tcW w:w="748" w:type="pct"/>
            <w:tcBorders>
              <w:top w:val="single" w:sz="4" w:space="0" w:color="auto"/>
              <w:left w:val="nil"/>
              <w:bottom w:val="single" w:sz="4" w:space="0" w:color="auto"/>
              <w:right w:val="single" w:sz="4" w:space="0" w:color="auto"/>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463AFD">
              <w:rPr>
                <w:color w:val="000000"/>
                <w:sz w:val="22"/>
                <w:szCs w:val="22"/>
                <w:lang w:val="en-US" w:eastAsia="zh-CN"/>
              </w:rPr>
              <w:t xml:space="preserve">                           -   </w:t>
            </w:r>
          </w:p>
        </w:tc>
      </w:tr>
      <w:tr w:rsidR="00463AFD" w:rsidRPr="00463AFD" w:rsidTr="00463AFD">
        <w:trPr>
          <w:trHeight w:val="525"/>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463AFD">
              <w:rPr>
                <w:b/>
                <w:bCs/>
                <w:color w:val="000000"/>
                <w:sz w:val="22"/>
                <w:szCs w:val="22"/>
                <w:lang w:val="en-US" w:eastAsia="zh-CN"/>
              </w:rPr>
              <w:t>Total</w:t>
            </w:r>
          </w:p>
        </w:tc>
        <w:tc>
          <w:tcPr>
            <w:tcW w:w="686" w:type="pct"/>
            <w:tcBorders>
              <w:top w:val="nil"/>
              <w:left w:val="nil"/>
              <w:bottom w:val="single" w:sz="4" w:space="0" w:color="auto"/>
              <w:right w:val="single" w:sz="4" w:space="0" w:color="auto"/>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463AFD">
              <w:rPr>
                <w:b/>
                <w:bCs/>
                <w:color w:val="000000"/>
                <w:sz w:val="22"/>
                <w:szCs w:val="22"/>
                <w:lang w:val="en-US" w:eastAsia="zh-CN"/>
              </w:rPr>
              <w:t xml:space="preserve">         187,457.54 </w:t>
            </w:r>
          </w:p>
        </w:tc>
        <w:tc>
          <w:tcPr>
            <w:tcW w:w="1167" w:type="pct"/>
            <w:tcBorders>
              <w:top w:val="nil"/>
              <w:left w:val="nil"/>
              <w:bottom w:val="single" w:sz="4" w:space="0" w:color="auto"/>
              <w:right w:val="single" w:sz="4" w:space="0" w:color="auto"/>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463AFD">
              <w:rPr>
                <w:b/>
                <w:bCs/>
                <w:color w:val="000000"/>
                <w:sz w:val="22"/>
                <w:szCs w:val="22"/>
                <w:lang w:val="en-US" w:eastAsia="zh-CN"/>
              </w:rPr>
              <w:t xml:space="preserve">                        (187,457.54)</w:t>
            </w:r>
          </w:p>
        </w:tc>
        <w:tc>
          <w:tcPr>
            <w:tcW w:w="883" w:type="pct"/>
            <w:tcBorders>
              <w:top w:val="nil"/>
              <w:left w:val="nil"/>
              <w:bottom w:val="single" w:sz="4" w:space="0" w:color="auto"/>
              <w:right w:val="single" w:sz="4" w:space="0" w:color="auto"/>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463AFD">
              <w:rPr>
                <w:b/>
                <w:bCs/>
                <w:color w:val="000000"/>
                <w:sz w:val="22"/>
                <w:szCs w:val="22"/>
                <w:lang w:val="en-US" w:eastAsia="zh-CN"/>
              </w:rPr>
              <w:t xml:space="preserve">                                 -   </w:t>
            </w:r>
          </w:p>
        </w:tc>
        <w:tc>
          <w:tcPr>
            <w:tcW w:w="793" w:type="pct"/>
            <w:tcBorders>
              <w:top w:val="nil"/>
              <w:left w:val="nil"/>
              <w:bottom w:val="single" w:sz="4" w:space="0" w:color="auto"/>
              <w:right w:val="single" w:sz="4" w:space="0" w:color="auto"/>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463AFD">
              <w:rPr>
                <w:b/>
                <w:bCs/>
                <w:color w:val="000000"/>
                <w:sz w:val="22"/>
                <w:szCs w:val="22"/>
                <w:lang w:val="en-US" w:eastAsia="zh-CN"/>
              </w:rPr>
              <w:t xml:space="preserve">                             -   </w:t>
            </w:r>
          </w:p>
        </w:tc>
        <w:tc>
          <w:tcPr>
            <w:tcW w:w="748" w:type="pct"/>
            <w:tcBorders>
              <w:top w:val="nil"/>
              <w:left w:val="nil"/>
              <w:bottom w:val="single" w:sz="4" w:space="0" w:color="auto"/>
              <w:right w:val="single" w:sz="4" w:space="0" w:color="auto"/>
            </w:tcBorders>
            <w:shd w:val="clear" w:color="auto" w:fill="auto"/>
            <w:noWrap/>
            <w:vAlign w:val="bottom"/>
            <w:hideMark/>
          </w:tcPr>
          <w:p w:rsidR="00463AFD" w:rsidRPr="00463AFD" w:rsidRDefault="00463AFD" w:rsidP="00463AFD">
            <w:pPr>
              <w:tabs>
                <w:tab w:val="clear" w:pos="567"/>
                <w:tab w:val="clear" w:pos="1134"/>
                <w:tab w:val="clear" w:pos="1701"/>
                <w:tab w:val="clear" w:pos="2268"/>
                <w:tab w:val="clear" w:pos="2835"/>
              </w:tabs>
              <w:overflowPunct/>
              <w:autoSpaceDE/>
              <w:autoSpaceDN/>
              <w:adjustRightInd/>
              <w:spacing w:before="0"/>
              <w:jc w:val="right"/>
              <w:textAlignment w:val="auto"/>
              <w:rPr>
                <w:b/>
                <w:bCs/>
                <w:color w:val="000000"/>
                <w:sz w:val="22"/>
                <w:szCs w:val="22"/>
                <w:lang w:val="en-US" w:eastAsia="zh-CN"/>
              </w:rPr>
            </w:pPr>
            <w:r w:rsidRPr="00463AFD">
              <w:rPr>
                <w:b/>
                <w:bCs/>
                <w:color w:val="000000"/>
                <w:sz w:val="22"/>
                <w:szCs w:val="22"/>
                <w:lang w:val="en-US" w:eastAsia="zh-CN"/>
              </w:rPr>
              <w:t xml:space="preserve">                           -   </w:t>
            </w:r>
          </w:p>
        </w:tc>
      </w:tr>
    </w:tbl>
    <w:p w:rsidR="00463AFD" w:rsidRPr="001C2A98" w:rsidRDefault="00463AFD" w:rsidP="005D3458">
      <w:pPr>
        <w:rPr>
          <w:lang w:val="en-US"/>
        </w:rPr>
        <w:sectPr w:rsidR="00463AFD" w:rsidRPr="001C2A98" w:rsidSect="00B7047B">
          <w:footerReference w:type="first" r:id="rId50"/>
          <w:pgSz w:w="11907" w:h="16834"/>
          <w:pgMar w:top="1134" w:right="992" w:bottom="851" w:left="1134" w:header="720" w:footer="720" w:gutter="0"/>
          <w:paperSrc w:first="15" w:other="15"/>
          <w:cols w:space="720"/>
          <w:docGrid w:linePitch="326"/>
        </w:sectPr>
      </w:pPr>
    </w:p>
    <w:p w:rsidR="0022373A" w:rsidRPr="00CB6F00" w:rsidRDefault="00EA524F" w:rsidP="008A0416">
      <w:pPr>
        <w:pStyle w:val="Heading9"/>
        <w:spacing w:before="0"/>
        <w:jc w:val="center"/>
        <w:rPr>
          <w:b w:val="0"/>
          <w:bCs/>
          <w:w w:val="105"/>
          <w:szCs w:val="24"/>
          <w:lang w:val="en-US"/>
        </w:rPr>
      </w:pPr>
      <w:bookmarkStart w:id="148" w:name="_Toc357006009"/>
      <w:r w:rsidRPr="00CB6F00">
        <w:rPr>
          <w:b w:val="0"/>
          <w:bCs/>
          <w:w w:val="105"/>
          <w:szCs w:val="24"/>
          <w:lang w:val="en-US"/>
        </w:rPr>
        <w:t xml:space="preserve">ANNEX </w:t>
      </w:r>
      <w:r w:rsidR="008A0416">
        <w:rPr>
          <w:b w:val="0"/>
          <w:bCs/>
          <w:w w:val="105"/>
          <w:szCs w:val="24"/>
          <w:lang w:val="en-US"/>
        </w:rPr>
        <w:t>B</w:t>
      </w:r>
      <w:r w:rsidR="006B69B1">
        <w:rPr>
          <w:b w:val="0"/>
          <w:bCs/>
          <w:w w:val="105"/>
          <w:szCs w:val="24"/>
          <w:lang w:val="en-US"/>
        </w:rPr>
        <w:t>5</w:t>
      </w:r>
      <w:bookmarkEnd w:id="148"/>
    </w:p>
    <w:p w:rsidR="00817F70" w:rsidRDefault="0022373A" w:rsidP="00721974">
      <w:pPr>
        <w:pStyle w:val="Annextitle"/>
        <w:spacing w:before="0" w:after="0"/>
        <w:rPr>
          <w:szCs w:val="28"/>
          <w:lang w:val="en-US"/>
        </w:rPr>
      </w:pPr>
      <w:r w:rsidRPr="00A53968">
        <w:rPr>
          <w:szCs w:val="28"/>
          <w:lang w:val="en-US"/>
        </w:rPr>
        <w:t>T</w:t>
      </w:r>
      <w:r w:rsidR="00721974">
        <w:rPr>
          <w:szCs w:val="28"/>
          <w:lang w:val="en-US"/>
        </w:rPr>
        <w:t xml:space="preserve">rust Funds (unused appropriations) </w:t>
      </w:r>
      <w:bookmarkStart w:id="149" w:name="_MON_1402910630"/>
      <w:bookmarkEnd w:id="149"/>
      <w:r w:rsidR="00834D1F" w:rsidRPr="00A53968">
        <w:rPr>
          <w:szCs w:val="28"/>
          <w:lang w:val="en-US"/>
        </w:rPr>
        <w:t xml:space="preserve">– See note </w:t>
      </w:r>
      <w:r w:rsidR="004D6371" w:rsidRPr="00A53968">
        <w:rPr>
          <w:szCs w:val="28"/>
          <w:lang w:val="en-US"/>
        </w:rPr>
        <w:t>20</w:t>
      </w:r>
    </w:p>
    <w:p w:rsidR="00C636C5" w:rsidRDefault="00C636C5" w:rsidP="00C636C5">
      <w:pPr>
        <w:rPr>
          <w:lang w:val="en-US"/>
        </w:rPr>
      </w:pPr>
      <w:r w:rsidRPr="00C636C5">
        <w:rPr>
          <w:noProof/>
          <w:lang w:eastAsia="zh-CN"/>
        </w:rPr>
        <w:drawing>
          <wp:inline distT="0" distB="0" distL="0" distR="0">
            <wp:extent cx="9249410" cy="296335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249410" cy="2963350"/>
                    </a:xfrm>
                    <a:prstGeom prst="rect">
                      <a:avLst/>
                    </a:prstGeom>
                    <a:noFill/>
                    <a:ln>
                      <a:noFill/>
                    </a:ln>
                  </pic:spPr>
                </pic:pic>
              </a:graphicData>
            </a:graphic>
          </wp:inline>
        </w:drawing>
      </w:r>
    </w:p>
    <w:p w:rsidR="00421B13" w:rsidRDefault="00421B13">
      <w:pPr>
        <w:tabs>
          <w:tab w:val="clear" w:pos="567"/>
          <w:tab w:val="clear" w:pos="1134"/>
          <w:tab w:val="clear" w:pos="1701"/>
          <w:tab w:val="clear" w:pos="2268"/>
          <w:tab w:val="clear" w:pos="2835"/>
        </w:tabs>
        <w:overflowPunct/>
        <w:autoSpaceDE/>
        <w:autoSpaceDN/>
        <w:adjustRightInd/>
        <w:spacing w:before="0"/>
        <w:textAlignment w:val="auto"/>
        <w:rPr>
          <w:szCs w:val="28"/>
          <w:lang w:val="en-US"/>
        </w:rPr>
      </w:pPr>
      <w:r>
        <w:rPr>
          <w:szCs w:val="28"/>
          <w:lang w:val="en-US"/>
        </w:rPr>
        <w:br w:type="page"/>
      </w:r>
    </w:p>
    <w:p w:rsidR="00B01927" w:rsidRDefault="00B01927" w:rsidP="00B01927">
      <w:pPr>
        <w:jc w:val="center"/>
        <w:rPr>
          <w:szCs w:val="28"/>
          <w:lang w:val="en-US"/>
        </w:rPr>
      </w:pPr>
    </w:p>
    <w:p w:rsidR="00B01927" w:rsidRDefault="00B01927" w:rsidP="00B01927">
      <w:pPr>
        <w:pStyle w:val="Annextitle"/>
        <w:spacing w:before="0" w:after="0"/>
        <w:ind w:left="142"/>
        <w:rPr>
          <w:szCs w:val="28"/>
          <w:lang w:val="en-US"/>
        </w:rPr>
      </w:pPr>
      <w:r w:rsidRPr="00A53968">
        <w:rPr>
          <w:szCs w:val="28"/>
          <w:lang w:val="en-US"/>
        </w:rPr>
        <w:t>T</w:t>
      </w:r>
      <w:r>
        <w:rPr>
          <w:szCs w:val="28"/>
          <w:lang w:val="en-US"/>
        </w:rPr>
        <w:t>rust Funds (unused appropriations)</w:t>
      </w:r>
      <w:r w:rsidRPr="00A53968">
        <w:rPr>
          <w:szCs w:val="28"/>
          <w:lang w:val="en-US"/>
        </w:rPr>
        <w:t xml:space="preserve"> (</w:t>
      </w:r>
      <w:r w:rsidRPr="00B01927">
        <w:rPr>
          <w:szCs w:val="28"/>
          <w:lang w:val="en-US"/>
        </w:rPr>
        <w:t>cont’d</w:t>
      </w:r>
      <w:r w:rsidRPr="00A53968">
        <w:rPr>
          <w:szCs w:val="28"/>
          <w:lang w:val="en-US"/>
        </w:rPr>
        <w:t>)</w:t>
      </w:r>
    </w:p>
    <w:p w:rsidR="00B01927" w:rsidRDefault="00B01927" w:rsidP="00B01927">
      <w:pPr>
        <w:jc w:val="center"/>
      </w:pPr>
    </w:p>
    <w:p w:rsidR="00B01927" w:rsidRPr="00C636C5" w:rsidRDefault="00B01927" w:rsidP="00C636C5">
      <w:pPr>
        <w:rPr>
          <w:lang w:val="en-US"/>
        </w:rPr>
      </w:pPr>
      <w:r w:rsidRPr="00B01927">
        <w:rPr>
          <w:noProof/>
          <w:lang w:eastAsia="zh-CN"/>
        </w:rPr>
        <w:drawing>
          <wp:inline distT="0" distB="0" distL="0" distR="0">
            <wp:extent cx="9249410" cy="4207293"/>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249410" cy="4207293"/>
                    </a:xfrm>
                    <a:prstGeom prst="rect">
                      <a:avLst/>
                    </a:prstGeom>
                    <a:noFill/>
                    <a:ln>
                      <a:noFill/>
                    </a:ln>
                  </pic:spPr>
                </pic:pic>
              </a:graphicData>
            </a:graphic>
          </wp:inline>
        </w:drawing>
      </w:r>
    </w:p>
    <w:p w:rsidR="00427FE8" w:rsidRPr="00A53968" w:rsidRDefault="00427FE8" w:rsidP="00F907D2">
      <w:pPr>
        <w:pStyle w:val="Annextitle"/>
        <w:spacing w:before="0" w:after="0"/>
        <w:ind w:left="142"/>
        <w:rPr>
          <w:szCs w:val="28"/>
          <w:lang w:val="en-US"/>
        </w:rPr>
      </w:pPr>
      <w:r>
        <w:rPr>
          <w:lang w:val="en-US"/>
        </w:rPr>
        <w:br w:type="page"/>
      </w:r>
      <w:r w:rsidR="00721974" w:rsidRPr="00A53968">
        <w:rPr>
          <w:szCs w:val="28"/>
          <w:lang w:val="en-US"/>
        </w:rPr>
        <w:t>T</w:t>
      </w:r>
      <w:r w:rsidR="00721974">
        <w:rPr>
          <w:szCs w:val="28"/>
          <w:lang w:val="en-US"/>
        </w:rPr>
        <w:t>rust Funds (unused appropriations)</w:t>
      </w:r>
      <w:r w:rsidR="00F26FB1" w:rsidRPr="00A53968">
        <w:rPr>
          <w:szCs w:val="28"/>
          <w:lang w:val="en-US"/>
        </w:rPr>
        <w:t xml:space="preserve"> (</w:t>
      </w:r>
      <w:r w:rsidR="00F26FB1" w:rsidRPr="00A53968">
        <w:rPr>
          <w:i/>
          <w:iCs/>
          <w:szCs w:val="28"/>
          <w:lang w:val="en-US"/>
        </w:rPr>
        <w:t>cont</w:t>
      </w:r>
      <w:r w:rsidR="007A552E" w:rsidRPr="00A53968">
        <w:rPr>
          <w:i/>
          <w:iCs/>
          <w:szCs w:val="28"/>
          <w:lang w:val="en-US"/>
        </w:rPr>
        <w:t>’</w:t>
      </w:r>
      <w:r w:rsidR="00F26FB1" w:rsidRPr="00A53968">
        <w:rPr>
          <w:i/>
          <w:iCs/>
          <w:szCs w:val="28"/>
          <w:lang w:val="en-US"/>
        </w:rPr>
        <w:t>d</w:t>
      </w:r>
      <w:r w:rsidR="00F26FB1" w:rsidRPr="00A53968">
        <w:rPr>
          <w:szCs w:val="28"/>
          <w:lang w:val="en-US"/>
        </w:rPr>
        <w:t>)</w:t>
      </w:r>
    </w:p>
    <w:p w:rsidR="006D1819" w:rsidRDefault="00B01927" w:rsidP="006D1819">
      <w:pPr>
        <w:rPr>
          <w:lang w:val="en-US"/>
        </w:rPr>
      </w:pPr>
      <w:r w:rsidRPr="00B01927">
        <w:rPr>
          <w:noProof/>
          <w:lang w:eastAsia="zh-CN"/>
        </w:rPr>
        <w:drawing>
          <wp:inline distT="0" distB="0" distL="0" distR="0">
            <wp:extent cx="9249410" cy="5998571"/>
            <wp:effectExtent l="0" t="0" r="889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249410" cy="5998571"/>
                    </a:xfrm>
                    <a:prstGeom prst="rect">
                      <a:avLst/>
                    </a:prstGeom>
                    <a:noFill/>
                    <a:ln>
                      <a:noFill/>
                    </a:ln>
                  </pic:spPr>
                </pic:pic>
              </a:graphicData>
            </a:graphic>
          </wp:inline>
        </w:drawing>
      </w:r>
    </w:p>
    <w:p w:rsidR="00A01049" w:rsidRDefault="00A01049" w:rsidP="006D1819">
      <w:pPr>
        <w:rPr>
          <w:lang w:val="en-US"/>
        </w:rPr>
      </w:pPr>
      <w:r>
        <w:rPr>
          <w:lang w:val="en-US"/>
        </w:rPr>
        <w:br w:type="page"/>
      </w:r>
    </w:p>
    <w:p w:rsidR="006D1819" w:rsidRPr="00A53968" w:rsidRDefault="00721974" w:rsidP="00A53968">
      <w:pPr>
        <w:pStyle w:val="Annextitle"/>
        <w:snapToGrid w:val="0"/>
        <w:spacing w:after="120"/>
        <w:ind w:left="-851"/>
        <w:rPr>
          <w:szCs w:val="28"/>
          <w:lang w:val="en-US"/>
        </w:rPr>
      </w:pPr>
      <w:r w:rsidRPr="00A53968">
        <w:rPr>
          <w:szCs w:val="28"/>
          <w:lang w:val="en-US"/>
        </w:rPr>
        <w:t>T</w:t>
      </w:r>
      <w:r>
        <w:rPr>
          <w:szCs w:val="28"/>
          <w:lang w:val="en-US"/>
        </w:rPr>
        <w:t>rust Funds (unused appropriations)</w:t>
      </w:r>
      <w:r w:rsidR="006D1819" w:rsidRPr="00A53968">
        <w:rPr>
          <w:szCs w:val="28"/>
          <w:lang w:val="en-US"/>
        </w:rPr>
        <w:t xml:space="preserve"> (</w:t>
      </w:r>
      <w:r w:rsidR="006D1819" w:rsidRPr="00721974">
        <w:rPr>
          <w:i/>
          <w:iCs/>
          <w:szCs w:val="28"/>
          <w:lang w:val="en-US"/>
        </w:rPr>
        <w:t>cont’d</w:t>
      </w:r>
      <w:r w:rsidR="006D1819" w:rsidRPr="00A53968">
        <w:rPr>
          <w:szCs w:val="28"/>
          <w:lang w:val="en-US"/>
        </w:rPr>
        <w:t>)</w:t>
      </w:r>
    </w:p>
    <w:p w:rsidR="008235A8" w:rsidRDefault="00B01927" w:rsidP="008235A8">
      <w:pPr>
        <w:rPr>
          <w:lang w:val="en-US"/>
        </w:rPr>
      </w:pPr>
      <w:r w:rsidRPr="00B01927">
        <w:rPr>
          <w:noProof/>
          <w:lang w:eastAsia="zh-CN"/>
        </w:rPr>
        <w:drawing>
          <wp:inline distT="0" distB="0" distL="0" distR="0">
            <wp:extent cx="9601200" cy="609028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631451" cy="6109474"/>
                    </a:xfrm>
                    <a:prstGeom prst="rect">
                      <a:avLst/>
                    </a:prstGeom>
                    <a:noFill/>
                    <a:ln>
                      <a:noFill/>
                    </a:ln>
                  </pic:spPr>
                </pic:pic>
              </a:graphicData>
            </a:graphic>
          </wp:inline>
        </w:drawing>
      </w:r>
    </w:p>
    <w:p w:rsidR="00B01927" w:rsidRPr="00A53968" w:rsidRDefault="00A01049" w:rsidP="00B01927">
      <w:pPr>
        <w:pStyle w:val="Annextitle"/>
        <w:snapToGrid w:val="0"/>
        <w:spacing w:after="120"/>
        <w:ind w:left="-851"/>
        <w:rPr>
          <w:szCs w:val="28"/>
          <w:lang w:val="en-US"/>
        </w:rPr>
      </w:pPr>
      <w:r>
        <w:rPr>
          <w:lang w:val="en-US"/>
        </w:rPr>
        <w:br w:type="page"/>
      </w:r>
      <w:r w:rsidR="00B01927" w:rsidRPr="00A53968">
        <w:rPr>
          <w:szCs w:val="28"/>
          <w:lang w:val="en-US"/>
        </w:rPr>
        <w:t>T</w:t>
      </w:r>
      <w:r w:rsidR="00B01927">
        <w:rPr>
          <w:szCs w:val="28"/>
          <w:lang w:val="en-US"/>
        </w:rPr>
        <w:t>rust Funds (unused appropriations)</w:t>
      </w:r>
      <w:r w:rsidR="00B01927" w:rsidRPr="00A53968">
        <w:rPr>
          <w:szCs w:val="28"/>
          <w:lang w:val="en-US"/>
        </w:rPr>
        <w:t xml:space="preserve"> (</w:t>
      </w:r>
      <w:r w:rsidR="00B01927" w:rsidRPr="00721974">
        <w:rPr>
          <w:i/>
          <w:iCs/>
          <w:szCs w:val="28"/>
          <w:lang w:val="en-US"/>
        </w:rPr>
        <w:t>cont’d</w:t>
      </w:r>
      <w:r w:rsidR="00B01927" w:rsidRPr="00A53968">
        <w:rPr>
          <w:szCs w:val="28"/>
          <w:lang w:val="en-US"/>
        </w:rPr>
        <w:t>)</w:t>
      </w:r>
    </w:p>
    <w:p w:rsidR="00A01049" w:rsidRDefault="00B01927" w:rsidP="008235A8">
      <w:pPr>
        <w:rPr>
          <w:lang w:val="en-US"/>
        </w:rPr>
      </w:pPr>
      <w:r w:rsidRPr="00B01927">
        <w:rPr>
          <w:noProof/>
          <w:lang w:eastAsia="zh-CN"/>
        </w:rPr>
        <w:drawing>
          <wp:inline distT="0" distB="0" distL="0" distR="0">
            <wp:extent cx="9249410" cy="285830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249410" cy="2858305"/>
                    </a:xfrm>
                    <a:prstGeom prst="rect">
                      <a:avLst/>
                    </a:prstGeom>
                    <a:noFill/>
                    <a:ln>
                      <a:noFill/>
                    </a:ln>
                  </pic:spPr>
                </pic:pic>
              </a:graphicData>
            </a:graphic>
          </wp:inline>
        </w:drawing>
      </w:r>
    </w:p>
    <w:p w:rsidR="00421B13" w:rsidRDefault="00421B13">
      <w:pPr>
        <w:tabs>
          <w:tab w:val="clear" w:pos="567"/>
          <w:tab w:val="clear" w:pos="1134"/>
          <w:tab w:val="clear" w:pos="1701"/>
          <w:tab w:val="clear" w:pos="2268"/>
          <w:tab w:val="clear" w:pos="2835"/>
        </w:tabs>
        <w:overflowPunct/>
        <w:autoSpaceDE/>
        <w:autoSpaceDN/>
        <w:adjustRightInd/>
        <w:spacing w:before="0"/>
        <w:textAlignment w:val="auto"/>
        <w:rPr>
          <w:b/>
          <w:bCs/>
          <w:sz w:val="28"/>
          <w:szCs w:val="28"/>
          <w:lang w:val="en-US"/>
        </w:rPr>
      </w:pPr>
      <w:r>
        <w:rPr>
          <w:b/>
          <w:bCs/>
          <w:sz w:val="28"/>
          <w:szCs w:val="28"/>
          <w:lang w:val="en-US"/>
        </w:rPr>
        <w:br w:type="page"/>
      </w:r>
    </w:p>
    <w:p w:rsidR="00B01927" w:rsidRDefault="00B01927" w:rsidP="00B01927">
      <w:pPr>
        <w:tabs>
          <w:tab w:val="clear" w:pos="567"/>
          <w:tab w:val="clear" w:pos="1134"/>
          <w:tab w:val="clear" w:pos="1701"/>
          <w:tab w:val="clear" w:pos="2268"/>
          <w:tab w:val="clear" w:pos="2835"/>
        </w:tabs>
        <w:overflowPunct/>
        <w:autoSpaceDE/>
        <w:autoSpaceDN/>
        <w:adjustRightInd/>
        <w:spacing w:before="0" w:after="120"/>
        <w:jc w:val="center"/>
        <w:textAlignment w:val="auto"/>
        <w:rPr>
          <w:b/>
          <w:bCs/>
          <w:sz w:val="28"/>
          <w:szCs w:val="28"/>
          <w:lang w:val="en-US"/>
        </w:rPr>
      </w:pPr>
    </w:p>
    <w:p w:rsidR="00B01927" w:rsidRPr="00721974" w:rsidRDefault="00B01927" w:rsidP="00B01927">
      <w:pPr>
        <w:tabs>
          <w:tab w:val="clear" w:pos="567"/>
          <w:tab w:val="clear" w:pos="1134"/>
          <w:tab w:val="clear" w:pos="1701"/>
          <w:tab w:val="clear" w:pos="2268"/>
          <w:tab w:val="clear" w:pos="2835"/>
        </w:tabs>
        <w:overflowPunct/>
        <w:autoSpaceDE/>
        <w:autoSpaceDN/>
        <w:adjustRightInd/>
        <w:spacing w:before="0" w:after="120"/>
        <w:jc w:val="center"/>
        <w:textAlignment w:val="auto"/>
        <w:rPr>
          <w:b/>
          <w:bCs/>
          <w:sz w:val="28"/>
          <w:szCs w:val="28"/>
          <w:lang w:val="en-US"/>
        </w:rPr>
      </w:pPr>
      <w:r w:rsidRPr="00721974">
        <w:rPr>
          <w:b/>
          <w:bCs/>
          <w:sz w:val="28"/>
          <w:szCs w:val="28"/>
          <w:lang w:val="en-US"/>
        </w:rPr>
        <w:t>Trust Funds (unused appropriations) (</w:t>
      </w:r>
      <w:r w:rsidRPr="00721974">
        <w:rPr>
          <w:b/>
          <w:bCs/>
          <w:i/>
          <w:iCs/>
          <w:sz w:val="28"/>
          <w:szCs w:val="28"/>
          <w:lang w:val="en-US"/>
        </w:rPr>
        <w:t>end</w:t>
      </w:r>
      <w:r w:rsidRPr="00721974">
        <w:rPr>
          <w:b/>
          <w:bCs/>
          <w:sz w:val="28"/>
          <w:szCs w:val="28"/>
          <w:lang w:val="en-US"/>
        </w:rPr>
        <w:t>)</w:t>
      </w:r>
    </w:p>
    <w:p w:rsidR="00B01927" w:rsidRPr="00B01927" w:rsidRDefault="00B01927" w:rsidP="008235A8">
      <w:pPr>
        <w:rPr>
          <w:lang w:val="en-US"/>
        </w:rPr>
      </w:pPr>
    </w:p>
    <w:p w:rsidR="00B01927" w:rsidRDefault="00B01927" w:rsidP="008235A8">
      <w:pPr>
        <w:rPr>
          <w:lang w:val="en-US"/>
        </w:rPr>
      </w:pPr>
      <w:r w:rsidRPr="00B01927">
        <w:rPr>
          <w:noProof/>
          <w:lang w:eastAsia="zh-CN"/>
        </w:rPr>
        <w:drawing>
          <wp:inline distT="0" distB="0" distL="0" distR="0">
            <wp:extent cx="9249410" cy="3803702"/>
            <wp:effectExtent l="0" t="0" r="889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249410" cy="3803702"/>
                    </a:xfrm>
                    <a:prstGeom prst="rect">
                      <a:avLst/>
                    </a:prstGeom>
                    <a:noFill/>
                    <a:ln>
                      <a:noFill/>
                    </a:ln>
                  </pic:spPr>
                </pic:pic>
              </a:graphicData>
            </a:graphic>
          </wp:inline>
        </w:drawing>
      </w:r>
    </w:p>
    <w:p w:rsidR="00C82EA0" w:rsidRDefault="000E373D" w:rsidP="00722508">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150" w:name="_MON_1402854367"/>
      <w:bookmarkStart w:id="151" w:name="_MON_1402854952"/>
      <w:bookmarkEnd w:id="150"/>
      <w:bookmarkEnd w:id="151"/>
      <w:r>
        <w:rPr>
          <w:lang w:val="en-US"/>
        </w:rPr>
        <w:br w:type="page"/>
      </w:r>
    </w:p>
    <w:p w:rsidR="004E5B3B" w:rsidRPr="00A53968" w:rsidRDefault="00403835" w:rsidP="008A0416">
      <w:pPr>
        <w:pStyle w:val="Heading9"/>
        <w:tabs>
          <w:tab w:val="clear" w:pos="1701"/>
          <w:tab w:val="left" w:pos="0"/>
        </w:tabs>
        <w:snapToGrid w:val="0"/>
        <w:spacing w:before="0"/>
        <w:ind w:left="284" w:firstLine="0"/>
        <w:jc w:val="center"/>
        <w:rPr>
          <w:b w:val="0"/>
          <w:bCs/>
          <w:w w:val="105"/>
          <w:sz w:val="28"/>
          <w:szCs w:val="28"/>
          <w:lang w:val="en-US"/>
        </w:rPr>
      </w:pPr>
      <w:bookmarkStart w:id="152" w:name="_MON_1402856415"/>
      <w:bookmarkStart w:id="153" w:name="_MON_1402930663"/>
      <w:bookmarkStart w:id="154" w:name="_MON_1402933351"/>
      <w:bookmarkStart w:id="155" w:name="_MON_1402856792"/>
      <w:bookmarkStart w:id="156" w:name="_Toc357006010"/>
      <w:bookmarkEnd w:id="152"/>
      <w:bookmarkEnd w:id="153"/>
      <w:bookmarkEnd w:id="154"/>
      <w:bookmarkEnd w:id="155"/>
      <w:r w:rsidRPr="00A53968">
        <w:rPr>
          <w:b w:val="0"/>
          <w:bCs/>
          <w:w w:val="105"/>
          <w:sz w:val="28"/>
          <w:szCs w:val="28"/>
          <w:lang w:val="en-US"/>
        </w:rPr>
        <w:t>A</w:t>
      </w:r>
      <w:r w:rsidR="00EA524F" w:rsidRPr="00A53968">
        <w:rPr>
          <w:b w:val="0"/>
          <w:bCs/>
          <w:w w:val="105"/>
          <w:sz w:val="28"/>
          <w:szCs w:val="28"/>
          <w:lang w:val="en-US"/>
        </w:rPr>
        <w:t xml:space="preserve">NNEX </w:t>
      </w:r>
      <w:r w:rsidR="008A0416">
        <w:rPr>
          <w:b w:val="0"/>
          <w:bCs/>
          <w:w w:val="105"/>
          <w:sz w:val="28"/>
          <w:szCs w:val="28"/>
          <w:lang w:val="en-US"/>
        </w:rPr>
        <w:t>B</w:t>
      </w:r>
      <w:r w:rsidR="006B69B1" w:rsidRPr="00A53968">
        <w:rPr>
          <w:b w:val="0"/>
          <w:bCs/>
          <w:w w:val="105"/>
          <w:sz w:val="28"/>
          <w:szCs w:val="28"/>
          <w:lang w:val="en-US"/>
        </w:rPr>
        <w:t>6</w:t>
      </w:r>
      <w:bookmarkEnd w:id="156"/>
    </w:p>
    <w:p w:rsidR="000B14FE" w:rsidRPr="00A53968" w:rsidRDefault="00284487" w:rsidP="00721974">
      <w:pPr>
        <w:pStyle w:val="Heading9"/>
        <w:tabs>
          <w:tab w:val="clear" w:pos="1701"/>
          <w:tab w:val="left" w:pos="0"/>
        </w:tabs>
        <w:snapToGrid w:val="0"/>
        <w:spacing w:before="0" w:after="120"/>
        <w:ind w:left="284" w:firstLine="0"/>
        <w:jc w:val="center"/>
        <w:rPr>
          <w:bCs/>
          <w:sz w:val="28"/>
          <w:szCs w:val="28"/>
          <w:lang w:val="en-US"/>
        </w:rPr>
      </w:pPr>
      <w:r w:rsidRPr="00A53968">
        <w:rPr>
          <w:bCs/>
          <w:sz w:val="28"/>
          <w:szCs w:val="28"/>
          <w:lang w:val="en-US"/>
        </w:rPr>
        <w:t>V</w:t>
      </w:r>
      <w:r w:rsidR="00721974">
        <w:rPr>
          <w:bCs/>
          <w:sz w:val="28"/>
          <w:szCs w:val="28"/>
          <w:lang w:val="en-US"/>
        </w:rPr>
        <w:t xml:space="preserve">oluntary contributions </w:t>
      </w:r>
      <w:r w:rsidRPr="00A53968">
        <w:rPr>
          <w:bCs/>
          <w:sz w:val="28"/>
          <w:szCs w:val="28"/>
          <w:lang w:val="en-US"/>
        </w:rPr>
        <w:t>– in Swiss francs</w:t>
      </w:r>
      <w:r w:rsidR="00834D1F" w:rsidRPr="00A53968">
        <w:rPr>
          <w:bCs/>
          <w:sz w:val="28"/>
          <w:szCs w:val="28"/>
          <w:lang w:val="en-US"/>
        </w:rPr>
        <w:t xml:space="preserve"> – See Note </w:t>
      </w:r>
      <w:r w:rsidR="009116EB" w:rsidRPr="00A53968">
        <w:rPr>
          <w:bCs/>
          <w:sz w:val="28"/>
          <w:szCs w:val="28"/>
          <w:lang w:val="en-US"/>
        </w:rPr>
        <w:t>20</w:t>
      </w:r>
    </w:p>
    <w:p w:rsidR="0056715E" w:rsidRDefault="000272E7" w:rsidP="0056715E">
      <w:pPr>
        <w:jc w:val="center"/>
        <w:rPr>
          <w:lang w:val="en-US"/>
        </w:rPr>
      </w:pPr>
      <w:r w:rsidRPr="000272E7">
        <w:rPr>
          <w:noProof/>
          <w:lang w:eastAsia="zh-CN"/>
        </w:rPr>
        <w:drawing>
          <wp:inline distT="0" distB="0" distL="0" distR="0">
            <wp:extent cx="9249410" cy="6009867"/>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249410" cy="6009867"/>
                    </a:xfrm>
                    <a:prstGeom prst="rect">
                      <a:avLst/>
                    </a:prstGeom>
                    <a:noFill/>
                    <a:ln>
                      <a:noFill/>
                    </a:ln>
                  </pic:spPr>
                </pic:pic>
              </a:graphicData>
            </a:graphic>
          </wp:inline>
        </w:drawing>
      </w:r>
    </w:p>
    <w:p w:rsidR="00A01049" w:rsidRDefault="00A53968" w:rsidP="00722508">
      <w:pPr>
        <w:spacing w:before="0"/>
        <w:jc w:val="center"/>
        <w:rPr>
          <w:b/>
          <w:sz w:val="28"/>
          <w:szCs w:val="28"/>
          <w:lang w:val="en-US"/>
        </w:rPr>
      </w:pPr>
      <w:r w:rsidRPr="00A53968">
        <w:rPr>
          <w:b/>
          <w:sz w:val="28"/>
          <w:szCs w:val="28"/>
          <w:lang w:val="en-US"/>
        </w:rPr>
        <w:t>V</w:t>
      </w:r>
      <w:r w:rsidR="00F9552B">
        <w:rPr>
          <w:b/>
          <w:sz w:val="28"/>
          <w:szCs w:val="28"/>
          <w:lang w:val="en-US"/>
        </w:rPr>
        <w:t xml:space="preserve">oluntary contributions </w:t>
      </w:r>
      <w:r w:rsidRPr="00A53968">
        <w:rPr>
          <w:b/>
          <w:sz w:val="28"/>
          <w:szCs w:val="28"/>
          <w:lang w:val="en-US"/>
        </w:rPr>
        <w:t>(</w:t>
      </w:r>
      <w:r w:rsidRPr="00A53968">
        <w:rPr>
          <w:b/>
          <w:i/>
          <w:iCs/>
          <w:sz w:val="28"/>
          <w:szCs w:val="28"/>
          <w:lang w:val="en-US"/>
        </w:rPr>
        <w:t>cont’d</w:t>
      </w:r>
      <w:r w:rsidRPr="00A53968">
        <w:rPr>
          <w:b/>
          <w:sz w:val="28"/>
          <w:szCs w:val="28"/>
          <w:lang w:val="en-US"/>
        </w:rPr>
        <w:t>)</w:t>
      </w:r>
      <w:r w:rsidR="000272E7" w:rsidRPr="000272E7">
        <w:rPr>
          <w:noProof/>
          <w:lang w:eastAsia="zh-CN"/>
        </w:rPr>
        <w:drawing>
          <wp:inline distT="0" distB="0" distL="0" distR="0">
            <wp:extent cx="9191625" cy="5878195"/>
            <wp:effectExtent l="0" t="0" r="9525"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212003" cy="5891227"/>
                    </a:xfrm>
                    <a:prstGeom prst="rect">
                      <a:avLst/>
                    </a:prstGeom>
                    <a:noFill/>
                    <a:ln>
                      <a:noFill/>
                    </a:ln>
                  </pic:spPr>
                </pic:pic>
              </a:graphicData>
            </a:graphic>
          </wp:inline>
        </w:drawing>
      </w:r>
      <w:r w:rsidR="00A01049">
        <w:rPr>
          <w:b/>
          <w:sz w:val="28"/>
          <w:szCs w:val="28"/>
          <w:lang w:val="en-US"/>
        </w:rPr>
        <w:br w:type="page"/>
      </w:r>
    </w:p>
    <w:p w:rsidR="00A53968" w:rsidRPr="00A53968" w:rsidRDefault="00A53968" w:rsidP="00D525F8">
      <w:pPr>
        <w:spacing w:before="0" w:after="120"/>
        <w:jc w:val="center"/>
        <w:rPr>
          <w:b/>
          <w:sz w:val="22"/>
          <w:szCs w:val="22"/>
          <w:lang w:val="en-US"/>
        </w:rPr>
      </w:pPr>
      <w:r w:rsidRPr="00A53968">
        <w:rPr>
          <w:b/>
          <w:sz w:val="28"/>
          <w:szCs w:val="28"/>
          <w:lang w:val="en-US"/>
        </w:rPr>
        <w:t>V</w:t>
      </w:r>
      <w:r w:rsidR="00D525F8">
        <w:rPr>
          <w:b/>
          <w:sz w:val="28"/>
          <w:szCs w:val="28"/>
          <w:lang w:val="en-US"/>
        </w:rPr>
        <w:t xml:space="preserve">oluntary contributions </w:t>
      </w:r>
      <w:r w:rsidRPr="00A53968">
        <w:rPr>
          <w:b/>
          <w:sz w:val="28"/>
          <w:szCs w:val="28"/>
          <w:lang w:val="en-US"/>
        </w:rPr>
        <w:t>(</w:t>
      </w:r>
      <w:r w:rsidRPr="00A53968">
        <w:rPr>
          <w:b/>
          <w:i/>
          <w:iCs/>
          <w:sz w:val="28"/>
          <w:szCs w:val="28"/>
          <w:lang w:val="en-US"/>
        </w:rPr>
        <w:t>cont’d</w:t>
      </w:r>
      <w:r w:rsidRPr="00A53968">
        <w:rPr>
          <w:b/>
          <w:sz w:val="28"/>
          <w:szCs w:val="28"/>
          <w:lang w:val="en-US"/>
        </w:rPr>
        <w:t>)</w:t>
      </w:r>
    </w:p>
    <w:p w:rsidR="00B904A7" w:rsidRDefault="000272E7" w:rsidP="00C83BA5">
      <w:pPr>
        <w:spacing w:before="0"/>
        <w:jc w:val="center"/>
        <w:rPr>
          <w:b/>
          <w:bCs/>
          <w:sz w:val="22"/>
          <w:szCs w:val="22"/>
          <w:lang w:val="en-US"/>
        </w:rPr>
      </w:pPr>
      <w:r w:rsidRPr="000272E7">
        <w:rPr>
          <w:noProof/>
          <w:lang w:eastAsia="zh-CN"/>
        </w:rPr>
        <w:drawing>
          <wp:inline distT="0" distB="0" distL="0" distR="0">
            <wp:extent cx="9249410" cy="318812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249410" cy="3188122"/>
                    </a:xfrm>
                    <a:prstGeom prst="rect">
                      <a:avLst/>
                    </a:prstGeom>
                    <a:noFill/>
                    <a:ln>
                      <a:noFill/>
                    </a:ln>
                  </pic:spPr>
                </pic:pic>
              </a:graphicData>
            </a:graphic>
          </wp:inline>
        </w:drawing>
      </w:r>
    </w:p>
    <w:p w:rsidR="00A01049" w:rsidRDefault="00A01049" w:rsidP="00D525F8">
      <w:pPr>
        <w:spacing w:before="0" w:after="120"/>
        <w:jc w:val="center"/>
        <w:rPr>
          <w:b/>
          <w:sz w:val="28"/>
          <w:szCs w:val="28"/>
          <w:lang w:val="en-US"/>
        </w:rPr>
      </w:pPr>
      <w:r>
        <w:rPr>
          <w:b/>
          <w:sz w:val="28"/>
          <w:szCs w:val="28"/>
          <w:lang w:val="en-US"/>
        </w:rPr>
        <w:br w:type="page"/>
      </w:r>
    </w:p>
    <w:p w:rsidR="00A53968" w:rsidRPr="00A53968" w:rsidRDefault="00A53968" w:rsidP="00D525F8">
      <w:pPr>
        <w:spacing w:before="0" w:after="120"/>
        <w:jc w:val="center"/>
        <w:rPr>
          <w:b/>
          <w:sz w:val="22"/>
          <w:szCs w:val="22"/>
          <w:lang w:val="en-US"/>
        </w:rPr>
      </w:pPr>
      <w:r w:rsidRPr="00A53968">
        <w:rPr>
          <w:b/>
          <w:sz w:val="28"/>
          <w:szCs w:val="28"/>
          <w:lang w:val="en-US"/>
        </w:rPr>
        <w:t>V</w:t>
      </w:r>
      <w:r w:rsidR="00D525F8">
        <w:rPr>
          <w:b/>
          <w:sz w:val="28"/>
          <w:szCs w:val="28"/>
          <w:lang w:val="en-US"/>
        </w:rPr>
        <w:t xml:space="preserve">oluntary contributions </w:t>
      </w:r>
      <w:r w:rsidRPr="00A53968">
        <w:rPr>
          <w:b/>
          <w:sz w:val="28"/>
          <w:szCs w:val="28"/>
          <w:lang w:val="en-US"/>
        </w:rPr>
        <w:t>(</w:t>
      </w:r>
      <w:r w:rsidR="00D525F8" w:rsidRPr="00D525F8">
        <w:rPr>
          <w:b/>
          <w:i/>
          <w:iCs/>
          <w:sz w:val="28"/>
          <w:szCs w:val="28"/>
          <w:lang w:val="en-US"/>
        </w:rPr>
        <w:t>end</w:t>
      </w:r>
      <w:r w:rsidRPr="00A53968">
        <w:rPr>
          <w:b/>
          <w:sz w:val="28"/>
          <w:szCs w:val="28"/>
          <w:lang w:val="en-US"/>
        </w:rPr>
        <w:t>)</w:t>
      </w:r>
    </w:p>
    <w:p w:rsidR="00B904A7" w:rsidRDefault="000272E7" w:rsidP="00C83BA5">
      <w:pPr>
        <w:spacing w:before="0"/>
        <w:jc w:val="center"/>
        <w:rPr>
          <w:b/>
          <w:bCs/>
          <w:sz w:val="22"/>
          <w:szCs w:val="22"/>
          <w:lang w:val="en-US"/>
        </w:rPr>
      </w:pPr>
      <w:r w:rsidRPr="000272E7">
        <w:rPr>
          <w:noProof/>
          <w:lang w:eastAsia="zh-CN"/>
        </w:rPr>
        <w:drawing>
          <wp:inline distT="0" distB="0" distL="0" distR="0">
            <wp:extent cx="9249410" cy="6112709"/>
            <wp:effectExtent l="0" t="0" r="889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249410" cy="6112709"/>
                    </a:xfrm>
                    <a:prstGeom prst="rect">
                      <a:avLst/>
                    </a:prstGeom>
                    <a:noFill/>
                    <a:ln>
                      <a:noFill/>
                    </a:ln>
                  </pic:spPr>
                </pic:pic>
              </a:graphicData>
            </a:graphic>
          </wp:inline>
        </w:drawing>
      </w:r>
    </w:p>
    <w:p w:rsidR="004E5B3B" w:rsidRDefault="004E5B3B" w:rsidP="00C83BA5">
      <w:pPr>
        <w:spacing w:before="0"/>
        <w:jc w:val="center"/>
        <w:rPr>
          <w:b/>
          <w:bCs/>
          <w:sz w:val="22"/>
          <w:szCs w:val="22"/>
          <w:lang w:val="en-US"/>
        </w:rPr>
      </w:pPr>
    </w:p>
    <w:p w:rsidR="0022373A" w:rsidRPr="003A585D" w:rsidRDefault="00BF48DA" w:rsidP="008A0416">
      <w:pPr>
        <w:jc w:val="center"/>
        <w:rPr>
          <w:bCs/>
          <w:w w:val="105"/>
          <w:sz w:val="28"/>
          <w:szCs w:val="28"/>
          <w:lang w:val="en-US"/>
        </w:rPr>
      </w:pPr>
      <w:bookmarkStart w:id="157" w:name="_Toc357006011"/>
      <w:r w:rsidRPr="003A585D">
        <w:rPr>
          <w:bCs/>
          <w:w w:val="105"/>
          <w:sz w:val="28"/>
          <w:szCs w:val="28"/>
          <w:lang w:val="en-US"/>
        </w:rPr>
        <w:t>A</w:t>
      </w:r>
      <w:r w:rsidR="00EA524F" w:rsidRPr="003A585D">
        <w:rPr>
          <w:bCs/>
          <w:w w:val="105"/>
          <w:sz w:val="28"/>
          <w:szCs w:val="28"/>
          <w:lang w:val="en-US"/>
        </w:rPr>
        <w:t xml:space="preserve">NNEX </w:t>
      </w:r>
      <w:bookmarkEnd w:id="157"/>
      <w:r w:rsidR="008A0416">
        <w:rPr>
          <w:bCs/>
          <w:w w:val="105"/>
          <w:sz w:val="28"/>
          <w:szCs w:val="28"/>
          <w:lang w:val="en-US"/>
        </w:rPr>
        <w:t>B</w:t>
      </w:r>
      <w:r w:rsidR="00B904A7">
        <w:rPr>
          <w:bCs/>
          <w:w w:val="105"/>
          <w:sz w:val="28"/>
          <w:szCs w:val="28"/>
          <w:lang w:val="en-US"/>
        </w:rPr>
        <w:t>7</w:t>
      </w:r>
    </w:p>
    <w:p w:rsidR="0022373A" w:rsidRPr="000A304A" w:rsidRDefault="0022373A" w:rsidP="000B066C">
      <w:pPr>
        <w:pStyle w:val="Tabletitle"/>
        <w:snapToGrid w:val="0"/>
        <w:spacing w:before="240"/>
        <w:rPr>
          <w:sz w:val="28"/>
          <w:szCs w:val="28"/>
          <w:lang w:val="en-US"/>
        </w:rPr>
      </w:pPr>
      <w:bookmarkStart w:id="158" w:name="_GoBack"/>
      <w:bookmarkEnd w:id="158"/>
      <w:r w:rsidRPr="000A304A">
        <w:rPr>
          <w:sz w:val="28"/>
          <w:szCs w:val="28"/>
          <w:lang w:val="en-US"/>
        </w:rPr>
        <w:t>Information and Communication Technology Development Fund (ICTDF)</w:t>
      </w:r>
      <w:r w:rsidR="00C14330" w:rsidRPr="000A304A">
        <w:rPr>
          <w:sz w:val="28"/>
          <w:szCs w:val="28"/>
          <w:lang w:val="en-US"/>
        </w:rPr>
        <w:t xml:space="preserve"> – in Swiss francs</w:t>
      </w:r>
      <w:r w:rsidR="00834D1F" w:rsidRPr="000A304A">
        <w:rPr>
          <w:sz w:val="28"/>
          <w:szCs w:val="28"/>
          <w:lang w:val="en-US"/>
        </w:rPr>
        <w:t xml:space="preserve"> </w:t>
      </w:r>
      <w:r w:rsidR="00A53968" w:rsidRPr="000A304A">
        <w:rPr>
          <w:sz w:val="28"/>
          <w:szCs w:val="28"/>
          <w:lang w:val="en-US"/>
        </w:rPr>
        <w:t xml:space="preserve">- </w:t>
      </w:r>
      <w:r w:rsidR="00834D1F" w:rsidRPr="000A304A">
        <w:rPr>
          <w:sz w:val="28"/>
          <w:szCs w:val="28"/>
          <w:lang w:val="en-US"/>
        </w:rPr>
        <w:t xml:space="preserve">See Note </w:t>
      </w:r>
      <w:r w:rsidR="004D6371" w:rsidRPr="000A304A">
        <w:rPr>
          <w:sz w:val="28"/>
          <w:szCs w:val="28"/>
          <w:lang w:val="en-US"/>
        </w:rPr>
        <w:t>20</w:t>
      </w:r>
    </w:p>
    <w:p w:rsidR="00D304F3" w:rsidRPr="000A304A" w:rsidRDefault="00D304F3" w:rsidP="00D304F3">
      <w:pPr>
        <w:pStyle w:val="Tabletext"/>
        <w:jc w:val="center"/>
        <w:rPr>
          <w:b/>
          <w:bCs/>
          <w:lang w:val="en-US"/>
        </w:rPr>
      </w:pPr>
      <w:r w:rsidRPr="000A304A">
        <w:rPr>
          <w:b/>
          <w:bCs/>
          <w:lang w:val="en-US"/>
        </w:rPr>
        <w:t>Changes in the ICT Capital Fund</w:t>
      </w:r>
    </w:p>
    <w:p w:rsidR="00D304F3" w:rsidRPr="000A304A" w:rsidRDefault="00D304F3" w:rsidP="00D304F3">
      <w:pPr>
        <w:pStyle w:val="Tabletext"/>
        <w:rPr>
          <w:lang w:val="en-US"/>
        </w:rPr>
      </w:pPr>
    </w:p>
    <w:tbl>
      <w:tblPr>
        <w:tblW w:w="12120" w:type="dxa"/>
        <w:jc w:val="center"/>
        <w:tblLook w:val="04A0" w:firstRow="1" w:lastRow="0" w:firstColumn="1" w:lastColumn="0" w:noHBand="0" w:noVBand="1"/>
      </w:tblPr>
      <w:tblGrid>
        <w:gridCol w:w="4680"/>
        <w:gridCol w:w="1440"/>
        <w:gridCol w:w="4560"/>
        <w:gridCol w:w="1440"/>
      </w:tblGrid>
      <w:tr w:rsidR="00D304F3" w:rsidRPr="000A304A" w:rsidTr="0032741D">
        <w:trPr>
          <w:trHeight w:val="300"/>
          <w:jc w:val="center"/>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4F3" w:rsidRPr="000A304A" w:rsidRDefault="0057547E" w:rsidP="0032741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zh-CN"/>
              </w:rPr>
            </w:pPr>
            <w:r w:rsidRPr="000A304A">
              <w:rPr>
                <w:rFonts w:cs="Calibri"/>
                <w:b/>
                <w:bCs/>
                <w:color w:val="000000"/>
                <w:sz w:val="22"/>
                <w:szCs w:val="22"/>
                <w:lang w:eastAsia="zh-CN"/>
              </w:rPr>
              <w:t>Decrease</w:t>
            </w:r>
          </w:p>
        </w:tc>
        <w:tc>
          <w:tcPr>
            <w:tcW w:w="1440" w:type="dxa"/>
            <w:tcBorders>
              <w:top w:val="single" w:sz="4" w:space="0" w:color="auto"/>
              <w:left w:val="nil"/>
              <w:bottom w:val="single" w:sz="4" w:space="0" w:color="auto"/>
              <w:right w:val="single" w:sz="4" w:space="0" w:color="auto"/>
            </w:tcBorders>
            <w:shd w:val="clear" w:color="000000" w:fill="F2F2F2"/>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zh-CN"/>
              </w:rPr>
            </w:pPr>
            <w:r w:rsidRPr="000A304A">
              <w:rPr>
                <w:rFonts w:cs="Calibri"/>
                <w:b/>
                <w:bCs/>
                <w:color w:val="000000"/>
                <w:sz w:val="22"/>
                <w:szCs w:val="22"/>
                <w:lang w:eastAsia="zh-CN"/>
              </w:rPr>
              <w:t>2018</w:t>
            </w:r>
          </w:p>
        </w:tc>
        <w:tc>
          <w:tcPr>
            <w:tcW w:w="4560" w:type="dxa"/>
            <w:tcBorders>
              <w:top w:val="single" w:sz="4" w:space="0" w:color="auto"/>
              <w:left w:val="nil"/>
              <w:bottom w:val="single" w:sz="4" w:space="0" w:color="auto"/>
              <w:right w:val="single" w:sz="4" w:space="0" w:color="auto"/>
            </w:tcBorders>
            <w:shd w:val="clear" w:color="auto" w:fill="auto"/>
            <w:noWrap/>
            <w:vAlign w:val="bottom"/>
            <w:hideMark/>
          </w:tcPr>
          <w:p w:rsidR="00D304F3" w:rsidRPr="000A304A" w:rsidRDefault="0057547E" w:rsidP="0032741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zh-CN"/>
              </w:rPr>
            </w:pPr>
            <w:r w:rsidRPr="000A304A">
              <w:rPr>
                <w:rFonts w:cs="Calibri"/>
                <w:b/>
                <w:bCs/>
                <w:color w:val="000000"/>
                <w:sz w:val="22"/>
                <w:szCs w:val="22"/>
                <w:lang w:eastAsia="zh-CN"/>
              </w:rPr>
              <w:t>Increase</w:t>
            </w:r>
          </w:p>
        </w:tc>
        <w:tc>
          <w:tcPr>
            <w:tcW w:w="1440" w:type="dxa"/>
            <w:tcBorders>
              <w:top w:val="single" w:sz="4" w:space="0" w:color="auto"/>
              <w:left w:val="nil"/>
              <w:bottom w:val="single" w:sz="4" w:space="0" w:color="auto"/>
              <w:right w:val="single" w:sz="4" w:space="0" w:color="auto"/>
            </w:tcBorders>
            <w:shd w:val="clear" w:color="000000" w:fill="F2F2F2"/>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zh-CN"/>
              </w:rPr>
            </w:pPr>
            <w:r w:rsidRPr="000A304A">
              <w:rPr>
                <w:rFonts w:cs="Calibri"/>
                <w:b/>
                <w:bCs/>
                <w:color w:val="000000"/>
                <w:sz w:val="22"/>
                <w:szCs w:val="22"/>
                <w:lang w:eastAsia="zh-CN"/>
              </w:rPr>
              <w:t>2018</w:t>
            </w:r>
          </w:p>
        </w:tc>
      </w:tr>
      <w:tr w:rsidR="00D304F3" w:rsidRPr="000A304A" w:rsidTr="0032741D">
        <w:trPr>
          <w:trHeight w:val="300"/>
          <w:jc w:val="center"/>
        </w:trPr>
        <w:tc>
          <w:tcPr>
            <w:tcW w:w="4680" w:type="dxa"/>
            <w:tcBorders>
              <w:top w:val="nil"/>
              <w:left w:val="single" w:sz="4" w:space="0" w:color="auto"/>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c>
          <w:tcPr>
            <w:tcW w:w="144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c>
          <w:tcPr>
            <w:tcW w:w="456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c>
          <w:tcPr>
            <w:tcW w:w="144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r>
      <w:tr w:rsidR="00D304F3" w:rsidRPr="000A304A" w:rsidTr="0032741D">
        <w:trPr>
          <w:trHeight w:val="300"/>
          <w:jc w:val="center"/>
        </w:trPr>
        <w:tc>
          <w:tcPr>
            <w:tcW w:w="4680" w:type="dxa"/>
            <w:tcBorders>
              <w:top w:val="nil"/>
              <w:left w:val="single" w:sz="4" w:space="0" w:color="auto"/>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Financing of Projects</w:t>
            </w:r>
          </w:p>
        </w:tc>
        <w:tc>
          <w:tcPr>
            <w:tcW w:w="144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xml:space="preserve">        295,253.29 </w:t>
            </w:r>
          </w:p>
        </w:tc>
        <w:tc>
          <w:tcPr>
            <w:tcW w:w="456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Contributions 2018</w:t>
            </w:r>
          </w:p>
        </w:tc>
        <w:tc>
          <w:tcPr>
            <w:tcW w:w="144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xml:space="preserve">                         -   </w:t>
            </w:r>
          </w:p>
        </w:tc>
      </w:tr>
      <w:tr w:rsidR="00D304F3" w:rsidRPr="000A304A" w:rsidTr="0032741D">
        <w:trPr>
          <w:trHeight w:val="300"/>
          <w:jc w:val="center"/>
        </w:trPr>
        <w:tc>
          <w:tcPr>
            <w:tcW w:w="4680" w:type="dxa"/>
            <w:tcBorders>
              <w:top w:val="nil"/>
              <w:left w:val="single" w:sz="4" w:space="0" w:color="auto"/>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c>
          <w:tcPr>
            <w:tcW w:w="144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c>
          <w:tcPr>
            <w:tcW w:w="456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c>
          <w:tcPr>
            <w:tcW w:w="144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r>
      <w:tr w:rsidR="00D304F3" w:rsidRPr="000A304A" w:rsidTr="0032741D">
        <w:trPr>
          <w:trHeight w:val="300"/>
          <w:jc w:val="center"/>
        </w:trPr>
        <w:tc>
          <w:tcPr>
            <w:tcW w:w="4680" w:type="dxa"/>
            <w:tcBorders>
              <w:top w:val="nil"/>
              <w:left w:val="single" w:sz="4" w:space="0" w:color="auto"/>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Administrative expenses</w:t>
            </w:r>
          </w:p>
        </w:tc>
        <w:tc>
          <w:tcPr>
            <w:tcW w:w="144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zh-CN"/>
              </w:rPr>
            </w:pPr>
            <w:r w:rsidRPr="000A304A">
              <w:rPr>
                <w:rFonts w:cs="Calibri"/>
                <w:color w:val="000000"/>
                <w:sz w:val="22"/>
                <w:szCs w:val="22"/>
                <w:lang w:eastAsia="zh-CN"/>
              </w:rPr>
              <w:t>92.00</w:t>
            </w:r>
          </w:p>
        </w:tc>
        <w:tc>
          <w:tcPr>
            <w:tcW w:w="456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Interest</w:t>
            </w:r>
          </w:p>
        </w:tc>
        <w:tc>
          <w:tcPr>
            <w:tcW w:w="144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xml:space="preserve">          72,495.69 </w:t>
            </w:r>
          </w:p>
        </w:tc>
      </w:tr>
      <w:tr w:rsidR="00D304F3" w:rsidRPr="000A304A" w:rsidTr="0032741D">
        <w:trPr>
          <w:trHeight w:val="300"/>
          <w:jc w:val="center"/>
        </w:trPr>
        <w:tc>
          <w:tcPr>
            <w:tcW w:w="4680" w:type="dxa"/>
            <w:tcBorders>
              <w:top w:val="nil"/>
              <w:left w:val="single" w:sz="4" w:space="0" w:color="auto"/>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c>
          <w:tcPr>
            <w:tcW w:w="144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c>
          <w:tcPr>
            <w:tcW w:w="456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c>
          <w:tcPr>
            <w:tcW w:w="144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r>
      <w:tr w:rsidR="00D304F3" w:rsidRPr="000A304A" w:rsidTr="0032741D">
        <w:trPr>
          <w:trHeight w:val="300"/>
          <w:jc w:val="center"/>
        </w:trPr>
        <w:tc>
          <w:tcPr>
            <w:tcW w:w="4680" w:type="dxa"/>
            <w:tcBorders>
              <w:top w:val="nil"/>
              <w:left w:val="single" w:sz="4" w:space="0" w:color="auto"/>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Reversal revaluation 2017</w:t>
            </w:r>
          </w:p>
        </w:tc>
        <w:tc>
          <w:tcPr>
            <w:tcW w:w="144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xml:space="preserve">          67,139.05 </w:t>
            </w:r>
          </w:p>
        </w:tc>
        <w:tc>
          <w:tcPr>
            <w:tcW w:w="456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Interest transferred from trust fund</w:t>
            </w:r>
          </w:p>
        </w:tc>
        <w:tc>
          <w:tcPr>
            <w:tcW w:w="144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xml:space="preserve">          37,983.31 </w:t>
            </w:r>
          </w:p>
        </w:tc>
      </w:tr>
      <w:tr w:rsidR="00D304F3" w:rsidRPr="000A304A" w:rsidTr="0032741D">
        <w:trPr>
          <w:trHeight w:val="300"/>
          <w:jc w:val="center"/>
        </w:trPr>
        <w:tc>
          <w:tcPr>
            <w:tcW w:w="4680" w:type="dxa"/>
            <w:tcBorders>
              <w:top w:val="nil"/>
              <w:left w:val="single" w:sz="4" w:space="0" w:color="auto"/>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c>
          <w:tcPr>
            <w:tcW w:w="144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c>
          <w:tcPr>
            <w:tcW w:w="456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c>
          <w:tcPr>
            <w:tcW w:w="144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r>
      <w:tr w:rsidR="00D304F3" w:rsidRPr="0066039A" w:rsidTr="0032741D">
        <w:trPr>
          <w:trHeight w:val="300"/>
          <w:jc w:val="center"/>
        </w:trPr>
        <w:tc>
          <w:tcPr>
            <w:tcW w:w="4680" w:type="dxa"/>
            <w:tcBorders>
              <w:top w:val="nil"/>
              <w:left w:val="single" w:sz="4" w:space="0" w:color="auto"/>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c>
          <w:tcPr>
            <w:tcW w:w="144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w:t>
            </w:r>
          </w:p>
        </w:tc>
        <w:tc>
          <w:tcPr>
            <w:tcW w:w="4560" w:type="dxa"/>
            <w:tcBorders>
              <w:top w:val="nil"/>
              <w:left w:val="nil"/>
              <w:bottom w:val="nil"/>
              <w:right w:val="single" w:sz="4" w:space="0" w:color="auto"/>
            </w:tcBorders>
            <w:shd w:val="clear" w:color="auto" w:fill="auto"/>
            <w:noWrap/>
            <w:vAlign w:val="bottom"/>
            <w:hideMark/>
          </w:tcPr>
          <w:p w:rsidR="00D304F3" w:rsidRPr="000A304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xml:space="preserve">Transfer of balances from closed ICTDF projects </w:t>
            </w:r>
          </w:p>
        </w:tc>
        <w:tc>
          <w:tcPr>
            <w:tcW w:w="144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0A304A">
              <w:rPr>
                <w:rFonts w:cs="Calibri"/>
                <w:color w:val="000000"/>
                <w:sz w:val="22"/>
                <w:szCs w:val="22"/>
                <w:lang w:eastAsia="zh-CN"/>
              </w:rPr>
              <w:t xml:space="preserve">          45,493.05</w:t>
            </w:r>
            <w:r w:rsidRPr="0066039A">
              <w:rPr>
                <w:rFonts w:cs="Calibri"/>
                <w:color w:val="000000"/>
                <w:sz w:val="22"/>
                <w:szCs w:val="22"/>
                <w:lang w:eastAsia="zh-CN"/>
              </w:rPr>
              <w:t xml:space="preserve"> </w:t>
            </w:r>
          </w:p>
        </w:tc>
      </w:tr>
      <w:tr w:rsidR="00D304F3" w:rsidRPr="0066039A" w:rsidTr="0032741D">
        <w:trPr>
          <w:trHeight w:val="300"/>
          <w:jc w:val="center"/>
        </w:trPr>
        <w:tc>
          <w:tcPr>
            <w:tcW w:w="4680" w:type="dxa"/>
            <w:tcBorders>
              <w:top w:val="nil"/>
              <w:left w:val="single" w:sz="4" w:space="0" w:color="auto"/>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144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456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144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r>
      <w:tr w:rsidR="00D304F3" w:rsidRPr="0066039A" w:rsidTr="0032741D">
        <w:trPr>
          <w:trHeight w:val="300"/>
          <w:jc w:val="center"/>
        </w:trPr>
        <w:tc>
          <w:tcPr>
            <w:tcW w:w="4680" w:type="dxa"/>
            <w:tcBorders>
              <w:top w:val="nil"/>
              <w:left w:val="single" w:sz="4" w:space="0" w:color="auto"/>
              <w:bottom w:val="nil"/>
              <w:right w:val="nil"/>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1440" w:type="dxa"/>
            <w:tcBorders>
              <w:top w:val="nil"/>
              <w:left w:val="single" w:sz="4" w:space="0" w:color="auto"/>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456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Revaluation 2018</w:t>
            </w:r>
          </w:p>
        </w:tc>
        <w:tc>
          <w:tcPr>
            <w:tcW w:w="144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xml:space="preserve">          98,361.00 </w:t>
            </w:r>
          </w:p>
        </w:tc>
      </w:tr>
      <w:tr w:rsidR="00D304F3" w:rsidRPr="0066039A" w:rsidTr="0032741D">
        <w:trPr>
          <w:trHeight w:val="300"/>
          <w:jc w:val="center"/>
        </w:trPr>
        <w:tc>
          <w:tcPr>
            <w:tcW w:w="4680" w:type="dxa"/>
            <w:tcBorders>
              <w:top w:val="nil"/>
              <w:left w:val="single" w:sz="4" w:space="0" w:color="auto"/>
              <w:bottom w:val="nil"/>
              <w:right w:val="nil"/>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1440" w:type="dxa"/>
            <w:tcBorders>
              <w:top w:val="nil"/>
              <w:left w:val="single" w:sz="4" w:space="0" w:color="auto"/>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456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144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r>
      <w:tr w:rsidR="00D304F3" w:rsidRPr="0066039A" w:rsidTr="0032741D">
        <w:trPr>
          <w:trHeight w:val="300"/>
          <w:jc w:val="center"/>
        </w:trPr>
        <w:tc>
          <w:tcPr>
            <w:tcW w:w="4680" w:type="dxa"/>
            <w:tcBorders>
              <w:top w:val="nil"/>
              <w:left w:val="single" w:sz="4" w:space="0" w:color="auto"/>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144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456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xml:space="preserve">Surplus </w:t>
            </w:r>
          </w:p>
        </w:tc>
        <w:tc>
          <w:tcPr>
            <w:tcW w:w="144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xml:space="preserve">        108,151.29 </w:t>
            </w:r>
          </w:p>
        </w:tc>
      </w:tr>
      <w:tr w:rsidR="00D304F3" w:rsidRPr="0066039A" w:rsidTr="0032741D">
        <w:trPr>
          <w:trHeight w:val="300"/>
          <w:jc w:val="center"/>
        </w:trPr>
        <w:tc>
          <w:tcPr>
            <w:tcW w:w="4680" w:type="dxa"/>
            <w:tcBorders>
              <w:top w:val="nil"/>
              <w:left w:val="single" w:sz="4" w:space="0" w:color="auto"/>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144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456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144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r>
      <w:tr w:rsidR="00D304F3" w:rsidRPr="0066039A" w:rsidTr="0032741D">
        <w:trPr>
          <w:trHeight w:val="315"/>
          <w:jc w:val="center"/>
        </w:trPr>
        <w:tc>
          <w:tcPr>
            <w:tcW w:w="4680" w:type="dxa"/>
            <w:tcBorders>
              <w:top w:val="nil"/>
              <w:left w:val="single" w:sz="4" w:space="0" w:color="auto"/>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1440" w:type="dxa"/>
            <w:tcBorders>
              <w:top w:val="single" w:sz="4" w:space="0" w:color="auto"/>
              <w:left w:val="nil"/>
              <w:bottom w:val="double" w:sz="6" w:space="0" w:color="auto"/>
              <w:right w:val="single" w:sz="4" w:space="0" w:color="auto"/>
            </w:tcBorders>
            <w:shd w:val="clear" w:color="000000" w:fill="F2F2F2"/>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xml:space="preserve">        362,484.34 </w:t>
            </w:r>
          </w:p>
        </w:tc>
        <w:tc>
          <w:tcPr>
            <w:tcW w:w="456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1440" w:type="dxa"/>
            <w:tcBorders>
              <w:top w:val="single" w:sz="4" w:space="0" w:color="auto"/>
              <w:left w:val="nil"/>
              <w:bottom w:val="double" w:sz="6" w:space="0" w:color="auto"/>
              <w:right w:val="single" w:sz="4" w:space="0" w:color="auto"/>
            </w:tcBorders>
            <w:shd w:val="clear" w:color="000000" w:fill="F2F2F2"/>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xml:space="preserve">        362,484.34 </w:t>
            </w:r>
          </w:p>
        </w:tc>
      </w:tr>
      <w:tr w:rsidR="00D304F3" w:rsidRPr="0066039A" w:rsidTr="0032741D">
        <w:trPr>
          <w:trHeight w:val="315"/>
          <w:jc w:val="center"/>
        </w:trPr>
        <w:tc>
          <w:tcPr>
            <w:tcW w:w="4680" w:type="dxa"/>
            <w:tcBorders>
              <w:top w:val="nil"/>
              <w:left w:val="single" w:sz="4" w:space="0" w:color="auto"/>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144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456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1440" w:type="dxa"/>
            <w:tcBorders>
              <w:top w:val="nil"/>
              <w:left w:val="nil"/>
              <w:bottom w:val="nil"/>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r>
      <w:tr w:rsidR="00D304F3" w:rsidRPr="0066039A" w:rsidTr="0032741D">
        <w:trPr>
          <w:trHeight w:val="300"/>
          <w:jc w:val="center"/>
        </w:trPr>
        <w:tc>
          <w:tcPr>
            <w:tcW w:w="4680" w:type="dxa"/>
            <w:tcBorders>
              <w:top w:val="nil"/>
              <w:left w:val="single" w:sz="4" w:space="0" w:color="auto"/>
              <w:bottom w:val="single" w:sz="4" w:space="0" w:color="auto"/>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1440" w:type="dxa"/>
            <w:tcBorders>
              <w:top w:val="nil"/>
              <w:left w:val="nil"/>
              <w:bottom w:val="single" w:sz="4" w:space="0" w:color="auto"/>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4560" w:type="dxa"/>
            <w:tcBorders>
              <w:top w:val="nil"/>
              <w:left w:val="nil"/>
              <w:bottom w:val="single" w:sz="4" w:space="0" w:color="auto"/>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c>
          <w:tcPr>
            <w:tcW w:w="1440" w:type="dxa"/>
            <w:tcBorders>
              <w:top w:val="nil"/>
              <w:left w:val="nil"/>
              <w:bottom w:val="single" w:sz="4" w:space="0" w:color="auto"/>
              <w:right w:val="single" w:sz="4" w:space="0" w:color="auto"/>
            </w:tcBorders>
            <w:shd w:val="clear" w:color="auto" w:fill="auto"/>
            <w:noWrap/>
            <w:vAlign w:val="bottom"/>
            <w:hideMark/>
          </w:tcPr>
          <w:p w:rsidR="00D304F3" w:rsidRPr="0066039A" w:rsidRDefault="00D304F3" w:rsidP="0032741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szCs w:val="22"/>
                <w:lang w:eastAsia="zh-CN"/>
              </w:rPr>
            </w:pPr>
            <w:r w:rsidRPr="0066039A">
              <w:rPr>
                <w:rFonts w:cs="Calibri"/>
                <w:color w:val="000000"/>
                <w:sz w:val="22"/>
                <w:szCs w:val="22"/>
                <w:lang w:eastAsia="zh-CN"/>
              </w:rPr>
              <w:t> </w:t>
            </w:r>
          </w:p>
        </w:tc>
      </w:tr>
    </w:tbl>
    <w:p w:rsidR="00FA239C" w:rsidRDefault="00FA239C" w:rsidP="00A852C9">
      <w:pPr>
        <w:jc w:val="center"/>
        <w:rPr>
          <w:lang w:val="en-US"/>
        </w:rPr>
      </w:pPr>
    </w:p>
    <w:p w:rsidR="00BB6957" w:rsidRDefault="00BB6957">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931FB7" w:rsidRPr="00302A22" w:rsidRDefault="00931FB7" w:rsidP="00931FB7">
      <w:pPr>
        <w:snapToGrid w:val="0"/>
        <w:spacing w:before="360"/>
        <w:jc w:val="center"/>
        <w:rPr>
          <w:w w:val="105"/>
          <w:sz w:val="8"/>
          <w:szCs w:val="8"/>
          <w:lang w:val="en-US"/>
        </w:rPr>
      </w:pPr>
    </w:p>
    <w:p w:rsidR="00FA239C" w:rsidRPr="00D47435" w:rsidRDefault="00FA239C" w:rsidP="008A0416">
      <w:pPr>
        <w:snapToGrid w:val="0"/>
        <w:jc w:val="center"/>
        <w:rPr>
          <w:w w:val="105"/>
          <w:sz w:val="28"/>
          <w:szCs w:val="28"/>
          <w:lang w:val="en-US"/>
        </w:rPr>
      </w:pPr>
      <w:r w:rsidRPr="00D47435">
        <w:rPr>
          <w:w w:val="105"/>
          <w:sz w:val="28"/>
          <w:szCs w:val="28"/>
          <w:lang w:val="en-US"/>
        </w:rPr>
        <w:t xml:space="preserve">ANNEX </w:t>
      </w:r>
      <w:r w:rsidR="008A0416">
        <w:rPr>
          <w:w w:val="105"/>
          <w:sz w:val="28"/>
          <w:szCs w:val="28"/>
          <w:lang w:val="en-US"/>
        </w:rPr>
        <w:t>B</w:t>
      </w:r>
      <w:r w:rsidR="006B69B1">
        <w:rPr>
          <w:w w:val="105"/>
          <w:sz w:val="28"/>
          <w:szCs w:val="28"/>
          <w:lang w:val="en-US"/>
        </w:rPr>
        <w:t>8</w:t>
      </w:r>
    </w:p>
    <w:p w:rsidR="001B5947" w:rsidRPr="00BB6957" w:rsidRDefault="001B5947" w:rsidP="00FC30B5">
      <w:pPr>
        <w:snapToGrid w:val="0"/>
        <w:jc w:val="center"/>
        <w:rPr>
          <w:w w:val="105"/>
          <w:szCs w:val="24"/>
          <w:lang w:val="en-US"/>
        </w:rPr>
      </w:pPr>
      <w:r w:rsidRPr="00FA34A4">
        <w:rPr>
          <w:b/>
          <w:bCs/>
          <w:w w:val="105"/>
          <w:sz w:val="28"/>
          <w:szCs w:val="28"/>
          <w:lang w:val="en-US"/>
        </w:rPr>
        <w:t>ITU TELECOM WORLD 201</w:t>
      </w:r>
      <w:r w:rsidR="000C6652">
        <w:rPr>
          <w:b/>
          <w:bCs/>
          <w:w w:val="105"/>
          <w:sz w:val="28"/>
          <w:szCs w:val="28"/>
          <w:lang w:val="en-US"/>
        </w:rPr>
        <w:t>8</w:t>
      </w:r>
    </w:p>
    <w:p w:rsidR="001B5947" w:rsidRDefault="001B5947" w:rsidP="00722508">
      <w:pPr>
        <w:ind w:left="-709"/>
        <w:rPr>
          <w:lang w:val="en-US"/>
        </w:rPr>
      </w:pPr>
    </w:p>
    <w:p w:rsidR="001B5947" w:rsidRDefault="00722508" w:rsidP="00722508">
      <w:pPr>
        <w:ind w:left="-426"/>
        <w:jc w:val="center"/>
        <w:rPr>
          <w:lang w:val="en-US"/>
        </w:rPr>
        <w:sectPr w:rsidR="001B5947" w:rsidSect="00722508">
          <w:pgSz w:w="16834" w:h="11907" w:orient="landscape"/>
          <w:pgMar w:top="284" w:right="1134" w:bottom="510" w:left="993" w:header="425" w:footer="720" w:gutter="0"/>
          <w:paperSrc w:first="15" w:other="15"/>
          <w:cols w:space="720"/>
          <w:docGrid w:linePitch="326"/>
        </w:sectPr>
      </w:pPr>
      <w:r w:rsidRPr="00722508">
        <w:rPr>
          <w:noProof/>
          <w:lang w:eastAsia="zh-CN"/>
        </w:rPr>
        <w:drawing>
          <wp:inline distT="0" distB="0" distL="0" distR="0">
            <wp:extent cx="9996055" cy="4114800"/>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007161" cy="4119372"/>
                    </a:xfrm>
                    <a:prstGeom prst="rect">
                      <a:avLst/>
                    </a:prstGeom>
                    <a:noFill/>
                    <a:ln>
                      <a:noFill/>
                    </a:ln>
                  </pic:spPr>
                </pic:pic>
              </a:graphicData>
            </a:graphic>
          </wp:inline>
        </w:drawing>
      </w:r>
    </w:p>
    <w:p w:rsidR="008D7198" w:rsidRPr="007C346B" w:rsidRDefault="008D7198" w:rsidP="008A0416">
      <w:pPr>
        <w:jc w:val="center"/>
        <w:rPr>
          <w:sz w:val="28"/>
          <w:szCs w:val="28"/>
        </w:rPr>
      </w:pPr>
      <w:bookmarkStart w:id="159" w:name="_Toc305776655"/>
      <w:bookmarkStart w:id="160" w:name="_Toc357006013"/>
      <w:r w:rsidRPr="007C346B">
        <w:rPr>
          <w:sz w:val="28"/>
          <w:szCs w:val="28"/>
        </w:rPr>
        <w:t xml:space="preserve">ANNEX </w:t>
      </w:r>
      <w:r w:rsidR="008A0416">
        <w:rPr>
          <w:sz w:val="28"/>
          <w:szCs w:val="28"/>
        </w:rPr>
        <w:t>C</w:t>
      </w:r>
    </w:p>
    <w:p w:rsidR="000131DC" w:rsidRPr="000B066C" w:rsidRDefault="000131DC" w:rsidP="000C6652">
      <w:pPr>
        <w:jc w:val="center"/>
        <w:rPr>
          <w:b/>
          <w:bCs/>
          <w:sz w:val="28"/>
          <w:szCs w:val="28"/>
        </w:rPr>
      </w:pPr>
      <w:r w:rsidRPr="000B066C">
        <w:rPr>
          <w:b/>
          <w:bCs/>
          <w:sz w:val="28"/>
          <w:szCs w:val="28"/>
        </w:rPr>
        <w:t>S</w:t>
      </w:r>
      <w:r w:rsidR="00B73D90">
        <w:rPr>
          <w:b/>
          <w:bCs/>
          <w:sz w:val="28"/>
          <w:szCs w:val="28"/>
        </w:rPr>
        <w:t>ituation of Arrears at 31 December 201</w:t>
      </w:r>
      <w:r w:rsidR="000C6652">
        <w:rPr>
          <w:b/>
          <w:bCs/>
          <w:sz w:val="28"/>
          <w:szCs w:val="28"/>
        </w:rPr>
        <w:t>8</w:t>
      </w:r>
    </w:p>
    <w:p w:rsidR="000131DC" w:rsidRDefault="000131DC" w:rsidP="0057403D">
      <w:pPr>
        <w:spacing w:after="120"/>
        <w:jc w:val="center"/>
        <w:rPr>
          <w:b/>
          <w:bCs/>
          <w:sz w:val="28"/>
          <w:szCs w:val="28"/>
        </w:rPr>
      </w:pPr>
      <w:r w:rsidRPr="0057403D">
        <w:rPr>
          <w:b/>
          <w:bCs/>
          <w:sz w:val="28"/>
          <w:szCs w:val="28"/>
        </w:rPr>
        <w:t>A</w:t>
      </w:r>
      <w:r w:rsidR="0057403D" w:rsidRPr="0057403D">
        <w:rPr>
          <w:b/>
          <w:bCs/>
          <w:sz w:val="28"/>
          <w:szCs w:val="28"/>
        </w:rPr>
        <w:t>mounts due in respect of contributions and publications</w:t>
      </w:r>
    </w:p>
    <w:p w:rsidR="00DB726F" w:rsidRPr="0057403D" w:rsidRDefault="00DB726F" w:rsidP="0057403D">
      <w:pPr>
        <w:spacing w:after="120"/>
        <w:jc w:val="center"/>
        <w:rPr>
          <w:b/>
          <w:bCs/>
          <w:sz w:val="28"/>
          <w:szCs w:val="28"/>
        </w:rPr>
      </w:pPr>
    </w:p>
    <w:tbl>
      <w:tblPr>
        <w:tblW w:w="10760" w:type="dxa"/>
        <w:tblInd w:w="-5" w:type="dxa"/>
        <w:tblLook w:val="04A0" w:firstRow="1" w:lastRow="0" w:firstColumn="1" w:lastColumn="0" w:noHBand="0" w:noVBand="1"/>
      </w:tblPr>
      <w:tblGrid>
        <w:gridCol w:w="4780"/>
        <w:gridCol w:w="1720"/>
        <w:gridCol w:w="1468"/>
        <w:gridCol w:w="1420"/>
        <w:gridCol w:w="1420"/>
      </w:tblGrid>
      <w:tr w:rsidR="00DB726F" w:rsidRPr="00DB726F" w:rsidTr="00DB726F">
        <w:trPr>
          <w:trHeight w:val="300"/>
        </w:trPr>
        <w:tc>
          <w:tcPr>
            <w:tcW w:w="4780" w:type="dxa"/>
            <w:tcBorders>
              <w:top w:val="single" w:sz="4" w:space="0" w:color="auto"/>
              <w:left w:val="single" w:sz="4" w:space="0" w:color="auto"/>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A. Member States of the Union</w:t>
            </w:r>
          </w:p>
        </w:tc>
        <w:tc>
          <w:tcPr>
            <w:tcW w:w="1720" w:type="dxa"/>
            <w:tcBorders>
              <w:top w:val="single" w:sz="4" w:space="0" w:color="auto"/>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DB726F">
              <w:rPr>
                <w:b/>
                <w:bCs/>
                <w:sz w:val="22"/>
                <w:szCs w:val="22"/>
                <w:lang w:val="en-US" w:eastAsia="zh-CN"/>
              </w:rPr>
              <w:t>Year</w:t>
            </w:r>
          </w:p>
        </w:tc>
        <w:tc>
          <w:tcPr>
            <w:tcW w:w="1420" w:type="dxa"/>
            <w:tcBorders>
              <w:top w:val="single" w:sz="4" w:space="0" w:color="auto"/>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DB726F">
              <w:rPr>
                <w:b/>
                <w:bCs/>
                <w:sz w:val="22"/>
                <w:szCs w:val="22"/>
                <w:lang w:val="en-US" w:eastAsia="zh-CN"/>
              </w:rPr>
              <w:t>Contributions</w:t>
            </w:r>
          </w:p>
        </w:tc>
        <w:tc>
          <w:tcPr>
            <w:tcW w:w="1420" w:type="dxa"/>
            <w:tcBorders>
              <w:top w:val="single" w:sz="4" w:space="0" w:color="auto"/>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DB726F">
              <w:rPr>
                <w:b/>
                <w:bCs/>
                <w:sz w:val="22"/>
                <w:szCs w:val="22"/>
                <w:lang w:val="en-US" w:eastAsia="zh-CN"/>
              </w:rPr>
              <w:t>Publications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DB726F">
              <w:rPr>
                <w:b/>
                <w:bCs/>
                <w:sz w:val="22"/>
                <w:szCs w:val="22"/>
                <w:lang w:val="en-US" w:eastAsia="zh-CN"/>
              </w:rPr>
              <w:t>Total</w:t>
            </w:r>
          </w:p>
        </w:tc>
      </w:tr>
      <w:tr w:rsidR="00DB726F" w:rsidRPr="00DB726F" w:rsidTr="00DB726F">
        <w:trPr>
          <w:trHeight w:val="300"/>
        </w:trPr>
        <w:tc>
          <w:tcPr>
            <w:tcW w:w="4780" w:type="dxa"/>
            <w:tcBorders>
              <w:top w:val="nil"/>
              <w:left w:val="single" w:sz="4" w:space="0" w:color="auto"/>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Antigua and Barbuda</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1987-2017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1,901,920.20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38,819.80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1,940,740.00</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Brazil</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2016-2017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16,863.47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16,863.47</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Cameroon</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2014-2017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174,280.98</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174,280.98</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Comoros</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2014-2017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5,402.50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5,402.50</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Dominica</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2001-2017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458,649.65</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458,649.65</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Egypt</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174,860.25</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174,860.25</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A81812">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Guinea</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2014-2017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82,953.07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82,953.07</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Iran</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2016-2017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73,457.68</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73,457.68</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Libya</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2014-2017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1,529,086.10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1,529,086.10</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Malawi</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2015-2017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22,389.15</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22,389.15</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Nauru </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1991-2017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1,575,295.50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1,575,295.50</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Nepal</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2013-2017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8,160.05</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42.00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8,202.05</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Nicaragua</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2015-2017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278,342.60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278,342.60</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Pakistan</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9,381.00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9,381.00</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Peru</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2014-2017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7,572.35</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7,572.35</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Tunisia</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2015-2017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7,786.35</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7,786.35</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United States</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2014-2017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1,167,584.70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1,167,584.70</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Vanuatu</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2014-2017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32,642.89</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32,642.89</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Venezuela</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2013-2017</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1,124,027.08</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1,124,027.08</w:t>
            </w:r>
          </w:p>
        </w:tc>
      </w:tr>
      <w:tr w:rsidR="00DB726F" w:rsidRPr="00DB726F" w:rsidTr="00DB726F">
        <w:trPr>
          <w:trHeight w:val="300"/>
        </w:trPr>
        <w:tc>
          <w:tcPr>
            <w:tcW w:w="4780"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8,650,655.57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38,861.80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8,689,517.37</w:t>
            </w:r>
          </w:p>
        </w:tc>
      </w:tr>
    </w:tbl>
    <w:p w:rsidR="004607DD" w:rsidRDefault="004607DD">
      <w:r>
        <w:br w:type="page"/>
      </w:r>
    </w:p>
    <w:tbl>
      <w:tblPr>
        <w:tblW w:w="10760" w:type="dxa"/>
        <w:tblInd w:w="-5" w:type="dxa"/>
        <w:tblLook w:val="04A0" w:firstRow="1" w:lastRow="0" w:firstColumn="1" w:lastColumn="0" w:noHBand="0" w:noVBand="1"/>
      </w:tblPr>
      <w:tblGrid>
        <w:gridCol w:w="4732"/>
        <w:gridCol w:w="1720"/>
        <w:gridCol w:w="1468"/>
        <w:gridCol w:w="1420"/>
        <w:gridCol w:w="1420"/>
      </w:tblGrid>
      <w:tr w:rsidR="00DB726F" w:rsidRPr="00DB726F" w:rsidTr="00DB726F">
        <w:trPr>
          <w:trHeight w:val="300"/>
        </w:trPr>
        <w:tc>
          <w:tcPr>
            <w:tcW w:w="4780" w:type="dxa"/>
            <w:tcBorders>
              <w:top w:val="single" w:sz="4" w:space="0" w:color="auto"/>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B. Sector Members and other entities</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DB726F">
              <w:rPr>
                <w:b/>
                <w:bCs/>
                <w:sz w:val="22"/>
                <w:szCs w:val="22"/>
                <w:lang w:val="en-US" w:eastAsia="zh-CN"/>
              </w:rPr>
              <w:t>Year</w:t>
            </w:r>
          </w:p>
        </w:tc>
        <w:tc>
          <w:tcPr>
            <w:tcW w:w="1420" w:type="dxa"/>
            <w:tcBorders>
              <w:top w:val="single" w:sz="4" w:space="0" w:color="auto"/>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DB726F">
              <w:rPr>
                <w:b/>
                <w:bCs/>
                <w:sz w:val="22"/>
                <w:szCs w:val="22"/>
                <w:lang w:val="en-US" w:eastAsia="zh-CN"/>
              </w:rPr>
              <w:t>Contributions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DB726F">
              <w:rPr>
                <w:b/>
                <w:bCs/>
                <w:sz w:val="22"/>
                <w:szCs w:val="22"/>
                <w:lang w:val="en-US" w:eastAsia="zh-CN"/>
              </w:rPr>
              <w:t>Publications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DB726F">
              <w:rPr>
                <w:b/>
                <w:bCs/>
                <w:sz w:val="22"/>
                <w:szCs w:val="22"/>
                <w:lang w:val="en-US" w:eastAsia="zh-CN"/>
              </w:rPr>
              <w:t>Total</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 </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Algeria</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 </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DB726F">
              <w:rPr>
                <w:sz w:val="22"/>
                <w:szCs w:val="22"/>
                <w:lang w:val="fr-CH" w:eastAsia="zh-CN"/>
              </w:rPr>
              <w:t xml:space="preserve">  - Centre de </w:t>
            </w:r>
            <w:proofErr w:type="spellStart"/>
            <w:r w:rsidRPr="00DB726F">
              <w:rPr>
                <w:sz w:val="22"/>
                <w:szCs w:val="22"/>
                <w:lang w:val="fr-CH" w:eastAsia="zh-CN"/>
              </w:rPr>
              <w:t>dévelop</w:t>
            </w:r>
            <w:proofErr w:type="spellEnd"/>
            <w:r w:rsidRPr="00DB726F">
              <w:rPr>
                <w:sz w:val="22"/>
                <w:szCs w:val="22"/>
                <w:lang w:val="fr-CH" w:eastAsia="zh-CN"/>
              </w:rPr>
              <w:t xml:space="preserve">. des </w:t>
            </w:r>
            <w:proofErr w:type="spellStart"/>
            <w:r w:rsidRPr="00DB726F">
              <w:rPr>
                <w:sz w:val="22"/>
                <w:szCs w:val="22"/>
                <w:lang w:val="fr-CH" w:eastAsia="zh-CN"/>
              </w:rPr>
              <w:t>tech</w:t>
            </w:r>
            <w:proofErr w:type="spellEnd"/>
            <w:r w:rsidRPr="00DB726F">
              <w:rPr>
                <w:sz w:val="22"/>
                <w:szCs w:val="22"/>
                <w:lang w:val="fr-CH" w:eastAsia="zh-CN"/>
              </w:rPr>
              <w:t>. avancées, Alger</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2015</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2,455.90</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2,455.90</w:t>
            </w:r>
          </w:p>
        </w:tc>
      </w:tr>
      <w:tr w:rsidR="00DB726F" w:rsidRPr="00DB726F" w:rsidTr="00DB726F">
        <w:trPr>
          <w:trHeight w:val="555"/>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DB726F">
              <w:rPr>
                <w:sz w:val="22"/>
                <w:szCs w:val="22"/>
                <w:lang w:val="fr-CH" w:eastAsia="zh-CN"/>
              </w:rPr>
              <w:t xml:space="preserve"> - Institut National de la Poste et des Technologies  de l'Information et de la Comm., Alger</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2012-2013</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3,258.70</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3,258.70</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w:t>
            </w:r>
            <w:proofErr w:type="spellStart"/>
            <w:r w:rsidRPr="00DB726F">
              <w:rPr>
                <w:sz w:val="22"/>
                <w:szCs w:val="22"/>
                <w:lang w:val="en-US" w:eastAsia="zh-CN"/>
              </w:rPr>
              <w:t>Orascom</w:t>
            </w:r>
            <w:proofErr w:type="spellEnd"/>
            <w:r w:rsidRPr="00DB726F">
              <w:rPr>
                <w:sz w:val="22"/>
                <w:szCs w:val="22"/>
                <w:lang w:val="en-US" w:eastAsia="zh-CN"/>
              </w:rPr>
              <w:t xml:space="preserve"> Telecom </w:t>
            </w:r>
            <w:proofErr w:type="spellStart"/>
            <w:r w:rsidRPr="00DB726F">
              <w:rPr>
                <w:sz w:val="22"/>
                <w:szCs w:val="22"/>
                <w:lang w:val="en-US" w:eastAsia="zh-CN"/>
              </w:rPr>
              <w:t>Algérie</w:t>
            </w:r>
            <w:proofErr w:type="spellEnd"/>
            <w:r w:rsidRPr="00DB726F">
              <w:rPr>
                <w:sz w:val="22"/>
                <w:szCs w:val="22"/>
                <w:lang w:val="en-US" w:eastAsia="zh-CN"/>
              </w:rPr>
              <w:t>, Alger</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2010</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6,573.15</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6,573.15</w:t>
            </w:r>
          </w:p>
        </w:tc>
      </w:tr>
      <w:tr w:rsidR="00DB726F" w:rsidRPr="00DB726F" w:rsidTr="00DB726F">
        <w:trPr>
          <w:trHeight w:val="300"/>
        </w:trPr>
        <w:tc>
          <w:tcPr>
            <w:tcW w:w="4780"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DB726F">
              <w:rPr>
                <w:sz w:val="22"/>
                <w:szCs w:val="22"/>
                <w:lang w:val="es-ES_tradnl" w:eastAsia="zh-CN"/>
              </w:rPr>
              <w:t xml:space="preserve"> - </w:t>
            </w:r>
            <w:proofErr w:type="spellStart"/>
            <w:r w:rsidRPr="00DB726F">
              <w:rPr>
                <w:sz w:val="22"/>
                <w:szCs w:val="22"/>
                <w:lang w:val="es-ES_tradnl" w:eastAsia="zh-CN"/>
              </w:rPr>
              <w:t>Wataniya</w:t>
            </w:r>
            <w:proofErr w:type="spellEnd"/>
            <w:r w:rsidRPr="00DB726F">
              <w:rPr>
                <w:sz w:val="22"/>
                <w:szCs w:val="22"/>
                <w:lang w:val="es-ES_tradnl" w:eastAsia="zh-CN"/>
              </w:rPr>
              <w:t xml:space="preserve"> Telecom </w:t>
            </w:r>
            <w:proofErr w:type="spellStart"/>
            <w:r w:rsidRPr="00DB726F">
              <w:rPr>
                <w:sz w:val="22"/>
                <w:szCs w:val="22"/>
                <w:lang w:val="es-ES_tradnl" w:eastAsia="zh-CN"/>
              </w:rPr>
              <w:t>Algérie</w:t>
            </w:r>
            <w:proofErr w:type="spellEnd"/>
            <w:r w:rsidRPr="00DB726F">
              <w:rPr>
                <w:sz w:val="22"/>
                <w:szCs w:val="22"/>
                <w:lang w:val="es-ES_tradnl" w:eastAsia="zh-CN"/>
              </w:rPr>
              <w:t xml:space="preserve"> Spa, Alger</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2005-2007</w:t>
            </w:r>
          </w:p>
        </w:tc>
        <w:tc>
          <w:tcPr>
            <w:tcW w:w="1420" w:type="dxa"/>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7,955.25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7,955.25</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Argentina</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DB726F">
        <w:trPr>
          <w:trHeight w:val="6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DB726F">
              <w:rPr>
                <w:sz w:val="22"/>
                <w:szCs w:val="22"/>
                <w:lang w:val="es-ES_tradnl" w:eastAsia="zh-CN"/>
              </w:rPr>
              <w:t xml:space="preserve"> - Cooperativa Telefónica (COTELCAM), Buenos Aires</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2003-2006</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36,020.85</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36,020.85</w:t>
            </w:r>
          </w:p>
        </w:tc>
      </w:tr>
      <w:tr w:rsidR="00DB726F" w:rsidRPr="00DB726F" w:rsidTr="00DB726F">
        <w:trPr>
          <w:trHeight w:val="300"/>
        </w:trPr>
        <w:tc>
          <w:tcPr>
            <w:tcW w:w="4780"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IMPSAT Corp. S.A., Buenos Aires</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1999-2006</w:t>
            </w:r>
          </w:p>
        </w:tc>
        <w:tc>
          <w:tcPr>
            <w:tcW w:w="1420" w:type="dxa"/>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57,530.00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57,530.00</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Australia</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DB726F">
        <w:trPr>
          <w:trHeight w:val="300"/>
        </w:trPr>
        <w:tc>
          <w:tcPr>
            <w:tcW w:w="4780"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w:t>
            </w:r>
            <w:proofErr w:type="spellStart"/>
            <w:r w:rsidRPr="00DB726F">
              <w:rPr>
                <w:sz w:val="22"/>
                <w:szCs w:val="22"/>
                <w:lang w:val="en-US" w:eastAsia="zh-CN"/>
              </w:rPr>
              <w:t>NewSat</w:t>
            </w:r>
            <w:proofErr w:type="spellEnd"/>
            <w:r w:rsidRPr="00DB726F">
              <w:rPr>
                <w:sz w:val="22"/>
                <w:szCs w:val="22"/>
                <w:lang w:val="en-US" w:eastAsia="zh-CN"/>
              </w:rPr>
              <w:t xml:space="preserve"> Limited Pty. Ltd., Sydney</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2015</w:t>
            </w:r>
          </w:p>
        </w:tc>
        <w:tc>
          <w:tcPr>
            <w:tcW w:w="1420" w:type="dxa"/>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5,300.10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5,300.10</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Azerbaijan</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DB726F">
        <w:trPr>
          <w:trHeight w:val="300"/>
        </w:trPr>
        <w:tc>
          <w:tcPr>
            <w:tcW w:w="4780"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Azerbaijan Technical University, Baku</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2016</w:t>
            </w:r>
          </w:p>
        </w:tc>
        <w:tc>
          <w:tcPr>
            <w:tcW w:w="1420" w:type="dxa"/>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2,340.75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2,340.75</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Bahrain</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DB726F">
        <w:trPr>
          <w:trHeight w:val="300"/>
        </w:trPr>
        <w:tc>
          <w:tcPr>
            <w:tcW w:w="4780"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Gateway Gulf LLC, Manama</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2010</w:t>
            </w:r>
          </w:p>
        </w:tc>
        <w:tc>
          <w:tcPr>
            <w:tcW w:w="1420" w:type="dxa"/>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6,573.15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6,573.15</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Belarus</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DB726F">
        <w:trPr>
          <w:trHeight w:val="300"/>
        </w:trPr>
        <w:tc>
          <w:tcPr>
            <w:tcW w:w="4780"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w:t>
            </w:r>
            <w:proofErr w:type="spellStart"/>
            <w:r w:rsidRPr="00DB726F">
              <w:rPr>
                <w:sz w:val="22"/>
                <w:szCs w:val="22"/>
                <w:lang w:val="en-US" w:eastAsia="zh-CN"/>
              </w:rPr>
              <w:t>Belarsat</w:t>
            </w:r>
            <w:proofErr w:type="spellEnd"/>
            <w:r w:rsidRPr="00DB726F">
              <w:rPr>
                <w:sz w:val="22"/>
                <w:szCs w:val="22"/>
                <w:lang w:val="en-US" w:eastAsia="zh-CN"/>
              </w:rPr>
              <w:t xml:space="preserve"> LLC, Minsk</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2009-2010</w:t>
            </w:r>
          </w:p>
        </w:tc>
        <w:tc>
          <w:tcPr>
            <w:tcW w:w="1420" w:type="dxa"/>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20,791.95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20,791.95</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Belgium</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DB726F">
        <w:trPr>
          <w:trHeight w:val="300"/>
        </w:trPr>
        <w:tc>
          <w:tcPr>
            <w:tcW w:w="4780"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w:t>
            </w:r>
            <w:proofErr w:type="spellStart"/>
            <w:r w:rsidRPr="00DB726F">
              <w:rPr>
                <w:sz w:val="22"/>
                <w:szCs w:val="22"/>
                <w:lang w:val="en-US" w:eastAsia="zh-CN"/>
              </w:rPr>
              <w:t>AnSem</w:t>
            </w:r>
            <w:proofErr w:type="spellEnd"/>
            <w:r w:rsidRPr="00DB726F">
              <w:rPr>
                <w:sz w:val="22"/>
                <w:szCs w:val="22"/>
                <w:lang w:val="en-US" w:eastAsia="zh-CN"/>
              </w:rPr>
              <w:t xml:space="preserve">, </w:t>
            </w:r>
            <w:proofErr w:type="spellStart"/>
            <w:r w:rsidRPr="00DB726F">
              <w:rPr>
                <w:sz w:val="22"/>
                <w:szCs w:val="22"/>
                <w:lang w:val="en-US" w:eastAsia="zh-CN"/>
              </w:rPr>
              <w:t>Heverlee</w:t>
            </w:r>
            <w:proofErr w:type="spellEnd"/>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2010</w:t>
            </w:r>
          </w:p>
        </w:tc>
        <w:tc>
          <w:tcPr>
            <w:tcW w:w="1420" w:type="dxa"/>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17,528.35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17,528.35</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Botswana</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DB726F">
        <w:trPr>
          <w:trHeight w:val="300"/>
        </w:trPr>
        <w:tc>
          <w:tcPr>
            <w:tcW w:w="4780"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w:t>
            </w:r>
            <w:proofErr w:type="spellStart"/>
            <w:r w:rsidRPr="00DB726F">
              <w:rPr>
                <w:sz w:val="22"/>
                <w:szCs w:val="22"/>
                <w:lang w:val="en-US" w:eastAsia="zh-CN"/>
              </w:rPr>
              <w:t>Mascom</w:t>
            </w:r>
            <w:proofErr w:type="spellEnd"/>
            <w:r w:rsidRPr="00DB726F">
              <w:rPr>
                <w:sz w:val="22"/>
                <w:szCs w:val="22"/>
                <w:lang w:val="en-US" w:eastAsia="zh-CN"/>
              </w:rPr>
              <w:t xml:space="preserve"> Wireless Botswana (Pty), </w:t>
            </w:r>
            <w:proofErr w:type="spellStart"/>
            <w:r w:rsidRPr="00DB726F">
              <w:rPr>
                <w:sz w:val="22"/>
                <w:szCs w:val="22"/>
                <w:lang w:val="en-US" w:eastAsia="zh-CN"/>
              </w:rPr>
              <w:t>Garobone</w:t>
            </w:r>
            <w:proofErr w:type="spellEnd"/>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2012-2013</w:t>
            </w:r>
          </w:p>
        </w:tc>
        <w:tc>
          <w:tcPr>
            <w:tcW w:w="1420" w:type="dxa"/>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5,554.70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5,554.70</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Canada</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w:t>
            </w:r>
            <w:proofErr w:type="spellStart"/>
            <w:r w:rsidRPr="00DB726F">
              <w:rPr>
                <w:sz w:val="22"/>
                <w:szCs w:val="22"/>
                <w:lang w:val="en-US" w:eastAsia="zh-CN"/>
              </w:rPr>
              <w:t>Avvasi</w:t>
            </w:r>
            <w:proofErr w:type="spellEnd"/>
            <w:r w:rsidRPr="00DB726F">
              <w:rPr>
                <w:sz w:val="22"/>
                <w:szCs w:val="22"/>
                <w:lang w:val="en-US" w:eastAsia="zh-CN"/>
              </w:rPr>
              <w:t xml:space="preserve"> Inc., Waterloo</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2015</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13,098.20</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13,098.20</w:t>
            </w:r>
          </w:p>
        </w:tc>
      </w:tr>
      <w:tr w:rsidR="00DB726F" w:rsidRPr="00DB726F" w:rsidTr="00DB726F">
        <w:trPr>
          <w:trHeight w:val="300"/>
        </w:trPr>
        <w:tc>
          <w:tcPr>
            <w:tcW w:w="4780"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The Institute of Mobile Technologies, Toronto</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2011-2012</w:t>
            </w:r>
          </w:p>
        </w:tc>
        <w:tc>
          <w:tcPr>
            <w:tcW w:w="1420" w:type="dxa"/>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6,337.55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6,337.55</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China (People's Rep. of)</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DB726F">
        <w:trPr>
          <w:trHeight w:val="300"/>
        </w:trPr>
        <w:tc>
          <w:tcPr>
            <w:tcW w:w="4780"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PCCW Limited, Hong Kong</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2002-2006</w:t>
            </w:r>
          </w:p>
        </w:tc>
        <w:tc>
          <w:tcPr>
            <w:tcW w:w="1420" w:type="dxa"/>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1,013,990.95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1,013,990.95</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Costa Rica</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DB726F">
        <w:trPr>
          <w:trHeight w:val="300"/>
        </w:trPr>
        <w:tc>
          <w:tcPr>
            <w:tcW w:w="4780"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DB726F">
              <w:rPr>
                <w:sz w:val="22"/>
                <w:szCs w:val="22"/>
                <w:lang w:val="es-ES_tradnl" w:eastAsia="zh-CN"/>
              </w:rPr>
              <w:t xml:space="preserve"> - Universidad de Costa Rica, San José</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2017</w:t>
            </w:r>
          </w:p>
        </w:tc>
        <w:tc>
          <w:tcPr>
            <w:tcW w:w="1420" w:type="dxa"/>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2,185.75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2,185.75</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Côte d'Ivoire</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DB726F">
        <w:trPr>
          <w:trHeight w:val="6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DB726F">
              <w:rPr>
                <w:sz w:val="22"/>
                <w:szCs w:val="22"/>
                <w:lang w:val="fr-CH" w:eastAsia="zh-CN"/>
              </w:rPr>
              <w:t xml:space="preserve"> - </w:t>
            </w:r>
            <w:proofErr w:type="spellStart"/>
            <w:r w:rsidRPr="00DB726F">
              <w:rPr>
                <w:sz w:val="22"/>
                <w:szCs w:val="22"/>
                <w:lang w:val="fr-CH" w:eastAsia="zh-CN"/>
              </w:rPr>
              <w:t>Associat</w:t>
            </w:r>
            <w:proofErr w:type="spellEnd"/>
            <w:r w:rsidRPr="00DB726F">
              <w:rPr>
                <w:sz w:val="22"/>
                <w:szCs w:val="22"/>
                <w:lang w:val="fr-CH" w:eastAsia="zh-CN"/>
              </w:rPr>
              <w:t xml:space="preserve">. des </w:t>
            </w:r>
            <w:proofErr w:type="spellStart"/>
            <w:r w:rsidRPr="00DB726F">
              <w:rPr>
                <w:sz w:val="22"/>
                <w:szCs w:val="22"/>
                <w:lang w:val="fr-CH" w:eastAsia="zh-CN"/>
              </w:rPr>
              <w:t>Consommat</w:t>
            </w:r>
            <w:proofErr w:type="spellEnd"/>
            <w:r w:rsidRPr="00DB726F">
              <w:rPr>
                <w:sz w:val="22"/>
                <w:szCs w:val="22"/>
                <w:lang w:val="fr-CH" w:eastAsia="zh-CN"/>
              </w:rPr>
              <w:t xml:space="preserve">. de </w:t>
            </w:r>
            <w:proofErr w:type="spellStart"/>
            <w:r w:rsidRPr="00DB726F">
              <w:rPr>
                <w:sz w:val="22"/>
                <w:szCs w:val="22"/>
                <w:lang w:val="fr-CH" w:eastAsia="zh-CN"/>
              </w:rPr>
              <w:t>Télécomm</w:t>
            </w:r>
            <w:proofErr w:type="spellEnd"/>
            <w:r w:rsidRPr="00DB726F">
              <w:rPr>
                <w:sz w:val="22"/>
                <w:szCs w:val="22"/>
                <w:lang w:val="fr-CH" w:eastAsia="zh-CN"/>
              </w:rPr>
              <w:t>., Abidjan</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2007-2008</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8,209.30</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8,209.30</w:t>
            </w:r>
          </w:p>
        </w:tc>
      </w:tr>
      <w:tr w:rsidR="00DB726F" w:rsidRPr="00DB726F" w:rsidTr="00DB726F">
        <w:trPr>
          <w:trHeight w:val="300"/>
        </w:trPr>
        <w:tc>
          <w:tcPr>
            <w:tcW w:w="4780"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Côte d'Ivoire Telecom, Abidjan</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2002-2006</w:t>
            </w:r>
          </w:p>
        </w:tc>
        <w:tc>
          <w:tcPr>
            <w:tcW w:w="1420" w:type="dxa"/>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779,521.15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779,521.15</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Equatorial Guinea</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DB726F">
        <w:trPr>
          <w:trHeight w:val="300"/>
        </w:trPr>
        <w:tc>
          <w:tcPr>
            <w:tcW w:w="4780"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GETESA, Malabo</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2015-2016</w:t>
            </w:r>
          </w:p>
        </w:tc>
        <w:tc>
          <w:tcPr>
            <w:tcW w:w="1420" w:type="dxa"/>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2,480.40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2,480.40</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Egypt</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w:t>
            </w:r>
            <w:proofErr w:type="spellStart"/>
            <w:r w:rsidRPr="00DB726F">
              <w:rPr>
                <w:sz w:val="22"/>
                <w:szCs w:val="22"/>
                <w:lang w:val="en-US" w:eastAsia="zh-CN"/>
              </w:rPr>
              <w:t>Barkotel</w:t>
            </w:r>
            <w:proofErr w:type="spellEnd"/>
            <w:r w:rsidRPr="00DB726F">
              <w:rPr>
                <w:sz w:val="22"/>
                <w:szCs w:val="22"/>
                <w:lang w:val="en-US" w:eastAsia="zh-CN"/>
              </w:rPr>
              <w:t xml:space="preserve"> Communications, Cairo</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2002-2006</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44,404.70</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44,404.70</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w:t>
            </w:r>
            <w:proofErr w:type="spellStart"/>
            <w:r w:rsidRPr="00DB726F">
              <w:rPr>
                <w:sz w:val="22"/>
                <w:szCs w:val="22"/>
                <w:lang w:val="en-US" w:eastAsia="zh-CN"/>
              </w:rPr>
              <w:t>LINKdoNET</w:t>
            </w:r>
            <w:proofErr w:type="spellEnd"/>
            <w:r w:rsidRPr="00DB726F">
              <w:rPr>
                <w:sz w:val="22"/>
                <w:szCs w:val="22"/>
                <w:lang w:val="en-US" w:eastAsia="zh-CN"/>
              </w:rPr>
              <w:t>, Cairo</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2008-2009</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7,089.45</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7,089.45</w:t>
            </w:r>
          </w:p>
        </w:tc>
      </w:tr>
      <w:tr w:rsidR="00DB726F" w:rsidRPr="00DB726F" w:rsidTr="00DB726F">
        <w:trPr>
          <w:trHeight w:val="300"/>
        </w:trPr>
        <w:tc>
          <w:tcPr>
            <w:tcW w:w="4780"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Telecom Consultants, Cairo</w:t>
            </w:r>
          </w:p>
        </w:tc>
        <w:tc>
          <w:tcPr>
            <w:tcW w:w="17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2002-2006</w:t>
            </w:r>
          </w:p>
        </w:tc>
        <w:tc>
          <w:tcPr>
            <w:tcW w:w="1420" w:type="dxa"/>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46,376.80</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46,376.80</w:t>
            </w:r>
          </w:p>
        </w:tc>
      </w:tr>
      <w:tr w:rsidR="00DB726F" w:rsidRPr="00DB726F" w:rsidTr="00DB726F">
        <w:trPr>
          <w:trHeight w:val="300"/>
        </w:trPr>
        <w:tc>
          <w:tcPr>
            <w:tcW w:w="4780"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Trade Fairs International, Cairo</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2000-2006</w:t>
            </w:r>
          </w:p>
        </w:tc>
        <w:tc>
          <w:tcPr>
            <w:tcW w:w="1420" w:type="dxa"/>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61,053.70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61,053.70</w:t>
            </w:r>
          </w:p>
        </w:tc>
      </w:tr>
    </w:tbl>
    <w:p w:rsidR="00EC091C" w:rsidRDefault="00EC091C">
      <w:r>
        <w:br w:type="page"/>
      </w:r>
    </w:p>
    <w:tbl>
      <w:tblPr>
        <w:tblW w:w="10760" w:type="dxa"/>
        <w:tblInd w:w="-5" w:type="dxa"/>
        <w:tblLook w:val="04A0" w:firstRow="1" w:lastRow="0" w:firstColumn="1" w:lastColumn="0" w:noHBand="0" w:noVBand="1"/>
      </w:tblPr>
      <w:tblGrid>
        <w:gridCol w:w="4684"/>
        <w:gridCol w:w="48"/>
        <w:gridCol w:w="1672"/>
        <w:gridCol w:w="48"/>
        <w:gridCol w:w="1468"/>
        <w:gridCol w:w="1420"/>
        <w:gridCol w:w="1420"/>
      </w:tblGrid>
      <w:tr w:rsidR="00DB726F" w:rsidRPr="00DB726F" w:rsidTr="008109C7">
        <w:trPr>
          <w:trHeight w:val="300"/>
        </w:trPr>
        <w:tc>
          <w:tcPr>
            <w:tcW w:w="4732" w:type="dxa"/>
            <w:tcBorders>
              <w:top w:val="single" w:sz="4" w:space="0" w:color="auto"/>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B. Sector Members and other entities</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DB726F">
              <w:rPr>
                <w:b/>
                <w:bCs/>
                <w:sz w:val="22"/>
                <w:szCs w:val="22"/>
                <w:lang w:val="en-US" w:eastAsia="zh-CN"/>
              </w:rPr>
              <w:t>Year</w:t>
            </w:r>
          </w:p>
        </w:tc>
        <w:tc>
          <w:tcPr>
            <w:tcW w:w="1468" w:type="dxa"/>
            <w:gridSpan w:val="2"/>
            <w:tcBorders>
              <w:top w:val="single" w:sz="4" w:space="0" w:color="auto"/>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DB726F">
              <w:rPr>
                <w:b/>
                <w:bCs/>
                <w:sz w:val="22"/>
                <w:szCs w:val="22"/>
                <w:lang w:val="en-US" w:eastAsia="zh-CN"/>
              </w:rPr>
              <w:t>Contributions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DB726F">
              <w:rPr>
                <w:b/>
                <w:bCs/>
                <w:sz w:val="22"/>
                <w:szCs w:val="22"/>
                <w:lang w:val="en-US" w:eastAsia="zh-CN"/>
              </w:rPr>
              <w:t>Publications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DB726F">
              <w:rPr>
                <w:b/>
                <w:bCs/>
                <w:sz w:val="22"/>
                <w:szCs w:val="22"/>
                <w:lang w:val="en-US" w:eastAsia="zh-CN"/>
              </w:rPr>
              <w:t>Total</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Fiji</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8109C7">
        <w:trPr>
          <w:trHeight w:val="300"/>
        </w:trPr>
        <w:tc>
          <w:tcPr>
            <w:tcW w:w="4732"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South Pacific Commission, Suva</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2012-2013</w:t>
            </w:r>
          </w:p>
        </w:tc>
        <w:tc>
          <w:tcPr>
            <w:tcW w:w="1468" w:type="dxa"/>
            <w:gridSpan w:val="2"/>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5,551.40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5,551.40</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Finland</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8109C7">
        <w:trPr>
          <w:trHeight w:val="600"/>
        </w:trPr>
        <w:tc>
          <w:tcPr>
            <w:tcW w:w="4732"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Octagon Telecom Oy (Ex. Oy </w:t>
            </w:r>
            <w:proofErr w:type="spellStart"/>
            <w:r w:rsidRPr="00DB726F">
              <w:rPr>
                <w:sz w:val="22"/>
                <w:szCs w:val="22"/>
                <w:lang w:val="en-US" w:eastAsia="zh-CN"/>
              </w:rPr>
              <w:t>Cubio</w:t>
            </w:r>
            <w:proofErr w:type="spellEnd"/>
            <w:r w:rsidRPr="00DB726F">
              <w:rPr>
                <w:sz w:val="22"/>
                <w:szCs w:val="22"/>
                <w:lang w:val="en-US" w:eastAsia="zh-CN"/>
              </w:rPr>
              <w:t xml:space="preserve"> Communications Ltd.), Helsinki</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2012-2013</w:t>
            </w:r>
          </w:p>
        </w:tc>
        <w:tc>
          <w:tcPr>
            <w:tcW w:w="1468" w:type="dxa"/>
            <w:gridSpan w:val="2"/>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14,406.65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14,406.65</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France</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w:t>
            </w:r>
            <w:proofErr w:type="spellStart"/>
            <w:r w:rsidRPr="00DB726F">
              <w:rPr>
                <w:sz w:val="22"/>
                <w:szCs w:val="22"/>
                <w:lang w:val="en-US" w:eastAsia="zh-CN"/>
              </w:rPr>
              <w:t>LegalBox</w:t>
            </w:r>
            <w:proofErr w:type="spellEnd"/>
            <w:r w:rsidRPr="00DB726F">
              <w:rPr>
                <w:sz w:val="22"/>
                <w:szCs w:val="22"/>
                <w:lang w:val="en-US" w:eastAsia="zh-CN"/>
              </w:rPr>
              <w:t>, Paris</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2016-2017</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16,242.58</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16,242.58</w:t>
            </w:r>
          </w:p>
        </w:tc>
      </w:tr>
      <w:tr w:rsidR="00DB726F" w:rsidRPr="00DB726F" w:rsidTr="008109C7">
        <w:trPr>
          <w:trHeight w:val="300"/>
        </w:trPr>
        <w:tc>
          <w:tcPr>
            <w:tcW w:w="4732"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Viable France, Paris</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2010-2012</w:t>
            </w:r>
          </w:p>
        </w:tc>
        <w:tc>
          <w:tcPr>
            <w:tcW w:w="1468" w:type="dxa"/>
            <w:gridSpan w:val="2"/>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13,095.30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13,095.30</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Gambia</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8109C7">
        <w:trPr>
          <w:trHeight w:val="300"/>
        </w:trPr>
        <w:tc>
          <w:tcPr>
            <w:tcW w:w="4732"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roofErr w:type="spellStart"/>
            <w:r w:rsidRPr="00DB726F">
              <w:rPr>
                <w:sz w:val="22"/>
                <w:szCs w:val="22"/>
                <w:lang w:val="en-US" w:eastAsia="zh-CN"/>
              </w:rPr>
              <w:t>Africel</w:t>
            </w:r>
            <w:proofErr w:type="spellEnd"/>
            <w:r w:rsidRPr="00DB726F">
              <w:rPr>
                <w:sz w:val="22"/>
                <w:szCs w:val="22"/>
                <w:lang w:val="en-US" w:eastAsia="zh-CN"/>
              </w:rPr>
              <w:t xml:space="preserve"> Ltd., Banjul</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2015-2017</w:t>
            </w:r>
          </w:p>
        </w:tc>
        <w:tc>
          <w:tcPr>
            <w:tcW w:w="1468" w:type="dxa"/>
            <w:gridSpan w:val="2"/>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4,496.05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4,496.05</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Ghana</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8109C7">
        <w:trPr>
          <w:trHeight w:val="300"/>
        </w:trPr>
        <w:tc>
          <w:tcPr>
            <w:tcW w:w="4732"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Regional Maritime University, Accra</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2012</w:t>
            </w:r>
          </w:p>
        </w:tc>
        <w:tc>
          <w:tcPr>
            <w:tcW w:w="1468" w:type="dxa"/>
            <w:gridSpan w:val="2"/>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2,220.66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2,220.66</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Guinea</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8109C7">
        <w:trPr>
          <w:trHeight w:val="300"/>
        </w:trPr>
        <w:tc>
          <w:tcPr>
            <w:tcW w:w="4732"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SOTELGUI, Conakry</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2010-2012</w:t>
            </w:r>
          </w:p>
        </w:tc>
        <w:tc>
          <w:tcPr>
            <w:tcW w:w="1468" w:type="dxa"/>
            <w:gridSpan w:val="2"/>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6,912.48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6,912.48</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Guyana</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8109C7">
        <w:trPr>
          <w:trHeight w:val="300"/>
        </w:trPr>
        <w:tc>
          <w:tcPr>
            <w:tcW w:w="4732"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Guyana Telephone and Telegraph, Georgetown</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2017</w:t>
            </w:r>
          </w:p>
        </w:tc>
        <w:tc>
          <w:tcPr>
            <w:tcW w:w="1468" w:type="dxa"/>
            <w:gridSpan w:val="2"/>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39,343.55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39,343.55</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 xml:space="preserve">Haiti </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8109C7">
        <w:trPr>
          <w:trHeight w:val="300"/>
        </w:trPr>
        <w:tc>
          <w:tcPr>
            <w:tcW w:w="4732" w:type="dxa"/>
            <w:tcBorders>
              <w:top w:val="nil"/>
              <w:left w:val="single" w:sz="4" w:space="0" w:color="auto"/>
              <w:bottom w:val="single" w:sz="4" w:space="0" w:color="auto"/>
              <w:right w:val="nil"/>
            </w:tcBorders>
            <w:shd w:val="clear" w:color="auto" w:fill="auto"/>
            <w:vAlign w:val="bottom"/>
            <w:hideMark/>
          </w:tcPr>
          <w:p w:rsidR="00DB726F" w:rsidRPr="008109C7"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109C7">
              <w:rPr>
                <w:sz w:val="22"/>
                <w:szCs w:val="22"/>
                <w:lang w:val="fr-CH" w:eastAsia="zh-CN"/>
              </w:rPr>
              <w:t xml:space="preserve"> - </w:t>
            </w:r>
            <w:proofErr w:type="spellStart"/>
            <w:r w:rsidRPr="008109C7">
              <w:rPr>
                <w:sz w:val="22"/>
                <w:szCs w:val="22"/>
                <w:lang w:val="fr-CH" w:eastAsia="zh-CN"/>
              </w:rPr>
              <w:t>Haiti</w:t>
            </w:r>
            <w:proofErr w:type="spellEnd"/>
            <w:r w:rsidRPr="008109C7">
              <w:rPr>
                <w:sz w:val="22"/>
                <w:szCs w:val="22"/>
                <w:lang w:val="fr-CH" w:eastAsia="zh-CN"/>
              </w:rPr>
              <w:t xml:space="preserve"> </w:t>
            </w:r>
            <w:proofErr w:type="spellStart"/>
            <w:r w:rsidRPr="008109C7">
              <w:rPr>
                <w:sz w:val="22"/>
                <w:szCs w:val="22"/>
                <w:lang w:val="fr-CH" w:eastAsia="zh-CN"/>
              </w:rPr>
              <w:t>Télécommunicat</w:t>
            </w:r>
            <w:proofErr w:type="spellEnd"/>
            <w:r w:rsidRPr="008109C7">
              <w:rPr>
                <w:sz w:val="22"/>
                <w:szCs w:val="22"/>
                <w:lang w:val="fr-CH" w:eastAsia="zh-CN"/>
              </w:rPr>
              <w:t xml:space="preserve">. Int. S.A., </w:t>
            </w:r>
            <w:proofErr w:type="spellStart"/>
            <w:r w:rsidRPr="008109C7">
              <w:rPr>
                <w:sz w:val="22"/>
                <w:szCs w:val="22"/>
                <w:lang w:val="fr-CH" w:eastAsia="zh-CN"/>
              </w:rPr>
              <w:t>Petion</w:t>
            </w:r>
            <w:proofErr w:type="spellEnd"/>
            <w:r w:rsidRPr="008109C7">
              <w:rPr>
                <w:sz w:val="22"/>
                <w:szCs w:val="22"/>
                <w:lang w:val="fr-CH" w:eastAsia="zh-CN"/>
              </w:rPr>
              <w:t>-Ville</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2008</w:t>
            </w:r>
          </w:p>
        </w:tc>
        <w:tc>
          <w:tcPr>
            <w:tcW w:w="1468" w:type="dxa"/>
            <w:gridSpan w:val="2"/>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59,084.50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59,084.50</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 xml:space="preserve">Honduras </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8109C7">
        <w:trPr>
          <w:trHeight w:val="300"/>
        </w:trPr>
        <w:tc>
          <w:tcPr>
            <w:tcW w:w="4732"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UNITEC, Tegucigalpa</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2012</w:t>
            </w:r>
          </w:p>
        </w:tc>
        <w:tc>
          <w:tcPr>
            <w:tcW w:w="1468" w:type="dxa"/>
            <w:gridSpan w:val="2"/>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2,925.00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2,925.00</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Hungary</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8109C7">
        <w:trPr>
          <w:trHeight w:val="300"/>
        </w:trPr>
        <w:tc>
          <w:tcPr>
            <w:tcW w:w="4732"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Tel2tel </w:t>
            </w:r>
            <w:proofErr w:type="spellStart"/>
            <w:r w:rsidRPr="00DB726F">
              <w:rPr>
                <w:sz w:val="22"/>
                <w:szCs w:val="22"/>
                <w:lang w:val="en-US" w:eastAsia="zh-CN"/>
              </w:rPr>
              <w:t>Kft</w:t>
            </w:r>
            <w:proofErr w:type="spellEnd"/>
            <w:r w:rsidRPr="00DB726F">
              <w:rPr>
                <w:sz w:val="22"/>
                <w:szCs w:val="22"/>
                <w:lang w:val="en-US" w:eastAsia="zh-CN"/>
              </w:rPr>
              <w:t>., Budapest</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2017</w:t>
            </w:r>
          </w:p>
        </w:tc>
        <w:tc>
          <w:tcPr>
            <w:tcW w:w="1468" w:type="dxa"/>
            <w:gridSpan w:val="2"/>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11,657.35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11,657.35</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India</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Amity Institute of Telecom Eng., Noida</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2017</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2,185.75</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2,185.75</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Centre for Internet and Society, Bangalore</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2014-2015</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4,935.35</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4,935.35</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Luna Ergonomics Pvt. Ltd., Noida</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2011</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6,201.10</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6,201.10</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w:t>
            </w:r>
            <w:proofErr w:type="spellStart"/>
            <w:r w:rsidRPr="00DB726F">
              <w:rPr>
                <w:sz w:val="22"/>
                <w:szCs w:val="22"/>
                <w:lang w:val="en-US" w:eastAsia="zh-CN"/>
              </w:rPr>
              <w:t>Mahanagar</w:t>
            </w:r>
            <w:proofErr w:type="spellEnd"/>
            <w:r w:rsidRPr="00DB726F">
              <w:rPr>
                <w:sz w:val="22"/>
                <w:szCs w:val="22"/>
                <w:lang w:val="en-US" w:eastAsia="zh-CN"/>
              </w:rPr>
              <w:t xml:space="preserve"> Telephone Nigam Ltd., New Delhi</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2012</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52,650.55</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52,650.55</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w:t>
            </w:r>
            <w:proofErr w:type="spellStart"/>
            <w:r w:rsidRPr="00DB726F">
              <w:rPr>
                <w:sz w:val="22"/>
                <w:szCs w:val="22"/>
                <w:lang w:val="en-US" w:eastAsia="zh-CN"/>
              </w:rPr>
              <w:t>Raitel</w:t>
            </w:r>
            <w:proofErr w:type="spellEnd"/>
            <w:r w:rsidRPr="00DB726F">
              <w:rPr>
                <w:sz w:val="22"/>
                <w:szCs w:val="22"/>
                <w:lang w:val="en-US" w:eastAsia="zh-CN"/>
              </w:rPr>
              <w:t xml:space="preserve"> Corporation of India Ltd., New Delhi</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2013</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5,518.95</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5,518.95</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Reliance </w:t>
            </w:r>
            <w:proofErr w:type="spellStart"/>
            <w:r w:rsidRPr="00DB726F">
              <w:rPr>
                <w:sz w:val="22"/>
                <w:szCs w:val="22"/>
                <w:lang w:val="en-US" w:eastAsia="zh-CN"/>
              </w:rPr>
              <w:t>Infocom</w:t>
            </w:r>
            <w:proofErr w:type="spellEnd"/>
            <w:r w:rsidRPr="00DB726F">
              <w:rPr>
                <w:sz w:val="22"/>
                <w:szCs w:val="22"/>
                <w:lang w:val="en-US" w:eastAsia="zh-CN"/>
              </w:rPr>
              <w:t xml:space="preserve"> Ltd., </w:t>
            </w:r>
            <w:proofErr w:type="spellStart"/>
            <w:r w:rsidRPr="00DB726F">
              <w:rPr>
                <w:sz w:val="22"/>
                <w:szCs w:val="22"/>
                <w:lang w:val="en-US" w:eastAsia="zh-CN"/>
              </w:rPr>
              <w:t>Navi</w:t>
            </w:r>
            <w:proofErr w:type="spellEnd"/>
            <w:r w:rsidRPr="00DB726F">
              <w:rPr>
                <w:sz w:val="22"/>
                <w:szCs w:val="22"/>
                <w:lang w:val="en-US" w:eastAsia="zh-CN"/>
              </w:rPr>
              <w:t xml:space="preserve"> Mumbai</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2009</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118,447.75</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118,447.75</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w:t>
            </w:r>
            <w:proofErr w:type="spellStart"/>
            <w:r w:rsidRPr="00DB726F">
              <w:rPr>
                <w:sz w:val="22"/>
                <w:szCs w:val="22"/>
                <w:lang w:val="en-US" w:eastAsia="zh-CN"/>
              </w:rPr>
              <w:t>Shyam</w:t>
            </w:r>
            <w:proofErr w:type="spellEnd"/>
            <w:r w:rsidRPr="00DB726F">
              <w:rPr>
                <w:sz w:val="22"/>
                <w:szCs w:val="22"/>
                <w:lang w:val="en-US" w:eastAsia="zh-CN"/>
              </w:rPr>
              <w:t xml:space="preserve"> Telecom Limited, Gurgaon</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2010-2012</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5,868.30</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5,868.30</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w:t>
            </w:r>
            <w:proofErr w:type="spellStart"/>
            <w:r w:rsidRPr="00DB726F">
              <w:rPr>
                <w:sz w:val="22"/>
                <w:szCs w:val="22"/>
                <w:lang w:val="en-US" w:eastAsia="zh-CN"/>
              </w:rPr>
              <w:t>Sinhgad</w:t>
            </w:r>
            <w:proofErr w:type="spellEnd"/>
            <w:r w:rsidRPr="00DB726F">
              <w:rPr>
                <w:sz w:val="22"/>
                <w:szCs w:val="22"/>
                <w:lang w:val="en-US" w:eastAsia="zh-CN"/>
              </w:rPr>
              <w:t xml:space="preserve"> Tech. Education Society, Pune</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2011-2012</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4,170.25</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4,170.25</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Tata Communications Ltd., New Delhi</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2013</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5,518.95</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5,518.95</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Telecommunications Consultants, New Delhi</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2006-2007</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129,016.85</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129,016.85</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w:t>
            </w:r>
            <w:proofErr w:type="spellStart"/>
            <w:r w:rsidRPr="00DB726F">
              <w:rPr>
                <w:sz w:val="22"/>
                <w:szCs w:val="22"/>
                <w:lang w:val="en-US" w:eastAsia="zh-CN"/>
              </w:rPr>
              <w:t>TranSwitch</w:t>
            </w:r>
            <w:proofErr w:type="spellEnd"/>
            <w:r w:rsidRPr="00DB726F">
              <w:rPr>
                <w:sz w:val="22"/>
                <w:szCs w:val="22"/>
                <w:lang w:val="en-US" w:eastAsia="zh-CN"/>
              </w:rPr>
              <w:t xml:space="preserve"> India Pvt. Ltd., New Delhi</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2012</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15,600.20</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15,600.20</w:t>
            </w:r>
          </w:p>
        </w:tc>
      </w:tr>
      <w:tr w:rsidR="00DB726F" w:rsidRPr="00DB726F" w:rsidTr="008109C7">
        <w:trPr>
          <w:trHeight w:val="300"/>
        </w:trPr>
        <w:tc>
          <w:tcPr>
            <w:tcW w:w="4732"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Vihaan Networks Ltd., Gurgaon</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2013</w:t>
            </w:r>
          </w:p>
        </w:tc>
        <w:tc>
          <w:tcPr>
            <w:tcW w:w="1468" w:type="dxa"/>
            <w:gridSpan w:val="2"/>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49,670.35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49,670.35</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Indonesia</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8109C7">
        <w:trPr>
          <w:trHeight w:val="300"/>
        </w:trPr>
        <w:tc>
          <w:tcPr>
            <w:tcW w:w="4732" w:type="dxa"/>
            <w:tcBorders>
              <w:top w:val="nil"/>
              <w:left w:val="single" w:sz="4" w:space="0" w:color="auto"/>
              <w:bottom w:val="single" w:sz="4" w:space="0" w:color="auto"/>
              <w:right w:val="nil"/>
            </w:tcBorders>
            <w:shd w:val="clear" w:color="auto" w:fill="auto"/>
            <w:vAlign w:val="bottom"/>
            <w:hideMark/>
          </w:tcPr>
          <w:p w:rsidR="00DB726F" w:rsidRPr="008C63E7"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de-CH" w:eastAsia="zh-CN"/>
              </w:rPr>
            </w:pPr>
            <w:r w:rsidRPr="008C63E7">
              <w:rPr>
                <w:sz w:val="22"/>
                <w:szCs w:val="22"/>
                <w:lang w:val="de-CH" w:eastAsia="zh-CN"/>
              </w:rPr>
              <w:t xml:space="preserve"> - PT Bakrie Telecom Tbk., Jakarta</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1997-2002</w:t>
            </w:r>
          </w:p>
        </w:tc>
        <w:tc>
          <w:tcPr>
            <w:tcW w:w="1468" w:type="dxa"/>
            <w:gridSpan w:val="2"/>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64,486.25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64,486.25</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B726F">
              <w:rPr>
                <w:b/>
                <w:bCs/>
                <w:sz w:val="22"/>
                <w:szCs w:val="22"/>
                <w:lang w:val="en-US" w:eastAsia="zh-CN"/>
              </w:rPr>
              <w:t xml:space="preserve">Israel </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w:t>
            </w:r>
            <w:proofErr w:type="spellStart"/>
            <w:r w:rsidRPr="00DB726F">
              <w:rPr>
                <w:sz w:val="22"/>
                <w:szCs w:val="22"/>
                <w:lang w:val="en-US" w:eastAsia="zh-CN"/>
              </w:rPr>
              <w:t>Gilat</w:t>
            </w:r>
            <w:proofErr w:type="spellEnd"/>
            <w:r w:rsidRPr="00DB726F">
              <w:rPr>
                <w:sz w:val="22"/>
                <w:szCs w:val="22"/>
                <w:lang w:val="en-US" w:eastAsia="zh-CN"/>
              </w:rPr>
              <w:t xml:space="preserve"> Satellite Networks Ltd., Petah </w:t>
            </w:r>
            <w:proofErr w:type="spellStart"/>
            <w:r w:rsidRPr="00DB726F">
              <w:rPr>
                <w:sz w:val="22"/>
                <w:szCs w:val="22"/>
                <w:lang w:val="en-US" w:eastAsia="zh-CN"/>
              </w:rPr>
              <w:t>Tikva</w:t>
            </w:r>
            <w:proofErr w:type="spellEnd"/>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1997-2002</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107,197.90</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107,197.90</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IP Light, </w:t>
            </w:r>
            <w:proofErr w:type="spellStart"/>
            <w:r w:rsidRPr="00DB726F">
              <w:rPr>
                <w:sz w:val="22"/>
                <w:szCs w:val="22"/>
                <w:lang w:val="en-US" w:eastAsia="zh-CN"/>
              </w:rPr>
              <w:t>Petach</w:t>
            </w:r>
            <w:proofErr w:type="spellEnd"/>
            <w:r w:rsidRPr="00DB726F">
              <w:rPr>
                <w:sz w:val="22"/>
                <w:szCs w:val="22"/>
                <w:lang w:val="en-US" w:eastAsia="zh-CN"/>
              </w:rPr>
              <w:t xml:space="preserve"> </w:t>
            </w:r>
            <w:proofErr w:type="spellStart"/>
            <w:r w:rsidRPr="00DB726F">
              <w:rPr>
                <w:sz w:val="22"/>
                <w:szCs w:val="22"/>
                <w:lang w:val="en-US" w:eastAsia="zh-CN"/>
              </w:rPr>
              <w:t>Tikva</w:t>
            </w:r>
            <w:proofErr w:type="spellEnd"/>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2017</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11,657.35</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11,657.35</w:t>
            </w:r>
          </w:p>
        </w:tc>
      </w:tr>
      <w:tr w:rsidR="00DB726F" w:rsidRPr="00DB726F" w:rsidTr="008109C7">
        <w:trPr>
          <w:trHeight w:val="300"/>
        </w:trPr>
        <w:tc>
          <w:tcPr>
            <w:tcW w:w="4732" w:type="dxa"/>
            <w:tcBorders>
              <w:top w:val="nil"/>
              <w:left w:val="single" w:sz="4" w:space="0" w:color="auto"/>
              <w:bottom w:val="nil"/>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w:t>
            </w:r>
            <w:proofErr w:type="spellStart"/>
            <w:r w:rsidRPr="00DB726F">
              <w:rPr>
                <w:sz w:val="22"/>
                <w:szCs w:val="22"/>
                <w:lang w:val="en-US" w:eastAsia="zh-CN"/>
              </w:rPr>
              <w:t>TangoTec</w:t>
            </w:r>
            <w:proofErr w:type="spellEnd"/>
            <w:r w:rsidRPr="00DB726F">
              <w:rPr>
                <w:sz w:val="22"/>
                <w:szCs w:val="22"/>
                <w:lang w:val="en-US" w:eastAsia="zh-CN"/>
              </w:rPr>
              <w:t>, Il Haifa</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2015-2016</w:t>
            </w:r>
          </w:p>
        </w:tc>
        <w:tc>
          <w:tcPr>
            <w:tcW w:w="1468" w:type="dxa"/>
            <w:gridSpan w:val="2"/>
            <w:tcBorders>
              <w:top w:val="nil"/>
              <w:left w:val="nil"/>
              <w:bottom w:val="nil"/>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11,880.85</w:t>
            </w:r>
          </w:p>
        </w:tc>
        <w:tc>
          <w:tcPr>
            <w:tcW w:w="1420" w:type="dxa"/>
            <w:tcBorders>
              <w:top w:val="nil"/>
              <w:left w:val="single" w:sz="4" w:space="0" w:color="auto"/>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11,880.85</w:t>
            </w:r>
          </w:p>
        </w:tc>
      </w:tr>
      <w:tr w:rsidR="00DB726F" w:rsidRPr="00DB726F" w:rsidTr="008109C7">
        <w:trPr>
          <w:trHeight w:val="300"/>
        </w:trPr>
        <w:tc>
          <w:tcPr>
            <w:tcW w:w="4732" w:type="dxa"/>
            <w:tcBorders>
              <w:top w:val="nil"/>
              <w:left w:val="single" w:sz="4" w:space="0" w:color="auto"/>
              <w:bottom w:val="single" w:sz="4" w:space="0" w:color="auto"/>
              <w:right w:val="nil"/>
            </w:tcBorders>
            <w:shd w:val="clear" w:color="auto" w:fill="auto"/>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B726F">
              <w:rPr>
                <w:sz w:val="22"/>
                <w:szCs w:val="22"/>
                <w:lang w:val="en-US" w:eastAsia="zh-CN"/>
              </w:rPr>
              <w:t xml:space="preserve"> - </w:t>
            </w:r>
            <w:proofErr w:type="spellStart"/>
            <w:r w:rsidRPr="00DB726F">
              <w:rPr>
                <w:sz w:val="22"/>
                <w:szCs w:val="22"/>
                <w:lang w:val="en-US" w:eastAsia="zh-CN"/>
              </w:rPr>
              <w:t>Telrad</w:t>
            </w:r>
            <w:proofErr w:type="spellEnd"/>
            <w:r w:rsidRPr="00DB726F">
              <w:rPr>
                <w:sz w:val="22"/>
                <w:szCs w:val="22"/>
                <w:lang w:val="en-US" w:eastAsia="zh-CN"/>
              </w:rPr>
              <w:t xml:space="preserve"> Networks Ltd., LOD</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DB726F">
              <w:rPr>
                <w:sz w:val="22"/>
                <w:szCs w:val="22"/>
                <w:lang w:val="en-US" w:eastAsia="zh-CN"/>
              </w:rPr>
              <w:t>1998-2006</w:t>
            </w:r>
          </w:p>
        </w:tc>
        <w:tc>
          <w:tcPr>
            <w:tcW w:w="1468" w:type="dxa"/>
            <w:gridSpan w:val="2"/>
            <w:tcBorders>
              <w:top w:val="nil"/>
              <w:left w:val="nil"/>
              <w:bottom w:val="single" w:sz="4" w:space="0" w:color="auto"/>
              <w:right w:val="nil"/>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93,566.20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DB726F" w:rsidRPr="00DB726F" w:rsidRDefault="00DB726F"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DB726F">
              <w:rPr>
                <w:sz w:val="22"/>
                <w:szCs w:val="22"/>
                <w:lang w:val="en-US" w:eastAsia="zh-CN"/>
              </w:rPr>
              <w:t>93,566.20</w:t>
            </w:r>
          </w:p>
        </w:tc>
      </w:tr>
      <w:tr w:rsidR="008109C7" w:rsidRPr="00DB726F" w:rsidTr="008109C7">
        <w:trPr>
          <w:trHeight w:val="300"/>
        </w:trPr>
        <w:tc>
          <w:tcPr>
            <w:tcW w:w="4732" w:type="dxa"/>
            <w:tcBorders>
              <w:top w:val="nil"/>
              <w:left w:val="single" w:sz="4" w:space="0" w:color="auto"/>
              <w:bottom w:val="single" w:sz="4" w:space="0" w:color="auto"/>
              <w:right w:val="nil"/>
            </w:tcBorders>
            <w:shd w:val="clear" w:color="auto" w:fill="auto"/>
            <w:vAlign w:val="bottom"/>
          </w:tcPr>
          <w:p w:rsidR="008109C7" w:rsidRPr="00DB726F" w:rsidRDefault="008109C7" w:rsidP="00DB726F">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tcPr>
          <w:p w:rsidR="008109C7" w:rsidRPr="00DB726F" w:rsidRDefault="008109C7" w:rsidP="00DB726F">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68" w:type="dxa"/>
            <w:gridSpan w:val="2"/>
            <w:tcBorders>
              <w:top w:val="nil"/>
              <w:left w:val="nil"/>
              <w:bottom w:val="single" w:sz="4" w:space="0" w:color="auto"/>
              <w:right w:val="nil"/>
            </w:tcBorders>
            <w:shd w:val="clear" w:color="auto" w:fill="auto"/>
            <w:noWrap/>
            <w:vAlign w:val="bottom"/>
          </w:tcPr>
          <w:p w:rsidR="008109C7" w:rsidRPr="00DB726F" w:rsidRDefault="008109C7"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single" w:sz="4" w:space="0" w:color="auto"/>
              <w:bottom w:val="single" w:sz="4" w:space="0" w:color="auto"/>
              <w:right w:val="single" w:sz="4" w:space="0" w:color="auto"/>
            </w:tcBorders>
            <w:shd w:val="clear" w:color="auto" w:fill="auto"/>
            <w:noWrap/>
            <w:vAlign w:val="bottom"/>
          </w:tcPr>
          <w:p w:rsidR="008109C7" w:rsidRPr="00DB726F" w:rsidRDefault="008109C7"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single" w:sz="4" w:space="0" w:color="auto"/>
              <w:right w:val="single" w:sz="4" w:space="0" w:color="auto"/>
            </w:tcBorders>
            <w:shd w:val="clear" w:color="auto" w:fill="auto"/>
            <w:noWrap/>
            <w:vAlign w:val="bottom"/>
          </w:tcPr>
          <w:p w:rsidR="008109C7" w:rsidRPr="00DB726F" w:rsidRDefault="008109C7" w:rsidP="00DB726F">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r>
      <w:tr w:rsidR="008109C7" w:rsidRPr="008109C7" w:rsidTr="008109C7">
        <w:trPr>
          <w:trHeight w:val="300"/>
        </w:trPr>
        <w:tc>
          <w:tcPr>
            <w:tcW w:w="4780" w:type="dxa"/>
            <w:gridSpan w:val="2"/>
            <w:tcBorders>
              <w:top w:val="single" w:sz="4" w:space="0" w:color="auto"/>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B. Sector Members and other entities</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Year</w:t>
            </w:r>
          </w:p>
        </w:tc>
        <w:tc>
          <w:tcPr>
            <w:tcW w:w="1420" w:type="dxa"/>
            <w:tcBorders>
              <w:top w:val="single" w:sz="4" w:space="0" w:color="auto"/>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Contributions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Publications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Total</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Italy</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8109C7">
              <w:rPr>
                <w:sz w:val="22"/>
                <w:szCs w:val="22"/>
                <w:lang w:val="es-ES_tradnl" w:eastAsia="zh-CN"/>
              </w:rPr>
              <w:t xml:space="preserve"> - </w:t>
            </w:r>
            <w:proofErr w:type="spellStart"/>
            <w:r w:rsidRPr="008109C7">
              <w:rPr>
                <w:sz w:val="22"/>
                <w:szCs w:val="22"/>
                <w:lang w:val="es-ES_tradnl" w:eastAsia="zh-CN"/>
              </w:rPr>
              <w:t>Aethra</w:t>
            </w:r>
            <w:proofErr w:type="spellEnd"/>
            <w:r w:rsidRPr="008109C7">
              <w:rPr>
                <w:sz w:val="22"/>
                <w:szCs w:val="22"/>
                <w:lang w:val="es-ES_tradnl" w:eastAsia="zh-CN"/>
              </w:rPr>
              <w:t xml:space="preserve"> </w:t>
            </w:r>
            <w:proofErr w:type="spellStart"/>
            <w:r w:rsidRPr="008109C7">
              <w:rPr>
                <w:sz w:val="22"/>
                <w:szCs w:val="22"/>
                <w:lang w:val="es-ES_tradnl" w:eastAsia="zh-CN"/>
              </w:rPr>
              <w:t>S.p.A</w:t>
            </w:r>
            <w:proofErr w:type="spellEnd"/>
            <w:r w:rsidRPr="008109C7">
              <w:rPr>
                <w:sz w:val="22"/>
                <w:szCs w:val="22"/>
                <w:lang w:val="es-ES_tradnl" w:eastAsia="zh-CN"/>
              </w:rPr>
              <w:t xml:space="preserve">., </w:t>
            </w:r>
            <w:proofErr w:type="spellStart"/>
            <w:r w:rsidRPr="008109C7">
              <w:rPr>
                <w:sz w:val="22"/>
                <w:szCs w:val="22"/>
                <w:lang w:val="es-ES_tradnl" w:eastAsia="zh-CN"/>
              </w:rPr>
              <w:t>Palombina</w:t>
            </w:r>
            <w:proofErr w:type="spellEnd"/>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2007-2008</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35,276.45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35,276.45</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8109C7">
              <w:rPr>
                <w:sz w:val="22"/>
                <w:szCs w:val="22"/>
                <w:lang w:val="es-ES_tradnl" w:eastAsia="zh-CN"/>
              </w:rPr>
              <w:t xml:space="preserve"> - </w:t>
            </w:r>
            <w:proofErr w:type="spellStart"/>
            <w:r w:rsidRPr="008109C7">
              <w:rPr>
                <w:sz w:val="22"/>
                <w:szCs w:val="22"/>
                <w:lang w:val="es-ES_tradnl" w:eastAsia="zh-CN"/>
              </w:rPr>
              <w:t>Intermatica</w:t>
            </w:r>
            <w:proofErr w:type="spellEnd"/>
            <w:r w:rsidRPr="008109C7">
              <w:rPr>
                <w:sz w:val="22"/>
                <w:szCs w:val="22"/>
                <w:lang w:val="es-ES_tradnl" w:eastAsia="zh-CN"/>
              </w:rPr>
              <w:t xml:space="preserve"> </w:t>
            </w:r>
            <w:proofErr w:type="spellStart"/>
            <w:r w:rsidRPr="008109C7">
              <w:rPr>
                <w:sz w:val="22"/>
                <w:szCs w:val="22"/>
                <w:lang w:val="es-ES_tradnl" w:eastAsia="zh-CN"/>
              </w:rPr>
              <w:t>S.p.A</w:t>
            </w:r>
            <w:proofErr w:type="spellEnd"/>
            <w:r w:rsidRPr="008109C7">
              <w:rPr>
                <w:sz w:val="22"/>
                <w:szCs w:val="22"/>
                <w:lang w:val="es-ES_tradnl" w:eastAsia="zh-CN"/>
              </w:rPr>
              <w:t>., Roma</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s-ES_tradnl" w:eastAsia="zh-CN"/>
              </w:rPr>
            </w:pPr>
            <w:r w:rsidRPr="008109C7">
              <w:rPr>
                <w:sz w:val="22"/>
                <w:szCs w:val="22"/>
                <w:lang w:val="es-ES_tradnl"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2,162.40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2,162.40</w:t>
            </w:r>
          </w:p>
        </w:tc>
      </w:tr>
      <w:tr w:rsidR="008109C7" w:rsidRPr="008109C7" w:rsidTr="008109C7">
        <w:trPr>
          <w:trHeight w:val="300"/>
        </w:trPr>
        <w:tc>
          <w:tcPr>
            <w:tcW w:w="4780" w:type="dxa"/>
            <w:gridSpan w:val="2"/>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109C7">
              <w:rPr>
                <w:sz w:val="22"/>
                <w:szCs w:val="22"/>
                <w:lang w:val="fr-CH" w:eastAsia="zh-CN"/>
              </w:rPr>
              <w:t xml:space="preserve"> - </w:t>
            </w:r>
            <w:proofErr w:type="spellStart"/>
            <w:r w:rsidRPr="008109C7">
              <w:rPr>
                <w:sz w:val="22"/>
                <w:szCs w:val="22"/>
                <w:lang w:val="fr-CH" w:eastAsia="zh-CN"/>
              </w:rPr>
              <w:t>Selex</w:t>
            </w:r>
            <w:proofErr w:type="spellEnd"/>
            <w:r w:rsidRPr="008109C7">
              <w:rPr>
                <w:sz w:val="22"/>
                <w:szCs w:val="22"/>
                <w:lang w:val="fr-CH" w:eastAsia="zh-CN"/>
              </w:rPr>
              <w:t xml:space="preserve"> Communications </w:t>
            </w:r>
            <w:proofErr w:type="spellStart"/>
            <w:r w:rsidRPr="008109C7">
              <w:rPr>
                <w:sz w:val="22"/>
                <w:szCs w:val="22"/>
                <w:lang w:val="fr-CH" w:eastAsia="zh-CN"/>
              </w:rPr>
              <w:t>S.p.A</w:t>
            </w:r>
            <w:proofErr w:type="spellEnd"/>
            <w:r w:rsidRPr="008109C7">
              <w:rPr>
                <w:sz w:val="22"/>
                <w:szCs w:val="22"/>
                <w:lang w:val="fr-CH" w:eastAsia="zh-CN"/>
              </w:rPr>
              <w:t xml:space="preserve">., Genova </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2001-2007</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546,384.00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546,384.00</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Jordan</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Jordan Mobile Telecomm.,  Amman</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2016</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4,633.80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4,633.80</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Middle East Communications (MEC), Amman</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2008-2009</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6,998.65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6,998.65</w:t>
            </w:r>
          </w:p>
        </w:tc>
      </w:tr>
      <w:tr w:rsidR="008109C7" w:rsidRPr="008109C7" w:rsidTr="008109C7">
        <w:trPr>
          <w:trHeight w:val="300"/>
        </w:trPr>
        <w:tc>
          <w:tcPr>
            <w:tcW w:w="4780" w:type="dxa"/>
            <w:gridSpan w:val="2"/>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Talal</w:t>
            </w:r>
            <w:proofErr w:type="spellEnd"/>
            <w:r w:rsidRPr="008109C7">
              <w:rPr>
                <w:sz w:val="22"/>
                <w:szCs w:val="22"/>
                <w:lang w:val="en-US" w:eastAsia="zh-CN"/>
              </w:rPr>
              <w:t xml:space="preserve"> Abu-</w:t>
            </w:r>
            <w:proofErr w:type="spellStart"/>
            <w:r w:rsidRPr="008109C7">
              <w:rPr>
                <w:sz w:val="22"/>
                <w:szCs w:val="22"/>
                <w:lang w:val="en-US" w:eastAsia="zh-CN"/>
              </w:rPr>
              <w:t>Ghazaleh</w:t>
            </w:r>
            <w:proofErr w:type="spellEnd"/>
            <w:r w:rsidRPr="008109C7">
              <w:rPr>
                <w:sz w:val="22"/>
                <w:szCs w:val="22"/>
                <w:lang w:val="en-US" w:eastAsia="zh-CN"/>
              </w:rPr>
              <w:t xml:space="preserve"> &amp; Co., Amman</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2006-2007</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16,127.25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16,127.25</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 xml:space="preserve">Kazakhstan </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gridSpan w:val="2"/>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Kazakh Academy of Transp. &amp; Comm., Almaty</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2008-2009</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7,598.50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7,598.50</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 xml:space="preserve">Kenya </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 xml:space="preserve"> - </w:t>
            </w:r>
            <w:proofErr w:type="spellStart"/>
            <w:r w:rsidRPr="008109C7">
              <w:rPr>
                <w:sz w:val="22"/>
                <w:szCs w:val="22"/>
                <w:lang w:val="en-US" w:eastAsia="zh-CN"/>
              </w:rPr>
              <w:t>Intersat</w:t>
            </w:r>
            <w:proofErr w:type="spellEnd"/>
            <w:r w:rsidRPr="008109C7">
              <w:rPr>
                <w:sz w:val="22"/>
                <w:szCs w:val="22"/>
                <w:lang w:val="en-US" w:eastAsia="zh-CN"/>
              </w:rPr>
              <w:t xml:space="preserve"> Africa Limited, Nairobi</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2010-2012</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6,056.05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6,056.05</w:t>
            </w:r>
          </w:p>
        </w:tc>
      </w:tr>
      <w:tr w:rsidR="008109C7" w:rsidRPr="008109C7" w:rsidTr="008109C7">
        <w:trPr>
          <w:trHeight w:val="300"/>
        </w:trPr>
        <w:tc>
          <w:tcPr>
            <w:tcW w:w="4780" w:type="dxa"/>
            <w:gridSpan w:val="2"/>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Telcom</w:t>
            </w:r>
            <w:proofErr w:type="spellEnd"/>
            <w:r w:rsidRPr="008109C7">
              <w:rPr>
                <w:sz w:val="22"/>
                <w:szCs w:val="22"/>
                <w:lang w:val="en-US" w:eastAsia="zh-CN"/>
              </w:rPr>
              <w:t xml:space="preserve"> Kenya Limited, Nairobi</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2005-2007</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332,786.75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332,786.75</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Korea (Rep. of)</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gridSpan w:val="2"/>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Ericsson-LG, Anyang-Shi</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2013-2014</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13,972.45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13,972.45</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 xml:space="preserve">Kuwait </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The Arabian Business Franchise, </w:t>
            </w:r>
            <w:proofErr w:type="spellStart"/>
            <w:r w:rsidRPr="008109C7">
              <w:rPr>
                <w:sz w:val="22"/>
                <w:szCs w:val="22"/>
                <w:lang w:val="en-US" w:eastAsia="zh-CN"/>
              </w:rPr>
              <w:t>Hawalli</w:t>
            </w:r>
            <w:proofErr w:type="spellEnd"/>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2006-2007</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16,127.25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16,127.25</w:t>
            </w:r>
          </w:p>
        </w:tc>
      </w:tr>
      <w:tr w:rsidR="008109C7" w:rsidRPr="008109C7" w:rsidTr="008109C7">
        <w:trPr>
          <w:trHeight w:val="300"/>
        </w:trPr>
        <w:tc>
          <w:tcPr>
            <w:tcW w:w="4780" w:type="dxa"/>
            <w:gridSpan w:val="2"/>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Zain Kuwait, </w:t>
            </w:r>
            <w:proofErr w:type="spellStart"/>
            <w:r w:rsidRPr="008109C7">
              <w:rPr>
                <w:sz w:val="22"/>
                <w:szCs w:val="22"/>
                <w:lang w:val="en-US" w:eastAsia="zh-CN"/>
              </w:rPr>
              <w:t>Safat</w:t>
            </w:r>
            <w:proofErr w:type="spellEnd"/>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2017</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2,385.00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2,385.00</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Kyrgyzstan</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gridSpan w:val="2"/>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Kyrgyztelecom</w:t>
            </w:r>
            <w:proofErr w:type="spellEnd"/>
            <w:r w:rsidRPr="008109C7">
              <w:rPr>
                <w:sz w:val="22"/>
                <w:szCs w:val="22"/>
                <w:lang w:val="en-US" w:eastAsia="zh-CN"/>
              </w:rPr>
              <w:t xml:space="preserve"> OJSC, Bishkek</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2016</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6,455.25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6,455.25</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Lebanon</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Al-</w:t>
            </w:r>
            <w:proofErr w:type="spellStart"/>
            <w:r w:rsidRPr="008109C7">
              <w:rPr>
                <w:sz w:val="22"/>
                <w:szCs w:val="22"/>
                <w:lang w:val="en-US" w:eastAsia="zh-CN"/>
              </w:rPr>
              <w:t>Iktissad</w:t>
            </w:r>
            <w:proofErr w:type="spellEnd"/>
            <w:r w:rsidRPr="008109C7">
              <w:rPr>
                <w:sz w:val="22"/>
                <w:szCs w:val="22"/>
                <w:lang w:val="en-US" w:eastAsia="zh-CN"/>
              </w:rPr>
              <w:t xml:space="preserve"> </w:t>
            </w:r>
            <w:proofErr w:type="spellStart"/>
            <w:r w:rsidRPr="008109C7">
              <w:rPr>
                <w:sz w:val="22"/>
                <w:szCs w:val="22"/>
                <w:lang w:val="en-US" w:eastAsia="zh-CN"/>
              </w:rPr>
              <w:t>Wal-Aamal</w:t>
            </w:r>
            <w:proofErr w:type="spellEnd"/>
            <w:r w:rsidRPr="008109C7">
              <w:rPr>
                <w:sz w:val="22"/>
                <w:szCs w:val="22"/>
                <w:lang w:val="en-US" w:eastAsia="zh-CN"/>
              </w:rPr>
              <w:t xml:space="preserve"> Group, Beirut</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2015</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4,911.85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4,911.85</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Arabcom</w:t>
            </w:r>
            <w:proofErr w:type="spellEnd"/>
            <w:r w:rsidRPr="008109C7">
              <w:rPr>
                <w:sz w:val="22"/>
                <w:szCs w:val="22"/>
                <w:lang w:val="en-US" w:eastAsia="zh-CN"/>
              </w:rPr>
              <w:t xml:space="preserve"> </w:t>
            </w:r>
            <w:proofErr w:type="spellStart"/>
            <w:r w:rsidRPr="008109C7">
              <w:rPr>
                <w:sz w:val="22"/>
                <w:szCs w:val="22"/>
                <w:lang w:val="en-US" w:eastAsia="zh-CN"/>
              </w:rPr>
              <w:t>Hitek</w:t>
            </w:r>
            <w:proofErr w:type="spellEnd"/>
            <w:r w:rsidRPr="008109C7">
              <w:rPr>
                <w:sz w:val="22"/>
                <w:szCs w:val="22"/>
                <w:lang w:val="en-US" w:eastAsia="zh-CN"/>
              </w:rPr>
              <w:t>, Beirut</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2001-2006</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57,345.50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57,345.50</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ExiCon</w:t>
            </w:r>
            <w:proofErr w:type="spellEnd"/>
            <w:r w:rsidRPr="008109C7">
              <w:rPr>
                <w:sz w:val="22"/>
                <w:szCs w:val="22"/>
                <w:lang w:val="en-US" w:eastAsia="zh-CN"/>
              </w:rPr>
              <w:t xml:space="preserve"> International Group, Beirut</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2010-2011</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6,236.65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6,236.65</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IDMI Sal offshore, Beirut</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2011</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6,201.10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6,201.10</w:t>
            </w:r>
          </w:p>
        </w:tc>
      </w:tr>
      <w:tr w:rsidR="008109C7" w:rsidRPr="008109C7" w:rsidTr="008109C7">
        <w:trPr>
          <w:trHeight w:val="300"/>
        </w:trPr>
        <w:tc>
          <w:tcPr>
            <w:tcW w:w="4780" w:type="dxa"/>
            <w:gridSpan w:val="2"/>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MNT/</w:t>
            </w:r>
            <w:proofErr w:type="spellStart"/>
            <w:r w:rsidRPr="008109C7">
              <w:rPr>
                <w:sz w:val="22"/>
                <w:szCs w:val="22"/>
                <w:lang w:val="en-US" w:eastAsia="zh-CN"/>
              </w:rPr>
              <w:t>Investcom</w:t>
            </w:r>
            <w:proofErr w:type="spellEnd"/>
            <w:r w:rsidRPr="008109C7">
              <w:rPr>
                <w:sz w:val="22"/>
                <w:szCs w:val="22"/>
                <w:lang w:val="en-US" w:eastAsia="zh-CN"/>
              </w:rPr>
              <w:t xml:space="preserve"> LLC, Beirut</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2008</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7,385.60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7,385.60</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 xml:space="preserve">Liberia </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 </w:t>
            </w:r>
          </w:p>
        </w:tc>
      </w:tr>
      <w:tr w:rsidR="008109C7" w:rsidRPr="008109C7" w:rsidTr="008109C7">
        <w:trPr>
          <w:trHeight w:val="300"/>
        </w:trPr>
        <w:tc>
          <w:tcPr>
            <w:tcW w:w="4780" w:type="dxa"/>
            <w:gridSpan w:val="2"/>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West Africa Telecomm. Inc., Monrovia</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2007</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7,828.75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7,828.75</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Libya</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gridSpan w:val="2"/>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Libyana</w:t>
            </w:r>
            <w:proofErr w:type="spellEnd"/>
            <w:r w:rsidRPr="008109C7">
              <w:rPr>
                <w:sz w:val="22"/>
                <w:szCs w:val="22"/>
                <w:lang w:val="en-US" w:eastAsia="zh-CN"/>
              </w:rPr>
              <w:t xml:space="preserve"> Mobile Phone Company, Tripoli</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2010-2012</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139,542.45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139,542.45</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Mauritania</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6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109C7">
              <w:rPr>
                <w:sz w:val="22"/>
                <w:szCs w:val="22"/>
                <w:lang w:val="fr-CH" w:eastAsia="zh-CN"/>
              </w:rPr>
              <w:t xml:space="preserve"> - Agence de Promotion de l'Accès Universel aux Services (APAUS), Nouakchott</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2012</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5,850.10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5,850.10</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Chinguitel</w:t>
            </w:r>
            <w:proofErr w:type="spellEnd"/>
            <w:r w:rsidRPr="008109C7">
              <w:rPr>
                <w:sz w:val="22"/>
                <w:szCs w:val="22"/>
                <w:lang w:val="en-US" w:eastAsia="zh-CN"/>
              </w:rPr>
              <w:t xml:space="preserve"> SA, Nouakchott</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2013-2015</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4,959.55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4,959.55</w:t>
            </w:r>
          </w:p>
        </w:tc>
      </w:tr>
      <w:tr w:rsidR="008109C7" w:rsidRPr="008109C7" w:rsidTr="008109C7">
        <w:trPr>
          <w:trHeight w:val="900"/>
        </w:trPr>
        <w:tc>
          <w:tcPr>
            <w:tcW w:w="4780" w:type="dxa"/>
            <w:gridSpan w:val="2"/>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109C7">
              <w:rPr>
                <w:sz w:val="22"/>
                <w:szCs w:val="22"/>
                <w:lang w:val="fr-CH" w:eastAsia="zh-CN"/>
              </w:rPr>
              <w:t xml:space="preserve"> - Société mauritanienne des télécommunications (MAURITEL S.A.), Nouakchott</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2008</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66,470.15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66,470.15</w:t>
            </w:r>
          </w:p>
        </w:tc>
      </w:tr>
      <w:tr w:rsidR="008109C7" w:rsidRPr="008109C7" w:rsidTr="008109C7">
        <w:trPr>
          <w:trHeight w:val="300"/>
        </w:trPr>
        <w:tc>
          <w:tcPr>
            <w:tcW w:w="4780"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Mexico</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gridSpan w:val="2"/>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CANITEC, Mexico</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2011-2013</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5,697.80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5,697.80</w:t>
            </w:r>
          </w:p>
        </w:tc>
      </w:tr>
    </w:tbl>
    <w:p w:rsidR="002F46E2" w:rsidRDefault="002F46E2">
      <w:r>
        <w:br w:type="page"/>
      </w:r>
    </w:p>
    <w:tbl>
      <w:tblPr>
        <w:tblW w:w="10760" w:type="dxa"/>
        <w:tblInd w:w="-5" w:type="dxa"/>
        <w:tblLook w:val="04A0" w:firstRow="1" w:lastRow="0" w:firstColumn="1" w:lastColumn="0" w:noHBand="0" w:noVBand="1"/>
      </w:tblPr>
      <w:tblGrid>
        <w:gridCol w:w="4732"/>
        <w:gridCol w:w="1720"/>
        <w:gridCol w:w="1468"/>
        <w:gridCol w:w="1420"/>
        <w:gridCol w:w="1420"/>
      </w:tblGrid>
      <w:tr w:rsidR="008109C7" w:rsidRPr="008109C7" w:rsidTr="008109C7">
        <w:trPr>
          <w:trHeight w:val="300"/>
        </w:trPr>
        <w:tc>
          <w:tcPr>
            <w:tcW w:w="4780" w:type="dxa"/>
            <w:tcBorders>
              <w:top w:val="single" w:sz="4" w:space="0" w:color="auto"/>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B. Sector Members and other entities</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Year</w:t>
            </w:r>
          </w:p>
        </w:tc>
        <w:tc>
          <w:tcPr>
            <w:tcW w:w="1420" w:type="dxa"/>
            <w:tcBorders>
              <w:top w:val="single" w:sz="4" w:space="0" w:color="auto"/>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Contributions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Publications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Total</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Netherlands</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Smitcoms</w:t>
            </w:r>
            <w:proofErr w:type="spellEnd"/>
            <w:r w:rsidRPr="008109C7">
              <w:rPr>
                <w:sz w:val="22"/>
                <w:szCs w:val="22"/>
                <w:lang w:val="en-US" w:eastAsia="zh-CN"/>
              </w:rPr>
              <w:t xml:space="preserve"> N.V., St. Maarten</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2004-2007</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545,150.25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545,150.25</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 xml:space="preserve">Pakistan </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CMPak</w:t>
            </w:r>
            <w:proofErr w:type="spellEnd"/>
            <w:r w:rsidRPr="008109C7">
              <w:rPr>
                <w:sz w:val="22"/>
                <w:szCs w:val="22"/>
                <w:lang w:val="en-US" w:eastAsia="zh-CN"/>
              </w:rPr>
              <w:t xml:space="preserve"> Limited, Islamabad</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2015</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2,455.90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2,455.90</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e </w:t>
            </w:r>
            <w:proofErr w:type="spellStart"/>
            <w:r w:rsidRPr="008109C7">
              <w:rPr>
                <w:sz w:val="22"/>
                <w:szCs w:val="22"/>
                <w:lang w:val="en-US" w:eastAsia="zh-CN"/>
              </w:rPr>
              <w:t>Worlwide</w:t>
            </w:r>
            <w:proofErr w:type="spellEnd"/>
            <w:r w:rsidRPr="008109C7">
              <w:rPr>
                <w:sz w:val="22"/>
                <w:szCs w:val="22"/>
                <w:lang w:val="en-US" w:eastAsia="zh-CN"/>
              </w:rPr>
              <w:t xml:space="preserve"> Group, Islamabad</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2011-2013</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5,598.45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5,598.45</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Pakistan Institute of Human Rights, Islamabad</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2012-2013</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7,145.15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7,145.15</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Paktel</w:t>
            </w:r>
            <w:proofErr w:type="spellEnd"/>
            <w:r w:rsidRPr="008109C7">
              <w:rPr>
                <w:sz w:val="22"/>
                <w:szCs w:val="22"/>
                <w:lang w:val="en-US" w:eastAsia="zh-CN"/>
              </w:rPr>
              <w:t xml:space="preserve"> Limited, Islamabad</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2007</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7,828.75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7,828.75</w:t>
            </w:r>
          </w:p>
        </w:tc>
      </w:tr>
      <w:tr w:rsidR="008109C7" w:rsidRPr="008109C7" w:rsidTr="008109C7">
        <w:trPr>
          <w:trHeight w:val="300"/>
        </w:trPr>
        <w:tc>
          <w:tcPr>
            <w:tcW w:w="4780" w:type="dxa"/>
            <w:tcBorders>
              <w:top w:val="nil"/>
              <w:left w:val="single" w:sz="4" w:space="0" w:color="auto"/>
              <w:bottom w:val="single" w:sz="4" w:space="0" w:color="auto"/>
              <w:right w:val="nil"/>
            </w:tcBorders>
            <w:shd w:val="clear" w:color="auto" w:fill="auto"/>
            <w:vAlign w:val="bottom"/>
            <w:hideMark/>
          </w:tcPr>
          <w:p w:rsidR="008109C7" w:rsidRPr="008C63E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de-CH" w:eastAsia="zh-CN"/>
              </w:rPr>
            </w:pPr>
            <w:r w:rsidRPr="008C63E7">
              <w:rPr>
                <w:sz w:val="22"/>
                <w:szCs w:val="22"/>
                <w:lang w:val="de-CH" w:eastAsia="zh-CN"/>
              </w:rPr>
              <w:t xml:space="preserve"> - Sysnet Pakistan (Pvt) Ltd., Karachi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2003-2006</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30,924.80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30,924.80</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 xml:space="preserve">Philippines </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PhilCom</w:t>
            </w:r>
            <w:proofErr w:type="spellEnd"/>
            <w:r w:rsidRPr="008109C7">
              <w:rPr>
                <w:sz w:val="22"/>
                <w:szCs w:val="22"/>
                <w:lang w:val="en-US" w:eastAsia="zh-CN"/>
              </w:rPr>
              <w:t>, Makati City</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2007-2009</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7,091.45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7,091.45</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Qatar</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Qatar National Broadband Network, Doha</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2017</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34,972.05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34,972.05</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Romania</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Polytechnic School Bucharest, Bucharest</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2009-2010</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6,666.45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6,666.45</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Russian Federation</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IRPO ACISO, Moscow</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2013-2014</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4,949.85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4,949.85</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Mobix</w:t>
            </w:r>
            <w:proofErr w:type="spellEnd"/>
            <w:r w:rsidRPr="008109C7">
              <w:rPr>
                <w:sz w:val="22"/>
                <w:szCs w:val="22"/>
                <w:lang w:val="en-US" w:eastAsia="zh-CN"/>
              </w:rPr>
              <w:t xml:space="preserve"> Chip LLC, Moscow</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2013-2014</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13,948.60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13,948.60</w:t>
            </w:r>
          </w:p>
        </w:tc>
      </w:tr>
      <w:tr w:rsidR="008109C7" w:rsidRPr="008109C7" w:rsidTr="008109C7">
        <w:trPr>
          <w:trHeight w:val="300"/>
        </w:trPr>
        <w:tc>
          <w:tcPr>
            <w:tcW w:w="4780"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National Telemedicine Agency, Moscow</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2012</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4,387.55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4,387.55</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Saudi Arabia</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Bayanat</w:t>
            </w:r>
            <w:proofErr w:type="spellEnd"/>
            <w:r w:rsidRPr="008109C7">
              <w:rPr>
                <w:sz w:val="22"/>
                <w:szCs w:val="22"/>
                <w:lang w:val="en-US" w:eastAsia="zh-CN"/>
              </w:rPr>
              <w:t xml:space="preserve"> </w:t>
            </w:r>
            <w:proofErr w:type="spellStart"/>
            <w:r w:rsidRPr="008109C7">
              <w:rPr>
                <w:sz w:val="22"/>
                <w:szCs w:val="22"/>
                <w:lang w:val="en-US" w:eastAsia="zh-CN"/>
              </w:rPr>
              <w:t>Aloula</w:t>
            </w:r>
            <w:proofErr w:type="spellEnd"/>
            <w:r w:rsidRPr="008109C7">
              <w:rPr>
                <w:sz w:val="22"/>
                <w:szCs w:val="22"/>
                <w:lang w:val="en-US" w:eastAsia="zh-CN"/>
              </w:rPr>
              <w:t xml:space="preserve"> for Network Services, Riyadh</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2005-2008</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7,220.65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7,220.65</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Electronia</w:t>
            </w:r>
            <w:proofErr w:type="spellEnd"/>
            <w:r w:rsidRPr="008109C7">
              <w:rPr>
                <w:sz w:val="22"/>
                <w:szCs w:val="22"/>
                <w:lang w:val="en-US" w:eastAsia="zh-CN"/>
              </w:rPr>
              <w:t xml:space="preserve">, Ltd., Al </w:t>
            </w:r>
            <w:proofErr w:type="spellStart"/>
            <w:r w:rsidRPr="008109C7">
              <w:rPr>
                <w:sz w:val="22"/>
                <w:szCs w:val="22"/>
                <w:lang w:val="en-US" w:eastAsia="zh-CN"/>
              </w:rPr>
              <w:t>Khubar</w:t>
            </w:r>
            <w:proofErr w:type="spellEnd"/>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2008-2010</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6,593.85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6,593.85</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Saudi Telecom, Riyadh</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2012-2017</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10,640.20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10,640.20</w:t>
            </w:r>
          </w:p>
        </w:tc>
      </w:tr>
      <w:tr w:rsidR="008109C7" w:rsidRPr="008109C7" w:rsidTr="008109C7">
        <w:trPr>
          <w:trHeight w:val="300"/>
        </w:trPr>
        <w:tc>
          <w:tcPr>
            <w:tcW w:w="4780"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Tuwaiq</w:t>
            </w:r>
            <w:proofErr w:type="spellEnd"/>
            <w:r w:rsidRPr="008109C7">
              <w:rPr>
                <w:sz w:val="22"/>
                <w:szCs w:val="22"/>
                <w:lang w:val="en-US" w:eastAsia="zh-CN"/>
              </w:rPr>
              <w:t xml:space="preserve"> Communications Company, Riyadh</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2008-2009</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74,386.05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74,386.05</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Somalia</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Telcom</w:t>
            </w:r>
            <w:proofErr w:type="spellEnd"/>
            <w:r w:rsidRPr="008109C7">
              <w:rPr>
                <w:sz w:val="22"/>
                <w:szCs w:val="22"/>
                <w:lang w:val="en-US" w:eastAsia="zh-CN"/>
              </w:rPr>
              <w:t xml:space="preserve"> Somalia, Mogadishu</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2005-2007</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16,787.35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16,787.35</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South Africa</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Cell C (Pty) Ltd., Benmore</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2004-2007</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521,140.95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521,140.95</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MTN Group, </w:t>
            </w:r>
            <w:proofErr w:type="spellStart"/>
            <w:r w:rsidRPr="008109C7">
              <w:rPr>
                <w:sz w:val="22"/>
                <w:szCs w:val="22"/>
                <w:lang w:val="en-US" w:eastAsia="zh-CN"/>
              </w:rPr>
              <w:t>Sandton</w:t>
            </w:r>
            <w:proofErr w:type="spellEnd"/>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2017</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3,642.95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3,642.95</w:t>
            </w:r>
          </w:p>
        </w:tc>
      </w:tr>
      <w:tr w:rsidR="008109C7" w:rsidRPr="008109C7" w:rsidTr="008109C7">
        <w:trPr>
          <w:trHeight w:val="300"/>
        </w:trPr>
        <w:tc>
          <w:tcPr>
            <w:tcW w:w="4780"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Vodacom SA (Pty) Ltd., </w:t>
            </w:r>
            <w:proofErr w:type="spellStart"/>
            <w:r w:rsidRPr="008109C7">
              <w:rPr>
                <w:sz w:val="22"/>
                <w:szCs w:val="22"/>
                <w:lang w:val="en-US" w:eastAsia="zh-CN"/>
              </w:rPr>
              <w:t>Midrand</w:t>
            </w:r>
            <w:proofErr w:type="spellEnd"/>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2015-2017</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6,453.35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6,453.35</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 xml:space="preserve">Sri Lanka </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8109C7">
              <w:rPr>
                <w:sz w:val="22"/>
                <w:szCs w:val="22"/>
                <w:lang w:val="es-ES_tradnl" w:eastAsia="zh-CN"/>
              </w:rPr>
              <w:t xml:space="preserve"> - Sri Lanka Telecom Ltd., Colombo</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2002-2012</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6,954.45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6,954.45</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Sudan</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Canartel</w:t>
            </w:r>
            <w:proofErr w:type="spellEnd"/>
            <w:r w:rsidRPr="008109C7">
              <w:rPr>
                <w:sz w:val="22"/>
                <w:szCs w:val="22"/>
                <w:lang w:val="en-US" w:eastAsia="zh-CN"/>
              </w:rPr>
              <w:t>, Khartoum</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2013</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49,670.35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49,670.35</w:t>
            </w:r>
          </w:p>
        </w:tc>
      </w:tr>
      <w:tr w:rsidR="008109C7" w:rsidRPr="008109C7" w:rsidTr="008109C7">
        <w:trPr>
          <w:trHeight w:val="6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Garden City College for Science &amp; Technology, Khartoum</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2013-2014</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3,370.40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3,370.40</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Open University of Sudan, Khartoum</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2013-2014</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3,370.40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3,370.40</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Pulse Company Ltd., Khartoum</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2016</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4,633.80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4,633.80</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University of Khartoum, Khartoum</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2013-2014</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3,370.40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3,370.40</w:t>
            </w:r>
          </w:p>
        </w:tc>
      </w:tr>
      <w:tr w:rsidR="008109C7" w:rsidRPr="008109C7" w:rsidTr="008109C7">
        <w:trPr>
          <w:trHeight w:val="300"/>
        </w:trPr>
        <w:tc>
          <w:tcPr>
            <w:tcW w:w="4780" w:type="dxa"/>
            <w:tcBorders>
              <w:top w:val="nil"/>
              <w:left w:val="single" w:sz="4" w:space="0" w:color="auto"/>
              <w:bottom w:val="single" w:sz="4" w:space="0" w:color="auto"/>
              <w:right w:val="nil"/>
            </w:tcBorders>
            <w:shd w:val="clear" w:color="auto" w:fill="auto"/>
            <w:vAlign w:val="bottom"/>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20" w:type="dxa"/>
            <w:tcBorders>
              <w:top w:val="nil"/>
              <w:left w:val="nil"/>
              <w:bottom w:val="single" w:sz="4" w:space="0" w:color="auto"/>
              <w:right w:val="nil"/>
            </w:tcBorders>
            <w:shd w:val="clear" w:color="auto" w:fill="auto"/>
            <w:noWrap/>
            <w:vAlign w:val="bottom"/>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single" w:sz="4" w:space="0" w:color="auto"/>
              <w:bottom w:val="single" w:sz="4" w:space="0" w:color="auto"/>
              <w:right w:val="single" w:sz="4" w:space="0" w:color="auto"/>
            </w:tcBorders>
            <w:shd w:val="clear" w:color="auto" w:fill="auto"/>
            <w:noWrap/>
            <w:vAlign w:val="bottom"/>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single" w:sz="4" w:space="0" w:color="auto"/>
              <w:right w:val="single" w:sz="4" w:space="0" w:color="auto"/>
            </w:tcBorders>
            <w:shd w:val="clear" w:color="auto" w:fill="auto"/>
            <w:noWrap/>
            <w:vAlign w:val="bottom"/>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r>
    </w:tbl>
    <w:p w:rsidR="00421B13" w:rsidRDefault="00421B13">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10760" w:type="dxa"/>
        <w:tblInd w:w="-5" w:type="dxa"/>
        <w:tblLook w:val="04A0" w:firstRow="1" w:lastRow="0" w:firstColumn="1" w:lastColumn="0" w:noHBand="0" w:noVBand="1"/>
      </w:tblPr>
      <w:tblGrid>
        <w:gridCol w:w="4578"/>
        <w:gridCol w:w="48"/>
        <w:gridCol w:w="1672"/>
        <w:gridCol w:w="48"/>
        <w:gridCol w:w="1497"/>
        <w:gridCol w:w="1420"/>
        <w:gridCol w:w="1497"/>
      </w:tblGrid>
      <w:tr w:rsidR="008109C7" w:rsidRPr="008109C7" w:rsidTr="008109C7">
        <w:trPr>
          <w:trHeight w:val="300"/>
        </w:trPr>
        <w:tc>
          <w:tcPr>
            <w:tcW w:w="4578" w:type="dxa"/>
            <w:tcBorders>
              <w:top w:val="single" w:sz="4" w:space="0" w:color="auto"/>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B. Sector Members and other entities</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Year</w:t>
            </w:r>
          </w:p>
        </w:tc>
        <w:tc>
          <w:tcPr>
            <w:tcW w:w="1545" w:type="dxa"/>
            <w:gridSpan w:val="2"/>
            <w:tcBorders>
              <w:top w:val="single" w:sz="4" w:space="0" w:color="auto"/>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Contributions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Publications</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Total</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Sweden</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GlobeTouch</w:t>
            </w:r>
            <w:proofErr w:type="spellEnd"/>
            <w:r w:rsidRPr="008109C7">
              <w:rPr>
                <w:sz w:val="22"/>
                <w:szCs w:val="22"/>
                <w:lang w:val="en-US" w:eastAsia="zh-CN"/>
              </w:rPr>
              <w:t xml:space="preserve"> AB, Stockholm</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2016</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12,356.80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12,356.80</w:t>
            </w:r>
          </w:p>
        </w:tc>
      </w:tr>
      <w:tr w:rsidR="008109C7" w:rsidRPr="008109C7" w:rsidTr="008109C7">
        <w:trPr>
          <w:trHeight w:val="300"/>
        </w:trPr>
        <w:tc>
          <w:tcPr>
            <w:tcW w:w="4578"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UpZide</w:t>
            </w:r>
            <w:proofErr w:type="spellEnd"/>
            <w:r w:rsidRPr="008109C7">
              <w:rPr>
                <w:sz w:val="22"/>
                <w:szCs w:val="22"/>
                <w:lang w:val="en-US" w:eastAsia="zh-CN"/>
              </w:rPr>
              <w:t xml:space="preserve"> Labs AB, Lulea</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2009</w:t>
            </w:r>
          </w:p>
        </w:tc>
        <w:tc>
          <w:tcPr>
            <w:tcW w:w="1545" w:type="dxa"/>
            <w:gridSpan w:val="2"/>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17,528.35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17,528.35</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Switzerland</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578"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ACN Advanced Comm. Networks SA, Neuchatel</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2016</w:t>
            </w:r>
          </w:p>
        </w:tc>
        <w:tc>
          <w:tcPr>
            <w:tcW w:w="1545" w:type="dxa"/>
            <w:gridSpan w:val="2"/>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12,356.80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12,356.80</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Syrian Arab Republic</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600"/>
        </w:trPr>
        <w:tc>
          <w:tcPr>
            <w:tcW w:w="4578"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Arab Regional </w:t>
            </w:r>
            <w:proofErr w:type="spellStart"/>
            <w:r w:rsidRPr="008109C7">
              <w:rPr>
                <w:sz w:val="22"/>
                <w:szCs w:val="22"/>
                <w:lang w:val="en-US" w:eastAsia="zh-CN"/>
              </w:rPr>
              <w:t>Isps</w:t>
            </w:r>
            <w:proofErr w:type="spellEnd"/>
            <w:r w:rsidRPr="008109C7">
              <w:rPr>
                <w:sz w:val="22"/>
                <w:szCs w:val="22"/>
                <w:lang w:val="en-US" w:eastAsia="zh-CN"/>
              </w:rPr>
              <w:t xml:space="preserve"> Association (ARISPA), Manama</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2009</w:t>
            </w:r>
          </w:p>
        </w:tc>
        <w:tc>
          <w:tcPr>
            <w:tcW w:w="1545" w:type="dxa"/>
            <w:gridSpan w:val="2"/>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6,967.55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6,967.55</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Togolese Republic</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6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109C7">
              <w:rPr>
                <w:sz w:val="22"/>
                <w:szCs w:val="22"/>
                <w:lang w:val="fr-CH" w:eastAsia="zh-CN"/>
              </w:rPr>
              <w:t xml:space="preserve"> - Centre </w:t>
            </w:r>
            <w:proofErr w:type="spellStart"/>
            <w:r w:rsidRPr="008109C7">
              <w:rPr>
                <w:sz w:val="22"/>
                <w:szCs w:val="22"/>
                <w:lang w:val="fr-CH" w:eastAsia="zh-CN"/>
              </w:rPr>
              <w:t>Rég</w:t>
            </w:r>
            <w:proofErr w:type="spellEnd"/>
            <w:r w:rsidRPr="008109C7">
              <w:rPr>
                <w:sz w:val="22"/>
                <w:szCs w:val="22"/>
                <w:lang w:val="fr-CH" w:eastAsia="zh-CN"/>
              </w:rPr>
              <w:t xml:space="preserve">. de </w:t>
            </w:r>
            <w:proofErr w:type="spellStart"/>
            <w:r w:rsidRPr="008109C7">
              <w:rPr>
                <w:sz w:val="22"/>
                <w:szCs w:val="22"/>
                <w:lang w:val="fr-CH" w:eastAsia="zh-CN"/>
              </w:rPr>
              <w:t>Maintenan</w:t>
            </w:r>
            <w:proofErr w:type="spellEnd"/>
            <w:r w:rsidRPr="008109C7">
              <w:rPr>
                <w:sz w:val="22"/>
                <w:szCs w:val="22"/>
                <w:lang w:val="fr-CH" w:eastAsia="zh-CN"/>
              </w:rPr>
              <w:t>. des Télécom (CMTL), Lomé</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2003-2007</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236,583.45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236,583.45</w:t>
            </w:r>
          </w:p>
        </w:tc>
      </w:tr>
      <w:tr w:rsidR="008109C7" w:rsidRPr="008109C7" w:rsidTr="008109C7">
        <w:trPr>
          <w:trHeight w:val="300"/>
        </w:trPr>
        <w:tc>
          <w:tcPr>
            <w:tcW w:w="4578"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Togo Telecom, </w:t>
            </w:r>
            <w:proofErr w:type="spellStart"/>
            <w:r w:rsidRPr="008109C7">
              <w:rPr>
                <w:sz w:val="22"/>
                <w:szCs w:val="22"/>
                <w:lang w:val="en-US" w:eastAsia="zh-CN"/>
              </w:rPr>
              <w:t>Lome</w:t>
            </w:r>
            <w:proofErr w:type="spellEnd"/>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2015-2017</w:t>
            </w:r>
          </w:p>
        </w:tc>
        <w:tc>
          <w:tcPr>
            <w:tcW w:w="1545" w:type="dxa"/>
            <w:gridSpan w:val="2"/>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39,731.10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39,731.10</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Tunisia</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8109C7">
              <w:rPr>
                <w:sz w:val="22"/>
                <w:szCs w:val="22"/>
                <w:lang w:val="fr-CH" w:eastAsia="zh-CN"/>
              </w:rPr>
              <w:t xml:space="preserve"> - Ecole Nationale d'Ingénieurs de Tunis, Tunis</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2011-2012</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11,161.44</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11,161.44</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Orascom</w:t>
            </w:r>
            <w:proofErr w:type="spellEnd"/>
            <w:r w:rsidRPr="008109C7">
              <w:rPr>
                <w:sz w:val="22"/>
                <w:szCs w:val="22"/>
                <w:lang w:val="en-US" w:eastAsia="zh-CN"/>
              </w:rPr>
              <w:t xml:space="preserve"> Telecom </w:t>
            </w:r>
            <w:proofErr w:type="spellStart"/>
            <w:r w:rsidRPr="008109C7">
              <w:rPr>
                <w:sz w:val="22"/>
                <w:szCs w:val="22"/>
                <w:lang w:val="en-US" w:eastAsia="zh-CN"/>
              </w:rPr>
              <w:t>Tunisie</w:t>
            </w:r>
            <w:proofErr w:type="spellEnd"/>
            <w:r w:rsidRPr="008109C7">
              <w:rPr>
                <w:sz w:val="22"/>
                <w:szCs w:val="22"/>
                <w:lang w:val="en-US" w:eastAsia="zh-CN"/>
              </w:rPr>
              <w:t>, Tunis</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2013</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5,518.95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5,518.95</w:t>
            </w:r>
          </w:p>
        </w:tc>
      </w:tr>
      <w:tr w:rsidR="008109C7" w:rsidRPr="008109C7" w:rsidTr="008109C7">
        <w:trPr>
          <w:trHeight w:val="300"/>
        </w:trPr>
        <w:tc>
          <w:tcPr>
            <w:tcW w:w="4578"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Telnet </w:t>
            </w:r>
            <w:proofErr w:type="spellStart"/>
            <w:r w:rsidRPr="008109C7">
              <w:rPr>
                <w:sz w:val="22"/>
                <w:szCs w:val="22"/>
                <w:lang w:val="en-US" w:eastAsia="zh-CN"/>
              </w:rPr>
              <w:t>Technocentre</w:t>
            </w:r>
            <w:proofErr w:type="spellEnd"/>
            <w:r w:rsidRPr="008109C7">
              <w:rPr>
                <w:sz w:val="22"/>
                <w:szCs w:val="22"/>
                <w:lang w:val="en-US" w:eastAsia="zh-CN"/>
              </w:rPr>
              <w:t>, Tunis</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2012-2017</w:t>
            </w:r>
          </w:p>
        </w:tc>
        <w:tc>
          <w:tcPr>
            <w:tcW w:w="1545" w:type="dxa"/>
            <w:gridSpan w:val="2"/>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12,532.70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12,532.70</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Ukraine</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578"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Ukrainian National Information Systems, Kiev</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2014-2015</w:t>
            </w:r>
          </w:p>
        </w:tc>
        <w:tc>
          <w:tcPr>
            <w:tcW w:w="1545" w:type="dxa"/>
            <w:gridSpan w:val="2"/>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20,286.04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20,286.04</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United Arab Emirates</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American University in Dubai, Dubai</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2014</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2,603.25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2,603.25</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Higher College of Technology, Abu Dhabi</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2017</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2,185.75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2,185.75</w:t>
            </w:r>
          </w:p>
        </w:tc>
      </w:tr>
      <w:tr w:rsidR="008109C7" w:rsidRPr="008109C7" w:rsidTr="008109C7">
        <w:trPr>
          <w:trHeight w:val="300"/>
        </w:trPr>
        <w:tc>
          <w:tcPr>
            <w:tcW w:w="4578"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Teralight</w:t>
            </w:r>
            <w:proofErr w:type="spellEnd"/>
            <w:r w:rsidRPr="008109C7">
              <w:rPr>
                <w:sz w:val="22"/>
                <w:szCs w:val="22"/>
                <w:lang w:val="en-US" w:eastAsia="zh-CN"/>
              </w:rPr>
              <w:t xml:space="preserve"> FZ LLC, Dubai</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2016</w:t>
            </w:r>
          </w:p>
        </w:tc>
        <w:tc>
          <w:tcPr>
            <w:tcW w:w="1545" w:type="dxa"/>
            <w:gridSpan w:val="2"/>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4,633.80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4,633.80</w:t>
            </w:r>
          </w:p>
        </w:tc>
      </w:tr>
      <w:tr w:rsidR="008109C7" w:rsidRPr="008109C7" w:rsidTr="008109C7">
        <w:trPr>
          <w:trHeight w:val="6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United Kingdom of Great Britain and Northern Ireland</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6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KRE Corporate Recovery LLP (Ex. ICO Satellite Limited), Berks</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2012-2013</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26,815.50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26,815.50</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Malden Electronics, </w:t>
            </w:r>
            <w:proofErr w:type="spellStart"/>
            <w:r w:rsidRPr="008109C7">
              <w:rPr>
                <w:sz w:val="22"/>
                <w:szCs w:val="22"/>
                <w:lang w:val="en-US" w:eastAsia="zh-CN"/>
              </w:rPr>
              <w:t>Ewell</w:t>
            </w:r>
            <w:proofErr w:type="spellEnd"/>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2016</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12,356.80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12,356.80</w:t>
            </w:r>
          </w:p>
        </w:tc>
      </w:tr>
      <w:tr w:rsidR="008109C7" w:rsidRPr="008109C7" w:rsidTr="008109C7">
        <w:trPr>
          <w:trHeight w:val="300"/>
        </w:trPr>
        <w:tc>
          <w:tcPr>
            <w:tcW w:w="4578"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Times Publications Ltd., London</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1998-2002</w:t>
            </w:r>
          </w:p>
        </w:tc>
        <w:tc>
          <w:tcPr>
            <w:tcW w:w="1545" w:type="dxa"/>
            <w:gridSpan w:val="2"/>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82,607.95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82,607.95</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United States of America</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xml:space="preserve"> </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Actiontec Electronics, Inc., Sunnyvale</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2008</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19,694.85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19,694.85</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Animatele</w:t>
            </w:r>
            <w:proofErr w:type="spellEnd"/>
            <w:r w:rsidRPr="008109C7">
              <w:rPr>
                <w:sz w:val="22"/>
                <w:szCs w:val="22"/>
                <w:lang w:val="en-US" w:eastAsia="zh-CN"/>
              </w:rPr>
              <w:t xml:space="preserve"> Inc., New York</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2011</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16,536.20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16,536.20</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AOL, New York</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2002-2003</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201,335.45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201,335.45</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Applied Micro Circuits Corporation, Andover</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2017</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34,972.05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34,972.05</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Calient</w:t>
            </w:r>
            <w:proofErr w:type="spellEnd"/>
            <w:r w:rsidRPr="008109C7">
              <w:rPr>
                <w:sz w:val="22"/>
                <w:szCs w:val="22"/>
                <w:lang w:val="en-US" w:eastAsia="zh-CN"/>
              </w:rPr>
              <w:t xml:space="preserve"> Networks Inc., San José</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2003-2006</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288,165.80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288,165.80</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Compuware Corporation, Detroit</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2009-2010</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13,325.35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13,325.35</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ConceroConnect</w:t>
            </w:r>
            <w:proofErr w:type="spellEnd"/>
            <w:r w:rsidRPr="008109C7">
              <w:rPr>
                <w:sz w:val="22"/>
                <w:szCs w:val="22"/>
                <w:lang w:val="en-US" w:eastAsia="zh-CN"/>
              </w:rPr>
              <w:t xml:space="preserve">, L3C, Park City </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2015</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9,823.70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9,823.70</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Conversay</w:t>
            </w:r>
            <w:proofErr w:type="spellEnd"/>
            <w:r w:rsidRPr="008109C7">
              <w:rPr>
                <w:sz w:val="22"/>
                <w:szCs w:val="22"/>
                <w:lang w:val="en-US" w:eastAsia="zh-CN"/>
              </w:rPr>
              <w:t>, Redmond</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2007-2008</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79,370.25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79,370.25</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Covad</w:t>
            </w:r>
            <w:proofErr w:type="spellEnd"/>
            <w:r w:rsidRPr="008109C7">
              <w:rPr>
                <w:sz w:val="22"/>
                <w:szCs w:val="22"/>
                <w:lang w:val="en-US" w:eastAsia="zh-CN"/>
              </w:rPr>
              <w:t xml:space="preserve"> Communications Company, San José</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2001-2002</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126,087.80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126,087.80</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Cypress Semiconductor Corp., San José</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2004-2005</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37,787.65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37,787.65</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Dynasat</w:t>
            </w:r>
            <w:proofErr w:type="spellEnd"/>
            <w:r w:rsidRPr="008109C7">
              <w:rPr>
                <w:sz w:val="22"/>
                <w:szCs w:val="22"/>
                <w:lang w:val="en-US" w:eastAsia="zh-CN"/>
              </w:rPr>
              <w:t xml:space="preserve"> Inc., Austin TX</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2016</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9,267.65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9,267.65</w:t>
            </w:r>
          </w:p>
        </w:tc>
      </w:tr>
      <w:tr w:rsidR="008109C7" w:rsidRPr="008109C7" w:rsidTr="008109C7">
        <w:trPr>
          <w:trHeight w:val="300"/>
        </w:trPr>
        <w:tc>
          <w:tcPr>
            <w:tcW w:w="4578" w:type="dxa"/>
            <w:tcBorders>
              <w:top w:val="nil"/>
              <w:left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E-MAC Corporation, Arlington</w:t>
            </w:r>
          </w:p>
        </w:tc>
        <w:tc>
          <w:tcPr>
            <w:tcW w:w="1720" w:type="dxa"/>
            <w:gridSpan w:val="2"/>
            <w:tcBorders>
              <w:top w:val="nil"/>
              <w:left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2005-2007</w:t>
            </w:r>
          </w:p>
        </w:tc>
        <w:tc>
          <w:tcPr>
            <w:tcW w:w="1545" w:type="dxa"/>
            <w:gridSpan w:val="2"/>
            <w:tcBorders>
              <w:top w:val="nil"/>
              <w:left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47,997.80</w:t>
            </w:r>
          </w:p>
        </w:tc>
        <w:tc>
          <w:tcPr>
            <w:tcW w:w="1420" w:type="dxa"/>
            <w:tcBorders>
              <w:top w:val="nil"/>
              <w:left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47,997.80</w:t>
            </w:r>
          </w:p>
        </w:tc>
      </w:tr>
      <w:tr w:rsidR="008109C7" w:rsidRPr="008109C7" w:rsidTr="008109C7">
        <w:trPr>
          <w:trHeight w:val="300"/>
        </w:trPr>
        <w:tc>
          <w:tcPr>
            <w:tcW w:w="4578"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EnVerv</w:t>
            </w:r>
            <w:proofErr w:type="spellEnd"/>
            <w:r w:rsidRPr="008109C7">
              <w:rPr>
                <w:sz w:val="22"/>
                <w:szCs w:val="22"/>
                <w:lang w:val="en-US" w:eastAsia="zh-CN"/>
              </w:rPr>
              <w:t xml:space="preserve"> Inc., Milpitas</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2015</w:t>
            </w:r>
          </w:p>
        </w:tc>
        <w:tc>
          <w:tcPr>
            <w:tcW w:w="1545" w:type="dxa"/>
            <w:gridSpan w:val="2"/>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13,098.20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13,098.20</w:t>
            </w:r>
          </w:p>
        </w:tc>
      </w:tr>
      <w:tr w:rsidR="008109C7" w:rsidRPr="008109C7" w:rsidTr="008109C7">
        <w:trPr>
          <w:trHeight w:val="300"/>
        </w:trPr>
        <w:tc>
          <w:tcPr>
            <w:tcW w:w="4626" w:type="dxa"/>
            <w:gridSpan w:val="2"/>
            <w:tcBorders>
              <w:top w:val="single" w:sz="4" w:space="0" w:color="auto"/>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B. Sector Members and other entities</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Year</w:t>
            </w:r>
          </w:p>
        </w:tc>
        <w:tc>
          <w:tcPr>
            <w:tcW w:w="1497" w:type="dxa"/>
            <w:tcBorders>
              <w:top w:val="single" w:sz="4" w:space="0" w:color="auto"/>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Contributions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Publications</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Total</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ESS Technology Inc., Fremont</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2004</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69,671.05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69,671.05</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Extreme Networks, Santa Clara</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3,899.90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3,899.90</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Ezenia</w:t>
            </w:r>
            <w:proofErr w:type="spellEnd"/>
            <w:r w:rsidRPr="008109C7">
              <w:rPr>
                <w:sz w:val="22"/>
                <w:szCs w:val="22"/>
                <w:lang w:val="en-US" w:eastAsia="zh-CN"/>
              </w:rPr>
              <w:t xml:space="preserve"> Inc., Salem</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2000-2006</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371,452.25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371,452.25</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Graphnet</w:t>
            </w:r>
            <w:proofErr w:type="spellEnd"/>
            <w:r w:rsidRPr="008109C7">
              <w:rPr>
                <w:sz w:val="22"/>
                <w:szCs w:val="22"/>
                <w:lang w:val="en-US" w:eastAsia="zh-CN"/>
              </w:rPr>
              <w:t xml:space="preserve"> Inc., New York</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1987-2002</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1,460,690.10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1,460,690.10</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Ikanos</w:t>
            </w:r>
            <w:proofErr w:type="spellEnd"/>
            <w:r w:rsidRPr="008109C7">
              <w:rPr>
                <w:sz w:val="22"/>
                <w:szCs w:val="22"/>
                <w:lang w:val="en-US" w:eastAsia="zh-CN"/>
              </w:rPr>
              <w:t xml:space="preserve"> Communications, Red Bank NJ</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2016</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37,070.35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37,070.35</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ITXC Corporation, Princeton</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68,143.85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68,143.85</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Lighsand</w:t>
            </w:r>
            <w:proofErr w:type="spellEnd"/>
            <w:r w:rsidRPr="008109C7">
              <w:rPr>
                <w:sz w:val="22"/>
                <w:szCs w:val="22"/>
                <w:lang w:val="en-US" w:eastAsia="zh-CN"/>
              </w:rPr>
              <w:t xml:space="preserve"> Communications Inc., Plano</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2001-2002</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18,522.75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18,522.75</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Lightwaves</w:t>
            </w:r>
            <w:proofErr w:type="spellEnd"/>
            <w:r w:rsidRPr="008109C7">
              <w:rPr>
                <w:sz w:val="22"/>
                <w:szCs w:val="22"/>
                <w:lang w:val="en-US" w:eastAsia="zh-CN"/>
              </w:rPr>
              <w:t xml:space="preserve"> Inc., Austin</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2009</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18,580.05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18,580.05</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Navajo Nation </w:t>
            </w:r>
            <w:proofErr w:type="spellStart"/>
            <w:r w:rsidRPr="008109C7">
              <w:rPr>
                <w:sz w:val="22"/>
                <w:szCs w:val="22"/>
                <w:lang w:val="en-US" w:eastAsia="zh-CN"/>
              </w:rPr>
              <w:t>Telecommunicat</w:t>
            </w:r>
            <w:proofErr w:type="spellEnd"/>
            <w:r w:rsidRPr="008109C7">
              <w:rPr>
                <w:sz w:val="22"/>
                <w:szCs w:val="22"/>
                <w:lang w:val="en-US" w:eastAsia="zh-CN"/>
              </w:rPr>
              <w:t>., Window Rock</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2017</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8,743.05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8,743.05</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Nextwave</w:t>
            </w:r>
            <w:proofErr w:type="spellEnd"/>
            <w:r w:rsidRPr="008109C7">
              <w:rPr>
                <w:sz w:val="22"/>
                <w:szCs w:val="22"/>
                <w:lang w:val="en-US" w:eastAsia="zh-CN"/>
              </w:rPr>
              <w:t xml:space="preserve"> Wireless Inc., San Diego</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2009</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31,339.85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31,339.85</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Nortel Networks USA, Richardson</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2009</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29,812.50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29,812.50</w:t>
            </w:r>
          </w:p>
        </w:tc>
      </w:tr>
      <w:tr w:rsidR="008109C7" w:rsidRPr="008109C7" w:rsidTr="008109C7">
        <w:trPr>
          <w:trHeight w:val="6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Overture Networks Inc. (Ex. </w:t>
            </w:r>
            <w:proofErr w:type="spellStart"/>
            <w:r w:rsidRPr="008109C7">
              <w:rPr>
                <w:sz w:val="22"/>
                <w:szCs w:val="22"/>
                <w:lang w:val="en-US" w:eastAsia="zh-CN"/>
              </w:rPr>
              <w:t>Ceterus</w:t>
            </w:r>
            <w:proofErr w:type="spellEnd"/>
            <w:r w:rsidRPr="008109C7">
              <w:rPr>
                <w:sz w:val="22"/>
                <w:szCs w:val="22"/>
                <w:lang w:val="en-US" w:eastAsia="zh-CN"/>
              </w:rPr>
              <w:t xml:space="preserve"> &amp; Hatteras Networks ), Morrisville</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36,505.90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36,505.90</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Range Networks, Inc., Santa Clara</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2013-2014</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13,930.50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13,930.50</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Razoom</w:t>
            </w:r>
            <w:proofErr w:type="spellEnd"/>
            <w:r w:rsidRPr="008109C7">
              <w:rPr>
                <w:sz w:val="22"/>
                <w:szCs w:val="22"/>
                <w:lang w:val="en-US" w:eastAsia="zh-CN"/>
              </w:rPr>
              <w:t xml:space="preserve"> Inc., Palo Alto</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17,528.35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17,528.35</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Teraburst</w:t>
            </w:r>
            <w:proofErr w:type="spellEnd"/>
            <w:r w:rsidRPr="008109C7">
              <w:rPr>
                <w:sz w:val="22"/>
                <w:szCs w:val="22"/>
                <w:lang w:val="en-US" w:eastAsia="zh-CN"/>
              </w:rPr>
              <w:t xml:space="preserve"> Networks Inc., Sunnyvale</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108,671.25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108,671.25</w:t>
            </w:r>
          </w:p>
        </w:tc>
      </w:tr>
      <w:tr w:rsidR="008109C7" w:rsidRPr="008109C7" w:rsidTr="008109C7">
        <w:trPr>
          <w:trHeight w:val="6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The Gores Technology Group LLC (Ex. </w:t>
            </w:r>
            <w:proofErr w:type="spellStart"/>
            <w:r w:rsidRPr="008109C7">
              <w:rPr>
                <w:sz w:val="22"/>
                <w:szCs w:val="22"/>
                <w:lang w:val="en-US" w:eastAsia="zh-CN"/>
              </w:rPr>
              <w:t>Forgent</w:t>
            </w:r>
            <w:proofErr w:type="spellEnd"/>
            <w:r w:rsidRPr="008109C7">
              <w:rPr>
                <w:sz w:val="22"/>
                <w:szCs w:val="22"/>
                <w:lang w:val="en-US" w:eastAsia="zh-CN"/>
              </w:rPr>
              <w:t xml:space="preserve"> Networks Inc.), Los Angeles</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1998-2006</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424,948.00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424,948.00</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The Village Group Inc., Waltham</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14,808.20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14,808.20</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UTStarcom, Inc., Fremont</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2004-2010</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59,180.75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59,180.75</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8109C7">
              <w:rPr>
                <w:sz w:val="22"/>
                <w:szCs w:val="22"/>
                <w:lang w:val="es-ES_tradnl" w:eastAsia="zh-CN"/>
              </w:rPr>
              <w:t xml:space="preserve"> - Visible </w:t>
            </w:r>
            <w:proofErr w:type="spellStart"/>
            <w:r w:rsidRPr="008109C7">
              <w:rPr>
                <w:sz w:val="22"/>
                <w:szCs w:val="22"/>
                <w:lang w:val="es-ES_tradnl" w:eastAsia="zh-CN"/>
              </w:rPr>
              <w:t>Energy</w:t>
            </w:r>
            <w:proofErr w:type="spellEnd"/>
            <w:r w:rsidRPr="008109C7">
              <w:rPr>
                <w:sz w:val="22"/>
                <w:szCs w:val="22"/>
                <w:lang w:val="es-ES_tradnl" w:eastAsia="zh-CN"/>
              </w:rPr>
              <w:t xml:space="preserve"> Inc., Palo Alto</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16,067.10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16,067.10</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Vocal Technologies Ltd., Amherst</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429,656.80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429,656.80</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WI-FI Alliance, Austin</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2013</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44,151.35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44,151.35</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Xerox Ltd., Washington</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80,332.05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80,332.05</w:t>
            </w:r>
          </w:p>
        </w:tc>
      </w:tr>
      <w:tr w:rsidR="008109C7" w:rsidRPr="008109C7" w:rsidTr="008109C7">
        <w:trPr>
          <w:trHeight w:val="300"/>
        </w:trPr>
        <w:tc>
          <w:tcPr>
            <w:tcW w:w="4626" w:type="dxa"/>
            <w:gridSpan w:val="2"/>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Zhone</w:t>
            </w:r>
            <w:proofErr w:type="spellEnd"/>
            <w:r w:rsidRPr="008109C7">
              <w:rPr>
                <w:sz w:val="22"/>
                <w:szCs w:val="22"/>
                <w:lang w:val="en-US" w:eastAsia="zh-CN"/>
              </w:rPr>
              <w:t xml:space="preserve"> Technologies, Oakland</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2002-2005</w:t>
            </w:r>
          </w:p>
        </w:tc>
        <w:tc>
          <w:tcPr>
            <w:tcW w:w="1497"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272,851.85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272,851.85</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Uzbekistan</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600"/>
        </w:trPr>
        <w:tc>
          <w:tcPr>
            <w:tcW w:w="4626" w:type="dxa"/>
            <w:gridSpan w:val="2"/>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Tashkent University of Information Technologies, Tashkent</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2014</w:t>
            </w:r>
          </w:p>
        </w:tc>
        <w:tc>
          <w:tcPr>
            <w:tcW w:w="1497"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2,603.25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2,603.25</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Zambia</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626" w:type="dxa"/>
            <w:gridSpan w:val="2"/>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Airtel Zambia, Lusaka</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2014</w:t>
            </w:r>
          </w:p>
        </w:tc>
        <w:tc>
          <w:tcPr>
            <w:tcW w:w="1497"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84,614.00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84,614.00</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Zimbabwe</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w:t>
            </w:r>
            <w:proofErr w:type="spellStart"/>
            <w:r w:rsidRPr="008109C7">
              <w:rPr>
                <w:sz w:val="22"/>
                <w:szCs w:val="22"/>
                <w:lang w:val="en-US" w:eastAsia="zh-CN"/>
              </w:rPr>
              <w:t>NetOne</w:t>
            </w:r>
            <w:proofErr w:type="spellEnd"/>
            <w:r w:rsidRPr="008109C7">
              <w:rPr>
                <w:sz w:val="22"/>
                <w:szCs w:val="22"/>
                <w:lang w:val="en-US" w:eastAsia="zh-CN"/>
              </w:rPr>
              <w:t xml:space="preserve"> Cellular Ltd., Harare</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318,637.98</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318,637.98</w:t>
            </w:r>
          </w:p>
        </w:tc>
      </w:tr>
      <w:tr w:rsidR="008109C7" w:rsidRPr="008109C7" w:rsidTr="008109C7">
        <w:trPr>
          <w:trHeight w:val="300"/>
        </w:trPr>
        <w:tc>
          <w:tcPr>
            <w:tcW w:w="4626" w:type="dxa"/>
            <w:gridSpan w:val="2"/>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University of Zimbabwe, Harare</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2008-2009</w:t>
            </w:r>
          </w:p>
        </w:tc>
        <w:tc>
          <w:tcPr>
            <w:tcW w:w="1497"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22,436.70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22,436.70</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Resolution 99 (Rev. Busan, 2014)</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626" w:type="dxa"/>
            <w:gridSpan w:val="2"/>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BCI </w:t>
            </w:r>
            <w:proofErr w:type="spellStart"/>
            <w:r w:rsidRPr="008109C7">
              <w:rPr>
                <w:sz w:val="22"/>
                <w:szCs w:val="22"/>
                <w:lang w:val="en-US" w:eastAsia="zh-CN"/>
              </w:rPr>
              <w:t>Communicat</w:t>
            </w:r>
            <w:proofErr w:type="spellEnd"/>
            <w:r w:rsidRPr="008109C7">
              <w:rPr>
                <w:sz w:val="22"/>
                <w:szCs w:val="22"/>
                <w:lang w:val="en-US" w:eastAsia="zh-CN"/>
              </w:rPr>
              <w:t>. &amp; Advanced Tech., Ramallah</w:t>
            </w:r>
          </w:p>
        </w:tc>
        <w:tc>
          <w:tcPr>
            <w:tcW w:w="1720" w:type="dxa"/>
            <w:gridSpan w:val="2"/>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9,272.15</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9,272.15</w:t>
            </w:r>
          </w:p>
        </w:tc>
      </w:tr>
      <w:tr w:rsidR="008109C7" w:rsidRPr="008109C7" w:rsidTr="008109C7">
        <w:trPr>
          <w:trHeight w:val="300"/>
        </w:trPr>
        <w:tc>
          <w:tcPr>
            <w:tcW w:w="4626" w:type="dxa"/>
            <w:gridSpan w:val="2"/>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97"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11,197,697.78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11,197,697.78</w:t>
            </w:r>
          </w:p>
        </w:tc>
      </w:tr>
    </w:tbl>
    <w:p w:rsidR="00421B13" w:rsidRDefault="00421B13">
      <w:pPr>
        <w:tabs>
          <w:tab w:val="clear" w:pos="567"/>
          <w:tab w:val="clear" w:pos="1134"/>
          <w:tab w:val="clear" w:pos="1701"/>
          <w:tab w:val="clear" w:pos="2268"/>
          <w:tab w:val="clear" w:pos="2835"/>
        </w:tabs>
        <w:overflowPunct/>
        <w:autoSpaceDE/>
        <w:autoSpaceDN/>
        <w:adjustRightInd/>
        <w:spacing w:before="0"/>
        <w:textAlignment w:val="auto"/>
      </w:pPr>
      <w:r>
        <w:br w:type="page"/>
      </w:r>
    </w:p>
    <w:p w:rsidR="008109C7" w:rsidRDefault="008109C7" w:rsidP="00550C38"/>
    <w:tbl>
      <w:tblPr>
        <w:tblW w:w="10760" w:type="dxa"/>
        <w:tblInd w:w="-5" w:type="dxa"/>
        <w:tblLook w:val="04A0" w:firstRow="1" w:lastRow="0" w:firstColumn="1" w:lastColumn="0" w:noHBand="0" w:noVBand="1"/>
      </w:tblPr>
      <w:tblGrid>
        <w:gridCol w:w="4780"/>
        <w:gridCol w:w="1720"/>
        <w:gridCol w:w="1497"/>
        <w:gridCol w:w="1420"/>
        <w:gridCol w:w="1497"/>
      </w:tblGrid>
      <w:tr w:rsidR="008109C7" w:rsidRPr="008109C7" w:rsidTr="008109C7">
        <w:trPr>
          <w:trHeight w:val="300"/>
        </w:trPr>
        <w:tc>
          <w:tcPr>
            <w:tcW w:w="4780" w:type="dxa"/>
            <w:tcBorders>
              <w:top w:val="single" w:sz="4" w:space="0" w:color="auto"/>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C. Other Debtors</w:t>
            </w:r>
          </w:p>
        </w:tc>
        <w:tc>
          <w:tcPr>
            <w:tcW w:w="1720" w:type="dxa"/>
            <w:tcBorders>
              <w:top w:val="single" w:sz="4" w:space="0" w:color="auto"/>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Year</w:t>
            </w:r>
          </w:p>
        </w:tc>
        <w:tc>
          <w:tcPr>
            <w:tcW w:w="1420" w:type="dxa"/>
            <w:tcBorders>
              <w:top w:val="single" w:sz="4" w:space="0" w:color="auto"/>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Contributions</w:t>
            </w:r>
          </w:p>
        </w:tc>
        <w:tc>
          <w:tcPr>
            <w:tcW w:w="1420" w:type="dxa"/>
            <w:tcBorders>
              <w:top w:val="single" w:sz="4" w:space="0" w:color="auto"/>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Publications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8109C7">
              <w:rPr>
                <w:b/>
                <w:bCs/>
                <w:sz w:val="22"/>
                <w:szCs w:val="22"/>
                <w:lang w:val="en-US" w:eastAsia="zh-CN"/>
              </w:rPr>
              <w:t>Total</w:t>
            </w:r>
          </w:p>
        </w:tc>
      </w:tr>
      <w:tr w:rsidR="008109C7" w:rsidRPr="008109C7" w:rsidTr="008109C7">
        <w:trPr>
          <w:trHeight w:val="30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30"/>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xml:space="preserve"> - Ministry of Information, Riyadh</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2011</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5,073.15</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5,073.15</w:t>
            </w:r>
          </w:p>
        </w:tc>
      </w:tr>
      <w:tr w:rsidR="008109C7" w:rsidRPr="008109C7" w:rsidTr="008109C7">
        <w:trPr>
          <w:trHeight w:val="285"/>
        </w:trPr>
        <w:tc>
          <w:tcPr>
            <w:tcW w:w="4780"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single" w:sz="4" w:space="0" w:color="auto"/>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5,073.15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5,073.15</w:t>
            </w:r>
          </w:p>
        </w:tc>
      </w:tr>
      <w:tr w:rsidR="008109C7" w:rsidRPr="008109C7" w:rsidTr="008109C7">
        <w:trPr>
          <w:trHeight w:val="300"/>
        </w:trPr>
        <w:tc>
          <w:tcPr>
            <w:tcW w:w="4780" w:type="dxa"/>
            <w:tcBorders>
              <w:top w:val="nil"/>
              <w:left w:val="nil"/>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7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109C7" w:rsidRPr="008109C7" w:rsidTr="008109C7">
        <w:trPr>
          <w:trHeight w:val="375"/>
        </w:trPr>
        <w:tc>
          <w:tcPr>
            <w:tcW w:w="4780" w:type="dxa"/>
            <w:tcBorders>
              <w:top w:val="single" w:sz="4" w:space="0" w:color="auto"/>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D. Other Miscellaneous Debtors*</w:t>
            </w:r>
          </w:p>
        </w:tc>
        <w:tc>
          <w:tcPr>
            <w:tcW w:w="1720" w:type="dxa"/>
            <w:tcBorders>
              <w:top w:val="single" w:sz="4" w:space="0" w:color="auto"/>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47,365.01</w:t>
            </w:r>
          </w:p>
        </w:tc>
        <w:tc>
          <w:tcPr>
            <w:tcW w:w="1420" w:type="dxa"/>
            <w:tcBorders>
              <w:top w:val="single" w:sz="4" w:space="0" w:color="auto"/>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48,870.05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96,235.06</w:t>
            </w:r>
          </w:p>
        </w:tc>
      </w:tr>
      <w:tr w:rsidR="008109C7" w:rsidRPr="008109C7" w:rsidTr="008109C7">
        <w:trPr>
          <w:trHeight w:val="375"/>
        </w:trPr>
        <w:tc>
          <w:tcPr>
            <w:tcW w:w="4780" w:type="dxa"/>
            <w:tcBorders>
              <w:top w:val="nil"/>
              <w:left w:val="single" w:sz="4" w:space="0" w:color="auto"/>
              <w:bottom w:val="nil"/>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7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single" w:sz="4" w:space="0" w:color="auto"/>
              <w:bottom w:val="nil"/>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8109C7" w:rsidRPr="008109C7" w:rsidTr="008109C7">
        <w:trPr>
          <w:trHeight w:val="300"/>
        </w:trPr>
        <w:tc>
          <w:tcPr>
            <w:tcW w:w="4780" w:type="dxa"/>
            <w:tcBorders>
              <w:top w:val="nil"/>
              <w:left w:val="single" w:sz="4" w:space="0" w:color="auto"/>
              <w:bottom w:val="single" w:sz="4" w:space="0" w:color="auto"/>
              <w:right w:val="nil"/>
            </w:tcBorders>
            <w:shd w:val="clear" w:color="auto" w:fill="auto"/>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8109C7">
              <w:rPr>
                <w:b/>
                <w:bCs/>
                <w:sz w:val="22"/>
                <w:szCs w:val="22"/>
                <w:lang w:val="en-US" w:eastAsia="zh-CN"/>
              </w:rPr>
              <w:t>Total at 31.12.2018</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20" w:type="dxa"/>
            <w:tcBorders>
              <w:top w:val="nil"/>
              <w:left w:val="nil"/>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19,895,718.36</w:t>
            </w:r>
          </w:p>
        </w:tc>
        <w:tc>
          <w:tcPr>
            <w:tcW w:w="1420" w:type="dxa"/>
            <w:tcBorders>
              <w:top w:val="nil"/>
              <w:left w:val="nil"/>
              <w:bottom w:val="single" w:sz="4" w:space="0" w:color="auto"/>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92,805.00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8109C7">
              <w:rPr>
                <w:sz w:val="22"/>
                <w:szCs w:val="22"/>
                <w:lang w:val="en-US" w:eastAsia="zh-CN"/>
              </w:rPr>
              <w:t>19,988,523.36</w:t>
            </w:r>
          </w:p>
        </w:tc>
      </w:tr>
      <w:tr w:rsidR="008109C7" w:rsidRPr="008109C7" w:rsidTr="008109C7">
        <w:trPr>
          <w:trHeight w:val="300"/>
        </w:trPr>
        <w:tc>
          <w:tcPr>
            <w:tcW w:w="478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7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8109C7">
              <w:rPr>
                <w:color w:val="000000"/>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8109C7" w:rsidRPr="008109C7" w:rsidTr="008109C7">
        <w:trPr>
          <w:trHeight w:val="255"/>
        </w:trPr>
        <w:tc>
          <w:tcPr>
            <w:tcW w:w="10760" w:type="dxa"/>
            <w:gridSpan w:val="5"/>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8109C7">
              <w:rPr>
                <w:sz w:val="20"/>
                <w:lang w:val="en-US" w:eastAsia="zh-CN"/>
              </w:rPr>
              <w:t>* Includes debtors with amounts below CHF 5 000 for Member States of the Union and CHF 2000 for Sector Members, other</w:t>
            </w:r>
          </w:p>
        </w:tc>
      </w:tr>
      <w:tr w:rsidR="008109C7" w:rsidRPr="008109C7" w:rsidTr="008109C7">
        <w:trPr>
          <w:trHeight w:val="255"/>
        </w:trPr>
        <w:tc>
          <w:tcPr>
            <w:tcW w:w="478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8109C7">
              <w:rPr>
                <w:sz w:val="20"/>
                <w:lang w:val="en-US" w:eastAsia="zh-CN"/>
              </w:rPr>
              <w:t xml:space="preserve">   </w:t>
            </w:r>
            <w:proofErr w:type="gramStart"/>
            <w:r w:rsidRPr="008109C7">
              <w:rPr>
                <w:sz w:val="20"/>
                <w:lang w:val="en-US" w:eastAsia="zh-CN"/>
              </w:rPr>
              <w:t>entities</w:t>
            </w:r>
            <w:proofErr w:type="gramEnd"/>
            <w:r w:rsidRPr="008109C7">
              <w:rPr>
                <w:sz w:val="20"/>
                <w:lang w:val="en-US" w:eastAsia="zh-CN"/>
              </w:rPr>
              <w:t xml:space="preserve"> or organizations and other debtors.</w:t>
            </w:r>
          </w:p>
        </w:tc>
        <w:tc>
          <w:tcPr>
            <w:tcW w:w="17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20" w:type="dxa"/>
            <w:tcBorders>
              <w:top w:val="nil"/>
              <w:left w:val="nil"/>
              <w:bottom w:val="nil"/>
              <w:right w:val="nil"/>
            </w:tcBorders>
            <w:shd w:val="clear" w:color="auto" w:fill="auto"/>
            <w:noWrap/>
            <w:vAlign w:val="bottom"/>
            <w:hideMark/>
          </w:tcPr>
          <w:p w:rsidR="008109C7" w:rsidRPr="008109C7" w:rsidRDefault="008109C7" w:rsidP="008109C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bl>
    <w:p w:rsidR="000131DC" w:rsidRPr="00D12580" w:rsidRDefault="00AF2F44" w:rsidP="00550C38">
      <w:pPr>
        <w:rPr>
          <w:b/>
          <w:bCs/>
          <w:szCs w:val="24"/>
        </w:rPr>
        <w:sectPr w:rsidR="000131DC" w:rsidRPr="00D12580" w:rsidSect="00A01049">
          <w:footerReference w:type="first" r:id="rId62"/>
          <w:pgSz w:w="12240" w:h="15840" w:code="1"/>
          <w:pgMar w:top="1134" w:right="1134" w:bottom="1021" w:left="680" w:header="709" w:footer="709" w:gutter="0"/>
          <w:cols w:space="708"/>
          <w:docGrid w:linePitch="360"/>
        </w:sectPr>
      </w:pPr>
      <w:r>
        <w:br w:type="page"/>
      </w:r>
    </w:p>
    <w:p w:rsidR="006229F9" w:rsidRPr="00CF2CE4" w:rsidRDefault="006229F9" w:rsidP="00CF2CE4">
      <w:pPr>
        <w:spacing w:after="120"/>
        <w:jc w:val="center"/>
        <w:rPr>
          <w:sz w:val="28"/>
          <w:szCs w:val="28"/>
        </w:rPr>
      </w:pPr>
      <w:r w:rsidRPr="00CF2CE4">
        <w:rPr>
          <w:b/>
          <w:bCs/>
          <w:sz w:val="28"/>
          <w:szCs w:val="28"/>
        </w:rPr>
        <w:t>A</w:t>
      </w:r>
      <w:r w:rsidR="00CF2CE4">
        <w:rPr>
          <w:b/>
          <w:bCs/>
          <w:sz w:val="28"/>
          <w:szCs w:val="28"/>
        </w:rPr>
        <w:t>mounts due in respect of special arrears accounts (repayment agreements)</w:t>
      </w:r>
    </w:p>
    <w:tbl>
      <w:tblPr>
        <w:tblW w:w="5000" w:type="pct"/>
        <w:tblLook w:val="04A0" w:firstRow="1" w:lastRow="0" w:firstColumn="1" w:lastColumn="0" w:noHBand="0" w:noVBand="1"/>
      </w:tblPr>
      <w:tblGrid>
        <w:gridCol w:w="3650"/>
        <w:gridCol w:w="1688"/>
        <w:gridCol w:w="1731"/>
        <w:gridCol w:w="1433"/>
        <w:gridCol w:w="1560"/>
        <w:gridCol w:w="1433"/>
        <w:gridCol w:w="1433"/>
        <w:gridCol w:w="1462"/>
      </w:tblGrid>
      <w:tr w:rsidR="00F26EC2" w:rsidRPr="00F26EC2" w:rsidTr="00F26EC2">
        <w:trPr>
          <w:trHeight w:val="510"/>
        </w:trPr>
        <w:tc>
          <w:tcPr>
            <w:tcW w:w="1268" w:type="pct"/>
            <w:tcBorders>
              <w:top w:val="single" w:sz="4" w:space="0" w:color="auto"/>
              <w:left w:val="single" w:sz="4" w:space="0" w:color="auto"/>
              <w:bottom w:val="nil"/>
              <w:right w:val="nil"/>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Member States - Sector Members/</w:t>
            </w:r>
          </w:p>
        </w:tc>
        <w:tc>
          <w:tcPr>
            <w:tcW w:w="586" w:type="pct"/>
            <w:tcBorders>
              <w:top w:val="single" w:sz="4" w:space="0" w:color="auto"/>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PP Resolutions</w:t>
            </w:r>
          </w:p>
        </w:tc>
        <w:tc>
          <w:tcPr>
            <w:tcW w:w="601" w:type="pct"/>
            <w:tcBorders>
              <w:top w:val="single" w:sz="4" w:space="0" w:color="auto"/>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Transfer to</w:t>
            </w:r>
          </w:p>
        </w:tc>
        <w:tc>
          <w:tcPr>
            <w:tcW w:w="498" w:type="pct"/>
            <w:tcBorders>
              <w:top w:val="single" w:sz="4" w:space="0" w:color="auto"/>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Balance at</w:t>
            </w:r>
          </w:p>
        </w:tc>
        <w:tc>
          <w:tcPr>
            <w:tcW w:w="542" w:type="pct"/>
            <w:tcBorders>
              <w:top w:val="single" w:sz="4" w:space="0" w:color="auto"/>
              <w:left w:val="nil"/>
              <w:bottom w:val="nil"/>
              <w:right w:val="single" w:sz="4" w:space="0" w:color="auto"/>
            </w:tcBorders>
            <w:shd w:val="clear" w:color="auto" w:fill="auto"/>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Movements</w:t>
            </w:r>
          </w:p>
        </w:tc>
        <w:tc>
          <w:tcPr>
            <w:tcW w:w="498" w:type="pct"/>
            <w:tcBorders>
              <w:top w:val="single" w:sz="4" w:space="0" w:color="auto"/>
              <w:left w:val="nil"/>
              <w:bottom w:val="nil"/>
              <w:right w:val="single" w:sz="4" w:space="0" w:color="auto"/>
            </w:tcBorders>
            <w:shd w:val="clear" w:color="auto" w:fill="auto"/>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Interest/   Write off</w:t>
            </w:r>
          </w:p>
        </w:tc>
        <w:tc>
          <w:tcPr>
            <w:tcW w:w="498" w:type="pct"/>
            <w:tcBorders>
              <w:top w:val="single" w:sz="4" w:space="0" w:color="auto"/>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Payments</w:t>
            </w:r>
          </w:p>
        </w:tc>
        <w:tc>
          <w:tcPr>
            <w:tcW w:w="508" w:type="pct"/>
            <w:tcBorders>
              <w:top w:val="single" w:sz="4" w:space="0" w:color="auto"/>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Balance at</w:t>
            </w:r>
          </w:p>
        </w:tc>
      </w:tr>
      <w:tr w:rsidR="00F26EC2" w:rsidRPr="00F26EC2" w:rsidTr="00F26EC2">
        <w:trPr>
          <w:trHeight w:val="255"/>
        </w:trPr>
        <w:tc>
          <w:tcPr>
            <w:tcW w:w="1268" w:type="pct"/>
            <w:tcBorders>
              <w:top w:val="nil"/>
              <w:left w:val="single" w:sz="4" w:space="0" w:color="auto"/>
              <w:bottom w:val="nil"/>
              <w:right w:val="nil"/>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Companies</w:t>
            </w:r>
          </w:p>
        </w:tc>
        <w:tc>
          <w:tcPr>
            <w:tcW w:w="586"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 </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Special Arrears</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F26EC2">
              <w:rPr>
                <w:b/>
                <w:bCs/>
                <w:color w:val="000000"/>
                <w:sz w:val="20"/>
                <w:lang w:val="en-US" w:eastAsia="zh-CN"/>
              </w:rPr>
              <w:t>31.12.2017</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2018</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2018</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2018</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F26EC2">
              <w:rPr>
                <w:b/>
                <w:bCs/>
                <w:color w:val="000000"/>
                <w:sz w:val="20"/>
                <w:lang w:val="en-US" w:eastAsia="zh-CN"/>
              </w:rPr>
              <w:t>31.12.2018</w:t>
            </w:r>
          </w:p>
        </w:tc>
      </w:tr>
      <w:tr w:rsidR="00F26EC2" w:rsidRPr="00F26EC2" w:rsidTr="00F26EC2">
        <w:trPr>
          <w:trHeight w:val="255"/>
        </w:trPr>
        <w:tc>
          <w:tcPr>
            <w:tcW w:w="1268" w:type="pct"/>
            <w:tcBorders>
              <w:top w:val="nil"/>
              <w:left w:val="single" w:sz="4" w:space="0" w:color="auto"/>
              <w:bottom w:val="nil"/>
              <w:right w:val="nil"/>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r w:rsidRPr="00F26EC2">
              <w:rPr>
                <w:b/>
                <w:bCs/>
                <w:sz w:val="20"/>
                <w:lang w:val="en-US" w:eastAsia="zh-CN"/>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r w:rsidRPr="00F26EC2">
              <w:rPr>
                <w:b/>
                <w:bCs/>
                <w:sz w:val="20"/>
                <w:lang w:val="en-US" w:eastAsia="zh-CN"/>
              </w:rPr>
              <w:t xml:space="preserve"> </w:t>
            </w:r>
          </w:p>
        </w:tc>
        <w:tc>
          <w:tcPr>
            <w:tcW w:w="601" w:type="pct"/>
            <w:tcBorders>
              <w:top w:val="nil"/>
              <w:left w:val="nil"/>
              <w:bottom w:val="single" w:sz="4" w:space="0" w:color="auto"/>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Account</w:t>
            </w:r>
          </w:p>
        </w:tc>
        <w:tc>
          <w:tcPr>
            <w:tcW w:w="498" w:type="pct"/>
            <w:tcBorders>
              <w:top w:val="nil"/>
              <w:left w:val="single" w:sz="4" w:space="0" w:color="auto"/>
              <w:bottom w:val="single" w:sz="4" w:space="0" w:color="auto"/>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542" w:type="pct"/>
            <w:tcBorders>
              <w:top w:val="nil"/>
              <w:left w:val="nil"/>
              <w:bottom w:val="single" w:sz="4" w:space="0" w:color="auto"/>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498" w:type="pct"/>
            <w:tcBorders>
              <w:top w:val="nil"/>
              <w:left w:val="nil"/>
              <w:bottom w:val="single" w:sz="4" w:space="0" w:color="auto"/>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498" w:type="pct"/>
            <w:tcBorders>
              <w:top w:val="nil"/>
              <w:left w:val="nil"/>
              <w:bottom w:val="single" w:sz="4" w:space="0" w:color="auto"/>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508" w:type="pct"/>
            <w:tcBorders>
              <w:top w:val="nil"/>
              <w:left w:val="nil"/>
              <w:bottom w:val="single" w:sz="4" w:space="0" w:color="auto"/>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r>
      <w:tr w:rsidR="00F26EC2" w:rsidRPr="00F26EC2" w:rsidTr="00F26EC2">
        <w:trPr>
          <w:trHeight w:val="255"/>
        </w:trPr>
        <w:tc>
          <w:tcPr>
            <w:tcW w:w="1268" w:type="pct"/>
            <w:tcBorders>
              <w:top w:val="single" w:sz="4" w:space="0" w:color="auto"/>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Member States</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color w:val="00B050"/>
                <w:sz w:val="20"/>
                <w:lang w:val="en-US" w:eastAsia="zh-CN"/>
              </w:rPr>
            </w:pPr>
            <w:r w:rsidRPr="00F26EC2">
              <w:rPr>
                <w:color w:val="00B050"/>
                <w:sz w:val="20"/>
                <w:lang w:val="en-US" w:eastAsia="zh-CN"/>
              </w:rPr>
              <w:t> </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000000" w:fill="FFFFFF"/>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Sudan</w:t>
            </w:r>
          </w:p>
        </w:tc>
        <w:tc>
          <w:tcPr>
            <w:tcW w:w="586" w:type="pct"/>
            <w:tcBorders>
              <w:top w:val="nil"/>
              <w:left w:val="nil"/>
              <w:bottom w:val="nil"/>
              <w:right w:val="single" w:sz="4" w:space="0" w:color="auto"/>
            </w:tcBorders>
            <w:shd w:val="clear" w:color="000000" w:fill="FFFFFF"/>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38 PP 1989</w:t>
            </w:r>
          </w:p>
        </w:tc>
        <w:tc>
          <w:tcPr>
            <w:tcW w:w="601" w:type="pct"/>
            <w:tcBorders>
              <w:top w:val="nil"/>
              <w:left w:val="nil"/>
              <w:bottom w:val="nil"/>
              <w:right w:val="single" w:sz="4" w:space="0" w:color="auto"/>
            </w:tcBorders>
            <w:shd w:val="clear" w:color="000000" w:fill="FFFFFF"/>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567,047.95</w:t>
            </w:r>
          </w:p>
        </w:tc>
        <w:tc>
          <w:tcPr>
            <w:tcW w:w="498" w:type="pct"/>
            <w:tcBorders>
              <w:top w:val="nil"/>
              <w:left w:val="single" w:sz="4" w:space="0" w:color="auto"/>
              <w:bottom w:val="nil"/>
              <w:right w:val="single" w:sz="4" w:space="0" w:color="auto"/>
            </w:tcBorders>
            <w:shd w:val="clear" w:color="000000" w:fill="FFFFFF"/>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141,028.45</w:t>
            </w:r>
          </w:p>
        </w:tc>
        <w:tc>
          <w:tcPr>
            <w:tcW w:w="542" w:type="pct"/>
            <w:tcBorders>
              <w:top w:val="nil"/>
              <w:left w:val="nil"/>
              <w:bottom w:val="nil"/>
              <w:right w:val="single" w:sz="4" w:space="0" w:color="auto"/>
            </w:tcBorders>
            <w:shd w:val="clear" w:color="000000" w:fill="FFFFFF"/>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000000" w:fill="FFFFFF"/>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000000" w:fill="FFFFFF"/>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-89,178.53</w:t>
            </w:r>
          </w:p>
        </w:tc>
        <w:tc>
          <w:tcPr>
            <w:tcW w:w="508" w:type="pct"/>
            <w:tcBorders>
              <w:top w:val="nil"/>
              <w:left w:val="nil"/>
              <w:bottom w:val="nil"/>
              <w:right w:val="single" w:sz="4" w:space="0" w:color="auto"/>
            </w:tcBorders>
            <w:shd w:val="clear" w:color="000000" w:fill="FFFFFF"/>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51,849.92</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Grenada</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41- 2008</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662,554.65</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239,033.00</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-239,033.00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Bolivia</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41- 2009</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6,515,226.72</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3,559,066.20</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-3,230,603.92</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-328,462.28</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Benin</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41- 2011</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462,317.50</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158,176.74</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-86,897.36</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71,279.38</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Tajikistan</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41- 2011</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745,617.40</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558,581.32</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-23,379.51</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535,201.81</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Comoros</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41- 2012</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376,005.93</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233,796.27</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-23,701.61</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210,094.66</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Central African Republic</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41- 2014</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159,474.68</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126,459.76</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-8,253.73</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118,206.03</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Equatorial Guinea</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41- 2017</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171,043.75</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118,043.75</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-118,043.75</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Federation of Saint Kitts and Nevis</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41- 2017</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251,777.75</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198,115.25</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-125,212.51</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72,902.74</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Somalia</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41- 2017</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2,281,017.16</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2,218,432.35</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-62,584.81</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2,155,847.54</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Congo (Rep. of the)</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41- 2018</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1,730,027.81</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1,730,027.81</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-84,263.42</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1,645,764.39</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Gabon</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41- 2018</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343,052.55</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343,052.55</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-75,418.66</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267,633.89</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Gambia</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41- 2018</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332,385.98</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332,385.98</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-79,500.00</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252,885.98</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Guinea-Bissau</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41 - 2018</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4,430,568.52</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4,430,568.52</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-79,225.17</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4,351,343.35</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Liberia</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41 - 2018</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4,885,078.20</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4,885,078.20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-116,061.96</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4,769,016.24</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Sierra Leone</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41 - 2018</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2,827,393.64</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2,827,393.64</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-136,490.91</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2,690,902.73</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Sector Members/Companies</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F26EC2">
              <w:rPr>
                <w:b/>
                <w:bCs/>
                <w:sz w:val="20"/>
                <w:lang w:val="en-US" w:eastAsia="zh-CN"/>
              </w:rPr>
              <w:t> </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Bay Microsystems Inc., United States</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41 - 2015</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19,503.76</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6,314.90</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-6,314.90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s-ES_tradnl" w:eastAsia="zh-CN"/>
              </w:rPr>
            </w:pPr>
            <w:proofErr w:type="spellStart"/>
            <w:r w:rsidRPr="00F26EC2">
              <w:rPr>
                <w:sz w:val="20"/>
                <w:lang w:val="es-ES_tradnl" w:eastAsia="zh-CN"/>
              </w:rPr>
              <w:t>Marcatel</w:t>
            </w:r>
            <w:proofErr w:type="spellEnd"/>
            <w:r w:rsidRPr="00F26EC2">
              <w:rPr>
                <w:sz w:val="20"/>
                <w:lang w:val="es-ES_tradnl" w:eastAsia="zh-CN"/>
              </w:rPr>
              <w:t xml:space="preserve"> Com. S.A. de C.V., </w:t>
            </w:r>
            <w:proofErr w:type="spellStart"/>
            <w:r w:rsidRPr="00F26EC2">
              <w:rPr>
                <w:sz w:val="20"/>
                <w:lang w:val="es-ES_tradnl" w:eastAsia="zh-CN"/>
              </w:rPr>
              <w:t>Mexico</w:t>
            </w:r>
            <w:proofErr w:type="spellEnd"/>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41 - 2016</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4,392.35</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417.35</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-417.35</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roofErr w:type="spellStart"/>
            <w:r w:rsidRPr="00F26EC2">
              <w:rPr>
                <w:sz w:val="20"/>
                <w:lang w:val="en-US" w:eastAsia="zh-CN"/>
              </w:rPr>
              <w:t>Systel</w:t>
            </w:r>
            <w:proofErr w:type="spellEnd"/>
            <w:r w:rsidRPr="00F26EC2">
              <w:rPr>
                <w:sz w:val="20"/>
                <w:lang w:val="en-US" w:eastAsia="zh-CN"/>
              </w:rPr>
              <w:t>, Egypt</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41 - 2016</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47,918.25</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40,141.70</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-3,937.50</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36,204.20</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roofErr w:type="spellStart"/>
            <w:r w:rsidRPr="00F26EC2">
              <w:rPr>
                <w:sz w:val="20"/>
                <w:lang w:val="en-US" w:eastAsia="zh-CN"/>
              </w:rPr>
              <w:t>Alphion</w:t>
            </w:r>
            <w:proofErr w:type="spellEnd"/>
            <w:r w:rsidRPr="00F26EC2">
              <w:rPr>
                <w:sz w:val="20"/>
                <w:lang w:val="en-US" w:eastAsia="zh-CN"/>
              </w:rPr>
              <w:t xml:space="preserve"> Corporation, United States</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41 - 2017</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11,657.35</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1,057.35</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-1,057.35</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r>
      <w:tr w:rsidR="00F26EC2" w:rsidRPr="00F26EC2" w:rsidTr="00F26EC2">
        <w:trPr>
          <w:trHeight w:val="255"/>
        </w:trPr>
        <w:tc>
          <w:tcPr>
            <w:tcW w:w="1268" w:type="pct"/>
            <w:tcBorders>
              <w:top w:val="nil"/>
              <w:left w:val="single" w:sz="4" w:space="0" w:color="auto"/>
              <w:bottom w:val="nil"/>
              <w:right w:val="single" w:sz="4" w:space="0" w:color="auto"/>
            </w:tcBorders>
            <w:shd w:val="clear" w:color="auto" w:fill="auto"/>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INTTIC, Algeria</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Res.  41 - 2017</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7,856.74</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2,391.55</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-2,391.55</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26EC2">
              <w:rPr>
                <w:sz w:val="20"/>
                <w:lang w:val="en-US" w:eastAsia="zh-CN"/>
              </w:rPr>
              <w:t>0.00</w:t>
            </w:r>
          </w:p>
        </w:tc>
      </w:tr>
      <w:tr w:rsidR="00F26EC2" w:rsidRPr="00F26EC2" w:rsidTr="00F26EC2">
        <w:trPr>
          <w:trHeight w:val="255"/>
        </w:trPr>
        <w:tc>
          <w:tcPr>
            <w:tcW w:w="1268" w:type="pct"/>
            <w:tcBorders>
              <w:top w:val="nil"/>
              <w:left w:val="single" w:sz="4" w:space="0" w:color="auto"/>
              <w:bottom w:val="single" w:sz="4" w:space="0" w:color="auto"/>
              <w:right w:val="single" w:sz="4" w:space="0" w:color="auto"/>
            </w:tcBorders>
            <w:shd w:val="clear" w:color="auto" w:fill="auto"/>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586"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601"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498" w:type="pct"/>
            <w:tcBorders>
              <w:top w:val="nil"/>
              <w:left w:val="single" w:sz="4" w:space="0" w:color="auto"/>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542"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508" w:type="pct"/>
            <w:tcBorders>
              <w:top w:val="nil"/>
              <w:left w:val="nil"/>
              <w:bottom w:val="nil"/>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r>
      <w:tr w:rsidR="00F26EC2" w:rsidRPr="00F26EC2" w:rsidTr="00F26EC2">
        <w:trPr>
          <w:trHeight w:val="375"/>
        </w:trPr>
        <w:tc>
          <w:tcPr>
            <w:tcW w:w="1268" w:type="pct"/>
            <w:tcBorders>
              <w:top w:val="nil"/>
              <w:left w:val="single" w:sz="4" w:space="0" w:color="auto"/>
              <w:bottom w:val="single" w:sz="4" w:space="0" w:color="auto"/>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r w:rsidRPr="00F26EC2">
              <w:rPr>
                <w:b/>
                <w:bCs/>
                <w:sz w:val="20"/>
                <w:lang w:val="en-US" w:eastAsia="zh-CN"/>
              </w:rPr>
              <w:t>Total at 31 December 2018</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F26EC2">
              <w:rPr>
                <w:sz w:val="20"/>
                <w:lang w:val="en-US" w:eastAsia="zh-CN"/>
              </w:rPr>
              <w:t> </w:t>
            </w:r>
          </w:p>
        </w:tc>
        <w:tc>
          <w:tcPr>
            <w:tcW w:w="601" w:type="pct"/>
            <w:tcBorders>
              <w:top w:val="single" w:sz="4" w:space="0" w:color="auto"/>
              <w:left w:val="nil"/>
              <w:bottom w:val="single" w:sz="4" w:space="0" w:color="auto"/>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F26EC2">
              <w:rPr>
                <w:b/>
                <w:bCs/>
                <w:sz w:val="20"/>
                <w:lang w:val="en-US" w:eastAsia="zh-CN"/>
              </w:rPr>
              <w:t>26,831,918.64</w:t>
            </w: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F26EC2">
              <w:rPr>
                <w:b/>
                <w:bCs/>
                <w:sz w:val="20"/>
                <w:u w:val="single"/>
                <w:lang w:val="en-US" w:eastAsia="zh-CN"/>
              </w:rPr>
              <w:t>7,601,055.94</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F26EC2">
              <w:rPr>
                <w:b/>
                <w:bCs/>
                <w:sz w:val="20"/>
                <w:u w:val="single"/>
                <w:lang w:val="en-US" w:eastAsia="zh-CN"/>
              </w:rPr>
              <w:t>14,430,462.95</w:t>
            </w: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F26EC2">
              <w:rPr>
                <w:b/>
                <w:bCs/>
                <w:sz w:val="20"/>
                <w:u w:val="single"/>
                <w:lang w:val="en-US" w:eastAsia="zh-CN"/>
              </w:rPr>
              <w:t>-3,479,818.07</w:t>
            </w: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F26EC2">
              <w:rPr>
                <w:b/>
                <w:bCs/>
                <w:sz w:val="20"/>
                <w:u w:val="single"/>
                <w:lang w:val="en-US" w:eastAsia="zh-CN"/>
              </w:rPr>
              <w:t>-1,322,567.96</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rsidR="00F26EC2" w:rsidRPr="00F26EC2" w:rsidRDefault="00F26EC2" w:rsidP="00F26EC2">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F26EC2">
              <w:rPr>
                <w:b/>
                <w:bCs/>
                <w:sz w:val="20"/>
                <w:u w:val="single"/>
                <w:lang w:val="en-US" w:eastAsia="zh-CN"/>
              </w:rPr>
              <w:t>17,229,132.86</w:t>
            </w:r>
          </w:p>
        </w:tc>
      </w:tr>
    </w:tbl>
    <w:p w:rsidR="00DF1EA0" w:rsidRDefault="00DF1EA0">
      <w:r>
        <w:br w:type="page"/>
      </w:r>
    </w:p>
    <w:p w:rsidR="006229F9" w:rsidRDefault="006229F9" w:rsidP="008D7198"/>
    <w:p w:rsidR="002A30A5" w:rsidRPr="002A30A5" w:rsidRDefault="002A30A5" w:rsidP="002A30A5">
      <w:pPr>
        <w:spacing w:after="120"/>
        <w:jc w:val="center"/>
        <w:rPr>
          <w:b/>
          <w:bCs/>
          <w:sz w:val="28"/>
          <w:szCs w:val="28"/>
        </w:rPr>
      </w:pPr>
      <w:bookmarkStart w:id="161" w:name="RANGE!A41:P68"/>
      <w:bookmarkEnd w:id="161"/>
      <w:r w:rsidRPr="002A30A5">
        <w:rPr>
          <w:b/>
          <w:bCs/>
          <w:sz w:val="28"/>
          <w:szCs w:val="28"/>
        </w:rPr>
        <w:t xml:space="preserve">AMOUNTS DUE IN RESPECT OF CANCELLED SPECIAL ARREARS ACCOUNTS </w:t>
      </w:r>
    </w:p>
    <w:p w:rsidR="002A30A5" w:rsidRDefault="002A30A5" w:rsidP="00421B13">
      <w:pPr>
        <w:spacing w:after="840"/>
        <w:jc w:val="center"/>
        <w:rPr>
          <w:b/>
          <w:bCs/>
          <w:sz w:val="28"/>
          <w:szCs w:val="28"/>
        </w:rPr>
      </w:pPr>
      <w:r w:rsidRPr="002A30A5">
        <w:rPr>
          <w:b/>
          <w:bCs/>
          <w:sz w:val="28"/>
          <w:szCs w:val="28"/>
        </w:rPr>
        <w:t>(REPAYMENT AGREEMENTS CANCELLED FOR NON PAYMENT)</w:t>
      </w:r>
    </w:p>
    <w:tbl>
      <w:tblPr>
        <w:tblW w:w="5000" w:type="pct"/>
        <w:jc w:val="center"/>
        <w:tblLook w:val="04A0" w:firstRow="1" w:lastRow="0" w:firstColumn="1" w:lastColumn="0" w:noHBand="0" w:noVBand="1"/>
      </w:tblPr>
      <w:tblGrid>
        <w:gridCol w:w="3650"/>
        <w:gridCol w:w="1688"/>
        <w:gridCol w:w="1731"/>
        <w:gridCol w:w="1462"/>
        <w:gridCol w:w="1560"/>
        <w:gridCol w:w="1433"/>
        <w:gridCol w:w="1433"/>
        <w:gridCol w:w="1433"/>
      </w:tblGrid>
      <w:tr w:rsidR="002A30A5" w:rsidRPr="002A30A5" w:rsidTr="002A30A5">
        <w:trPr>
          <w:trHeight w:val="255"/>
          <w:jc w:val="center"/>
        </w:trPr>
        <w:tc>
          <w:tcPr>
            <w:tcW w:w="1268" w:type="pct"/>
            <w:tcBorders>
              <w:top w:val="single" w:sz="4" w:space="0" w:color="auto"/>
              <w:left w:val="single" w:sz="4" w:space="0" w:color="auto"/>
              <w:bottom w:val="nil"/>
              <w:right w:val="nil"/>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2A30A5">
              <w:rPr>
                <w:b/>
                <w:bCs/>
                <w:color w:val="000000"/>
                <w:sz w:val="20"/>
                <w:lang w:val="en-US" w:eastAsia="zh-CN"/>
              </w:rPr>
              <w:t>Member States - Sector Members/</w:t>
            </w:r>
          </w:p>
        </w:tc>
        <w:tc>
          <w:tcPr>
            <w:tcW w:w="586" w:type="pct"/>
            <w:tcBorders>
              <w:top w:val="single" w:sz="4" w:space="0" w:color="auto"/>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2A30A5">
              <w:rPr>
                <w:b/>
                <w:bCs/>
                <w:color w:val="000000"/>
                <w:sz w:val="20"/>
                <w:lang w:val="en-US" w:eastAsia="zh-CN"/>
              </w:rPr>
              <w:t>PP Resolutions</w:t>
            </w:r>
          </w:p>
        </w:tc>
        <w:tc>
          <w:tcPr>
            <w:tcW w:w="601" w:type="pct"/>
            <w:tcBorders>
              <w:top w:val="single" w:sz="4" w:space="0" w:color="auto"/>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2A30A5">
              <w:rPr>
                <w:b/>
                <w:bCs/>
                <w:sz w:val="20"/>
                <w:lang w:val="en-US" w:eastAsia="zh-CN"/>
              </w:rPr>
              <w:t>Transfer to Canc.</w:t>
            </w:r>
          </w:p>
        </w:tc>
        <w:tc>
          <w:tcPr>
            <w:tcW w:w="508" w:type="pct"/>
            <w:tcBorders>
              <w:top w:val="single" w:sz="4" w:space="0" w:color="auto"/>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2A30A5">
              <w:rPr>
                <w:b/>
                <w:bCs/>
                <w:color w:val="000000"/>
                <w:sz w:val="20"/>
                <w:lang w:val="en-US" w:eastAsia="zh-CN"/>
              </w:rPr>
              <w:t>Balance at</w:t>
            </w:r>
          </w:p>
        </w:tc>
        <w:tc>
          <w:tcPr>
            <w:tcW w:w="542" w:type="pct"/>
            <w:tcBorders>
              <w:top w:val="single" w:sz="4" w:space="0" w:color="auto"/>
              <w:left w:val="nil"/>
              <w:bottom w:val="nil"/>
              <w:right w:val="single" w:sz="4" w:space="0" w:color="auto"/>
            </w:tcBorders>
            <w:shd w:val="clear" w:color="auto" w:fill="auto"/>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2A30A5">
              <w:rPr>
                <w:b/>
                <w:bCs/>
                <w:sz w:val="20"/>
                <w:lang w:val="en-US" w:eastAsia="zh-CN"/>
              </w:rPr>
              <w:t>Movements</w:t>
            </w:r>
          </w:p>
        </w:tc>
        <w:tc>
          <w:tcPr>
            <w:tcW w:w="498" w:type="pct"/>
            <w:tcBorders>
              <w:top w:val="single" w:sz="4" w:space="0" w:color="auto"/>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2A30A5">
              <w:rPr>
                <w:b/>
                <w:bCs/>
                <w:sz w:val="20"/>
                <w:lang w:val="en-US" w:eastAsia="zh-CN"/>
              </w:rPr>
              <w:t>Interest</w:t>
            </w:r>
          </w:p>
        </w:tc>
        <w:tc>
          <w:tcPr>
            <w:tcW w:w="498" w:type="pct"/>
            <w:tcBorders>
              <w:top w:val="single" w:sz="4" w:space="0" w:color="auto"/>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2A30A5">
              <w:rPr>
                <w:b/>
                <w:bCs/>
                <w:sz w:val="20"/>
                <w:lang w:val="en-US" w:eastAsia="zh-CN"/>
              </w:rPr>
              <w:t>Payments</w:t>
            </w:r>
          </w:p>
        </w:tc>
        <w:tc>
          <w:tcPr>
            <w:tcW w:w="498" w:type="pct"/>
            <w:tcBorders>
              <w:top w:val="single" w:sz="4" w:space="0" w:color="auto"/>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2A30A5">
              <w:rPr>
                <w:b/>
                <w:bCs/>
                <w:sz w:val="20"/>
                <w:lang w:val="en-US" w:eastAsia="zh-CN"/>
              </w:rPr>
              <w:t>Balance at</w:t>
            </w:r>
          </w:p>
        </w:tc>
      </w:tr>
      <w:tr w:rsidR="002A30A5" w:rsidRPr="002A30A5" w:rsidTr="002A30A5">
        <w:trPr>
          <w:trHeight w:val="255"/>
          <w:jc w:val="center"/>
        </w:trPr>
        <w:tc>
          <w:tcPr>
            <w:tcW w:w="1268" w:type="pct"/>
            <w:tcBorders>
              <w:top w:val="nil"/>
              <w:left w:val="single" w:sz="4" w:space="0" w:color="auto"/>
              <w:bottom w:val="nil"/>
              <w:right w:val="nil"/>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2A30A5">
              <w:rPr>
                <w:b/>
                <w:bCs/>
                <w:color w:val="000000"/>
                <w:sz w:val="20"/>
                <w:lang w:val="en-US" w:eastAsia="zh-CN"/>
              </w:rPr>
              <w:t>Companies</w:t>
            </w:r>
          </w:p>
        </w:tc>
        <w:tc>
          <w:tcPr>
            <w:tcW w:w="586"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2A30A5">
              <w:rPr>
                <w:b/>
                <w:bCs/>
                <w:color w:val="000000"/>
                <w:sz w:val="20"/>
                <w:lang w:val="en-US" w:eastAsia="zh-CN"/>
              </w:rPr>
              <w:t> </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2A30A5">
              <w:rPr>
                <w:b/>
                <w:bCs/>
                <w:sz w:val="20"/>
                <w:lang w:val="en-US" w:eastAsia="zh-CN"/>
              </w:rPr>
              <w:t>Special Arrears</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2A30A5">
              <w:rPr>
                <w:b/>
                <w:bCs/>
                <w:color w:val="000000"/>
                <w:sz w:val="20"/>
                <w:lang w:val="en-US" w:eastAsia="zh-CN"/>
              </w:rPr>
              <w:t>31.12.2017</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2A30A5">
              <w:rPr>
                <w:b/>
                <w:bCs/>
                <w:sz w:val="20"/>
                <w:lang w:val="en-US" w:eastAsia="zh-CN"/>
              </w:rPr>
              <w:t>2018</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2A30A5">
              <w:rPr>
                <w:b/>
                <w:bCs/>
                <w:sz w:val="20"/>
                <w:lang w:val="en-US" w:eastAsia="zh-CN"/>
              </w:rPr>
              <w:t>2018</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2A30A5">
              <w:rPr>
                <w:b/>
                <w:bCs/>
                <w:sz w:val="20"/>
                <w:lang w:val="en-US" w:eastAsia="zh-CN"/>
              </w:rPr>
              <w:t>2018</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2A30A5">
              <w:rPr>
                <w:b/>
                <w:bCs/>
                <w:color w:val="000000"/>
                <w:sz w:val="20"/>
                <w:lang w:val="en-US" w:eastAsia="zh-CN"/>
              </w:rPr>
              <w:t>31.12.2018</w:t>
            </w:r>
          </w:p>
        </w:tc>
      </w:tr>
      <w:tr w:rsidR="002A30A5" w:rsidRPr="002A30A5" w:rsidTr="002A30A5">
        <w:trPr>
          <w:trHeight w:val="255"/>
          <w:jc w:val="center"/>
        </w:trPr>
        <w:tc>
          <w:tcPr>
            <w:tcW w:w="1268" w:type="pct"/>
            <w:tcBorders>
              <w:top w:val="nil"/>
              <w:left w:val="single" w:sz="4" w:space="0" w:color="auto"/>
              <w:bottom w:val="single" w:sz="4" w:space="0" w:color="auto"/>
              <w:right w:val="nil"/>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r w:rsidRPr="002A30A5">
              <w:rPr>
                <w:rFonts w:ascii="Times New Roman" w:hAnsi="Times New Roman"/>
                <w:sz w:val="16"/>
                <w:szCs w:val="16"/>
                <w:lang w:val="en-US" w:eastAsia="zh-CN"/>
              </w:rPr>
              <w:t> </w:t>
            </w:r>
          </w:p>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2A30A5">
              <w:rPr>
                <w:b/>
                <w:bCs/>
                <w:color w:val="000000"/>
                <w:sz w:val="20"/>
                <w:lang w:val="en-US" w:eastAsia="zh-CN"/>
              </w:rPr>
              <w:t xml:space="preserve"> </w:t>
            </w:r>
          </w:p>
        </w:tc>
        <w:tc>
          <w:tcPr>
            <w:tcW w:w="601" w:type="pct"/>
            <w:tcBorders>
              <w:top w:val="nil"/>
              <w:left w:val="nil"/>
              <w:bottom w:val="single" w:sz="4" w:space="0" w:color="auto"/>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2A30A5">
              <w:rPr>
                <w:b/>
                <w:bCs/>
                <w:sz w:val="20"/>
                <w:lang w:val="en-US" w:eastAsia="zh-CN"/>
              </w:rPr>
              <w:t>Account</w:t>
            </w:r>
          </w:p>
        </w:tc>
        <w:tc>
          <w:tcPr>
            <w:tcW w:w="508" w:type="pct"/>
            <w:tcBorders>
              <w:top w:val="nil"/>
              <w:left w:val="single" w:sz="4" w:space="0" w:color="auto"/>
              <w:bottom w:val="single" w:sz="4" w:space="0" w:color="auto"/>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2A30A5">
              <w:rPr>
                <w:color w:val="000000"/>
                <w:sz w:val="20"/>
                <w:lang w:val="en-US" w:eastAsia="zh-CN"/>
              </w:rPr>
              <w:t> </w:t>
            </w:r>
          </w:p>
        </w:tc>
        <w:tc>
          <w:tcPr>
            <w:tcW w:w="542" w:type="pct"/>
            <w:tcBorders>
              <w:top w:val="nil"/>
              <w:left w:val="nil"/>
              <w:bottom w:val="single" w:sz="4" w:space="0" w:color="auto"/>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2A30A5">
              <w:rPr>
                <w:color w:val="000000"/>
                <w:sz w:val="20"/>
                <w:lang w:val="en-US" w:eastAsia="zh-CN"/>
              </w:rPr>
              <w:t> </w:t>
            </w:r>
          </w:p>
        </w:tc>
        <w:tc>
          <w:tcPr>
            <w:tcW w:w="498" w:type="pct"/>
            <w:tcBorders>
              <w:top w:val="nil"/>
              <w:left w:val="nil"/>
              <w:bottom w:val="single" w:sz="4" w:space="0" w:color="auto"/>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2A30A5">
              <w:rPr>
                <w:color w:val="000000"/>
                <w:sz w:val="20"/>
                <w:lang w:val="en-US" w:eastAsia="zh-CN"/>
              </w:rPr>
              <w:t> </w:t>
            </w:r>
          </w:p>
        </w:tc>
        <w:tc>
          <w:tcPr>
            <w:tcW w:w="498" w:type="pct"/>
            <w:tcBorders>
              <w:top w:val="nil"/>
              <w:left w:val="nil"/>
              <w:bottom w:val="single" w:sz="4" w:space="0" w:color="auto"/>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2A30A5">
              <w:rPr>
                <w:color w:val="000000"/>
                <w:sz w:val="20"/>
                <w:lang w:val="en-US" w:eastAsia="zh-CN"/>
              </w:rPr>
              <w:t> </w:t>
            </w:r>
          </w:p>
        </w:tc>
        <w:tc>
          <w:tcPr>
            <w:tcW w:w="498" w:type="pct"/>
            <w:tcBorders>
              <w:top w:val="nil"/>
              <w:left w:val="nil"/>
              <w:bottom w:val="single" w:sz="4" w:space="0" w:color="auto"/>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2A30A5">
              <w:rPr>
                <w:color w:val="000000"/>
                <w:sz w:val="20"/>
                <w:lang w:val="en-US" w:eastAsia="zh-CN"/>
              </w:rPr>
              <w:t> </w:t>
            </w:r>
          </w:p>
        </w:tc>
      </w:tr>
      <w:tr w:rsidR="002A30A5" w:rsidRPr="002A30A5" w:rsidTr="002A30A5">
        <w:trPr>
          <w:trHeight w:val="255"/>
          <w:jc w:val="center"/>
        </w:trPr>
        <w:tc>
          <w:tcPr>
            <w:tcW w:w="126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2A30A5">
              <w:rPr>
                <w:b/>
                <w:bCs/>
                <w:color w:val="000000"/>
                <w:sz w:val="20"/>
                <w:lang w:val="en-US" w:eastAsia="zh-CN"/>
              </w:rPr>
              <w:t> </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2A30A5">
              <w:rPr>
                <w:b/>
                <w:bCs/>
                <w:color w:val="000000"/>
                <w:sz w:val="20"/>
                <w:lang w:val="en-US" w:eastAsia="zh-CN"/>
              </w:rPr>
              <w:t> </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2A30A5">
              <w:rPr>
                <w:b/>
                <w:bCs/>
                <w:color w:val="000000"/>
                <w:sz w:val="20"/>
                <w:lang w:val="en-US" w:eastAsia="zh-CN"/>
              </w:rPr>
              <w:t> </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2A30A5">
              <w:rPr>
                <w:color w:val="000000"/>
                <w:sz w:val="20"/>
                <w:lang w:val="en-US" w:eastAsia="zh-CN"/>
              </w:rPr>
              <w:t> </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2A30A5">
              <w:rPr>
                <w:color w:val="000000"/>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2A30A5">
              <w:rPr>
                <w:color w:val="000000"/>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2A30A5">
              <w:rPr>
                <w:color w:val="000000"/>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2A30A5">
              <w:rPr>
                <w:color w:val="000000"/>
                <w:sz w:val="20"/>
                <w:lang w:val="en-US" w:eastAsia="zh-CN"/>
              </w:rPr>
              <w:t> </w:t>
            </w:r>
          </w:p>
        </w:tc>
      </w:tr>
      <w:tr w:rsidR="002A30A5" w:rsidRPr="002A30A5" w:rsidTr="002A30A5">
        <w:trPr>
          <w:trHeight w:val="255"/>
          <w:jc w:val="center"/>
        </w:trPr>
        <w:tc>
          <w:tcPr>
            <w:tcW w:w="126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2A30A5">
              <w:rPr>
                <w:b/>
                <w:bCs/>
                <w:color w:val="000000"/>
                <w:sz w:val="20"/>
                <w:lang w:val="en-US" w:eastAsia="zh-CN"/>
              </w:rPr>
              <w:t>Member States</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2A30A5">
              <w:rPr>
                <w:color w:val="000000"/>
                <w:sz w:val="20"/>
                <w:lang w:val="en-US" w:eastAsia="zh-CN"/>
              </w:rPr>
              <w:t> </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en-US" w:eastAsia="zh-CN"/>
              </w:rPr>
            </w:pPr>
            <w:r w:rsidRPr="002A30A5">
              <w:rPr>
                <w:color w:val="000000"/>
                <w:sz w:val="20"/>
                <w:lang w:val="en-US" w:eastAsia="zh-CN"/>
              </w:rPr>
              <w:t> </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2A30A5">
              <w:rPr>
                <w:color w:val="000000"/>
                <w:sz w:val="20"/>
                <w:lang w:val="en-US" w:eastAsia="zh-CN"/>
              </w:rPr>
              <w:t> </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2A30A5">
              <w:rPr>
                <w:color w:val="000000"/>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2A30A5">
              <w:rPr>
                <w:color w:val="000000"/>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2A30A5">
              <w:rPr>
                <w:color w:val="000000"/>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2A30A5">
              <w:rPr>
                <w:color w:val="000000"/>
                <w:sz w:val="20"/>
                <w:lang w:val="en-US" w:eastAsia="zh-CN"/>
              </w:rPr>
              <w:t> </w:t>
            </w:r>
          </w:p>
        </w:tc>
      </w:tr>
      <w:tr w:rsidR="002A30A5" w:rsidRPr="002A30A5" w:rsidTr="002A30A5">
        <w:trPr>
          <w:trHeight w:val="255"/>
          <w:jc w:val="center"/>
        </w:trPr>
        <w:tc>
          <w:tcPr>
            <w:tcW w:w="126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2A30A5">
              <w:rPr>
                <w:b/>
                <w:bCs/>
                <w:color w:val="000000"/>
                <w:sz w:val="20"/>
                <w:lang w:val="en-US" w:eastAsia="zh-CN"/>
              </w:rPr>
              <w:t> </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r w:rsidRPr="002A30A5">
              <w:rPr>
                <w:rFonts w:ascii="Times New Roman" w:hAnsi="Times New Roman"/>
                <w:sz w:val="16"/>
                <w:szCs w:val="16"/>
                <w:lang w:val="en-US" w:eastAsia="zh-CN"/>
              </w:rPr>
              <w:t> </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r w:rsidRPr="002A30A5">
              <w:rPr>
                <w:rFonts w:ascii="Times New Roman" w:hAnsi="Times New Roman"/>
                <w:sz w:val="16"/>
                <w:szCs w:val="16"/>
                <w:lang w:val="en-US" w:eastAsia="zh-CN"/>
              </w:rPr>
              <w:t> </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r w:rsidRPr="002A30A5">
              <w:rPr>
                <w:rFonts w:ascii="Times New Roman" w:hAnsi="Times New Roman"/>
                <w:sz w:val="16"/>
                <w:szCs w:val="16"/>
                <w:lang w:val="en-US" w:eastAsia="zh-CN"/>
              </w:rPr>
              <w:t> </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r w:rsidRPr="002A30A5">
              <w:rPr>
                <w:rFonts w:ascii="Times New Roman" w:hAnsi="Times New Roman"/>
                <w:sz w:val="16"/>
                <w:szCs w:val="16"/>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r w:rsidRPr="002A30A5">
              <w:rPr>
                <w:rFonts w:ascii="Times New Roman" w:hAnsi="Times New Roman"/>
                <w:sz w:val="16"/>
                <w:szCs w:val="16"/>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r w:rsidRPr="002A30A5">
              <w:rPr>
                <w:rFonts w:ascii="Times New Roman" w:hAnsi="Times New Roman"/>
                <w:sz w:val="16"/>
                <w:szCs w:val="16"/>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r w:rsidRPr="002A30A5">
              <w:rPr>
                <w:rFonts w:ascii="Times New Roman" w:hAnsi="Times New Roman"/>
                <w:sz w:val="16"/>
                <w:szCs w:val="16"/>
                <w:lang w:val="en-US" w:eastAsia="zh-CN"/>
              </w:rPr>
              <w:t> </w:t>
            </w:r>
          </w:p>
        </w:tc>
      </w:tr>
      <w:tr w:rsidR="002A30A5" w:rsidRPr="002A30A5" w:rsidTr="002A30A5">
        <w:trPr>
          <w:trHeight w:val="255"/>
          <w:jc w:val="center"/>
        </w:trPr>
        <w:tc>
          <w:tcPr>
            <w:tcW w:w="126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Liberia</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Res.  38 PP 1989</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1,001,829.30</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2,788,586.10</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-2,788,586.10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r>
      <w:tr w:rsidR="002A30A5" w:rsidRPr="002A30A5" w:rsidTr="002A30A5">
        <w:trPr>
          <w:trHeight w:val="255"/>
          <w:jc w:val="center"/>
        </w:trPr>
        <w:tc>
          <w:tcPr>
            <w:tcW w:w="126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Congo (Republic of the)</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Res.  41 - 2015</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1,258,821.17</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1,428,555.57</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-1,428,555.57</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r>
      <w:tr w:rsidR="002A30A5" w:rsidRPr="002A30A5" w:rsidTr="002A30A5">
        <w:trPr>
          <w:trHeight w:val="255"/>
          <w:jc w:val="center"/>
        </w:trPr>
        <w:tc>
          <w:tcPr>
            <w:tcW w:w="126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Guinea-Bissau</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Res.  41 - 2015</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3,867,914.36</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4,345,988.56</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-4,345,988.56</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r>
      <w:tr w:rsidR="002A30A5" w:rsidRPr="002A30A5" w:rsidTr="002A30A5">
        <w:trPr>
          <w:trHeight w:val="255"/>
          <w:jc w:val="center"/>
        </w:trPr>
        <w:tc>
          <w:tcPr>
            <w:tcW w:w="126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Gambia</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Res.  41 - 2016</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192,014.03</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206,553.98</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-206,553.98</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r>
      <w:tr w:rsidR="002A30A5" w:rsidRPr="002A30A5" w:rsidTr="002A30A5">
        <w:trPr>
          <w:trHeight w:val="255"/>
          <w:jc w:val="center"/>
        </w:trPr>
        <w:tc>
          <w:tcPr>
            <w:tcW w:w="126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Nicaragua</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Res.  41 - 2016</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1,462,488.98</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1,642,994.28</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98,579.65</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1,741,573.93</w:t>
            </w:r>
          </w:p>
        </w:tc>
      </w:tr>
      <w:tr w:rsidR="002A30A5" w:rsidRPr="002A30A5" w:rsidTr="002A30A5">
        <w:trPr>
          <w:trHeight w:val="255"/>
          <w:jc w:val="center"/>
        </w:trPr>
        <w:tc>
          <w:tcPr>
            <w:tcW w:w="126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Sierra Leone</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Res.  41- 2017</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2,744,076.19</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2,744,076.19</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-2,744,076.19</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r>
      <w:tr w:rsidR="002A30A5" w:rsidRPr="002A30A5" w:rsidTr="002A30A5">
        <w:trPr>
          <w:trHeight w:val="255"/>
          <w:jc w:val="center"/>
        </w:trPr>
        <w:tc>
          <w:tcPr>
            <w:tcW w:w="126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Equatorial Guinea</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Res.  41- 2018</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118,043.75</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118,043.75</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118,043.75</w:t>
            </w:r>
          </w:p>
        </w:tc>
      </w:tr>
      <w:tr w:rsidR="002A30A5" w:rsidRPr="002A30A5" w:rsidTr="002A30A5">
        <w:trPr>
          <w:trHeight w:val="255"/>
          <w:jc w:val="center"/>
        </w:trPr>
        <w:tc>
          <w:tcPr>
            <w:tcW w:w="126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r>
      <w:tr w:rsidR="002A30A5" w:rsidRPr="002A30A5" w:rsidTr="002A30A5">
        <w:trPr>
          <w:trHeight w:val="255"/>
          <w:jc w:val="center"/>
        </w:trPr>
        <w:tc>
          <w:tcPr>
            <w:tcW w:w="126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2A30A5">
              <w:rPr>
                <w:b/>
                <w:bCs/>
                <w:sz w:val="20"/>
                <w:lang w:val="en-US" w:eastAsia="zh-CN"/>
              </w:rPr>
              <w:t>Sector Members/Companies</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r>
      <w:tr w:rsidR="002A30A5" w:rsidRPr="002A30A5" w:rsidTr="002A30A5">
        <w:trPr>
          <w:trHeight w:val="255"/>
          <w:jc w:val="center"/>
        </w:trPr>
        <w:tc>
          <w:tcPr>
            <w:tcW w:w="126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2A30A5">
              <w:rPr>
                <w:b/>
                <w:bCs/>
                <w:sz w:val="20"/>
                <w:lang w:val="en-US" w:eastAsia="zh-CN"/>
              </w:rPr>
              <w:t> </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r>
      <w:tr w:rsidR="002A30A5" w:rsidRPr="002A30A5" w:rsidTr="002A30A5">
        <w:trPr>
          <w:trHeight w:val="255"/>
          <w:jc w:val="center"/>
        </w:trPr>
        <w:tc>
          <w:tcPr>
            <w:tcW w:w="126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TIT, Lebanon</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Res.  41 - 2008</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25,000.00</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42,236.90</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2,534.20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44,771.10</w:t>
            </w:r>
          </w:p>
        </w:tc>
      </w:tr>
      <w:tr w:rsidR="002A30A5" w:rsidRPr="002A30A5" w:rsidTr="002A30A5">
        <w:trPr>
          <w:trHeight w:val="255"/>
          <w:jc w:val="center"/>
        </w:trPr>
        <w:tc>
          <w:tcPr>
            <w:tcW w:w="126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Cameroon Telecomm., Cameroon</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Res.  41 - 2014</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149,588.50</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159,765.85</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9,585.95</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169,351.80</w:t>
            </w:r>
          </w:p>
        </w:tc>
      </w:tr>
      <w:tr w:rsidR="002A30A5" w:rsidRPr="002A30A5" w:rsidTr="002A30A5">
        <w:trPr>
          <w:trHeight w:val="255"/>
          <w:jc w:val="center"/>
        </w:trPr>
        <w:tc>
          <w:tcPr>
            <w:tcW w:w="126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roofErr w:type="spellStart"/>
            <w:r w:rsidRPr="002A30A5">
              <w:rPr>
                <w:sz w:val="20"/>
                <w:lang w:val="en-US" w:eastAsia="zh-CN"/>
              </w:rPr>
              <w:t>Ellipsat</w:t>
            </w:r>
            <w:proofErr w:type="spellEnd"/>
            <w:r w:rsidRPr="002A30A5">
              <w:rPr>
                <w:sz w:val="20"/>
                <w:lang w:val="en-US" w:eastAsia="zh-CN"/>
              </w:rPr>
              <w:t xml:space="preserve"> Inc., United States</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Res.  41 - 2015</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27,865.90</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27,865.90</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1,671.95</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29,537.85</w:t>
            </w:r>
          </w:p>
        </w:tc>
      </w:tr>
      <w:tr w:rsidR="002A30A5" w:rsidRPr="002A30A5" w:rsidTr="002A30A5">
        <w:trPr>
          <w:trHeight w:val="510"/>
          <w:jc w:val="center"/>
        </w:trPr>
        <w:tc>
          <w:tcPr>
            <w:tcW w:w="1268" w:type="pct"/>
            <w:tcBorders>
              <w:top w:val="nil"/>
              <w:left w:val="single" w:sz="4" w:space="0" w:color="auto"/>
              <w:bottom w:val="nil"/>
              <w:right w:val="single" w:sz="4" w:space="0" w:color="auto"/>
            </w:tcBorders>
            <w:shd w:val="clear" w:color="auto" w:fill="auto"/>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roofErr w:type="spellStart"/>
            <w:r w:rsidRPr="002A30A5">
              <w:rPr>
                <w:sz w:val="20"/>
                <w:lang w:val="en-US" w:eastAsia="zh-CN"/>
              </w:rPr>
              <w:t>Apprentissages</w:t>
            </w:r>
            <w:proofErr w:type="spellEnd"/>
            <w:r w:rsidRPr="002A30A5">
              <w:rPr>
                <w:sz w:val="20"/>
                <w:lang w:val="en-US" w:eastAsia="zh-CN"/>
              </w:rPr>
              <w:t xml:space="preserve"> sans </w:t>
            </w:r>
            <w:proofErr w:type="spellStart"/>
            <w:r w:rsidRPr="002A30A5">
              <w:rPr>
                <w:sz w:val="20"/>
                <w:lang w:val="en-US" w:eastAsia="zh-CN"/>
              </w:rPr>
              <w:t>Frontières</w:t>
            </w:r>
            <w:proofErr w:type="spellEnd"/>
            <w:r w:rsidRPr="002A30A5">
              <w:rPr>
                <w:sz w:val="20"/>
                <w:lang w:val="en-US" w:eastAsia="zh-CN"/>
              </w:rPr>
              <w:t>, Switzerland</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Res.  41 - 2016</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6,658.15</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7,269.40</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436.15</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0.00</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2A30A5">
              <w:rPr>
                <w:sz w:val="20"/>
                <w:lang w:val="en-US" w:eastAsia="zh-CN"/>
              </w:rPr>
              <w:t>7,705.55</w:t>
            </w:r>
          </w:p>
        </w:tc>
      </w:tr>
      <w:tr w:rsidR="002A30A5" w:rsidRPr="002A30A5" w:rsidTr="002A30A5">
        <w:trPr>
          <w:trHeight w:val="255"/>
          <w:jc w:val="center"/>
        </w:trPr>
        <w:tc>
          <w:tcPr>
            <w:tcW w:w="1268" w:type="pct"/>
            <w:tcBorders>
              <w:top w:val="nil"/>
              <w:left w:val="single" w:sz="4" w:space="0" w:color="auto"/>
              <w:bottom w:val="nil"/>
              <w:right w:val="single" w:sz="4" w:space="0" w:color="auto"/>
            </w:tcBorders>
            <w:shd w:val="clear" w:color="auto" w:fill="auto"/>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586"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601"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508" w:type="pct"/>
            <w:tcBorders>
              <w:top w:val="nil"/>
              <w:left w:val="single" w:sz="4" w:space="0" w:color="auto"/>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542"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498" w:type="pct"/>
            <w:tcBorders>
              <w:top w:val="nil"/>
              <w:left w:val="nil"/>
              <w:bottom w:val="nil"/>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r>
      <w:tr w:rsidR="002A30A5" w:rsidRPr="002A30A5" w:rsidTr="002A30A5">
        <w:trPr>
          <w:trHeight w:val="255"/>
          <w:jc w:val="center"/>
        </w:trPr>
        <w:tc>
          <w:tcPr>
            <w:tcW w:w="12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r w:rsidRPr="002A30A5">
              <w:rPr>
                <w:b/>
                <w:bCs/>
                <w:sz w:val="20"/>
                <w:lang w:val="en-US" w:eastAsia="zh-CN"/>
              </w:rPr>
              <w:t>Total at 31 December 2018</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2A30A5">
              <w:rPr>
                <w:sz w:val="20"/>
                <w:lang w:val="en-US" w:eastAsia="zh-CN"/>
              </w:rPr>
              <w:t> </w:t>
            </w:r>
          </w:p>
        </w:tc>
        <w:tc>
          <w:tcPr>
            <w:tcW w:w="601" w:type="pct"/>
            <w:tcBorders>
              <w:top w:val="single" w:sz="4" w:space="0" w:color="auto"/>
              <w:left w:val="nil"/>
              <w:bottom w:val="single" w:sz="4" w:space="0" w:color="auto"/>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2A30A5">
              <w:rPr>
                <w:b/>
                <w:bCs/>
                <w:sz w:val="20"/>
                <w:u w:val="single"/>
                <w:lang w:val="en-US" w:eastAsia="zh-CN"/>
              </w:rPr>
              <w:t>10,854,300.33</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2A30A5">
              <w:rPr>
                <w:b/>
                <w:bCs/>
                <w:sz w:val="20"/>
                <w:u w:val="single"/>
                <w:lang w:val="en-US" w:eastAsia="zh-CN"/>
              </w:rPr>
              <w:t>13,393,892.73</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2A30A5">
              <w:rPr>
                <w:b/>
                <w:bCs/>
                <w:sz w:val="20"/>
                <w:u w:val="single"/>
                <w:lang w:val="en-US" w:eastAsia="zh-CN"/>
              </w:rPr>
              <w:t>-11,395,716.65</w:t>
            </w: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2A30A5">
              <w:rPr>
                <w:b/>
                <w:bCs/>
                <w:sz w:val="20"/>
                <w:u w:val="single"/>
                <w:lang w:val="en-US" w:eastAsia="zh-CN"/>
              </w:rPr>
              <w:t>112,807.90</w:t>
            </w: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2A30A5">
              <w:rPr>
                <w:b/>
                <w:bCs/>
                <w:sz w:val="20"/>
                <w:u w:val="single"/>
                <w:lang w:val="en-US" w:eastAsia="zh-CN"/>
              </w:rPr>
              <w:t>0.00</w:t>
            </w: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rsidR="002A30A5" w:rsidRPr="002A30A5" w:rsidRDefault="002A30A5" w:rsidP="002A30A5">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2A30A5">
              <w:rPr>
                <w:b/>
                <w:bCs/>
                <w:sz w:val="20"/>
                <w:u w:val="single"/>
                <w:lang w:val="en-US" w:eastAsia="zh-CN"/>
              </w:rPr>
              <w:t>2,110,983.98</w:t>
            </w:r>
          </w:p>
        </w:tc>
      </w:tr>
    </w:tbl>
    <w:p w:rsidR="002A30A5" w:rsidRPr="002A30A5" w:rsidRDefault="002A30A5" w:rsidP="002A30A5">
      <w:pPr>
        <w:spacing w:after="120"/>
        <w:jc w:val="center"/>
        <w:rPr>
          <w:b/>
          <w:bCs/>
          <w:sz w:val="28"/>
          <w:szCs w:val="28"/>
        </w:rPr>
        <w:sectPr w:rsidR="002A30A5" w:rsidRPr="002A30A5" w:rsidSect="005A70E3">
          <w:pgSz w:w="15840" w:h="12240" w:orient="landscape"/>
          <w:pgMar w:top="568" w:right="720" w:bottom="720" w:left="720" w:header="278" w:footer="709" w:gutter="0"/>
          <w:cols w:space="708"/>
          <w:docGrid w:linePitch="360"/>
        </w:sectPr>
      </w:pPr>
    </w:p>
    <w:p w:rsidR="00996A87" w:rsidRDefault="00996A87" w:rsidP="000131DC">
      <w:pPr>
        <w:rPr>
          <w:rFonts w:asciiTheme="minorHAnsi" w:hAnsiTheme="minorHAnsi"/>
          <w:sz w:val="22"/>
          <w:szCs w:val="18"/>
          <w:lang w:val="fr-CH"/>
        </w:rPr>
      </w:pPr>
    </w:p>
    <w:p w:rsidR="00A30209" w:rsidRPr="00A30209" w:rsidRDefault="00A30209" w:rsidP="00421B13">
      <w:pPr>
        <w:spacing w:after="360"/>
        <w:jc w:val="center"/>
        <w:rPr>
          <w:rFonts w:asciiTheme="minorHAnsi" w:hAnsiTheme="minorHAnsi"/>
          <w:sz w:val="22"/>
          <w:szCs w:val="18"/>
          <w:lang w:val="en-US"/>
        </w:rPr>
      </w:pPr>
      <w:r w:rsidRPr="00A30209">
        <w:rPr>
          <w:rFonts w:asciiTheme="minorHAnsi" w:hAnsiTheme="minorHAnsi"/>
          <w:b/>
          <w:bCs/>
          <w:lang w:val="en-US"/>
        </w:rPr>
        <w:t>AMOUNTS DUE IN RESPECT OF INVOICES ESTABLISHED FOR SATELLITE NETWORK FILINGS</w:t>
      </w:r>
    </w:p>
    <w:tbl>
      <w:tblPr>
        <w:tblW w:w="5000" w:type="pct"/>
        <w:tblLook w:val="04A0" w:firstRow="1" w:lastRow="0" w:firstColumn="1" w:lastColumn="0" w:noHBand="0" w:noVBand="1"/>
      </w:tblPr>
      <w:tblGrid>
        <w:gridCol w:w="5699"/>
        <w:gridCol w:w="2226"/>
        <w:gridCol w:w="1176"/>
        <w:gridCol w:w="1356"/>
      </w:tblGrid>
      <w:tr w:rsidR="00A30209" w:rsidRPr="00A30209" w:rsidTr="00A30209">
        <w:trPr>
          <w:trHeight w:val="405"/>
        </w:trPr>
        <w:tc>
          <w:tcPr>
            <w:tcW w:w="3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0209">
              <w:rPr>
                <w:b/>
                <w:bCs/>
                <w:sz w:val="22"/>
                <w:szCs w:val="22"/>
                <w:lang w:val="en-US" w:eastAsia="zh-CN"/>
              </w:rPr>
              <w:t>Notifying Administration</w:t>
            </w:r>
          </w:p>
        </w:tc>
        <w:tc>
          <w:tcPr>
            <w:tcW w:w="1107" w:type="pct"/>
            <w:tcBorders>
              <w:top w:val="single" w:sz="4" w:space="0" w:color="auto"/>
              <w:left w:val="nil"/>
              <w:bottom w:val="single" w:sz="4" w:space="0" w:color="auto"/>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0209">
              <w:rPr>
                <w:b/>
                <w:bCs/>
                <w:sz w:val="22"/>
                <w:szCs w:val="22"/>
                <w:lang w:val="en-US" w:eastAsia="zh-CN"/>
              </w:rPr>
              <w:t>Operating Entity</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0209">
              <w:rPr>
                <w:b/>
                <w:bCs/>
                <w:sz w:val="22"/>
                <w:szCs w:val="22"/>
                <w:lang w:val="en-US" w:eastAsia="zh-CN"/>
              </w:rPr>
              <w:t>Year</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0209">
              <w:rPr>
                <w:b/>
                <w:bCs/>
                <w:sz w:val="22"/>
                <w:szCs w:val="22"/>
                <w:lang w:val="en-US" w:eastAsia="zh-CN"/>
              </w:rPr>
              <w:t>Amount due</w:t>
            </w:r>
          </w:p>
        </w:tc>
      </w:tr>
      <w:tr w:rsidR="00A30209" w:rsidRPr="00A30209" w:rsidTr="00A30209">
        <w:trPr>
          <w:trHeight w:val="900"/>
        </w:trPr>
        <w:tc>
          <w:tcPr>
            <w:tcW w:w="3005" w:type="pct"/>
            <w:tcBorders>
              <w:top w:val="nil"/>
              <w:left w:val="single" w:sz="4" w:space="0" w:color="auto"/>
              <w:bottom w:val="nil"/>
              <w:right w:val="single" w:sz="4" w:space="0" w:color="auto"/>
            </w:tcBorders>
            <w:shd w:val="clear" w:color="auto" w:fill="auto"/>
            <w:noWrap/>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A30209">
              <w:rPr>
                <w:b/>
                <w:bCs/>
                <w:sz w:val="22"/>
                <w:szCs w:val="22"/>
                <w:lang w:val="en-US" w:eastAsia="zh-CN"/>
              </w:rPr>
              <w:t>Iran</w:t>
            </w:r>
          </w:p>
        </w:tc>
        <w:tc>
          <w:tcPr>
            <w:tcW w:w="1107" w:type="pct"/>
            <w:tcBorders>
              <w:top w:val="nil"/>
              <w:left w:val="nil"/>
              <w:bottom w:val="nil"/>
              <w:right w:val="single" w:sz="4" w:space="0" w:color="auto"/>
            </w:tcBorders>
            <w:shd w:val="clear" w:color="auto" w:fill="auto"/>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Ministry of Information &amp; Communication Technology (MICT), Tehran</w:t>
            </w:r>
          </w:p>
        </w:tc>
        <w:tc>
          <w:tcPr>
            <w:tcW w:w="456" w:type="pct"/>
            <w:tcBorders>
              <w:top w:val="nil"/>
              <w:left w:val="nil"/>
              <w:bottom w:val="nil"/>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0209">
              <w:rPr>
                <w:sz w:val="22"/>
                <w:szCs w:val="22"/>
                <w:lang w:val="en-US" w:eastAsia="zh-CN"/>
              </w:rPr>
              <w:t>2012</w:t>
            </w:r>
          </w:p>
        </w:tc>
        <w:tc>
          <w:tcPr>
            <w:tcW w:w="432" w:type="pct"/>
            <w:tcBorders>
              <w:top w:val="nil"/>
              <w:left w:val="nil"/>
              <w:bottom w:val="nil"/>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0209">
              <w:rPr>
                <w:sz w:val="22"/>
                <w:szCs w:val="22"/>
                <w:lang w:val="en-US" w:eastAsia="zh-CN"/>
              </w:rPr>
              <w:t>3,315.15</w:t>
            </w:r>
          </w:p>
        </w:tc>
      </w:tr>
      <w:tr w:rsidR="00A30209" w:rsidRPr="00A30209" w:rsidTr="00A30209">
        <w:trPr>
          <w:trHeight w:val="600"/>
        </w:trPr>
        <w:tc>
          <w:tcPr>
            <w:tcW w:w="3005" w:type="pct"/>
            <w:tcBorders>
              <w:top w:val="nil"/>
              <w:left w:val="single" w:sz="4" w:space="0" w:color="auto"/>
              <w:bottom w:val="nil"/>
              <w:right w:val="single" w:sz="4" w:space="0" w:color="auto"/>
            </w:tcBorders>
            <w:shd w:val="clear" w:color="auto" w:fill="auto"/>
            <w:noWrap/>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A30209">
              <w:rPr>
                <w:b/>
                <w:bCs/>
                <w:sz w:val="22"/>
                <w:szCs w:val="22"/>
                <w:lang w:val="en-US" w:eastAsia="zh-CN"/>
              </w:rPr>
              <w:t>Nigeria</w:t>
            </w:r>
          </w:p>
        </w:tc>
        <w:tc>
          <w:tcPr>
            <w:tcW w:w="1107" w:type="pct"/>
            <w:tcBorders>
              <w:top w:val="nil"/>
              <w:left w:val="nil"/>
              <w:bottom w:val="nil"/>
              <w:right w:val="single" w:sz="4" w:space="0" w:color="auto"/>
            </w:tcBorders>
            <w:shd w:val="clear" w:color="auto" w:fill="auto"/>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Federal Ministry of Communication Technology, Abuja</w:t>
            </w:r>
          </w:p>
        </w:tc>
        <w:tc>
          <w:tcPr>
            <w:tcW w:w="456" w:type="pct"/>
            <w:tcBorders>
              <w:top w:val="nil"/>
              <w:left w:val="nil"/>
              <w:bottom w:val="nil"/>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0209">
              <w:rPr>
                <w:sz w:val="22"/>
                <w:szCs w:val="22"/>
                <w:lang w:val="en-US" w:eastAsia="zh-CN"/>
              </w:rPr>
              <w:t>2012</w:t>
            </w:r>
          </w:p>
        </w:tc>
        <w:tc>
          <w:tcPr>
            <w:tcW w:w="432" w:type="pct"/>
            <w:tcBorders>
              <w:top w:val="nil"/>
              <w:left w:val="nil"/>
              <w:bottom w:val="nil"/>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0209">
              <w:rPr>
                <w:sz w:val="22"/>
                <w:szCs w:val="22"/>
                <w:lang w:val="en-US" w:eastAsia="zh-CN"/>
              </w:rPr>
              <w:t>2,171.95</w:t>
            </w:r>
          </w:p>
        </w:tc>
      </w:tr>
      <w:tr w:rsidR="00A30209" w:rsidRPr="00A30209" w:rsidTr="00A30209">
        <w:trPr>
          <w:trHeight w:val="195"/>
        </w:trPr>
        <w:tc>
          <w:tcPr>
            <w:tcW w:w="3005" w:type="pct"/>
            <w:tcBorders>
              <w:top w:val="nil"/>
              <w:left w:val="single" w:sz="4" w:space="0" w:color="auto"/>
              <w:bottom w:val="nil"/>
              <w:right w:val="single" w:sz="4" w:space="0" w:color="auto"/>
            </w:tcBorders>
            <w:shd w:val="clear" w:color="auto" w:fill="auto"/>
            <w:noWrap/>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A30209">
              <w:rPr>
                <w:b/>
                <w:bCs/>
                <w:sz w:val="22"/>
                <w:szCs w:val="22"/>
                <w:lang w:val="en-US" w:eastAsia="zh-CN"/>
              </w:rPr>
              <w:t> </w:t>
            </w:r>
          </w:p>
        </w:tc>
        <w:tc>
          <w:tcPr>
            <w:tcW w:w="1107" w:type="pct"/>
            <w:tcBorders>
              <w:top w:val="nil"/>
              <w:left w:val="nil"/>
              <w:bottom w:val="nil"/>
              <w:right w:val="single" w:sz="4" w:space="0" w:color="auto"/>
            </w:tcBorders>
            <w:shd w:val="clear" w:color="auto" w:fill="auto"/>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w:t>
            </w:r>
          </w:p>
        </w:tc>
        <w:tc>
          <w:tcPr>
            <w:tcW w:w="456" w:type="pct"/>
            <w:tcBorders>
              <w:top w:val="nil"/>
              <w:left w:val="nil"/>
              <w:bottom w:val="nil"/>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0209">
              <w:rPr>
                <w:sz w:val="22"/>
                <w:szCs w:val="22"/>
                <w:lang w:val="en-US" w:eastAsia="zh-CN"/>
              </w:rPr>
              <w:t> </w:t>
            </w:r>
          </w:p>
        </w:tc>
        <w:tc>
          <w:tcPr>
            <w:tcW w:w="432" w:type="pct"/>
            <w:tcBorders>
              <w:top w:val="nil"/>
              <w:left w:val="nil"/>
              <w:bottom w:val="nil"/>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0209">
              <w:rPr>
                <w:sz w:val="22"/>
                <w:szCs w:val="22"/>
                <w:lang w:val="en-US" w:eastAsia="zh-CN"/>
              </w:rPr>
              <w:t> </w:t>
            </w:r>
          </w:p>
        </w:tc>
      </w:tr>
      <w:tr w:rsidR="00A30209" w:rsidRPr="00A30209" w:rsidTr="00A30209">
        <w:trPr>
          <w:trHeight w:val="630"/>
        </w:trPr>
        <w:tc>
          <w:tcPr>
            <w:tcW w:w="3005" w:type="pct"/>
            <w:tcBorders>
              <w:top w:val="nil"/>
              <w:left w:val="single" w:sz="4" w:space="0" w:color="auto"/>
              <w:bottom w:val="nil"/>
              <w:right w:val="single" w:sz="4" w:space="0" w:color="auto"/>
            </w:tcBorders>
            <w:shd w:val="clear" w:color="auto" w:fill="auto"/>
            <w:noWrap/>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A30209">
              <w:rPr>
                <w:b/>
                <w:bCs/>
                <w:sz w:val="22"/>
                <w:szCs w:val="22"/>
                <w:lang w:val="en-US" w:eastAsia="zh-CN"/>
              </w:rPr>
              <w:t>Russian Federation</w:t>
            </w:r>
          </w:p>
        </w:tc>
        <w:tc>
          <w:tcPr>
            <w:tcW w:w="1107" w:type="pct"/>
            <w:tcBorders>
              <w:top w:val="nil"/>
              <w:left w:val="nil"/>
              <w:bottom w:val="nil"/>
              <w:right w:val="single" w:sz="4" w:space="0" w:color="auto"/>
            </w:tcBorders>
            <w:shd w:val="clear" w:color="auto" w:fill="auto"/>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EA SAT Closed Joint Stock Company, Moscow</w:t>
            </w:r>
          </w:p>
        </w:tc>
        <w:tc>
          <w:tcPr>
            <w:tcW w:w="456" w:type="pct"/>
            <w:tcBorders>
              <w:top w:val="nil"/>
              <w:left w:val="nil"/>
              <w:bottom w:val="nil"/>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0209">
              <w:rPr>
                <w:sz w:val="22"/>
                <w:szCs w:val="22"/>
                <w:lang w:val="en-US" w:eastAsia="zh-CN"/>
              </w:rPr>
              <w:t>2014</w:t>
            </w:r>
          </w:p>
        </w:tc>
        <w:tc>
          <w:tcPr>
            <w:tcW w:w="432" w:type="pct"/>
            <w:tcBorders>
              <w:top w:val="nil"/>
              <w:left w:val="nil"/>
              <w:bottom w:val="nil"/>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0209">
              <w:rPr>
                <w:sz w:val="22"/>
                <w:szCs w:val="22"/>
                <w:lang w:val="en-US" w:eastAsia="zh-CN"/>
              </w:rPr>
              <w:t>93,202.55</w:t>
            </w:r>
          </w:p>
        </w:tc>
      </w:tr>
      <w:tr w:rsidR="00A30209" w:rsidRPr="00A30209" w:rsidTr="00A30209">
        <w:trPr>
          <w:trHeight w:val="630"/>
        </w:trPr>
        <w:tc>
          <w:tcPr>
            <w:tcW w:w="3005" w:type="pct"/>
            <w:tcBorders>
              <w:top w:val="nil"/>
              <w:left w:val="single" w:sz="4" w:space="0" w:color="auto"/>
              <w:bottom w:val="nil"/>
              <w:right w:val="single" w:sz="4" w:space="0" w:color="auto"/>
            </w:tcBorders>
            <w:shd w:val="clear" w:color="auto" w:fill="auto"/>
            <w:noWrap/>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A30209">
              <w:rPr>
                <w:b/>
                <w:bCs/>
                <w:sz w:val="22"/>
                <w:szCs w:val="22"/>
                <w:lang w:val="en-US" w:eastAsia="zh-CN"/>
              </w:rPr>
              <w:t> </w:t>
            </w:r>
          </w:p>
        </w:tc>
        <w:tc>
          <w:tcPr>
            <w:tcW w:w="1107" w:type="pct"/>
            <w:tcBorders>
              <w:top w:val="nil"/>
              <w:left w:val="nil"/>
              <w:bottom w:val="nil"/>
              <w:right w:val="single" w:sz="4" w:space="0" w:color="auto"/>
            </w:tcBorders>
            <w:shd w:val="clear" w:color="auto" w:fill="auto"/>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Global Information Systems GIS</w:t>
            </w:r>
          </w:p>
        </w:tc>
        <w:tc>
          <w:tcPr>
            <w:tcW w:w="456" w:type="pct"/>
            <w:tcBorders>
              <w:top w:val="nil"/>
              <w:left w:val="nil"/>
              <w:bottom w:val="nil"/>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0209">
              <w:rPr>
                <w:sz w:val="22"/>
                <w:szCs w:val="22"/>
                <w:lang w:val="en-US" w:eastAsia="zh-CN"/>
              </w:rPr>
              <w:t>2003</w:t>
            </w:r>
          </w:p>
        </w:tc>
        <w:tc>
          <w:tcPr>
            <w:tcW w:w="432" w:type="pct"/>
            <w:tcBorders>
              <w:top w:val="nil"/>
              <w:left w:val="nil"/>
              <w:bottom w:val="nil"/>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0209">
              <w:rPr>
                <w:sz w:val="22"/>
                <w:szCs w:val="22"/>
                <w:lang w:val="en-US" w:eastAsia="zh-CN"/>
              </w:rPr>
              <w:t>156,663.86</w:t>
            </w:r>
          </w:p>
        </w:tc>
      </w:tr>
      <w:tr w:rsidR="00A30209" w:rsidRPr="00A30209" w:rsidTr="00A30209">
        <w:trPr>
          <w:trHeight w:val="195"/>
        </w:trPr>
        <w:tc>
          <w:tcPr>
            <w:tcW w:w="3005" w:type="pct"/>
            <w:tcBorders>
              <w:top w:val="nil"/>
              <w:left w:val="single" w:sz="4" w:space="0" w:color="auto"/>
              <w:bottom w:val="nil"/>
              <w:right w:val="single" w:sz="4" w:space="0" w:color="auto"/>
            </w:tcBorders>
            <w:shd w:val="clear" w:color="auto" w:fill="auto"/>
            <w:noWrap/>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A30209">
              <w:rPr>
                <w:b/>
                <w:bCs/>
                <w:sz w:val="22"/>
                <w:szCs w:val="22"/>
                <w:lang w:val="en-US" w:eastAsia="zh-CN"/>
              </w:rPr>
              <w:t> </w:t>
            </w:r>
          </w:p>
        </w:tc>
        <w:tc>
          <w:tcPr>
            <w:tcW w:w="1107" w:type="pct"/>
            <w:tcBorders>
              <w:top w:val="nil"/>
              <w:left w:val="nil"/>
              <w:bottom w:val="nil"/>
              <w:right w:val="single" w:sz="4" w:space="0" w:color="auto"/>
            </w:tcBorders>
            <w:shd w:val="clear" w:color="auto" w:fill="auto"/>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w:t>
            </w:r>
          </w:p>
        </w:tc>
        <w:tc>
          <w:tcPr>
            <w:tcW w:w="456" w:type="pct"/>
            <w:tcBorders>
              <w:top w:val="nil"/>
              <w:left w:val="nil"/>
              <w:bottom w:val="nil"/>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0209">
              <w:rPr>
                <w:sz w:val="22"/>
                <w:szCs w:val="22"/>
                <w:lang w:val="en-US" w:eastAsia="zh-CN"/>
              </w:rPr>
              <w:t> </w:t>
            </w:r>
          </w:p>
        </w:tc>
        <w:tc>
          <w:tcPr>
            <w:tcW w:w="432" w:type="pct"/>
            <w:tcBorders>
              <w:top w:val="nil"/>
              <w:left w:val="nil"/>
              <w:bottom w:val="nil"/>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0209">
              <w:rPr>
                <w:sz w:val="22"/>
                <w:szCs w:val="22"/>
                <w:lang w:val="en-US" w:eastAsia="zh-CN"/>
              </w:rPr>
              <w:t> </w:t>
            </w:r>
          </w:p>
        </w:tc>
      </w:tr>
      <w:tr w:rsidR="00A30209" w:rsidRPr="00A30209" w:rsidTr="00A30209">
        <w:trPr>
          <w:trHeight w:val="630"/>
        </w:trPr>
        <w:tc>
          <w:tcPr>
            <w:tcW w:w="3005" w:type="pct"/>
            <w:tcBorders>
              <w:top w:val="nil"/>
              <w:left w:val="single" w:sz="4" w:space="0" w:color="auto"/>
              <w:bottom w:val="nil"/>
              <w:right w:val="single" w:sz="4" w:space="0" w:color="auto"/>
            </w:tcBorders>
            <w:shd w:val="clear" w:color="auto" w:fill="auto"/>
            <w:noWrap/>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A30209">
              <w:rPr>
                <w:b/>
                <w:bCs/>
                <w:sz w:val="22"/>
                <w:szCs w:val="22"/>
                <w:lang w:val="en-US" w:eastAsia="zh-CN"/>
              </w:rPr>
              <w:t>United States of America</w:t>
            </w:r>
          </w:p>
        </w:tc>
        <w:tc>
          <w:tcPr>
            <w:tcW w:w="1107" w:type="pct"/>
            <w:tcBorders>
              <w:top w:val="nil"/>
              <w:left w:val="nil"/>
              <w:bottom w:val="nil"/>
              <w:right w:val="single" w:sz="4" w:space="0" w:color="auto"/>
            </w:tcBorders>
            <w:shd w:val="clear" w:color="auto" w:fill="auto"/>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Leading Technologies, LLC</w:t>
            </w:r>
          </w:p>
        </w:tc>
        <w:tc>
          <w:tcPr>
            <w:tcW w:w="456" w:type="pct"/>
            <w:tcBorders>
              <w:top w:val="nil"/>
              <w:left w:val="nil"/>
              <w:bottom w:val="nil"/>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0209">
              <w:rPr>
                <w:sz w:val="22"/>
                <w:szCs w:val="22"/>
                <w:lang w:val="en-US" w:eastAsia="zh-CN"/>
              </w:rPr>
              <w:t>2008-2009</w:t>
            </w:r>
          </w:p>
        </w:tc>
        <w:tc>
          <w:tcPr>
            <w:tcW w:w="432" w:type="pct"/>
            <w:tcBorders>
              <w:top w:val="nil"/>
              <w:left w:val="nil"/>
              <w:bottom w:val="nil"/>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0209">
              <w:rPr>
                <w:sz w:val="22"/>
                <w:szCs w:val="22"/>
                <w:lang w:val="en-US" w:eastAsia="zh-CN"/>
              </w:rPr>
              <w:t>128,592.45</w:t>
            </w:r>
          </w:p>
        </w:tc>
      </w:tr>
      <w:tr w:rsidR="00A30209" w:rsidRPr="00A30209" w:rsidTr="00A30209">
        <w:trPr>
          <w:trHeight w:val="630"/>
        </w:trPr>
        <w:tc>
          <w:tcPr>
            <w:tcW w:w="3005" w:type="pct"/>
            <w:tcBorders>
              <w:top w:val="nil"/>
              <w:left w:val="single" w:sz="4" w:space="0" w:color="auto"/>
              <w:bottom w:val="nil"/>
              <w:right w:val="single" w:sz="4" w:space="0" w:color="auto"/>
            </w:tcBorders>
            <w:shd w:val="clear" w:color="auto" w:fill="auto"/>
            <w:noWrap/>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A30209">
              <w:rPr>
                <w:b/>
                <w:bCs/>
                <w:sz w:val="22"/>
                <w:szCs w:val="22"/>
                <w:lang w:val="en-US" w:eastAsia="zh-CN"/>
              </w:rPr>
              <w:t> </w:t>
            </w:r>
          </w:p>
        </w:tc>
        <w:tc>
          <w:tcPr>
            <w:tcW w:w="1107" w:type="pct"/>
            <w:tcBorders>
              <w:top w:val="nil"/>
              <w:left w:val="nil"/>
              <w:bottom w:val="nil"/>
              <w:right w:val="single" w:sz="4" w:space="0" w:color="auto"/>
            </w:tcBorders>
            <w:shd w:val="clear" w:color="auto" w:fill="auto"/>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Steptoe &amp; Johnson LLP</w:t>
            </w:r>
          </w:p>
        </w:tc>
        <w:tc>
          <w:tcPr>
            <w:tcW w:w="456" w:type="pct"/>
            <w:tcBorders>
              <w:top w:val="nil"/>
              <w:left w:val="nil"/>
              <w:bottom w:val="nil"/>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0209">
              <w:rPr>
                <w:sz w:val="22"/>
                <w:szCs w:val="22"/>
                <w:lang w:val="en-US" w:eastAsia="zh-CN"/>
              </w:rPr>
              <w:t>2017</w:t>
            </w:r>
          </w:p>
        </w:tc>
        <w:tc>
          <w:tcPr>
            <w:tcW w:w="432" w:type="pct"/>
            <w:tcBorders>
              <w:top w:val="nil"/>
              <w:left w:val="nil"/>
              <w:bottom w:val="nil"/>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0209">
              <w:rPr>
                <w:sz w:val="22"/>
                <w:szCs w:val="22"/>
                <w:lang w:val="en-US" w:eastAsia="zh-CN"/>
              </w:rPr>
              <w:t>72.85</w:t>
            </w:r>
          </w:p>
        </w:tc>
      </w:tr>
      <w:tr w:rsidR="00A30209" w:rsidRPr="00A30209" w:rsidTr="00A30209">
        <w:trPr>
          <w:trHeight w:val="510"/>
        </w:trPr>
        <w:tc>
          <w:tcPr>
            <w:tcW w:w="3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A30209">
              <w:rPr>
                <w:b/>
                <w:bCs/>
                <w:sz w:val="22"/>
                <w:szCs w:val="22"/>
                <w:lang w:val="en-US" w:eastAsia="zh-CN"/>
              </w:rPr>
              <w:t>Total Arrears at 31.12.2018</w:t>
            </w:r>
          </w:p>
        </w:tc>
        <w:tc>
          <w:tcPr>
            <w:tcW w:w="1107" w:type="pct"/>
            <w:tcBorders>
              <w:top w:val="single" w:sz="4" w:space="0" w:color="auto"/>
              <w:left w:val="nil"/>
              <w:bottom w:val="single" w:sz="4" w:space="0" w:color="auto"/>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A30209">
              <w:rPr>
                <w:b/>
                <w:bCs/>
                <w:sz w:val="22"/>
                <w:szCs w:val="22"/>
                <w:lang w:val="en-US" w:eastAsia="zh-CN"/>
              </w:rPr>
              <w:t>384,018.81</w:t>
            </w:r>
          </w:p>
        </w:tc>
      </w:tr>
      <w:tr w:rsidR="00A30209" w:rsidRPr="00A30209" w:rsidTr="00A30209">
        <w:trPr>
          <w:trHeight w:val="300"/>
        </w:trPr>
        <w:tc>
          <w:tcPr>
            <w:tcW w:w="3005" w:type="pct"/>
            <w:tcBorders>
              <w:top w:val="nil"/>
              <w:left w:val="nil"/>
              <w:bottom w:val="nil"/>
              <w:right w:val="nil"/>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p>
        </w:tc>
        <w:tc>
          <w:tcPr>
            <w:tcW w:w="1107" w:type="pct"/>
            <w:tcBorders>
              <w:top w:val="nil"/>
              <w:left w:val="nil"/>
              <w:bottom w:val="nil"/>
              <w:right w:val="nil"/>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56" w:type="pct"/>
            <w:tcBorders>
              <w:top w:val="nil"/>
              <w:left w:val="nil"/>
              <w:bottom w:val="nil"/>
              <w:right w:val="nil"/>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2" w:type="pct"/>
            <w:tcBorders>
              <w:top w:val="nil"/>
              <w:left w:val="nil"/>
              <w:bottom w:val="nil"/>
              <w:right w:val="nil"/>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A30209" w:rsidRPr="00A30209" w:rsidTr="00A30209">
        <w:trPr>
          <w:trHeight w:val="300"/>
        </w:trPr>
        <w:tc>
          <w:tcPr>
            <w:tcW w:w="3005" w:type="pct"/>
            <w:tcBorders>
              <w:top w:val="nil"/>
              <w:left w:val="nil"/>
              <w:bottom w:val="nil"/>
              <w:right w:val="nil"/>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107" w:type="pct"/>
            <w:tcBorders>
              <w:top w:val="nil"/>
              <w:left w:val="nil"/>
              <w:bottom w:val="nil"/>
              <w:right w:val="nil"/>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56" w:type="pct"/>
            <w:tcBorders>
              <w:top w:val="nil"/>
              <w:left w:val="nil"/>
              <w:bottom w:val="nil"/>
              <w:right w:val="nil"/>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32" w:type="pct"/>
            <w:tcBorders>
              <w:top w:val="nil"/>
              <w:left w:val="nil"/>
              <w:bottom w:val="nil"/>
              <w:right w:val="nil"/>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A30209" w:rsidRPr="00A30209" w:rsidTr="00A30209">
        <w:trPr>
          <w:trHeight w:val="31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b/>
                <w:bCs/>
                <w:szCs w:val="24"/>
                <w:lang w:val="en-US" w:eastAsia="zh-CN"/>
              </w:rPr>
            </w:pPr>
            <w:r w:rsidRPr="00A30209">
              <w:rPr>
                <w:b/>
                <w:bCs/>
                <w:szCs w:val="24"/>
                <w:lang w:val="en-US" w:eastAsia="zh-CN"/>
              </w:rPr>
              <w:t>AMOUNTS DUE IN RESPECT OF MISCELLANEOUS INVOICES</w:t>
            </w:r>
          </w:p>
        </w:tc>
      </w:tr>
      <w:tr w:rsidR="00A30209" w:rsidRPr="00A30209" w:rsidTr="00A30209">
        <w:trPr>
          <w:trHeight w:val="300"/>
        </w:trPr>
        <w:tc>
          <w:tcPr>
            <w:tcW w:w="3005" w:type="pct"/>
            <w:tcBorders>
              <w:top w:val="nil"/>
              <w:left w:val="single" w:sz="4" w:space="0" w:color="auto"/>
              <w:bottom w:val="nil"/>
              <w:right w:val="single" w:sz="4" w:space="0" w:color="auto"/>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w:t>
            </w:r>
          </w:p>
        </w:tc>
        <w:tc>
          <w:tcPr>
            <w:tcW w:w="1107" w:type="pct"/>
            <w:tcBorders>
              <w:top w:val="nil"/>
              <w:left w:val="nil"/>
              <w:bottom w:val="nil"/>
              <w:right w:val="single" w:sz="4" w:space="0" w:color="auto"/>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w:t>
            </w:r>
          </w:p>
        </w:tc>
        <w:tc>
          <w:tcPr>
            <w:tcW w:w="456" w:type="pct"/>
            <w:tcBorders>
              <w:top w:val="nil"/>
              <w:left w:val="nil"/>
              <w:bottom w:val="nil"/>
              <w:right w:val="single" w:sz="4" w:space="0" w:color="auto"/>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w:t>
            </w:r>
          </w:p>
        </w:tc>
        <w:tc>
          <w:tcPr>
            <w:tcW w:w="432" w:type="pct"/>
            <w:tcBorders>
              <w:top w:val="nil"/>
              <w:left w:val="nil"/>
              <w:bottom w:val="nil"/>
              <w:right w:val="single" w:sz="4" w:space="0" w:color="auto"/>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w:t>
            </w:r>
          </w:p>
        </w:tc>
      </w:tr>
      <w:tr w:rsidR="00A30209" w:rsidRPr="00A30209" w:rsidTr="00A30209">
        <w:trPr>
          <w:trHeight w:val="300"/>
        </w:trPr>
        <w:tc>
          <w:tcPr>
            <w:tcW w:w="3005" w:type="pct"/>
            <w:tcBorders>
              <w:top w:val="nil"/>
              <w:left w:val="single" w:sz="4" w:space="0" w:color="auto"/>
              <w:bottom w:val="nil"/>
              <w:right w:val="single" w:sz="4" w:space="0" w:color="auto"/>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0209">
              <w:rPr>
                <w:b/>
                <w:bCs/>
                <w:sz w:val="22"/>
                <w:szCs w:val="22"/>
                <w:lang w:val="en-US" w:eastAsia="zh-CN"/>
              </w:rPr>
              <w:t>Country</w:t>
            </w:r>
          </w:p>
        </w:tc>
        <w:tc>
          <w:tcPr>
            <w:tcW w:w="1107" w:type="pct"/>
            <w:tcBorders>
              <w:top w:val="nil"/>
              <w:left w:val="nil"/>
              <w:bottom w:val="nil"/>
              <w:right w:val="single" w:sz="4" w:space="0" w:color="auto"/>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0209">
              <w:rPr>
                <w:b/>
                <w:bCs/>
                <w:sz w:val="22"/>
                <w:szCs w:val="22"/>
                <w:lang w:val="en-US" w:eastAsia="zh-CN"/>
              </w:rPr>
              <w:t>Entity</w:t>
            </w:r>
          </w:p>
        </w:tc>
        <w:tc>
          <w:tcPr>
            <w:tcW w:w="456" w:type="pct"/>
            <w:tcBorders>
              <w:top w:val="nil"/>
              <w:left w:val="nil"/>
              <w:bottom w:val="nil"/>
              <w:right w:val="single" w:sz="4" w:space="0" w:color="auto"/>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0209">
              <w:rPr>
                <w:b/>
                <w:bCs/>
                <w:sz w:val="22"/>
                <w:szCs w:val="22"/>
                <w:lang w:val="en-US" w:eastAsia="zh-CN"/>
              </w:rPr>
              <w:t>Year</w:t>
            </w:r>
          </w:p>
        </w:tc>
        <w:tc>
          <w:tcPr>
            <w:tcW w:w="432" w:type="pct"/>
            <w:tcBorders>
              <w:top w:val="nil"/>
              <w:left w:val="nil"/>
              <w:bottom w:val="nil"/>
              <w:right w:val="single" w:sz="4" w:space="0" w:color="auto"/>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0209">
              <w:rPr>
                <w:b/>
                <w:bCs/>
                <w:sz w:val="22"/>
                <w:szCs w:val="22"/>
                <w:lang w:val="en-US" w:eastAsia="zh-CN"/>
              </w:rPr>
              <w:t>Amount due</w:t>
            </w:r>
          </w:p>
        </w:tc>
      </w:tr>
      <w:tr w:rsidR="00A30209" w:rsidRPr="00A30209" w:rsidTr="00A30209">
        <w:trPr>
          <w:trHeight w:val="300"/>
        </w:trPr>
        <w:tc>
          <w:tcPr>
            <w:tcW w:w="3005" w:type="pct"/>
            <w:tcBorders>
              <w:top w:val="nil"/>
              <w:left w:val="single" w:sz="4" w:space="0" w:color="auto"/>
              <w:bottom w:val="single" w:sz="4" w:space="0" w:color="auto"/>
              <w:right w:val="single" w:sz="4" w:space="0" w:color="auto"/>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w:t>
            </w:r>
          </w:p>
        </w:tc>
        <w:tc>
          <w:tcPr>
            <w:tcW w:w="1107" w:type="pct"/>
            <w:tcBorders>
              <w:top w:val="nil"/>
              <w:left w:val="nil"/>
              <w:bottom w:val="single" w:sz="4" w:space="0" w:color="auto"/>
              <w:right w:val="single" w:sz="4" w:space="0" w:color="auto"/>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w:t>
            </w:r>
          </w:p>
        </w:tc>
        <w:tc>
          <w:tcPr>
            <w:tcW w:w="456" w:type="pct"/>
            <w:tcBorders>
              <w:top w:val="nil"/>
              <w:left w:val="nil"/>
              <w:bottom w:val="single" w:sz="4" w:space="0" w:color="auto"/>
              <w:right w:val="single" w:sz="4" w:space="0" w:color="auto"/>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w:t>
            </w:r>
          </w:p>
        </w:tc>
        <w:tc>
          <w:tcPr>
            <w:tcW w:w="432" w:type="pct"/>
            <w:tcBorders>
              <w:top w:val="nil"/>
              <w:left w:val="nil"/>
              <w:bottom w:val="single" w:sz="4" w:space="0" w:color="auto"/>
              <w:right w:val="single" w:sz="4" w:space="0" w:color="auto"/>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w:t>
            </w:r>
          </w:p>
        </w:tc>
      </w:tr>
      <w:tr w:rsidR="00A30209" w:rsidRPr="00A30209" w:rsidTr="00A30209">
        <w:trPr>
          <w:trHeight w:val="300"/>
        </w:trPr>
        <w:tc>
          <w:tcPr>
            <w:tcW w:w="3005" w:type="pct"/>
            <w:tcBorders>
              <w:top w:val="nil"/>
              <w:left w:val="single" w:sz="4" w:space="0" w:color="auto"/>
              <w:bottom w:val="nil"/>
              <w:right w:val="single" w:sz="4" w:space="0" w:color="auto"/>
            </w:tcBorders>
            <w:shd w:val="clear" w:color="auto" w:fill="auto"/>
            <w:noWrap/>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A30209">
              <w:rPr>
                <w:b/>
                <w:bCs/>
                <w:sz w:val="22"/>
                <w:szCs w:val="22"/>
                <w:lang w:val="en-US" w:eastAsia="zh-CN"/>
              </w:rPr>
              <w:t>Saudi Arabia</w:t>
            </w:r>
          </w:p>
        </w:tc>
        <w:tc>
          <w:tcPr>
            <w:tcW w:w="1107" w:type="pct"/>
            <w:tcBorders>
              <w:top w:val="nil"/>
              <w:left w:val="nil"/>
              <w:bottom w:val="nil"/>
              <w:right w:val="single" w:sz="4" w:space="0" w:color="auto"/>
            </w:tcBorders>
            <w:shd w:val="clear" w:color="auto" w:fill="auto"/>
            <w:noWrap/>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Saudi Telecom, Riyadh</w:t>
            </w:r>
          </w:p>
        </w:tc>
        <w:tc>
          <w:tcPr>
            <w:tcW w:w="456" w:type="pct"/>
            <w:tcBorders>
              <w:top w:val="nil"/>
              <w:left w:val="nil"/>
              <w:bottom w:val="nil"/>
              <w:right w:val="single" w:sz="4" w:space="0" w:color="auto"/>
            </w:tcBorders>
            <w:shd w:val="clear" w:color="auto" w:fill="auto"/>
            <w:noWrap/>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0209">
              <w:rPr>
                <w:sz w:val="22"/>
                <w:szCs w:val="22"/>
                <w:lang w:val="en-US" w:eastAsia="zh-CN"/>
              </w:rPr>
              <w:t>2010</w:t>
            </w:r>
          </w:p>
        </w:tc>
        <w:tc>
          <w:tcPr>
            <w:tcW w:w="432" w:type="pct"/>
            <w:tcBorders>
              <w:top w:val="nil"/>
              <w:left w:val="nil"/>
              <w:bottom w:val="nil"/>
              <w:right w:val="single" w:sz="4" w:space="0" w:color="auto"/>
            </w:tcBorders>
            <w:shd w:val="clear" w:color="auto" w:fill="auto"/>
            <w:noWrap/>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A30209">
              <w:rPr>
                <w:sz w:val="22"/>
                <w:szCs w:val="22"/>
                <w:lang w:val="en-US" w:eastAsia="zh-CN"/>
              </w:rPr>
              <w:t>62,560.00</w:t>
            </w:r>
          </w:p>
        </w:tc>
      </w:tr>
      <w:tr w:rsidR="00A30209" w:rsidRPr="00A30209" w:rsidTr="00A30209">
        <w:trPr>
          <w:trHeight w:val="300"/>
        </w:trPr>
        <w:tc>
          <w:tcPr>
            <w:tcW w:w="3005" w:type="pct"/>
            <w:tcBorders>
              <w:top w:val="nil"/>
              <w:left w:val="single" w:sz="4" w:space="0" w:color="auto"/>
              <w:bottom w:val="nil"/>
              <w:right w:val="single" w:sz="4" w:space="0" w:color="auto"/>
            </w:tcBorders>
            <w:shd w:val="clear" w:color="auto" w:fill="auto"/>
            <w:noWrap/>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A30209">
              <w:rPr>
                <w:b/>
                <w:bCs/>
                <w:sz w:val="22"/>
                <w:szCs w:val="22"/>
                <w:lang w:val="en-US" w:eastAsia="zh-CN"/>
              </w:rPr>
              <w:t> </w:t>
            </w:r>
          </w:p>
        </w:tc>
        <w:tc>
          <w:tcPr>
            <w:tcW w:w="1107" w:type="pct"/>
            <w:tcBorders>
              <w:top w:val="nil"/>
              <w:left w:val="nil"/>
              <w:bottom w:val="nil"/>
              <w:right w:val="single" w:sz="4" w:space="0" w:color="auto"/>
            </w:tcBorders>
            <w:shd w:val="clear" w:color="auto" w:fill="auto"/>
            <w:noWrap/>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w:t>
            </w:r>
          </w:p>
        </w:tc>
        <w:tc>
          <w:tcPr>
            <w:tcW w:w="456" w:type="pct"/>
            <w:tcBorders>
              <w:top w:val="nil"/>
              <w:left w:val="nil"/>
              <w:bottom w:val="nil"/>
              <w:right w:val="single" w:sz="4" w:space="0" w:color="auto"/>
            </w:tcBorders>
            <w:shd w:val="clear" w:color="auto" w:fill="auto"/>
            <w:noWrap/>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0209">
              <w:rPr>
                <w:sz w:val="22"/>
                <w:szCs w:val="22"/>
                <w:lang w:val="en-US" w:eastAsia="zh-CN"/>
              </w:rPr>
              <w:t> </w:t>
            </w:r>
          </w:p>
        </w:tc>
        <w:tc>
          <w:tcPr>
            <w:tcW w:w="432" w:type="pct"/>
            <w:tcBorders>
              <w:top w:val="nil"/>
              <w:left w:val="nil"/>
              <w:bottom w:val="nil"/>
              <w:right w:val="single" w:sz="4" w:space="0" w:color="auto"/>
            </w:tcBorders>
            <w:shd w:val="clear" w:color="auto" w:fill="auto"/>
            <w:noWrap/>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w:t>
            </w:r>
          </w:p>
        </w:tc>
      </w:tr>
      <w:tr w:rsidR="00A30209" w:rsidRPr="00A30209" w:rsidTr="00A30209">
        <w:trPr>
          <w:trHeight w:val="450"/>
        </w:trPr>
        <w:tc>
          <w:tcPr>
            <w:tcW w:w="30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A30209">
              <w:rPr>
                <w:b/>
                <w:bCs/>
                <w:sz w:val="22"/>
                <w:szCs w:val="22"/>
                <w:lang w:val="en-US" w:eastAsia="zh-CN"/>
              </w:rPr>
              <w:t>Total Arrears at 31.12.2018</w:t>
            </w:r>
          </w:p>
        </w:tc>
        <w:tc>
          <w:tcPr>
            <w:tcW w:w="1107" w:type="pct"/>
            <w:tcBorders>
              <w:top w:val="single" w:sz="4" w:space="0" w:color="auto"/>
              <w:left w:val="nil"/>
              <w:bottom w:val="single" w:sz="4" w:space="0" w:color="auto"/>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A30209">
              <w:rPr>
                <w:b/>
                <w:bCs/>
                <w:sz w:val="22"/>
                <w:szCs w:val="22"/>
                <w:lang w:val="en-US" w:eastAsia="zh-CN"/>
              </w:rPr>
              <w:t>62,560.00</w:t>
            </w:r>
          </w:p>
        </w:tc>
      </w:tr>
    </w:tbl>
    <w:p w:rsidR="00FE2624" w:rsidRDefault="00FE2624">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29191C" w:rsidRDefault="0029191C" w:rsidP="00421B13">
      <w:pPr>
        <w:spacing w:before="0"/>
        <w:rPr>
          <w:lang w:val="fr-CH"/>
        </w:rPr>
      </w:pPr>
    </w:p>
    <w:tbl>
      <w:tblPr>
        <w:tblW w:w="10740" w:type="dxa"/>
        <w:tblLook w:val="04A0" w:firstRow="1" w:lastRow="0" w:firstColumn="1" w:lastColumn="0" w:noHBand="0" w:noVBand="1"/>
      </w:tblPr>
      <w:tblGrid>
        <w:gridCol w:w="8320"/>
        <w:gridCol w:w="480"/>
        <w:gridCol w:w="1940"/>
      </w:tblGrid>
      <w:tr w:rsidR="00A30209" w:rsidRPr="00A30209" w:rsidTr="00A30209">
        <w:trPr>
          <w:trHeight w:val="300"/>
        </w:trPr>
        <w:tc>
          <w:tcPr>
            <w:tcW w:w="10740" w:type="dxa"/>
            <w:gridSpan w:val="3"/>
            <w:tcBorders>
              <w:top w:val="nil"/>
              <w:left w:val="nil"/>
              <w:bottom w:val="nil"/>
              <w:right w:val="nil"/>
            </w:tcBorders>
            <w:shd w:val="clear" w:color="auto" w:fill="auto"/>
            <w:noWrap/>
            <w:vAlign w:val="bottom"/>
            <w:hideMark/>
          </w:tcPr>
          <w:p w:rsidR="00A30209" w:rsidRPr="00A30209" w:rsidRDefault="00A30209" w:rsidP="00421B13">
            <w:pPr>
              <w:tabs>
                <w:tab w:val="clear" w:pos="567"/>
                <w:tab w:val="clear" w:pos="1134"/>
                <w:tab w:val="clear" w:pos="1701"/>
                <w:tab w:val="clear" w:pos="2268"/>
                <w:tab w:val="clear" w:pos="2835"/>
              </w:tabs>
              <w:overflowPunct/>
              <w:autoSpaceDE/>
              <w:autoSpaceDN/>
              <w:adjustRightInd/>
              <w:spacing w:before="240"/>
              <w:jc w:val="center"/>
              <w:textAlignment w:val="auto"/>
              <w:rPr>
                <w:rFonts w:asciiTheme="minorHAnsi" w:hAnsiTheme="minorHAnsi"/>
                <w:b/>
                <w:bCs/>
                <w:lang w:val="en-US"/>
              </w:rPr>
            </w:pPr>
            <w:r w:rsidRPr="00A30209">
              <w:rPr>
                <w:rFonts w:asciiTheme="minorHAnsi" w:hAnsiTheme="minorHAnsi"/>
                <w:b/>
                <w:bCs/>
                <w:lang w:val="en-US"/>
              </w:rPr>
              <w:t>SUMMARY: SITUATION OF ARREARS AT 31.12.2018</w:t>
            </w:r>
          </w:p>
        </w:tc>
      </w:tr>
      <w:tr w:rsidR="00A30209" w:rsidRPr="00A30209" w:rsidTr="00A30209">
        <w:trPr>
          <w:trHeight w:val="300"/>
        </w:trPr>
        <w:tc>
          <w:tcPr>
            <w:tcW w:w="8320" w:type="dxa"/>
            <w:tcBorders>
              <w:top w:val="nil"/>
              <w:left w:val="nil"/>
              <w:bottom w:val="nil"/>
              <w:right w:val="nil"/>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2"/>
                <w:szCs w:val="22"/>
                <w:lang w:val="en-US" w:eastAsia="zh-CN"/>
              </w:rPr>
            </w:pPr>
          </w:p>
        </w:tc>
        <w:tc>
          <w:tcPr>
            <w:tcW w:w="480" w:type="dxa"/>
            <w:tcBorders>
              <w:top w:val="nil"/>
              <w:left w:val="nil"/>
              <w:bottom w:val="nil"/>
              <w:right w:val="nil"/>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940" w:type="dxa"/>
            <w:tcBorders>
              <w:top w:val="nil"/>
              <w:left w:val="nil"/>
              <w:bottom w:val="nil"/>
              <w:right w:val="nil"/>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A30209" w:rsidRPr="00A30209" w:rsidTr="00A30209">
        <w:trPr>
          <w:trHeight w:val="300"/>
        </w:trPr>
        <w:tc>
          <w:tcPr>
            <w:tcW w:w="8320" w:type="dxa"/>
            <w:tcBorders>
              <w:top w:val="single" w:sz="4" w:space="0" w:color="auto"/>
              <w:left w:val="single" w:sz="4" w:space="0" w:color="auto"/>
              <w:bottom w:val="single" w:sz="4" w:space="0" w:color="auto"/>
              <w:right w:val="nil"/>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A30209">
              <w:rPr>
                <w:b/>
                <w:bCs/>
                <w:sz w:val="22"/>
                <w:szCs w:val="22"/>
                <w:lang w:val="en-US" w:eastAsia="zh-CN"/>
              </w:rPr>
              <w:t>AMOUNTS DUE</w:t>
            </w:r>
          </w:p>
        </w:tc>
        <w:tc>
          <w:tcPr>
            <w:tcW w:w="480" w:type="dxa"/>
            <w:tcBorders>
              <w:top w:val="single" w:sz="4" w:space="0" w:color="auto"/>
              <w:left w:val="nil"/>
              <w:bottom w:val="single" w:sz="4" w:space="0" w:color="auto"/>
              <w:right w:val="nil"/>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0209">
              <w:rPr>
                <w:sz w:val="22"/>
                <w:szCs w:val="22"/>
                <w:lang w:val="en-US" w:eastAsia="zh-CN"/>
              </w:rPr>
              <w:t> </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r w:rsidRPr="00A30209">
              <w:rPr>
                <w:b/>
                <w:bCs/>
                <w:sz w:val="22"/>
                <w:szCs w:val="22"/>
                <w:lang w:val="en-US" w:eastAsia="zh-CN"/>
              </w:rPr>
              <w:t>CHF</w:t>
            </w:r>
          </w:p>
        </w:tc>
      </w:tr>
      <w:tr w:rsidR="00A30209" w:rsidRPr="00A30209" w:rsidTr="00A30209">
        <w:trPr>
          <w:trHeight w:val="300"/>
        </w:trPr>
        <w:tc>
          <w:tcPr>
            <w:tcW w:w="8320" w:type="dxa"/>
            <w:tcBorders>
              <w:top w:val="nil"/>
              <w:left w:val="single" w:sz="4" w:space="0" w:color="auto"/>
              <w:bottom w:val="nil"/>
              <w:right w:val="nil"/>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xml:space="preserve">Contributions </w:t>
            </w:r>
          </w:p>
        </w:tc>
        <w:tc>
          <w:tcPr>
            <w:tcW w:w="480" w:type="dxa"/>
            <w:tcBorders>
              <w:top w:val="nil"/>
              <w:left w:val="nil"/>
              <w:bottom w:val="nil"/>
              <w:right w:val="single" w:sz="4" w:space="0" w:color="auto"/>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0209">
              <w:rPr>
                <w:sz w:val="22"/>
                <w:szCs w:val="22"/>
                <w:lang w:val="en-US" w:eastAsia="zh-CN"/>
              </w:rPr>
              <w:t> </w:t>
            </w:r>
          </w:p>
        </w:tc>
        <w:tc>
          <w:tcPr>
            <w:tcW w:w="1940" w:type="dxa"/>
            <w:tcBorders>
              <w:top w:val="nil"/>
              <w:left w:val="nil"/>
              <w:bottom w:val="nil"/>
              <w:right w:val="single" w:sz="4" w:space="0" w:color="auto"/>
            </w:tcBorders>
            <w:shd w:val="clear" w:color="auto" w:fill="auto"/>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A30209">
              <w:rPr>
                <w:b/>
                <w:bCs/>
                <w:sz w:val="22"/>
                <w:szCs w:val="22"/>
                <w:lang w:val="en-US" w:eastAsia="zh-CN"/>
              </w:rPr>
              <w:t>19,895,718.36</w:t>
            </w:r>
          </w:p>
        </w:tc>
      </w:tr>
      <w:tr w:rsidR="00A30209" w:rsidRPr="00A30209" w:rsidTr="00A30209">
        <w:trPr>
          <w:trHeight w:val="300"/>
        </w:trPr>
        <w:tc>
          <w:tcPr>
            <w:tcW w:w="8320" w:type="dxa"/>
            <w:tcBorders>
              <w:top w:val="nil"/>
              <w:left w:val="single" w:sz="4" w:space="0" w:color="auto"/>
              <w:bottom w:val="nil"/>
              <w:right w:val="nil"/>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 xml:space="preserve">Publications </w:t>
            </w:r>
          </w:p>
        </w:tc>
        <w:tc>
          <w:tcPr>
            <w:tcW w:w="480" w:type="dxa"/>
            <w:tcBorders>
              <w:top w:val="nil"/>
              <w:left w:val="nil"/>
              <w:bottom w:val="nil"/>
              <w:right w:val="single" w:sz="4" w:space="0" w:color="auto"/>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0209">
              <w:rPr>
                <w:sz w:val="22"/>
                <w:szCs w:val="22"/>
                <w:lang w:val="en-US" w:eastAsia="zh-CN"/>
              </w:rPr>
              <w:t> </w:t>
            </w:r>
          </w:p>
        </w:tc>
        <w:tc>
          <w:tcPr>
            <w:tcW w:w="1940" w:type="dxa"/>
            <w:tcBorders>
              <w:top w:val="nil"/>
              <w:left w:val="nil"/>
              <w:bottom w:val="nil"/>
              <w:right w:val="single" w:sz="4" w:space="0" w:color="auto"/>
            </w:tcBorders>
            <w:shd w:val="clear" w:color="auto" w:fill="auto"/>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A30209">
              <w:rPr>
                <w:b/>
                <w:bCs/>
                <w:sz w:val="22"/>
                <w:szCs w:val="22"/>
                <w:lang w:val="en-US" w:eastAsia="zh-CN"/>
              </w:rPr>
              <w:t>92,805.00</w:t>
            </w:r>
          </w:p>
        </w:tc>
      </w:tr>
      <w:tr w:rsidR="00A30209" w:rsidRPr="00A30209" w:rsidTr="00A30209">
        <w:trPr>
          <w:trHeight w:val="300"/>
        </w:trPr>
        <w:tc>
          <w:tcPr>
            <w:tcW w:w="8800" w:type="dxa"/>
            <w:gridSpan w:val="2"/>
            <w:tcBorders>
              <w:top w:val="nil"/>
              <w:left w:val="single" w:sz="4" w:space="0" w:color="auto"/>
              <w:bottom w:val="nil"/>
              <w:right w:val="single" w:sz="4" w:space="0" w:color="000000"/>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Satellite Network Filings</w:t>
            </w:r>
          </w:p>
        </w:tc>
        <w:tc>
          <w:tcPr>
            <w:tcW w:w="1940" w:type="dxa"/>
            <w:tcBorders>
              <w:top w:val="nil"/>
              <w:left w:val="nil"/>
              <w:bottom w:val="nil"/>
              <w:right w:val="single" w:sz="4" w:space="0" w:color="auto"/>
            </w:tcBorders>
            <w:shd w:val="clear" w:color="000000" w:fill="FFFFFF"/>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A30209">
              <w:rPr>
                <w:b/>
                <w:bCs/>
                <w:sz w:val="22"/>
                <w:szCs w:val="22"/>
                <w:lang w:val="en-US" w:eastAsia="zh-CN"/>
              </w:rPr>
              <w:t>384,018.81</w:t>
            </w:r>
          </w:p>
        </w:tc>
      </w:tr>
      <w:tr w:rsidR="00A30209" w:rsidRPr="00A30209" w:rsidTr="00A30209">
        <w:trPr>
          <w:trHeight w:val="300"/>
        </w:trPr>
        <w:tc>
          <w:tcPr>
            <w:tcW w:w="8800" w:type="dxa"/>
            <w:gridSpan w:val="2"/>
            <w:tcBorders>
              <w:top w:val="nil"/>
              <w:left w:val="single" w:sz="4" w:space="0" w:color="auto"/>
              <w:bottom w:val="nil"/>
              <w:right w:val="single" w:sz="4" w:space="0" w:color="000000"/>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Miscellaneous Invoices</w:t>
            </w:r>
          </w:p>
        </w:tc>
        <w:tc>
          <w:tcPr>
            <w:tcW w:w="1940" w:type="dxa"/>
            <w:tcBorders>
              <w:top w:val="nil"/>
              <w:left w:val="nil"/>
              <w:bottom w:val="nil"/>
              <w:right w:val="single" w:sz="4" w:space="0" w:color="auto"/>
            </w:tcBorders>
            <w:shd w:val="clear" w:color="auto" w:fill="auto"/>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A30209">
              <w:rPr>
                <w:b/>
                <w:bCs/>
                <w:sz w:val="22"/>
                <w:szCs w:val="22"/>
                <w:lang w:val="en-US" w:eastAsia="zh-CN"/>
              </w:rPr>
              <w:t>62,560.00</w:t>
            </w:r>
          </w:p>
        </w:tc>
      </w:tr>
      <w:tr w:rsidR="00A30209" w:rsidRPr="00A30209" w:rsidTr="00A30209">
        <w:trPr>
          <w:trHeight w:val="300"/>
        </w:trPr>
        <w:tc>
          <w:tcPr>
            <w:tcW w:w="8800" w:type="dxa"/>
            <w:gridSpan w:val="2"/>
            <w:tcBorders>
              <w:top w:val="nil"/>
              <w:left w:val="single" w:sz="4" w:space="0" w:color="auto"/>
              <w:bottom w:val="nil"/>
              <w:right w:val="single" w:sz="4" w:space="0" w:color="000000"/>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Special Arrears Accounts (Repayment Agreements)</w:t>
            </w:r>
          </w:p>
        </w:tc>
        <w:tc>
          <w:tcPr>
            <w:tcW w:w="1940" w:type="dxa"/>
            <w:tcBorders>
              <w:top w:val="nil"/>
              <w:left w:val="nil"/>
              <w:bottom w:val="nil"/>
              <w:right w:val="single" w:sz="4" w:space="0" w:color="auto"/>
            </w:tcBorders>
            <w:shd w:val="clear" w:color="000000" w:fill="FFFFFF"/>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A30209">
              <w:rPr>
                <w:b/>
                <w:bCs/>
                <w:sz w:val="22"/>
                <w:szCs w:val="22"/>
                <w:lang w:val="en-US" w:eastAsia="zh-CN"/>
              </w:rPr>
              <w:t>17,229,132.86</w:t>
            </w:r>
          </w:p>
        </w:tc>
      </w:tr>
      <w:tr w:rsidR="00A30209" w:rsidRPr="00A30209" w:rsidTr="00A30209">
        <w:trPr>
          <w:trHeight w:val="555"/>
        </w:trPr>
        <w:tc>
          <w:tcPr>
            <w:tcW w:w="8800" w:type="dxa"/>
            <w:gridSpan w:val="2"/>
            <w:tcBorders>
              <w:top w:val="nil"/>
              <w:left w:val="single" w:sz="4" w:space="0" w:color="auto"/>
              <w:bottom w:val="nil"/>
              <w:right w:val="single" w:sz="4" w:space="0" w:color="000000"/>
            </w:tcBorders>
            <w:shd w:val="clear" w:color="auto" w:fill="auto"/>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A30209">
              <w:rPr>
                <w:sz w:val="22"/>
                <w:szCs w:val="22"/>
                <w:lang w:val="en-US" w:eastAsia="zh-CN"/>
              </w:rPr>
              <w:t>Cancelled Special Arrears Accounts (Repayment Agreements Cancelled for non-payment)</w:t>
            </w:r>
          </w:p>
        </w:tc>
        <w:tc>
          <w:tcPr>
            <w:tcW w:w="1940" w:type="dxa"/>
            <w:tcBorders>
              <w:top w:val="nil"/>
              <w:left w:val="nil"/>
              <w:bottom w:val="nil"/>
              <w:right w:val="single" w:sz="4" w:space="0" w:color="auto"/>
            </w:tcBorders>
            <w:shd w:val="clear" w:color="auto" w:fill="auto"/>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A30209">
              <w:rPr>
                <w:b/>
                <w:bCs/>
                <w:sz w:val="22"/>
                <w:szCs w:val="22"/>
                <w:lang w:val="en-US" w:eastAsia="zh-CN"/>
              </w:rPr>
              <w:t>2,110,983.98</w:t>
            </w:r>
          </w:p>
        </w:tc>
      </w:tr>
      <w:tr w:rsidR="00A30209" w:rsidRPr="00A30209" w:rsidTr="00A30209">
        <w:trPr>
          <w:trHeight w:val="480"/>
        </w:trPr>
        <w:tc>
          <w:tcPr>
            <w:tcW w:w="8320" w:type="dxa"/>
            <w:tcBorders>
              <w:top w:val="single" w:sz="4" w:space="0" w:color="auto"/>
              <w:left w:val="single" w:sz="4" w:space="0" w:color="auto"/>
              <w:bottom w:val="single" w:sz="4" w:space="0" w:color="auto"/>
              <w:right w:val="nil"/>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A30209">
              <w:rPr>
                <w:b/>
                <w:bCs/>
                <w:sz w:val="22"/>
                <w:szCs w:val="22"/>
                <w:lang w:val="en-US" w:eastAsia="zh-CN"/>
              </w:rPr>
              <w:t>TOTAL ARREARS</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A30209">
              <w:rPr>
                <w:sz w:val="22"/>
                <w:szCs w:val="22"/>
                <w:lang w:val="en-US" w:eastAsia="zh-CN"/>
              </w:rPr>
              <w:t> </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A30209" w:rsidRPr="00A30209" w:rsidRDefault="00A30209" w:rsidP="00A30209">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A30209">
              <w:rPr>
                <w:b/>
                <w:bCs/>
                <w:sz w:val="22"/>
                <w:szCs w:val="22"/>
                <w:lang w:val="en-US" w:eastAsia="zh-CN"/>
              </w:rPr>
              <w:t>39,775,219.01</w:t>
            </w:r>
          </w:p>
        </w:tc>
      </w:tr>
    </w:tbl>
    <w:p w:rsidR="005A1428" w:rsidRDefault="005A1428">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5A1428" w:rsidRPr="00421B13" w:rsidRDefault="005A1428" w:rsidP="005A1428">
      <w:pPr>
        <w:pStyle w:val="AnnexNo"/>
        <w:snapToGrid w:val="0"/>
        <w:spacing w:before="0"/>
        <w:rPr>
          <w:w w:val="105"/>
          <w:sz w:val="24"/>
          <w:szCs w:val="24"/>
          <w:lang w:val="en-US"/>
        </w:rPr>
      </w:pPr>
    </w:p>
    <w:p w:rsidR="00D24B7D" w:rsidRPr="00421B13" w:rsidRDefault="00104965" w:rsidP="00421B13">
      <w:pPr>
        <w:pStyle w:val="AnnexNo"/>
      </w:pPr>
      <w:r>
        <w:rPr>
          <w:w w:val="105"/>
          <w:lang w:val="en-US"/>
        </w:rPr>
        <w:t>A</w:t>
      </w:r>
      <w:r w:rsidR="00D24B7D" w:rsidRPr="001C2A98">
        <w:rPr>
          <w:w w:val="105"/>
          <w:lang w:val="en-US"/>
        </w:rPr>
        <w:t xml:space="preserve">NNEX </w:t>
      </w:r>
      <w:bookmarkEnd w:id="159"/>
      <w:bookmarkEnd w:id="160"/>
      <w:r w:rsidR="008A0416">
        <w:rPr>
          <w:w w:val="105"/>
          <w:lang w:val="en-US"/>
        </w:rPr>
        <w:t>D</w:t>
      </w:r>
    </w:p>
    <w:p w:rsidR="00D24B7D" w:rsidRDefault="00D24B7D" w:rsidP="001948E1">
      <w:pPr>
        <w:pStyle w:val="Annextitle"/>
        <w:rPr>
          <w:lang w:val="en-US"/>
        </w:rPr>
      </w:pPr>
      <w:r>
        <w:rPr>
          <w:lang w:val="en-US"/>
        </w:rPr>
        <w:t>L</w:t>
      </w:r>
      <w:r w:rsidR="00DF48D6">
        <w:rPr>
          <w:lang w:val="en-US"/>
        </w:rPr>
        <w:t xml:space="preserve">ist of debtors at </w:t>
      </w:r>
      <w:r>
        <w:rPr>
          <w:lang w:val="en-US"/>
        </w:rPr>
        <w:t>31</w:t>
      </w:r>
      <w:r w:rsidR="007B2ED3">
        <w:rPr>
          <w:lang w:val="en-US"/>
        </w:rPr>
        <w:t xml:space="preserve"> December 201</w:t>
      </w:r>
      <w:r w:rsidR="001948E1">
        <w:rPr>
          <w:lang w:val="en-US"/>
        </w:rPr>
        <w:t>8</w:t>
      </w:r>
      <w:r>
        <w:rPr>
          <w:lang w:val="en-US"/>
        </w:rPr>
        <w:t xml:space="preserve"> </w:t>
      </w:r>
      <w:r w:rsidR="00DF48D6">
        <w:rPr>
          <w:lang w:val="en-US"/>
        </w:rPr>
        <w:t>for closed ITU TELECOM events</w:t>
      </w:r>
    </w:p>
    <w:p w:rsidR="006D0B03" w:rsidRDefault="00D24B7D" w:rsidP="00421B13">
      <w:pPr>
        <w:snapToGrid w:val="0"/>
        <w:spacing w:after="480"/>
        <w:jc w:val="center"/>
      </w:pPr>
      <w:r>
        <w:rPr>
          <w:lang w:val="en-US"/>
        </w:rPr>
        <w:t>(This list does not take into account payments received after 31.12.</w:t>
      </w:r>
      <w:r w:rsidR="00111BDD">
        <w:rPr>
          <w:lang w:val="en-US"/>
        </w:rPr>
        <w:t>201</w:t>
      </w:r>
      <w:r w:rsidR="001948E1">
        <w:rPr>
          <w:lang w:val="en-US"/>
        </w:rPr>
        <w:t>8</w:t>
      </w:r>
      <w:r>
        <w:rPr>
          <w:lang w:val="en-US"/>
        </w:rPr>
        <w:t>)</w:t>
      </w:r>
    </w:p>
    <w:tbl>
      <w:tblPr>
        <w:tblW w:w="5000" w:type="pct"/>
        <w:tblLook w:val="04A0" w:firstRow="1" w:lastRow="0" w:firstColumn="1" w:lastColumn="0" w:noHBand="0" w:noVBand="1"/>
      </w:tblPr>
      <w:tblGrid>
        <w:gridCol w:w="1894"/>
        <w:gridCol w:w="1380"/>
        <w:gridCol w:w="3030"/>
        <w:gridCol w:w="1380"/>
        <w:gridCol w:w="1282"/>
        <w:gridCol w:w="1491"/>
      </w:tblGrid>
      <w:tr w:rsidR="001948E1" w:rsidRPr="001948E1" w:rsidTr="001948E1">
        <w:trPr>
          <w:trHeight w:val="720"/>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Event</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Country</w:t>
            </w:r>
          </w:p>
        </w:tc>
        <w:tc>
          <w:tcPr>
            <w:tcW w:w="1449"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Company</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Amount invoiced</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Payment received</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Balance due</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r>
      <w:tr w:rsidR="001948E1" w:rsidRPr="001948E1" w:rsidTr="001948E1">
        <w:trPr>
          <w:trHeight w:val="315"/>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Cs w:val="24"/>
                <w:lang w:val="en-US" w:eastAsia="zh-CN"/>
              </w:rPr>
            </w:pPr>
            <w:r w:rsidRPr="001948E1">
              <w:rPr>
                <w:rFonts w:ascii="Arial" w:hAnsi="Arial" w:cs="Arial"/>
                <w:b/>
                <w:bCs/>
                <w:szCs w:val="24"/>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Cs w:val="24"/>
                <w:lang w:val="en-US" w:eastAsia="zh-CN"/>
              </w:rPr>
            </w:pPr>
            <w:r w:rsidRPr="001948E1">
              <w:rPr>
                <w:rFonts w:ascii="Arial" w:hAnsi="Arial" w:cs="Arial"/>
                <w:szCs w:val="24"/>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Cs w:val="24"/>
                <w:lang w:val="en-US" w:eastAsia="zh-CN"/>
              </w:rPr>
            </w:pPr>
            <w:r w:rsidRPr="001948E1">
              <w:rPr>
                <w:rFonts w:ascii="Arial" w:hAnsi="Arial" w:cs="Arial"/>
                <w:szCs w:val="24"/>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Cs w:val="24"/>
                <w:lang w:val="en-US" w:eastAsia="zh-CN"/>
              </w:rPr>
            </w:pPr>
            <w:r w:rsidRPr="001948E1">
              <w:rPr>
                <w:rFonts w:ascii="Arial" w:hAnsi="Arial" w:cs="Arial"/>
                <w:szCs w:val="24"/>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Cs w:val="24"/>
                <w:lang w:val="en-US" w:eastAsia="zh-CN"/>
              </w:rPr>
            </w:pPr>
            <w:r w:rsidRPr="001948E1">
              <w:rPr>
                <w:rFonts w:ascii="Arial" w:hAnsi="Arial" w:cs="Arial"/>
                <w:szCs w:val="24"/>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Cs w:val="24"/>
                <w:lang w:val="en-US" w:eastAsia="zh-CN"/>
              </w:rPr>
            </w:pPr>
            <w:r w:rsidRPr="001948E1">
              <w:rPr>
                <w:rFonts w:ascii="Arial" w:hAnsi="Arial" w:cs="Arial"/>
                <w:szCs w:val="24"/>
                <w:lang w:val="en-US" w:eastAsia="zh-CN"/>
              </w:rPr>
              <w:t> </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AFT08</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South Africa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MPCELL (Pty) Ltd.</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3,690.00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3,690.00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AFT08</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Canada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Broad Connect Telecom Ltd.</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14,760.00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5,850.00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8,910.00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AFT08</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proofErr w:type="spellStart"/>
            <w:r w:rsidRPr="001948E1">
              <w:rPr>
                <w:rFonts w:ascii="Arial" w:hAnsi="Arial" w:cs="Arial"/>
                <w:sz w:val="20"/>
                <w:lang w:val="en-US" w:eastAsia="zh-CN"/>
              </w:rPr>
              <w:t>SipRing</w:t>
            </w:r>
            <w:proofErr w:type="spellEnd"/>
            <w:r w:rsidRPr="001948E1">
              <w:rPr>
                <w:rFonts w:ascii="Arial" w:hAnsi="Arial" w:cs="Arial"/>
                <w:sz w:val="20"/>
                <w:lang w:val="en-US" w:eastAsia="zh-CN"/>
              </w:rPr>
              <w:t xml:space="preserve"> Telecommunication</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8,200.00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8,200.00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AFT08</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Côte d'Ivoire</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Apex Technologies</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7,380.00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7,380.00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AFT08</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Lebanon</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Splendor</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12,300.00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12,300.00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 </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AFT08</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948E1">
              <w:rPr>
                <w:rFonts w:ascii="Arial" w:hAnsi="Arial" w:cs="Arial"/>
                <w:b/>
                <w:bCs/>
                <w:sz w:val="20"/>
                <w:lang w:val="en-US" w:eastAsia="zh-CN"/>
              </w:rPr>
              <w:t>40,480.00</w:t>
            </w:r>
          </w:p>
        </w:tc>
      </w:tr>
    </w:tbl>
    <w:p w:rsidR="001948E1" w:rsidRDefault="001948E1" w:rsidP="005A1428">
      <w:pPr>
        <w:jc w:val="center"/>
      </w:pPr>
    </w:p>
    <w:tbl>
      <w:tblPr>
        <w:tblW w:w="5000" w:type="pct"/>
        <w:tblLook w:val="04A0" w:firstRow="1" w:lastRow="0" w:firstColumn="1" w:lastColumn="0" w:noHBand="0" w:noVBand="1"/>
      </w:tblPr>
      <w:tblGrid>
        <w:gridCol w:w="1884"/>
        <w:gridCol w:w="1371"/>
        <w:gridCol w:w="3074"/>
        <w:gridCol w:w="1371"/>
        <w:gridCol w:w="1274"/>
        <w:gridCol w:w="1483"/>
      </w:tblGrid>
      <w:tr w:rsidR="001948E1" w:rsidRPr="001948E1" w:rsidTr="001948E1">
        <w:trPr>
          <w:trHeight w:val="510"/>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Event</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Country</w:t>
            </w:r>
          </w:p>
        </w:tc>
        <w:tc>
          <w:tcPr>
            <w:tcW w:w="1449"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Company</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Amount invoiced</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Payment received</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Balance due</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American Consulate Hong Kong</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400.00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948E1">
              <w:rPr>
                <w:rFonts w:ascii="Arial" w:hAnsi="Arial" w:cs="Arial"/>
                <w:sz w:val="20"/>
                <w:lang w:val="en-US" w:eastAsia="zh-CN"/>
              </w:rPr>
              <w:t>400.00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948E1">
              <w:rPr>
                <w:color w:val="000000"/>
                <w:sz w:val="22"/>
                <w:szCs w:val="22"/>
                <w:lang w:val="en-US" w:eastAsia="zh-CN"/>
              </w:rPr>
              <w:t>ChongQing</w:t>
            </w:r>
            <w:proofErr w:type="spellEnd"/>
            <w:r w:rsidRPr="001948E1">
              <w:rPr>
                <w:color w:val="000000"/>
                <w:sz w:val="22"/>
                <w:szCs w:val="22"/>
                <w:lang w:val="en-US" w:eastAsia="zh-CN"/>
              </w:rPr>
              <w:t xml:space="preserve"> Chong You</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7,200.00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7,200.00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xml:space="preserve">Jiangxi </w:t>
            </w:r>
            <w:proofErr w:type="spellStart"/>
            <w:r w:rsidRPr="001948E1">
              <w:rPr>
                <w:color w:val="000000"/>
                <w:sz w:val="22"/>
                <w:szCs w:val="22"/>
                <w:lang w:val="en-US" w:eastAsia="zh-CN"/>
              </w:rPr>
              <w:t>Lianchuang</w:t>
            </w:r>
            <w:proofErr w:type="spellEnd"/>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7,200.00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7,200.00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948E1">
              <w:rPr>
                <w:color w:val="000000"/>
                <w:sz w:val="22"/>
                <w:szCs w:val="22"/>
                <w:lang w:val="en-US" w:eastAsia="zh-CN"/>
              </w:rPr>
              <w:t>Naike</w:t>
            </w:r>
            <w:proofErr w:type="spellEnd"/>
            <w:r w:rsidRPr="001948E1">
              <w:rPr>
                <w:color w:val="000000"/>
                <w:sz w:val="22"/>
                <w:szCs w:val="22"/>
                <w:lang w:val="en-US" w:eastAsia="zh-CN"/>
              </w:rPr>
              <w:t xml:space="preserve"> (HK) Digital</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7,200.00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7,200.00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xml:space="preserve">Shenzhen </w:t>
            </w:r>
            <w:proofErr w:type="spellStart"/>
            <w:r w:rsidRPr="001948E1">
              <w:rPr>
                <w:color w:val="000000"/>
                <w:sz w:val="22"/>
                <w:szCs w:val="22"/>
                <w:lang w:val="en-US" w:eastAsia="zh-CN"/>
              </w:rPr>
              <w:t>Orea</w:t>
            </w:r>
            <w:proofErr w:type="spellEnd"/>
            <w:r w:rsidRPr="001948E1">
              <w:rPr>
                <w:color w:val="000000"/>
                <w:sz w:val="22"/>
                <w:szCs w:val="22"/>
                <w:lang w:val="en-US" w:eastAsia="zh-CN"/>
              </w:rPr>
              <w:t xml:space="preserve"> Design</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3,600.00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3,600.00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948E1">
              <w:rPr>
                <w:color w:val="000000"/>
                <w:sz w:val="22"/>
                <w:szCs w:val="22"/>
                <w:lang w:val="en-US" w:eastAsia="zh-CN"/>
              </w:rPr>
              <w:t>Sipnovo</w:t>
            </w:r>
            <w:proofErr w:type="spellEnd"/>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7,200.00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7,200.00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Tiger NetCom</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3,150.00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3,150.00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948E1">
              <w:rPr>
                <w:rFonts w:ascii="Arial" w:hAnsi="Arial" w:cs="Arial"/>
                <w:sz w:val="20"/>
                <w:lang w:val="en-US" w:eastAsia="zh-CN"/>
              </w:rPr>
              <w:t>China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948E1">
              <w:rPr>
                <w:color w:val="000000"/>
                <w:sz w:val="22"/>
                <w:szCs w:val="22"/>
                <w:lang w:val="en-US" w:eastAsia="zh-CN"/>
              </w:rPr>
              <w:t>Vapel</w:t>
            </w:r>
            <w:proofErr w:type="spellEnd"/>
            <w:r w:rsidRPr="001948E1">
              <w:rPr>
                <w:color w:val="000000"/>
                <w:sz w:val="22"/>
                <w:szCs w:val="22"/>
                <w:lang w:val="en-US" w:eastAsia="zh-CN"/>
              </w:rPr>
              <w:t xml:space="preserve"> Power</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4,800.00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4,800.00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TLC 2006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948E1">
              <w:rPr>
                <w:rFonts w:ascii="Arial" w:hAnsi="Arial" w:cs="Arial"/>
                <w:b/>
                <w:bCs/>
                <w:sz w:val="20"/>
                <w:lang w:val="en-US" w:eastAsia="zh-CN"/>
              </w:rPr>
              <w:t>40,750.00</w:t>
            </w:r>
          </w:p>
        </w:tc>
      </w:tr>
    </w:tbl>
    <w:p w:rsidR="001948E1" w:rsidRDefault="001948E1" w:rsidP="005A1428">
      <w:pPr>
        <w:jc w:val="center"/>
      </w:pPr>
    </w:p>
    <w:tbl>
      <w:tblPr>
        <w:tblW w:w="5000" w:type="pct"/>
        <w:tblLook w:val="04A0" w:firstRow="1" w:lastRow="0" w:firstColumn="1" w:lastColumn="0" w:noHBand="0" w:noVBand="1"/>
      </w:tblPr>
      <w:tblGrid>
        <w:gridCol w:w="1894"/>
        <w:gridCol w:w="1380"/>
        <w:gridCol w:w="3030"/>
        <w:gridCol w:w="1380"/>
        <w:gridCol w:w="1282"/>
        <w:gridCol w:w="1491"/>
      </w:tblGrid>
      <w:tr w:rsidR="001948E1" w:rsidRPr="001948E1" w:rsidTr="001948E1">
        <w:trPr>
          <w:trHeight w:val="510"/>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Event</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Country</w:t>
            </w:r>
          </w:p>
        </w:tc>
        <w:tc>
          <w:tcPr>
            <w:tcW w:w="1449"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Company</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Amount invoiced</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Payment received</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Balance due</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2009</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948E1">
              <w:rPr>
                <w:sz w:val="22"/>
                <w:szCs w:val="22"/>
                <w:lang w:val="en-US" w:eastAsia="zh-CN"/>
              </w:rPr>
              <w:t>USA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948E1">
              <w:rPr>
                <w:sz w:val="22"/>
                <w:szCs w:val="22"/>
                <w:lang w:val="en-US" w:eastAsia="zh-CN"/>
              </w:rPr>
              <w:t>E: Telesis Energy and Data</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10,800.00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10,800.00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2009</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India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948E1">
              <w:rPr>
                <w:sz w:val="22"/>
                <w:szCs w:val="22"/>
                <w:lang w:val="en-US" w:eastAsia="zh-CN"/>
              </w:rPr>
              <w:t xml:space="preserve">REVE Systems (S) </w:t>
            </w:r>
            <w:proofErr w:type="spellStart"/>
            <w:r w:rsidRPr="001948E1">
              <w:rPr>
                <w:sz w:val="22"/>
                <w:szCs w:val="22"/>
                <w:lang w:val="en-US" w:eastAsia="zh-CN"/>
              </w:rPr>
              <w:t>Pte</w:t>
            </w:r>
            <w:proofErr w:type="spellEnd"/>
            <w:r w:rsidRPr="001948E1">
              <w:rPr>
                <w:sz w:val="22"/>
                <w:szCs w:val="22"/>
                <w:lang w:val="en-US" w:eastAsia="zh-CN"/>
              </w:rPr>
              <w:t xml:space="preserve"> Ltd</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10,800.00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10,800.00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2009</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USA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948E1">
              <w:rPr>
                <w:sz w:val="22"/>
                <w:szCs w:val="22"/>
                <w:lang w:val="en-US" w:eastAsia="zh-CN"/>
              </w:rPr>
              <w:t>UTStarcom Inc.</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94,050.00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47,025.00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47,025.00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TLC 2009</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1948E1">
              <w:rPr>
                <w:b/>
                <w:bCs/>
                <w:sz w:val="22"/>
                <w:szCs w:val="22"/>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1948E1">
              <w:rPr>
                <w:b/>
                <w:bCs/>
                <w:sz w:val="22"/>
                <w:szCs w:val="22"/>
                <w:lang w:val="en-US" w:eastAsia="zh-CN"/>
              </w:rPr>
              <w:t>68,625.00</w:t>
            </w:r>
          </w:p>
        </w:tc>
      </w:tr>
    </w:tbl>
    <w:p w:rsidR="00C652E7" w:rsidRDefault="00231502" w:rsidP="005A1428">
      <w:pPr>
        <w:jc w:val="center"/>
      </w:pPr>
      <w:r>
        <w:br w:type="page"/>
      </w:r>
    </w:p>
    <w:p w:rsidR="00C652E7" w:rsidRDefault="00C652E7" w:rsidP="005A1428">
      <w:pPr>
        <w:jc w:val="center"/>
      </w:pPr>
    </w:p>
    <w:p w:rsidR="003B1FBE" w:rsidRPr="00832C65" w:rsidRDefault="00832C65" w:rsidP="001948E1">
      <w:pPr>
        <w:spacing w:after="120"/>
        <w:jc w:val="center"/>
        <w:rPr>
          <w:b/>
          <w:bCs/>
          <w:sz w:val="28"/>
          <w:szCs w:val="28"/>
          <w:lang w:val="en-US"/>
        </w:rPr>
      </w:pPr>
      <w:r w:rsidRPr="00832C65">
        <w:rPr>
          <w:b/>
          <w:bCs/>
          <w:sz w:val="28"/>
          <w:szCs w:val="28"/>
          <w:lang w:val="en-US"/>
        </w:rPr>
        <w:t>List of debtors at 31</w:t>
      </w:r>
      <w:r w:rsidR="00F25F37">
        <w:rPr>
          <w:b/>
          <w:bCs/>
          <w:sz w:val="28"/>
          <w:szCs w:val="28"/>
          <w:lang w:val="en-US"/>
        </w:rPr>
        <w:t xml:space="preserve"> December </w:t>
      </w:r>
      <w:r w:rsidRPr="00832C65">
        <w:rPr>
          <w:b/>
          <w:bCs/>
          <w:sz w:val="28"/>
          <w:szCs w:val="28"/>
          <w:lang w:val="en-US"/>
        </w:rPr>
        <w:t>201</w:t>
      </w:r>
      <w:r w:rsidR="001948E1">
        <w:rPr>
          <w:b/>
          <w:bCs/>
          <w:sz w:val="28"/>
          <w:szCs w:val="28"/>
          <w:lang w:val="en-US"/>
        </w:rPr>
        <w:t>8</w:t>
      </w:r>
      <w:r w:rsidRPr="00832C65">
        <w:rPr>
          <w:b/>
          <w:bCs/>
          <w:sz w:val="28"/>
          <w:szCs w:val="28"/>
          <w:lang w:val="en-US"/>
        </w:rPr>
        <w:t xml:space="preserve"> for closed ITU TELECOM events</w:t>
      </w:r>
      <w:r w:rsidR="003B1FBE" w:rsidRPr="00832C65">
        <w:rPr>
          <w:b/>
          <w:bCs/>
          <w:sz w:val="28"/>
          <w:szCs w:val="28"/>
          <w:lang w:val="en-US"/>
        </w:rPr>
        <w:t xml:space="preserve"> (</w:t>
      </w:r>
      <w:r w:rsidR="003B1FBE" w:rsidRPr="00F25F37">
        <w:rPr>
          <w:b/>
          <w:bCs/>
          <w:i/>
          <w:iCs/>
          <w:sz w:val="28"/>
          <w:szCs w:val="28"/>
          <w:lang w:val="en-US"/>
        </w:rPr>
        <w:t>cont’d</w:t>
      </w:r>
      <w:r w:rsidR="003B1FBE" w:rsidRPr="00832C65">
        <w:rPr>
          <w:b/>
          <w:bCs/>
          <w:sz w:val="28"/>
          <w:szCs w:val="28"/>
          <w:lang w:val="en-US"/>
        </w:rPr>
        <w:t>)</w:t>
      </w:r>
    </w:p>
    <w:tbl>
      <w:tblPr>
        <w:tblW w:w="5000" w:type="pct"/>
        <w:tblLook w:val="04A0" w:firstRow="1" w:lastRow="0" w:firstColumn="1" w:lastColumn="0" w:noHBand="0" w:noVBand="1"/>
      </w:tblPr>
      <w:tblGrid>
        <w:gridCol w:w="1894"/>
        <w:gridCol w:w="1380"/>
        <w:gridCol w:w="3030"/>
        <w:gridCol w:w="1380"/>
        <w:gridCol w:w="1282"/>
        <w:gridCol w:w="1491"/>
      </w:tblGrid>
      <w:tr w:rsidR="001948E1" w:rsidRPr="001948E1" w:rsidTr="001948E1">
        <w:trPr>
          <w:trHeight w:val="510"/>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Event</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Country</w:t>
            </w:r>
          </w:p>
        </w:tc>
        <w:tc>
          <w:tcPr>
            <w:tcW w:w="1449"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Company</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Amount invoiced</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Payment received</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Balance due</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2011</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Suisse</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948E1">
              <w:rPr>
                <w:sz w:val="22"/>
                <w:szCs w:val="22"/>
                <w:lang w:val="en-US" w:eastAsia="zh-CN"/>
              </w:rPr>
              <w:t>Client World 2011*</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203,243.05</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194,643.25</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8,599.80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TLC 2011</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1948E1">
              <w:rPr>
                <w:b/>
                <w:bCs/>
                <w:sz w:val="22"/>
                <w:szCs w:val="22"/>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b/>
                <w:bCs/>
                <w:sz w:val="22"/>
                <w:szCs w:val="22"/>
                <w:lang w:val="en-US" w:eastAsia="zh-CN"/>
              </w:rPr>
            </w:pPr>
            <w:r w:rsidRPr="001948E1">
              <w:rPr>
                <w:b/>
                <w:bCs/>
                <w:sz w:val="22"/>
                <w:szCs w:val="22"/>
                <w:lang w:val="en-US" w:eastAsia="zh-CN"/>
              </w:rPr>
              <w:t>8,599.80</w:t>
            </w:r>
          </w:p>
        </w:tc>
      </w:tr>
    </w:tbl>
    <w:p w:rsidR="003502D0" w:rsidRDefault="003502D0">
      <w:pPr>
        <w:rPr>
          <w:lang w:val="en-US"/>
        </w:rPr>
      </w:pPr>
    </w:p>
    <w:tbl>
      <w:tblPr>
        <w:tblW w:w="5000" w:type="pct"/>
        <w:tblLook w:val="04A0" w:firstRow="1" w:lastRow="0" w:firstColumn="1" w:lastColumn="0" w:noHBand="0" w:noVBand="1"/>
      </w:tblPr>
      <w:tblGrid>
        <w:gridCol w:w="1850"/>
        <w:gridCol w:w="1401"/>
        <w:gridCol w:w="2987"/>
        <w:gridCol w:w="1385"/>
        <w:gridCol w:w="1385"/>
        <w:gridCol w:w="1449"/>
      </w:tblGrid>
      <w:tr w:rsidR="001948E1" w:rsidRPr="001948E1" w:rsidTr="001948E1">
        <w:trPr>
          <w:trHeight w:val="510"/>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Event</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Country</w:t>
            </w:r>
          </w:p>
        </w:tc>
        <w:tc>
          <w:tcPr>
            <w:tcW w:w="1449"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Company</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Amount invoiced</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Payment received</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Balance due</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2014</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948E1">
              <w:rPr>
                <w:sz w:val="22"/>
                <w:szCs w:val="22"/>
                <w:lang w:val="en-US" w:eastAsia="zh-CN"/>
              </w:rPr>
              <w:t>Germany</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948E1">
              <w:rPr>
                <w:sz w:val="22"/>
                <w:szCs w:val="22"/>
                <w:lang w:val="en-US" w:eastAsia="zh-CN"/>
              </w:rPr>
              <w:t xml:space="preserve">LS </w:t>
            </w:r>
            <w:proofErr w:type="spellStart"/>
            <w:r w:rsidRPr="001948E1">
              <w:rPr>
                <w:sz w:val="22"/>
                <w:szCs w:val="22"/>
                <w:lang w:val="en-US" w:eastAsia="zh-CN"/>
              </w:rPr>
              <w:t>Telcom</w:t>
            </w:r>
            <w:proofErr w:type="spellEnd"/>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13,650.00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13,650.00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2014</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Cameroon</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948E1">
              <w:rPr>
                <w:color w:val="000000"/>
                <w:sz w:val="22"/>
                <w:szCs w:val="22"/>
                <w:lang w:val="en-US" w:eastAsia="zh-CN"/>
              </w:rPr>
              <w:t>Ministère</w:t>
            </w:r>
            <w:proofErr w:type="spellEnd"/>
            <w:r w:rsidRPr="001948E1">
              <w:rPr>
                <w:color w:val="000000"/>
                <w:sz w:val="22"/>
                <w:szCs w:val="22"/>
                <w:lang w:val="en-US" w:eastAsia="zh-CN"/>
              </w:rPr>
              <w:t xml:space="preserve"> des </w:t>
            </w:r>
            <w:proofErr w:type="spellStart"/>
            <w:r w:rsidRPr="001948E1">
              <w:rPr>
                <w:color w:val="000000"/>
                <w:sz w:val="22"/>
                <w:szCs w:val="22"/>
                <w:lang w:val="en-US" w:eastAsia="zh-CN"/>
              </w:rPr>
              <w:t>Postes</w:t>
            </w:r>
            <w:proofErr w:type="spellEnd"/>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110,000.00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110,000.00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2014</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Congo</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948E1">
              <w:rPr>
                <w:color w:val="000000"/>
                <w:sz w:val="22"/>
                <w:szCs w:val="22"/>
                <w:lang w:val="en-US" w:eastAsia="zh-CN"/>
              </w:rPr>
              <w:t>Ministère</w:t>
            </w:r>
            <w:proofErr w:type="spellEnd"/>
            <w:r w:rsidRPr="001948E1">
              <w:rPr>
                <w:color w:val="000000"/>
                <w:sz w:val="22"/>
                <w:szCs w:val="22"/>
                <w:lang w:val="en-US" w:eastAsia="zh-CN"/>
              </w:rPr>
              <w:t xml:space="preserve"> des </w:t>
            </w:r>
            <w:proofErr w:type="spellStart"/>
            <w:r w:rsidRPr="001948E1">
              <w:rPr>
                <w:color w:val="000000"/>
                <w:sz w:val="22"/>
                <w:szCs w:val="22"/>
                <w:lang w:val="en-US" w:eastAsia="zh-CN"/>
              </w:rPr>
              <w:t>Postes</w:t>
            </w:r>
            <w:proofErr w:type="spellEnd"/>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110,000.00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110,000.00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2014</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Qatar</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948E1">
              <w:rPr>
                <w:color w:val="000000"/>
                <w:sz w:val="22"/>
                <w:szCs w:val="22"/>
                <w:lang w:val="en-US" w:eastAsia="zh-CN"/>
              </w:rPr>
              <w:t>Ooreddo</w:t>
            </w:r>
            <w:proofErr w:type="spellEnd"/>
            <w:r w:rsidRPr="001948E1">
              <w:rPr>
                <w:color w:val="000000"/>
                <w:sz w:val="22"/>
                <w:szCs w:val="22"/>
                <w:lang w:val="en-US" w:eastAsia="zh-CN"/>
              </w:rPr>
              <w:t xml:space="preserve"> Qatar</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2,743,966.60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2,743,966.60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2014</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India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TCIL</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5,400.00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5,400.00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2014</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Qatar</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Ministry of ICT</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14,000.00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14,000.00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2014</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Nigeria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NCC</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12,000.00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12,000.00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2014</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948E1">
              <w:rPr>
                <w:color w:val="000000"/>
                <w:sz w:val="22"/>
                <w:szCs w:val="22"/>
                <w:lang w:val="en-US" w:eastAsia="zh-CN"/>
              </w:rPr>
              <w:t>Saudo</w:t>
            </w:r>
            <w:proofErr w:type="spellEnd"/>
            <w:r w:rsidRPr="001948E1">
              <w:rPr>
                <w:color w:val="000000"/>
                <w:sz w:val="22"/>
                <w:szCs w:val="22"/>
                <w:lang w:val="en-US" w:eastAsia="zh-CN"/>
              </w:rPr>
              <w:t xml:space="preserve"> Arabia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Saudi Telecom</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20,250.00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20,250.00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2014</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948E1">
              <w:rPr>
                <w:rFonts w:ascii="Arial" w:hAnsi="Arial" w:cs="Arial"/>
                <w:b/>
                <w:bCs/>
                <w:sz w:val="20"/>
                <w:lang w:val="en-US" w:eastAsia="zh-CN"/>
              </w:rPr>
              <w:t>110,000.00</w:t>
            </w:r>
          </w:p>
        </w:tc>
      </w:tr>
    </w:tbl>
    <w:p w:rsidR="001948E1" w:rsidRPr="001948E1" w:rsidRDefault="001948E1">
      <w:pPr>
        <w:rPr>
          <w:lang w:val="en-US"/>
        </w:rPr>
      </w:pPr>
    </w:p>
    <w:tbl>
      <w:tblPr>
        <w:tblW w:w="5000" w:type="pct"/>
        <w:tblLook w:val="04A0" w:firstRow="1" w:lastRow="0" w:firstColumn="1" w:lastColumn="0" w:noHBand="0" w:noVBand="1"/>
      </w:tblPr>
      <w:tblGrid>
        <w:gridCol w:w="1779"/>
        <w:gridCol w:w="1341"/>
        <w:gridCol w:w="3599"/>
        <w:gridCol w:w="1219"/>
        <w:gridCol w:w="1219"/>
        <w:gridCol w:w="1300"/>
      </w:tblGrid>
      <w:tr w:rsidR="001948E1" w:rsidRPr="001948E1" w:rsidTr="001948E1">
        <w:trPr>
          <w:trHeight w:val="510"/>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Event</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Country</w:t>
            </w:r>
          </w:p>
        </w:tc>
        <w:tc>
          <w:tcPr>
            <w:tcW w:w="1449"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Company</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Amount invoiced</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Payment received</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Balance due</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948E1">
              <w:rPr>
                <w:sz w:val="22"/>
                <w:szCs w:val="22"/>
                <w:lang w:val="en-US" w:eastAsia="zh-CN"/>
              </w:rPr>
              <w:t>TLC 2015</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948E1">
              <w:rPr>
                <w:sz w:val="22"/>
                <w:szCs w:val="22"/>
                <w:lang w:val="en-US" w:eastAsia="zh-CN"/>
              </w:rPr>
              <w:t>South Sudan</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948E1">
              <w:rPr>
                <w:sz w:val="22"/>
                <w:szCs w:val="22"/>
                <w:lang w:val="en-US" w:eastAsia="zh-CN"/>
              </w:rPr>
              <w:t>National Communication Authority</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100,000.00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2015</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Sri Lanka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948E1">
              <w:rPr>
                <w:color w:val="000000"/>
                <w:sz w:val="22"/>
                <w:szCs w:val="22"/>
                <w:lang w:val="en-US" w:eastAsia="zh-CN"/>
              </w:rPr>
              <w:t>Negete</w:t>
            </w:r>
            <w:proofErr w:type="spellEnd"/>
            <w:r w:rsidRPr="001948E1">
              <w:rPr>
                <w:color w:val="000000"/>
                <w:sz w:val="22"/>
                <w:szCs w:val="22"/>
                <w:lang w:val="en-US" w:eastAsia="zh-CN"/>
              </w:rPr>
              <w:t xml:space="preserve"> Private Ltd.</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1,200.00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1,200.00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2015</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Egypt</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948E1">
              <w:rPr>
                <w:color w:val="000000"/>
                <w:sz w:val="22"/>
                <w:szCs w:val="22"/>
                <w:lang w:val="en-US" w:eastAsia="zh-CN"/>
              </w:rPr>
              <w:t>Tawasol</w:t>
            </w:r>
            <w:proofErr w:type="spellEnd"/>
            <w:r w:rsidRPr="001948E1">
              <w:rPr>
                <w:color w:val="000000"/>
                <w:sz w:val="22"/>
                <w:szCs w:val="22"/>
                <w:lang w:val="en-US" w:eastAsia="zh-CN"/>
              </w:rPr>
              <w:t xml:space="preserve"> IT</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1,200.00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1,200.00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2015</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Uganda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Uganda Communications Commission</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130,000.00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130,000.00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2015</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948E1">
              <w:rPr>
                <w:rFonts w:ascii="Arial" w:hAnsi="Arial" w:cs="Arial"/>
                <w:b/>
                <w:bCs/>
                <w:sz w:val="20"/>
                <w:lang w:val="en-US" w:eastAsia="zh-CN"/>
              </w:rPr>
              <w:t>2,400.00</w:t>
            </w:r>
          </w:p>
        </w:tc>
      </w:tr>
    </w:tbl>
    <w:p w:rsidR="005A1B94" w:rsidRDefault="005A1B94"/>
    <w:tbl>
      <w:tblPr>
        <w:tblW w:w="5000" w:type="pct"/>
        <w:tblLook w:val="04A0" w:firstRow="1" w:lastRow="0" w:firstColumn="1" w:lastColumn="0" w:noHBand="0" w:noVBand="1"/>
      </w:tblPr>
      <w:tblGrid>
        <w:gridCol w:w="1859"/>
        <w:gridCol w:w="1347"/>
        <w:gridCol w:w="3197"/>
        <w:gridCol w:w="1347"/>
        <w:gridCol w:w="1249"/>
        <w:gridCol w:w="1458"/>
      </w:tblGrid>
      <w:tr w:rsidR="001948E1" w:rsidRPr="001948E1" w:rsidTr="001948E1">
        <w:trPr>
          <w:trHeight w:val="510"/>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Event</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Country</w:t>
            </w:r>
          </w:p>
        </w:tc>
        <w:tc>
          <w:tcPr>
            <w:tcW w:w="1449"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Company</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Amount invoiced</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Payment received</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Balance due</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948E1">
              <w:rPr>
                <w:rFonts w:ascii="Arial" w:hAnsi="Arial" w:cs="Arial"/>
                <w:sz w:val="20"/>
                <w:lang w:val="en-US" w:eastAsia="zh-CN"/>
              </w:rPr>
              <w:t> </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948E1">
              <w:rPr>
                <w:sz w:val="22"/>
                <w:szCs w:val="22"/>
                <w:lang w:val="en-US" w:eastAsia="zh-CN"/>
              </w:rPr>
              <w:t>TLC 2016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Uganda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roofErr w:type="spellStart"/>
            <w:r w:rsidRPr="001948E1">
              <w:rPr>
                <w:sz w:val="22"/>
                <w:szCs w:val="22"/>
                <w:lang w:val="en-US" w:eastAsia="zh-CN"/>
              </w:rPr>
              <w:t>Abercom</w:t>
            </w:r>
            <w:proofErr w:type="spellEnd"/>
            <w:r w:rsidRPr="001948E1">
              <w:rPr>
                <w:sz w:val="22"/>
                <w:szCs w:val="22"/>
                <w:lang w:val="en-US" w:eastAsia="zh-CN"/>
              </w:rPr>
              <w:t>(U)</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1,200.00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1,200.00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948E1">
              <w:rPr>
                <w:sz w:val="22"/>
                <w:szCs w:val="22"/>
                <w:lang w:val="en-US" w:eastAsia="zh-CN"/>
              </w:rPr>
              <w:t>TLC 2016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Kenya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948E1">
              <w:rPr>
                <w:color w:val="000000"/>
                <w:sz w:val="22"/>
                <w:szCs w:val="22"/>
                <w:lang w:val="en-US" w:eastAsia="zh-CN"/>
              </w:rPr>
              <w:t>FarmDrive</w:t>
            </w:r>
            <w:proofErr w:type="spellEnd"/>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1,200.00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1,200.00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948E1">
              <w:rPr>
                <w:sz w:val="22"/>
                <w:szCs w:val="22"/>
                <w:lang w:val="en-US" w:eastAsia="zh-CN"/>
              </w:rPr>
              <w:t>TLC 2016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948E1">
              <w:rPr>
                <w:color w:val="000000"/>
                <w:sz w:val="22"/>
                <w:szCs w:val="22"/>
                <w:lang w:val="en-US" w:eastAsia="zh-CN"/>
              </w:rPr>
              <w:t>Algeira</w:t>
            </w:r>
            <w:proofErr w:type="spellEnd"/>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r w:rsidRPr="001948E1">
              <w:rPr>
                <w:color w:val="000000"/>
                <w:sz w:val="22"/>
                <w:szCs w:val="22"/>
                <w:lang w:val="fr-CH" w:eastAsia="zh-CN"/>
              </w:rPr>
              <w:t>Ministère de la Poste &amp; des Tech.</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11,900.00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11,900.00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948E1">
              <w:rPr>
                <w:sz w:val="22"/>
                <w:szCs w:val="22"/>
                <w:lang w:val="en-US" w:eastAsia="zh-CN"/>
              </w:rPr>
              <w:t>TLC 2016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Argentina</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948E1">
              <w:rPr>
                <w:color w:val="000000"/>
                <w:sz w:val="22"/>
                <w:szCs w:val="22"/>
                <w:lang w:val="en-US" w:eastAsia="zh-CN"/>
              </w:rPr>
              <w:t>Ministerio</w:t>
            </w:r>
            <w:proofErr w:type="spellEnd"/>
            <w:r w:rsidRPr="001948E1">
              <w:rPr>
                <w:color w:val="000000"/>
                <w:sz w:val="22"/>
                <w:szCs w:val="22"/>
                <w:lang w:val="en-US" w:eastAsia="zh-CN"/>
              </w:rPr>
              <w:t xml:space="preserve"> de </w:t>
            </w:r>
            <w:proofErr w:type="spellStart"/>
            <w:r w:rsidRPr="001948E1">
              <w:rPr>
                <w:color w:val="000000"/>
                <w:sz w:val="22"/>
                <w:szCs w:val="22"/>
                <w:lang w:val="en-US" w:eastAsia="zh-CN"/>
              </w:rPr>
              <w:t>Comunicaciones</w:t>
            </w:r>
            <w:proofErr w:type="spellEnd"/>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40,000.00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40,000.00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948E1">
              <w:rPr>
                <w:sz w:val="22"/>
                <w:szCs w:val="22"/>
                <w:lang w:val="en-US" w:eastAsia="zh-CN"/>
              </w:rPr>
              <w:t>TLC 2016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Sudan</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National Information Center</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50,000.00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50,000.00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948E1">
              <w:rPr>
                <w:sz w:val="22"/>
                <w:szCs w:val="22"/>
                <w:lang w:val="en-US" w:eastAsia="zh-CN"/>
              </w:rPr>
              <w:t>TLC 2016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948E1">
              <w:rPr>
                <w:color w:val="000000"/>
                <w:sz w:val="22"/>
                <w:szCs w:val="22"/>
                <w:lang w:val="en-US" w:eastAsia="zh-CN"/>
              </w:rPr>
              <w:t>Japon</w:t>
            </w:r>
            <w:proofErr w:type="spellEnd"/>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OKI Electric Industry</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1,200.00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1,200.00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948E1">
              <w:rPr>
                <w:sz w:val="22"/>
                <w:szCs w:val="22"/>
                <w:lang w:val="en-US" w:eastAsia="zh-CN"/>
              </w:rPr>
              <w:t>TLC 2016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EAU</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Telecom. Regulatory Authority</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100,000.00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100,000.00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948E1">
              <w:rPr>
                <w:sz w:val="22"/>
                <w:szCs w:val="22"/>
                <w:lang w:val="en-US" w:eastAsia="zh-CN"/>
              </w:rPr>
              <w:t>TLC 2016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948E1">
              <w:rPr>
                <w:color w:val="000000"/>
                <w:sz w:val="22"/>
                <w:szCs w:val="22"/>
                <w:lang w:val="en-US" w:eastAsia="zh-CN"/>
              </w:rPr>
              <w:t>Singapor</w:t>
            </w:r>
            <w:proofErr w:type="spellEnd"/>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948E1">
              <w:rPr>
                <w:color w:val="000000"/>
                <w:sz w:val="22"/>
                <w:szCs w:val="22"/>
                <w:lang w:val="en-US" w:eastAsia="zh-CN"/>
              </w:rPr>
              <w:t>Voxvalley</w:t>
            </w:r>
            <w:proofErr w:type="spellEnd"/>
            <w:r w:rsidRPr="001948E1">
              <w:rPr>
                <w:color w:val="000000"/>
                <w:sz w:val="22"/>
                <w:szCs w:val="22"/>
                <w:lang w:val="en-US" w:eastAsia="zh-CN"/>
              </w:rPr>
              <w:t xml:space="preserve"> Tech.</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1,200.00</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1,200.00</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948E1">
              <w:rPr>
                <w:sz w:val="22"/>
                <w:szCs w:val="22"/>
                <w:lang w:val="en-US" w:eastAsia="zh-CN"/>
              </w:rPr>
              <w:t>0.00</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r>
      <w:tr w:rsidR="001948E1" w:rsidRPr="001948E1" w:rsidTr="001948E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948E1">
              <w:rPr>
                <w:color w:val="000000"/>
                <w:sz w:val="22"/>
                <w:szCs w:val="22"/>
                <w:lang w:val="en-US" w:eastAsia="zh-CN"/>
              </w:rPr>
              <w:t>TLC 2016</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US" w:eastAsia="zh-CN"/>
              </w:rPr>
            </w:pPr>
            <w:r w:rsidRPr="001948E1">
              <w:rPr>
                <w:rFonts w:ascii="Arial" w:hAnsi="Arial" w:cs="Arial"/>
                <w:b/>
                <w:bCs/>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948E1" w:rsidRPr="001948E1" w:rsidRDefault="001948E1" w:rsidP="001948E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948E1">
              <w:rPr>
                <w:rFonts w:ascii="Arial" w:hAnsi="Arial" w:cs="Arial"/>
                <w:b/>
                <w:bCs/>
                <w:sz w:val="20"/>
                <w:lang w:val="en-US" w:eastAsia="zh-CN"/>
              </w:rPr>
              <w:t>92,400.00</w:t>
            </w:r>
          </w:p>
        </w:tc>
      </w:tr>
    </w:tbl>
    <w:p w:rsidR="001948E1" w:rsidRDefault="00A36670" w:rsidP="00421B13">
      <w:pPr>
        <w:spacing w:after="120"/>
        <w:jc w:val="center"/>
      </w:pPr>
      <w:r>
        <w:br w:type="page"/>
      </w:r>
      <w:r w:rsidR="001948E1" w:rsidRPr="00832C65">
        <w:rPr>
          <w:b/>
          <w:bCs/>
          <w:sz w:val="28"/>
          <w:szCs w:val="28"/>
          <w:lang w:val="en-US"/>
        </w:rPr>
        <w:t>List of debtors at 31</w:t>
      </w:r>
      <w:r w:rsidR="001948E1">
        <w:rPr>
          <w:b/>
          <w:bCs/>
          <w:sz w:val="28"/>
          <w:szCs w:val="28"/>
          <w:lang w:val="en-US"/>
        </w:rPr>
        <w:t xml:space="preserve"> December </w:t>
      </w:r>
      <w:r w:rsidR="001948E1" w:rsidRPr="00832C65">
        <w:rPr>
          <w:b/>
          <w:bCs/>
          <w:sz w:val="28"/>
          <w:szCs w:val="28"/>
          <w:lang w:val="en-US"/>
        </w:rPr>
        <w:t>201</w:t>
      </w:r>
      <w:r w:rsidR="00474967">
        <w:rPr>
          <w:b/>
          <w:bCs/>
          <w:sz w:val="28"/>
          <w:szCs w:val="28"/>
          <w:lang w:val="en-US"/>
        </w:rPr>
        <w:t>8</w:t>
      </w:r>
      <w:r w:rsidR="001948E1" w:rsidRPr="00832C65">
        <w:rPr>
          <w:b/>
          <w:bCs/>
          <w:sz w:val="28"/>
          <w:szCs w:val="28"/>
          <w:lang w:val="en-US"/>
        </w:rPr>
        <w:t xml:space="preserve"> for closed ITU TELECOM events (</w:t>
      </w:r>
      <w:r w:rsidR="001948E1" w:rsidRPr="00F25F37">
        <w:rPr>
          <w:b/>
          <w:bCs/>
          <w:i/>
          <w:iCs/>
          <w:sz w:val="28"/>
          <w:szCs w:val="28"/>
          <w:lang w:val="en-US"/>
        </w:rPr>
        <w:t>end</w:t>
      </w:r>
      <w:r w:rsidR="001948E1">
        <w:rPr>
          <w:b/>
          <w:bCs/>
          <w:sz w:val="28"/>
          <w:szCs w:val="28"/>
          <w:lang w:val="en-US"/>
        </w:rPr>
        <w:t>)</w:t>
      </w:r>
    </w:p>
    <w:p w:rsidR="00A36670" w:rsidRDefault="00A36670"/>
    <w:tbl>
      <w:tblPr>
        <w:tblW w:w="5000" w:type="pct"/>
        <w:tblLook w:val="04A0" w:firstRow="1" w:lastRow="0" w:firstColumn="1" w:lastColumn="0" w:noHBand="0" w:noVBand="1"/>
      </w:tblPr>
      <w:tblGrid>
        <w:gridCol w:w="1760"/>
        <w:gridCol w:w="1310"/>
        <w:gridCol w:w="3693"/>
        <w:gridCol w:w="1219"/>
        <w:gridCol w:w="1116"/>
        <w:gridCol w:w="1359"/>
      </w:tblGrid>
      <w:tr w:rsidR="001311C1" w:rsidRPr="001311C1" w:rsidTr="001311C1">
        <w:trPr>
          <w:trHeight w:val="510"/>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Event</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Country</w:t>
            </w:r>
          </w:p>
        </w:tc>
        <w:tc>
          <w:tcPr>
            <w:tcW w:w="1449" w:type="pct"/>
            <w:tcBorders>
              <w:top w:val="single" w:sz="4" w:space="0" w:color="auto"/>
              <w:left w:val="nil"/>
              <w:bottom w:val="single" w:sz="4" w:space="0" w:color="auto"/>
              <w:right w:val="single" w:sz="4" w:space="0" w:color="auto"/>
            </w:tcBorders>
            <w:shd w:val="clear" w:color="auto" w:fill="auto"/>
            <w:vAlign w:val="center"/>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Company</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Amount invoiced</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Payment received</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Balance due</w:t>
            </w:r>
          </w:p>
        </w:tc>
      </w:tr>
      <w:tr w:rsidR="001311C1" w:rsidRPr="001311C1" w:rsidTr="001311C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r>
      <w:tr w:rsidR="001311C1" w:rsidRPr="001311C1" w:rsidTr="001311C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2017</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1311C1">
              <w:rPr>
                <w:sz w:val="22"/>
                <w:szCs w:val="22"/>
                <w:lang w:val="en-US" w:eastAsia="zh-CN"/>
              </w:rPr>
              <w:t>Yemen</w:t>
            </w:r>
          </w:p>
        </w:tc>
        <w:tc>
          <w:tcPr>
            <w:tcW w:w="1449"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roofErr w:type="spellStart"/>
            <w:r w:rsidRPr="001311C1">
              <w:rPr>
                <w:sz w:val="22"/>
                <w:szCs w:val="22"/>
                <w:lang w:val="en-US" w:eastAsia="zh-CN"/>
              </w:rPr>
              <w:t>AnaMehani</w:t>
            </w:r>
            <w:proofErr w:type="spellEnd"/>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1,200.00</w:t>
            </w:r>
          </w:p>
        </w:tc>
        <w:tc>
          <w:tcPr>
            <w:tcW w:w="6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1,200.00</w:t>
            </w:r>
          </w:p>
        </w:tc>
      </w:tr>
      <w:tr w:rsidR="001311C1" w:rsidRPr="001311C1" w:rsidTr="001311C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2017</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Cameroon</w:t>
            </w:r>
          </w:p>
        </w:tc>
        <w:tc>
          <w:tcPr>
            <w:tcW w:w="1449"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Citizen Assoc. For Tech. Development</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1,200.00</w:t>
            </w:r>
          </w:p>
        </w:tc>
        <w:tc>
          <w:tcPr>
            <w:tcW w:w="6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1,200.00</w:t>
            </w:r>
          </w:p>
        </w:tc>
      </w:tr>
      <w:tr w:rsidR="001311C1" w:rsidRPr="001311C1" w:rsidTr="001311C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2017</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South Africa</w:t>
            </w:r>
          </w:p>
        </w:tc>
        <w:tc>
          <w:tcPr>
            <w:tcW w:w="1449"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Department of Telecom. &amp; Postal Serv.</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50,000.00</w:t>
            </w:r>
          </w:p>
        </w:tc>
        <w:tc>
          <w:tcPr>
            <w:tcW w:w="6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50,000.00</w:t>
            </w:r>
          </w:p>
        </w:tc>
        <w:tc>
          <w:tcPr>
            <w:tcW w:w="7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0.00</w:t>
            </w:r>
          </w:p>
        </w:tc>
      </w:tr>
      <w:tr w:rsidR="001311C1" w:rsidRPr="001311C1" w:rsidTr="001311C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2017</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South Korea</w:t>
            </w:r>
          </w:p>
        </w:tc>
        <w:tc>
          <w:tcPr>
            <w:tcW w:w="1449"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Lee Convention</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50,250.00</w:t>
            </w:r>
          </w:p>
        </w:tc>
        <w:tc>
          <w:tcPr>
            <w:tcW w:w="6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50,250.00</w:t>
            </w:r>
          </w:p>
        </w:tc>
        <w:tc>
          <w:tcPr>
            <w:tcW w:w="7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0.00</w:t>
            </w:r>
          </w:p>
        </w:tc>
      </w:tr>
      <w:tr w:rsidR="001311C1" w:rsidRPr="001311C1" w:rsidTr="001311C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2017</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Benin</w:t>
            </w:r>
          </w:p>
        </w:tc>
        <w:tc>
          <w:tcPr>
            <w:tcW w:w="1449"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311C1">
              <w:rPr>
                <w:color w:val="000000"/>
                <w:sz w:val="22"/>
                <w:szCs w:val="22"/>
                <w:lang w:val="en-US" w:eastAsia="zh-CN"/>
              </w:rPr>
              <w:t>Ministère</w:t>
            </w:r>
            <w:proofErr w:type="spellEnd"/>
            <w:r w:rsidRPr="001311C1">
              <w:rPr>
                <w:color w:val="000000"/>
                <w:sz w:val="22"/>
                <w:szCs w:val="22"/>
                <w:lang w:val="en-US" w:eastAsia="zh-CN"/>
              </w:rPr>
              <w:t xml:space="preserve"> de </w:t>
            </w:r>
            <w:proofErr w:type="spellStart"/>
            <w:r w:rsidRPr="001311C1">
              <w:rPr>
                <w:color w:val="000000"/>
                <w:sz w:val="22"/>
                <w:szCs w:val="22"/>
                <w:lang w:val="en-US" w:eastAsia="zh-CN"/>
              </w:rPr>
              <w:t>l'Economie</w:t>
            </w:r>
            <w:proofErr w:type="spellEnd"/>
            <w:r w:rsidRPr="001311C1">
              <w:rPr>
                <w:color w:val="000000"/>
                <w:sz w:val="22"/>
                <w:szCs w:val="22"/>
                <w:lang w:val="en-US" w:eastAsia="zh-CN"/>
              </w:rPr>
              <w:t xml:space="preserve"> </w:t>
            </w:r>
            <w:proofErr w:type="spellStart"/>
            <w:r w:rsidRPr="001311C1">
              <w:rPr>
                <w:color w:val="000000"/>
                <w:sz w:val="22"/>
                <w:szCs w:val="22"/>
                <w:lang w:val="en-US" w:eastAsia="zh-CN"/>
              </w:rPr>
              <w:t>Numérique</w:t>
            </w:r>
            <w:proofErr w:type="spellEnd"/>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50,000.00</w:t>
            </w:r>
          </w:p>
        </w:tc>
        <w:tc>
          <w:tcPr>
            <w:tcW w:w="6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47,048.89</w:t>
            </w:r>
          </w:p>
        </w:tc>
        <w:tc>
          <w:tcPr>
            <w:tcW w:w="7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2,951.11</w:t>
            </w:r>
          </w:p>
        </w:tc>
      </w:tr>
      <w:tr w:rsidR="001311C1" w:rsidRPr="001311C1" w:rsidTr="001311C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2017</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Gabon</w:t>
            </w:r>
          </w:p>
        </w:tc>
        <w:tc>
          <w:tcPr>
            <w:tcW w:w="1449"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311C1">
              <w:rPr>
                <w:color w:val="000000"/>
                <w:sz w:val="22"/>
                <w:szCs w:val="22"/>
                <w:lang w:val="en-US" w:eastAsia="zh-CN"/>
              </w:rPr>
              <w:t>Ministère</w:t>
            </w:r>
            <w:proofErr w:type="spellEnd"/>
            <w:r w:rsidRPr="001311C1">
              <w:rPr>
                <w:color w:val="000000"/>
                <w:sz w:val="22"/>
                <w:szCs w:val="22"/>
                <w:lang w:val="en-US" w:eastAsia="zh-CN"/>
              </w:rPr>
              <w:t xml:space="preserve"> de </w:t>
            </w:r>
            <w:proofErr w:type="spellStart"/>
            <w:r w:rsidRPr="001311C1">
              <w:rPr>
                <w:color w:val="000000"/>
                <w:sz w:val="22"/>
                <w:szCs w:val="22"/>
                <w:lang w:val="en-US" w:eastAsia="zh-CN"/>
              </w:rPr>
              <w:t>l'Economie</w:t>
            </w:r>
            <w:proofErr w:type="spellEnd"/>
            <w:r w:rsidRPr="001311C1">
              <w:rPr>
                <w:color w:val="000000"/>
                <w:sz w:val="22"/>
                <w:szCs w:val="22"/>
                <w:lang w:val="en-US" w:eastAsia="zh-CN"/>
              </w:rPr>
              <w:t xml:space="preserve"> </w:t>
            </w:r>
            <w:proofErr w:type="spellStart"/>
            <w:r w:rsidRPr="001311C1">
              <w:rPr>
                <w:color w:val="000000"/>
                <w:sz w:val="22"/>
                <w:szCs w:val="22"/>
                <w:lang w:val="en-US" w:eastAsia="zh-CN"/>
              </w:rPr>
              <w:t>Numérique</w:t>
            </w:r>
            <w:proofErr w:type="spellEnd"/>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138,000.00</w:t>
            </w:r>
          </w:p>
        </w:tc>
        <w:tc>
          <w:tcPr>
            <w:tcW w:w="6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138,000.00</w:t>
            </w:r>
          </w:p>
        </w:tc>
      </w:tr>
      <w:tr w:rsidR="001311C1" w:rsidRPr="001311C1" w:rsidTr="001311C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311C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r>
      <w:tr w:rsidR="001311C1" w:rsidRPr="001311C1" w:rsidTr="001311C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311C1">
              <w:rPr>
                <w:color w:val="000000"/>
                <w:sz w:val="22"/>
                <w:szCs w:val="22"/>
                <w:lang w:val="en-US" w:eastAsia="zh-CN"/>
              </w:rPr>
              <w:t>TLC 2017</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US" w:eastAsia="zh-CN"/>
              </w:rPr>
            </w:pPr>
            <w:r w:rsidRPr="001311C1">
              <w:rPr>
                <w:rFonts w:ascii="Arial" w:hAnsi="Arial" w:cs="Arial"/>
                <w:b/>
                <w:bCs/>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311C1">
              <w:rPr>
                <w:rFonts w:ascii="Arial" w:hAnsi="Arial" w:cs="Arial"/>
                <w:b/>
                <w:bCs/>
                <w:sz w:val="20"/>
                <w:lang w:val="en-US" w:eastAsia="zh-CN"/>
              </w:rPr>
              <w:t>143,351.11</w:t>
            </w:r>
          </w:p>
        </w:tc>
      </w:tr>
    </w:tbl>
    <w:p w:rsidR="003502D0" w:rsidRDefault="003502D0"/>
    <w:tbl>
      <w:tblPr>
        <w:tblW w:w="5000" w:type="pct"/>
        <w:tblLook w:val="04A0" w:firstRow="1" w:lastRow="0" w:firstColumn="1" w:lastColumn="0" w:noHBand="0" w:noVBand="1"/>
      </w:tblPr>
      <w:tblGrid>
        <w:gridCol w:w="1836"/>
        <w:gridCol w:w="1663"/>
        <w:gridCol w:w="2973"/>
        <w:gridCol w:w="1324"/>
        <w:gridCol w:w="1226"/>
        <w:gridCol w:w="1435"/>
      </w:tblGrid>
      <w:tr w:rsidR="001311C1" w:rsidRPr="001311C1" w:rsidTr="001311C1">
        <w:trPr>
          <w:trHeight w:val="510"/>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Event</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Country</w:t>
            </w:r>
          </w:p>
        </w:tc>
        <w:tc>
          <w:tcPr>
            <w:tcW w:w="1449" w:type="pct"/>
            <w:tcBorders>
              <w:top w:val="single" w:sz="4" w:space="0" w:color="auto"/>
              <w:left w:val="nil"/>
              <w:bottom w:val="single" w:sz="4" w:space="0" w:color="auto"/>
              <w:right w:val="single" w:sz="4" w:space="0" w:color="auto"/>
            </w:tcBorders>
            <w:shd w:val="clear" w:color="auto" w:fill="auto"/>
            <w:vAlign w:val="center"/>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Company</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Amount invoiced</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Payment received</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Balance due</w:t>
            </w:r>
          </w:p>
        </w:tc>
      </w:tr>
      <w:tr w:rsidR="001311C1" w:rsidRPr="001311C1" w:rsidTr="001311C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r>
      <w:tr w:rsidR="001311C1" w:rsidRPr="001311C1" w:rsidTr="001311C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2018</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South Africa</w:t>
            </w:r>
          </w:p>
        </w:tc>
        <w:tc>
          <w:tcPr>
            <w:tcW w:w="1449"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roofErr w:type="spellStart"/>
            <w:r w:rsidRPr="001311C1">
              <w:rPr>
                <w:sz w:val="22"/>
                <w:szCs w:val="22"/>
                <w:lang w:val="en-US" w:eastAsia="zh-CN"/>
              </w:rPr>
              <w:t>Ekasi</w:t>
            </w:r>
            <w:proofErr w:type="spellEnd"/>
            <w:r w:rsidRPr="001311C1">
              <w:rPr>
                <w:sz w:val="22"/>
                <w:szCs w:val="22"/>
                <w:lang w:val="en-US" w:eastAsia="zh-CN"/>
              </w:rPr>
              <w:t xml:space="preserve"> Gaming</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800.00</w:t>
            </w:r>
          </w:p>
        </w:tc>
        <w:tc>
          <w:tcPr>
            <w:tcW w:w="6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800.00</w:t>
            </w:r>
          </w:p>
        </w:tc>
      </w:tr>
      <w:tr w:rsidR="001311C1" w:rsidRPr="001311C1" w:rsidTr="001311C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2018</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Cameroon</w:t>
            </w:r>
          </w:p>
        </w:tc>
        <w:tc>
          <w:tcPr>
            <w:tcW w:w="1449"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311C1">
              <w:rPr>
                <w:color w:val="000000"/>
                <w:sz w:val="22"/>
                <w:szCs w:val="22"/>
                <w:lang w:val="en-US" w:eastAsia="zh-CN"/>
              </w:rPr>
              <w:t>Iplans</w:t>
            </w:r>
            <w:proofErr w:type="spellEnd"/>
            <w:r w:rsidRPr="001311C1">
              <w:rPr>
                <w:color w:val="000000"/>
                <w:sz w:val="22"/>
                <w:szCs w:val="22"/>
                <w:lang w:val="en-US" w:eastAsia="zh-CN"/>
              </w:rPr>
              <w:t xml:space="preserve"> SA</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1,200.00</w:t>
            </w:r>
          </w:p>
        </w:tc>
        <w:tc>
          <w:tcPr>
            <w:tcW w:w="6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1,200.00</w:t>
            </w:r>
          </w:p>
        </w:tc>
      </w:tr>
      <w:tr w:rsidR="001311C1" w:rsidRPr="001311C1" w:rsidTr="001311C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2018</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Zimbabwe</w:t>
            </w:r>
          </w:p>
        </w:tc>
        <w:tc>
          <w:tcPr>
            <w:tcW w:w="1449"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POTRAZ</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190,000.00</w:t>
            </w:r>
          </w:p>
        </w:tc>
        <w:tc>
          <w:tcPr>
            <w:tcW w:w="6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7,829.05</w:t>
            </w:r>
          </w:p>
        </w:tc>
        <w:tc>
          <w:tcPr>
            <w:tcW w:w="7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182,170.95</w:t>
            </w:r>
          </w:p>
        </w:tc>
      </w:tr>
      <w:tr w:rsidR="001311C1" w:rsidRPr="001311C1" w:rsidTr="001311C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2018</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United Kingdom</w:t>
            </w:r>
          </w:p>
        </w:tc>
        <w:tc>
          <w:tcPr>
            <w:tcW w:w="1449"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roofErr w:type="spellStart"/>
            <w:r w:rsidRPr="001311C1">
              <w:rPr>
                <w:color w:val="000000"/>
                <w:sz w:val="22"/>
                <w:szCs w:val="22"/>
                <w:lang w:val="en-US" w:eastAsia="zh-CN"/>
              </w:rPr>
              <w:t>Quika</w:t>
            </w:r>
            <w:proofErr w:type="spellEnd"/>
            <w:r w:rsidRPr="001311C1">
              <w:rPr>
                <w:color w:val="000000"/>
                <w:sz w:val="22"/>
                <w:szCs w:val="22"/>
                <w:lang w:val="en-US" w:eastAsia="zh-CN"/>
              </w:rPr>
              <w:t xml:space="preserve"> Limited</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31,800.00</w:t>
            </w:r>
          </w:p>
        </w:tc>
        <w:tc>
          <w:tcPr>
            <w:tcW w:w="6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0.00</w:t>
            </w:r>
          </w:p>
        </w:tc>
        <w:tc>
          <w:tcPr>
            <w:tcW w:w="7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1311C1">
              <w:rPr>
                <w:sz w:val="22"/>
                <w:szCs w:val="22"/>
                <w:lang w:val="en-US" w:eastAsia="zh-CN"/>
              </w:rPr>
              <w:t>31,800.00</w:t>
            </w:r>
          </w:p>
        </w:tc>
      </w:tr>
      <w:tr w:rsidR="001311C1" w:rsidRPr="001311C1" w:rsidTr="001311C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1311C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r>
      <w:tr w:rsidR="001311C1" w:rsidRPr="001311C1" w:rsidTr="001311C1">
        <w:trPr>
          <w:trHeight w:val="300"/>
        </w:trPr>
        <w:tc>
          <w:tcPr>
            <w:tcW w:w="905" w:type="pct"/>
            <w:tcBorders>
              <w:top w:val="nil"/>
              <w:left w:val="single" w:sz="4" w:space="0" w:color="auto"/>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1311C1">
              <w:rPr>
                <w:sz w:val="22"/>
                <w:szCs w:val="22"/>
                <w:lang w:val="en-US" w:eastAsia="zh-CN"/>
              </w:rPr>
              <w:t>TLC 2018</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1449"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660"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6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b/>
                <w:bCs/>
                <w:sz w:val="20"/>
                <w:lang w:val="en-US" w:eastAsia="zh-CN"/>
              </w:rPr>
            </w:pPr>
            <w:r w:rsidRPr="001311C1">
              <w:rPr>
                <w:rFonts w:ascii="Arial" w:hAnsi="Arial" w:cs="Arial"/>
                <w:b/>
                <w:bCs/>
                <w:sz w:val="20"/>
                <w:lang w:val="en-US" w:eastAsia="zh-CN"/>
              </w:rPr>
              <w:t> </w:t>
            </w:r>
          </w:p>
        </w:tc>
        <w:tc>
          <w:tcPr>
            <w:tcW w:w="713" w:type="pct"/>
            <w:tcBorders>
              <w:top w:val="nil"/>
              <w:left w:val="nil"/>
              <w:bottom w:val="single" w:sz="4" w:space="0" w:color="auto"/>
              <w:right w:val="single" w:sz="4" w:space="0" w:color="auto"/>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311C1">
              <w:rPr>
                <w:rFonts w:ascii="Arial" w:hAnsi="Arial" w:cs="Arial"/>
                <w:b/>
                <w:bCs/>
                <w:sz w:val="20"/>
                <w:lang w:val="en-US" w:eastAsia="zh-CN"/>
              </w:rPr>
              <w:t>215,970.95</w:t>
            </w:r>
          </w:p>
        </w:tc>
      </w:tr>
      <w:tr w:rsidR="001311C1" w:rsidRPr="001311C1" w:rsidTr="001311C1">
        <w:trPr>
          <w:trHeight w:val="300"/>
        </w:trPr>
        <w:tc>
          <w:tcPr>
            <w:tcW w:w="905"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p>
        </w:tc>
        <w:tc>
          <w:tcPr>
            <w:tcW w:w="660"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49"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660"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613"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713"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311C1" w:rsidRPr="001311C1" w:rsidTr="001311C1">
        <w:trPr>
          <w:trHeight w:val="300"/>
        </w:trPr>
        <w:tc>
          <w:tcPr>
            <w:tcW w:w="905"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660"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val="en-US" w:eastAsia="zh-CN"/>
              </w:rPr>
            </w:pPr>
          </w:p>
        </w:tc>
        <w:tc>
          <w:tcPr>
            <w:tcW w:w="1449"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660"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613"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713"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311C1" w:rsidRPr="001311C1" w:rsidTr="001311C1">
        <w:trPr>
          <w:trHeight w:val="300"/>
        </w:trPr>
        <w:tc>
          <w:tcPr>
            <w:tcW w:w="905"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World debtors</w:t>
            </w:r>
          </w:p>
        </w:tc>
        <w:tc>
          <w:tcPr>
            <w:tcW w:w="660"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311C1">
              <w:rPr>
                <w:rFonts w:ascii="Arial" w:hAnsi="Arial" w:cs="Arial"/>
                <w:b/>
                <w:bCs/>
                <w:sz w:val="20"/>
                <w:lang w:val="en-US" w:eastAsia="zh-CN"/>
              </w:rPr>
              <w:t>682,096.86</w:t>
            </w:r>
          </w:p>
        </w:tc>
        <w:tc>
          <w:tcPr>
            <w:tcW w:w="1449"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p>
        </w:tc>
        <w:tc>
          <w:tcPr>
            <w:tcW w:w="660"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613"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713"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311C1" w:rsidRPr="001311C1" w:rsidTr="001311C1">
        <w:trPr>
          <w:trHeight w:val="300"/>
        </w:trPr>
        <w:tc>
          <w:tcPr>
            <w:tcW w:w="905"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Africa debtors</w:t>
            </w:r>
          </w:p>
        </w:tc>
        <w:tc>
          <w:tcPr>
            <w:tcW w:w="660"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311C1">
              <w:rPr>
                <w:rFonts w:ascii="Arial" w:hAnsi="Arial" w:cs="Arial"/>
                <w:b/>
                <w:bCs/>
                <w:sz w:val="20"/>
                <w:lang w:val="en-US" w:eastAsia="zh-CN"/>
              </w:rPr>
              <w:t>40,480.00</w:t>
            </w:r>
          </w:p>
        </w:tc>
        <w:tc>
          <w:tcPr>
            <w:tcW w:w="1449"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p>
        </w:tc>
        <w:tc>
          <w:tcPr>
            <w:tcW w:w="660"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613"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713"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311C1" w:rsidRPr="001311C1" w:rsidTr="001311C1">
        <w:trPr>
          <w:trHeight w:val="300"/>
        </w:trPr>
        <w:tc>
          <w:tcPr>
            <w:tcW w:w="905"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660"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449"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660"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613"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713"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1311C1" w:rsidRPr="001311C1" w:rsidTr="001311C1">
        <w:trPr>
          <w:trHeight w:val="300"/>
        </w:trPr>
        <w:tc>
          <w:tcPr>
            <w:tcW w:w="905" w:type="pct"/>
            <w:tcBorders>
              <w:top w:val="nil"/>
              <w:left w:val="nil"/>
              <w:bottom w:val="nil"/>
              <w:right w:val="nil"/>
            </w:tcBorders>
            <w:shd w:val="clear" w:color="auto" w:fill="auto"/>
            <w:noWrap/>
            <w:vAlign w:val="bottom"/>
            <w:hideMark/>
          </w:tcPr>
          <w:p w:rsidR="001311C1" w:rsidRPr="001311C1" w:rsidRDefault="001311C1" w:rsidP="006A0894">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1311C1">
              <w:rPr>
                <w:b/>
                <w:bCs/>
                <w:color w:val="000000"/>
                <w:sz w:val="22"/>
                <w:szCs w:val="22"/>
                <w:lang w:val="en-US" w:eastAsia="zh-CN"/>
              </w:rPr>
              <w:t>Total o</w:t>
            </w:r>
            <w:r w:rsidR="006A0894">
              <w:rPr>
                <w:b/>
                <w:bCs/>
                <w:color w:val="000000"/>
                <w:sz w:val="22"/>
                <w:szCs w:val="22"/>
                <w:lang w:val="en-US" w:eastAsia="zh-CN"/>
              </w:rPr>
              <w:t>f</w:t>
            </w:r>
            <w:r w:rsidRPr="001311C1">
              <w:rPr>
                <w:b/>
                <w:bCs/>
                <w:color w:val="000000"/>
                <w:sz w:val="22"/>
                <w:szCs w:val="22"/>
                <w:lang w:val="en-US" w:eastAsia="zh-CN"/>
              </w:rPr>
              <w:t xml:space="preserve"> Debtors</w:t>
            </w:r>
          </w:p>
        </w:tc>
        <w:tc>
          <w:tcPr>
            <w:tcW w:w="660"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r w:rsidRPr="001311C1">
              <w:rPr>
                <w:rFonts w:ascii="Arial" w:hAnsi="Arial" w:cs="Arial"/>
                <w:b/>
                <w:bCs/>
                <w:sz w:val="20"/>
                <w:lang w:val="en-US" w:eastAsia="zh-CN"/>
              </w:rPr>
              <w:t>722,576.86</w:t>
            </w:r>
          </w:p>
        </w:tc>
        <w:tc>
          <w:tcPr>
            <w:tcW w:w="1449"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b/>
                <w:bCs/>
                <w:sz w:val="20"/>
                <w:lang w:val="en-US" w:eastAsia="zh-CN"/>
              </w:rPr>
            </w:pPr>
          </w:p>
        </w:tc>
        <w:tc>
          <w:tcPr>
            <w:tcW w:w="660"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613"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713" w:type="pct"/>
            <w:tcBorders>
              <w:top w:val="nil"/>
              <w:left w:val="nil"/>
              <w:bottom w:val="nil"/>
              <w:right w:val="nil"/>
            </w:tcBorders>
            <w:shd w:val="clear" w:color="auto" w:fill="auto"/>
            <w:noWrap/>
            <w:vAlign w:val="bottom"/>
            <w:hideMark/>
          </w:tcPr>
          <w:p w:rsidR="001311C1" w:rsidRPr="001311C1" w:rsidRDefault="001311C1" w:rsidP="001311C1">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bl>
    <w:p w:rsidR="003502D0" w:rsidRDefault="003502D0"/>
    <w:p w:rsidR="00C652E7" w:rsidRPr="00526F2F" w:rsidRDefault="00603AD8" w:rsidP="0089730A">
      <w:pPr>
        <w:tabs>
          <w:tab w:val="clear" w:pos="567"/>
          <w:tab w:val="clear" w:pos="1134"/>
          <w:tab w:val="clear" w:pos="1701"/>
          <w:tab w:val="clear" w:pos="2268"/>
          <w:tab w:val="clear" w:pos="2835"/>
        </w:tabs>
        <w:overflowPunct/>
        <w:autoSpaceDE/>
        <w:autoSpaceDN/>
        <w:adjustRightInd/>
        <w:spacing w:before="0"/>
        <w:jc w:val="center"/>
        <w:textAlignment w:val="auto"/>
        <w:rPr>
          <w:sz w:val="22"/>
          <w:szCs w:val="18"/>
          <w:lang w:val="en-US"/>
        </w:rPr>
      </w:pPr>
      <w:r w:rsidRPr="00526F2F">
        <w:rPr>
          <w:sz w:val="22"/>
          <w:szCs w:val="18"/>
          <w:lang w:val="en-US"/>
        </w:rPr>
        <w:br w:type="page"/>
      </w:r>
      <w:bookmarkStart w:id="162" w:name="_Toc305776656"/>
      <w:bookmarkStart w:id="163" w:name="_Toc357006014"/>
    </w:p>
    <w:p w:rsidR="00C652E7" w:rsidRPr="00526F2F" w:rsidRDefault="00C652E7" w:rsidP="0089730A">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p>
    <w:p w:rsidR="0041159C" w:rsidRPr="00526F2F" w:rsidRDefault="00322E70" w:rsidP="008A0416">
      <w:pPr>
        <w:tabs>
          <w:tab w:val="clear" w:pos="567"/>
          <w:tab w:val="clear" w:pos="1134"/>
          <w:tab w:val="clear" w:pos="1701"/>
          <w:tab w:val="clear" w:pos="2268"/>
          <w:tab w:val="clear" w:pos="2835"/>
        </w:tabs>
        <w:overflowPunct/>
        <w:autoSpaceDE/>
        <w:autoSpaceDN/>
        <w:adjustRightInd/>
        <w:spacing w:before="0"/>
        <w:jc w:val="center"/>
        <w:textAlignment w:val="auto"/>
        <w:rPr>
          <w:w w:val="105"/>
          <w:sz w:val="28"/>
          <w:szCs w:val="28"/>
          <w:lang w:val="en-US"/>
        </w:rPr>
      </w:pPr>
      <w:r w:rsidRPr="00526F2F">
        <w:rPr>
          <w:w w:val="105"/>
          <w:sz w:val="28"/>
          <w:szCs w:val="28"/>
          <w:lang w:val="en-US"/>
        </w:rPr>
        <w:t>A</w:t>
      </w:r>
      <w:r w:rsidR="00D66C0F" w:rsidRPr="00526F2F">
        <w:rPr>
          <w:w w:val="105"/>
          <w:sz w:val="28"/>
          <w:szCs w:val="28"/>
          <w:lang w:val="en-US"/>
        </w:rPr>
        <w:t xml:space="preserve">NNEX </w:t>
      </w:r>
      <w:bookmarkEnd w:id="162"/>
      <w:bookmarkEnd w:id="163"/>
      <w:r w:rsidR="008A0416">
        <w:rPr>
          <w:w w:val="105"/>
          <w:sz w:val="28"/>
          <w:szCs w:val="28"/>
          <w:lang w:val="en-US"/>
        </w:rPr>
        <w:t>E</w:t>
      </w:r>
    </w:p>
    <w:p w:rsidR="004057FE" w:rsidRPr="00526F2F" w:rsidRDefault="004057FE" w:rsidP="001429DC">
      <w:pPr>
        <w:pStyle w:val="Headingb"/>
        <w:spacing w:after="120"/>
        <w:jc w:val="center"/>
        <w:rPr>
          <w:sz w:val="28"/>
          <w:szCs w:val="22"/>
          <w:lang w:val="en-US"/>
        </w:rPr>
      </w:pPr>
      <w:r w:rsidRPr="00526F2F">
        <w:rPr>
          <w:sz w:val="28"/>
          <w:szCs w:val="22"/>
          <w:lang w:val="en-US"/>
        </w:rPr>
        <w:t>L</w:t>
      </w:r>
      <w:r w:rsidR="00101FB9">
        <w:rPr>
          <w:sz w:val="28"/>
          <w:szCs w:val="22"/>
          <w:lang w:val="en-US"/>
        </w:rPr>
        <w:t>ist of sponsors at 31 December 201</w:t>
      </w:r>
      <w:r w:rsidR="001429DC">
        <w:rPr>
          <w:sz w:val="28"/>
          <w:szCs w:val="22"/>
          <w:lang w:val="en-US"/>
        </w:rPr>
        <w:t>8</w:t>
      </w:r>
    </w:p>
    <w:tbl>
      <w:tblPr>
        <w:tblW w:w="5000" w:type="pct"/>
        <w:tblLayout w:type="fixed"/>
        <w:tblLook w:val="04A0" w:firstRow="1" w:lastRow="0" w:firstColumn="1" w:lastColumn="0" w:noHBand="0" w:noVBand="1"/>
      </w:tblPr>
      <w:tblGrid>
        <w:gridCol w:w="1556"/>
        <w:gridCol w:w="1131"/>
        <w:gridCol w:w="2127"/>
        <w:gridCol w:w="1276"/>
        <w:gridCol w:w="709"/>
        <w:gridCol w:w="1418"/>
        <w:gridCol w:w="816"/>
        <w:gridCol w:w="1424"/>
      </w:tblGrid>
      <w:tr w:rsidR="001429DC" w:rsidRPr="001429DC" w:rsidTr="001429DC">
        <w:trPr>
          <w:trHeight w:val="259"/>
        </w:trPr>
        <w:tc>
          <w:tcPr>
            <w:tcW w:w="744" w:type="pct"/>
            <w:tcBorders>
              <w:top w:val="single" w:sz="4" w:space="0" w:color="auto"/>
              <w:left w:val="single" w:sz="4" w:space="0" w:color="auto"/>
              <w:bottom w:val="nil"/>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bookmarkStart w:id="164" w:name="_MON_1402743587"/>
            <w:bookmarkStart w:id="165" w:name="_MON_1402743680"/>
            <w:bookmarkStart w:id="166" w:name="_MON_1488987921"/>
            <w:bookmarkEnd w:id="164"/>
            <w:bookmarkEnd w:id="165"/>
            <w:bookmarkEnd w:id="166"/>
            <w:r w:rsidRPr="001429DC">
              <w:rPr>
                <w:rFonts w:cs="Arial"/>
                <w:b/>
                <w:bCs/>
                <w:sz w:val="22"/>
                <w:szCs w:val="22"/>
                <w:lang w:val="en-US" w:eastAsia="zh-CN"/>
              </w:rPr>
              <w:t> </w:t>
            </w:r>
          </w:p>
        </w:tc>
        <w:tc>
          <w:tcPr>
            <w:tcW w:w="541" w:type="pct"/>
            <w:tcBorders>
              <w:top w:val="single" w:sz="4" w:space="0" w:color="auto"/>
              <w:left w:val="nil"/>
              <w:bottom w:val="nil"/>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n-US" w:eastAsia="zh-CN"/>
              </w:rPr>
            </w:pPr>
            <w:r w:rsidRPr="001429DC">
              <w:rPr>
                <w:rFonts w:cs="Arial"/>
                <w:sz w:val="22"/>
                <w:szCs w:val="22"/>
                <w:lang w:val="en-US" w:eastAsia="zh-CN"/>
              </w:rPr>
              <w:t> </w:t>
            </w:r>
          </w:p>
        </w:tc>
        <w:tc>
          <w:tcPr>
            <w:tcW w:w="1017" w:type="pct"/>
            <w:tcBorders>
              <w:top w:val="single" w:sz="4" w:space="0" w:color="auto"/>
              <w:left w:val="nil"/>
              <w:bottom w:val="nil"/>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n-US" w:eastAsia="zh-CN"/>
              </w:rPr>
            </w:pPr>
            <w:r w:rsidRPr="001429DC">
              <w:rPr>
                <w:rFonts w:cs="Arial"/>
                <w:sz w:val="22"/>
                <w:szCs w:val="22"/>
                <w:lang w:val="en-US" w:eastAsia="zh-CN"/>
              </w:rPr>
              <w:t> </w:t>
            </w:r>
          </w:p>
        </w:tc>
        <w:tc>
          <w:tcPr>
            <w:tcW w:w="610" w:type="pct"/>
            <w:tcBorders>
              <w:top w:val="single" w:sz="4" w:space="0" w:color="auto"/>
              <w:left w:val="nil"/>
              <w:bottom w:val="nil"/>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n-US" w:eastAsia="zh-CN"/>
              </w:rPr>
            </w:pPr>
            <w:r w:rsidRPr="001429DC">
              <w:rPr>
                <w:rFonts w:cs="Arial"/>
                <w:sz w:val="22"/>
                <w:szCs w:val="22"/>
                <w:lang w:val="en-US" w:eastAsia="zh-CN"/>
              </w:rPr>
              <w:t> </w:t>
            </w:r>
          </w:p>
        </w:tc>
        <w:tc>
          <w:tcPr>
            <w:tcW w:w="339" w:type="pct"/>
            <w:tcBorders>
              <w:top w:val="single" w:sz="4" w:space="0" w:color="auto"/>
              <w:left w:val="nil"/>
              <w:bottom w:val="nil"/>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n-US" w:eastAsia="zh-CN"/>
              </w:rPr>
            </w:pPr>
            <w:r w:rsidRPr="001429DC">
              <w:rPr>
                <w:rFonts w:cs="Arial"/>
                <w:sz w:val="22"/>
                <w:szCs w:val="22"/>
                <w:lang w:val="en-US" w:eastAsia="zh-CN"/>
              </w:rPr>
              <w:t> </w:t>
            </w:r>
          </w:p>
        </w:tc>
        <w:tc>
          <w:tcPr>
            <w:tcW w:w="678" w:type="pct"/>
            <w:tcBorders>
              <w:top w:val="single" w:sz="4" w:space="0" w:color="auto"/>
              <w:left w:val="nil"/>
              <w:bottom w:val="nil"/>
              <w:right w:val="nil"/>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n-US" w:eastAsia="zh-CN"/>
              </w:rPr>
            </w:pPr>
            <w:r w:rsidRPr="001429DC">
              <w:rPr>
                <w:rFonts w:cs="Arial"/>
                <w:sz w:val="22"/>
                <w:szCs w:val="22"/>
                <w:lang w:val="en-US" w:eastAsia="zh-CN"/>
              </w:rPr>
              <w:t> </w:t>
            </w:r>
          </w:p>
        </w:tc>
        <w:tc>
          <w:tcPr>
            <w:tcW w:w="390" w:type="pct"/>
            <w:tcBorders>
              <w:top w:val="single" w:sz="4" w:space="0" w:color="auto"/>
              <w:left w:val="single" w:sz="4" w:space="0" w:color="auto"/>
              <w:bottom w:val="nil"/>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n-US" w:eastAsia="zh-CN"/>
              </w:rPr>
            </w:pPr>
            <w:r w:rsidRPr="001429DC">
              <w:rPr>
                <w:rFonts w:cs="Arial"/>
                <w:sz w:val="22"/>
                <w:szCs w:val="22"/>
                <w:lang w:val="en-US" w:eastAsia="zh-CN"/>
              </w:rPr>
              <w:t> </w:t>
            </w:r>
          </w:p>
        </w:tc>
        <w:tc>
          <w:tcPr>
            <w:tcW w:w="681" w:type="pct"/>
            <w:tcBorders>
              <w:top w:val="single" w:sz="4" w:space="0" w:color="auto"/>
              <w:left w:val="nil"/>
              <w:bottom w:val="nil"/>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n-US" w:eastAsia="zh-CN"/>
              </w:rPr>
            </w:pPr>
            <w:r w:rsidRPr="001429DC">
              <w:rPr>
                <w:rFonts w:cs="Arial"/>
                <w:sz w:val="22"/>
                <w:szCs w:val="22"/>
                <w:lang w:val="en-US" w:eastAsia="zh-CN"/>
              </w:rPr>
              <w:t> </w:t>
            </w:r>
          </w:p>
        </w:tc>
      </w:tr>
      <w:tr w:rsidR="001429DC" w:rsidRPr="001429DC" w:rsidTr="001429DC">
        <w:trPr>
          <w:trHeight w:val="259"/>
        </w:trPr>
        <w:tc>
          <w:tcPr>
            <w:tcW w:w="744" w:type="pct"/>
            <w:tcBorders>
              <w:top w:val="nil"/>
              <w:left w:val="single" w:sz="4" w:space="0" w:color="auto"/>
              <w:bottom w:val="nil"/>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WBS element</w:t>
            </w:r>
          </w:p>
        </w:tc>
        <w:tc>
          <w:tcPr>
            <w:tcW w:w="541" w:type="pct"/>
            <w:tcBorders>
              <w:top w:val="nil"/>
              <w:left w:val="nil"/>
              <w:bottom w:val="nil"/>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Country</w:t>
            </w:r>
          </w:p>
        </w:tc>
        <w:tc>
          <w:tcPr>
            <w:tcW w:w="1017" w:type="pct"/>
            <w:tcBorders>
              <w:top w:val="nil"/>
              <w:left w:val="nil"/>
              <w:bottom w:val="nil"/>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Company</w:t>
            </w:r>
          </w:p>
        </w:tc>
        <w:tc>
          <w:tcPr>
            <w:tcW w:w="610" w:type="pct"/>
            <w:tcBorders>
              <w:top w:val="nil"/>
              <w:left w:val="nil"/>
              <w:bottom w:val="nil"/>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Invoice amount</w:t>
            </w:r>
          </w:p>
        </w:tc>
        <w:tc>
          <w:tcPr>
            <w:tcW w:w="339" w:type="pct"/>
            <w:tcBorders>
              <w:top w:val="nil"/>
              <w:left w:val="nil"/>
              <w:bottom w:val="nil"/>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CUR</w:t>
            </w:r>
          </w:p>
        </w:tc>
        <w:tc>
          <w:tcPr>
            <w:tcW w:w="678" w:type="pct"/>
            <w:tcBorders>
              <w:top w:val="nil"/>
              <w:left w:val="nil"/>
              <w:bottom w:val="nil"/>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Balance owed</w:t>
            </w:r>
          </w:p>
        </w:tc>
        <w:tc>
          <w:tcPr>
            <w:tcW w:w="390" w:type="pct"/>
            <w:tcBorders>
              <w:top w:val="nil"/>
              <w:left w:val="nil"/>
              <w:bottom w:val="nil"/>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CUR</w:t>
            </w:r>
          </w:p>
        </w:tc>
        <w:tc>
          <w:tcPr>
            <w:tcW w:w="681" w:type="pct"/>
            <w:tcBorders>
              <w:top w:val="nil"/>
              <w:left w:val="nil"/>
              <w:bottom w:val="nil"/>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Equivalent</w:t>
            </w:r>
          </w:p>
        </w:tc>
      </w:tr>
      <w:tr w:rsidR="001429DC" w:rsidRPr="001429DC" w:rsidTr="001429DC">
        <w:trPr>
          <w:trHeight w:val="259"/>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 </w:t>
            </w:r>
          </w:p>
        </w:tc>
        <w:tc>
          <w:tcPr>
            <w:tcW w:w="541" w:type="pct"/>
            <w:tcBorders>
              <w:top w:val="nil"/>
              <w:left w:val="nil"/>
              <w:bottom w:val="single" w:sz="4" w:space="0" w:color="auto"/>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 </w:t>
            </w:r>
          </w:p>
        </w:tc>
        <w:tc>
          <w:tcPr>
            <w:tcW w:w="1017" w:type="pct"/>
            <w:tcBorders>
              <w:top w:val="nil"/>
              <w:left w:val="nil"/>
              <w:bottom w:val="single" w:sz="4" w:space="0" w:color="auto"/>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2"/>
                <w:szCs w:val="22"/>
                <w:lang w:val="en-US" w:eastAsia="zh-CN"/>
              </w:rPr>
            </w:pPr>
            <w:r w:rsidRPr="001429DC">
              <w:rPr>
                <w:rFonts w:cs="Arial"/>
                <w:sz w:val="22"/>
                <w:szCs w:val="22"/>
                <w:lang w:val="en-US" w:eastAsia="zh-CN"/>
              </w:rPr>
              <w:t> </w:t>
            </w:r>
          </w:p>
        </w:tc>
        <w:tc>
          <w:tcPr>
            <w:tcW w:w="610" w:type="pct"/>
            <w:tcBorders>
              <w:top w:val="nil"/>
              <w:left w:val="nil"/>
              <w:bottom w:val="single" w:sz="4" w:space="0" w:color="auto"/>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 </w:t>
            </w:r>
          </w:p>
        </w:tc>
        <w:tc>
          <w:tcPr>
            <w:tcW w:w="339" w:type="pct"/>
            <w:tcBorders>
              <w:top w:val="nil"/>
              <w:left w:val="nil"/>
              <w:bottom w:val="single" w:sz="4" w:space="0" w:color="auto"/>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 </w:t>
            </w:r>
          </w:p>
        </w:tc>
        <w:tc>
          <w:tcPr>
            <w:tcW w:w="678" w:type="pct"/>
            <w:tcBorders>
              <w:top w:val="nil"/>
              <w:left w:val="nil"/>
              <w:bottom w:val="single" w:sz="4" w:space="0" w:color="auto"/>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 </w:t>
            </w:r>
          </w:p>
        </w:tc>
        <w:tc>
          <w:tcPr>
            <w:tcW w:w="390" w:type="pct"/>
            <w:tcBorders>
              <w:top w:val="nil"/>
              <w:left w:val="nil"/>
              <w:bottom w:val="single" w:sz="4" w:space="0" w:color="auto"/>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 </w:t>
            </w:r>
          </w:p>
        </w:tc>
        <w:tc>
          <w:tcPr>
            <w:tcW w:w="681" w:type="pct"/>
            <w:tcBorders>
              <w:top w:val="nil"/>
              <w:left w:val="nil"/>
              <w:bottom w:val="single" w:sz="4" w:space="0" w:color="auto"/>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 xml:space="preserve"> CHF </w:t>
            </w:r>
          </w:p>
        </w:tc>
      </w:tr>
      <w:tr w:rsidR="001429DC" w:rsidRPr="001429DC" w:rsidTr="001429DC">
        <w:trPr>
          <w:trHeight w:val="259"/>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0"/>
                <w:lang w:val="en-US" w:eastAsia="zh-CN"/>
              </w:rPr>
            </w:pPr>
            <w:r w:rsidRPr="001429DC">
              <w:rPr>
                <w:rFonts w:cs="Arial"/>
                <w:b/>
                <w:bCs/>
                <w:sz w:val="20"/>
                <w:lang w:val="en-US" w:eastAsia="zh-CN"/>
              </w:rPr>
              <w:t> </w:t>
            </w:r>
          </w:p>
        </w:tc>
        <w:tc>
          <w:tcPr>
            <w:tcW w:w="541" w:type="pct"/>
            <w:tcBorders>
              <w:top w:val="nil"/>
              <w:left w:val="nil"/>
              <w:bottom w:val="single" w:sz="4" w:space="0" w:color="auto"/>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textAlignment w:val="auto"/>
              <w:rPr>
                <w:rFonts w:cs="Arial"/>
                <w:b/>
                <w:bCs/>
                <w:sz w:val="20"/>
                <w:lang w:val="en-US" w:eastAsia="zh-CN"/>
              </w:rPr>
            </w:pPr>
            <w:r w:rsidRPr="001429DC">
              <w:rPr>
                <w:rFonts w:cs="Arial"/>
                <w:b/>
                <w:bCs/>
                <w:sz w:val="20"/>
                <w:lang w:val="en-US" w:eastAsia="zh-CN"/>
              </w:rPr>
              <w:t> </w:t>
            </w:r>
          </w:p>
        </w:tc>
        <w:tc>
          <w:tcPr>
            <w:tcW w:w="1017" w:type="pct"/>
            <w:tcBorders>
              <w:top w:val="nil"/>
              <w:left w:val="nil"/>
              <w:bottom w:val="single" w:sz="4" w:space="0" w:color="auto"/>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1429DC">
              <w:rPr>
                <w:rFonts w:cs="Arial"/>
                <w:sz w:val="20"/>
                <w:lang w:val="en-US" w:eastAsia="zh-CN"/>
              </w:rPr>
              <w:t> </w:t>
            </w:r>
          </w:p>
        </w:tc>
        <w:tc>
          <w:tcPr>
            <w:tcW w:w="610" w:type="pct"/>
            <w:tcBorders>
              <w:top w:val="nil"/>
              <w:left w:val="nil"/>
              <w:bottom w:val="single" w:sz="4" w:space="0" w:color="auto"/>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0"/>
                <w:lang w:val="en-US" w:eastAsia="zh-CN"/>
              </w:rPr>
            </w:pPr>
            <w:r w:rsidRPr="001429DC">
              <w:rPr>
                <w:rFonts w:cs="Arial"/>
                <w:b/>
                <w:bCs/>
                <w:sz w:val="20"/>
                <w:lang w:val="en-US" w:eastAsia="zh-CN"/>
              </w:rPr>
              <w:t> </w:t>
            </w:r>
          </w:p>
        </w:tc>
        <w:tc>
          <w:tcPr>
            <w:tcW w:w="339" w:type="pct"/>
            <w:tcBorders>
              <w:top w:val="nil"/>
              <w:left w:val="nil"/>
              <w:bottom w:val="single" w:sz="4" w:space="0" w:color="auto"/>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0"/>
                <w:lang w:val="en-US" w:eastAsia="zh-CN"/>
              </w:rPr>
            </w:pPr>
            <w:r w:rsidRPr="001429DC">
              <w:rPr>
                <w:rFonts w:cs="Arial"/>
                <w:b/>
                <w:bCs/>
                <w:sz w:val="20"/>
                <w:lang w:val="en-US" w:eastAsia="zh-CN"/>
              </w:rPr>
              <w:t> </w:t>
            </w:r>
          </w:p>
        </w:tc>
        <w:tc>
          <w:tcPr>
            <w:tcW w:w="678" w:type="pct"/>
            <w:tcBorders>
              <w:top w:val="nil"/>
              <w:left w:val="nil"/>
              <w:bottom w:val="single" w:sz="4" w:space="0" w:color="auto"/>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0"/>
                <w:lang w:val="en-US" w:eastAsia="zh-CN"/>
              </w:rPr>
            </w:pPr>
            <w:r w:rsidRPr="001429DC">
              <w:rPr>
                <w:rFonts w:cs="Arial"/>
                <w:b/>
                <w:bCs/>
                <w:sz w:val="20"/>
                <w:lang w:val="en-US" w:eastAsia="zh-CN"/>
              </w:rPr>
              <w:t> </w:t>
            </w:r>
          </w:p>
        </w:tc>
        <w:tc>
          <w:tcPr>
            <w:tcW w:w="390" w:type="pct"/>
            <w:tcBorders>
              <w:top w:val="nil"/>
              <w:left w:val="nil"/>
              <w:bottom w:val="single" w:sz="4" w:space="0" w:color="auto"/>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0"/>
                <w:lang w:val="en-US" w:eastAsia="zh-CN"/>
              </w:rPr>
            </w:pPr>
            <w:r w:rsidRPr="001429DC">
              <w:rPr>
                <w:rFonts w:cs="Arial"/>
                <w:b/>
                <w:bCs/>
                <w:sz w:val="20"/>
                <w:lang w:val="en-US" w:eastAsia="zh-CN"/>
              </w:rPr>
              <w:t> </w:t>
            </w:r>
          </w:p>
        </w:tc>
        <w:tc>
          <w:tcPr>
            <w:tcW w:w="681" w:type="pct"/>
            <w:tcBorders>
              <w:top w:val="nil"/>
              <w:left w:val="nil"/>
              <w:bottom w:val="single" w:sz="4" w:space="0" w:color="auto"/>
              <w:right w:val="single" w:sz="4" w:space="0" w:color="auto"/>
            </w:tcBorders>
            <w:shd w:val="clear" w:color="auto" w:fill="auto"/>
            <w:noWrap/>
            <w:vAlign w:val="bottom"/>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0"/>
                <w:lang w:val="en-US" w:eastAsia="zh-CN"/>
              </w:rPr>
            </w:pPr>
            <w:r w:rsidRPr="001429DC">
              <w:rPr>
                <w:rFonts w:cs="Arial"/>
                <w:b/>
                <w:bCs/>
                <w:sz w:val="20"/>
                <w:lang w:val="en-US" w:eastAsia="zh-CN"/>
              </w:rPr>
              <w:t> </w:t>
            </w:r>
          </w:p>
        </w:tc>
      </w:tr>
      <w:tr w:rsidR="001429DC" w:rsidRPr="001429DC" w:rsidTr="001429DC">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1429DC">
              <w:rPr>
                <w:rFonts w:cs="Arial"/>
                <w:sz w:val="20"/>
                <w:lang w:val="en-US" w:eastAsia="zh-CN"/>
              </w:rPr>
              <w:t>P.40718.1.01</w:t>
            </w:r>
          </w:p>
        </w:tc>
        <w:tc>
          <w:tcPr>
            <w:tcW w:w="541"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429DC">
              <w:rPr>
                <w:rFonts w:cs="Arial"/>
                <w:sz w:val="20"/>
                <w:lang w:val="en-US" w:eastAsia="zh-CN"/>
              </w:rPr>
              <w:t>Bahamas</w:t>
            </w:r>
          </w:p>
        </w:tc>
        <w:tc>
          <w:tcPr>
            <w:tcW w:w="1017"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429DC">
              <w:rPr>
                <w:rFonts w:cs="Arial"/>
                <w:sz w:val="20"/>
                <w:lang w:val="en-US" w:eastAsia="zh-CN"/>
              </w:rPr>
              <w:t>Utilities Regulation &amp; Corporation Authority</w:t>
            </w:r>
          </w:p>
        </w:tc>
        <w:tc>
          <w:tcPr>
            <w:tcW w:w="610"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1,500 </w:t>
            </w:r>
          </w:p>
        </w:tc>
        <w:tc>
          <w:tcPr>
            <w:tcW w:w="339"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CHF </w:t>
            </w:r>
          </w:p>
        </w:tc>
        <w:tc>
          <w:tcPr>
            <w:tcW w:w="678"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1,500 </w:t>
            </w:r>
          </w:p>
        </w:tc>
        <w:tc>
          <w:tcPr>
            <w:tcW w:w="390"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CHF </w:t>
            </w:r>
          </w:p>
        </w:tc>
        <w:tc>
          <w:tcPr>
            <w:tcW w:w="681"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1,500 </w:t>
            </w:r>
          </w:p>
        </w:tc>
      </w:tr>
      <w:tr w:rsidR="001429DC" w:rsidRPr="001429DC" w:rsidTr="001429DC">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1429DC">
              <w:rPr>
                <w:rFonts w:cs="Arial"/>
                <w:sz w:val="20"/>
                <w:lang w:val="en-US" w:eastAsia="zh-CN"/>
              </w:rPr>
              <w:t>P.40685.1.01</w:t>
            </w:r>
          </w:p>
        </w:tc>
        <w:tc>
          <w:tcPr>
            <w:tcW w:w="541"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429DC">
              <w:rPr>
                <w:rFonts w:cs="Arial"/>
                <w:sz w:val="20"/>
                <w:lang w:val="en-US" w:eastAsia="zh-CN"/>
              </w:rPr>
              <w:t>Zimbabwe</w:t>
            </w:r>
          </w:p>
        </w:tc>
        <w:tc>
          <w:tcPr>
            <w:tcW w:w="1017"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429DC">
              <w:rPr>
                <w:rFonts w:cs="Arial"/>
                <w:sz w:val="20"/>
                <w:lang w:val="en-US" w:eastAsia="zh-CN"/>
              </w:rPr>
              <w:t>POTRAZ</w:t>
            </w:r>
          </w:p>
        </w:tc>
        <w:tc>
          <w:tcPr>
            <w:tcW w:w="610"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344,218 </w:t>
            </w:r>
          </w:p>
        </w:tc>
        <w:tc>
          <w:tcPr>
            <w:tcW w:w="339"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EUR </w:t>
            </w:r>
          </w:p>
        </w:tc>
        <w:tc>
          <w:tcPr>
            <w:tcW w:w="678"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w:t>
            </w:r>
            <w:r>
              <w:rPr>
                <w:rFonts w:cs="Arial"/>
                <w:sz w:val="20"/>
                <w:lang w:val="en-US" w:eastAsia="zh-CN"/>
              </w:rPr>
              <w:t>3</w:t>
            </w:r>
            <w:r w:rsidRPr="001429DC">
              <w:rPr>
                <w:rFonts w:cs="Arial"/>
                <w:sz w:val="20"/>
                <w:lang w:val="en-US" w:eastAsia="zh-CN"/>
              </w:rPr>
              <w:t xml:space="preserve">44,218 </w:t>
            </w:r>
          </w:p>
        </w:tc>
        <w:tc>
          <w:tcPr>
            <w:tcW w:w="390"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EUR </w:t>
            </w:r>
          </w:p>
        </w:tc>
        <w:tc>
          <w:tcPr>
            <w:tcW w:w="681"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397,205 </w:t>
            </w:r>
          </w:p>
        </w:tc>
      </w:tr>
      <w:tr w:rsidR="001429DC" w:rsidRPr="001429DC" w:rsidTr="001429DC">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1429DC">
              <w:rPr>
                <w:rFonts w:cs="Arial"/>
                <w:sz w:val="20"/>
                <w:lang w:val="en-US" w:eastAsia="zh-CN"/>
              </w:rPr>
              <w:t>P.40730.1.01</w:t>
            </w:r>
          </w:p>
        </w:tc>
        <w:tc>
          <w:tcPr>
            <w:tcW w:w="541"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429DC">
              <w:rPr>
                <w:rFonts w:cs="Arial"/>
                <w:sz w:val="20"/>
                <w:lang w:val="en-US" w:eastAsia="zh-CN"/>
              </w:rPr>
              <w:t>Japan</w:t>
            </w:r>
          </w:p>
        </w:tc>
        <w:tc>
          <w:tcPr>
            <w:tcW w:w="1017"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429DC">
              <w:rPr>
                <w:rFonts w:cs="Arial"/>
                <w:sz w:val="20"/>
                <w:lang w:val="en-US" w:eastAsia="zh-CN"/>
              </w:rPr>
              <w:t>MIC Japan</w:t>
            </w:r>
          </w:p>
        </w:tc>
        <w:tc>
          <w:tcPr>
            <w:tcW w:w="610"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8,000 </w:t>
            </w:r>
          </w:p>
        </w:tc>
        <w:tc>
          <w:tcPr>
            <w:tcW w:w="339"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USD </w:t>
            </w:r>
          </w:p>
        </w:tc>
        <w:tc>
          <w:tcPr>
            <w:tcW w:w="678"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8,000 </w:t>
            </w:r>
          </w:p>
        </w:tc>
        <w:tc>
          <w:tcPr>
            <w:tcW w:w="390"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USD </w:t>
            </w:r>
          </w:p>
        </w:tc>
        <w:tc>
          <w:tcPr>
            <w:tcW w:w="681"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7,76</w:t>
            </w:r>
            <w:r>
              <w:rPr>
                <w:rFonts w:cs="Arial"/>
                <w:sz w:val="20"/>
                <w:lang w:val="en-US" w:eastAsia="zh-CN"/>
              </w:rPr>
              <w:t>8</w:t>
            </w:r>
            <w:r w:rsidRPr="001429DC">
              <w:rPr>
                <w:rFonts w:cs="Arial"/>
                <w:sz w:val="20"/>
                <w:lang w:val="en-US" w:eastAsia="zh-CN"/>
              </w:rPr>
              <w:t xml:space="preserve"> </w:t>
            </w:r>
          </w:p>
        </w:tc>
      </w:tr>
      <w:tr w:rsidR="001429DC" w:rsidRPr="001429DC" w:rsidTr="001429DC">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1429DC">
              <w:rPr>
                <w:rFonts w:cs="Arial"/>
                <w:sz w:val="20"/>
                <w:lang w:val="en-US" w:eastAsia="zh-CN"/>
              </w:rPr>
              <w:t>P.40736.1.01</w:t>
            </w:r>
          </w:p>
        </w:tc>
        <w:tc>
          <w:tcPr>
            <w:tcW w:w="541"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429DC">
              <w:rPr>
                <w:rFonts w:cs="Arial"/>
                <w:sz w:val="20"/>
                <w:lang w:val="en-US" w:eastAsia="zh-CN"/>
              </w:rPr>
              <w:t>Brazil</w:t>
            </w:r>
          </w:p>
        </w:tc>
        <w:tc>
          <w:tcPr>
            <w:tcW w:w="1017"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429DC">
              <w:rPr>
                <w:rFonts w:cs="Arial"/>
                <w:sz w:val="20"/>
                <w:lang w:val="en-US" w:eastAsia="zh-CN"/>
              </w:rPr>
              <w:t>ANATEL</w:t>
            </w:r>
          </w:p>
        </w:tc>
        <w:tc>
          <w:tcPr>
            <w:tcW w:w="610"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7,000,000 </w:t>
            </w:r>
          </w:p>
        </w:tc>
        <w:tc>
          <w:tcPr>
            <w:tcW w:w="339"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USD </w:t>
            </w:r>
          </w:p>
        </w:tc>
        <w:tc>
          <w:tcPr>
            <w:tcW w:w="678"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4,385,243 </w:t>
            </w:r>
          </w:p>
        </w:tc>
        <w:tc>
          <w:tcPr>
            <w:tcW w:w="390"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USD </w:t>
            </w:r>
          </w:p>
        </w:tc>
        <w:tc>
          <w:tcPr>
            <w:tcW w:w="681"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4,391,205 </w:t>
            </w:r>
          </w:p>
        </w:tc>
      </w:tr>
      <w:tr w:rsidR="001429DC" w:rsidRPr="001429DC" w:rsidTr="001429DC">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sz w:val="20"/>
                <w:lang w:val="en-US" w:eastAsia="zh-CN"/>
              </w:rPr>
            </w:pPr>
            <w:r w:rsidRPr="001429DC">
              <w:rPr>
                <w:rFonts w:cs="Arial"/>
                <w:sz w:val="20"/>
                <w:lang w:val="en-US" w:eastAsia="zh-CN"/>
              </w:rPr>
              <w:t> </w:t>
            </w:r>
          </w:p>
        </w:tc>
        <w:tc>
          <w:tcPr>
            <w:tcW w:w="541"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textAlignment w:val="auto"/>
              <w:rPr>
                <w:rFonts w:cs="Arial"/>
                <w:b/>
                <w:bCs/>
                <w:sz w:val="20"/>
                <w:lang w:val="en-US" w:eastAsia="zh-CN"/>
              </w:rPr>
            </w:pPr>
            <w:r w:rsidRPr="001429DC">
              <w:rPr>
                <w:rFonts w:cs="Arial"/>
                <w:b/>
                <w:bCs/>
                <w:sz w:val="20"/>
                <w:lang w:val="en-US" w:eastAsia="zh-CN"/>
              </w:rPr>
              <w:t> </w:t>
            </w:r>
          </w:p>
        </w:tc>
        <w:tc>
          <w:tcPr>
            <w:tcW w:w="1017"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textAlignment w:val="auto"/>
              <w:rPr>
                <w:rFonts w:cs="Arial"/>
                <w:sz w:val="20"/>
                <w:lang w:val="en-US" w:eastAsia="zh-CN"/>
              </w:rPr>
            </w:pPr>
            <w:r w:rsidRPr="001429DC">
              <w:rPr>
                <w:rFonts w:cs="Arial"/>
                <w:sz w:val="20"/>
                <w:lang w:val="en-US" w:eastAsia="zh-CN"/>
              </w:rPr>
              <w:t> </w:t>
            </w:r>
          </w:p>
        </w:tc>
        <w:tc>
          <w:tcPr>
            <w:tcW w:w="610"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1429DC">
              <w:rPr>
                <w:rFonts w:cs="Arial"/>
                <w:b/>
                <w:bCs/>
                <w:sz w:val="20"/>
                <w:lang w:val="en-US" w:eastAsia="zh-CN"/>
              </w:rPr>
              <w:t> </w:t>
            </w:r>
          </w:p>
        </w:tc>
        <w:tc>
          <w:tcPr>
            <w:tcW w:w="339"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w:t>
            </w:r>
          </w:p>
        </w:tc>
        <w:tc>
          <w:tcPr>
            <w:tcW w:w="678"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w:t>
            </w:r>
          </w:p>
        </w:tc>
        <w:tc>
          <w:tcPr>
            <w:tcW w:w="390"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w:t>
            </w:r>
          </w:p>
        </w:tc>
        <w:tc>
          <w:tcPr>
            <w:tcW w:w="681"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sz w:val="20"/>
                <w:lang w:val="en-US" w:eastAsia="zh-CN"/>
              </w:rPr>
            </w:pPr>
            <w:r w:rsidRPr="001429DC">
              <w:rPr>
                <w:rFonts w:cs="Arial"/>
                <w:sz w:val="20"/>
                <w:lang w:val="en-US" w:eastAsia="zh-CN"/>
              </w:rPr>
              <w:t> </w:t>
            </w:r>
          </w:p>
        </w:tc>
      </w:tr>
      <w:tr w:rsidR="001429DC" w:rsidRPr="001429DC" w:rsidTr="001429DC">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center"/>
              <w:textAlignment w:val="auto"/>
              <w:rPr>
                <w:rFonts w:cs="Arial"/>
                <w:b/>
                <w:bCs/>
                <w:sz w:val="20"/>
                <w:lang w:val="en-US" w:eastAsia="zh-CN"/>
              </w:rPr>
            </w:pPr>
            <w:r w:rsidRPr="001429DC">
              <w:rPr>
                <w:rFonts w:cs="Arial"/>
                <w:b/>
                <w:bCs/>
                <w:sz w:val="20"/>
                <w:lang w:val="en-US" w:eastAsia="zh-CN"/>
              </w:rPr>
              <w:t> </w:t>
            </w:r>
          </w:p>
        </w:tc>
        <w:tc>
          <w:tcPr>
            <w:tcW w:w="541"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textAlignment w:val="auto"/>
              <w:rPr>
                <w:rFonts w:ascii="Arial" w:hAnsi="Arial" w:cs="Arial"/>
                <w:sz w:val="20"/>
                <w:lang w:val="en-US" w:eastAsia="zh-CN"/>
              </w:rPr>
            </w:pPr>
            <w:r w:rsidRPr="001429DC">
              <w:rPr>
                <w:rFonts w:ascii="Arial" w:hAnsi="Arial" w:cs="Arial"/>
                <w:sz w:val="20"/>
                <w:lang w:val="en-US" w:eastAsia="zh-CN"/>
              </w:rPr>
              <w:t> </w:t>
            </w:r>
          </w:p>
        </w:tc>
        <w:tc>
          <w:tcPr>
            <w:tcW w:w="1017"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textAlignment w:val="auto"/>
              <w:rPr>
                <w:rFonts w:cs="Arial"/>
                <w:b/>
                <w:bCs/>
                <w:sz w:val="20"/>
                <w:lang w:val="en-US" w:eastAsia="zh-CN"/>
              </w:rPr>
            </w:pPr>
            <w:r w:rsidRPr="001429DC">
              <w:rPr>
                <w:rFonts w:cs="Arial"/>
                <w:b/>
                <w:bCs/>
                <w:sz w:val="20"/>
                <w:lang w:val="en-US" w:eastAsia="zh-CN"/>
              </w:rPr>
              <w:t>TOTAL</w:t>
            </w:r>
          </w:p>
        </w:tc>
        <w:tc>
          <w:tcPr>
            <w:tcW w:w="610"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ascii="Arial" w:hAnsi="Arial" w:cs="Arial"/>
                <w:sz w:val="20"/>
                <w:lang w:val="en-US" w:eastAsia="zh-CN"/>
              </w:rPr>
            </w:pPr>
            <w:r w:rsidRPr="001429DC">
              <w:rPr>
                <w:rFonts w:ascii="Arial" w:hAnsi="Arial" w:cs="Arial"/>
                <w:sz w:val="20"/>
                <w:lang w:val="en-US" w:eastAsia="zh-CN"/>
              </w:rPr>
              <w:t> </w:t>
            </w:r>
          </w:p>
        </w:tc>
        <w:tc>
          <w:tcPr>
            <w:tcW w:w="339"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1429DC">
              <w:rPr>
                <w:rFonts w:cs="Arial"/>
                <w:b/>
                <w:bCs/>
                <w:sz w:val="20"/>
                <w:lang w:val="en-US" w:eastAsia="zh-CN"/>
              </w:rPr>
              <w:t> </w:t>
            </w:r>
          </w:p>
        </w:tc>
        <w:tc>
          <w:tcPr>
            <w:tcW w:w="678"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1429DC">
              <w:rPr>
                <w:rFonts w:cs="Arial"/>
                <w:b/>
                <w:bCs/>
                <w:sz w:val="20"/>
                <w:lang w:val="en-US" w:eastAsia="zh-CN"/>
              </w:rPr>
              <w:t> </w:t>
            </w:r>
          </w:p>
        </w:tc>
        <w:tc>
          <w:tcPr>
            <w:tcW w:w="390"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1429DC">
              <w:rPr>
                <w:rFonts w:cs="Arial"/>
                <w:b/>
                <w:bCs/>
                <w:sz w:val="20"/>
                <w:lang w:val="en-US" w:eastAsia="zh-CN"/>
              </w:rPr>
              <w:t> </w:t>
            </w:r>
          </w:p>
        </w:tc>
        <w:tc>
          <w:tcPr>
            <w:tcW w:w="681" w:type="pct"/>
            <w:tcBorders>
              <w:top w:val="nil"/>
              <w:left w:val="nil"/>
              <w:bottom w:val="single" w:sz="4" w:space="0" w:color="auto"/>
              <w:right w:val="single" w:sz="4" w:space="0" w:color="auto"/>
            </w:tcBorders>
            <w:shd w:val="clear" w:color="auto" w:fill="auto"/>
            <w:noWrap/>
            <w:vAlign w:val="center"/>
            <w:hideMark/>
          </w:tcPr>
          <w:p w:rsidR="001429DC" w:rsidRPr="001429DC" w:rsidRDefault="001429DC" w:rsidP="001429DC">
            <w:pPr>
              <w:tabs>
                <w:tab w:val="clear" w:pos="567"/>
                <w:tab w:val="clear" w:pos="1134"/>
                <w:tab w:val="clear" w:pos="1701"/>
                <w:tab w:val="clear" w:pos="2268"/>
                <w:tab w:val="clear" w:pos="2835"/>
              </w:tabs>
              <w:overflowPunct/>
              <w:autoSpaceDE/>
              <w:autoSpaceDN/>
              <w:adjustRightInd/>
              <w:spacing w:before="0"/>
              <w:jc w:val="right"/>
              <w:textAlignment w:val="auto"/>
              <w:rPr>
                <w:rFonts w:cs="Arial"/>
                <w:b/>
                <w:bCs/>
                <w:sz w:val="20"/>
                <w:lang w:val="en-US" w:eastAsia="zh-CN"/>
              </w:rPr>
            </w:pPr>
            <w:r w:rsidRPr="001429DC">
              <w:rPr>
                <w:rFonts w:cs="Arial"/>
                <w:b/>
                <w:bCs/>
                <w:sz w:val="20"/>
                <w:lang w:val="en-US" w:eastAsia="zh-CN"/>
              </w:rPr>
              <w:t xml:space="preserve">       4,797,67</w:t>
            </w:r>
            <w:r>
              <w:rPr>
                <w:rFonts w:cs="Arial"/>
                <w:b/>
                <w:bCs/>
                <w:sz w:val="20"/>
                <w:lang w:val="en-US" w:eastAsia="zh-CN"/>
              </w:rPr>
              <w:t>9</w:t>
            </w:r>
            <w:r w:rsidRPr="001429DC">
              <w:rPr>
                <w:rFonts w:cs="Arial"/>
                <w:b/>
                <w:bCs/>
                <w:sz w:val="20"/>
                <w:lang w:val="en-US" w:eastAsia="zh-CN"/>
              </w:rPr>
              <w:t xml:space="preserve"> </w:t>
            </w:r>
          </w:p>
        </w:tc>
      </w:tr>
    </w:tbl>
    <w:p w:rsidR="00121088" w:rsidRPr="00526F2F" w:rsidRDefault="00121088" w:rsidP="00A01049">
      <w:pPr>
        <w:spacing w:before="840"/>
        <w:jc w:val="center"/>
        <w:rPr>
          <w:sz w:val="22"/>
          <w:szCs w:val="18"/>
          <w:lang w:val="en-US"/>
        </w:rPr>
      </w:pPr>
      <w:r w:rsidRPr="00526F2F">
        <w:rPr>
          <w:sz w:val="22"/>
          <w:szCs w:val="18"/>
          <w:lang w:val="en-US"/>
        </w:rPr>
        <w:t>__________________</w:t>
      </w:r>
    </w:p>
    <w:sectPr w:rsidR="00121088" w:rsidRPr="00526F2F" w:rsidSect="008A7F19">
      <w:footerReference w:type="first" r:id="rId63"/>
      <w:pgSz w:w="11907" w:h="16834"/>
      <w:pgMar w:top="720" w:right="720" w:bottom="720" w:left="72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40D" w:rsidRDefault="007C640D">
      <w:r>
        <w:separator/>
      </w:r>
    </w:p>
  </w:endnote>
  <w:endnote w:type="continuationSeparator" w:id="0">
    <w:p w:rsidR="007C640D" w:rsidRDefault="007C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venir Next LT Pro">
    <w:altName w:val="Avenir Next LT Pro"/>
    <w:panose1 w:val="00000000000000000000"/>
    <w:charset w:val="00"/>
    <w:family w:val="swiss"/>
    <w:notTrueType/>
    <w:pitch w:val="default"/>
    <w:sig w:usb0="00000003" w:usb1="00000000" w:usb2="00000000" w:usb3="00000000" w:csb0="00000001" w:csb1="00000000"/>
  </w:font>
  <w:font w:name="DengXian">
    <w:altName w:val="SimSun"/>
    <w:charset w:val="86"/>
    <w:family w:val="auto"/>
    <w:pitch w:val="variable"/>
    <w:sig w:usb0="00000000"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FoundryMonoline-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0D" w:rsidRPr="00277DF7" w:rsidRDefault="007C640D" w:rsidP="005D3458">
    <w:pPr>
      <w:pStyle w:val="Footer"/>
      <w:rPr>
        <w:lang w:val="fr-CH"/>
      </w:rPr>
    </w:pPr>
    <w:r>
      <w:fldChar w:fldCharType="begin"/>
    </w:r>
    <w:r w:rsidRPr="00277DF7">
      <w:rPr>
        <w:lang w:val="fr-CH"/>
      </w:rPr>
      <w:instrText xml:space="preserve"> FILENAME \p  \* MERGEFORMAT </w:instrText>
    </w:r>
    <w:r>
      <w:fldChar w:fldCharType="separate"/>
    </w:r>
    <w:r>
      <w:rPr>
        <w:lang w:val="fr-CH"/>
      </w:rPr>
      <w:t>F:\SECRETARIAT\COUNCIL\2019\RAPGES\42 Rapport de gestion 2018.docx</w:t>
    </w:r>
    <w:r>
      <w:fldChar w:fldCharType="end"/>
    </w:r>
    <w:r w:rsidRPr="00277DF7">
      <w:rPr>
        <w:lang w:val="fr-CH"/>
      </w:rPr>
      <w:t xml:space="preserve"> (306162)</w:t>
    </w:r>
    <w:r w:rsidRPr="00277DF7">
      <w:rPr>
        <w:lang w:val="fr-CH"/>
      </w:rPr>
      <w:tab/>
    </w:r>
    <w:r>
      <w:fldChar w:fldCharType="begin"/>
    </w:r>
    <w:r>
      <w:instrText xml:space="preserve"> SAVEDATE \@ DD.MM.YY </w:instrText>
    </w:r>
    <w:r>
      <w:fldChar w:fldCharType="separate"/>
    </w:r>
    <w:r>
      <w:t>29.05.19</w:t>
    </w:r>
    <w:r>
      <w:fldChar w:fldCharType="end"/>
    </w:r>
    <w:r w:rsidRPr="00277DF7">
      <w:rPr>
        <w:lang w:val="fr-CH"/>
      </w:rPr>
      <w:tab/>
    </w:r>
    <w:r>
      <w:fldChar w:fldCharType="begin"/>
    </w:r>
    <w:r>
      <w:instrText xml:space="preserve"> PRINTDATE \@ DD.MM.YY </w:instrText>
    </w:r>
    <w:r>
      <w:fldChar w:fldCharType="separate"/>
    </w:r>
    <w:r>
      <w:t>29.05.19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0D" w:rsidRPr="00277DF7" w:rsidRDefault="007C640D" w:rsidP="005D3458">
    <w:pPr>
      <w:pStyle w:val="Footer"/>
      <w:rPr>
        <w:lang w:val="fr-CH"/>
      </w:rPr>
    </w:pPr>
    <w:r>
      <w:fldChar w:fldCharType="begin"/>
    </w:r>
    <w:r w:rsidRPr="00277DF7">
      <w:rPr>
        <w:lang w:val="fr-CH"/>
      </w:rPr>
      <w:instrText xml:space="preserve"> FILENAME \p  \* MERGEFORMAT </w:instrText>
    </w:r>
    <w:r>
      <w:fldChar w:fldCharType="separate"/>
    </w:r>
    <w:r>
      <w:rPr>
        <w:lang w:val="fr-CH"/>
      </w:rPr>
      <w:t>F:\SECRETARIAT\COUNCIL\2019\RAPGES\42 Rapport de gestion 2018.docx</w:t>
    </w:r>
    <w:r>
      <w:fldChar w:fldCharType="end"/>
    </w:r>
    <w:r w:rsidRPr="00277DF7">
      <w:rPr>
        <w:lang w:val="fr-CH"/>
      </w:rPr>
      <w:t xml:space="preserve"> (306162)</w:t>
    </w:r>
    <w:r w:rsidRPr="00277DF7">
      <w:rPr>
        <w:lang w:val="fr-CH"/>
      </w:rPr>
      <w:tab/>
    </w:r>
    <w:r>
      <w:fldChar w:fldCharType="begin"/>
    </w:r>
    <w:r>
      <w:instrText xml:space="preserve"> SAVEDATE \@ DD.MM.YY </w:instrText>
    </w:r>
    <w:r>
      <w:fldChar w:fldCharType="separate"/>
    </w:r>
    <w:r>
      <w:t>29.05.19</w:t>
    </w:r>
    <w:r>
      <w:fldChar w:fldCharType="end"/>
    </w:r>
    <w:r w:rsidRPr="00277DF7">
      <w:rPr>
        <w:lang w:val="fr-CH"/>
      </w:rPr>
      <w:tab/>
    </w:r>
    <w:r>
      <w:fldChar w:fldCharType="begin"/>
    </w:r>
    <w:r>
      <w:instrText xml:space="preserve"> PRINTDATE \@ DD.MM.YY </w:instrText>
    </w:r>
    <w:r>
      <w:fldChar w:fldCharType="separate"/>
    </w:r>
    <w:r>
      <w:t>29.05.19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0D" w:rsidRDefault="007C640D">
    <w:pPr>
      <w:spacing w:after="120"/>
      <w:jc w:val="center"/>
    </w:pPr>
    <w:r>
      <w:t xml:space="preserve">• </w:t>
    </w:r>
    <w:hyperlink r:id="rId1" w:history="1">
      <w:r>
        <w:rPr>
          <w:rStyle w:val="Hyperlink"/>
        </w:rPr>
        <w:t>http://www.itu.int/council</w:t>
      </w:r>
    </w:hyperlink>
    <w:r>
      <w:t xml:space="preserve"> •</w:t>
    </w:r>
  </w:p>
  <w:p w:rsidR="007C640D" w:rsidRPr="00277DF7" w:rsidRDefault="007C640D">
    <w:pPr>
      <w:pStyle w:val="Footer"/>
      <w:rPr>
        <w:lang w:val="fr-CH"/>
      </w:rPr>
    </w:pPr>
    <w:r>
      <w:fldChar w:fldCharType="begin"/>
    </w:r>
    <w:r w:rsidRPr="00277DF7">
      <w:rPr>
        <w:lang w:val="fr-CH"/>
      </w:rPr>
      <w:instrText xml:space="preserve"> FILENAME \p  \* MERGEFORMAT </w:instrText>
    </w:r>
    <w:r>
      <w:fldChar w:fldCharType="separate"/>
    </w:r>
    <w:r>
      <w:rPr>
        <w:lang w:val="fr-CH"/>
      </w:rPr>
      <w:t>F:\SECRETARIAT\COUNCIL\2019\RAPGES\42 Rapport de gestion 2018.docx</w:t>
    </w:r>
    <w:r>
      <w:fldChar w:fldCharType="end"/>
    </w:r>
    <w:r w:rsidRPr="00277DF7">
      <w:rPr>
        <w:lang w:val="fr-CH"/>
      </w:rPr>
      <w:tab/>
    </w:r>
    <w:r>
      <w:fldChar w:fldCharType="begin"/>
    </w:r>
    <w:r>
      <w:instrText xml:space="preserve"> SAVEDATE \@ DD.MM.YY </w:instrText>
    </w:r>
    <w:r>
      <w:fldChar w:fldCharType="separate"/>
    </w:r>
    <w:r>
      <w:t>29.05.19</w:t>
    </w:r>
    <w:r>
      <w:fldChar w:fldCharType="end"/>
    </w:r>
    <w:r w:rsidRPr="00277DF7">
      <w:rPr>
        <w:lang w:val="fr-CH"/>
      </w:rPr>
      <w:tab/>
    </w:r>
    <w:r>
      <w:fldChar w:fldCharType="begin"/>
    </w:r>
    <w:r>
      <w:instrText xml:space="preserve"> PRINTDATE \@ DD.MM.YY </w:instrText>
    </w:r>
    <w:r>
      <w:fldChar w:fldCharType="separate"/>
    </w:r>
    <w:r>
      <w:t>29.05.19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40D" w:rsidRDefault="007C640D">
      <w:r>
        <w:t>____________________</w:t>
      </w:r>
    </w:p>
  </w:footnote>
  <w:footnote w:type="continuationSeparator" w:id="0">
    <w:p w:rsidR="007C640D" w:rsidRDefault="007C6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0D" w:rsidRPr="006A7D15" w:rsidRDefault="007C640D" w:rsidP="00B574FF">
    <w:pPr>
      <w:pStyle w:val="Header"/>
      <w:rPr>
        <w:sz w:val="22"/>
        <w:szCs w:val="22"/>
      </w:rPr>
    </w:pPr>
    <w:r w:rsidRPr="006A7D15">
      <w:rPr>
        <w:sz w:val="22"/>
        <w:szCs w:val="22"/>
      </w:rPr>
      <w:t>- </w:t>
    </w:r>
    <w:sdt>
      <w:sdtPr>
        <w:rPr>
          <w:sz w:val="22"/>
          <w:szCs w:val="22"/>
        </w:rPr>
        <w:id w:val="440650193"/>
        <w:docPartObj>
          <w:docPartGallery w:val="Page Numbers (Top of Page)"/>
          <w:docPartUnique/>
        </w:docPartObj>
      </w:sdtPr>
      <w:sdtEndPr>
        <w:rPr>
          <w:noProof/>
        </w:rPr>
      </w:sdtEndPr>
      <w:sdtContent>
        <w:r w:rsidRPr="006A7D15">
          <w:rPr>
            <w:sz w:val="22"/>
            <w:szCs w:val="22"/>
          </w:rPr>
          <w:fldChar w:fldCharType="begin"/>
        </w:r>
        <w:r w:rsidRPr="006A7D15">
          <w:rPr>
            <w:sz w:val="22"/>
            <w:szCs w:val="22"/>
          </w:rPr>
          <w:instrText xml:space="preserve"> PAGE   \* MERGEFORMAT </w:instrText>
        </w:r>
        <w:r w:rsidRPr="006A7D15">
          <w:rPr>
            <w:sz w:val="22"/>
            <w:szCs w:val="22"/>
          </w:rPr>
          <w:fldChar w:fldCharType="separate"/>
        </w:r>
        <w:r w:rsidR="000A304A">
          <w:rPr>
            <w:noProof/>
            <w:sz w:val="22"/>
            <w:szCs w:val="22"/>
          </w:rPr>
          <w:t>108</w:t>
        </w:r>
        <w:r w:rsidRPr="006A7D15">
          <w:rPr>
            <w:noProof/>
            <w:sz w:val="22"/>
            <w:szCs w:val="22"/>
          </w:rPr>
          <w:fldChar w:fldCharType="end"/>
        </w:r>
        <w:r w:rsidRPr="006A7D15">
          <w:rPr>
            <w:noProof/>
            <w:sz w:val="22"/>
            <w:szCs w:val="22"/>
          </w:rPr>
          <w:t> -</w:t>
        </w:r>
      </w:sdtContent>
    </w:sdt>
  </w:p>
  <w:p w:rsidR="007C640D" w:rsidRDefault="007C640D" w:rsidP="009F5BEE">
    <w:pPr>
      <w:pStyle w:val="Header"/>
      <w:spacing w:after="120"/>
      <w:rPr>
        <w:sz w:val="22"/>
        <w:szCs w:val="22"/>
        <w:lang w:val="fr-CH"/>
      </w:rPr>
    </w:pPr>
    <w:r w:rsidRPr="006A7D15">
      <w:rPr>
        <w:sz w:val="22"/>
        <w:szCs w:val="22"/>
        <w:lang w:val="fr-CH"/>
      </w:rPr>
      <w:t>C1</w:t>
    </w:r>
    <w:r>
      <w:rPr>
        <w:sz w:val="22"/>
        <w:szCs w:val="22"/>
        <w:lang w:val="fr-CH"/>
      </w:rPr>
      <w:t>9</w:t>
    </w:r>
    <w:r w:rsidRPr="006A7D15">
      <w:rPr>
        <w:sz w:val="22"/>
        <w:szCs w:val="22"/>
        <w:lang w:val="fr-CH"/>
      </w:rPr>
      <w:t>/4</w:t>
    </w:r>
    <w:r>
      <w:rPr>
        <w:sz w:val="22"/>
        <w:szCs w:val="22"/>
        <w:lang w:val="fr-CH"/>
      </w:rPr>
      <w:t>2</w:t>
    </w:r>
    <w:r w:rsidRPr="006A7D15">
      <w:rPr>
        <w:sz w:val="22"/>
        <w:szCs w:val="22"/>
        <w:lang w:val="fr-CH"/>
      </w:rPr>
      <w:t>-</w:t>
    </w:r>
    <w:r>
      <w:rPr>
        <w:sz w:val="22"/>
        <w:szCs w:val="22"/>
        <w:lang w:val="fr-CH"/>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E0C32"/>
    <w:multiLevelType w:val="hybridMultilevel"/>
    <w:tmpl w:val="194E23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58405B"/>
    <w:multiLevelType w:val="hybridMultilevel"/>
    <w:tmpl w:val="3068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E0395"/>
    <w:multiLevelType w:val="hybridMultilevel"/>
    <w:tmpl w:val="D806F958"/>
    <w:lvl w:ilvl="0" w:tplc="9C62C45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5" w15:restartNumberingAfterBreak="0">
    <w:nsid w:val="202C5E41"/>
    <w:multiLevelType w:val="hybridMultilevel"/>
    <w:tmpl w:val="7E585FCE"/>
    <w:lvl w:ilvl="0" w:tplc="898A072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154816"/>
    <w:multiLevelType w:val="hybridMultilevel"/>
    <w:tmpl w:val="6C265816"/>
    <w:lvl w:ilvl="0" w:tplc="F07EC80E">
      <w:start w:val="42"/>
      <w:numFmt w:val="decimal"/>
      <w:lvlText w:val="%1"/>
      <w:lvlJc w:val="left"/>
      <w:pPr>
        <w:ind w:left="502" w:hanging="360"/>
      </w:pPr>
      <w:rPr>
        <w:rFonts w:ascii="Calibri" w:hAnsi="Calibr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D83AA1"/>
    <w:multiLevelType w:val="hybridMultilevel"/>
    <w:tmpl w:val="3710BC5C"/>
    <w:lvl w:ilvl="0" w:tplc="318E6CC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679CB"/>
    <w:multiLevelType w:val="hybridMultilevel"/>
    <w:tmpl w:val="AA7AB0DC"/>
    <w:lvl w:ilvl="0" w:tplc="67CA3A22">
      <w:start w:val="89"/>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2B8D6CFD"/>
    <w:multiLevelType w:val="hybridMultilevel"/>
    <w:tmpl w:val="2D2E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D70369"/>
    <w:multiLevelType w:val="hybridMultilevel"/>
    <w:tmpl w:val="4F4A503C"/>
    <w:lvl w:ilvl="0" w:tplc="DF80DE0A">
      <w:start w:val="40"/>
      <w:numFmt w:val="decimal"/>
      <w:lvlText w:val="%1"/>
      <w:lvlJc w:val="left"/>
      <w:pPr>
        <w:ind w:left="502" w:hanging="360"/>
      </w:pPr>
      <w:rPr>
        <w:rFonts w:ascii="Calibri" w:hAnsi="Calibri"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460B03"/>
    <w:multiLevelType w:val="hybridMultilevel"/>
    <w:tmpl w:val="A6CA370C"/>
    <w:lvl w:ilvl="0" w:tplc="446EA126">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9C6D9C"/>
    <w:multiLevelType w:val="hybridMultilevel"/>
    <w:tmpl w:val="FC3A00B8"/>
    <w:lvl w:ilvl="0" w:tplc="26E45548">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B0733"/>
    <w:multiLevelType w:val="hybridMultilevel"/>
    <w:tmpl w:val="E1C251FE"/>
    <w:lvl w:ilvl="0" w:tplc="6E7A9782">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6D435D"/>
    <w:multiLevelType w:val="hybridMultilevel"/>
    <w:tmpl w:val="14DE0D0E"/>
    <w:lvl w:ilvl="0" w:tplc="FFE0F9C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45EE1"/>
    <w:multiLevelType w:val="hybridMultilevel"/>
    <w:tmpl w:val="81AABC5E"/>
    <w:lvl w:ilvl="0" w:tplc="D144D414">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355F6C"/>
    <w:multiLevelType w:val="hybridMultilevel"/>
    <w:tmpl w:val="45648C5E"/>
    <w:lvl w:ilvl="0" w:tplc="38C41EAE">
      <w:start w:val="2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904FB5"/>
    <w:multiLevelType w:val="hybridMultilevel"/>
    <w:tmpl w:val="DA1E48C8"/>
    <w:lvl w:ilvl="0" w:tplc="18B4FFC2">
      <w:start w:val="1"/>
      <w:numFmt w:val="decimal"/>
      <w:lvlText w:val="%1"/>
      <w:lvlJc w:val="left"/>
      <w:pPr>
        <w:ind w:left="570"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094CF7"/>
    <w:multiLevelType w:val="hybridMultilevel"/>
    <w:tmpl w:val="931E65DE"/>
    <w:lvl w:ilvl="0" w:tplc="5BB0FDEA">
      <w:start w:val="45"/>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645B45"/>
    <w:multiLevelType w:val="hybridMultilevel"/>
    <w:tmpl w:val="96F6CD5A"/>
    <w:lvl w:ilvl="0" w:tplc="4218FB0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378E7"/>
    <w:multiLevelType w:val="hybridMultilevel"/>
    <w:tmpl w:val="787A8022"/>
    <w:lvl w:ilvl="0" w:tplc="35C65E78">
      <w:start w:val="40"/>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15:restartNumberingAfterBreak="0">
    <w:nsid w:val="6A8A0368"/>
    <w:multiLevelType w:val="hybridMultilevel"/>
    <w:tmpl w:val="55D0640A"/>
    <w:lvl w:ilvl="0" w:tplc="DB7A547A">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B80ACE"/>
    <w:multiLevelType w:val="hybridMultilevel"/>
    <w:tmpl w:val="3B442304"/>
    <w:lvl w:ilvl="0" w:tplc="CAAEEF3A">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0065E"/>
    <w:multiLevelType w:val="hybridMultilevel"/>
    <w:tmpl w:val="F8047D46"/>
    <w:lvl w:ilvl="0" w:tplc="75580BB8">
      <w:start w:val="25"/>
      <w:numFmt w:val="decimal"/>
      <w:lvlText w:val="%1"/>
      <w:lvlJc w:val="left"/>
      <w:pPr>
        <w:ind w:left="2272"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AC2785"/>
    <w:multiLevelType w:val="hybridMultilevel"/>
    <w:tmpl w:val="12746E3C"/>
    <w:lvl w:ilvl="0" w:tplc="18B4FFC2">
      <w:start w:val="1"/>
      <w:numFmt w:val="decimal"/>
      <w:lvlText w:val="%1"/>
      <w:lvlJc w:val="left"/>
      <w:pPr>
        <w:ind w:left="570"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BB5B42"/>
    <w:multiLevelType w:val="hybridMultilevel"/>
    <w:tmpl w:val="5B9E0F5A"/>
    <w:lvl w:ilvl="0" w:tplc="0ECE77F4">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1738D7"/>
    <w:multiLevelType w:val="hybridMultilevel"/>
    <w:tmpl w:val="B6F44A9E"/>
    <w:lvl w:ilvl="0" w:tplc="1E4C8A2C">
      <w:start w:val="67"/>
      <w:numFmt w:val="decimal"/>
      <w:lvlText w:val="%1"/>
      <w:lvlJc w:val="left"/>
      <w:pPr>
        <w:ind w:left="1080" w:hanging="360"/>
      </w:pPr>
      <w:rPr>
        <w:rFonts w:ascii="Calibri" w:hAnsi="Calibri"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3F139C"/>
    <w:multiLevelType w:val="hybridMultilevel"/>
    <w:tmpl w:val="9286978C"/>
    <w:lvl w:ilvl="0" w:tplc="35486D6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782161"/>
    <w:multiLevelType w:val="hybridMultilevel"/>
    <w:tmpl w:val="5BC2858C"/>
    <w:lvl w:ilvl="0" w:tplc="374A67B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14"/>
  </w:num>
  <w:num w:numId="4">
    <w:abstractNumId w:val="20"/>
  </w:num>
  <w:num w:numId="5">
    <w:abstractNumId w:val="2"/>
  </w:num>
  <w:num w:numId="6">
    <w:abstractNumId w:val="28"/>
  </w:num>
  <w:num w:numId="7">
    <w:abstractNumId w:val="32"/>
  </w:num>
  <w:num w:numId="8">
    <w:abstractNumId w:val="3"/>
  </w:num>
  <w:num w:numId="9">
    <w:abstractNumId w:val="31"/>
  </w:num>
  <w:num w:numId="10">
    <w:abstractNumId w:val="12"/>
  </w:num>
  <w:num w:numId="11">
    <w:abstractNumId w:val="13"/>
  </w:num>
  <w:num w:numId="12">
    <w:abstractNumId w:val="25"/>
  </w:num>
  <w:num w:numId="13">
    <w:abstractNumId w:val="19"/>
  </w:num>
  <w:num w:numId="14">
    <w:abstractNumId w:val="7"/>
  </w:num>
  <w:num w:numId="15">
    <w:abstractNumId w:val="16"/>
  </w:num>
  <w:num w:numId="16">
    <w:abstractNumId w:val="24"/>
  </w:num>
  <w:num w:numId="17">
    <w:abstractNumId w:val="22"/>
  </w:num>
  <w:num w:numId="18">
    <w:abstractNumId w:val="10"/>
  </w:num>
  <w:num w:numId="19">
    <w:abstractNumId w:val="3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8"/>
  </w:num>
  <w:num w:numId="24">
    <w:abstractNumId w:val="17"/>
  </w:num>
  <w:num w:numId="25">
    <w:abstractNumId w:val="27"/>
  </w:num>
  <w:num w:numId="26">
    <w:abstractNumId w:val="29"/>
  </w:num>
  <w:num w:numId="27">
    <w:abstractNumId w:val="21"/>
  </w:num>
  <w:num w:numId="28">
    <w:abstractNumId w:val="1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8"/>
  </w:num>
  <w:num w:numId="32">
    <w:abstractNumId w:val="11"/>
  </w:num>
  <w:num w:numId="33">
    <w:abstractNumId w:val="0"/>
  </w:num>
  <w:num w:numId="34">
    <w:abstractNumId w:val="4"/>
  </w:num>
  <w:num w:numId="3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3A"/>
    <w:rsid w:val="00000316"/>
    <w:rsid w:val="0000034A"/>
    <w:rsid w:val="00000F22"/>
    <w:rsid w:val="0000145D"/>
    <w:rsid w:val="00001E2A"/>
    <w:rsid w:val="0000231C"/>
    <w:rsid w:val="000023CF"/>
    <w:rsid w:val="00002A6A"/>
    <w:rsid w:val="00002F47"/>
    <w:rsid w:val="000030C7"/>
    <w:rsid w:val="00003385"/>
    <w:rsid w:val="000035AD"/>
    <w:rsid w:val="0000441F"/>
    <w:rsid w:val="00004716"/>
    <w:rsid w:val="0000519D"/>
    <w:rsid w:val="00005567"/>
    <w:rsid w:val="000057EB"/>
    <w:rsid w:val="00006047"/>
    <w:rsid w:val="000064A3"/>
    <w:rsid w:val="00006D78"/>
    <w:rsid w:val="00007059"/>
    <w:rsid w:val="00007623"/>
    <w:rsid w:val="00007C90"/>
    <w:rsid w:val="0001022D"/>
    <w:rsid w:val="00010470"/>
    <w:rsid w:val="000107D0"/>
    <w:rsid w:val="00010F28"/>
    <w:rsid w:val="00011770"/>
    <w:rsid w:val="00011DD9"/>
    <w:rsid w:val="000122F4"/>
    <w:rsid w:val="00012800"/>
    <w:rsid w:val="000129E1"/>
    <w:rsid w:val="00012E08"/>
    <w:rsid w:val="000131DC"/>
    <w:rsid w:val="0001347D"/>
    <w:rsid w:val="00014050"/>
    <w:rsid w:val="000144D1"/>
    <w:rsid w:val="00014CFD"/>
    <w:rsid w:val="0001593F"/>
    <w:rsid w:val="000160FC"/>
    <w:rsid w:val="000164C0"/>
    <w:rsid w:val="00016646"/>
    <w:rsid w:val="00016864"/>
    <w:rsid w:val="00016ACA"/>
    <w:rsid w:val="00017A10"/>
    <w:rsid w:val="00017FE2"/>
    <w:rsid w:val="000209BE"/>
    <w:rsid w:val="00020FFC"/>
    <w:rsid w:val="0002150F"/>
    <w:rsid w:val="0002174A"/>
    <w:rsid w:val="000219D0"/>
    <w:rsid w:val="00021C50"/>
    <w:rsid w:val="00023B58"/>
    <w:rsid w:val="00023B7F"/>
    <w:rsid w:val="00023E3A"/>
    <w:rsid w:val="0002495B"/>
    <w:rsid w:val="00025E7E"/>
    <w:rsid w:val="000261EA"/>
    <w:rsid w:val="000267BA"/>
    <w:rsid w:val="000269FB"/>
    <w:rsid w:val="00026C1B"/>
    <w:rsid w:val="00026D70"/>
    <w:rsid w:val="00026FD5"/>
    <w:rsid w:val="0002718D"/>
    <w:rsid w:val="0002725C"/>
    <w:rsid w:val="000272E7"/>
    <w:rsid w:val="0002763A"/>
    <w:rsid w:val="00027A1B"/>
    <w:rsid w:val="00027FE6"/>
    <w:rsid w:val="00030950"/>
    <w:rsid w:val="00030A07"/>
    <w:rsid w:val="00030B60"/>
    <w:rsid w:val="00031036"/>
    <w:rsid w:val="00031055"/>
    <w:rsid w:val="000310BD"/>
    <w:rsid w:val="00031250"/>
    <w:rsid w:val="00031853"/>
    <w:rsid w:val="00031C08"/>
    <w:rsid w:val="00031F42"/>
    <w:rsid w:val="00031FC9"/>
    <w:rsid w:val="000329E0"/>
    <w:rsid w:val="00032AFD"/>
    <w:rsid w:val="00032E50"/>
    <w:rsid w:val="0003310F"/>
    <w:rsid w:val="00033ADB"/>
    <w:rsid w:val="0003422E"/>
    <w:rsid w:val="00035625"/>
    <w:rsid w:val="0003593F"/>
    <w:rsid w:val="00035C3C"/>
    <w:rsid w:val="00035CC0"/>
    <w:rsid w:val="000366D6"/>
    <w:rsid w:val="00037126"/>
    <w:rsid w:val="000375BC"/>
    <w:rsid w:val="0003780D"/>
    <w:rsid w:val="00037E97"/>
    <w:rsid w:val="000400CB"/>
    <w:rsid w:val="000404E5"/>
    <w:rsid w:val="00040BEE"/>
    <w:rsid w:val="00041286"/>
    <w:rsid w:val="00041613"/>
    <w:rsid w:val="0004198C"/>
    <w:rsid w:val="00042672"/>
    <w:rsid w:val="00042DB1"/>
    <w:rsid w:val="0004364D"/>
    <w:rsid w:val="00043BAD"/>
    <w:rsid w:val="000441E5"/>
    <w:rsid w:val="00044652"/>
    <w:rsid w:val="00044F18"/>
    <w:rsid w:val="00045580"/>
    <w:rsid w:val="0004612D"/>
    <w:rsid w:val="000469A9"/>
    <w:rsid w:val="0004773A"/>
    <w:rsid w:val="00047B6A"/>
    <w:rsid w:val="00047CBF"/>
    <w:rsid w:val="0005027A"/>
    <w:rsid w:val="000517FE"/>
    <w:rsid w:val="0005188C"/>
    <w:rsid w:val="00051DEF"/>
    <w:rsid w:val="00051F22"/>
    <w:rsid w:val="00052258"/>
    <w:rsid w:val="000526D3"/>
    <w:rsid w:val="00052741"/>
    <w:rsid w:val="00052E7D"/>
    <w:rsid w:val="00052E82"/>
    <w:rsid w:val="000536EE"/>
    <w:rsid w:val="00054185"/>
    <w:rsid w:val="00055095"/>
    <w:rsid w:val="0005517C"/>
    <w:rsid w:val="000552CF"/>
    <w:rsid w:val="000558EA"/>
    <w:rsid w:val="00055B07"/>
    <w:rsid w:val="00055DB4"/>
    <w:rsid w:val="00056474"/>
    <w:rsid w:val="000567C2"/>
    <w:rsid w:val="00056E64"/>
    <w:rsid w:val="000572A5"/>
    <w:rsid w:val="0005747F"/>
    <w:rsid w:val="000575B0"/>
    <w:rsid w:val="000576B2"/>
    <w:rsid w:val="00057918"/>
    <w:rsid w:val="00057B81"/>
    <w:rsid w:val="00057E5B"/>
    <w:rsid w:val="000601BB"/>
    <w:rsid w:val="00060B07"/>
    <w:rsid w:val="00060C69"/>
    <w:rsid w:val="000619B5"/>
    <w:rsid w:val="0006298F"/>
    <w:rsid w:val="00062A4B"/>
    <w:rsid w:val="00063016"/>
    <w:rsid w:val="0006353A"/>
    <w:rsid w:val="000637A1"/>
    <w:rsid w:val="000638E2"/>
    <w:rsid w:val="00063B70"/>
    <w:rsid w:val="00063D3A"/>
    <w:rsid w:val="0006469C"/>
    <w:rsid w:val="00064B78"/>
    <w:rsid w:val="00064D23"/>
    <w:rsid w:val="000668E5"/>
    <w:rsid w:val="000670EF"/>
    <w:rsid w:val="0006748A"/>
    <w:rsid w:val="00067BEC"/>
    <w:rsid w:val="00070018"/>
    <w:rsid w:val="0007008D"/>
    <w:rsid w:val="00071109"/>
    <w:rsid w:val="00071CB4"/>
    <w:rsid w:val="00071E13"/>
    <w:rsid w:val="00072486"/>
    <w:rsid w:val="00072842"/>
    <w:rsid w:val="00073504"/>
    <w:rsid w:val="00073540"/>
    <w:rsid w:val="00073B1A"/>
    <w:rsid w:val="00074F8B"/>
    <w:rsid w:val="0007677D"/>
    <w:rsid w:val="00076AF6"/>
    <w:rsid w:val="00076BA4"/>
    <w:rsid w:val="00076BD9"/>
    <w:rsid w:val="00076D29"/>
    <w:rsid w:val="00076E97"/>
    <w:rsid w:val="00076F5E"/>
    <w:rsid w:val="000772B8"/>
    <w:rsid w:val="000777AD"/>
    <w:rsid w:val="00077949"/>
    <w:rsid w:val="00077DA4"/>
    <w:rsid w:val="00080AA7"/>
    <w:rsid w:val="00080E3A"/>
    <w:rsid w:val="00080FFB"/>
    <w:rsid w:val="00081388"/>
    <w:rsid w:val="00081A0A"/>
    <w:rsid w:val="00083075"/>
    <w:rsid w:val="000837F8"/>
    <w:rsid w:val="00083FDC"/>
    <w:rsid w:val="000847C2"/>
    <w:rsid w:val="00084EBD"/>
    <w:rsid w:val="000853C6"/>
    <w:rsid w:val="000854EA"/>
    <w:rsid w:val="0008578B"/>
    <w:rsid w:val="00085B3E"/>
    <w:rsid w:val="00085CF2"/>
    <w:rsid w:val="00085D2D"/>
    <w:rsid w:val="00085D97"/>
    <w:rsid w:val="00086335"/>
    <w:rsid w:val="00086951"/>
    <w:rsid w:val="00086983"/>
    <w:rsid w:val="0008710E"/>
    <w:rsid w:val="0008739D"/>
    <w:rsid w:val="00091339"/>
    <w:rsid w:val="00091827"/>
    <w:rsid w:val="000927AB"/>
    <w:rsid w:val="000943A1"/>
    <w:rsid w:val="00094519"/>
    <w:rsid w:val="000956FB"/>
    <w:rsid w:val="00095828"/>
    <w:rsid w:val="000963B5"/>
    <w:rsid w:val="00096DB6"/>
    <w:rsid w:val="00096DD0"/>
    <w:rsid w:val="000970C5"/>
    <w:rsid w:val="00097483"/>
    <w:rsid w:val="00097791"/>
    <w:rsid w:val="000977A5"/>
    <w:rsid w:val="00097FA9"/>
    <w:rsid w:val="000A039E"/>
    <w:rsid w:val="000A12B9"/>
    <w:rsid w:val="000A1858"/>
    <w:rsid w:val="000A1DAE"/>
    <w:rsid w:val="000A25CF"/>
    <w:rsid w:val="000A304A"/>
    <w:rsid w:val="000A3546"/>
    <w:rsid w:val="000A370B"/>
    <w:rsid w:val="000A4004"/>
    <w:rsid w:val="000A4526"/>
    <w:rsid w:val="000A4959"/>
    <w:rsid w:val="000A4A07"/>
    <w:rsid w:val="000A5565"/>
    <w:rsid w:val="000A5717"/>
    <w:rsid w:val="000A59FF"/>
    <w:rsid w:val="000A5A87"/>
    <w:rsid w:val="000A5AAD"/>
    <w:rsid w:val="000A5F7A"/>
    <w:rsid w:val="000A6669"/>
    <w:rsid w:val="000A6EEF"/>
    <w:rsid w:val="000A72CE"/>
    <w:rsid w:val="000A772A"/>
    <w:rsid w:val="000A7955"/>
    <w:rsid w:val="000B0105"/>
    <w:rsid w:val="000B01B2"/>
    <w:rsid w:val="000B066C"/>
    <w:rsid w:val="000B07D0"/>
    <w:rsid w:val="000B07D2"/>
    <w:rsid w:val="000B08FB"/>
    <w:rsid w:val="000B14FE"/>
    <w:rsid w:val="000B1705"/>
    <w:rsid w:val="000B17D8"/>
    <w:rsid w:val="000B1910"/>
    <w:rsid w:val="000B1C1D"/>
    <w:rsid w:val="000B1E0A"/>
    <w:rsid w:val="000B29D3"/>
    <w:rsid w:val="000B2A4E"/>
    <w:rsid w:val="000B52FD"/>
    <w:rsid w:val="000B57C0"/>
    <w:rsid w:val="000B5814"/>
    <w:rsid w:val="000B5CC5"/>
    <w:rsid w:val="000B5DE2"/>
    <w:rsid w:val="000B600F"/>
    <w:rsid w:val="000B67FC"/>
    <w:rsid w:val="000B6C0A"/>
    <w:rsid w:val="000B7B31"/>
    <w:rsid w:val="000B7B44"/>
    <w:rsid w:val="000B7F2E"/>
    <w:rsid w:val="000C01CC"/>
    <w:rsid w:val="000C0A67"/>
    <w:rsid w:val="000C0BA8"/>
    <w:rsid w:val="000C0E4B"/>
    <w:rsid w:val="000C10C6"/>
    <w:rsid w:val="000C1156"/>
    <w:rsid w:val="000C191B"/>
    <w:rsid w:val="000C20FE"/>
    <w:rsid w:val="000C24E5"/>
    <w:rsid w:val="000C2557"/>
    <w:rsid w:val="000C2D54"/>
    <w:rsid w:val="000C372B"/>
    <w:rsid w:val="000C3A91"/>
    <w:rsid w:val="000C3C2F"/>
    <w:rsid w:val="000C484A"/>
    <w:rsid w:val="000C4E6C"/>
    <w:rsid w:val="000C52ED"/>
    <w:rsid w:val="000C5501"/>
    <w:rsid w:val="000C56B9"/>
    <w:rsid w:val="000C5D44"/>
    <w:rsid w:val="000C6300"/>
    <w:rsid w:val="000C6652"/>
    <w:rsid w:val="000C6876"/>
    <w:rsid w:val="000C6D3F"/>
    <w:rsid w:val="000C6EB7"/>
    <w:rsid w:val="000C705A"/>
    <w:rsid w:val="000C7AEF"/>
    <w:rsid w:val="000C7B24"/>
    <w:rsid w:val="000D01C6"/>
    <w:rsid w:val="000D01E6"/>
    <w:rsid w:val="000D09E0"/>
    <w:rsid w:val="000D0E36"/>
    <w:rsid w:val="000D0F63"/>
    <w:rsid w:val="000D181D"/>
    <w:rsid w:val="000D3471"/>
    <w:rsid w:val="000D35B7"/>
    <w:rsid w:val="000D369A"/>
    <w:rsid w:val="000D3893"/>
    <w:rsid w:val="000D3C40"/>
    <w:rsid w:val="000D3D0F"/>
    <w:rsid w:val="000D4435"/>
    <w:rsid w:val="000D5EEB"/>
    <w:rsid w:val="000D67A3"/>
    <w:rsid w:val="000D68BA"/>
    <w:rsid w:val="000D6C1A"/>
    <w:rsid w:val="000D74C7"/>
    <w:rsid w:val="000D752E"/>
    <w:rsid w:val="000D75B2"/>
    <w:rsid w:val="000D762F"/>
    <w:rsid w:val="000D7C4D"/>
    <w:rsid w:val="000E0715"/>
    <w:rsid w:val="000E079B"/>
    <w:rsid w:val="000E117A"/>
    <w:rsid w:val="000E1459"/>
    <w:rsid w:val="000E1AB5"/>
    <w:rsid w:val="000E1B73"/>
    <w:rsid w:val="000E2789"/>
    <w:rsid w:val="000E27B5"/>
    <w:rsid w:val="000E2B5E"/>
    <w:rsid w:val="000E32E7"/>
    <w:rsid w:val="000E373D"/>
    <w:rsid w:val="000E3BF2"/>
    <w:rsid w:val="000E3C2D"/>
    <w:rsid w:val="000E3C95"/>
    <w:rsid w:val="000E3FD9"/>
    <w:rsid w:val="000E536A"/>
    <w:rsid w:val="000E7A6E"/>
    <w:rsid w:val="000E7D94"/>
    <w:rsid w:val="000F01E2"/>
    <w:rsid w:val="000F0509"/>
    <w:rsid w:val="000F0920"/>
    <w:rsid w:val="000F096E"/>
    <w:rsid w:val="000F0B22"/>
    <w:rsid w:val="000F0FF4"/>
    <w:rsid w:val="000F144A"/>
    <w:rsid w:val="000F1F01"/>
    <w:rsid w:val="000F214E"/>
    <w:rsid w:val="000F2FBB"/>
    <w:rsid w:val="000F3090"/>
    <w:rsid w:val="000F37B4"/>
    <w:rsid w:val="000F3E13"/>
    <w:rsid w:val="000F48C3"/>
    <w:rsid w:val="000F4C63"/>
    <w:rsid w:val="000F573C"/>
    <w:rsid w:val="000F59E0"/>
    <w:rsid w:val="000F5CAD"/>
    <w:rsid w:val="000F6431"/>
    <w:rsid w:val="000F7767"/>
    <w:rsid w:val="000F7C48"/>
    <w:rsid w:val="000F7D4B"/>
    <w:rsid w:val="000F7F99"/>
    <w:rsid w:val="001002AE"/>
    <w:rsid w:val="00100E44"/>
    <w:rsid w:val="0010139B"/>
    <w:rsid w:val="0010152D"/>
    <w:rsid w:val="00101841"/>
    <w:rsid w:val="001018AB"/>
    <w:rsid w:val="00101F4B"/>
    <w:rsid w:val="00101FB9"/>
    <w:rsid w:val="001022C1"/>
    <w:rsid w:val="00102349"/>
    <w:rsid w:val="00102367"/>
    <w:rsid w:val="00102375"/>
    <w:rsid w:val="00102909"/>
    <w:rsid w:val="001030D3"/>
    <w:rsid w:val="00103D66"/>
    <w:rsid w:val="00103E9A"/>
    <w:rsid w:val="001041D5"/>
    <w:rsid w:val="0010429A"/>
    <w:rsid w:val="001042F3"/>
    <w:rsid w:val="001043DD"/>
    <w:rsid w:val="001046A7"/>
    <w:rsid w:val="0010479A"/>
    <w:rsid w:val="00104965"/>
    <w:rsid w:val="00104A3E"/>
    <w:rsid w:val="00106C0D"/>
    <w:rsid w:val="00106D57"/>
    <w:rsid w:val="0010738C"/>
    <w:rsid w:val="0010743B"/>
    <w:rsid w:val="0010750A"/>
    <w:rsid w:val="00107CAD"/>
    <w:rsid w:val="00107E99"/>
    <w:rsid w:val="00110874"/>
    <w:rsid w:val="00110DB6"/>
    <w:rsid w:val="00110E1F"/>
    <w:rsid w:val="001114BA"/>
    <w:rsid w:val="00111A74"/>
    <w:rsid w:val="00111BDD"/>
    <w:rsid w:val="00111E44"/>
    <w:rsid w:val="001121F5"/>
    <w:rsid w:val="00112515"/>
    <w:rsid w:val="00112742"/>
    <w:rsid w:val="00112B74"/>
    <w:rsid w:val="00112BCF"/>
    <w:rsid w:val="001136E7"/>
    <w:rsid w:val="001137C4"/>
    <w:rsid w:val="001139AF"/>
    <w:rsid w:val="00113C37"/>
    <w:rsid w:val="00114765"/>
    <w:rsid w:val="00114D24"/>
    <w:rsid w:val="0011568C"/>
    <w:rsid w:val="00115ABA"/>
    <w:rsid w:val="0011687A"/>
    <w:rsid w:val="001171B2"/>
    <w:rsid w:val="001179F2"/>
    <w:rsid w:val="00117E81"/>
    <w:rsid w:val="00117F57"/>
    <w:rsid w:val="001202C7"/>
    <w:rsid w:val="00120A66"/>
    <w:rsid w:val="00120C62"/>
    <w:rsid w:val="00121088"/>
    <w:rsid w:val="001216B1"/>
    <w:rsid w:val="0012192B"/>
    <w:rsid w:val="00121D6F"/>
    <w:rsid w:val="00121FC0"/>
    <w:rsid w:val="001224E6"/>
    <w:rsid w:val="00122724"/>
    <w:rsid w:val="00122725"/>
    <w:rsid w:val="00122AD8"/>
    <w:rsid w:val="00122B8A"/>
    <w:rsid w:val="00122B9A"/>
    <w:rsid w:val="001250AB"/>
    <w:rsid w:val="001264B8"/>
    <w:rsid w:val="00126F56"/>
    <w:rsid w:val="00127756"/>
    <w:rsid w:val="00127825"/>
    <w:rsid w:val="00127D3C"/>
    <w:rsid w:val="00127D8B"/>
    <w:rsid w:val="001311C1"/>
    <w:rsid w:val="00132398"/>
    <w:rsid w:val="00132DFB"/>
    <w:rsid w:val="0013355D"/>
    <w:rsid w:val="0013363C"/>
    <w:rsid w:val="00133F8D"/>
    <w:rsid w:val="001343D2"/>
    <w:rsid w:val="00134657"/>
    <w:rsid w:val="0013545B"/>
    <w:rsid w:val="00136AF7"/>
    <w:rsid w:val="001373D1"/>
    <w:rsid w:val="00137F6F"/>
    <w:rsid w:val="00140423"/>
    <w:rsid w:val="00140CAE"/>
    <w:rsid w:val="00140CE1"/>
    <w:rsid w:val="0014121B"/>
    <w:rsid w:val="00141AD2"/>
    <w:rsid w:val="00142681"/>
    <w:rsid w:val="001427DD"/>
    <w:rsid w:val="001429DC"/>
    <w:rsid w:val="00142CF1"/>
    <w:rsid w:val="00143130"/>
    <w:rsid w:val="0014314E"/>
    <w:rsid w:val="00143305"/>
    <w:rsid w:val="00143615"/>
    <w:rsid w:val="00143A8A"/>
    <w:rsid w:val="001449B0"/>
    <w:rsid w:val="00144A30"/>
    <w:rsid w:val="001452AA"/>
    <w:rsid w:val="001453BA"/>
    <w:rsid w:val="00145B1C"/>
    <w:rsid w:val="00145B2E"/>
    <w:rsid w:val="00145BBE"/>
    <w:rsid w:val="00145D69"/>
    <w:rsid w:val="00145FB8"/>
    <w:rsid w:val="001463A0"/>
    <w:rsid w:val="00147240"/>
    <w:rsid w:val="00147CC2"/>
    <w:rsid w:val="00147CDA"/>
    <w:rsid w:val="00150691"/>
    <w:rsid w:val="001506CF"/>
    <w:rsid w:val="001509C2"/>
    <w:rsid w:val="00152277"/>
    <w:rsid w:val="00153705"/>
    <w:rsid w:val="00153A3C"/>
    <w:rsid w:val="00153B9C"/>
    <w:rsid w:val="00153D9C"/>
    <w:rsid w:val="00154FEB"/>
    <w:rsid w:val="0015517E"/>
    <w:rsid w:val="00155545"/>
    <w:rsid w:val="0015572D"/>
    <w:rsid w:val="0015582C"/>
    <w:rsid w:val="0015612B"/>
    <w:rsid w:val="0015643B"/>
    <w:rsid w:val="00157069"/>
    <w:rsid w:val="001572ED"/>
    <w:rsid w:val="001573DA"/>
    <w:rsid w:val="00157645"/>
    <w:rsid w:val="001577D5"/>
    <w:rsid w:val="00157DD2"/>
    <w:rsid w:val="00157ECE"/>
    <w:rsid w:val="001601FE"/>
    <w:rsid w:val="0016062E"/>
    <w:rsid w:val="00161957"/>
    <w:rsid w:val="00161F31"/>
    <w:rsid w:val="00162853"/>
    <w:rsid w:val="001631AD"/>
    <w:rsid w:val="00163F83"/>
    <w:rsid w:val="00165788"/>
    <w:rsid w:val="00165BEF"/>
    <w:rsid w:val="00166040"/>
    <w:rsid w:val="00166147"/>
    <w:rsid w:val="00166717"/>
    <w:rsid w:val="00166AFA"/>
    <w:rsid w:val="00166F0A"/>
    <w:rsid w:val="0016746D"/>
    <w:rsid w:val="001678E2"/>
    <w:rsid w:val="00167E73"/>
    <w:rsid w:val="001702E6"/>
    <w:rsid w:val="00170598"/>
    <w:rsid w:val="00170C8F"/>
    <w:rsid w:val="0017128F"/>
    <w:rsid w:val="00171543"/>
    <w:rsid w:val="0017188F"/>
    <w:rsid w:val="00171BE6"/>
    <w:rsid w:val="00171D37"/>
    <w:rsid w:val="001725BC"/>
    <w:rsid w:val="0017275E"/>
    <w:rsid w:val="00172D50"/>
    <w:rsid w:val="00172E99"/>
    <w:rsid w:val="00173010"/>
    <w:rsid w:val="0017363F"/>
    <w:rsid w:val="00173D7F"/>
    <w:rsid w:val="0017476D"/>
    <w:rsid w:val="00174CC9"/>
    <w:rsid w:val="00174F23"/>
    <w:rsid w:val="0017539C"/>
    <w:rsid w:val="001753D3"/>
    <w:rsid w:val="00175AC2"/>
    <w:rsid w:val="0017609F"/>
    <w:rsid w:val="001762E6"/>
    <w:rsid w:val="00176614"/>
    <w:rsid w:val="0017709E"/>
    <w:rsid w:val="001770B6"/>
    <w:rsid w:val="001773E6"/>
    <w:rsid w:val="00177904"/>
    <w:rsid w:val="0018017B"/>
    <w:rsid w:val="00180ABD"/>
    <w:rsid w:val="00181704"/>
    <w:rsid w:val="00181EC7"/>
    <w:rsid w:val="00182450"/>
    <w:rsid w:val="00182457"/>
    <w:rsid w:val="00182F90"/>
    <w:rsid w:val="00183289"/>
    <w:rsid w:val="00183E85"/>
    <w:rsid w:val="0018495A"/>
    <w:rsid w:val="0018566A"/>
    <w:rsid w:val="00185A58"/>
    <w:rsid w:val="00185C60"/>
    <w:rsid w:val="00186465"/>
    <w:rsid w:val="001870B6"/>
    <w:rsid w:val="00187270"/>
    <w:rsid w:val="00187B09"/>
    <w:rsid w:val="001900EF"/>
    <w:rsid w:val="001901A1"/>
    <w:rsid w:val="001902ED"/>
    <w:rsid w:val="001905FD"/>
    <w:rsid w:val="001906A8"/>
    <w:rsid w:val="00190C86"/>
    <w:rsid w:val="00191F5B"/>
    <w:rsid w:val="0019329D"/>
    <w:rsid w:val="00193964"/>
    <w:rsid w:val="00193AEF"/>
    <w:rsid w:val="00193D7F"/>
    <w:rsid w:val="001945EA"/>
    <w:rsid w:val="001948E1"/>
    <w:rsid w:val="001949F5"/>
    <w:rsid w:val="0019503C"/>
    <w:rsid w:val="0019688C"/>
    <w:rsid w:val="00196B8F"/>
    <w:rsid w:val="00196BE1"/>
    <w:rsid w:val="00197C93"/>
    <w:rsid w:val="001A030C"/>
    <w:rsid w:val="001A0500"/>
    <w:rsid w:val="001A064E"/>
    <w:rsid w:val="001A071A"/>
    <w:rsid w:val="001A0867"/>
    <w:rsid w:val="001A09AB"/>
    <w:rsid w:val="001A13C6"/>
    <w:rsid w:val="001A13F2"/>
    <w:rsid w:val="001A217C"/>
    <w:rsid w:val="001A2491"/>
    <w:rsid w:val="001A29CB"/>
    <w:rsid w:val="001A2AFC"/>
    <w:rsid w:val="001A2DD3"/>
    <w:rsid w:val="001A30FA"/>
    <w:rsid w:val="001A316A"/>
    <w:rsid w:val="001A3353"/>
    <w:rsid w:val="001A386C"/>
    <w:rsid w:val="001A4448"/>
    <w:rsid w:val="001A5D63"/>
    <w:rsid w:val="001A5E6E"/>
    <w:rsid w:val="001A62E3"/>
    <w:rsid w:val="001A6652"/>
    <w:rsid w:val="001A6694"/>
    <w:rsid w:val="001A66BA"/>
    <w:rsid w:val="001A7854"/>
    <w:rsid w:val="001A7BAE"/>
    <w:rsid w:val="001A7DAA"/>
    <w:rsid w:val="001A7FEB"/>
    <w:rsid w:val="001B0FA2"/>
    <w:rsid w:val="001B12F4"/>
    <w:rsid w:val="001B1B7B"/>
    <w:rsid w:val="001B276A"/>
    <w:rsid w:val="001B2BA7"/>
    <w:rsid w:val="001B2DD7"/>
    <w:rsid w:val="001B36F0"/>
    <w:rsid w:val="001B3B7A"/>
    <w:rsid w:val="001B3ED9"/>
    <w:rsid w:val="001B40AC"/>
    <w:rsid w:val="001B42C1"/>
    <w:rsid w:val="001B58AF"/>
    <w:rsid w:val="001B5947"/>
    <w:rsid w:val="001B6571"/>
    <w:rsid w:val="001B68FA"/>
    <w:rsid w:val="001B6AF0"/>
    <w:rsid w:val="001B6D51"/>
    <w:rsid w:val="001B7091"/>
    <w:rsid w:val="001B7334"/>
    <w:rsid w:val="001C0566"/>
    <w:rsid w:val="001C064F"/>
    <w:rsid w:val="001C0691"/>
    <w:rsid w:val="001C0780"/>
    <w:rsid w:val="001C1407"/>
    <w:rsid w:val="001C16E5"/>
    <w:rsid w:val="001C18AE"/>
    <w:rsid w:val="001C1A00"/>
    <w:rsid w:val="001C24A5"/>
    <w:rsid w:val="001C2D49"/>
    <w:rsid w:val="001C2F60"/>
    <w:rsid w:val="001C30CA"/>
    <w:rsid w:val="001C37B5"/>
    <w:rsid w:val="001C43C2"/>
    <w:rsid w:val="001C47A1"/>
    <w:rsid w:val="001C4CD2"/>
    <w:rsid w:val="001C567E"/>
    <w:rsid w:val="001C577B"/>
    <w:rsid w:val="001C59DF"/>
    <w:rsid w:val="001C5A82"/>
    <w:rsid w:val="001C5C4E"/>
    <w:rsid w:val="001C5E82"/>
    <w:rsid w:val="001C5FC2"/>
    <w:rsid w:val="001C6080"/>
    <w:rsid w:val="001C628E"/>
    <w:rsid w:val="001C6301"/>
    <w:rsid w:val="001C63B9"/>
    <w:rsid w:val="001C656D"/>
    <w:rsid w:val="001C6CE6"/>
    <w:rsid w:val="001C745C"/>
    <w:rsid w:val="001C7678"/>
    <w:rsid w:val="001C77B1"/>
    <w:rsid w:val="001C7EE6"/>
    <w:rsid w:val="001D0638"/>
    <w:rsid w:val="001D1593"/>
    <w:rsid w:val="001D1A57"/>
    <w:rsid w:val="001D1F3B"/>
    <w:rsid w:val="001D235F"/>
    <w:rsid w:val="001D2416"/>
    <w:rsid w:val="001D2D8C"/>
    <w:rsid w:val="001D3DC0"/>
    <w:rsid w:val="001D3EA2"/>
    <w:rsid w:val="001D4B87"/>
    <w:rsid w:val="001D5100"/>
    <w:rsid w:val="001D573B"/>
    <w:rsid w:val="001D5EBC"/>
    <w:rsid w:val="001D6E9C"/>
    <w:rsid w:val="001D7052"/>
    <w:rsid w:val="001D72CD"/>
    <w:rsid w:val="001D7761"/>
    <w:rsid w:val="001D7B12"/>
    <w:rsid w:val="001D7FEB"/>
    <w:rsid w:val="001E0019"/>
    <w:rsid w:val="001E0F7B"/>
    <w:rsid w:val="001E189D"/>
    <w:rsid w:val="001E1AC1"/>
    <w:rsid w:val="001E1D65"/>
    <w:rsid w:val="001E2BC4"/>
    <w:rsid w:val="001E2DC6"/>
    <w:rsid w:val="001E39EF"/>
    <w:rsid w:val="001E3B5A"/>
    <w:rsid w:val="001E3C76"/>
    <w:rsid w:val="001E3E34"/>
    <w:rsid w:val="001E4C2D"/>
    <w:rsid w:val="001E5F00"/>
    <w:rsid w:val="001E66E2"/>
    <w:rsid w:val="001E6BC3"/>
    <w:rsid w:val="001E6BE5"/>
    <w:rsid w:val="001E7B3F"/>
    <w:rsid w:val="001F0045"/>
    <w:rsid w:val="001F0129"/>
    <w:rsid w:val="001F0354"/>
    <w:rsid w:val="001F04DA"/>
    <w:rsid w:val="001F08C3"/>
    <w:rsid w:val="001F0A2B"/>
    <w:rsid w:val="001F0AA7"/>
    <w:rsid w:val="001F0C93"/>
    <w:rsid w:val="001F162A"/>
    <w:rsid w:val="001F2326"/>
    <w:rsid w:val="001F289E"/>
    <w:rsid w:val="001F2AEE"/>
    <w:rsid w:val="001F458B"/>
    <w:rsid w:val="001F4955"/>
    <w:rsid w:val="001F501C"/>
    <w:rsid w:val="001F52C8"/>
    <w:rsid w:val="001F54A4"/>
    <w:rsid w:val="001F5D3E"/>
    <w:rsid w:val="001F613A"/>
    <w:rsid w:val="001F61C9"/>
    <w:rsid w:val="001F65E2"/>
    <w:rsid w:val="001F6E8B"/>
    <w:rsid w:val="001F777E"/>
    <w:rsid w:val="00200431"/>
    <w:rsid w:val="00200697"/>
    <w:rsid w:val="00201A26"/>
    <w:rsid w:val="002029BD"/>
    <w:rsid w:val="00202A0A"/>
    <w:rsid w:val="002032D5"/>
    <w:rsid w:val="002038A4"/>
    <w:rsid w:val="002039FB"/>
    <w:rsid w:val="00203A5C"/>
    <w:rsid w:val="00203F0F"/>
    <w:rsid w:val="00204246"/>
    <w:rsid w:val="002042D9"/>
    <w:rsid w:val="002042FC"/>
    <w:rsid w:val="0020485E"/>
    <w:rsid w:val="00205267"/>
    <w:rsid w:val="00205674"/>
    <w:rsid w:val="00205768"/>
    <w:rsid w:val="002058FE"/>
    <w:rsid w:val="0020696D"/>
    <w:rsid w:val="00206B2B"/>
    <w:rsid w:val="002070E3"/>
    <w:rsid w:val="002074E5"/>
    <w:rsid w:val="0020756D"/>
    <w:rsid w:val="00210C5D"/>
    <w:rsid w:val="00210C72"/>
    <w:rsid w:val="002115C7"/>
    <w:rsid w:val="002119FD"/>
    <w:rsid w:val="00211A65"/>
    <w:rsid w:val="00211FB4"/>
    <w:rsid w:val="00211FE5"/>
    <w:rsid w:val="002122C8"/>
    <w:rsid w:val="00212CAA"/>
    <w:rsid w:val="00212FA3"/>
    <w:rsid w:val="002130E0"/>
    <w:rsid w:val="00213A8F"/>
    <w:rsid w:val="002143A3"/>
    <w:rsid w:val="00214B9C"/>
    <w:rsid w:val="00214D9D"/>
    <w:rsid w:val="0021519A"/>
    <w:rsid w:val="002156E2"/>
    <w:rsid w:val="00215F9D"/>
    <w:rsid w:val="002163A6"/>
    <w:rsid w:val="0021649B"/>
    <w:rsid w:val="0021769C"/>
    <w:rsid w:val="0022016E"/>
    <w:rsid w:val="00220795"/>
    <w:rsid w:val="002214BA"/>
    <w:rsid w:val="00221E3D"/>
    <w:rsid w:val="002226AD"/>
    <w:rsid w:val="00222A9C"/>
    <w:rsid w:val="00223394"/>
    <w:rsid w:val="0022373A"/>
    <w:rsid w:val="00223C3F"/>
    <w:rsid w:val="00223F7C"/>
    <w:rsid w:val="00224A06"/>
    <w:rsid w:val="0022546A"/>
    <w:rsid w:val="002257A2"/>
    <w:rsid w:val="002259A6"/>
    <w:rsid w:val="00225EA2"/>
    <w:rsid w:val="00227201"/>
    <w:rsid w:val="002274EB"/>
    <w:rsid w:val="002279E6"/>
    <w:rsid w:val="00227D54"/>
    <w:rsid w:val="00227E6E"/>
    <w:rsid w:val="00230092"/>
    <w:rsid w:val="002300FD"/>
    <w:rsid w:val="00230AFF"/>
    <w:rsid w:val="00230FA1"/>
    <w:rsid w:val="00231437"/>
    <w:rsid w:val="00231502"/>
    <w:rsid w:val="002315B7"/>
    <w:rsid w:val="00231B1B"/>
    <w:rsid w:val="00231BCB"/>
    <w:rsid w:val="00231C39"/>
    <w:rsid w:val="00231CF2"/>
    <w:rsid w:val="00232F87"/>
    <w:rsid w:val="00233177"/>
    <w:rsid w:val="0023317A"/>
    <w:rsid w:val="00233605"/>
    <w:rsid w:val="0023376F"/>
    <w:rsid w:val="00234CF8"/>
    <w:rsid w:val="00234E5C"/>
    <w:rsid w:val="002352F1"/>
    <w:rsid w:val="00235917"/>
    <w:rsid w:val="00235C58"/>
    <w:rsid w:val="00236397"/>
    <w:rsid w:val="0023654B"/>
    <w:rsid w:val="0023683A"/>
    <w:rsid w:val="00237BB2"/>
    <w:rsid w:val="0024091A"/>
    <w:rsid w:val="00240B92"/>
    <w:rsid w:val="00241AC1"/>
    <w:rsid w:val="00241C79"/>
    <w:rsid w:val="00241FA3"/>
    <w:rsid w:val="002422A7"/>
    <w:rsid w:val="00242F33"/>
    <w:rsid w:val="002439D2"/>
    <w:rsid w:val="0024440B"/>
    <w:rsid w:val="0024469D"/>
    <w:rsid w:val="00244AF4"/>
    <w:rsid w:val="00245D8B"/>
    <w:rsid w:val="00246EA4"/>
    <w:rsid w:val="00247287"/>
    <w:rsid w:val="0025003C"/>
    <w:rsid w:val="002500C6"/>
    <w:rsid w:val="002502E2"/>
    <w:rsid w:val="002506D6"/>
    <w:rsid w:val="00250AA8"/>
    <w:rsid w:val="00250CAB"/>
    <w:rsid w:val="00250F9D"/>
    <w:rsid w:val="0025138C"/>
    <w:rsid w:val="00251842"/>
    <w:rsid w:val="00251F5B"/>
    <w:rsid w:val="002525A7"/>
    <w:rsid w:val="00252A68"/>
    <w:rsid w:val="00252A75"/>
    <w:rsid w:val="00252C2A"/>
    <w:rsid w:val="002534CB"/>
    <w:rsid w:val="00253C58"/>
    <w:rsid w:val="00254224"/>
    <w:rsid w:val="002558B9"/>
    <w:rsid w:val="002560A2"/>
    <w:rsid w:val="002564F9"/>
    <w:rsid w:val="0025697D"/>
    <w:rsid w:val="00256F5B"/>
    <w:rsid w:val="002573DC"/>
    <w:rsid w:val="0026023A"/>
    <w:rsid w:val="00260DDB"/>
    <w:rsid w:val="00261536"/>
    <w:rsid w:val="00261599"/>
    <w:rsid w:val="002616AC"/>
    <w:rsid w:val="00262010"/>
    <w:rsid w:val="002620D2"/>
    <w:rsid w:val="0026242F"/>
    <w:rsid w:val="00262685"/>
    <w:rsid w:val="00262E0A"/>
    <w:rsid w:val="00262F02"/>
    <w:rsid w:val="00263027"/>
    <w:rsid w:val="002639B7"/>
    <w:rsid w:val="00264036"/>
    <w:rsid w:val="0026425D"/>
    <w:rsid w:val="002649E9"/>
    <w:rsid w:val="0026533B"/>
    <w:rsid w:val="00265875"/>
    <w:rsid w:val="00266440"/>
    <w:rsid w:val="0026707C"/>
    <w:rsid w:val="0026716A"/>
    <w:rsid w:val="00267454"/>
    <w:rsid w:val="00267AD6"/>
    <w:rsid w:val="002702D4"/>
    <w:rsid w:val="00270D7A"/>
    <w:rsid w:val="002721D1"/>
    <w:rsid w:val="0027303B"/>
    <w:rsid w:val="00273504"/>
    <w:rsid w:val="00273640"/>
    <w:rsid w:val="00273B29"/>
    <w:rsid w:val="00273F43"/>
    <w:rsid w:val="002741CF"/>
    <w:rsid w:val="002746F2"/>
    <w:rsid w:val="00274EB1"/>
    <w:rsid w:val="002753A3"/>
    <w:rsid w:val="00275689"/>
    <w:rsid w:val="002757CC"/>
    <w:rsid w:val="00276273"/>
    <w:rsid w:val="002762FD"/>
    <w:rsid w:val="00277753"/>
    <w:rsid w:val="00277DF7"/>
    <w:rsid w:val="0028109B"/>
    <w:rsid w:val="002810A1"/>
    <w:rsid w:val="0028127C"/>
    <w:rsid w:val="002818C2"/>
    <w:rsid w:val="00281EF4"/>
    <w:rsid w:val="00282BC2"/>
    <w:rsid w:val="00282DC1"/>
    <w:rsid w:val="0028353F"/>
    <w:rsid w:val="0028367F"/>
    <w:rsid w:val="002838CD"/>
    <w:rsid w:val="00283B5F"/>
    <w:rsid w:val="00283CD7"/>
    <w:rsid w:val="0028442A"/>
    <w:rsid w:val="00284487"/>
    <w:rsid w:val="00284AFF"/>
    <w:rsid w:val="00284E11"/>
    <w:rsid w:val="00285128"/>
    <w:rsid w:val="002856FD"/>
    <w:rsid w:val="00285C3A"/>
    <w:rsid w:val="00286942"/>
    <w:rsid w:val="00286FCA"/>
    <w:rsid w:val="00287217"/>
    <w:rsid w:val="00287256"/>
    <w:rsid w:val="00287591"/>
    <w:rsid w:val="002877D4"/>
    <w:rsid w:val="002908CA"/>
    <w:rsid w:val="00290C5B"/>
    <w:rsid w:val="0029124F"/>
    <w:rsid w:val="002918F2"/>
    <w:rsid w:val="0029191C"/>
    <w:rsid w:val="00291E03"/>
    <w:rsid w:val="00292686"/>
    <w:rsid w:val="00292796"/>
    <w:rsid w:val="002928BE"/>
    <w:rsid w:val="00292A47"/>
    <w:rsid w:val="00292FEB"/>
    <w:rsid w:val="002934A2"/>
    <w:rsid w:val="002942E9"/>
    <w:rsid w:val="0029451E"/>
    <w:rsid w:val="00294628"/>
    <w:rsid w:val="00294A68"/>
    <w:rsid w:val="00294DC1"/>
    <w:rsid w:val="00294EED"/>
    <w:rsid w:val="00294F70"/>
    <w:rsid w:val="00295484"/>
    <w:rsid w:val="00295659"/>
    <w:rsid w:val="00295CF1"/>
    <w:rsid w:val="00295D48"/>
    <w:rsid w:val="00295F5A"/>
    <w:rsid w:val="002965FC"/>
    <w:rsid w:val="00296667"/>
    <w:rsid w:val="00296678"/>
    <w:rsid w:val="00296930"/>
    <w:rsid w:val="002970EC"/>
    <w:rsid w:val="00297599"/>
    <w:rsid w:val="00297C74"/>
    <w:rsid w:val="00297ECF"/>
    <w:rsid w:val="002A0C57"/>
    <w:rsid w:val="002A1897"/>
    <w:rsid w:val="002A199F"/>
    <w:rsid w:val="002A2109"/>
    <w:rsid w:val="002A30A5"/>
    <w:rsid w:val="002A3CEF"/>
    <w:rsid w:val="002A4126"/>
    <w:rsid w:val="002A45D1"/>
    <w:rsid w:val="002A47F2"/>
    <w:rsid w:val="002A4A7D"/>
    <w:rsid w:val="002A50A1"/>
    <w:rsid w:val="002A5A63"/>
    <w:rsid w:val="002A63D9"/>
    <w:rsid w:val="002A6A0C"/>
    <w:rsid w:val="002A6B53"/>
    <w:rsid w:val="002A6C8D"/>
    <w:rsid w:val="002A7759"/>
    <w:rsid w:val="002A7812"/>
    <w:rsid w:val="002B07DF"/>
    <w:rsid w:val="002B10BD"/>
    <w:rsid w:val="002B1F58"/>
    <w:rsid w:val="002B21D4"/>
    <w:rsid w:val="002B274B"/>
    <w:rsid w:val="002B3C35"/>
    <w:rsid w:val="002B447E"/>
    <w:rsid w:val="002B454F"/>
    <w:rsid w:val="002B4605"/>
    <w:rsid w:val="002B478B"/>
    <w:rsid w:val="002B4AE9"/>
    <w:rsid w:val="002B55BB"/>
    <w:rsid w:val="002B58F6"/>
    <w:rsid w:val="002B6118"/>
    <w:rsid w:val="002B687F"/>
    <w:rsid w:val="002B68AF"/>
    <w:rsid w:val="002B736C"/>
    <w:rsid w:val="002B7853"/>
    <w:rsid w:val="002B797A"/>
    <w:rsid w:val="002C0314"/>
    <w:rsid w:val="002C071F"/>
    <w:rsid w:val="002C0C6C"/>
    <w:rsid w:val="002C0F27"/>
    <w:rsid w:val="002C15F2"/>
    <w:rsid w:val="002C1C7A"/>
    <w:rsid w:val="002C297D"/>
    <w:rsid w:val="002C2DD2"/>
    <w:rsid w:val="002C2E8B"/>
    <w:rsid w:val="002C39C0"/>
    <w:rsid w:val="002C3B3C"/>
    <w:rsid w:val="002C4BD9"/>
    <w:rsid w:val="002C4D62"/>
    <w:rsid w:val="002C4EEF"/>
    <w:rsid w:val="002C5178"/>
    <w:rsid w:val="002C54AE"/>
    <w:rsid w:val="002C5B8A"/>
    <w:rsid w:val="002C69E6"/>
    <w:rsid w:val="002C6D66"/>
    <w:rsid w:val="002C6FAF"/>
    <w:rsid w:val="002C74A5"/>
    <w:rsid w:val="002C7A27"/>
    <w:rsid w:val="002C7E8A"/>
    <w:rsid w:val="002D0D72"/>
    <w:rsid w:val="002D0DE3"/>
    <w:rsid w:val="002D160C"/>
    <w:rsid w:val="002D37B7"/>
    <w:rsid w:val="002D464B"/>
    <w:rsid w:val="002D50B7"/>
    <w:rsid w:val="002D54C6"/>
    <w:rsid w:val="002D64AC"/>
    <w:rsid w:val="002D6C39"/>
    <w:rsid w:val="002D6CEC"/>
    <w:rsid w:val="002D6F5B"/>
    <w:rsid w:val="002D7067"/>
    <w:rsid w:val="002D7603"/>
    <w:rsid w:val="002D76AD"/>
    <w:rsid w:val="002D7702"/>
    <w:rsid w:val="002D7A01"/>
    <w:rsid w:val="002D7E22"/>
    <w:rsid w:val="002D7E5E"/>
    <w:rsid w:val="002D7F19"/>
    <w:rsid w:val="002D7F2C"/>
    <w:rsid w:val="002E05E6"/>
    <w:rsid w:val="002E13B8"/>
    <w:rsid w:val="002E15E7"/>
    <w:rsid w:val="002E19E3"/>
    <w:rsid w:val="002E2120"/>
    <w:rsid w:val="002E22C3"/>
    <w:rsid w:val="002E2C64"/>
    <w:rsid w:val="002E335F"/>
    <w:rsid w:val="002E36E6"/>
    <w:rsid w:val="002E44EA"/>
    <w:rsid w:val="002E4DA6"/>
    <w:rsid w:val="002E56CE"/>
    <w:rsid w:val="002E59F6"/>
    <w:rsid w:val="002E5A76"/>
    <w:rsid w:val="002E7333"/>
    <w:rsid w:val="002E7FDE"/>
    <w:rsid w:val="002F067F"/>
    <w:rsid w:val="002F085B"/>
    <w:rsid w:val="002F0DE3"/>
    <w:rsid w:val="002F117B"/>
    <w:rsid w:val="002F121E"/>
    <w:rsid w:val="002F1292"/>
    <w:rsid w:val="002F1496"/>
    <w:rsid w:val="002F1DC6"/>
    <w:rsid w:val="002F2FD0"/>
    <w:rsid w:val="002F321E"/>
    <w:rsid w:val="002F3628"/>
    <w:rsid w:val="002F37C1"/>
    <w:rsid w:val="002F37F1"/>
    <w:rsid w:val="002F3DDC"/>
    <w:rsid w:val="002F46E2"/>
    <w:rsid w:val="002F4E12"/>
    <w:rsid w:val="002F699A"/>
    <w:rsid w:val="002F6D53"/>
    <w:rsid w:val="002F6D8C"/>
    <w:rsid w:val="002F7375"/>
    <w:rsid w:val="002F7991"/>
    <w:rsid w:val="00300306"/>
    <w:rsid w:val="00300507"/>
    <w:rsid w:val="0030160F"/>
    <w:rsid w:val="003019A0"/>
    <w:rsid w:val="00301A56"/>
    <w:rsid w:val="00302523"/>
    <w:rsid w:val="00302A22"/>
    <w:rsid w:val="00302B1A"/>
    <w:rsid w:val="003035BD"/>
    <w:rsid w:val="00303CCC"/>
    <w:rsid w:val="00304294"/>
    <w:rsid w:val="003051CD"/>
    <w:rsid w:val="00305D17"/>
    <w:rsid w:val="0030625F"/>
    <w:rsid w:val="00306E07"/>
    <w:rsid w:val="00306F16"/>
    <w:rsid w:val="003077EE"/>
    <w:rsid w:val="0031017D"/>
    <w:rsid w:val="003102D6"/>
    <w:rsid w:val="0031070E"/>
    <w:rsid w:val="00310CD4"/>
    <w:rsid w:val="003111C9"/>
    <w:rsid w:val="003111E5"/>
    <w:rsid w:val="0031134A"/>
    <w:rsid w:val="00311532"/>
    <w:rsid w:val="00311745"/>
    <w:rsid w:val="003121E3"/>
    <w:rsid w:val="00312779"/>
    <w:rsid w:val="003130E9"/>
    <w:rsid w:val="0031311C"/>
    <w:rsid w:val="00314AB3"/>
    <w:rsid w:val="00315CB6"/>
    <w:rsid w:val="00316825"/>
    <w:rsid w:val="0031684D"/>
    <w:rsid w:val="0031790C"/>
    <w:rsid w:val="003200DC"/>
    <w:rsid w:val="003204CE"/>
    <w:rsid w:val="00320B21"/>
    <w:rsid w:val="00320D22"/>
    <w:rsid w:val="00320DDE"/>
    <w:rsid w:val="00321362"/>
    <w:rsid w:val="00321584"/>
    <w:rsid w:val="00321B9C"/>
    <w:rsid w:val="00322613"/>
    <w:rsid w:val="00322A52"/>
    <w:rsid w:val="00322C17"/>
    <w:rsid w:val="00322D0D"/>
    <w:rsid w:val="00322D20"/>
    <w:rsid w:val="00322E70"/>
    <w:rsid w:val="0032355A"/>
    <w:rsid w:val="00323967"/>
    <w:rsid w:val="0032422C"/>
    <w:rsid w:val="003249D5"/>
    <w:rsid w:val="003250C6"/>
    <w:rsid w:val="00325279"/>
    <w:rsid w:val="0032558F"/>
    <w:rsid w:val="00325F0E"/>
    <w:rsid w:val="0032611D"/>
    <w:rsid w:val="00326677"/>
    <w:rsid w:val="003268A1"/>
    <w:rsid w:val="0032741D"/>
    <w:rsid w:val="003277DF"/>
    <w:rsid w:val="00327A6D"/>
    <w:rsid w:val="0033038F"/>
    <w:rsid w:val="003309BD"/>
    <w:rsid w:val="00330EE8"/>
    <w:rsid w:val="0033122A"/>
    <w:rsid w:val="00332099"/>
    <w:rsid w:val="0033223E"/>
    <w:rsid w:val="003323A0"/>
    <w:rsid w:val="003323CA"/>
    <w:rsid w:val="00332AAA"/>
    <w:rsid w:val="00333AD3"/>
    <w:rsid w:val="00334699"/>
    <w:rsid w:val="00334AF3"/>
    <w:rsid w:val="00334F08"/>
    <w:rsid w:val="00335675"/>
    <w:rsid w:val="0033600B"/>
    <w:rsid w:val="003364B4"/>
    <w:rsid w:val="003365B7"/>
    <w:rsid w:val="00336641"/>
    <w:rsid w:val="00336899"/>
    <w:rsid w:val="00336ADA"/>
    <w:rsid w:val="00336D8A"/>
    <w:rsid w:val="00337009"/>
    <w:rsid w:val="00337246"/>
    <w:rsid w:val="0033762C"/>
    <w:rsid w:val="00337E69"/>
    <w:rsid w:val="003401E8"/>
    <w:rsid w:val="00340211"/>
    <w:rsid w:val="00340607"/>
    <w:rsid w:val="00340AD4"/>
    <w:rsid w:val="00340EBD"/>
    <w:rsid w:val="00341680"/>
    <w:rsid w:val="00341817"/>
    <w:rsid w:val="0034182F"/>
    <w:rsid w:val="003418F3"/>
    <w:rsid w:val="00341FA6"/>
    <w:rsid w:val="003422EA"/>
    <w:rsid w:val="00342EDD"/>
    <w:rsid w:val="003430CA"/>
    <w:rsid w:val="00343703"/>
    <w:rsid w:val="0034398E"/>
    <w:rsid w:val="00344B4A"/>
    <w:rsid w:val="00345A1B"/>
    <w:rsid w:val="00345ACF"/>
    <w:rsid w:val="00345F60"/>
    <w:rsid w:val="00346504"/>
    <w:rsid w:val="00346828"/>
    <w:rsid w:val="00346AED"/>
    <w:rsid w:val="00346DA0"/>
    <w:rsid w:val="003502D0"/>
    <w:rsid w:val="003503D6"/>
    <w:rsid w:val="00350C94"/>
    <w:rsid w:val="0035100E"/>
    <w:rsid w:val="00351254"/>
    <w:rsid w:val="00352D54"/>
    <w:rsid w:val="003535E5"/>
    <w:rsid w:val="00353642"/>
    <w:rsid w:val="0035555F"/>
    <w:rsid w:val="003556D3"/>
    <w:rsid w:val="003569A9"/>
    <w:rsid w:val="00356EE1"/>
    <w:rsid w:val="003601E2"/>
    <w:rsid w:val="00360556"/>
    <w:rsid w:val="00360BDB"/>
    <w:rsid w:val="00361A59"/>
    <w:rsid w:val="00362DBC"/>
    <w:rsid w:val="0036331B"/>
    <w:rsid w:val="00363757"/>
    <w:rsid w:val="00364129"/>
    <w:rsid w:val="003647F7"/>
    <w:rsid w:val="003650AE"/>
    <w:rsid w:val="003650BB"/>
    <w:rsid w:val="003653F0"/>
    <w:rsid w:val="003656A7"/>
    <w:rsid w:val="00365CB4"/>
    <w:rsid w:val="00365EB8"/>
    <w:rsid w:val="003661AD"/>
    <w:rsid w:val="00366D61"/>
    <w:rsid w:val="00367B82"/>
    <w:rsid w:val="0037002F"/>
    <w:rsid w:val="0037066B"/>
    <w:rsid w:val="00370AAC"/>
    <w:rsid w:val="003713F5"/>
    <w:rsid w:val="00371DE4"/>
    <w:rsid w:val="00371FC0"/>
    <w:rsid w:val="003721A3"/>
    <w:rsid w:val="0037360A"/>
    <w:rsid w:val="00373677"/>
    <w:rsid w:val="00373C37"/>
    <w:rsid w:val="003743BC"/>
    <w:rsid w:val="00374EDF"/>
    <w:rsid w:val="00375257"/>
    <w:rsid w:val="0037618E"/>
    <w:rsid w:val="0037721B"/>
    <w:rsid w:val="00377439"/>
    <w:rsid w:val="003774B3"/>
    <w:rsid w:val="00380F00"/>
    <w:rsid w:val="00381833"/>
    <w:rsid w:val="00381DE7"/>
    <w:rsid w:val="00382644"/>
    <w:rsid w:val="003829E6"/>
    <w:rsid w:val="00382BBA"/>
    <w:rsid w:val="00382D49"/>
    <w:rsid w:val="00383470"/>
    <w:rsid w:val="0038366E"/>
    <w:rsid w:val="003837B0"/>
    <w:rsid w:val="00383DBC"/>
    <w:rsid w:val="00384558"/>
    <w:rsid w:val="00385328"/>
    <w:rsid w:val="00385C10"/>
    <w:rsid w:val="00386643"/>
    <w:rsid w:val="00386843"/>
    <w:rsid w:val="00386A24"/>
    <w:rsid w:val="00386D58"/>
    <w:rsid w:val="00386E17"/>
    <w:rsid w:val="0038710F"/>
    <w:rsid w:val="0038754C"/>
    <w:rsid w:val="003878CA"/>
    <w:rsid w:val="003901DA"/>
    <w:rsid w:val="00390394"/>
    <w:rsid w:val="00390451"/>
    <w:rsid w:val="0039088D"/>
    <w:rsid w:val="003910CB"/>
    <w:rsid w:val="00392A49"/>
    <w:rsid w:val="00393012"/>
    <w:rsid w:val="003930B3"/>
    <w:rsid w:val="00393238"/>
    <w:rsid w:val="003938C6"/>
    <w:rsid w:val="00393FB2"/>
    <w:rsid w:val="003942D4"/>
    <w:rsid w:val="00394D57"/>
    <w:rsid w:val="00395210"/>
    <w:rsid w:val="0039523B"/>
    <w:rsid w:val="00395439"/>
    <w:rsid w:val="003958A8"/>
    <w:rsid w:val="00396439"/>
    <w:rsid w:val="003966D7"/>
    <w:rsid w:val="00396E01"/>
    <w:rsid w:val="00396F06"/>
    <w:rsid w:val="0039718D"/>
    <w:rsid w:val="00397937"/>
    <w:rsid w:val="003A01C5"/>
    <w:rsid w:val="003A034C"/>
    <w:rsid w:val="003A03B8"/>
    <w:rsid w:val="003A0471"/>
    <w:rsid w:val="003A063D"/>
    <w:rsid w:val="003A072F"/>
    <w:rsid w:val="003A1D36"/>
    <w:rsid w:val="003A23CF"/>
    <w:rsid w:val="003A3104"/>
    <w:rsid w:val="003A3D35"/>
    <w:rsid w:val="003A40AA"/>
    <w:rsid w:val="003A41C5"/>
    <w:rsid w:val="003A44F9"/>
    <w:rsid w:val="003A48FD"/>
    <w:rsid w:val="003A5446"/>
    <w:rsid w:val="003A585D"/>
    <w:rsid w:val="003A65C0"/>
    <w:rsid w:val="003A694A"/>
    <w:rsid w:val="003A6956"/>
    <w:rsid w:val="003A7EEA"/>
    <w:rsid w:val="003B199B"/>
    <w:rsid w:val="003B1E4F"/>
    <w:rsid w:val="003B1FBE"/>
    <w:rsid w:val="003B2476"/>
    <w:rsid w:val="003B24FD"/>
    <w:rsid w:val="003B2C52"/>
    <w:rsid w:val="003B3060"/>
    <w:rsid w:val="003B37C4"/>
    <w:rsid w:val="003B3A8B"/>
    <w:rsid w:val="003B4793"/>
    <w:rsid w:val="003B4C9B"/>
    <w:rsid w:val="003B4DD2"/>
    <w:rsid w:val="003B536C"/>
    <w:rsid w:val="003B57D4"/>
    <w:rsid w:val="003B59E2"/>
    <w:rsid w:val="003B620C"/>
    <w:rsid w:val="003B769A"/>
    <w:rsid w:val="003B7E8E"/>
    <w:rsid w:val="003C0740"/>
    <w:rsid w:val="003C076E"/>
    <w:rsid w:val="003C157E"/>
    <w:rsid w:val="003C1E2A"/>
    <w:rsid w:val="003C243E"/>
    <w:rsid w:val="003C2D58"/>
    <w:rsid w:val="003C2DE9"/>
    <w:rsid w:val="003C2EDC"/>
    <w:rsid w:val="003C4507"/>
    <w:rsid w:val="003C4E71"/>
    <w:rsid w:val="003C4EF8"/>
    <w:rsid w:val="003C5125"/>
    <w:rsid w:val="003C548D"/>
    <w:rsid w:val="003C55D8"/>
    <w:rsid w:val="003C55E5"/>
    <w:rsid w:val="003C5A24"/>
    <w:rsid w:val="003C5C74"/>
    <w:rsid w:val="003C7122"/>
    <w:rsid w:val="003C79E0"/>
    <w:rsid w:val="003D053D"/>
    <w:rsid w:val="003D092F"/>
    <w:rsid w:val="003D0C8F"/>
    <w:rsid w:val="003D0DB7"/>
    <w:rsid w:val="003D1970"/>
    <w:rsid w:val="003D2130"/>
    <w:rsid w:val="003D29B1"/>
    <w:rsid w:val="003D2AA4"/>
    <w:rsid w:val="003D2D1A"/>
    <w:rsid w:val="003D2D3A"/>
    <w:rsid w:val="003D31D4"/>
    <w:rsid w:val="003D31F2"/>
    <w:rsid w:val="003D37B1"/>
    <w:rsid w:val="003D3F53"/>
    <w:rsid w:val="003D4F3D"/>
    <w:rsid w:val="003D51D7"/>
    <w:rsid w:val="003D51EC"/>
    <w:rsid w:val="003D7899"/>
    <w:rsid w:val="003D789A"/>
    <w:rsid w:val="003D7C98"/>
    <w:rsid w:val="003E01A3"/>
    <w:rsid w:val="003E04EB"/>
    <w:rsid w:val="003E0642"/>
    <w:rsid w:val="003E0A9F"/>
    <w:rsid w:val="003E0EC2"/>
    <w:rsid w:val="003E0F00"/>
    <w:rsid w:val="003E17A1"/>
    <w:rsid w:val="003E2B56"/>
    <w:rsid w:val="003E2BDB"/>
    <w:rsid w:val="003E338B"/>
    <w:rsid w:val="003E3A58"/>
    <w:rsid w:val="003E3A99"/>
    <w:rsid w:val="003E3E39"/>
    <w:rsid w:val="003E4096"/>
    <w:rsid w:val="003E4412"/>
    <w:rsid w:val="003E455A"/>
    <w:rsid w:val="003E4ACF"/>
    <w:rsid w:val="003E4C58"/>
    <w:rsid w:val="003E5D14"/>
    <w:rsid w:val="003E61B9"/>
    <w:rsid w:val="003E71E4"/>
    <w:rsid w:val="003E794C"/>
    <w:rsid w:val="003E7E8A"/>
    <w:rsid w:val="003F07F6"/>
    <w:rsid w:val="003F0A24"/>
    <w:rsid w:val="003F0B6C"/>
    <w:rsid w:val="003F181E"/>
    <w:rsid w:val="003F1AD7"/>
    <w:rsid w:val="003F1C9C"/>
    <w:rsid w:val="003F1CB8"/>
    <w:rsid w:val="003F298D"/>
    <w:rsid w:val="003F2DED"/>
    <w:rsid w:val="003F3364"/>
    <w:rsid w:val="003F36F0"/>
    <w:rsid w:val="003F420F"/>
    <w:rsid w:val="003F531D"/>
    <w:rsid w:val="003F59E7"/>
    <w:rsid w:val="003F6048"/>
    <w:rsid w:val="003F640B"/>
    <w:rsid w:val="003F68B7"/>
    <w:rsid w:val="003F6A69"/>
    <w:rsid w:val="003F74FA"/>
    <w:rsid w:val="004009E9"/>
    <w:rsid w:val="00401641"/>
    <w:rsid w:val="004037B0"/>
    <w:rsid w:val="00403835"/>
    <w:rsid w:val="0040435A"/>
    <w:rsid w:val="0040468E"/>
    <w:rsid w:val="0040527C"/>
    <w:rsid w:val="0040529D"/>
    <w:rsid w:val="00405472"/>
    <w:rsid w:val="004057FE"/>
    <w:rsid w:val="00405EF1"/>
    <w:rsid w:val="00406641"/>
    <w:rsid w:val="00406EAC"/>
    <w:rsid w:val="00407287"/>
    <w:rsid w:val="004072A9"/>
    <w:rsid w:val="004077B8"/>
    <w:rsid w:val="00407889"/>
    <w:rsid w:val="00407FF6"/>
    <w:rsid w:val="004114B0"/>
    <w:rsid w:val="0041159C"/>
    <w:rsid w:val="004115BB"/>
    <w:rsid w:val="00411824"/>
    <w:rsid w:val="0041284F"/>
    <w:rsid w:val="00412B8E"/>
    <w:rsid w:val="004133DB"/>
    <w:rsid w:val="00413613"/>
    <w:rsid w:val="0041376E"/>
    <w:rsid w:val="004139C1"/>
    <w:rsid w:val="00413A3C"/>
    <w:rsid w:val="00413C48"/>
    <w:rsid w:val="0041589C"/>
    <w:rsid w:val="004158DD"/>
    <w:rsid w:val="00415AA4"/>
    <w:rsid w:val="00415E94"/>
    <w:rsid w:val="00416089"/>
    <w:rsid w:val="00417D3C"/>
    <w:rsid w:val="004206B9"/>
    <w:rsid w:val="00420CCE"/>
    <w:rsid w:val="00420EB1"/>
    <w:rsid w:val="00421B13"/>
    <w:rsid w:val="004223F2"/>
    <w:rsid w:val="004224A3"/>
    <w:rsid w:val="00422869"/>
    <w:rsid w:val="00422870"/>
    <w:rsid w:val="00422ED8"/>
    <w:rsid w:val="004239A3"/>
    <w:rsid w:val="00424990"/>
    <w:rsid w:val="00424DD4"/>
    <w:rsid w:val="00425004"/>
    <w:rsid w:val="004253CE"/>
    <w:rsid w:val="0042562F"/>
    <w:rsid w:val="00425B4F"/>
    <w:rsid w:val="0042612F"/>
    <w:rsid w:val="004269D4"/>
    <w:rsid w:val="004270D2"/>
    <w:rsid w:val="0042710D"/>
    <w:rsid w:val="00427941"/>
    <w:rsid w:val="00427AAA"/>
    <w:rsid w:val="00427FE8"/>
    <w:rsid w:val="0043043D"/>
    <w:rsid w:val="00431D97"/>
    <w:rsid w:val="00431D9E"/>
    <w:rsid w:val="004324FE"/>
    <w:rsid w:val="00432A53"/>
    <w:rsid w:val="00432B3E"/>
    <w:rsid w:val="0043334A"/>
    <w:rsid w:val="0043389D"/>
    <w:rsid w:val="00433CE8"/>
    <w:rsid w:val="00433FE9"/>
    <w:rsid w:val="0043416A"/>
    <w:rsid w:val="004345F3"/>
    <w:rsid w:val="00434A5C"/>
    <w:rsid w:val="00434BE2"/>
    <w:rsid w:val="00434C5C"/>
    <w:rsid w:val="00434CD6"/>
    <w:rsid w:val="00434E0F"/>
    <w:rsid w:val="004353B0"/>
    <w:rsid w:val="004353D5"/>
    <w:rsid w:val="004357E9"/>
    <w:rsid w:val="00435A1A"/>
    <w:rsid w:val="00435B69"/>
    <w:rsid w:val="00435DD0"/>
    <w:rsid w:val="00436260"/>
    <w:rsid w:val="00436B63"/>
    <w:rsid w:val="00437011"/>
    <w:rsid w:val="004372CE"/>
    <w:rsid w:val="00437CF2"/>
    <w:rsid w:val="00440403"/>
    <w:rsid w:val="0044065F"/>
    <w:rsid w:val="004425AA"/>
    <w:rsid w:val="00442986"/>
    <w:rsid w:val="00443E7F"/>
    <w:rsid w:val="004443FB"/>
    <w:rsid w:val="00444653"/>
    <w:rsid w:val="004454EE"/>
    <w:rsid w:val="004456F1"/>
    <w:rsid w:val="00445819"/>
    <w:rsid w:val="00446B7A"/>
    <w:rsid w:val="00447753"/>
    <w:rsid w:val="00447F01"/>
    <w:rsid w:val="0045089E"/>
    <w:rsid w:val="00451382"/>
    <w:rsid w:val="00451448"/>
    <w:rsid w:val="0045188E"/>
    <w:rsid w:val="00451977"/>
    <w:rsid w:val="00452491"/>
    <w:rsid w:val="00452FD0"/>
    <w:rsid w:val="00453092"/>
    <w:rsid w:val="0045410A"/>
    <w:rsid w:val="004544D9"/>
    <w:rsid w:val="00454D42"/>
    <w:rsid w:val="00455C4A"/>
    <w:rsid w:val="004561D1"/>
    <w:rsid w:val="004564CB"/>
    <w:rsid w:val="00456E9A"/>
    <w:rsid w:val="00457280"/>
    <w:rsid w:val="00457C1F"/>
    <w:rsid w:val="004607DD"/>
    <w:rsid w:val="00460A04"/>
    <w:rsid w:val="00461506"/>
    <w:rsid w:val="0046189A"/>
    <w:rsid w:val="004619A8"/>
    <w:rsid w:val="00461FA9"/>
    <w:rsid w:val="0046222D"/>
    <w:rsid w:val="00462279"/>
    <w:rsid w:val="00462CE6"/>
    <w:rsid w:val="004630BD"/>
    <w:rsid w:val="0046383E"/>
    <w:rsid w:val="00463AFD"/>
    <w:rsid w:val="00463C00"/>
    <w:rsid w:val="00463D16"/>
    <w:rsid w:val="00464363"/>
    <w:rsid w:val="004643EB"/>
    <w:rsid w:val="00464B16"/>
    <w:rsid w:val="00464D97"/>
    <w:rsid w:val="0046501B"/>
    <w:rsid w:val="004651F8"/>
    <w:rsid w:val="0046534A"/>
    <w:rsid w:val="004655C4"/>
    <w:rsid w:val="00465C37"/>
    <w:rsid w:val="0046602C"/>
    <w:rsid w:val="0046692D"/>
    <w:rsid w:val="00466960"/>
    <w:rsid w:val="00466979"/>
    <w:rsid w:val="0046704C"/>
    <w:rsid w:val="0046729C"/>
    <w:rsid w:val="00467EBA"/>
    <w:rsid w:val="004702C9"/>
    <w:rsid w:val="00471355"/>
    <w:rsid w:val="004716D5"/>
    <w:rsid w:val="00471941"/>
    <w:rsid w:val="00471A59"/>
    <w:rsid w:val="00472919"/>
    <w:rsid w:val="00472BD7"/>
    <w:rsid w:val="004737CF"/>
    <w:rsid w:val="004737F4"/>
    <w:rsid w:val="00473A47"/>
    <w:rsid w:val="004740D5"/>
    <w:rsid w:val="0047410F"/>
    <w:rsid w:val="00474330"/>
    <w:rsid w:val="00474967"/>
    <w:rsid w:val="00475164"/>
    <w:rsid w:val="004757AE"/>
    <w:rsid w:val="004759B0"/>
    <w:rsid w:val="00475B14"/>
    <w:rsid w:val="00477089"/>
    <w:rsid w:val="004778E2"/>
    <w:rsid w:val="00477E6D"/>
    <w:rsid w:val="004800AA"/>
    <w:rsid w:val="004809C1"/>
    <w:rsid w:val="00480A04"/>
    <w:rsid w:val="00481040"/>
    <w:rsid w:val="00481F7C"/>
    <w:rsid w:val="004821B2"/>
    <w:rsid w:val="00482416"/>
    <w:rsid w:val="00482A2F"/>
    <w:rsid w:val="00482EBC"/>
    <w:rsid w:val="00484766"/>
    <w:rsid w:val="00484D04"/>
    <w:rsid w:val="00485135"/>
    <w:rsid w:val="00485971"/>
    <w:rsid w:val="00486048"/>
    <w:rsid w:val="00486C57"/>
    <w:rsid w:val="0048704A"/>
    <w:rsid w:val="0048753A"/>
    <w:rsid w:val="0049005D"/>
    <w:rsid w:val="00490446"/>
    <w:rsid w:val="00490E72"/>
    <w:rsid w:val="00491286"/>
    <w:rsid w:val="00491360"/>
    <w:rsid w:val="004921C8"/>
    <w:rsid w:val="00493057"/>
    <w:rsid w:val="004930EA"/>
    <w:rsid w:val="00494397"/>
    <w:rsid w:val="0049475C"/>
    <w:rsid w:val="004949CF"/>
    <w:rsid w:val="00494A09"/>
    <w:rsid w:val="00494DE0"/>
    <w:rsid w:val="004950D1"/>
    <w:rsid w:val="004955C8"/>
    <w:rsid w:val="00495697"/>
    <w:rsid w:val="00496E3F"/>
    <w:rsid w:val="004970ED"/>
    <w:rsid w:val="004975CE"/>
    <w:rsid w:val="00497FF8"/>
    <w:rsid w:val="004A0D3B"/>
    <w:rsid w:val="004A102E"/>
    <w:rsid w:val="004A15A2"/>
    <w:rsid w:val="004A1F3A"/>
    <w:rsid w:val="004A1FA4"/>
    <w:rsid w:val="004A1FF5"/>
    <w:rsid w:val="004A208E"/>
    <w:rsid w:val="004A254E"/>
    <w:rsid w:val="004A372B"/>
    <w:rsid w:val="004A48DB"/>
    <w:rsid w:val="004A4A3D"/>
    <w:rsid w:val="004A65F4"/>
    <w:rsid w:val="004A6728"/>
    <w:rsid w:val="004A6781"/>
    <w:rsid w:val="004A6B03"/>
    <w:rsid w:val="004A70CD"/>
    <w:rsid w:val="004A7111"/>
    <w:rsid w:val="004B063E"/>
    <w:rsid w:val="004B1B55"/>
    <w:rsid w:val="004B1FF5"/>
    <w:rsid w:val="004B23C4"/>
    <w:rsid w:val="004B258B"/>
    <w:rsid w:val="004B2D90"/>
    <w:rsid w:val="004B31EC"/>
    <w:rsid w:val="004B34A5"/>
    <w:rsid w:val="004B36F9"/>
    <w:rsid w:val="004B454F"/>
    <w:rsid w:val="004B4CB3"/>
    <w:rsid w:val="004B55E5"/>
    <w:rsid w:val="004B570F"/>
    <w:rsid w:val="004B5C2B"/>
    <w:rsid w:val="004B5D26"/>
    <w:rsid w:val="004B6A34"/>
    <w:rsid w:val="004B6C76"/>
    <w:rsid w:val="004B6E99"/>
    <w:rsid w:val="004B707A"/>
    <w:rsid w:val="004B76AA"/>
    <w:rsid w:val="004C01CB"/>
    <w:rsid w:val="004C07ED"/>
    <w:rsid w:val="004C167D"/>
    <w:rsid w:val="004C23C0"/>
    <w:rsid w:val="004C2EEE"/>
    <w:rsid w:val="004C2F58"/>
    <w:rsid w:val="004C3540"/>
    <w:rsid w:val="004C3987"/>
    <w:rsid w:val="004C3BB2"/>
    <w:rsid w:val="004C424A"/>
    <w:rsid w:val="004C4C2F"/>
    <w:rsid w:val="004C4C8C"/>
    <w:rsid w:val="004C53B4"/>
    <w:rsid w:val="004C53D1"/>
    <w:rsid w:val="004C596C"/>
    <w:rsid w:val="004C6760"/>
    <w:rsid w:val="004C67B4"/>
    <w:rsid w:val="004C6943"/>
    <w:rsid w:val="004C71C0"/>
    <w:rsid w:val="004C7A90"/>
    <w:rsid w:val="004C7DCB"/>
    <w:rsid w:val="004D0671"/>
    <w:rsid w:val="004D0BAF"/>
    <w:rsid w:val="004D11EE"/>
    <w:rsid w:val="004D1228"/>
    <w:rsid w:val="004D14A6"/>
    <w:rsid w:val="004D1851"/>
    <w:rsid w:val="004D1FCA"/>
    <w:rsid w:val="004D3687"/>
    <w:rsid w:val="004D452B"/>
    <w:rsid w:val="004D4886"/>
    <w:rsid w:val="004D599D"/>
    <w:rsid w:val="004D5AF6"/>
    <w:rsid w:val="004D5EBB"/>
    <w:rsid w:val="004D6371"/>
    <w:rsid w:val="004D6495"/>
    <w:rsid w:val="004D740A"/>
    <w:rsid w:val="004D7ABD"/>
    <w:rsid w:val="004E04CA"/>
    <w:rsid w:val="004E0F69"/>
    <w:rsid w:val="004E134E"/>
    <w:rsid w:val="004E2529"/>
    <w:rsid w:val="004E2531"/>
    <w:rsid w:val="004E2561"/>
    <w:rsid w:val="004E2628"/>
    <w:rsid w:val="004E276D"/>
    <w:rsid w:val="004E2D38"/>
    <w:rsid w:val="004E2EA5"/>
    <w:rsid w:val="004E3214"/>
    <w:rsid w:val="004E3325"/>
    <w:rsid w:val="004E338F"/>
    <w:rsid w:val="004E33EE"/>
    <w:rsid w:val="004E3A16"/>
    <w:rsid w:val="004E3AEB"/>
    <w:rsid w:val="004E3BD5"/>
    <w:rsid w:val="004E4BA5"/>
    <w:rsid w:val="004E5360"/>
    <w:rsid w:val="004E54A6"/>
    <w:rsid w:val="004E5B3B"/>
    <w:rsid w:val="004E5C92"/>
    <w:rsid w:val="004E656B"/>
    <w:rsid w:val="004E6E17"/>
    <w:rsid w:val="004F0546"/>
    <w:rsid w:val="004F0B5B"/>
    <w:rsid w:val="004F10D3"/>
    <w:rsid w:val="004F1263"/>
    <w:rsid w:val="004F13F5"/>
    <w:rsid w:val="004F247A"/>
    <w:rsid w:val="004F2C1E"/>
    <w:rsid w:val="004F31A2"/>
    <w:rsid w:val="004F3466"/>
    <w:rsid w:val="004F4A3C"/>
    <w:rsid w:val="004F4C42"/>
    <w:rsid w:val="004F4DCC"/>
    <w:rsid w:val="004F544B"/>
    <w:rsid w:val="004F546C"/>
    <w:rsid w:val="004F54B1"/>
    <w:rsid w:val="004F54F3"/>
    <w:rsid w:val="004F5B84"/>
    <w:rsid w:val="004F5D38"/>
    <w:rsid w:val="004F6395"/>
    <w:rsid w:val="004F667E"/>
    <w:rsid w:val="004F6A8F"/>
    <w:rsid w:val="004F6B9D"/>
    <w:rsid w:val="004F6BDD"/>
    <w:rsid w:val="004F6D1B"/>
    <w:rsid w:val="004F7674"/>
    <w:rsid w:val="004F78B5"/>
    <w:rsid w:val="004F7C6A"/>
    <w:rsid w:val="004F7CE1"/>
    <w:rsid w:val="004F7FBF"/>
    <w:rsid w:val="00500933"/>
    <w:rsid w:val="00501798"/>
    <w:rsid w:val="005019AB"/>
    <w:rsid w:val="0050223C"/>
    <w:rsid w:val="00502634"/>
    <w:rsid w:val="00502E68"/>
    <w:rsid w:val="00502E8C"/>
    <w:rsid w:val="00502F31"/>
    <w:rsid w:val="00503311"/>
    <w:rsid w:val="00503C3B"/>
    <w:rsid w:val="00503E0A"/>
    <w:rsid w:val="00505853"/>
    <w:rsid w:val="00505975"/>
    <w:rsid w:val="005059E0"/>
    <w:rsid w:val="005060A1"/>
    <w:rsid w:val="0050642A"/>
    <w:rsid w:val="00506F76"/>
    <w:rsid w:val="00507072"/>
    <w:rsid w:val="0050773A"/>
    <w:rsid w:val="00507978"/>
    <w:rsid w:val="00507EC3"/>
    <w:rsid w:val="005100E5"/>
    <w:rsid w:val="005105FC"/>
    <w:rsid w:val="00510E57"/>
    <w:rsid w:val="00510F68"/>
    <w:rsid w:val="005110B0"/>
    <w:rsid w:val="005114D5"/>
    <w:rsid w:val="00511B8B"/>
    <w:rsid w:val="00511BE6"/>
    <w:rsid w:val="00512014"/>
    <w:rsid w:val="00512A07"/>
    <w:rsid w:val="00513039"/>
    <w:rsid w:val="005133DD"/>
    <w:rsid w:val="005138D2"/>
    <w:rsid w:val="00513D10"/>
    <w:rsid w:val="005140D0"/>
    <w:rsid w:val="00514176"/>
    <w:rsid w:val="0051439E"/>
    <w:rsid w:val="00514994"/>
    <w:rsid w:val="00514ABA"/>
    <w:rsid w:val="0051547C"/>
    <w:rsid w:val="005165F8"/>
    <w:rsid w:val="00516E3C"/>
    <w:rsid w:val="0052045A"/>
    <w:rsid w:val="005209B5"/>
    <w:rsid w:val="00520B2F"/>
    <w:rsid w:val="00520CC4"/>
    <w:rsid w:val="00520DE7"/>
    <w:rsid w:val="005213D3"/>
    <w:rsid w:val="00521DA3"/>
    <w:rsid w:val="0052202C"/>
    <w:rsid w:val="005220F3"/>
    <w:rsid w:val="00522674"/>
    <w:rsid w:val="00522773"/>
    <w:rsid w:val="00522AB5"/>
    <w:rsid w:val="00522C77"/>
    <w:rsid w:val="00523B11"/>
    <w:rsid w:val="00523DEA"/>
    <w:rsid w:val="005243FF"/>
    <w:rsid w:val="00524459"/>
    <w:rsid w:val="00524570"/>
    <w:rsid w:val="00524802"/>
    <w:rsid w:val="00524DF0"/>
    <w:rsid w:val="00525385"/>
    <w:rsid w:val="005254BD"/>
    <w:rsid w:val="0052589C"/>
    <w:rsid w:val="005265A1"/>
    <w:rsid w:val="0052697E"/>
    <w:rsid w:val="00526E73"/>
    <w:rsid w:val="00526ED9"/>
    <w:rsid w:val="00526F2F"/>
    <w:rsid w:val="0052728B"/>
    <w:rsid w:val="005316DD"/>
    <w:rsid w:val="00531751"/>
    <w:rsid w:val="005317A1"/>
    <w:rsid w:val="0053187B"/>
    <w:rsid w:val="0053234D"/>
    <w:rsid w:val="00532615"/>
    <w:rsid w:val="005331CC"/>
    <w:rsid w:val="005337D9"/>
    <w:rsid w:val="00533F67"/>
    <w:rsid w:val="005347CD"/>
    <w:rsid w:val="00534C54"/>
    <w:rsid w:val="00535630"/>
    <w:rsid w:val="00535923"/>
    <w:rsid w:val="005360F8"/>
    <w:rsid w:val="0053659D"/>
    <w:rsid w:val="005370BF"/>
    <w:rsid w:val="005401AC"/>
    <w:rsid w:val="005403CB"/>
    <w:rsid w:val="00540645"/>
    <w:rsid w:val="0054089F"/>
    <w:rsid w:val="00541078"/>
    <w:rsid w:val="005411F7"/>
    <w:rsid w:val="00541240"/>
    <w:rsid w:val="0054175A"/>
    <w:rsid w:val="00541C22"/>
    <w:rsid w:val="00541E64"/>
    <w:rsid w:val="005431D8"/>
    <w:rsid w:val="0054356A"/>
    <w:rsid w:val="005439C2"/>
    <w:rsid w:val="00544490"/>
    <w:rsid w:val="00544A6D"/>
    <w:rsid w:val="00545479"/>
    <w:rsid w:val="0054640C"/>
    <w:rsid w:val="00546F2F"/>
    <w:rsid w:val="005471F9"/>
    <w:rsid w:val="005473BE"/>
    <w:rsid w:val="005476AB"/>
    <w:rsid w:val="00547D83"/>
    <w:rsid w:val="0055044D"/>
    <w:rsid w:val="005507A6"/>
    <w:rsid w:val="00550B4B"/>
    <w:rsid w:val="00550C38"/>
    <w:rsid w:val="0055134A"/>
    <w:rsid w:val="005513C2"/>
    <w:rsid w:val="00552377"/>
    <w:rsid w:val="005523E8"/>
    <w:rsid w:val="005527D3"/>
    <w:rsid w:val="00552D63"/>
    <w:rsid w:val="00552ED7"/>
    <w:rsid w:val="0055392E"/>
    <w:rsid w:val="00553CB9"/>
    <w:rsid w:val="00553D8B"/>
    <w:rsid w:val="00555630"/>
    <w:rsid w:val="00556A5C"/>
    <w:rsid w:val="00556DF6"/>
    <w:rsid w:val="00556EE0"/>
    <w:rsid w:val="005574C0"/>
    <w:rsid w:val="005577BE"/>
    <w:rsid w:val="00557B83"/>
    <w:rsid w:val="00557CCC"/>
    <w:rsid w:val="00560AA4"/>
    <w:rsid w:val="00560B06"/>
    <w:rsid w:val="00560B1F"/>
    <w:rsid w:val="00560F4D"/>
    <w:rsid w:val="005615AA"/>
    <w:rsid w:val="00561A64"/>
    <w:rsid w:val="00561D82"/>
    <w:rsid w:val="005626E8"/>
    <w:rsid w:val="00562739"/>
    <w:rsid w:val="0056293B"/>
    <w:rsid w:val="00562BE7"/>
    <w:rsid w:val="0056307D"/>
    <w:rsid w:val="00563630"/>
    <w:rsid w:val="00564053"/>
    <w:rsid w:val="00564C2F"/>
    <w:rsid w:val="00564FBC"/>
    <w:rsid w:val="005650A3"/>
    <w:rsid w:val="00565184"/>
    <w:rsid w:val="00565B80"/>
    <w:rsid w:val="00566938"/>
    <w:rsid w:val="005669A0"/>
    <w:rsid w:val="00566C46"/>
    <w:rsid w:val="0056715E"/>
    <w:rsid w:val="00567820"/>
    <w:rsid w:val="00571283"/>
    <w:rsid w:val="0057131B"/>
    <w:rsid w:val="00571752"/>
    <w:rsid w:val="0057180A"/>
    <w:rsid w:val="00572192"/>
    <w:rsid w:val="00572B45"/>
    <w:rsid w:val="00572EF0"/>
    <w:rsid w:val="00573302"/>
    <w:rsid w:val="00573AE3"/>
    <w:rsid w:val="00573B7A"/>
    <w:rsid w:val="00573C72"/>
    <w:rsid w:val="00573C83"/>
    <w:rsid w:val="00573FEE"/>
    <w:rsid w:val="0057403D"/>
    <w:rsid w:val="00574891"/>
    <w:rsid w:val="00574941"/>
    <w:rsid w:val="00575175"/>
    <w:rsid w:val="0057547E"/>
    <w:rsid w:val="00575550"/>
    <w:rsid w:val="00575862"/>
    <w:rsid w:val="005759A0"/>
    <w:rsid w:val="00575E1B"/>
    <w:rsid w:val="00575E9F"/>
    <w:rsid w:val="005760C0"/>
    <w:rsid w:val="005760D6"/>
    <w:rsid w:val="00576138"/>
    <w:rsid w:val="005764D3"/>
    <w:rsid w:val="005770A0"/>
    <w:rsid w:val="005770A6"/>
    <w:rsid w:val="00577A2A"/>
    <w:rsid w:val="00577EAD"/>
    <w:rsid w:val="005802F3"/>
    <w:rsid w:val="00580C69"/>
    <w:rsid w:val="00580E6D"/>
    <w:rsid w:val="00581490"/>
    <w:rsid w:val="005815FB"/>
    <w:rsid w:val="00582442"/>
    <w:rsid w:val="005826C4"/>
    <w:rsid w:val="0058383A"/>
    <w:rsid w:val="00583D06"/>
    <w:rsid w:val="005843EF"/>
    <w:rsid w:val="00584643"/>
    <w:rsid w:val="005847AA"/>
    <w:rsid w:val="00585034"/>
    <w:rsid w:val="005856AA"/>
    <w:rsid w:val="00585AC2"/>
    <w:rsid w:val="00585AEF"/>
    <w:rsid w:val="005866F3"/>
    <w:rsid w:val="00586B02"/>
    <w:rsid w:val="00586CF9"/>
    <w:rsid w:val="005900CB"/>
    <w:rsid w:val="00590433"/>
    <w:rsid w:val="005910CB"/>
    <w:rsid w:val="005936D8"/>
    <w:rsid w:val="0059374A"/>
    <w:rsid w:val="00594FBE"/>
    <w:rsid w:val="0059694B"/>
    <w:rsid w:val="0059707C"/>
    <w:rsid w:val="005A0A3C"/>
    <w:rsid w:val="005A0F7C"/>
    <w:rsid w:val="005A1161"/>
    <w:rsid w:val="005A1268"/>
    <w:rsid w:val="005A1428"/>
    <w:rsid w:val="005A1475"/>
    <w:rsid w:val="005A17A6"/>
    <w:rsid w:val="005A1AA3"/>
    <w:rsid w:val="005A1AF1"/>
    <w:rsid w:val="005A1B94"/>
    <w:rsid w:val="005A21AA"/>
    <w:rsid w:val="005A22A6"/>
    <w:rsid w:val="005A3061"/>
    <w:rsid w:val="005A3FC9"/>
    <w:rsid w:val="005A48F6"/>
    <w:rsid w:val="005A4B34"/>
    <w:rsid w:val="005A4B88"/>
    <w:rsid w:val="005A587B"/>
    <w:rsid w:val="005A69F7"/>
    <w:rsid w:val="005A6D74"/>
    <w:rsid w:val="005A70E3"/>
    <w:rsid w:val="005A77B7"/>
    <w:rsid w:val="005A7EFF"/>
    <w:rsid w:val="005B045B"/>
    <w:rsid w:val="005B0810"/>
    <w:rsid w:val="005B0B73"/>
    <w:rsid w:val="005B2ACC"/>
    <w:rsid w:val="005B2BC0"/>
    <w:rsid w:val="005B2EEB"/>
    <w:rsid w:val="005B2F8A"/>
    <w:rsid w:val="005B3F5A"/>
    <w:rsid w:val="005B4D90"/>
    <w:rsid w:val="005B53AF"/>
    <w:rsid w:val="005B59BD"/>
    <w:rsid w:val="005B5BB6"/>
    <w:rsid w:val="005B6877"/>
    <w:rsid w:val="005B6E20"/>
    <w:rsid w:val="005B78B3"/>
    <w:rsid w:val="005C0647"/>
    <w:rsid w:val="005C0B9D"/>
    <w:rsid w:val="005C0E44"/>
    <w:rsid w:val="005C109F"/>
    <w:rsid w:val="005C10F8"/>
    <w:rsid w:val="005C167B"/>
    <w:rsid w:val="005C16BA"/>
    <w:rsid w:val="005C1ADA"/>
    <w:rsid w:val="005C1CF5"/>
    <w:rsid w:val="005C2524"/>
    <w:rsid w:val="005C2D0B"/>
    <w:rsid w:val="005C2FBE"/>
    <w:rsid w:val="005C3159"/>
    <w:rsid w:val="005C32EC"/>
    <w:rsid w:val="005C3405"/>
    <w:rsid w:val="005C3C40"/>
    <w:rsid w:val="005C3FA0"/>
    <w:rsid w:val="005C40DB"/>
    <w:rsid w:val="005C41A5"/>
    <w:rsid w:val="005C441C"/>
    <w:rsid w:val="005C4E9B"/>
    <w:rsid w:val="005C5070"/>
    <w:rsid w:val="005C5D4D"/>
    <w:rsid w:val="005C6F65"/>
    <w:rsid w:val="005C6FF0"/>
    <w:rsid w:val="005C7FA5"/>
    <w:rsid w:val="005D05E8"/>
    <w:rsid w:val="005D1217"/>
    <w:rsid w:val="005D13F6"/>
    <w:rsid w:val="005D2C78"/>
    <w:rsid w:val="005D2F0C"/>
    <w:rsid w:val="005D3458"/>
    <w:rsid w:val="005D429C"/>
    <w:rsid w:val="005D480E"/>
    <w:rsid w:val="005D4B63"/>
    <w:rsid w:val="005D4B71"/>
    <w:rsid w:val="005D558B"/>
    <w:rsid w:val="005D5832"/>
    <w:rsid w:val="005D61E0"/>
    <w:rsid w:val="005D62B8"/>
    <w:rsid w:val="005D6674"/>
    <w:rsid w:val="005D69D7"/>
    <w:rsid w:val="005D6DB9"/>
    <w:rsid w:val="005E05C6"/>
    <w:rsid w:val="005E0B41"/>
    <w:rsid w:val="005E2087"/>
    <w:rsid w:val="005E23D7"/>
    <w:rsid w:val="005E25BD"/>
    <w:rsid w:val="005E2AA5"/>
    <w:rsid w:val="005E40C9"/>
    <w:rsid w:val="005E4116"/>
    <w:rsid w:val="005E4A04"/>
    <w:rsid w:val="005E4D8A"/>
    <w:rsid w:val="005E4EE3"/>
    <w:rsid w:val="005E55AF"/>
    <w:rsid w:val="005E5DB5"/>
    <w:rsid w:val="005E644E"/>
    <w:rsid w:val="005E6D77"/>
    <w:rsid w:val="005E6DA7"/>
    <w:rsid w:val="005E730F"/>
    <w:rsid w:val="005E77AA"/>
    <w:rsid w:val="005E7DCF"/>
    <w:rsid w:val="005E7EC2"/>
    <w:rsid w:val="005F01D8"/>
    <w:rsid w:val="005F0CBF"/>
    <w:rsid w:val="005F0FE2"/>
    <w:rsid w:val="005F10A5"/>
    <w:rsid w:val="005F1382"/>
    <w:rsid w:val="005F14DE"/>
    <w:rsid w:val="005F1DC6"/>
    <w:rsid w:val="005F1EB2"/>
    <w:rsid w:val="005F1FB4"/>
    <w:rsid w:val="005F20FC"/>
    <w:rsid w:val="005F212E"/>
    <w:rsid w:val="005F2947"/>
    <w:rsid w:val="005F2AF6"/>
    <w:rsid w:val="005F2BA2"/>
    <w:rsid w:val="005F2F2F"/>
    <w:rsid w:val="005F3E99"/>
    <w:rsid w:val="005F3F1F"/>
    <w:rsid w:val="005F40D5"/>
    <w:rsid w:val="005F4C24"/>
    <w:rsid w:val="005F4CA7"/>
    <w:rsid w:val="005F5748"/>
    <w:rsid w:val="005F57BF"/>
    <w:rsid w:val="005F5CD2"/>
    <w:rsid w:val="005F5EA1"/>
    <w:rsid w:val="005F7158"/>
    <w:rsid w:val="006002FA"/>
    <w:rsid w:val="006004CD"/>
    <w:rsid w:val="00600737"/>
    <w:rsid w:val="00600818"/>
    <w:rsid w:val="006014A1"/>
    <w:rsid w:val="00601A76"/>
    <w:rsid w:val="00601F7F"/>
    <w:rsid w:val="0060210E"/>
    <w:rsid w:val="00602513"/>
    <w:rsid w:val="0060308D"/>
    <w:rsid w:val="00603646"/>
    <w:rsid w:val="00603AD8"/>
    <w:rsid w:val="00603FE9"/>
    <w:rsid w:val="00604C65"/>
    <w:rsid w:val="00604E54"/>
    <w:rsid w:val="0060530C"/>
    <w:rsid w:val="0060601A"/>
    <w:rsid w:val="00606754"/>
    <w:rsid w:val="00607EC5"/>
    <w:rsid w:val="00610283"/>
    <w:rsid w:val="0061078E"/>
    <w:rsid w:val="006109C4"/>
    <w:rsid w:val="00611108"/>
    <w:rsid w:val="006113F3"/>
    <w:rsid w:val="0061170D"/>
    <w:rsid w:val="00611715"/>
    <w:rsid w:val="00611C14"/>
    <w:rsid w:val="00611D45"/>
    <w:rsid w:val="00613E4D"/>
    <w:rsid w:val="006145EF"/>
    <w:rsid w:val="00614BC3"/>
    <w:rsid w:val="00614C69"/>
    <w:rsid w:val="00614E2E"/>
    <w:rsid w:val="006152AF"/>
    <w:rsid w:val="0061551D"/>
    <w:rsid w:val="00616F03"/>
    <w:rsid w:val="0061730D"/>
    <w:rsid w:val="00617BE8"/>
    <w:rsid w:val="00620270"/>
    <w:rsid w:val="00620B99"/>
    <w:rsid w:val="0062134A"/>
    <w:rsid w:val="006218E0"/>
    <w:rsid w:val="006218FC"/>
    <w:rsid w:val="00622372"/>
    <w:rsid w:val="006223DB"/>
    <w:rsid w:val="006229F9"/>
    <w:rsid w:val="00623875"/>
    <w:rsid w:val="006239BE"/>
    <w:rsid w:val="00623B53"/>
    <w:rsid w:val="0062412D"/>
    <w:rsid w:val="00624CBE"/>
    <w:rsid w:val="0062532D"/>
    <w:rsid w:val="00625E67"/>
    <w:rsid w:val="00625FBE"/>
    <w:rsid w:val="0062714C"/>
    <w:rsid w:val="00627892"/>
    <w:rsid w:val="00630181"/>
    <w:rsid w:val="006302A2"/>
    <w:rsid w:val="006310DF"/>
    <w:rsid w:val="0063126A"/>
    <w:rsid w:val="006323CA"/>
    <w:rsid w:val="00632836"/>
    <w:rsid w:val="00632BC4"/>
    <w:rsid w:val="00632F65"/>
    <w:rsid w:val="0063415D"/>
    <w:rsid w:val="006346AA"/>
    <w:rsid w:val="00634C0A"/>
    <w:rsid w:val="00634F18"/>
    <w:rsid w:val="00635041"/>
    <w:rsid w:val="00635463"/>
    <w:rsid w:val="006359CC"/>
    <w:rsid w:val="00636548"/>
    <w:rsid w:val="00637561"/>
    <w:rsid w:val="00637D5A"/>
    <w:rsid w:val="0064024A"/>
    <w:rsid w:val="006410A3"/>
    <w:rsid w:val="006413D5"/>
    <w:rsid w:val="00641A4B"/>
    <w:rsid w:val="006424AE"/>
    <w:rsid w:val="0064329C"/>
    <w:rsid w:val="00643593"/>
    <w:rsid w:val="00643AD9"/>
    <w:rsid w:val="006440EE"/>
    <w:rsid w:val="00644AAA"/>
    <w:rsid w:val="00644E5A"/>
    <w:rsid w:val="00645C3C"/>
    <w:rsid w:val="00646A13"/>
    <w:rsid w:val="006475EC"/>
    <w:rsid w:val="00647734"/>
    <w:rsid w:val="00647ABC"/>
    <w:rsid w:val="00647FC5"/>
    <w:rsid w:val="00647FEE"/>
    <w:rsid w:val="00647FEF"/>
    <w:rsid w:val="00650370"/>
    <w:rsid w:val="00650464"/>
    <w:rsid w:val="006506EB"/>
    <w:rsid w:val="006506F5"/>
    <w:rsid w:val="00651019"/>
    <w:rsid w:val="00651A31"/>
    <w:rsid w:val="006526C4"/>
    <w:rsid w:val="006527FB"/>
    <w:rsid w:val="00652B05"/>
    <w:rsid w:val="0065310A"/>
    <w:rsid w:val="006535F1"/>
    <w:rsid w:val="00654448"/>
    <w:rsid w:val="00654CDE"/>
    <w:rsid w:val="00654F05"/>
    <w:rsid w:val="00655439"/>
    <w:rsid w:val="0065557D"/>
    <w:rsid w:val="00656DAF"/>
    <w:rsid w:val="00656E30"/>
    <w:rsid w:val="00657A3E"/>
    <w:rsid w:val="00657F02"/>
    <w:rsid w:val="00660011"/>
    <w:rsid w:val="00660278"/>
    <w:rsid w:val="006615C6"/>
    <w:rsid w:val="00661B43"/>
    <w:rsid w:val="00661D48"/>
    <w:rsid w:val="006625EF"/>
    <w:rsid w:val="006627FA"/>
    <w:rsid w:val="00662984"/>
    <w:rsid w:val="0066421D"/>
    <w:rsid w:val="00664C9A"/>
    <w:rsid w:val="00665442"/>
    <w:rsid w:val="00665E12"/>
    <w:rsid w:val="00665E85"/>
    <w:rsid w:val="00666555"/>
    <w:rsid w:val="00666608"/>
    <w:rsid w:val="00666A3F"/>
    <w:rsid w:val="00666B97"/>
    <w:rsid w:val="00667259"/>
    <w:rsid w:val="00667D3F"/>
    <w:rsid w:val="00667DC9"/>
    <w:rsid w:val="00670084"/>
    <w:rsid w:val="006701DA"/>
    <w:rsid w:val="00670898"/>
    <w:rsid w:val="00671577"/>
    <w:rsid w:val="00671F36"/>
    <w:rsid w:val="00671FAB"/>
    <w:rsid w:val="0067259B"/>
    <w:rsid w:val="00672A3E"/>
    <w:rsid w:val="00672EBD"/>
    <w:rsid w:val="006730F7"/>
    <w:rsid w:val="0067397F"/>
    <w:rsid w:val="00673C70"/>
    <w:rsid w:val="00673DE2"/>
    <w:rsid w:val="0067567A"/>
    <w:rsid w:val="00675719"/>
    <w:rsid w:val="00675AFE"/>
    <w:rsid w:val="00675BE3"/>
    <w:rsid w:val="0067628C"/>
    <w:rsid w:val="00676708"/>
    <w:rsid w:val="00676F97"/>
    <w:rsid w:val="00677C5B"/>
    <w:rsid w:val="00680084"/>
    <w:rsid w:val="0068015C"/>
    <w:rsid w:val="00680702"/>
    <w:rsid w:val="00680862"/>
    <w:rsid w:val="0068126F"/>
    <w:rsid w:val="0068271C"/>
    <w:rsid w:val="0068277A"/>
    <w:rsid w:val="00682949"/>
    <w:rsid w:val="00682DAD"/>
    <w:rsid w:val="00682E1B"/>
    <w:rsid w:val="00683927"/>
    <w:rsid w:val="00683CBD"/>
    <w:rsid w:val="00684370"/>
    <w:rsid w:val="00685485"/>
    <w:rsid w:val="0068577A"/>
    <w:rsid w:val="006862E3"/>
    <w:rsid w:val="006863EC"/>
    <w:rsid w:val="00686C3B"/>
    <w:rsid w:val="00686D92"/>
    <w:rsid w:val="00686EEB"/>
    <w:rsid w:val="00687891"/>
    <w:rsid w:val="00687A2C"/>
    <w:rsid w:val="00687B90"/>
    <w:rsid w:val="00690D65"/>
    <w:rsid w:val="0069266B"/>
    <w:rsid w:val="00692CF3"/>
    <w:rsid w:val="00692F1E"/>
    <w:rsid w:val="0069419C"/>
    <w:rsid w:val="0069585F"/>
    <w:rsid w:val="00695AF2"/>
    <w:rsid w:val="00696E33"/>
    <w:rsid w:val="0069714D"/>
    <w:rsid w:val="0069715C"/>
    <w:rsid w:val="00697331"/>
    <w:rsid w:val="006973F1"/>
    <w:rsid w:val="0069784D"/>
    <w:rsid w:val="006978BC"/>
    <w:rsid w:val="006A014D"/>
    <w:rsid w:val="006A0894"/>
    <w:rsid w:val="006A0AC1"/>
    <w:rsid w:val="006A1159"/>
    <w:rsid w:val="006A18DB"/>
    <w:rsid w:val="006A1954"/>
    <w:rsid w:val="006A1D68"/>
    <w:rsid w:val="006A1D7A"/>
    <w:rsid w:val="006A24C5"/>
    <w:rsid w:val="006A2571"/>
    <w:rsid w:val="006A2758"/>
    <w:rsid w:val="006A294A"/>
    <w:rsid w:val="006A2A67"/>
    <w:rsid w:val="006A2D12"/>
    <w:rsid w:val="006A2DD4"/>
    <w:rsid w:val="006A30F6"/>
    <w:rsid w:val="006A3AEB"/>
    <w:rsid w:val="006A41FA"/>
    <w:rsid w:val="006A440E"/>
    <w:rsid w:val="006A4DB4"/>
    <w:rsid w:val="006A5037"/>
    <w:rsid w:val="006A583E"/>
    <w:rsid w:val="006A59A2"/>
    <w:rsid w:val="006A5BA7"/>
    <w:rsid w:val="006A5D29"/>
    <w:rsid w:val="006A5DB7"/>
    <w:rsid w:val="006A5EDF"/>
    <w:rsid w:val="006A687A"/>
    <w:rsid w:val="006A6B80"/>
    <w:rsid w:val="006A71D0"/>
    <w:rsid w:val="006A7317"/>
    <w:rsid w:val="006A7CF2"/>
    <w:rsid w:val="006A7D15"/>
    <w:rsid w:val="006B0DD4"/>
    <w:rsid w:val="006B154E"/>
    <w:rsid w:val="006B20FB"/>
    <w:rsid w:val="006B211B"/>
    <w:rsid w:val="006B2E0B"/>
    <w:rsid w:val="006B3C3A"/>
    <w:rsid w:val="006B43F0"/>
    <w:rsid w:val="006B444F"/>
    <w:rsid w:val="006B474B"/>
    <w:rsid w:val="006B4A57"/>
    <w:rsid w:val="006B4FB7"/>
    <w:rsid w:val="006B5EB0"/>
    <w:rsid w:val="006B5EB8"/>
    <w:rsid w:val="006B62B7"/>
    <w:rsid w:val="006B674B"/>
    <w:rsid w:val="006B69B1"/>
    <w:rsid w:val="006B6DCC"/>
    <w:rsid w:val="006B71AA"/>
    <w:rsid w:val="006B7566"/>
    <w:rsid w:val="006B7A0C"/>
    <w:rsid w:val="006B7A76"/>
    <w:rsid w:val="006B7BB3"/>
    <w:rsid w:val="006B7C14"/>
    <w:rsid w:val="006C0DBF"/>
    <w:rsid w:val="006C259C"/>
    <w:rsid w:val="006C27CD"/>
    <w:rsid w:val="006C3844"/>
    <w:rsid w:val="006C43E8"/>
    <w:rsid w:val="006C463B"/>
    <w:rsid w:val="006C5024"/>
    <w:rsid w:val="006C5847"/>
    <w:rsid w:val="006C5B22"/>
    <w:rsid w:val="006C601E"/>
    <w:rsid w:val="006C619C"/>
    <w:rsid w:val="006C6698"/>
    <w:rsid w:val="006C6C67"/>
    <w:rsid w:val="006C6EDD"/>
    <w:rsid w:val="006C7AC9"/>
    <w:rsid w:val="006C7F68"/>
    <w:rsid w:val="006C7F6B"/>
    <w:rsid w:val="006D0241"/>
    <w:rsid w:val="006D0B03"/>
    <w:rsid w:val="006D12F8"/>
    <w:rsid w:val="006D136E"/>
    <w:rsid w:val="006D17BB"/>
    <w:rsid w:val="006D17FE"/>
    <w:rsid w:val="006D1819"/>
    <w:rsid w:val="006D2152"/>
    <w:rsid w:val="006D2E61"/>
    <w:rsid w:val="006D3D13"/>
    <w:rsid w:val="006D4E48"/>
    <w:rsid w:val="006D4EA6"/>
    <w:rsid w:val="006D5870"/>
    <w:rsid w:val="006D5A50"/>
    <w:rsid w:val="006D5CED"/>
    <w:rsid w:val="006D6475"/>
    <w:rsid w:val="006D6709"/>
    <w:rsid w:val="006D735A"/>
    <w:rsid w:val="006D747B"/>
    <w:rsid w:val="006E00F7"/>
    <w:rsid w:val="006E0FFF"/>
    <w:rsid w:val="006E1E85"/>
    <w:rsid w:val="006E27BF"/>
    <w:rsid w:val="006E29CA"/>
    <w:rsid w:val="006E41FC"/>
    <w:rsid w:val="006E5383"/>
    <w:rsid w:val="006E53B3"/>
    <w:rsid w:val="006E59A8"/>
    <w:rsid w:val="006E5DF8"/>
    <w:rsid w:val="006E6075"/>
    <w:rsid w:val="006E6786"/>
    <w:rsid w:val="006E6A1D"/>
    <w:rsid w:val="006E6CD3"/>
    <w:rsid w:val="006E776D"/>
    <w:rsid w:val="006E7FE4"/>
    <w:rsid w:val="006F00AA"/>
    <w:rsid w:val="006F0140"/>
    <w:rsid w:val="006F0378"/>
    <w:rsid w:val="006F0592"/>
    <w:rsid w:val="006F05F5"/>
    <w:rsid w:val="006F0CE1"/>
    <w:rsid w:val="006F1824"/>
    <w:rsid w:val="006F1A96"/>
    <w:rsid w:val="006F1B9F"/>
    <w:rsid w:val="006F21D7"/>
    <w:rsid w:val="006F241C"/>
    <w:rsid w:val="006F39D5"/>
    <w:rsid w:val="006F3BBC"/>
    <w:rsid w:val="006F3EA2"/>
    <w:rsid w:val="006F4099"/>
    <w:rsid w:val="006F4122"/>
    <w:rsid w:val="006F42AE"/>
    <w:rsid w:val="006F47A2"/>
    <w:rsid w:val="006F507E"/>
    <w:rsid w:val="006F513C"/>
    <w:rsid w:val="006F588C"/>
    <w:rsid w:val="006F5988"/>
    <w:rsid w:val="006F5C39"/>
    <w:rsid w:val="006F64EA"/>
    <w:rsid w:val="006F676A"/>
    <w:rsid w:val="006F6AF0"/>
    <w:rsid w:val="006F6DD5"/>
    <w:rsid w:val="006F73E8"/>
    <w:rsid w:val="006F7C19"/>
    <w:rsid w:val="006F7E85"/>
    <w:rsid w:val="0070000E"/>
    <w:rsid w:val="00700601"/>
    <w:rsid w:val="00701F73"/>
    <w:rsid w:val="007022E8"/>
    <w:rsid w:val="00703159"/>
    <w:rsid w:val="0070318B"/>
    <w:rsid w:val="0070333A"/>
    <w:rsid w:val="007039B0"/>
    <w:rsid w:val="00703D5D"/>
    <w:rsid w:val="00704252"/>
    <w:rsid w:val="00704988"/>
    <w:rsid w:val="00704A10"/>
    <w:rsid w:val="00704ACD"/>
    <w:rsid w:val="00704BBD"/>
    <w:rsid w:val="00704C2C"/>
    <w:rsid w:val="007050AA"/>
    <w:rsid w:val="00705167"/>
    <w:rsid w:val="00705267"/>
    <w:rsid w:val="00705F65"/>
    <w:rsid w:val="00706DDA"/>
    <w:rsid w:val="00706E3E"/>
    <w:rsid w:val="007072D0"/>
    <w:rsid w:val="007111EB"/>
    <w:rsid w:val="007117A0"/>
    <w:rsid w:val="0071197A"/>
    <w:rsid w:val="00711BF9"/>
    <w:rsid w:val="007125F1"/>
    <w:rsid w:val="0071266B"/>
    <w:rsid w:val="007129CA"/>
    <w:rsid w:val="00713597"/>
    <w:rsid w:val="00713865"/>
    <w:rsid w:val="00714BEB"/>
    <w:rsid w:val="0071503D"/>
    <w:rsid w:val="007159FB"/>
    <w:rsid w:val="0071603A"/>
    <w:rsid w:val="00716BCE"/>
    <w:rsid w:val="00716DA7"/>
    <w:rsid w:val="00716E82"/>
    <w:rsid w:val="00716E8A"/>
    <w:rsid w:val="007177F2"/>
    <w:rsid w:val="00717A84"/>
    <w:rsid w:val="00717BB7"/>
    <w:rsid w:val="00717DC9"/>
    <w:rsid w:val="00717DDF"/>
    <w:rsid w:val="0072101D"/>
    <w:rsid w:val="007213E3"/>
    <w:rsid w:val="00721974"/>
    <w:rsid w:val="007223D6"/>
    <w:rsid w:val="00722508"/>
    <w:rsid w:val="00723117"/>
    <w:rsid w:val="00723966"/>
    <w:rsid w:val="007245F8"/>
    <w:rsid w:val="00724851"/>
    <w:rsid w:val="0072533C"/>
    <w:rsid w:val="00725C89"/>
    <w:rsid w:val="00725EB5"/>
    <w:rsid w:val="0072668D"/>
    <w:rsid w:val="00726B3A"/>
    <w:rsid w:val="0072716E"/>
    <w:rsid w:val="007273C8"/>
    <w:rsid w:val="00727AB6"/>
    <w:rsid w:val="00727CB4"/>
    <w:rsid w:val="00727DA1"/>
    <w:rsid w:val="00731319"/>
    <w:rsid w:val="00731496"/>
    <w:rsid w:val="00733742"/>
    <w:rsid w:val="00733DC3"/>
    <w:rsid w:val="00734446"/>
    <w:rsid w:val="00734B40"/>
    <w:rsid w:val="00734BD9"/>
    <w:rsid w:val="00734CB4"/>
    <w:rsid w:val="00735886"/>
    <w:rsid w:val="00735C7D"/>
    <w:rsid w:val="00736382"/>
    <w:rsid w:val="0073657E"/>
    <w:rsid w:val="00737D33"/>
    <w:rsid w:val="00740396"/>
    <w:rsid w:val="00740787"/>
    <w:rsid w:val="007407A6"/>
    <w:rsid w:val="00741B7B"/>
    <w:rsid w:val="00742906"/>
    <w:rsid w:val="00742D62"/>
    <w:rsid w:val="00743298"/>
    <w:rsid w:val="007434DD"/>
    <w:rsid w:val="00743C18"/>
    <w:rsid w:val="00743C8A"/>
    <w:rsid w:val="00743C9B"/>
    <w:rsid w:val="00743CC2"/>
    <w:rsid w:val="00744E47"/>
    <w:rsid w:val="007450E4"/>
    <w:rsid w:val="0074519C"/>
    <w:rsid w:val="00745575"/>
    <w:rsid w:val="00746925"/>
    <w:rsid w:val="00746BAC"/>
    <w:rsid w:val="00747D96"/>
    <w:rsid w:val="00747E30"/>
    <w:rsid w:val="0075027E"/>
    <w:rsid w:val="0075051B"/>
    <w:rsid w:val="00750620"/>
    <w:rsid w:val="00750645"/>
    <w:rsid w:val="0075074C"/>
    <w:rsid w:val="0075084C"/>
    <w:rsid w:val="00750B67"/>
    <w:rsid w:val="00750CD1"/>
    <w:rsid w:val="007511F5"/>
    <w:rsid w:val="007515E4"/>
    <w:rsid w:val="00751913"/>
    <w:rsid w:val="00751D47"/>
    <w:rsid w:val="00752F2D"/>
    <w:rsid w:val="00753089"/>
    <w:rsid w:val="007535E9"/>
    <w:rsid w:val="00753AE6"/>
    <w:rsid w:val="00753BD2"/>
    <w:rsid w:val="00754501"/>
    <w:rsid w:val="00754E3B"/>
    <w:rsid w:val="00755453"/>
    <w:rsid w:val="00755AB8"/>
    <w:rsid w:val="00755B95"/>
    <w:rsid w:val="00755CF3"/>
    <w:rsid w:val="00755F77"/>
    <w:rsid w:val="007564E6"/>
    <w:rsid w:val="007570ED"/>
    <w:rsid w:val="007604B9"/>
    <w:rsid w:val="0076062A"/>
    <w:rsid w:val="007606DE"/>
    <w:rsid w:val="00760B93"/>
    <w:rsid w:val="00760ED5"/>
    <w:rsid w:val="00761E04"/>
    <w:rsid w:val="007620E2"/>
    <w:rsid w:val="00762F82"/>
    <w:rsid w:val="00763710"/>
    <w:rsid w:val="0076371C"/>
    <w:rsid w:val="00763A13"/>
    <w:rsid w:val="00764606"/>
    <w:rsid w:val="00764773"/>
    <w:rsid w:val="0076578B"/>
    <w:rsid w:val="007659CA"/>
    <w:rsid w:val="00765F95"/>
    <w:rsid w:val="00765FB7"/>
    <w:rsid w:val="0076600A"/>
    <w:rsid w:val="0076607B"/>
    <w:rsid w:val="0076667B"/>
    <w:rsid w:val="007679D3"/>
    <w:rsid w:val="0077026E"/>
    <w:rsid w:val="00770E74"/>
    <w:rsid w:val="0077175B"/>
    <w:rsid w:val="007717B7"/>
    <w:rsid w:val="00771D71"/>
    <w:rsid w:val="0077200F"/>
    <w:rsid w:val="00772528"/>
    <w:rsid w:val="007727BE"/>
    <w:rsid w:val="00772DA2"/>
    <w:rsid w:val="00772E50"/>
    <w:rsid w:val="0077334B"/>
    <w:rsid w:val="00773920"/>
    <w:rsid w:val="00773C41"/>
    <w:rsid w:val="00773C7D"/>
    <w:rsid w:val="00774EE8"/>
    <w:rsid w:val="00775010"/>
    <w:rsid w:val="0077556E"/>
    <w:rsid w:val="0077576B"/>
    <w:rsid w:val="00775B37"/>
    <w:rsid w:val="00775BDE"/>
    <w:rsid w:val="00776BA1"/>
    <w:rsid w:val="0077765F"/>
    <w:rsid w:val="007776C2"/>
    <w:rsid w:val="0077784F"/>
    <w:rsid w:val="00777EE7"/>
    <w:rsid w:val="007804C6"/>
    <w:rsid w:val="0078083C"/>
    <w:rsid w:val="00780A52"/>
    <w:rsid w:val="00780C78"/>
    <w:rsid w:val="00781AA3"/>
    <w:rsid w:val="00781AF1"/>
    <w:rsid w:val="00782664"/>
    <w:rsid w:val="00782875"/>
    <w:rsid w:val="00782A48"/>
    <w:rsid w:val="00782C73"/>
    <w:rsid w:val="00782D6A"/>
    <w:rsid w:val="0078428B"/>
    <w:rsid w:val="00784410"/>
    <w:rsid w:val="00784558"/>
    <w:rsid w:val="00784C27"/>
    <w:rsid w:val="007862AE"/>
    <w:rsid w:val="00786C75"/>
    <w:rsid w:val="00787229"/>
    <w:rsid w:val="00787424"/>
    <w:rsid w:val="007874C1"/>
    <w:rsid w:val="00787B06"/>
    <w:rsid w:val="00790530"/>
    <w:rsid w:val="00790768"/>
    <w:rsid w:val="00790802"/>
    <w:rsid w:val="00790ECF"/>
    <w:rsid w:val="0079102D"/>
    <w:rsid w:val="007910A8"/>
    <w:rsid w:val="0079154C"/>
    <w:rsid w:val="0079229C"/>
    <w:rsid w:val="00792A58"/>
    <w:rsid w:val="00793132"/>
    <w:rsid w:val="00793631"/>
    <w:rsid w:val="0079385E"/>
    <w:rsid w:val="00793F23"/>
    <w:rsid w:val="00794363"/>
    <w:rsid w:val="00794572"/>
    <w:rsid w:val="00794B42"/>
    <w:rsid w:val="00794C2D"/>
    <w:rsid w:val="00794D34"/>
    <w:rsid w:val="00795C11"/>
    <w:rsid w:val="00797D92"/>
    <w:rsid w:val="007A011D"/>
    <w:rsid w:val="007A0272"/>
    <w:rsid w:val="007A03B2"/>
    <w:rsid w:val="007A065A"/>
    <w:rsid w:val="007A07CC"/>
    <w:rsid w:val="007A0968"/>
    <w:rsid w:val="007A0F7F"/>
    <w:rsid w:val="007A113F"/>
    <w:rsid w:val="007A1724"/>
    <w:rsid w:val="007A175C"/>
    <w:rsid w:val="007A24C0"/>
    <w:rsid w:val="007A2952"/>
    <w:rsid w:val="007A2E06"/>
    <w:rsid w:val="007A2F07"/>
    <w:rsid w:val="007A31E3"/>
    <w:rsid w:val="007A32EE"/>
    <w:rsid w:val="007A3670"/>
    <w:rsid w:val="007A3A58"/>
    <w:rsid w:val="007A3D30"/>
    <w:rsid w:val="007A49F0"/>
    <w:rsid w:val="007A5027"/>
    <w:rsid w:val="007A552E"/>
    <w:rsid w:val="007A6C3E"/>
    <w:rsid w:val="007A7D5C"/>
    <w:rsid w:val="007B02BD"/>
    <w:rsid w:val="007B0E8F"/>
    <w:rsid w:val="007B1A87"/>
    <w:rsid w:val="007B1A94"/>
    <w:rsid w:val="007B201C"/>
    <w:rsid w:val="007B23F7"/>
    <w:rsid w:val="007B296E"/>
    <w:rsid w:val="007B2ED3"/>
    <w:rsid w:val="007B36B9"/>
    <w:rsid w:val="007B4252"/>
    <w:rsid w:val="007B4E6D"/>
    <w:rsid w:val="007B610D"/>
    <w:rsid w:val="007B626C"/>
    <w:rsid w:val="007B6432"/>
    <w:rsid w:val="007B65D8"/>
    <w:rsid w:val="007B725B"/>
    <w:rsid w:val="007B72B2"/>
    <w:rsid w:val="007B787B"/>
    <w:rsid w:val="007C0913"/>
    <w:rsid w:val="007C0A02"/>
    <w:rsid w:val="007C11C4"/>
    <w:rsid w:val="007C134E"/>
    <w:rsid w:val="007C1E1B"/>
    <w:rsid w:val="007C247D"/>
    <w:rsid w:val="007C269E"/>
    <w:rsid w:val="007C346B"/>
    <w:rsid w:val="007C3A95"/>
    <w:rsid w:val="007C401D"/>
    <w:rsid w:val="007C4877"/>
    <w:rsid w:val="007C5F44"/>
    <w:rsid w:val="007C640D"/>
    <w:rsid w:val="007C729C"/>
    <w:rsid w:val="007C7C22"/>
    <w:rsid w:val="007D0087"/>
    <w:rsid w:val="007D0104"/>
    <w:rsid w:val="007D02A1"/>
    <w:rsid w:val="007D0AD0"/>
    <w:rsid w:val="007D11C9"/>
    <w:rsid w:val="007D3035"/>
    <w:rsid w:val="007D327E"/>
    <w:rsid w:val="007D430B"/>
    <w:rsid w:val="007D4BBA"/>
    <w:rsid w:val="007D4CFA"/>
    <w:rsid w:val="007D50BC"/>
    <w:rsid w:val="007D66FF"/>
    <w:rsid w:val="007D71D7"/>
    <w:rsid w:val="007D7263"/>
    <w:rsid w:val="007D74B7"/>
    <w:rsid w:val="007D7862"/>
    <w:rsid w:val="007D7C26"/>
    <w:rsid w:val="007E0B11"/>
    <w:rsid w:val="007E0B5C"/>
    <w:rsid w:val="007E0E04"/>
    <w:rsid w:val="007E0E57"/>
    <w:rsid w:val="007E1137"/>
    <w:rsid w:val="007E1892"/>
    <w:rsid w:val="007E2407"/>
    <w:rsid w:val="007E3570"/>
    <w:rsid w:val="007E35A4"/>
    <w:rsid w:val="007E37EB"/>
    <w:rsid w:val="007E38B2"/>
    <w:rsid w:val="007E3DA2"/>
    <w:rsid w:val="007E41D0"/>
    <w:rsid w:val="007E4890"/>
    <w:rsid w:val="007E4C8E"/>
    <w:rsid w:val="007E4FF1"/>
    <w:rsid w:val="007E643E"/>
    <w:rsid w:val="007E7031"/>
    <w:rsid w:val="007E7152"/>
    <w:rsid w:val="007E747B"/>
    <w:rsid w:val="007E7E8D"/>
    <w:rsid w:val="007F0059"/>
    <w:rsid w:val="007F05DE"/>
    <w:rsid w:val="007F1086"/>
    <w:rsid w:val="007F135E"/>
    <w:rsid w:val="007F15D9"/>
    <w:rsid w:val="007F1A93"/>
    <w:rsid w:val="007F2D35"/>
    <w:rsid w:val="007F3152"/>
    <w:rsid w:val="007F31F3"/>
    <w:rsid w:val="007F3645"/>
    <w:rsid w:val="007F3844"/>
    <w:rsid w:val="007F3AE8"/>
    <w:rsid w:val="007F4321"/>
    <w:rsid w:val="007F4BA7"/>
    <w:rsid w:val="007F5068"/>
    <w:rsid w:val="007F5342"/>
    <w:rsid w:val="007F54FF"/>
    <w:rsid w:val="007F57F4"/>
    <w:rsid w:val="007F5A01"/>
    <w:rsid w:val="007F5CC8"/>
    <w:rsid w:val="007F6331"/>
    <w:rsid w:val="007F696B"/>
    <w:rsid w:val="007F69FD"/>
    <w:rsid w:val="007F6BB1"/>
    <w:rsid w:val="007F76B4"/>
    <w:rsid w:val="008000A3"/>
    <w:rsid w:val="00800181"/>
    <w:rsid w:val="00800C85"/>
    <w:rsid w:val="008015AF"/>
    <w:rsid w:val="008015F2"/>
    <w:rsid w:val="008025C3"/>
    <w:rsid w:val="0080265B"/>
    <w:rsid w:val="008027E2"/>
    <w:rsid w:val="00803257"/>
    <w:rsid w:val="00803C91"/>
    <w:rsid w:val="00804464"/>
    <w:rsid w:val="00804CAC"/>
    <w:rsid w:val="00805121"/>
    <w:rsid w:val="00805C3D"/>
    <w:rsid w:val="00805EBD"/>
    <w:rsid w:val="008060D0"/>
    <w:rsid w:val="008061D4"/>
    <w:rsid w:val="008064C9"/>
    <w:rsid w:val="0080683B"/>
    <w:rsid w:val="008068EC"/>
    <w:rsid w:val="00806915"/>
    <w:rsid w:val="008076A8"/>
    <w:rsid w:val="00807A0A"/>
    <w:rsid w:val="00807EA7"/>
    <w:rsid w:val="0081037F"/>
    <w:rsid w:val="008104EA"/>
    <w:rsid w:val="0081094F"/>
    <w:rsid w:val="008109C7"/>
    <w:rsid w:val="00811DE8"/>
    <w:rsid w:val="00812107"/>
    <w:rsid w:val="0081258F"/>
    <w:rsid w:val="008126DE"/>
    <w:rsid w:val="0081285D"/>
    <w:rsid w:val="00813119"/>
    <w:rsid w:val="00813BB2"/>
    <w:rsid w:val="00813E5E"/>
    <w:rsid w:val="00813F2A"/>
    <w:rsid w:val="00813FE0"/>
    <w:rsid w:val="0081414D"/>
    <w:rsid w:val="008153C5"/>
    <w:rsid w:val="00815974"/>
    <w:rsid w:val="00815E8A"/>
    <w:rsid w:val="00816778"/>
    <w:rsid w:val="008179E3"/>
    <w:rsid w:val="00817E7E"/>
    <w:rsid w:val="00817F70"/>
    <w:rsid w:val="0082007B"/>
    <w:rsid w:val="00820ACD"/>
    <w:rsid w:val="00820C20"/>
    <w:rsid w:val="00821A38"/>
    <w:rsid w:val="00821A48"/>
    <w:rsid w:val="00821AE4"/>
    <w:rsid w:val="00821C1D"/>
    <w:rsid w:val="00822330"/>
    <w:rsid w:val="00822ADD"/>
    <w:rsid w:val="00823212"/>
    <w:rsid w:val="008235A8"/>
    <w:rsid w:val="00823667"/>
    <w:rsid w:val="008241E6"/>
    <w:rsid w:val="00824F4A"/>
    <w:rsid w:val="0082519B"/>
    <w:rsid w:val="00826526"/>
    <w:rsid w:val="00826B78"/>
    <w:rsid w:val="00826FAC"/>
    <w:rsid w:val="0082727D"/>
    <w:rsid w:val="00827FF8"/>
    <w:rsid w:val="0083040F"/>
    <w:rsid w:val="0083054B"/>
    <w:rsid w:val="008306E0"/>
    <w:rsid w:val="00830C3D"/>
    <w:rsid w:val="00830CA5"/>
    <w:rsid w:val="008311B0"/>
    <w:rsid w:val="008312AF"/>
    <w:rsid w:val="00831BFD"/>
    <w:rsid w:val="00832C65"/>
    <w:rsid w:val="008330AF"/>
    <w:rsid w:val="008333CA"/>
    <w:rsid w:val="00833B63"/>
    <w:rsid w:val="00834D1F"/>
    <w:rsid w:val="00835082"/>
    <w:rsid w:val="0083581B"/>
    <w:rsid w:val="008362EC"/>
    <w:rsid w:val="0083697E"/>
    <w:rsid w:val="00836A61"/>
    <w:rsid w:val="00836BFE"/>
    <w:rsid w:val="00836DBF"/>
    <w:rsid w:val="008372E8"/>
    <w:rsid w:val="00840208"/>
    <w:rsid w:val="008405CB"/>
    <w:rsid w:val="00840795"/>
    <w:rsid w:val="00840990"/>
    <w:rsid w:val="00840A43"/>
    <w:rsid w:val="00840B74"/>
    <w:rsid w:val="00840C32"/>
    <w:rsid w:val="00840FBE"/>
    <w:rsid w:val="00841305"/>
    <w:rsid w:val="00841449"/>
    <w:rsid w:val="00841874"/>
    <w:rsid w:val="00841ADF"/>
    <w:rsid w:val="00842AAC"/>
    <w:rsid w:val="00843991"/>
    <w:rsid w:val="00843FEA"/>
    <w:rsid w:val="008444CE"/>
    <w:rsid w:val="00844D34"/>
    <w:rsid w:val="0084510F"/>
    <w:rsid w:val="008452C8"/>
    <w:rsid w:val="008455F8"/>
    <w:rsid w:val="008459BF"/>
    <w:rsid w:val="00845FE2"/>
    <w:rsid w:val="008463F3"/>
    <w:rsid w:val="00846D1B"/>
    <w:rsid w:val="008474F6"/>
    <w:rsid w:val="00847634"/>
    <w:rsid w:val="00847B64"/>
    <w:rsid w:val="0085093C"/>
    <w:rsid w:val="00850AE6"/>
    <w:rsid w:val="00850C5F"/>
    <w:rsid w:val="00851421"/>
    <w:rsid w:val="00851540"/>
    <w:rsid w:val="00851C2C"/>
    <w:rsid w:val="00851D7C"/>
    <w:rsid w:val="0085222A"/>
    <w:rsid w:val="00852DF4"/>
    <w:rsid w:val="00853014"/>
    <w:rsid w:val="00853033"/>
    <w:rsid w:val="0085330E"/>
    <w:rsid w:val="00853DD6"/>
    <w:rsid w:val="0085402F"/>
    <w:rsid w:val="008541AB"/>
    <w:rsid w:val="00854821"/>
    <w:rsid w:val="008553F0"/>
    <w:rsid w:val="00855697"/>
    <w:rsid w:val="00855D07"/>
    <w:rsid w:val="00855DD1"/>
    <w:rsid w:val="008565D3"/>
    <w:rsid w:val="00856E7D"/>
    <w:rsid w:val="0085793B"/>
    <w:rsid w:val="00857ECC"/>
    <w:rsid w:val="00860B07"/>
    <w:rsid w:val="00860C6B"/>
    <w:rsid w:val="00860CE2"/>
    <w:rsid w:val="008617E3"/>
    <w:rsid w:val="00862169"/>
    <w:rsid w:val="00862995"/>
    <w:rsid w:val="00862EAD"/>
    <w:rsid w:val="0086447F"/>
    <w:rsid w:val="00864A9D"/>
    <w:rsid w:val="00864AFF"/>
    <w:rsid w:val="00864D0F"/>
    <w:rsid w:val="008651F2"/>
    <w:rsid w:val="00865543"/>
    <w:rsid w:val="00865BCF"/>
    <w:rsid w:val="00866190"/>
    <w:rsid w:val="00866634"/>
    <w:rsid w:val="0086719F"/>
    <w:rsid w:val="0087089D"/>
    <w:rsid w:val="008708D2"/>
    <w:rsid w:val="008713B0"/>
    <w:rsid w:val="00874499"/>
    <w:rsid w:val="00874565"/>
    <w:rsid w:val="008746FA"/>
    <w:rsid w:val="008747B0"/>
    <w:rsid w:val="00874A9C"/>
    <w:rsid w:val="00874EE3"/>
    <w:rsid w:val="0087549D"/>
    <w:rsid w:val="0087572A"/>
    <w:rsid w:val="008758AF"/>
    <w:rsid w:val="00875A9C"/>
    <w:rsid w:val="00876002"/>
    <w:rsid w:val="008761FD"/>
    <w:rsid w:val="00876378"/>
    <w:rsid w:val="00876866"/>
    <w:rsid w:val="008769F7"/>
    <w:rsid w:val="00876B46"/>
    <w:rsid w:val="00876DAD"/>
    <w:rsid w:val="00876E7C"/>
    <w:rsid w:val="008774D3"/>
    <w:rsid w:val="0087761F"/>
    <w:rsid w:val="00877BA7"/>
    <w:rsid w:val="00877C20"/>
    <w:rsid w:val="008808AA"/>
    <w:rsid w:val="00880BD0"/>
    <w:rsid w:val="00881941"/>
    <w:rsid w:val="00882B3A"/>
    <w:rsid w:val="00883297"/>
    <w:rsid w:val="00883812"/>
    <w:rsid w:val="00883A18"/>
    <w:rsid w:val="00884AD0"/>
    <w:rsid w:val="00884D5A"/>
    <w:rsid w:val="00884EB9"/>
    <w:rsid w:val="00884F50"/>
    <w:rsid w:val="00885437"/>
    <w:rsid w:val="0088592C"/>
    <w:rsid w:val="00885D1B"/>
    <w:rsid w:val="00886FFF"/>
    <w:rsid w:val="008908AB"/>
    <w:rsid w:val="0089117B"/>
    <w:rsid w:val="00891C8C"/>
    <w:rsid w:val="00891E79"/>
    <w:rsid w:val="008924DD"/>
    <w:rsid w:val="00892947"/>
    <w:rsid w:val="00892E42"/>
    <w:rsid w:val="008935EA"/>
    <w:rsid w:val="00893CFA"/>
    <w:rsid w:val="00893D77"/>
    <w:rsid w:val="008941A4"/>
    <w:rsid w:val="00894DA3"/>
    <w:rsid w:val="00894F92"/>
    <w:rsid w:val="0089539D"/>
    <w:rsid w:val="00895E88"/>
    <w:rsid w:val="008963B5"/>
    <w:rsid w:val="00896AAE"/>
    <w:rsid w:val="0089730A"/>
    <w:rsid w:val="008979C4"/>
    <w:rsid w:val="00897D23"/>
    <w:rsid w:val="008A02ED"/>
    <w:rsid w:val="008A0416"/>
    <w:rsid w:val="008A0ADC"/>
    <w:rsid w:val="008A0B8C"/>
    <w:rsid w:val="008A0BF3"/>
    <w:rsid w:val="008A0E65"/>
    <w:rsid w:val="008A11D0"/>
    <w:rsid w:val="008A1508"/>
    <w:rsid w:val="008A1735"/>
    <w:rsid w:val="008A2B46"/>
    <w:rsid w:val="008A2F0A"/>
    <w:rsid w:val="008A3F5C"/>
    <w:rsid w:val="008A4001"/>
    <w:rsid w:val="008A5233"/>
    <w:rsid w:val="008A5E54"/>
    <w:rsid w:val="008A623D"/>
    <w:rsid w:val="008A63B5"/>
    <w:rsid w:val="008A6431"/>
    <w:rsid w:val="008A643F"/>
    <w:rsid w:val="008A6529"/>
    <w:rsid w:val="008A687F"/>
    <w:rsid w:val="008A7383"/>
    <w:rsid w:val="008A7B41"/>
    <w:rsid w:val="008A7DDF"/>
    <w:rsid w:val="008A7F19"/>
    <w:rsid w:val="008A7FE5"/>
    <w:rsid w:val="008B0FBD"/>
    <w:rsid w:val="008B17CC"/>
    <w:rsid w:val="008B3D52"/>
    <w:rsid w:val="008B3D99"/>
    <w:rsid w:val="008B3FA9"/>
    <w:rsid w:val="008B3FE8"/>
    <w:rsid w:val="008B436A"/>
    <w:rsid w:val="008B49E5"/>
    <w:rsid w:val="008B4A6A"/>
    <w:rsid w:val="008B51A6"/>
    <w:rsid w:val="008B552C"/>
    <w:rsid w:val="008B56DF"/>
    <w:rsid w:val="008B5723"/>
    <w:rsid w:val="008B59FD"/>
    <w:rsid w:val="008B6358"/>
    <w:rsid w:val="008B637D"/>
    <w:rsid w:val="008B6471"/>
    <w:rsid w:val="008B6C2F"/>
    <w:rsid w:val="008B6EC8"/>
    <w:rsid w:val="008B7182"/>
    <w:rsid w:val="008B75E3"/>
    <w:rsid w:val="008B7C85"/>
    <w:rsid w:val="008C0477"/>
    <w:rsid w:val="008C1140"/>
    <w:rsid w:val="008C188D"/>
    <w:rsid w:val="008C25A6"/>
    <w:rsid w:val="008C2955"/>
    <w:rsid w:val="008C551C"/>
    <w:rsid w:val="008C5F7B"/>
    <w:rsid w:val="008C6139"/>
    <w:rsid w:val="008C63E7"/>
    <w:rsid w:val="008C7E27"/>
    <w:rsid w:val="008C7E75"/>
    <w:rsid w:val="008D0483"/>
    <w:rsid w:val="008D0674"/>
    <w:rsid w:val="008D06F1"/>
    <w:rsid w:val="008D0826"/>
    <w:rsid w:val="008D1744"/>
    <w:rsid w:val="008D17AC"/>
    <w:rsid w:val="008D25B0"/>
    <w:rsid w:val="008D3269"/>
    <w:rsid w:val="008D32FB"/>
    <w:rsid w:val="008D382E"/>
    <w:rsid w:val="008D3C00"/>
    <w:rsid w:val="008D3D72"/>
    <w:rsid w:val="008D41FC"/>
    <w:rsid w:val="008D4651"/>
    <w:rsid w:val="008D4953"/>
    <w:rsid w:val="008D4ED9"/>
    <w:rsid w:val="008D4F56"/>
    <w:rsid w:val="008D560C"/>
    <w:rsid w:val="008D59A5"/>
    <w:rsid w:val="008D60FE"/>
    <w:rsid w:val="008D6711"/>
    <w:rsid w:val="008D6C99"/>
    <w:rsid w:val="008D6F84"/>
    <w:rsid w:val="008D6FDF"/>
    <w:rsid w:val="008D7022"/>
    <w:rsid w:val="008D7198"/>
    <w:rsid w:val="008D791B"/>
    <w:rsid w:val="008D7B67"/>
    <w:rsid w:val="008D7E13"/>
    <w:rsid w:val="008E02B4"/>
    <w:rsid w:val="008E05D1"/>
    <w:rsid w:val="008E0CAC"/>
    <w:rsid w:val="008E19E9"/>
    <w:rsid w:val="008E2555"/>
    <w:rsid w:val="008E2834"/>
    <w:rsid w:val="008E2AD4"/>
    <w:rsid w:val="008E33CE"/>
    <w:rsid w:val="008E3CD6"/>
    <w:rsid w:val="008E4228"/>
    <w:rsid w:val="008E4DF2"/>
    <w:rsid w:val="008E5226"/>
    <w:rsid w:val="008E5816"/>
    <w:rsid w:val="008E5AA4"/>
    <w:rsid w:val="008E5B5E"/>
    <w:rsid w:val="008E5F74"/>
    <w:rsid w:val="008E5FA2"/>
    <w:rsid w:val="008E6429"/>
    <w:rsid w:val="008E723B"/>
    <w:rsid w:val="008E7307"/>
    <w:rsid w:val="008E7BCC"/>
    <w:rsid w:val="008F0435"/>
    <w:rsid w:val="008F07F3"/>
    <w:rsid w:val="008F09DA"/>
    <w:rsid w:val="008F0ABB"/>
    <w:rsid w:val="008F1464"/>
    <w:rsid w:val="008F1584"/>
    <w:rsid w:val="008F15E9"/>
    <w:rsid w:val="008F15EC"/>
    <w:rsid w:val="008F1FA2"/>
    <w:rsid w:val="008F2678"/>
    <w:rsid w:val="008F2E72"/>
    <w:rsid w:val="008F33DF"/>
    <w:rsid w:val="008F40EA"/>
    <w:rsid w:val="008F4145"/>
    <w:rsid w:val="008F4496"/>
    <w:rsid w:val="008F4C3C"/>
    <w:rsid w:val="008F4F33"/>
    <w:rsid w:val="008F5784"/>
    <w:rsid w:val="008F5DD6"/>
    <w:rsid w:val="008F6441"/>
    <w:rsid w:val="008F65D0"/>
    <w:rsid w:val="008F67CD"/>
    <w:rsid w:val="008F6E84"/>
    <w:rsid w:val="008F705E"/>
    <w:rsid w:val="008F76A1"/>
    <w:rsid w:val="008F79E1"/>
    <w:rsid w:val="008F7AA6"/>
    <w:rsid w:val="008F7F60"/>
    <w:rsid w:val="009006BD"/>
    <w:rsid w:val="00900732"/>
    <w:rsid w:val="009009FF"/>
    <w:rsid w:val="00901DB6"/>
    <w:rsid w:val="00902496"/>
    <w:rsid w:val="00902E5D"/>
    <w:rsid w:val="00903056"/>
    <w:rsid w:val="00903467"/>
    <w:rsid w:val="00903C8F"/>
    <w:rsid w:val="00903EA1"/>
    <w:rsid w:val="009053D6"/>
    <w:rsid w:val="0090551D"/>
    <w:rsid w:val="00905753"/>
    <w:rsid w:val="0090586A"/>
    <w:rsid w:val="00905D87"/>
    <w:rsid w:val="00906209"/>
    <w:rsid w:val="009064C3"/>
    <w:rsid w:val="009067F6"/>
    <w:rsid w:val="009070CC"/>
    <w:rsid w:val="0090761E"/>
    <w:rsid w:val="009076B3"/>
    <w:rsid w:val="00907FFE"/>
    <w:rsid w:val="00910855"/>
    <w:rsid w:val="009116EB"/>
    <w:rsid w:val="00911B53"/>
    <w:rsid w:val="009122C5"/>
    <w:rsid w:val="00912329"/>
    <w:rsid w:val="009128AC"/>
    <w:rsid w:val="00912C0A"/>
    <w:rsid w:val="00913058"/>
    <w:rsid w:val="009130F8"/>
    <w:rsid w:val="0091347F"/>
    <w:rsid w:val="009134CB"/>
    <w:rsid w:val="009138C2"/>
    <w:rsid w:val="0091390C"/>
    <w:rsid w:val="009144D6"/>
    <w:rsid w:val="00914A81"/>
    <w:rsid w:val="00914C09"/>
    <w:rsid w:val="00914E30"/>
    <w:rsid w:val="00914FF2"/>
    <w:rsid w:val="00915487"/>
    <w:rsid w:val="00915558"/>
    <w:rsid w:val="00915770"/>
    <w:rsid w:val="009162E6"/>
    <w:rsid w:val="009170DF"/>
    <w:rsid w:val="009172C4"/>
    <w:rsid w:val="009173EF"/>
    <w:rsid w:val="00917542"/>
    <w:rsid w:val="00920BB7"/>
    <w:rsid w:val="00920F83"/>
    <w:rsid w:val="00920FD8"/>
    <w:rsid w:val="009213A2"/>
    <w:rsid w:val="009215B6"/>
    <w:rsid w:val="009215BA"/>
    <w:rsid w:val="00921B69"/>
    <w:rsid w:val="009220E1"/>
    <w:rsid w:val="00922458"/>
    <w:rsid w:val="0092245C"/>
    <w:rsid w:val="009228D9"/>
    <w:rsid w:val="009229D9"/>
    <w:rsid w:val="00922BC7"/>
    <w:rsid w:val="00923CC2"/>
    <w:rsid w:val="009242D8"/>
    <w:rsid w:val="00924559"/>
    <w:rsid w:val="00924AF3"/>
    <w:rsid w:val="00925335"/>
    <w:rsid w:val="0092544B"/>
    <w:rsid w:val="009256A7"/>
    <w:rsid w:val="00925829"/>
    <w:rsid w:val="009259A7"/>
    <w:rsid w:val="009261AE"/>
    <w:rsid w:val="00927BDD"/>
    <w:rsid w:val="00930754"/>
    <w:rsid w:val="009308CA"/>
    <w:rsid w:val="00930AAF"/>
    <w:rsid w:val="00931193"/>
    <w:rsid w:val="009313A6"/>
    <w:rsid w:val="00931FB7"/>
    <w:rsid w:val="00932005"/>
    <w:rsid w:val="00932906"/>
    <w:rsid w:val="00932EEE"/>
    <w:rsid w:val="00932EF7"/>
    <w:rsid w:val="009332DC"/>
    <w:rsid w:val="0093368A"/>
    <w:rsid w:val="009337B4"/>
    <w:rsid w:val="00933C1C"/>
    <w:rsid w:val="00933D47"/>
    <w:rsid w:val="009347F6"/>
    <w:rsid w:val="009353BF"/>
    <w:rsid w:val="00935427"/>
    <w:rsid w:val="0093576A"/>
    <w:rsid w:val="00935872"/>
    <w:rsid w:val="00935E68"/>
    <w:rsid w:val="00935E87"/>
    <w:rsid w:val="00936114"/>
    <w:rsid w:val="00936D61"/>
    <w:rsid w:val="00937D80"/>
    <w:rsid w:val="009405A7"/>
    <w:rsid w:val="00940889"/>
    <w:rsid w:val="00940926"/>
    <w:rsid w:val="009434C2"/>
    <w:rsid w:val="00943BB9"/>
    <w:rsid w:val="00943E06"/>
    <w:rsid w:val="0094402C"/>
    <w:rsid w:val="0094411C"/>
    <w:rsid w:val="009455FB"/>
    <w:rsid w:val="0094566F"/>
    <w:rsid w:val="00946180"/>
    <w:rsid w:val="00946215"/>
    <w:rsid w:val="009465DA"/>
    <w:rsid w:val="00946C0C"/>
    <w:rsid w:val="00946F9B"/>
    <w:rsid w:val="009475E1"/>
    <w:rsid w:val="00950799"/>
    <w:rsid w:val="00950C99"/>
    <w:rsid w:val="009514B0"/>
    <w:rsid w:val="00951510"/>
    <w:rsid w:val="00951558"/>
    <w:rsid w:val="00952220"/>
    <w:rsid w:val="0095235F"/>
    <w:rsid w:val="00952504"/>
    <w:rsid w:val="0095256C"/>
    <w:rsid w:val="00953101"/>
    <w:rsid w:val="0095445B"/>
    <w:rsid w:val="00954471"/>
    <w:rsid w:val="00954583"/>
    <w:rsid w:val="009558B3"/>
    <w:rsid w:val="0095685E"/>
    <w:rsid w:val="00956903"/>
    <w:rsid w:val="00956DA0"/>
    <w:rsid w:val="00957DEC"/>
    <w:rsid w:val="00960153"/>
    <w:rsid w:val="00960792"/>
    <w:rsid w:val="009618C6"/>
    <w:rsid w:val="00961B0B"/>
    <w:rsid w:val="00961D6E"/>
    <w:rsid w:val="00961E0F"/>
    <w:rsid w:val="00961E54"/>
    <w:rsid w:val="009623EA"/>
    <w:rsid w:val="00962DB3"/>
    <w:rsid w:val="0096438E"/>
    <w:rsid w:val="0096495F"/>
    <w:rsid w:val="00964C2C"/>
    <w:rsid w:val="00964C58"/>
    <w:rsid w:val="00964DD2"/>
    <w:rsid w:val="00965860"/>
    <w:rsid w:val="00965BF4"/>
    <w:rsid w:val="00966288"/>
    <w:rsid w:val="00966474"/>
    <w:rsid w:val="009664D8"/>
    <w:rsid w:val="009665FF"/>
    <w:rsid w:val="00966752"/>
    <w:rsid w:val="00966A9B"/>
    <w:rsid w:val="0096783F"/>
    <w:rsid w:val="00970614"/>
    <w:rsid w:val="00970740"/>
    <w:rsid w:val="00970896"/>
    <w:rsid w:val="0097099C"/>
    <w:rsid w:val="00970A27"/>
    <w:rsid w:val="00971035"/>
    <w:rsid w:val="009714B9"/>
    <w:rsid w:val="009717BA"/>
    <w:rsid w:val="009717F5"/>
    <w:rsid w:val="00971954"/>
    <w:rsid w:val="009726F2"/>
    <w:rsid w:val="00972AE3"/>
    <w:rsid w:val="00972B0D"/>
    <w:rsid w:val="00972D89"/>
    <w:rsid w:val="009735A7"/>
    <w:rsid w:val="00973D42"/>
    <w:rsid w:val="00974038"/>
    <w:rsid w:val="009742E4"/>
    <w:rsid w:val="0097542C"/>
    <w:rsid w:val="00975574"/>
    <w:rsid w:val="009757D9"/>
    <w:rsid w:val="00975CC2"/>
    <w:rsid w:val="00975F9D"/>
    <w:rsid w:val="00980006"/>
    <w:rsid w:val="009803FA"/>
    <w:rsid w:val="009803FC"/>
    <w:rsid w:val="0098051D"/>
    <w:rsid w:val="0098113A"/>
    <w:rsid w:val="009811AC"/>
    <w:rsid w:val="00981780"/>
    <w:rsid w:val="00981FA7"/>
    <w:rsid w:val="00982619"/>
    <w:rsid w:val="00982FC1"/>
    <w:rsid w:val="009832E6"/>
    <w:rsid w:val="00983391"/>
    <w:rsid w:val="009838B0"/>
    <w:rsid w:val="00983A65"/>
    <w:rsid w:val="00983BAA"/>
    <w:rsid w:val="00983DD0"/>
    <w:rsid w:val="00983F3C"/>
    <w:rsid w:val="009842BA"/>
    <w:rsid w:val="00984B5B"/>
    <w:rsid w:val="00984C92"/>
    <w:rsid w:val="00985154"/>
    <w:rsid w:val="009855B3"/>
    <w:rsid w:val="0098570D"/>
    <w:rsid w:val="00985A66"/>
    <w:rsid w:val="0098600C"/>
    <w:rsid w:val="00987260"/>
    <w:rsid w:val="009873C6"/>
    <w:rsid w:val="0098743D"/>
    <w:rsid w:val="009877EA"/>
    <w:rsid w:val="00987C4A"/>
    <w:rsid w:val="009900B0"/>
    <w:rsid w:val="0099096C"/>
    <w:rsid w:val="00990DB2"/>
    <w:rsid w:val="00991074"/>
    <w:rsid w:val="009913CF"/>
    <w:rsid w:val="00991717"/>
    <w:rsid w:val="00991BFA"/>
    <w:rsid w:val="00992867"/>
    <w:rsid w:val="00993203"/>
    <w:rsid w:val="009935A1"/>
    <w:rsid w:val="009936BF"/>
    <w:rsid w:val="00995601"/>
    <w:rsid w:val="0099587F"/>
    <w:rsid w:val="00996A87"/>
    <w:rsid w:val="00996E1A"/>
    <w:rsid w:val="00997A20"/>
    <w:rsid w:val="009A06AB"/>
    <w:rsid w:val="009A0A3A"/>
    <w:rsid w:val="009A0DC5"/>
    <w:rsid w:val="009A1096"/>
    <w:rsid w:val="009A18FC"/>
    <w:rsid w:val="009A222F"/>
    <w:rsid w:val="009A2E60"/>
    <w:rsid w:val="009A325E"/>
    <w:rsid w:val="009A35B7"/>
    <w:rsid w:val="009A4679"/>
    <w:rsid w:val="009A565D"/>
    <w:rsid w:val="009A5FC6"/>
    <w:rsid w:val="009A640E"/>
    <w:rsid w:val="009A6474"/>
    <w:rsid w:val="009A6634"/>
    <w:rsid w:val="009A779C"/>
    <w:rsid w:val="009A7B07"/>
    <w:rsid w:val="009A7CCD"/>
    <w:rsid w:val="009B0CD8"/>
    <w:rsid w:val="009B1B15"/>
    <w:rsid w:val="009B1EEB"/>
    <w:rsid w:val="009B20A6"/>
    <w:rsid w:val="009B2104"/>
    <w:rsid w:val="009B2954"/>
    <w:rsid w:val="009B36AD"/>
    <w:rsid w:val="009B4805"/>
    <w:rsid w:val="009B4E18"/>
    <w:rsid w:val="009B4E69"/>
    <w:rsid w:val="009B566E"/>
    <w:rsid w:val="009B5694"/>
    <w:rsid w:val="009B5838"/>
    <w:rsid w:val="009B63BD"/>
    <w:rsid w:val="009B6436"/>
    <w:rsid w:val="009B7296"/>
    <w:rsid w:val="009B73EF"/>
    <w:rsid w:val="009B7E85"/>
    <w:rsid w:val="009C03AE"/>
    <w:rsid w:val="009C0511"/>
    <w:rsid w:val="009C0AD0"/>
    <w:rsid w:val="009C0AE0"/>
    <w:rsid w:val="009C1864"/>
    <w:rsid w:val="009C1B6C"/>
    <w:rsid w:val="009C2849"/>
    <w:rsid w:val="009C285D"/>
    <w:rsid w:val="009C2A9F"/>
    <w:rsid w:val="009C2E5E"/>
    <w:rsid w:val="009C337E"/>
    <w:rsid w:val="009C44AC"/>
    <w:rsid w:val="009C4949"/>
    <w:rsid w:val="009C4ABA"/>
    <w:rsid w:val="009C4CA1"/>
    <w:rsid w:val="009C547C"/>
    <w:rsid w:val="009C5595"/>
    <w:rsid w:val="009C5A8C"/>
    <w:rsid w:val="009C658D"/>
    <w:rsid w:val="009C6CF8"/>
    <w:rsid w:val="009C7054"/>
    <w:rsid w:val="009C75F8"/>
    <w:rsid w:val="009C7A12"/>
    <w:rsid w:val="009C7EF9"/>
    <w:rsid w:val="009D015A"/>
    <w:rsid w:val="009D0398"/>
    <w:rsid w:val="009D1098"/>
    <w:rsid w:val="009D254D"/>
    <w:rsid w:val="009D2797"/>
    <w:rsid w:val="009D28A2"/>
    <w:rsid w:val="009D2AFE"/>
    <w:rsid w:val="009D2FF5"/>
    <w:rsid w:val="009D3CDD"/>
    <w:rsid w:val="009D3F2E"/>
    <w:rsid w:val="009D47E4"/>
    <w:rsid w:val="009D4975"/>
    <w:rsid w:val="009D4C7B"/>
    <w:rsid w:val="009D4CB9"/>
    <w:rsid w:val="009D4DBC"/>
    <w:rsid w:val="009D4EAB"/>
    <w:rsid w:val="009D53F0"/>
    <w:rsid w:val="009D5D37"/>
    <w:rsid w:val="009D5D81"/>
    <w:rsid w:val="009D7522"/>
    <w:rsid w:val="009E07AD"/>
    <w:rsid w:val="009E13BD"/>
    <w:rsid w:val="009E17BD"/>
    <w:rsid w:val="009E18CA"/>
    <w:rsid w:val="009E1ABD"/>
    <w:rsid w:val="009E1B6D"/>
    <w:rsid w:val="009E2817"/>
    <w:rsid w:val="009E3B74"/>
    <w:rsid w:val="009E3DDF"/>
    <w:rsid w:val="009E4C6F"/>
    <w:rsid w:val="009E51A6"/>
    <w:rsid w:val="009E5368"/>
    <w:rsid w:val="009E540A"/>
    <w:rsid w:val="009E6928"/>
    <w:rsid w:val="009E79DA"/>
    <w:rsid w:val="009E7B63"/>
    <w:rsid w:val="009F0407"/>
    <w:rsid w:val="009F0E44"/>
    <w:rsid w:val="009F16EC"/>
    <w:rsid w:val="009F18E2"/>
    <w:rsid w:val="009F1C4F"/>
    <w:rsid w:val="009F1CAC"/>
    <w:rsid w:val="009F211B"/>
    <w:rsid w:val="009F2354"/>
    <w:rsid w:val="009F294E"/>
    <w:rsid w:val="009F2A92"/>
    <w:rsid w:val="009F32CA"/>
    <w:rsid w:val="009F3607"/>
    <w:rsid w:val="009F397E"/>
    <w:rsid w:val="009F3B49"/>
    <w:rsid w:val="009F42F6"/>
    <w:rsid w:val="009F430D"/>
    <w:rsid w:val="009F48B6"/>
    <w:rsid w:val="009F4DDB"/>
    <w:rsid w:val="009F55B6"/>
    <w:rsid w:val="009F561B"/>
    <w:rsid w:val="009F5BEE"/>
    <w:rsid w:val="009F60E1"/>
    <w:rsid w:val="009F68AC"/>
    <w:rsid w:val="009F6A46"/>
    <w:rsid w:val="009F6B74"/>
    <w:rsid w:val="009F6FA2"/>
    <w:rsid w:val="009F730F"/>
    <w:rsid w:val="009F7D89"/>
    <w:rsid w:val="00A003B2"/>
    <w:rsid w:val="00A00AE2"/>
    <w:rsid w:val="00A00AFA"/>
    <w:rsid w:val="00A00B0F"/>
    <w:rsid w:val="00A01021"/>
    <w:rsid w:val="00A01049"/>
    <w:rsid w:val="00A012F3"/>
    <w:rsid w:val="00A014BC"/>
    <w:rsid w:val="00A014F1"/>
    <w:rsid w:val="00A0167F"/>
    <w:rsid w:val="00A01B9D"/>
    <w:rsid w:val="00A02316"/>
    <w:rsid w:val="00A027BD"/>
    <w:rsid w:val="00A02FC3"/>
    <w:rsid w:val="00A036E9"/>
    <w:rsid w:val="00A03BF5"/>
    <w:rsid w:val="00A03FE9"/>
    <w:rsid w:val="00A041A9"/>
    <w:rsid w:val="00A04CEC"/>
    <w:rsid w:val="00A05F95"/>
    <w:rsid w:val="00A06FC9"/>
    <w:rsid w:val="00A07BEA"/>
    <w:rsid w:val="00A07C9C"/>
    <w:rsid w:val="00A10541"/>
    <w:rsid w:val="00A1057E"/>
    <w:rsid w:val="00A1077C"/>
    <w:rsid w:val="00A10B92"/>
    <w:rsid w:val="00A11AB1"/>
    <w:rsid w:val="00A125C5"/>
    <w:rsid w:val="00A12839"/>
    <w:rsid w:val="00A12D09"/>
    <w:rsid w:val="00A13182"/>
    <w:rsid w:val="00A13247"/>
    <w:rsid w:val="00A13886"/>
    <w:rsid w:val="00A13DEE"/>
    <w:rsid w:val="00A1460F"/>
    <w:rsid w:val="00A146E9"/>
    <w:rsid w:val="00A1528D"/>
    <w:rsid w:val="00A15C15"/>
    <w:rsid w:val="00A165D6"/>
    <w:rsid w:val="00A16C79"/>
    <w:rsid w:val="00A1715E"/>
    <w:rsid w:val="00A17679"/>
    <w:rsid w:val="00A17696"/>
    <w:rsid w:val="00A177FF"/>
    <w:rsid w:val="00A20140"/>
    <w:rsid w:val="00A201D4"/>
    <w:rsid w:val="00A20D11"/>
    <w:rsid w:val="00A2133F"/>
    <w:rsid w:val="00A21968"/>
    <w:rsid w:val="00A219E0"/>
    <w:rsid w:val="00A219FF"/>
    <w:rsid w:val="00A21CD5"/>
    <w:rsid w:val="00A21D2D"/>
    <w:rsid w:val="00A21F45"/>
    <w:rsid w:val="00A22F65"/>
    <w:rsid w:val="00A23073"/>
    <w:rsid w:val="00A23721"/>
    <w:rsid w:val="00A2471E"/>
    <w:rsid w:val="00A2514A"/>
    <w:rsid w:val="00A2598B"/>
    <w:rsid w:val="00A27B9C"/>
    <w:rsid w:val="00A27F92"/>
    <w:rsid w:val="00A30209"/>
    <w:rsid w:val="00A30C49"/>
    <w:rsid w:val="00A310AA"/>
    <w:rsid w:val="00A310CE"/>
    <w:rsid w:val="00A317CE"/>
    <w:rsid w:val="00A32257"/>
    <w:rsid w:val="00A322C7"/>
    <w:rsid w:val="00A32D97"/>
    <w:rsid w:val="00A33B70"/>
    <w:rsid w:val="00A33C76"/>
    <w:rsid w:val="00A33FF0"/>
    <w:rsid w:val="00A348D8"/>
    <w:rsid w:val="00A34D1C"/>
    <w:rsid w:val="00A35143"/>
    <w:rsid w:val="00A351F4"/>
    <w:rsid w:val="00A35689"/>
    <w:rsid w:val="00A35E58"/>
    <w:rsid w:val="00A362F1"/>
    <w:rsid w:val="00A36670"/>
    <w:rsid w:val="00A36CBC"/>
    <w:rsid w:val="00A372DE"/>
    <w:rsid w:val="00A37EC6"/>
    <w:rsid w:val="00A4027A"/>
    <w:rsid w:val="00A40F7E"/>
    <w:rsid w:val="00A40FFE"/>
    <w:rsid w:val="00A41AA7"/>
    <w:rsid w:val="00A42670"/>
    <w:rsid w:val="00A434DE"/>
    <w:rsid w:val="00A43A1C"/>
    <w:rsid w:val="00A43BBE"/>
    <w:rsid w:val="00A43DB6"/>
    <w:rsid w:val="00A44F43"/>
    <w:rsid w:val="00A4540F"/>
    <w:rsid w:val="00A45CE6"/>
    <w:rsid w:val="00A46461"/>
    <w:rsid w:val="00A46E15"/>
    <w:rsid w:val="00A47127"/>
    <w:rsid w:val="00A471DF"/>
    <w:rsid w:val="00A4720B"/>
    <w:rsid w:val="00A47550"/>
    <w:rsid w:val="00A50EBB"/>
    <w:rsid w:val="00A51870"/>
    <w:rsid w:val="00A51F37"/>
    <w:rsid w:val="00A5229F"/>
    <w:rsid w:val="00A5309C"/>
    <w:rsid w:val="00A53677"/>
    <w:rsid w:val="00A536DE"/>
    <w:rsid w:val="00A53968"/>
    <w:rsid w:val="00A53E1B"/>
    <w:rsid w:val="00A53EFC"/>
    <w:rsid w:val="00A540B3"/>
    <w:rsid w:val="00A540B6"/>
    <w:rsid w:val="00A5413A"/>
    <w:rsid w:val="00A542CD"/>
    <w:rsid w:val="00A54388"/>
    <w:rsid w:val="00A55622"/>
    <w:rsid w:val="00A5572C"/>
    <w:rsid w:val="00A55C36"/>
    <w:rsid w:val="00A55FB2"/>
    <w:rsid w:val="00A56915"/>
    <w:rsid w:val="00A601E2"/>
    <w:rsid w:val="00A60719"/>
    <w:rsid w:val="00A61AF8"/>
    <w:rsid w:val="00A62B91"/>
    <w:rsid w:val="00A634E2"/>
    <w:rsid w:val="00A63A3A"/>
    <w:rsid w:val="00A6404B"/>
    <w:rsid w:val="00A64860"/>
    <w:rsid w:val="00A64A9A"/>
    <w:rsid w:val="00A64B52"/>
    <w:rsid w:val="00A65A30"/>
    <w:rsid w:val="00A66CE4"/>
    <w:rsid w:val="00A66FC0"/>
    <w:rsid w:val="00A676BF"/>
    <w:rsid w:val="00A67B7D"/>
    <w:rsid w:val="00A703D2"/>
    <w:rsid w:val="00A7046E"/>
    <w:rsid w:val="00A705FC"/>
    <w:rsid w:val="00A7118C"/>
    <w:rsid w:val="00A717BA"/>
    <w:rsid w:val="00A71945"/>
    <w:rsid w:val="00A71B11"/>
    <w:rsid w:val="00A72A24"/>
    <w:rsid w:val="00A72B2E"/>
    <w:rsid w:val="00A72F86"/>
    <w:rsid w:val="00A73407"/>
    <w:rsid w:val="00A7356B"/>
    <w:rsid w:val="00A763A2"/>
    <w:rsid w:val="00A76A98"/>
    <w:rsid w:val="00A76D9C"/>
    <w:rsid w:val="00A76F78"/>
    <w:rsid w:val="00A77529"/>
    <w:rsid w:val="00A80E98"/>
    <w:rsid w:val="00A81316"/>
    <w:rsid w:val="00A8162F"/>
    <w:rsid w:val="00A817FC"/>
    <w:rsid w:val="00A81812"/>
    <w:rsid w:val="00A81A5E"/>
    <w:rsid w:val="00A825E2"/>
    <w:rsid w:val="00A82DB1"/>
    <w:rsid w:val="00A83502"/>
    <w:rsid w:val="00A8479D"/>
    <w:rsid w:val="00A849F5"/>
    <w:rsid w:val="00A84A98"/>
    <w:rsid w:val="00A84E53"/>
    <w:rsid w:val="00A852C9"/>
    <w:rsid w:val="00A858C8"/>
    <w:rsid w:val="00A85953"/>
    <w:rsid w:val="00A859AE"/>
    <w:rsid w:val="00A85CD6"/>
    <w:rsid w:val="00A85E29"/>
    <w:rsid w:val="00A86FB6"/>
    <w:rsid w:val="00A87128"/>
    <w:rsid w:val="00A87F93"/>
    <w:rsid w:val="00A9013B"/>
    <w:rsid w:val="00A90A56"/>
    <w:rsid w:val="00A91641"/>
    <w:rsid w:val="00A916FF"/>
    <w:rsid w:val="00A9195B"/>
    <w:rsid w:val="00A91B6A"/>
    <w:rsid w:val="00A92380"/>
    <w:rsid w:val="00A929E6"/>
    <w:rsid w:val="00A92FE0"/>
    <w:rsid w:val="00A93149"/>
    <w:rsid w:val="00A93260"/>
    <w:rsid w:val="00A93635"/>
    <w:rsid w:val="00A9386D"/>
    <w:rsid w:val="00A94BCD"/>
    <w:rsid w:val="00A950F3"/>
    <w:rsid w:val="00A95BAA"/>
    <w:rsid w:val="00A9736A"/>
    <w:rsid w:val="00A97703"/>
    <w:rsid w:val="00A97C83"/>
    <w:rsid w:val="00A97FB7"/>
    <w:rsid w:val="00AA0C55"/>
    <w:rsid w:val="00AA0E7E"/>
    <w:rsid w:val="00AA1187"/>
    <w:rsid w:val="00AA1577"/>
    <w:rsid w:val="00AA18AC"/>
    <w:rsid w:val="00AA1E3C"/>
    <w:rsid w:val="00AA20AB"/>
    <w:rsid w:val="00AA2488"/>
    <w:rsid w:val="00AA36C4"/>
    <w:rsid w:val="00AA3786"/>
    <w:rsid w:val="00AA3AC1"/>
    <w:rsid w:val="00AA421C"/>
    <w:rsid w:val="00AA4281"/>
    <w:rsid w:val="00AA446D"/>
    <w:rsid w:val="00AA4485"/>
    <w:rsid w:val="00AA4C06"/>
    <w:rsid w:val="00AA4C70"/>
    <w:rsid w:val="00AA57A1"/>
    <w:rsid w:val="00AA588E"/>
    <w:rsid w:val="00AA6326"/>
    <w:rsid w:val="00AA6360"/>
    <w:rsid w:val="00AA6932"/>
    <w:rsid w:val="00AA6F4B"/>
    <w:rsid w:val="00AA7224"/>
    <w:rsid w:val="00AA7263"/>
    <w:rsid w:val="00AA74B9"/>
    <w:rsid w:val="00AA7C55"/>
    <w:rsid w:val="00AB0B77"/>
    <w:rsid w:val="00AB0BA6"/>
    <w:rsid w:val="00AB0CF2"/>
    <w:rsid w:val="00AB1394"/>
    <w:rsid w:val="00AB1945"/>
    <w:rsid w:val="00AB1BCD"/>
    <w:rsid w:val="00AB1CE1"/>
    <w:rsid w:val="00AB1FC8"/>
    <w:rsid w:val="00AB22E9"/>
    <w:rsid w:val="00AB374B"/>
    <w:rsid w:val="00AB3CAC"/>
    <w:rsid w:val="00AB400A"/>
    <w:rsid w:val="00AB457E"/>
    <w:rsid w:val="00AB4902"/>
    <w:rsid w:val="00AB4B58"/>
    <w:rsid w:val="00AB4BF4"/>
    <w:rsid w:val="00AB56B0"/>
    <w:rsid w:val="00AB5809"/>
    <w:rsid w:val="00AB5D27"/>
    <w:rsid w:val="00AB6F59"/>
    <w:rsid w:val="00AB6FDF"/>
    <w:rsid w:val="00AC0705"/>
    <w:rsid w:val="00AC0769"/>
    <w:rsid w:val="00AC12DC"/>
    <w:rsid w:val="00AC206F"/>
    <w:rsid w:val="00AC28E9"/>
    <w:rsid w:val="00AC3A88"/>
    <w:rsid w:val="00AC3C4C"/>
    <w:rsid w:val="00AC3CF2"/>
    <w:rsid w:val="00AC3FB9"/>
    <w:rsid w:val="00AC4173"/>
    <w:rsid w:val="00AC43C6"/>
    <w:rsid w:val="00AC4695"/>
    <w:rsid w:val="00AC4F1A"/>
    <w:rsid w:val="00AC5E61"/>
    <w:rsid w:val="00AC6467"/>
    <w:rsid w:val="00AC66A9"/>
    <w:rsid w:val="00AC6890"/>
    <w:rsid w:val="00AC6F43"/>
    <w:rsid w:val="00AC70CA"/>
    <w:rsid w:val="00AC74E1"/>
    <w:rsid w:val="00AC786D"/>
    <w:rsid w:val="00AD02C6"/>
    <w:rsid w:val="00AD1289"/>
    <w:rsid w:val="00AD21EB"/>
    <w:rsid w:val="00AD29EC"/>
    <w:rsid w:val="00AD2B11"/>
    <w:rsid w:val="00AD2C3F"/>
    <w:rsid w:val="00AD2E81"/>
    <w:rsid w:val="00AD3042"/>
    <w:rsid w:val="00AD3085"/>
    <w:rsid w:val="00AD3B09"/>
    <w:rsid w:val="00AD4557"/>
    <w:rsid w:val="00AD5388"/>
    <w:rsid w:val="00AD540D"/>
    <w:rsid w:val="00AD563E"/>
    <w:rsid w:val="00AD58D1"/>
    <w:rsid w:val="00AD5A6F"/>
    <w:rsid w:val="00AD6031"/>
    <w:rsid w:val="00AD637F"/>
    <w:rsid w:val="00AD64E8"/>
    <w:rsid w:val="00AD656E"/>
    <w:rsid w:val="00AD660E"/>
    <w:rsid w:val="00AD74AA"/>
    <w:rsid w:val="00AD7FAD"/>
    <w:rsid w:val="00AE023D"/>
    <w:rsid w:val="00AE02CB"/>
    <w:rsid w:val="00AE0341"/>
    <w:rsid w:val="00AE0548"/>
    <w:rsid w:val="00AE0A92"/>
    <w:rsid w:val="00AE0FFE"/>
    <w:rsid w:val="00AE11DC"/>
    <w:rsid w:val="00AE1A99"/>
    <w:rsid w:val="00AE1DD1"/>
    <w:rsid w:val="00AE207D"/>
    <w:rsid w:val="00AE2165"/>
    <w:rsid w:val="00AE2BD3"/>
    <w:rsid w:val="00AE2BDB"/>
    <w:rsid w:val="00AE3220"/>
    <w:rsid w:val="00AE33B8"/>
    <w:rsid w:val="00AE35B9"/>
    <w:rsid w:val="00AE3706"/>
    <w:rsid w:val="00AE393F"/>
    <w:rsid w:val="00AE3FFF"/>
    <w:rsid w:val="00AE41C6"/>
    <w:rsid w:val="00AE524A"/>
    <w:rsid w:val="00AE5939"/>
    <w:rsid w:val="00AE597A"/>
    <w:rsid w:val="00AE5E9A"/>
    <w:rsid w:val="00AE6D90"/>
    <w:rsid w:val="00AE761C"/>
    <w:rsid w:val="00AE7E98"/>
    <w:rsid w:val="00AE7F79"/>
    <w:rsid w:val="00AF0549"/>
    <w:rsid w:val="00AF0A10"/>
    <w:rsid w:val="00AF2101"/>
    <w:rsid w:val="00AF24F3"/>
    <w:rsid w:val="00AF2515"/>
    <w:rsid w:val="00AF2866"/>
    <w:rsid w:val="00AF2869"/>
    <w:rsid w:val="00AF2F44"/>
    <w:rsid w:val="00AF3040"/>
    <w:rsid w:val="00AF3493"/>
    <w:rsid w:val="00AF3BC1"/>
    <w:rsid w:val="00AF4C2B"/>
    <w:rsid w:val="00AF4DD0"/>
    <w:rsid w:val="00AF5739"/>
    <w:rsid w:val="00AF6053"/>
    <w:rsid w:val="00AF6A2F"/>
    <w:rsid w:val="00AF6E49"/>
    <w:rsid w:val="00AF7540"/>
    <w:rsid w:val="00AF7D90"/>
    <w:rsid w:val="00B003DD"/>
    <w:rsid w:val="00B0078E"/>
    <w:rsid w:val="00B00F6F"/>
    <w:rsid w:val="00B016B6"/>
    <w:rsid w:val="00B01835"/>
    <w:rsid w:val="00B01927"/>
    <w:rsid w:val="00B0342A"/>
    <w:rsid w:val="00B03B00"/>
    <w:rsid w:val="00B04210"/>
    <w:rsid w:val="00B0495F"/>
    <w:rsid w:val="00B04A09"/>
    <w:rsid w:val="00B04A67"/>
    <w:rsid w:val="00B0528A"/>
    <w:rsid w:val="00B05606"/>
    <w:rsid w:val="00B0583C"/>
    <w:rsid w:val="00B05D5B"/>
    <w:rsid w:val="00B06025"/>
    <w:rsid w:val="00B06098"/>
    <w:rsid w:val="00B06154"/>
    <w:rsid w:val="00B06A9A"/>
    <w:rsid w:val="00B06AA6"/>
    <w:rsid w:val="00B07252"/>
    <w:rsid w:val="00B0747B"/>
    <w:rsid w:val="00B07C98"/>
    <w:rsid w:val="00B105D6"/>
    <w:rsid w:val="00B10870"/>
    <w:rsid w:val="00B10D41"/>
    <w:rsid w:val="00B10DC3"/>
    <w:rsid w:val="00B112F8"/>
    <w:rsid w:val="00B11AA3"/>
    <w:rsid w:val="00B11B17"/>
    <w:rsid w:val="00B123DA"/>
    <w:rsid w:val="00B12BB3"/>
    <w:rsid w:val="00B13572"/>
    <w:rsid w:val="00B13B3B"/>
    <w:rsid w:val="00B147C2"/>
    <w:rsid w:val="00B15992"/>
    <w:rsid w:val="00B15B5D"/>
    <w:rsid w:val="00B175D7"/>
    <w:rsid w:val="00B17F52"/>
    <w:rsid w:val="00B202DD"/>
    <w:rsid w:val="00B202F7"/>
    <w:rsid w:val="00B205A1"/>
    <w:rsid w:val="00B21153"/>
    <w:rsid w:val="00B21FB6"/>
    <w:rsid w:val="00B2207F"/>
    <w:rsid w:val="00B22765"/>
    <w:rsid w:val="00B227EB"/>
    <w:rsid w:val="00B22AA6"/>
    <w:rsid w:val="00B230A1"/>
    <w:rsid w:val="00B25252"/>
    <w:rsid w:val="00B2552C"/>
    <w:rsid w:val="00B2583D"/>
    <w:rsid w:val="00B30182"/>
    <w:rsid w:val="00B314ED"/>
    <w:rsid w:val="00B31F6F"/>
    <w:rsid w:val="00B32B5A"/>
    <w:rsid w:val="00B3353F"/>
    <w:rsid w:val="00B335E2"/>
    <w:rsid w:val="00B34577"/>
    <w:rsid w:val="00B347D9"/>
    <w:rsid w:val="00B34BF8"/>
    <w:rsid w:val="00B34C0A"/>
    <w:rsid w:val="00B34F0F"/>
    <w:rsid w:val="00B3515F"/>
    <w:rsid w:val="00B352A9"/>
    <w:rsid w:val="00B354AF"/>
    <w:rsid w:val="00B359C0"/>
    <w:rsid w:val="00B360E8"/>
    <w:rsid w:val="00B3629E"/>
    <w:rsid w:val="00B3659A"/>
    <w:rsid w:val="00B367D2"/>
    <w:rsid w:val="00B36EF5"/>
    <w:rsid w:val="00B373B4"/>
    <w:rsid w:val="00B377BA"/>
    <w:rsid w:val="00B37DF8"/>
    <w:rsid w:val="00B40141"/>
    <w:rsid w:val="00B407E7"/>
    <w:rsid w:val="00B409EF"/>
    <w:rsid w:val="00B40A81"/>
    <w:rsid w:val="00B40B56"/>
    <w:rsid w:val="00B40D4F"/>
    <w:rsid w:val="00B4127B"/>
    <w:rsid w:val="00B41555"/>
    <w:rsid w:val="00B41A3F"/>
    <w:rsid w:val="00B4202F"/>
    <w:rsid w:val="00B421C9"/>
    <w:rsid w:val="00B431FC"/>
    <w:rsid w:val="00B436D1"/>
    <w:rsid w:val="00B43B31"/>
    <w:rsid w:val="00B43C3F"/>
    <w:rsid w:val="00B445FD"/>
    <w:rsid w:val="00B44910"/>
    <w:rsid w:val="00B45090"/>
    <w:rsid w:val="00B457F4"/>
    <w:rsid w:val="00B45BBF"/>
    <w:rsid w:val="00B461A5"/>
    <w:rsid w:val="00B4620F"/>
    <w:rsid w:val="00B46449"/>
    <w:rsid w:val="00B47621"/>
    <w:rsid w:val="00B47AA4"/>
    <w:rsid w:val="00B47FDF"/>
    <w:rsid w:val="00B5011D"/>
    <w:rsid w:val="00B50253"/>
    <w:rsid w:val="00B5081E"/>
    <w:rsid w:val="00B50827"/>
    <w:rsid w:val="00B51122"/>
    <w:rsid w:val="00B51606"/>
    <w:rsid w:val="00B51AAD"/>
    <w:rsid w:val="00B51ACD"/>
    <w:rsid w:val="00B51C97"/>
    <w:rsid w:val="00B51CF4"/>
    <w:rsid w:val="00B51F2D"/>
    <w:rsid w:val="00B522DF"/>
    <w:rsid w:val="00B5290E"/>
    <w:rsid w:val="00B530C1"/>
    <w:rsid w:val="00B534CE"/>
    <w:rsid w:val="00B538C1"/>
    <w:rsid w:val="00B54183"/>
    <w:rsid w:val="00B54AA6"/>
    <w:rsid w:val="00B54D10"/>
    <w:rsid w:val="00B54D2F"/>
    <w:rsid w:val="00B54F88"/>
    <w:rsid w:val="00B562FA"/>
    <w:rsid w:val="00B56368"/>
    <w:rsid w:val="00B564C2"/>
    <w:rsid w:val="00B56B3A"/>
    <w:rsid w:val="00B56BD0"/>
    <w:rsid w:val="00B574FF"/>
    <w:rsid w:val="00B6084A"/>
    <w:rsid w:val="00B608BF"/>
    <w:rsid w:val="00B60E4A"/>
    <w:rsid w:val="00B60EAD"/>
    <w:rsid w:val="00B6153B"/>
    <w:rsid w:val="00B616D0"/>
    <w:rsid w:val="00B61B27"/>
    <w:rsid w:val="00B61CA7"/>
    <w:rsid w:val="00B62014"/>
    <w:rsid w:val="00B620C4"/>
    <w:rsid w:val="00B62AC9"/>
    <w:rsid w:val="00B62AD2"/>
    <w:rsid w:val="00B63D58"/>
    <w:rsid w:val="00B6443D"/>
    <w:rsid w:val="00B646C0"/>
    <w:rsid w:val="00B64DE6"/>
    <w:rsid w:val="00B65002"/>
    <w:rsid w:val="00B65249"/>
    <w:rsid w:val="00B659CB"/>
    <w:rsid w:val="00B65DBE"/>
    <w:rsid w:val="00B66281"/>
    <w:rsid w:val="00B666DB"/>
    <w:rsid w:val="00B668D3"/>
    <w:rsid w:val="00B66B2E"/>
    <w:rsid w:val="00B66ED1"/>
    <w:rsid w:val="00B67645"/>
    <w:rsid w:val="00B67D02"/>
    <w:rsid w:val="00B70047"/>
    <w:rsid w:val="00B7047B"/>
    <w:rsid w:val="00B70627"/>
    <w:rsid w:val="00B70CD3"/>
    <w:rsid w:val="00B71390"/>
    <w:rsid w:val="00B71E09"/>
    <w:rsid w:val="00B72024"/>
    <w:rsid w:val="00B72267"/>
    <w:rsid w:val="00B72F90"/>
    <w:rsid w:val="00B73818"/>
    <w:rsid w:val="00B73D90"/>
    <w:rsid w:val="00B73E47"/>
    <w:rsid w:val="00B7401A"/>
    <w:rsid w:val="00B742B2"/>
    <w:rsid w:val="00B742BA"/>
    <w:rsid w:val="00B74ACB"/>
    <w:rsid w:val="00B74DD8"/>
    <w:rsid w:val="00B7542D"/>
    <w:rsid w:val="00B756CE"/>
    <w:rsid w:val="00B75881"/>
    <w:rsid w:val="00B75C1F"/>
    <w:rsid w:val="00B761DF"/>
    <w:rsid w:val="00B765E8"/>
    <w:rsid w:val="00B76D1B"/>
    <w:rsid w:val="00B76EB6"/>
    <w:rsid w:val="00B80668"/>
    <w:rsid w:val="00B8069D"/>
    <w:rsid w:val="00B809F2"/>
    <w:rsid w:val="00B824C8"/>
    <w:rsid w:val="00B84E4C"/>
    <w:rsid w:val="00B85F33"/>
    <w:rsid w:val="00B869D5"/>
    <w:rsid w:val="00B86C2C"/>
    <w:rsid w:val="00B86EBE"/>
    <w:rsid w:val="00B86F6A"/>
    <w:rsid w:val="00B87176"/>
    <w:rsid w:val="00B904A7"/>
    <w:rsid w:val="00B913D1"/>
    <w:rsid w:val="00B92453"/>
    <w:rsid w:val="00B9292A"/>
    <w:rsid w:val="00B92C6D"/>
    <w:rsid w:val="00B943FA"/>
    <w:rsid w:val="00B94498"/>
    <w:rsid w:val="00B9510B"/>
    <w:rsid w:val="00B95B4C"/>
    <w:rsid w:val="00B97C57"/>
    <w:rsid w:val="00BA043C"/>
    <w:rsid w:val="00BA0B97"/>
    <w:rsid w:val="00BA17DC"/>
    <w:rsid w:val="00BA22D1"/>
    <w:rsid w:val="00BA2A6C"/>
    <w:rsid w:val="00BA312F"/>
    <w:rsid w:val="00BA31CD"/>
    <w:rsid w:val="00BA3419"/>
    <w:rsid w:val="00BA356D"/>
    <w:rsid w:val="00BA365B"/>
    <w:rsid w:val="00BA42A2"/>
    <w:rsid w:val="00BA43BB"/>
    <w:rsid w:val="00BA44F2"/>
    <w:rsid w:val="00BA4A58"/>
    <w:rsid w:val="00BA5812"/>
    <w:rsid w:val="00BA65EA"/>
    <w:rsid w:val="00BA7F16"/>
    <w:rsid w:val="00BB0579"/>
    <w:rsid w:val="00BB069A"/>
    <w:rsid w:val="00BB0F0D"/>
    <w:rsid w:val="00BB1961"/>
    <w:rsid w:val="00BB1F01"/>
    <w:rsid w:val="00BB3C23"/>
    <w:rsid w:val="00BB4776"/>
    <w:rsid w:val="00BB4C01"/>
    <w:rsid w:val="00BB553A"/>
    <w:rsid w:val="00BB58CE"/>
    <w:rsid w:val="00BB6957"/>
    <w:rsid w:val="00BB724E"/>
    <w:rsid w:val="00BC01CB"/>
    <w:rsid w:val="00BC066C"/>
    <w:rsid w:val="00BC07FF"/>
    <w:rsid w:val="00BC0A6B"/>
    <w:rsid w:val="00BC11EA"/>
    <w:rsid w:val="00BC2491"/>
    <w:rsid w:val="00BC251A"/>
    <w:rsid w:val="00BC25EB"/>
    <w:rsid w:val="00BC2788"/>
    <w:rsid w:val="00BC27B8"/>
    <w:rsid w:val="00BC307C"/>
    <w:rsid w:val="00BC3905"/>
    <w:rsid w:val="00BC49A3"/>
    <w:rsid w:val="00BC57AC"/>
    <w:rsid w:val="00BC5D19"/>
    <w:rsid w:val="00BC6670"/>
    <w:rsid w:val="00BC69AA"/>
    <w:rsid w:val="00BC6B67"/>
    <w:rsid w:val="00BD032B"/>
    <w:rsid w:val="00BD0A8F"/>
    <w:rsid w:val="00BD0E0E"/>
    <w:rsid w:val="00BD29AA"/>
    <w:rsid w:val="00BD321E"/>
    <w:rsid w:val="00BD35A3"/>
    <w:rsid w:val="00BD37FA"/>
    <w:rsid w:val="00BD38D2"/>
    <w:rsid w:val="00BD41CB"/>
    <w:rsid w:val="00BD46C5"/>
    <w:rsid w:val="00BD470C"/>
    <w:rsid w:val="00BD4C15"/>
    <w:rsid w:val="00BD5122"/>
    <w:rsid w:val="00BD5698"/>
    <w:rsid w:val="00BD570E"/>
    <w:rsid w:val="00BD5795"/>
    <w:rsid w:val="00BD5D98"/>
    <w:rsid w:val="00BD61C4"/>
    <w:rsid w:val="00BD68D5"/>
    <w:rsid w:val="00BD7288"/>
    <w:rsid w:val="00BD7301"/>
    <w:rsid w:val="00BE02D7"/>
    <w:rsid w:val="00BE0319"/>
    <w:rsid w:val="00BE06CB"/>
    <w:rsid w:val="00BE070A"/>
    <w:rsid w:val="00BE0E59"/>
    <w:rsid w:val="00BE17C9"/>
    <w:rsid w:val="00BE238A"/>
    <w:rsid w:val="00BE2640"/>
    <w:rsid w:val="00BE2A29"/>
    <w:rsid w:val="00BE3177"/>
    <w:rsid w:val="00BE3190"/>
    <w:rsid w:val="00BE3C2E"/>
    <w:rsid w:val="00BE3CC2"/>
    <w:rsid w:val="00BE4C36"/>
    <w:rsid w:val="00BE52B8"/>
    <w:rsid w:val="00BE52DF"/>
    <w:rsid w:val="00BE55DA"/>
    <w:rsid w:val="00BE5761"/>
    <w:rsid w:val="00BE5A6B"/>
    <w:rsid w:val="00BE5B79"/>
    <w:rsid w:val="00BE5D2A"/>
    <w:rsid w:val="00BE629D"/>
    <w:rsid w:val="00BE6B31"/>
    <w:rsid w:val="00BE7792"/>
    <w:rsid w:val="00BE797B"/>
    <w:rsid w:val="00BE79AB"/>
    <w:rsid w:val="00BF07DF"/>
    <w:rsid w:val="00BF0C4F"/>
    <w:rsid w:val="00BF244E"/>
    <w:rsid w:val="00BF252A"/>
    <w:rsid w:val="00BF26ED"/>
    <w:rsid w:val="00BF2BC1"/>
    <w:rsid w:val="00BF2CAF"/>
    <w:rsid w:val="00BF2E8D"/>
    <w:rsid w:val="00BF30B7"/>
    <w:rsid w:val="00BF34DB"/>
    <w:rsid w:val="00BF34EF"/>
    <w:rsid w:val="00BF3AD9"/>
    <w:rsid w:val="00BF3DB3"/>
    <w:rsid w:val="00BF409B"/>
    <w:rsid w:val="00BF44CB"/>
    <w:rsid w:val="00BF48DA"/>
    <w:rsid w:val="00BF4945"/>
    <w:rsid w:val="00BF54F2"/>
    <w:rsid w:val="00BF5706"/>
    <w:rsid w:val="00BF5C42"/>
    <w:rsid w:val="00BF5D67"/>
    <w:rsid w:val="00BF6F02"/>
    <w:rsid w:val="00BF7758"/>
    <w:rsid w:val="00C00137"/>
    <w:rsid w:val="00C007DC"/>
    <w:rsid w:val="00C00838"/>
    <w:rsid w:val="00C0085A"/>
    <w:rsid w:val="00C00D84"/>
    <w:rsid w:val="00C01189"/>
    <w:rsid w:val="00C0179E"/>
    <w:rsid w:val="00C0277F"/>
    <w:rsid w:val="00C029C6"/>
    <w:rsid w:val="00C02AE0"/>
    <w:rsid w:val="00C039B0"/>
    <w:rsid w:val="00C041FE"/>
    <w:rsid w:val="00C044BB"/>
    <w:rsid w:val="00C04785"/>
    <w:rsid w:val="00C04A7F"/>
    <w:rsid w:val="00C0555A"/>
    <w:rsid w:val="00C076D4"/>
    <w:rsid w:val="00C07CA0"/>
    <w:rsid w:val="00C106C3"/>
    <w:rsid w:val="00C106F0"/>
    <w:rsid w:val="00C10DF1"/>
    <w:rsid w:val="00C10F21"/>
    <w:rsid w:val="00C1120A"/>
    <w:rsid w:val="00C11E81"/>
    <w:rsid w:val="00C12167"/>
    <w:rsid w:val="00C129DB"/>
    <w:rsid w:val="00C12B8F"/>
    <w:rsid w:val="00C136B0"/>
    <w:rsid w:val="00C14137"/>
    <w:rsid w:val="00C14330"/>
    <w:rsid w:val="00C14D7B"/>
    <w:rsid w:val="00C15071"/>
    <w:rsid w:val="00C15816"/>
    <w:rsid w:val="00C15DBF"/>
    <w:rsid w:val="00C16004"/>
    <w:rsid w:val="00C162B7"/>
    <w:rsid w:val="00C16477"/>
    <w:rsid w:val="00C16660"/>
    <w:rsid w:val="00C16838"/>
    <w:rsid w:val="00C17491"/>
    <w:rsid w:val="00C20781"/>
    <w:rsid w:val="00C20B1B"/>
    <w:rsid w:val="00C20BB6"/>
    <w:rsid w:val="00C20E85"/>
    <w:rsid w:val="00C21564"/>
    <w:rsid w:val="00C2163E"/>
    <w:rsid w:val="00C22889"/>
    <w:rsid w:val="00C22A0D"/>
    <w:rsid w:val="00C22BFF"/>
    <w:rsid w:val="00C22D87"/>
    <w:rsid w:val="00C22FDE"/>
    <w:rsid w:val="00C23094"/>
    <w:rsid w:val="00C24096"/>
    <w:rsid w:val="00C24A48"/>
    <w:rsid w:val="00C2526C"/>
    <w:rsid w:val="00C25DD6"/>
    <w:rsid w:val="00C27436"/>
    <w:rsid w:val="00C27B25"/>
    <w:rsid w:val="00C27F91"/>
    <w:rsid w:val="00C30067"/>
    <w:rsid w:val="00C3006A"/>
    <w:rsid w:val="00C30673"/>
    <w:rsid w:val="00C30E35"/>
    <w:rsid w:val="00C30EB4"/>
    <w:rsid w:val="00C3134F"/>
    <w:rsid w:val="00C32117"/>
    <w:rsid w:val="00C3213C"/>
    <w:rsid w:val="00C322B1"/>
    <w:rsid w:val="00C3297F"/>
    <w:rsid w:val="00C3351C"/>
    <w:rsid w:val="00C34FA0"/>
    <w:rsid w:val="00C353E6"/>
    <w:rsid w:val="00C35D3B"/>
    <w:rsid w:val="00C35D3F"/>
    <w:rsid w:val="00C36F25"/>
    <w:rsid w:val="00C370FC"/>
    <w:rsid w:val="00C371F8"/>
    <w:rsid w:val="00C374DE"/>
    <w:rsid w:val="00C3771F"/>
    <w:rsid w:val="00C37929"/>
    <w:rsid w:val="00C37E1E"/>
    <w:rsid w:val="00C401DA"/>
    <w:rsid w:val="00C404A9"/>
    <w:rsid w:val="00C40A9B"/>
    <w:rsid w:val="00C40BCA"/>
    <w:rsid w:val="00C42270"/>
    <w:rsid w:val="00C42F69"/>
    <w:rsid w:val="00C43133"/>
    <w:rsid w:val="00C43855"/>
    <w:rsid w:val="00C43BE9"/>
    <w:rsid w:val="00C44541"/>
    <w:rsid w:val="00C44781"/>
    <w:rsid w:val="00C44B0A"/>
    <w:rsid w:val="00C4514E"/>
    <w:rsid w:val="00C455D5"/>
    <w:rsid w:val="00C45FC5"/>
    <w:rsid w:val="00C46105"/>
    <w:rsid w:val="00C466E7"/>
    <w:rsid w:val="00C46BD2"/>
    <w:rsid w:val="00C46DD8"/>
    <w:rsid w:val="00C470E2"/>
    <w:rsid w:val="00C47AD4"/>
    <w:rsid w:val="00C47B2F"/>
    <w:rsid w:val="00C50026"/>
    <w:rsid w:val="00C505C2"/>
    <w:rsid w:val="00C50737"/>
    <w:rsid w:val="00C50AF6"/>
    <w:rsid w:val="00C51452"/>
    <w:rsid w:val="00C51EEB"/>
    <w:rsid w:val="00C52511"/>
    <w:rsid w:val="00C52D81"/>
    <w:rsid w:val="00C5337D"/>
    <w:rsid w:val="00C5350B"/>
    <w:rsid w:val="00C537D6"/>
    <w:rsid w:val="00C54321"/>
    <w:rsid w:val="00C54E7E"/>
    <w:rsid w:val="00C54ED6"/>
    <w:rsid w:val="00C54F4F"/>
    <w:rsid w:val="00C54FCF"/>
    <w:rsid w:val="00C55198"/>
    <w:rsid w:val="00C56528"/>
    <w:rsid w:val="00C56585"/>
    <w:rsid w:val="00C56608"/>
    <w:rsid w:val="00C567E6"/>
    <w:rsid w:val="00C569CF"/>
    <w:rsid w:val="00C56A8A"/>
    <w:rsid w:val="00C60446"/>
    <w:rsid w:val="00C6078F"/>
    <w:rsid w:val="00C60CF6"/>
    <w:rsid w:val="00C61604"/>
    <w:rsid w:val="00C6243D"/>
    <w:rsid w:val="00C625D0"/>
    <w:rsid w:val="00C63283"/>
    <w:rsid w:val="00C6350B"/>
    <w:rsid w:val="00C636C5"/>
    <w:rsid w:val="00C639E5"/>
    <w:rsid w:val="00C63AC8"/>
    <w:rsid w:val="00C63B95"/>
    <w:rsid w:val="00C64621"/>
    <w:rsid w:val="00C64736"/>
    <w:rsid w:val="00C6510A"/>
    <w:rsid w:val="00C652E7"/>
    <w:rsid w:val="00C6572F"/>
    <w:rsid w:val="00C6605D"/>
    <w:rsid w:val="00C661E9"/>
    <w:rsid w:val="00C6624B"/>
    <w:rsid w:val="00C665A7"/>
    <w:rsid w:val="00C665DF"/>
    <w:rsid w:val="00C66AE8"/>
    <w:rsid w:val="00C66BAD"/>
    <w:rsid w:val="00C700DF"/>
    <w:rsid w:val="00C7038B"/>
    <w:rsid w:val="00C70441"/>
    <w:rsid w:val="00C70EA1"/>
    <w:rsid w:val="00C710A3"/>
    <w:rsid w:val="00C71B0C"/>
    <w:rsid w:val="00C71BE9"/>
    <w:rsid w:val="00C71F36"/>
    <w:rsid w:val="00C72CE6"/>
    <w:rsid w:val="00C732BB"/>
    <w:rsid w:val="00C74288"/>
    <w:rsid w:val="00C74307"/>
    <w:rsid w:val="00C744CC"/>
    <w:rsid w:val="00C74F40"/>
    <w:rsid w:val="00C75576"/>
    <w:rsid w:val="00C76DAC"/>
    <w:rsid w:val="00C772B4"/>
    <w:rsid w:val="00C772CB"/>
    <w:rsid w:val="00C774FB"/>
    <w:rsid w:val="00C802BB"/>
    <w:rsid w:val="00C81962"/>
    <w:rsid w:val="00C819F9"/>
    <w:rsid w:val="00C81B79"/>
    <w:rsid w:val="00C81B86"/>
    <w:rsid w:val="00C82801"/>
    <w:rsid w:val="00C82E11"/>
    <w:rsid w:val="00C82EA0"/>
    <w:rsid w:val="00C834E4"/>
    <w:rsid w:val="00C838CC"/>
    <w:rsid w:val="00C83B92"/>
    <w:rsid w:val="00C83BA5"/>
    <w:rsid w:val="00C83CFB"/>
    <w:rsid w:val="00C841D0"/>
    <w:rsid w:val="00C841E9"/>
    <w:rsid w:val="00C84673"/>
    <w:rsid w:val="00C85834"/>
    <w:rsid w:val="00C85E22"/>
    <w:rsid w:val="00C85E62"/>
    <w:rsid w:val="00C86272"/>
    <w:rsid w:val="00C86752"/>
    <w:rsid w:val="00C868B9"/>
    <w:rsid w:val="00C869F4"/>
    <w:rsid w:val="00C878FD"/>
    <w:rsid w:val="00C87DE1"/>
    <w:rsid w:val="00C91454"/>
    <w:rsid w:val="00C91C82"/>
    <w:rsid w:val="00C925F5"/>
    <w:rsid w:val="00C927C8"/>
    <w:rsid w:val="00C92AA7"/>
    <w:rsid w:val="00C93935"/>
    <w:rsid w:val="00C94128"/>
    <w:rsid w:val="00C94915"/>
    <w:rsid w:val="00C94DD6"/>
    <w:rsid w:val="00C94E4A"/>
    <w:rsid w:val="00C95098"/>
    <w:rsid w:val="00C9510E"/>
    <w:rsid w:val="00C95A2C"/>
    <w:rsid w:val="00C96865"/>
    <w:rsid w:val="00C96CC0"/>
    <w:rsid w:val="00C96ECD"/>
    <w:rsid w:val="00C97168"/>
    <w:rsid w:val="00C972B1"/>
    <w:rsid w:val="00C97537"/>
    <w:rsid w:val="00C97641"/>
    <w:rsid w:val="00C97EDA"/>
    <w:rsid w:val="00CA09D3"/>
    <w:rsid w:val="00CA0E35"/>
    <w:rsid w:val="00CA21FD"/>
    <w:rsid w:val="00CA2264"/>
    <w:rsid w:val="00CA2862"/>
    <w:rsid w:val="00CA2EAB"/>
    <w:rsid w:val="00CA3F4E"/>
    <w:rsid w:val="00CA4294"/>
    <w:rsid w:val="00CA49D4"/>
    <w:rsid w:val="00CA4A32"/>
    <w:rsid w:val="00CA4E8C"/>
    <w:rsid w:val="00CA56B6"/>
    <w:rsid w:val="00CA5AF7"/>
    <w:rsid w:val="00CA5D52"/>
    <w:rsid w:val="00CA6234"/>
    <w:rsid w:val="00CA6393"/>
    <w:rsid w:val="00CA6744"/>
    <w:rsid w:val="00CA686B"/>
    <w:rsid w:val="00CA68B0"/>
    <w:rsid w:val="00CA7176"/>
    <w:rsid w:val="00CA729C"/>
    <w:rsid w:val="00CA7373"/>
    <w:rsid w:val="00CA7BDA"/>
    <w:rsid w:val="00CB1312"/>
    <w:rsid w:val="00CB18FF"/>
    <w:rsid w:val="00CB1A52"/>
    <w:rsid w:val="00CB1D53"/>
    <w:rsid w:val="00CB29AA"/>
    <w:rsid w:val="00CB330D"/>
    <w:rsid w:val="00CB39B0"/>
    <w:rsid w:val="00CB39B4"/>
    <w:rsid w:val="00CB3C6F"/>
    <w:rsid w:val="00CB3CCD"/>
    <w:rsid w:val="00CB4F83"/>
    <w:rsid w:val="00CB54FB"/>
    <w:rsid w:val="00CB561C"/>
    <w:rsid w:val="00CB5720"/>
    <w:rsid w:val="00CB5927"/>
    <w:rsid w:val="00CB5C3B"/>
    <w:rsid w:val="00CB657D"/>
    <w:rsid w:val="00CB69C8"/>
    <w:rsid w:val="00CB6B7E"/>
    <w:rsid w:val="00CB6E08"/>
    <w:rsid w:val="00CB6F00"/>
    <w:rsid w:val="00CB708C"/>
    <w:rsid w:val="00CB7204"/>
    <w:rsid w:val="00CB7301"/>
    <w:rsid w:val="00CB7A85"/>
    <w:rsid w:val="00CB7CA6"/>
    <w:rsid w:val="00CB7F99"/>
    <w:rsid w:val="00CC0170"/>
    <w:rsid w:val="00CC0299"/>
    <w:rsid w:val="00CC0C5B"/>
    <w:rsid w:val="00CC0CC8"/>
    <w:rsid w:val="00CC0D49"/>
    <w:rsid w:val="00CC0E30"/>
    <w:rsid w:val="00CC1CC4"/>
    <w:rsid w:val="00CC2388"/>
    <w:rsid w:val="00CC239A"/>
    <w:rsid w:val="00CC26E1"/>
    <w:rsid w:val="00CC295F"/>
    <w:rsid w:val="00CC36C4"/>
    <w:rsid w:val="00CC37D2"/>
    <w:rsid w:val="00CC3F11"/>
    <w:rsid w:val="00CC3F8E"/>
    <w:rsid w:val="00CC43A4"/>
    <w:rsid w:val="00CC4B45"/>
    <w:rsid w:val="00CC527B"/>
    <w:rsid w:val="00CC57AE"/>
    <w:rsid w:val="00CC70C1"/>
    <w:rsid w:val="00CC71FD"/>
    <w:rsid w:val="00CC752A"/>
    <w:rsid w:val="00CC7A6A"/>
    <w:rsid w:val="00CC7AE5"/>
    <w:rsid w:val="00CD07C1"/>
    <w:rsid w:val="00CD0C08"/>
    <w:rsid w:val="00CD0D73"/>
    <w:rsid w:val="00CD0DEB"/>
    <w:rsid w:val="00CD0F7D"/>
    <w:rsid w:val="00CD1303"/>
    <w:rsid w:val="00CD14EF"/>
    <w:rsid w:val="00CD2034"/>
    <w:rsid w:val="00CD28E5"/>
    <w:rsid w:val="00CD30DC"/>
    <w:rsid w:val="00CD36C4"/>
    <w:rsid w:val="00CD37B7"/>
    <w:rsid w:val="00CD3EF0"/>
    <w:rsid w:val="00CD3FF5"/>
    <w:rsid w:val="00CD4203"/>
    <w:rsid w:val="00CD46D1"/>
    <w:rsid w:val="00CD5ECA"/>
    <w:rsid w:val="00CD60EA"/>
    <w:rsid w:val="00CD7201"/>
    <w:rsid w:val="00CD72D9"/>
    <w:rsid w:val="00CD7307"/>
    <w:rsid w:val="00CD7AB9"/>
    <w:rsid w:val="00CD7EC2"/>
    <w:rsid w:val="00CE00AE"/>
    <w:rsid w:val="00CE025E"/>
    <w:rsid w:val="00CE03AE"/>
    <w:rsid w:val="00CE03FC"/>
    <w:rsid w:val="00CE0609"/>
    <w:rsid w:val="00CE077E"/>
    <w:rsid w:val="00CE08B8"/>
    <w:rsid w:val="00CE1AB3"/>
    <w:rsid w:val="00CE1BF8"/>
    <w:rsid w:val="00CE23DC"/>
    <w:rsid w:val="00CE2A55"/>
    <w:rsid w:val="00CE3541"/>
    <w:rsid w:val="00CE427D"/>
    <w:rsid w:val="00CE433C"/>
    <w:rsid w:val="00CE4A71"/>
    <w:rsid w:val="00CE4F80"/>
    <w:rsid w:val="00CE5346"/>
    <w:rsid w:val="00CE56DE"/>
    <w:rsid w:val="00CE7031"/>
    <w:rsid w:val="00CE7040"/>
    <w:rsid w:val="00CE7795"/>
    <w:rsid w:val="00CE7D91"/>
    <w:rsid w:val="00CF139F"/>
    <w:rsid w:val="00CF1C2C"/>
    <w:rsid w:val="00CF1E52"/>
    <w:rsid w:val="00CF1FDC"/>
    <w:rsid w:val="00CF2CE4"/>
    <w:rsid w:val="00CF2D68"/>
    <w:rsid w:val="00CF3331"/>
    <w:rsid w:val="00CF33F3"/>
    <w:rsid w:val="00CF3531"/>
    <w:rsid w:val="00CF3D11"/>
    <w:rsid w:val="00CF43D8"/>
    <w:rsid w:val="00CF4E25"/>
    <w:rsid w:val="00CF4E4F"/>
    <w:rsid w:val="00CF565C"/>
    <w:rsid w:val="00CF5947"/>
    <w:rsid w:val="00CF59BF"/>
    <w:rsid w:val="00CF5A18"/>
    <w:rsid w:val="00CF5A26"/>
    <w:rsid w:val="00CF5E85"/>
    <w:rsid w:val="00CF6863"/>
    <w:rsid w:val="00CF70D5"/>
    <w:rsid w:val="00CF7100"/>
    <w:rsid w:val="00CF77B2"/>
    <w:rsid w:val="00D003F3"/>
    <w:rsid w:val="00D00764"/>
    <w:rsid w:val="00D007B2"/>
    <w:rsid w:val="00D007E9"/>
    <w:rsid w:val="00D017D7"/>
    <w:rsid w:val="00D021B1"/>
    <w:rsid w:val="00D0234C"/>
    <w:rsid w:val="00D025B3"/>
    <w:rsid w:val="00D0273D"/>
    <w:rsid w:val="00D02B5A"/>
    <w:rsid w:val="00D02DFB"/>
    <w:rsid w:val="00D041BF"/>
    <w:rsid w:val="00D04A12"/>
    <w:rsid w:val="00D05081"/>
    <w:rsid w:val="00D05A51"/>
    <w:rsid w:val="00D05A7B"/>
    <w:rsid w:val="00D06038"/>
    <w:rsid w:val="00D06183"/>
    <w:rsid w:val="00D0631B"/>
    <w:rsid w:val="00D06680"/>
    <w:rsid w:val="00D0711A"/>
    <w:rsid w:val="00D07329"/>
    <w:rsid w:val="00D073A3"/>
    <w:rsid w:val="00D0768E"/>
    <w:rsid w:val="00D1001F"/>
    <w:rsid w:val="00D10D4D"/>
    <w:rsid w:val="00D12844"/>
    <w:rsid w:val="00D128FC"/>
    <w:rsid w:val="00D13744"/>
    <w:rsid w:val="00D14AF5"/>
    <w:rsid w:val="00D14B74"/>
    <w:rsid w:val="00D14E4B"/>
    <w:rsid w:val="00D14F2C"/>
    <w:rsid w:val="00D14F3C"/>
    <w:rsid w:val="00D1538D"/>
    <w:rsid w:val="00D15E1C"/>
    <w:rsid w:val="00D16948"/>
    <w:rsid w:val="00D16EC8"/>
    <w:rsid w:val="00D1711A"/>
    <w:rsid w:val="00D17253"/>
    <w:rsid w:val="00D173D8"/>
    <w:rsid w:val="00D178D3"/>
    <w:rsid w:val="00D17A4D"/>
    <w:rsid w:val="00D20180"/>
    <w:rsid w:val="00D20740"/>
    <w:rsid w:val="00D208A9"/>
    <w:rsid w:val="00D21B8E"/>
    <w:rsid w:val="00D22409"/>
    <w:rsid w:val="00D22418"/>
    <w:rsid w:val="00D2288C"/>
    <w:rsid w:val="00D228D3"/>
    <w:rsid w:val="00D22C42"/>
    <w:rsid w:val="00D230AA"/>
    <w:rsid w:val="00D23722"/>
    <w:rsid w:val="00D23A6D"/>
    <w:rsid w:val="00D23D6A"/>
    <w:rsid w:val="00D2431D"/>
    <w:rsid w:val="00D24B7D"/>
    <w:rsid w:val="00D251AF"/>
    <w:rsid w:val="00D251FA"/>
    <w:rsid w:val="00D25287"/>
    <w:rsid w:val="00D25B15"/>
    <w:rsid w:val="00D2600F"/>
    <w:rsid w:val="00D27417"/>
    <w:rsid w:val="00D275B3"/>
    <w:rsid w:val="00D27A0F"/>
    <w:rsid w:val="00D27B5F"/>
    <w:rsid w:val="00D304F3"/>
    <w:rsid w:val="00D30C17"/>
    <w:rsid w:val="00D3113E"/>
    <w:rsid w:val="00D318AD"/>
    <w:rsid w:val="00D31B5A"/>
    <w:rsid w:val="00D31BBF"/>
    <w:rsid w:val="00D3252B"/>
    <w:rsid w:val="00D32912"/>
    <w:rsid w:val="00D3396C"/>
    <w:rsid w:val="00D34892"/>
    <w:rsid w:val="00D34A54"/>
    <w:rsid w:val="00D34DD8"/>
    <w:rsid w:val="00D34E02"/>
    <w:rsid w:val="00D34EB0"/>
    <w:rsid w:val="00D353BA"/>
    <w:rsid w:val="00D357BF"/>
    <w:rsid w:val="00D35BB3"/>
    <w:rsid w:val="00D3643A"/>
    <w:rsid w:val="00D36575"/>
    <w:rsid w:val="00D37387"/>
    <w:rsid w:val="00D37442"/>
    <w:rsid w:val="00D37833"/>
    <w:rsid w:val="00D402DA"/>
    <w:rsid w:val="00D40C71"/>
    <w:rsid w:val="00D41C52"/>
    <w:rsid w:val="00D43A14"/>
    <w:rsid w:val="00D445FE"/>
    <w:rsid w:val="00D451C8"/>
    <w:rsid w:val="00D45485"/>
    <w:rsid w:val="00D455DA"/>
    <w:rsid w:val="00D45679"/>
    <w:rsid w:val="00D456CF"/>
    <w:rsid w:val="00D46476"/>
    <w:rsid w:val="00D46E64"/>
    <w:rsid w:val="00D47435"/>
    <w:rsid w:val="00D476E2"/>
    <w:rsid w:val="00D477D8"/>
    <w:rsid w:val="00D512C3"/>
    <w:rsid w:val="00D51AD8"/>
    <w:rsid w:val="00D5213E"/>
    <w:rsid w:val="00D5247C"/>
    <w:rsid w:val="00D524AA"/>
    <w:rsid w:val="00D525D5"/>
    <w:rsid w:val="00D525F8"/>
    <w:rsid w:val="00D52779"/>
    <w:rsid w:val="00D52786"/>
    <w:rsid w:val="00D52AA7"/>
    <w:rsid w:val="00D533F9"/>
    <w:rsid w:val="00D546A0"/>
    <w:rsid w:val="00D55278"/>
    <w:rsid w:val="00D555E8"/>
    <w:rsid w:val="00D56677"/>
    <w:rsid w:val="00D56B7E"/>
    <w:rsid w:val="00D570CC"/>
    <w:rsid w:val="00D5754C"/>
    <w:rsid w:val="00D57940"/>
    <w:rsid w:val="00D60110"/>
    <w:rsid w:val="00D60FA0"/>
    <w:rsid w:val="00D6112E"/>
    <w:rsid w:val="00D61B50"/>
    <w:rsid w:val="00D61D00"/>
    <w:rsid w:val="00D62BEA"/>
    <w:rsid w:val="00D63A1C"/>
    <w:rsid w:val="00D63CB3"/>
    <w:rsid w:val="00D64E99"/>
    <w:rsid w:val="00D65041"/>
    <w:rsid w:val="00D65B8C"/>
    <w:rsid w:val="00D6651A"/>
    <w:rsid w:val="00D66C0F"/>
    <w:rsid w:val="00D67002"/>
    <w:rsid w:val="00D6711C"/>
    <w:rsid w:val="00D67769"/>
    <w:rsid w:val="00D67935"/>
    <w:rsid w:val="00D70067"/>
    <w:rsid w:val="00D701F7"/>
    <w:rsid w:val="00D70CA5"/>
    <w:rsid w:val="00D717C9"/>
    <w:rsid w:val="00D736EA"/>
    <w:rsid w:val="00D74906"/>
    <w:rsid w:val="00D75EBE"/>
    <w:rsid w:val="00D76138"/>
    <w:rsid w:val="00D76385"/>
    <w:rsid w:val="00D76EBA"/>
    <w:rsid w:val="00D76FC6"/>
    <w:rsid w:val="00D771D0"/>
    <w:rsid w:val="00D77802"/>
    <w:rsid w:val="00D77D66"/>
    <w:rsid w:val="00D77D98"/>
    <w:rsid w:val="00D77DA9"/>
    <w:rsid w:val="00D80700"/>
    <w:rsid w:val="00D80EC3"/>
    <w:rsid w:val="00D8190B"/>
    <w:rsid w:val="00D81C08"/>
    <w:rsid w:val="00D823E4"/>
    <w:rsid w:val="00D82A95"/>
    <w:rsid w:val="00D82CB1"/>
    <w:rsid w:val="00D83679"/>
    <w:rsid w:val="00D836FA"/>
    <w:rsid w:val="00D83A5A"/>
    <w:rsid w:val="00D849A6"/>
    <w:rsid w:val="00D84B01"/>
    <w:rsid w:val="00D84C0A"/>
    <w:rsid w:val="00D84C39"/>
    <w:rsid w:val="00D84FDC"/>
    <w:rsid w:val="00D8518C"/>
    <w:rsid w:val="00D86513"/>
    <w:rsid w:val="00D86993"/>
    <w:rsid w:val="00D86B0C"/>
    <w:rsid w:val="00D86C03"/>
    <w:rsid w:val="00D86CB5"/>
    <w:rsid w:val="00D87729"/>
    <w:rsid w:val="00D87C36"/>
    <w:rsid w:val="00D87FEE"/>
    <w:rsid w:val="00D90941"/>
    <w:rsid w:val="00D90FF0"/>
    <w:rsid w:val="00D91B10"/>
    <w:rsid w:val="00D92E9D"/>
    <w:rsid w:val="00D9353B"/>
    <w:rsid w:val="00D93704"/>
    <w:rsid w:val="00D94E6B"/>
    <w:rsid w:val="00D94EBB"/>
    <w:rsid w:val="00D94F8D"/>
    <w:rsid w:val="00D9561F"/>
    <w:rsid w:val="00D956AC"/>
    <w:rsid w:val="00D95CD2"/>
    <w:rsid w:val="00D96FE8"/>
    <w:rsid w:val="00D96FEC"/>
    <w:rsid w:val="00D976E0"/>
    <w:rsid w:val="00DA039D"/>
    <w:rsid w:val="00DA0A09"/>
    <w:rsid w:val="00DA0E89"/>
    <w:rsid w:val="00DA130E"/>
    <w:rsid w:val="00DA1549"/>
    <w:rsid w:val="00DA1BDF"/>
    <w:rsid w:val="00DA1EC5"/>
    <w:rsid w:val="00DA2ABD"/>
    <w:rsid w:val="00DA38F3"/>
    <w:rsid w:val="00DA4047"/>
    <w:rsid w:val="00DA4231"/>
    <w:rsid w:val="00DA71EF"/>
    <w:rsid w:val="00DB0598"/>
    <w:rsid w:val="00DB1025"/>
    <w:rsid w:val="00DB171C"/>
    <w:rsid w:val="00DB17F9"/>
    <w:rsid w:val="00DB18D2"/>
    <w:rsid w:val="00DB19DF"/>
    <w:rsid w:val="00DB2906"/>
    <w:rsid w:val="00DB2BD3"/>
    <w:rsid w:val="00DB335B"/>
    <w:rsid w:val="00DB38B2"/>
    <w:rsid w:val="00DB435C"/>
    <w:rsid w:val="00DB4546"/>
    <w:rsid w:val="00DB47A3"/>
    <w:rsid w:val="00DB56A6"/>
    <w:rsid w:val="00DB56BE"/>
    <w:rsid w:val="00DB5A81"/>
    <w:rsid w:val="00DB5E04"/>
    <w:rsid w:val="00DB6B28"/>
    <w:rsid w:val="00DB6E68"/>
    <w:rsid w:val="00DB6EF0"/>
    <w:rsid w:val="00DB726F"/>
    <w:rsid w:val="00DB7916"/>
    <w:rsid w:val="00DB7A44"/>
    <w:rsid w:val="00DC13A5"/>
    <w:rsid w:val="00DC13E1"/>
    <w:rsid w:val="00DC17C2"/>
    <w:rsid w:val="00DC182B"/>
    <w:rsid w:val="00DC182C"/>
    <w:rsid w:val="00DC1EC3"/>
    <w:rsid w:val="00DC26F2"/>
    <w:rsid w:val="00DC35B8"/>
    <w:rsid w:val="00DC3913"/>
    <w:rsid w:val="00DC399D"/>
    <w:rsid w:val="00DC3AFF"/>
    <w:rsid w:val="00DC3DFD"/>
    <w:rsid w:val="00DC4225"/>
    <w:rsid w:val="00DC44AD"/>
    <w:rsid w:val="00DC5BD2"/>
    <w:rsid w:val="00DC72A3"/>
    <w:rsid w:val="00DC74B5"/>
    <w:rsid w:val="00DD00DD"/>
    <w:rsid w:val="00DD0502"/>
    <w:rsid w:val="00DD07F1"/>
    <w:rsid w:val="00DD09AF"/>
    <w:rsid w:val="00DD0B3D"/>
    <w:rsid w:val="00DD1900"/>
    <w:rsid w:val="00DD2267"/>
    <w:rsid w:val="00DD2334"/>
    <w:rsid w:val="00DD27CC"/>
    <w:rsid w:val="00DD2A87"/>
    <w:rsid w:val="00DD2C42"/>
    <w:rsid w:val="00DD2E54"/>
    <w:rsid w:val="00DD32F4"/>
    <w:rsid w:val="00DD43BB"/>
    <w:rsid w:val="00DD4E58"/>
    <w:rsid w:val="00DD56B0"/>
    <w:rsid w:val="00DD56DF"/>
    <w:rsid w:val="00DD7940"/>
    <w:rsid w:val="00DE0907"/>
    <w:rsid w:val="00DE0D3E"/>
    <w:rsid w:val="00DE1AC8"/>
    <w:rsid w:val="00DE25A3"/>
    <w:rsid w:val="00DE2673"/>
    <w:rsid w:val="00DE295B"/>
    <w:rsid w:val="00DE2A09"/>
    <w:rsid w:val="00DE2BA9"/>
    <w:rsid w:val="00DE2EDF"/>
    <w:rsid w:val="00DE371E"/>
    <w:rsid w:val="00DE5698"/>
    <w:rsid w:val="00DE6608"/>
    <w:rsid w:val="00DE6D95"/>
    <w:rsid w:val="00DE7106"/>
    <w:rsid w:val="00DE714C"/>
    <w:rsid w:val="00DE7638"/>
    <w:rsid w:val="00DF0754"/>
    <w:rsid w:val="00DF0997"/>
    <w:rsid w:val="00DF0BAD"/>
    <w:rsid w:val="00DF0BD8"/>
    <w:rsid w:val="00DF0C40"/>
    <w:rsid w:val="00DF10D1"/>
    <w:rsid w:val="00DF1851"/>
    <w:rsid w:val="00DF1A97"/>
    <w:rsid w:val="00DF1AC5"/>
    <w:rsid w:val="00DF1CA2"/>
    <w:rsid w:val="00DF1EA0"/>
    <w:rsid w:val="00DF305E"/>
    <w:rsid w:val="00DF4076"/>
    <w:rsid w:val="00DF4608"/>
    <w:rsid w:val="00DF48D6"/>
    <w:rsid w:val="00DF4E5B"/>
    <w:rsid w:val="00DF55C9"/>
    <w:rsid w:val="00DF5B13"/>
    <w:rsid w:val="00DF5B6E"/>
    <w:rsid w:val="00DF5DD9"/>
    <w:rsid w:val="00DF6173"/>
    <w:rsid w:val="00DF62E5"/>
    <w:rsid w:val="00DF64C8"/>
    <w:rsid w:val="00DF6F1A"/>
    <w:rsid w:val="00DF718D"/>
    <w:rsid w:val="00DF7572"/>
    <w:rsid w:val="00DF77D5"/>
    <w:rsid w:val="00E00581"/>
    <w:rsid w:val="00E0106C"/>
    <w:rsid w:val="00E010E6"/>
    <w:rsid w:val="00E01499"/>
    <w:rsid w:val="00E014F9"/>
    <w:rsid w:val="00E017DC"/>
    <w:rsid w:val="00E01F2B"/>
    <w:rsid w:val="00E021D4"/>
    <w:rsid w:val="00E023FA"/>
    <w:rsid w:val="00E02586"/>
    <w:rsid w:val="00E025B7"/>
    <w:rsid w:val="00E0376C"/>
    <w:rsid w:val="00E049A2"/>
    <w:rsid w:val="00E04DD6"/>
    <w:rsid w:val="00E05223"/>
    <w:rsid w:val="00E053CC"/>
    <w:rsid w:val="00E0575D"/>
    <w:rsid w:val="00E05815"/>
    <w:rsid w:val="00E062F4"/>
    <w:rsid w:val="00E06365"/>
    <w:rsid w:val="00E06D1A"/>
    <w:rsid w:val="00E06ECD"/>
    <w:rsid w:val="00E07FA0"/>
    <w:rsid w:val="00E10295"/>
    <w:rsid w:val="00E10953"/>
    <w:rsid w:val="00E10E80"/>
    <w:rsid w:val="00E10F4A"/>
    <w:rsid w:val="00E11950"/>
    <w:rsid w:val="00E124F0"/>
    <w:rsid w:val="00E1250A"/>
    <w:rsid w:val="00E12F07"/>
    <w:rsid w:val="00E13516"/>
    <w:rsid w:val="00E136F3"/>
    <w:rsid w:val="00E144C3"/>
    <w:rsid w:val="00E14E15"/>
    <w:rsid w:val="00E150EB"/>
    <w:rsid w:val="00E1539E"/>
    <w:rsid w:val="00E15AC4"/>
    <w:rsid w:val="00E16BC0"/>
    <w:rsid w:val="00E16C87"/>
    <w:rsid w:val="00E17106"/>
    <w:rsid w:val="00E17198"/>
    <w:rsid w:val="00E17396"/>
    <w:rsid w:val="00E1753C"/>
    <w:rsid w:val="00E17874"/>
    <w:rsid w:val="00E179FC"/>
    <w:rsid w:val="00E20276"/>
    <w:rsid w:val="00E209EE"/>
    <w:rsid w:val="00E20CED"/>
    <w:rsid w:val="00E2181D"/>
    <w:rsid w:val="00E21937"/>
    <w:rsid w:val="00E21DCA"/>
    <w:rsid w:val="00E220FB"/>
    <w:rsid w:val="00E221FB"/>
    <w:rsid w:val="00E22B4A"/>
    <w:rsid w:val="00E22DA0"/>
    <w:rsid w:val="00E23237"/>
    <w:rsid w:val="00E23E3E"/>
    <w:rsid w:val="00E24039"/>
    <w:rsid w:val="00E24157"/>
    <w:rsid w:val="00E242E5"/>
    <w:rsid w:val="00E242FA"/>
    <w:rsid w:val="00E246D2"/>
    <w:rsid w:val="00E24E9D"/>
    <w:rsid w:val="00E26563"/>
    <w:rsid w:val="00E27646"/>
    <w:rsid w:val="00E27C4E"/>
    <w:rsid w:val="00E30C5C"/>
    <w:rsid w:val="00E31694"/>
    <w:rsid w:val="00E316D1"/>
    <w:rsid w:val="00E32BFB"/>
    <w:rsid w:val="00E3371E"/>
    <w:rsid w:val="00E33F27"/>
    <w:rsid w:val="00E33F52"/>
    <w:rsid w:val="00E343E7"/>
    <w:rsid w:val="00E34B38"/>
    <w:rsid w:val="00E34D0A"/>
    <w:rsid w:val="00E353F2"/>
    <w:rsid w:val="00E35514"/>
    <w:rsid w:val="00E35C0B"/>
    <w:rsid w:val="00E363D6"/>
    <w:rsid w:val="00E37E95"/>
    <w:rsid w:val="00E403CD"/>
    <w:rsid w:val="00E40591"/>
    <w:rsid w:val="00E4113A"/>
    <w:rsid w:val="00E41263"/>
    <w:rsid w:val="00E412AF"/>
    <w:rsid w:val="00E4170C"/>
    <w:rsid w:val="00E420C3"/>
    <w:rsid w:val="00E4298D"/>
    <w:rsid w:val="00E42B9F"/>
    <w:rsid w:val="00E42E81"/>
    <w:rsid w:val="00E42EDE"/>
    <w:rsid w:val="00E43112"/>
    <w:rsid w:val="00E433D2"/>
    <w:rsid w:val="00E43B5C"/>
    <w:rsid w:val="00E44B6A"/>
    <w:rsid w:val="00E44DC5"/>
    <w:rsid w:val="00E45369"/>
    <w:rsid w:val="00E4564B"/>
    <w:rsid w:val="00E45FA7"/>
    <w:rsid w:val="00E46047"/>
    <w:rsid w:val="00E46ACC"/>
    <w:rsid w:val="00E46C62"/>
    <w:rsid w:val="00E47170"/>
    <w:rsid w:val="00E47CAD"/>
    <w:rsid w:val="00E50CCE"/>
    <w:rsid w:val="00E51001"/>
    <w:rsid w:val="00E518E4"/>
    <w:rsid w:val="00E5198F"/>
    <w:rsid w:val="00E51E89"/>
    <w:rsid w:val="00E5269E"/>
    <w:rsid w:val="00E53A79"/>
    <w:rsid w:val="00E54433"/>
    <w:rsid w:val="00E54D9D"/>
    <w:rsid w:val="00E54F79"/>
    <w:rsid w:val="00E55315"/>
    <w:rsid w:val="00E5555E"/>
    <w:rsid w:val="00E55BC7"/>
    <w:rsid w:val="00E55BE8"/>
    <w:rsid w:val="00E55D32"/>
    <w:rsid w:val="00E562BF"/>
    <w:rsid w:val="00E56420"/>
    <w:rsid w:val="00E56B61"/>
    <w:rsid w:val="00E56BA7"/>
    <w:rsid w:val="00E57BE6"/>
    <w:rsid w:val="00E60398"/>
    <w:rsid w:val="00E603F5"/>
    <w:rsid w:val="00E60A6A"/>
    <w:rsid w:val="00E60FB5"/>
    <w:rsid w:val="00E61156"/>
    <w:rsid w:val="00E61620"/>
    <w:rsid w:val="00E61A40"/>
    <w:rsid w:val="00E63755"/>
    <w:rsid w:val="00E64449"/>
    <w:rsid w:val="00E6493D"/>
    <w:rsid w:val="00E653FF"/>
    <w:rsid w:val="00E656A1"/>
    <w:rsid w:val="00E65B28"/>
    <w:rsid w:val="00E65C38"/>
    <w:rsid w:val="00E65E71"/>
    <w:rsid w:val="00E65FDD"/>
    <w:rsid w:val="00E67231"/>
    <w:rsid w:val="00E67323"/>
    <w:rsid w:val="00E67402"/>
    <w:rsid w:val="00E67442"/>
    <w:rsid w:val="00E6748C"/>
    <w:rsid w:val="00E67E26"/>
    <w:rsid w:val="00E70153"/>
    <w:rsid w:val="00E70765"/>
    <w:rsid w:val="00E70D46"/>
    <w:rsid w:val="00E70FC7"/>
    <w:rsid w:val="00E714E4"/>
    <w:rsid w:val="00E7187E"/>
    <w:rsid w:val="00E736ED"/>
    <w:rsid w:val="00E73C20"/>
    <w:rsid w:val="00E74854"/>
    <w:rsid w:val="00E755AA"/>
    <w:rsid w:val="00E75BC6"/>
    <w:rsid w:val="00E75D05"/>
    <w:rsid w:val="00E76BE6"/>
    <w:rsid w:val="00E771E0"/>
    <w:rsid w:val="00E77549"/>
    <w:rsid w:val="00E77B6B"/>
    <w:rsid w:val="00E77DF3"/>
    <w:rsid w:val="00E80129"/>
    <w:rsid w:val="00E806B7"/>
    <w:rsid w:val="00E80CC7"/>
    <w:rsid w:val="00E815A5"/>
    <w:rsid w:val="00E81C3A"/>
    <w:rsid w:val="00E820C6"/>
    <w:rsid w:val="00E8232F"/>
    <w:rsid w:val="00E82FE7"/>
    <w:rsid w:val="00E831C5"/>
    <w:rsid w:val="00E849DB"/>
    <w:rsid w:val="00E84A94"/>
    <w:rsid w:val="00E85A60"/>
    <w:rsid w:val="00E85DCD"/>
    <w:rsid w:val="00E869BD"/>
    <w:rsid w:val="00E86B52"/>
    <w:rsid w:val="00E86EF6"/>
    <w:rsid w:val="00E86F9E"/>
    <w:rsid w:val="00E871E7"/>
    <w:rsid w:val="00E90727"/>
    <w:rsid w:val="00E907E3"/>
    <w:rsid w:val="00E914D7"/>
    <w:rsid w:val="00E91790"/>
    <w:rsid w:val="00E91BBF"/>
    <w:rsid w:val="00E91FF9"/>
    <w:rsid w:val="00E9227A"/>
    <w:rsid w:val="00E926FF"/>
    <w:rsid w:val="00E93188"/>
    <w:rsid w:val="00E935DA"/>
    <w:rsid w:val="00E93C3B"/>
    <w:rsid w:val="00E93E6C"/>
    <w:rsid w:val="00E94121"/>
    <w:rsid w:val="00E941AC"/>
    <w:rsid w:val="00E941CD"/>
    <w:rsid w:val="00E9438E"/>
    <w:rsid w:val="00E943FB"/>
    <w:rsid w:val="00E94467"/>
    <w:rsid w:val="00E95352"/>
    <w:rsid w:val="00E967D5"/>
    <w:rsid w:val="00E96A7E"/>
    <w:rsid w:val="00E96BCB"/>
    <w:rsid w:val="00E973F6"/>
    <w:rsid w:val="00E97531"/>
    <w:rsid w:val="00E976E4"/>
    <w:rsid w:val="00E97DE5"/>
    <w:rsid w:val="00E97F6F"/>
    <w:rsid w:val="00EA10CE"/>
    <w:rsid w:val="00EA165B"/>
    <w:rsid w:val="00EA1A21"/>
    <w:rsid w:val="00EA1AB7"/>
    <w:rsid w:val="00EA2EFF"/>
    <w:rsid w:val="00EA373D"/>
    <w:rsid w:val="00EA394E"/>
    <w:rsid w:val="00EA4086"/>
    <w:rsid w:val="00EA4662"/>
    <w:rsid w:val="00EA49F7"/>
    <w:rsid w:val="00EA4F85"/>
    <w:rsid w:val="00EA524F"/>
    <w:rsid w:val="00EA5FEA"/>
    <w:rsid w:val="00EA6CD7"/>
    <w:rsid w:val="00EA6DB0"/>
    <w:rsid w:val="00EA7186"/>
    <w:rsid w:val="00EA793F"/>
    <w:rsid w:val="00EA7E55"/>
    <w:rsid w:val="00EB029C"/>
    <w:rsid w:val="00EB054A"/>
    <w:rsid w:val="00EB071A"/>
    <w:rsid w:val="00EB0BC9"/>
    <w:rsid w:val="00EB0D6F"/>
    <w:rsid w:val="00EB1490"/>
    <w:rsid w:val="00EB19BA"/>
    <w:rsid w:val="00EB2232"/>
    <w:rsid w:val="00EB2589"/>
    <w:rsid w:val="00EB2AF8"/>
    <w:rsid w:val="00EB2BB4"/>
    <w:rsid w:val="00EB2E67"/>
    <w:rsid w:val="00EB3525"/>
    <w:rsid w:val="00EB3A74"/>
    <w:rsid w:val="00EB3EEF"/>
    <w:rsid w:val="00EB4223"/>
    <w:rsid w:val="00EB43C3"/>
    <w:rsid w:val="00EB4980"/>
    <w:rsid w:val="00EB57DE"/>
    <w:rsid w:val="00EB69B4"/>
    <w:rsid w:val="00EB6AC0"/>
    <w:rsid w:val="00EB77F7"/>
    <w:rsid w:val="00EC0291"/>
    <w:rsid w:val="00EC02E5"/>
    <w:rsid w:val="00EC0718"/>
    <w:rsid w:val="00EC091C"/>
    <w:rsid w:val="00EC1003"/>
    <w:rsid w:val="00EC15AA"/>
    <w:rsid w:val="00EC1A03"/>
    <w:rsid w:val="00EC2348"/>
    <w:rsid w:val="00EC2BC4"/>
    <w:rsid w:val="00EC4859"/>
    <w:rsid w:val="00EC5337"/>
    <w:rsid w:val="00EC5523"/>
    <w:rsid w:val="00EC6ACC"/>
    <w:rsid w:val="00EC6EF8"/>
    <w:rsid w:val="00EC715E"/>
    <w:rsid w:val="00EC727C"/>
    <w:rsid w:val="00EC7727"/>
    <w:rsid w:val="00EC7815"/>
    <w:rsid w:val="00EC7882"/>
    <w:rsid w:val="00EC79FF"/>
    <w:rsid w:val="00EC7A68"/>
    <w:rsid w:val="00EC7BB0"/>
    <w:rsid w:val="00ED01E4"/>
    <w:rsid w:val="00ED0279"/>
    <w:rsid w:val="00ED0E21"/>
    <w:rsid w:val="00ED13DF"/>
    <w:rsid w:val="00ED15E1"/>
    <w:rsid w:val="00ED1CDA"/>
    <w:rsid w:val="00ED2869"/>
    <w:rsid w:val="00ED3CB3"/>
    <w:rsid w:val="00ED40DA"/>
    <w:rsid w:val="00ED451E"/>
    <w:rsid w:val="00ED4650"/>
    <w:rsid w:val="00ED4E28"/>
    <w:rsid w:val="00ED58FF"/>
    <w:rsid w:val="00ED5AD4"/>
    <w:rsid w:val="00ED6261"/>
    <w:rsid w:val="00ED69EF"/>
    <w:rsid w:val="00ED71CA"/>
    <w:rsid w:val="00ED72E7"/>
    <w:rsid w:val="00ED779E"/>
    <w:rsid w:val="00EE0259"/>
    <w:rsid w:val="00EE03F7"/>
    <w:rsid w:val="00EE05CF"/>
    <w:rsid w:val="00EE08C2"/>
    <w:rsid w:val="00EE10BB"/>
    <w:rsid w:val="00EE231C"/>
    <w:rsid w:val="00EE259B"/>
    <w:rsid w:val="00EE2F13"/>
    <w:rsid w:val="00EE438A"/>
    <w:rsid w:val="00EE46B4"/>
    <w:rsid w:val="00EE47B3"/>
    <w:rsid w:val="00EE4F2C"/>
    <w:rsid w:val="00EE526C"/>
    <w:rsid w:val="00EE5D77"/>
    <w:rsid w:val="00EE5E65"/>
    <w:rsid w:val="00EE61B8"/>
    <w:rsid w:val="00EE6B8A"/>
    <w:rsid w:val="00EE6FE9"/>
    <w:rsid w:val="00EE77B6"/>
    <w:rsid w:val="00EE7A94"/>
    <w:rsid w:val="00EE7B72"/>
    <w:rsid w:val="00EE7C7D"/>
    <w:rsid w:val="00EE7FC4"/>
    <w:rsid w:val="00EF0231"/>
    <w:rsid w:val="00EF0313"/>
    <w:rsid w:val="00EF1229"/>
    <w:rsid w:val="00EF1549"/>
    <w:rsid w:val="00EF17C4"/>
    <w:rsid w:val="00EF1C65"/>
    <w:rsid w:val="00EF1CF8"/>
    <w:rsid w:val="00EF208A"/>
    <w:rsid w:val="00EF2493"/>
    <w:rsid w:val="00EF26F5"/>
    <w:rsid w:val="00EF2732"/>
    <w:rsid w:val="00EF3DCD"/>
    <w:rsid w:val="00EF43DD"/>
    <w:rsid w:val="00EF59A6"/>
    <w:rsid w:val="00EF5CE7"/>
    <w:rsid w:val="00EF5FDD"/>
    <w:rsid w:val="00EF66AF"/>
    <w:rsid w:val="00EF6C93"/>
    <w:rsid w:val="00EF7391"/>
    <w:rsid w:val="00F00000"/>
    <w:rsid w:val="00F00437"/>
    <w:rsid w:val="00F009D2"/>
    <w:rsid w:val="00F013B6"/>
    <w:rsid w:val="00F01943"/>
    <w:rsid w:val="00F024C4"/>
    <w:rsid w:val="00F0250B"/>
    <w:rsid w:val="00F02B05"/>
    <w:rsid w:val="00F02CAD"/>
    <w:rsid w:val="00F02CCC"/>
    <w:rsid w:val="00F02FC1"/>
    <w:rsid w:val="00F03DD8"/>
    <w:rsid w:val="00F03F24"/>
    <w:rsid w:val="00F0476F"/>
    <w:rsid w:val="00F047CD"/>
    <w:rsid w:val="00F04B3F"/>
    <w:rsid w:val="00F052D6"/>
    <w:rsid w:val="00F05318"/>
    <w:rsid w:val="00F06639"/>
    <w:rsid w:val="00F06A9C"/>
    <w:rsid w:val="00F11252"/>
    <w:rsid w:val="00F11664"/>
    <w:rsid w:val="00F11A39"/>
    <w:rsid w:val="00F11EBB"/>
    <w:rsid w:val="00F12DA2"/>
    <w:rsid w:val="00F131D8"/>
    <w:rsid w:val="00F13315"/>
    <w:rsid w:val="00F136C1"/>
    <w:rsid w:val="00F140DE"/>
    <w:rsid w:val="00F14535"/>
    <w:rsid w:val="00F15482"/>
    <w:rsid w:val="00F15898"/>
    <w:rsid w:val="00F168E3"/>
    <w:rsid w:val="00F17525"/>
    <w:rsid w:val="00F176EF"/>
    <w:rsid w:val="00F17731"/>
    <w:rsid w:val="00F17A43"/>
    <w:rsid w:val="00F17E65"/>
    <w:rsid w:val="00F202AB"/>
    <w:rsid w:val="00F206A2"/>
    <w:rsid w:val="00F208AB"/>
    <w:rsid w:val="00F20995"/>
    <w:rsid w:val="00F20B94"/>
    <w:rsid w:val="00F214B8"/>
    <w:rsid w:val="00F2150A"/>
    <w:rsid w:val="00F2156F"/>
    <w:rsid w:val="00F224BC"/>
    <w:rsid w:val="00F231D8"/>
    <w:rsid w:val="00F231DF"/>
    <w:rsid w:val="00F23C61"/>
    <w:rsid w:val="00F23F1A"/>
    <w:rsid w:val="00F242B7"/>
    <w:rsid w:val="00F244C7"/>
    <w:rsid w:val="00F249D8"/>
    <w:rsid w:val="00F2531F"/>
    <w:rsid w:val="00F2562A"/>
    <w:rsid w:val="00F25838"/>
    <w:rsid w:val="00F259B2"/>
    <w:rsid w:val="00F25BC9"/>
    <w:rsid w:val="00F25DF3"/>
    <w:rsid w:val="00F25F37"/>
    <w:rsid w:val="00F25FAA"/>
    <w:rsid w:val="00F26069"/>
    <w:rsid w:val="00F260FF"/>
    <w:rsid w:val="00F26725"/>
    <w:rsid w:val="00F26AD0"/>
    <w:rsid w:val="00F26EC2"/>
    <w:rsid w:val="00F26FB1"/>
    <w:rsid w:val="00F26FE9"/>
    <w:rsid w:val="00F27718"/>
    <w:rsid w:val="00F27757"/>
    <w:rsid w:val="00F278B4"/>
    <w:rsid w:val="00F27DC2"/>
    <w:rsid w:val="00F27F1A"/>
    <w:rsid w:val="00F30793"/>
    <w:rsid w:val="00F307C0"/>
    <w:rsid w:val="00F30818"/>
    <w:rsid w:val="00F30BBA"/>
    <w:rsid w:val="00F329FF"/>
    <w:rsid w:val="00F33C41"/>
    <w:rsid w:val="00F34118"/>
    <w:rsid w:val="00F344EF"/>
    <w:rsid w:val="00F350E8"/>
    <w:rsid w:val="00F3526A"/>
    <w:rsid w:val="00F35A26"/>
    <w:rsid w:val="00F35DBC"/>
    <w:rsid w:val="00F36C7D"/>
    <w:rsid w:val="00F36F88"/>
    <w:rsid w:val="00F37C17"/>
    <w:rsid w:val="00F408CB"/>
    <w:rsid w:val="00F409FC"/>
    <w:rsid w:val="00F4102D"/>
    <w:rsid w:val="00F4114C"/>
    <w:rsid w:val="00F41301"/>
    <w:rsid w:val="00F42682"/>
    <w:rsid w:val="00F434C0"/>
    <w:rsid w:val="00F4362D"/>
    <w:rsid w:val="00F43898"/>
    <w:rsid w:val="00F43D87"/>
    <w:rsid w:val="00F443CC"/>
    <w:rsid w:val="00F44AA2"/>
    <w:rsid w:val="00F46360"/>
    <w:rsid w:val="00F46632"/>
    <w:rsid w:val="00F4675E"/>
    <w:rsid w:val="00F46C5F"/>
    <w:rsid w:val="00F4736C"/>
    <w:rsid w:val="00F47B8E"/>
    <w:rsid w:val="00F502D8"/>
    <w:rsid w:val="00F5070B"/>
    <w:rsid w:val="00F50CC9"/>
    <w:rsid w:val="00F5106D"/>
    <w:rsid w:val="00F51496"/>
    <w:rsid w:val="00F52E97"/>
    <w:rsid w:val="00F53BDB"/>
    <w:rsid w:val="00F546C9"/>
    <w:rsid w:val="00F54AF8"/>
    <w:rsid w:val="00F54C0B"/>
    <w:rsid w:val="00F54D89"/>
    <w:rsid w:val="00F554DE"/>
    <w:rsid w:val="00F555A3"/>
    <w:rsid w:val="00F5680E"/>
    <w:rsid w:val="00F571B4"/>
    <w:rsid w:val="00F57523"/>
    <w:rsid w:val="00F57FAF"/>
    <w:rsid w:val="00F60043"/>
    <w:rsid w:val="00F6067B"/>
    <w:rsid w:val="00F60835"/>
    <w:rsid w:val="00F60A28"/>
    <w:rsid w:val="00F60CD2"/>
    <w:rsid w:val="00F6144A"/>
    <w:rsid w:val="00F618AF"/>
    <w:rsid w:val="00F62341"/>
    <w:rsid w:val="00F626C7"/>
    <w:rsid w:val="00F63C41"/>
    <w:rsid w:val="00F64487"/>
    <w:rsid w:val="00F64600"/>
    <w:rsid w:val="00F648C7"/>
    <w:rsid w:val="00F653D4"/>
    <w:rsid w:val="00F6549E"/>
    <w:rsid w:val="00F65C35"/>
    <w:rsid w:val="00F65D42"/>
    <w:rsid w:val="00F6603D"/>
    <w:rsid w:val="00F66429"/>
    <w:rsid w:val="00F66731"/>
    <w:rsid w:val="00F669F1"/>
    <w:rsid w:val="00F66FB4"/>
    <w:rsid w:val="00F670A2"/>
    <w:rsid w:val="00F67220"/>
    <w:rsid w:val="00F67C49"/>
    <w:rsid w:val="00F702E3"/>
    <w:rsid w:val="00F70676"/>
    <w:rsid w:val="00F7070E"/>
    <w:rsid w:val="00F71669"/>
    <w:rsid w:val="00F71A07"/>
    <w:rsid w:val="00F71A5B"/>
    <w:rsid w:val="00F71DE7"/>
    <w:rsid w:val="00F7232E"/>
    <w:rsid w:val="00F72E4D"/>
    <w:rsid w:val="00F7312D"/>
    <w:rsid w:val="00F74309"/>
    <w:rsid w:val="00F746AA"/>
    <w:rsid w:val="00F746F8"/>
    <w:rsid w:val="00F749B9"/>
    <w:rsid w:val="00F74C94"/>
    <w:rsid w:val="00F75A86"/>
    <w:rsid w:val="00F75B53"/>
    <w:rsid w:val="00F76ADE"/>
    <w:rsid w:val="00F76CFD"/>
    <w:rsid w:val="00F76D87"/>
    <w:rsid w:val="00F778FD"/>
    <w:rsid w:val="00F77B44"/>
    <w:rsid w:val="00F77B86"/>
    <w:rsid w:val="00F8022C"/>
    <w:rsid w:val="00F8030A"/>
    <w:rsid w:val="00F806FF"/>
    <w:rsid w:val="00F80812"/>
    <w:rsid w:val="00F80BD3"/>
    <w:rsid w:val="00F80DFB"/>
    <w:rsid w:val="00F810A6"/>
    <w:rsid w:val="00F8196C"/>
    <w:rsid w:val="00F81E28"/>
    <w:rsid w:val="00F82142"/>
    <w:rsid w:val="00F821F8"/>
    <w:rsid w:val="00F82684"/>
    <w:rsid w:val="00F82BE2"/>
    <w:rsid w:val="00F83061"/>
    <w:rsid w:val="00F830AE"/>
    <w:rsid w:val="00F84821"/>
    <w:rsid w:val="00F84E71"/>
    <w:rsid w:val="00F85BBA"/>
    <w:rsid w:val="00F85CF0"/>
    <w:rsid w:val="00F85DDC"/>
    <w:rsid w:val="00F8620A"/>
    <w:rsid w:val="00F87733"/>
    <w:rsid w:val="00F87AD3"/>
    <w:rsid w:val="00F87CE3"/>
    <w:rsid w:val="00F90011"/>
    <w:rsid w:val="00F9049E"/>
    <w:rsid w:val="00F905D2"/>
    <w:rsid w:val="00F907D2"/>
    <w:rsid w:val="00F9121C"/>
    <w:rsid w:val="00F91DA6"/>
    <w:rsid w:val="00F9265E"/>
    <w:rsid w:val="00F92C9F"/>
    <w:rsid w:val="00F93461"/>
    <w:rsid w:val="00F93DFE"/>
    <w:rsid w:val="00F93EB5"/>
    <w:rsid w:val="00F942F4"/>
    <w:rsid w:val="00F949D0"/>
    <w:rsid w:val="00F94A3B"/>
    <w:rsid w:val="00F94A63"/>
    <w:rsid w:val="00F94F61"/>
    <w:rsid w:val="00F9552B"/>
    <w:rsid w:val="00F95B14"/>
    <w:rsid w:val="00F95C78"/>
    <w:rsid w:val="00F962BF"/>
    <w:rsid w:val="00F964B7"/>
    <w:rsid w:val="00F96B5D"/>
    <w:rsid w:val="00F96CE4"/>
    <w:rsid w:val="00F96E76"/>
    <w:rsid w:val="00F96EDB"/>
    <w:rsid w:val="00F97436"/>
    <w:rsid w:val="00F97A46"/>
    <w:rsid w:val="00F97BA9"/>
    <w:rsid w:val="00F97D5C"/>
    <w:rsid w:val="00FA010E"/>
    <w:rsid w:val="00FA0382"/>
    <w:rsid w:val="00FA0698"/>
    <w:rsid w:val="00FA0E3D"/>
    <w:rsid w:val="00FA0E9B"/>
    <w:rsid w:val="00FA239C"/>
    <w:rsid w:val="00FA34A4"/>
    <w:rsid w:val="00FA395D"/>
    <w:rsid w:val="00FA3992"/>
    <w:rsid w:val="00FA3C4A"/>
    <w:rsid w:val="00FA43A8"/>
    <w:rsid w:val="00FA45C0"/>
    <w:rsid w:val="00FA45D2"/>
    <w:rsid w:val="00FA6B53"/>
    <w:rsid w:val="00FA6D1E"/>
    <w:rsid w:val="00FA7319"/>
    <w:rsid w:val="00FB0511"/>
    <w:rsid w:val="00FB20EE"/>
    <w:rsid w:val="00FB2294"/>
    <w:rsid w:val="00FB2CE1"/>
    <w:rsid w:val="00FB2E0E"/>
    <w:rsid w:val="00FB338F"/>
    <w:rsid w:val="00FB42E8"/>
    <w:rsid w:val="00FB430A"/>
    <w:rsid w:val="00FB4B91"/>
    <w:rsid w:val="00FB53CE"/>
    <w:rsid w:val="00FB5C81"/>
    <w:rsid w:val="00FB5FC7"/>
    <w:rsid w:val="00FB7405"/>
    <w:rsid w:val="00FB768A"/>
    <w:rsid w:val="00FB79E8"/>
    <w:rsid w:val="00FC02E5"/>
    <w:rsid w:val="00FC11F8"/>
    <w:rsid w:val="00FC14B2"/>
    <w:rsid w:val="00FC1A76"/>
    <w:rsid w:val="00FC1F41"/>
    <w:rsid w:val="00FC2420"/>
    <w:rsid w:val="00FC2B36"/>
    <w:rsid w:val="00FC2B6F"/>
    <w:rsid w:val="00FC2B98"/>
    <w:rsid w:val="00FC2C50"/>
    <w:rsid w:val="00FC30B5"/>
    <w:rsid w:val="00FC3A9A"/>
    <w:rsid w:val="00FC3ED4"/>
    <w:rsid w:val="00FC4FE4"/>
    <w:rsid w:val="00FC5246"/>
    <w:rsid w:val="00FC5658"/>
    <w:rsid w:val="00FC602C"/>
    <w:rsid w:val="00FC6178"/>
    <w:rsid w:val="00FC6425"/>
    <w:rsid w:val="00FC65FA"/>
    <w:rsid w:val="00FC69C0"/>
    <w:rsid w:val="00FC6E9D"/>
    <w:rsid w:val="00FC7009"/>
    <w:rsid w:val="00FC732E"/>
    <w:rsid w:val="00FC7389"/>
    <w:rsid w:val="00FC7828"/>
    <w:rsid w:val="00FD0927"/>
    <w:rsid w:val="00FD1121"/>
    <w:rsid w:val="00FD1451"/>
    <w:rsid w:val="00FD15FD"/>
    <w:rsid w:val="00FD1E76"/>
    <w:rsid w:val="00FD20FD"/>
    <w:rsid w:val="00FD2102"/>
    <w:rsid w:val="00FD22D9"/>
    <w:rsid w:val="00FD24D6"/>
    <w:rsid w:val="00FD2BBC"/>
    <w:rsid w:val="00FD2C4D"/>
    <w:rsid w:val="00FD2D55"/>
    <w:rsid w:val="00FD3FF5"/>
    <w:rsid w:val="00FD561C"/>
    <w:rsid w:val="00FD56DA"/>
    <w:rsid w:val="00FD72D6"/>
    <w:rsid w:val="00FD7E8C"/>
    <w:rsid w:val="00FE092D"/>
    <w:rsid w:val="00FE0C8C"/>
    <w:rsid w:val="00FE0E8C"/>
    <w:rsid w:val="00FE1706"/>
    <w:rsid w:val="00FE17D5"/>
    <w:rsid w:val="00FE20B0"/>
    <w:rsid w:val="00FE2624"/>
    <w:rsid w:val="00FE2A8D"/>
    <w:rsid w:val="00FE2BFE"/>
    <w:rsid w:val="00FE2C88"/>
    <w:rsid w:val="00FE2D93"/>
    <w:rsid w:val="00FE3105"/>
    <w:rsid w:val="00FE3A4D"/>
    <w:rsid w:val="00FE4EEF"/>
    <w:rsid w:val="00FE4F09"/>
    <w:rsid w:val="00FE5227"/>
    <w:rsid w:val="00FE6ED9"/>
    <w:rsid w:val="00FE75CC"/>
    <w:rsid w:val="00FE77D2"/>
    <w:rsid w:val="00FE7983"/>
    <w:rsid w:val="00FE7A2D"/>
    <w:rsid w:val="00FE7C0F"/>
    <w:rsid w:val="00FF0531"/>
    <w:rsid w:val="00FF084B"/>
    <w:rsid w:val="00FF1019"/>
    <w:rsid w:val="00FF10D4"/>
    <w:rsid w:val="00FF142A"/>
    <w:rsid w:val="00FF15E0"/>
    <w:rsid w:val="00FF2415"/>
    <w:rsid w:val="00FF252E"/>
    <w:rsid w:val="00FF2EDE"/>
    <w:rsid w:val="00FF3122"/>
    <w:rsid w:val="00FF3C14"/>
    <w:rsid w:val="00FF3EEE"/>
    <w:rsid w:val="00FF4112"/>
    <w:rsid w:val="00FF483A"/>
    <w:rsid w:val="00FF4BEB"/>
    <w:rsid w:val="00FF5156"/>
    <w:rsid w:val="00FF5C0C"/>
    <w:rsid w:val="00FF654B"/>
    <w:rsid w:val="00FF6779"/>
    <w:rsid w:val="00FF6FC4"/>
    <w:rsid w:val="00FF704B"/>
    <w:rsid w:val="00FF7065"/>
    <w:rsid w:val="00FF715A"/>
    <w:rsid w:val="00FF78D0"/>
    <w:rsid w:val="00FF7D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35E55AE-0A11-4043-8D22-B354E2A5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uiPriority w:val="2"/>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uiPriority w:val="99"/>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b w:val="0"/>
      <w:i/>
    </w:rPr>
  </w:style>
  <w:style w:type="character" w:styleId="PageNumber">
    <w:name w:val="page number"/>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link w:val="Heading1"/>
    <w:rsid w:val="0022373A"/>
    <w:rPr>
      <w:rFonts w:ascii="Calibri" w:hAnsi="Calibri"/>
      <w:b/>
      <w:sz w:val="28"/>
      <w:lang w:val="en-GB" w:eastAsia="en-US"/>
    </w:rPr>
  </w:style>
  <w:style w:type="character" w:customStyle="1" w:styleId="Heading2Char">
    <w:name w:val="Heading 2 Char"/>
    <w:link w:val="Heading2"/>
    <w:rsid w:val="0022373A"/>
    <w:rPr>
      <w:rFonts w:ascii="Calibri" w:hAnsi="Calibri"/>
      <w:b/>
      <w:sz w:val="24"/>
      <w:lang w:val="en-GB" w:eastAsia="en-US"/>
    </w:rPr>
  </w:style>
  <w:style w:type="character" w:customStyle="1" w:styleId="Heading3Char">
    <w:name w:val="Heading 3 Char"/>
    <w:link w:val="Heading3"/>
    <w:uiPriority w:val="2"/>
    <w:rsid w:val="0022373A"/>
    <w:rPr>
      <w:rFonts w:ascii="Calibri" w:hAnsi="Calibri"/>
      <w:b/>
      <w:sz w:val="24"/>
      <w:lang w:val="en-GB" w:eastAsia="en-US"/>
    </w:rPr>
  </w:style>
  <w:style w:type="character" w:customStyle="1" w:styleId="Heading4Char">
    <w:name w:val="Heading 4 Char"/>
    <w:link w:val="Heading4"/>
    <w:rsid w:val="0022373A"/>
    <w:rPr>
      <w:rFonts w:ascii="Calibri" w:hAnsi="Calibri"/>
      <w:b/>
      <w:sz w:val="24"/>
      <w:lang w:val="en-GB" w:eastAsia="en-US"/>
    </w:rPr>
  </w:style>
  <w:style w:type="character" w:customStyle="1" w:styleId="Heading5Char">
    <w:name w:val="Heading 5 Char"/>
    <w:link w:val="Heading5"/>
    <w:rsid w:val="0022373A"/>
    <w:rPr>
      <w:rFonts w:ascii="Calibri" w:hAnsi="Calibri"/>
      <w:b/>
      <w:sz w:val="24"/>
      <w:lang w:val="en-GB" w:eastAsia="en-US"/>
    </w:rPr>
  </w:style>
  <w:style w:type="character" w:customStyle="1" w:styleId="Heading6Char">
    <w:name w:val="Heading 6 Char"/>
    <w:link w:val="Heading6"/>
    <w:rsid w:val="0022373A"/>
    <w:rPr>
      <w:rFonts w:ascii="Calibri" w:hAnsi="Calibri"/>
      <w:b/>
      <w:sz w:val="24"/>
      <w:lang w:val="en-GB" w:eastAsia="en-US"/>
    </w:rPr>
  </w:style>
  <w:style w:type="character" w:customStyle="1" w:styleId="Heading7Char">
    <w:name w:val="Heading 7 Char"/>
    <w:link w:val="Heading7"/>
    <w:rsid w:val="0022373A"/>
    <w:rPr>
      <w:rFonts w:ascii="Calibri" w:hAnsi="Calibri"/>
      <w:b/>
      <w:sz w:val="24"/>
      <w:lang w:val="en-GB" w:eastAsia="en-US"/>
    </w:rPr>
  </w:style>
  <w:style w:type="character" w:customStyle="1" w:styleId="Heading8Char">
    <w:name w:val="Heading 8 Char"/>
    <w:link w:val="Heading8"/>
    <w:rsid w:val="0022373A"/>
    <w:rPr>
      <w:rFonts w:ascii="Calibri" w:hAnsi="Calibri"/>
      <w:b/>
      <w:sz w:val="24"/>
      <w:lang w:val="en-GB" w:eastAsia="en-US"/>
    </w:rPr>
  </w:style>
  <w:style w:type="character" w:customStyle="1" w:styleId="Heading9Char">
    <w:name w:val="Heading 9 Char"/>
    <w:link w:val="Heading9"/>
    <w:rsid w:val="0022373A"/>
    <w:rPr>
      <w:rFonts w:ascii="Calibri" w:hAnsi="Calibri"/>
      <w:b/>
      <w:sz w:val="24"/>
      <w:lang w:val="en-GB" w:eastAsia="en-US"/>
    </w:rPr>
  </w:style>
  <w:style w:type="character" w:customStyle="1" w:styleId="FooterChar">
    <w:name w:val="Footer Char"/>
    <w:link w:val="Footer"/>
    <w:rsid w:val="0022373A"/>
    <w:rPr>
      <w:rFonts w:ascii="Calibri" w:hAnsi="Calibri"/>
      <w:caps/>
      <w:noProof/>
      <w:sz w:val="16"/>
      <w:lang w:val="en-GB" w:eastAsia="en-US"/>
    </w:rPr>
  </w:style>
  <w:style w:type="character" w:customStyle="1" w:styleId="HeaderChar">
    <w:name w:val="Header Char"/>
    <w:link w:val="Header"/>
    <w:uiPriority w:val="99"/>
    <w:rsid w:val="0022373A"/>
    <w:rPr>
      <w:rFonts w:ascii="Calibri" w:hAnsi="Calibri"/>
      <w:sz w:val="18"/>
      <w:lang w:val="en-GB" w:eastAsia="en-US"/>
    </w:rPr>
  </w:style>
  <w:style w:type="character" w:customStyle="1" w:styleId="FootnoteTextChar">
    <w:name w:val="Footnote Text Char"/>
    <w:link w:val="FootnoteText"/>
    <w:rsid w:val="0022373A"/>
    <w:rPr>
      <w:rFonts w:ascii="Calibri" w:hAnsi="Calibri"/>
      <w:sz w:val="24"/>
      <w:lang w:val="en-GB" w:eastAsia="en-US"/>
    </w:rPr>
  </w:style>
  <w:style w:type="character" w:customStyle="1" w:styleId="NormalaftertitleChar">
    <w:name w:val="Normal after title Char"/>
    <w:link w:val="Normalaftertitle"/>
    <w:rsid w:val="0022373A"/>
    <w:rPr>
      <w:rFonts w:ascii="Calibri" w:hAnsi="Calibri"/>
      <w:sz w:val="24"/>
      <w:lang w:val="en-GB" w:eastAsia="en-US"/>
    </w:rPr>
  </w:style>
  <w:style w:type="character" w:customStyle="1" w:styleId="CallChar">
    <w:name w:val="Call Char"/>
    <w:link w:val="Call"/>
    <w:rsid w:val="0022373A"/>
    <w:rPr>
      <w:rFonts w:ascii="Calibri" w:hAnsi="Calibri"/>
      <w:i/>
      <w:sz w:val="24"/>
      <w:lang w:val="en-GB" w:eastAsia="en-US"/>
    </w:rPr>
  </w:style>
  <w:style w:type="paragraph" w:styleId="NormalWeb">
    <w:name w:val="Normal (Web)"/>
    <w:basedOn w:val="Normal"/>
    <w:uiPriority w:val="99"/>
    <w:unhideWhenUsed/>
    <w:rsid w:val="0022373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table" w:styleId="TableGrid">
    <w:name w:val="Table Grid"/>
    <w:basedOn w:val="TableNormal"/>
    <w:rsid w:val="0022373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22373A"/>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lang w:val="fr-FR"/>
    </w:rPr>
  </w:style>
  <w:style w:type="paragraph" w:customStyle="1" w:styleId="TableHead0">
    <w:name w:val="Table_Head"/>
    <w:basedOn w:val="TableText0"/>
    <w:rsid w:val="0022373A"/>
    <w:pPr>
      <w:keepNext/>
      <w:spacing w:before="480" w:after="0"/>
      <w:jc w:val="center"/>
    </w:pPr>
    <w:rPr>
      <w:b/>
    </w:rPr>
  </w:style>
  <w:style w:type="paragraph" w:styleId="BalloonText">
    <w:name w:val="Balloon Text"/>
    <w:basedOn w:val="Normal"/>
    <w:link w:val="BalloonTextChar"/>
    <w:uiPriority w:val="99"/>
    <w:unhideWhenUsed/>
    <w:rsid w:val="0022373A"/>
    <w:pPr>
      <w:widowControl w:val="0"/>
      <w:tabs>
        <w:tab w:val="clear" w:pos="567"/>
        <w:tab w:val="clear" w:pos="1134"/>
        <w:tab w:val="clear" w:pos="1701"/>
        <w:tab w:val="clear" w:pos="2268"/>
        <w:tab w:val="clear" w:pos="2835"/>
      </w:tabs>
      <w:kinsoku w:val="0"/>
      <w:overflowPunct/>
      <w:autoSpaceDE/>
      <w:autoSpaceDN/>
      <w:adjustRightInd/>
      <w:spacing w:before="0"/>
      <w:textAlignment w:val="auto"/>
    </w:pPr>
    <w:rPr>
      <w:rFonts w:ascii="Tahoma" w:eastAsia="SimSun" w:hAnsi="Tahoma" w:cs="Tahoma"/>
      <w:sz w:val="16"/>
      <w:szCs w:val="16"/>
      <w:lang w:val="en-US" w:eastAsia="zh-CN"/>
    </w:rPr>
  </w:style>
  <w:style w:type="character" w:customStyle="1" w:styleId="BalloonTextChar">
    <w:name w:val="Balloon Text Char"/>
    <w:link w:val="BalloonText"/>
    <w:uiPriority w:val="99"/>
    <w:rsid w:val="0022373A"/>
    <w:rPr>
      <w:rFonts w:ascii="Tahoma" w:eastAsia="SimSun" w:hAnsi="Tahoma" w:cs="Tahoma"/>
      <w:sz w:val="16"/>
      <w:szCs w:val="16"/>
    </w:rPr>
  </w:style>
  <w:style w:type="paragraph" w:styleId="BodyTextIndent">
    <w:name w:val="Body Text Indent"/>
    <w:basedOn w:val="Normal"/>
    <w:link w:val="BodyTextIndentChar"/>
    <w:rsid w:val="0022373A"/>
    <w:pPr>
      <w:tabs>
        <w:tab w:val="clear" w:pos="567"/>
        <w:tab w:val="clear" w:pos="1701"/>
        <w:tab w:val="clear" w:pos="2268"/>
        <w:tab w:val="clear" w:pos="2835"/>
        <w:tab w:val="left" w:pos="0"/>
        <w:tab w:val="left" w:pos="851"/>
      </w:tabs>
      <w:spacing w:before="80" w:line="0" w:lineRule="atLeast"/>
      <w:ind w:left="1134" w:hanging="283"/>
    </w:pPr>
    <w:rPr>
      <w:rFonts w:ascii="Times New Roman" w:hAnsi="Times New Roman"/>
      <w:lang w:val="fr-FR"/>
    </w:rPr>
  </w:style>
  <w:style w:type="character" w:customStyle="1" w:styleId="BodyTextIndentChar">
    <w:name w:val="Body Text Indent Char"/>
    <w:link w:val="BodyTextIndent"/>
    <w:rsid w:val="0022373A"/>
    <w:rPr>
      <w:rFonts w:ascii="Times New Roman" w:hAnsi="Times New Roman"/>
      <w:sz w:val="24"/>
      <w:lang w:val="fr-FR" w:eastAsia="en-US"/>
    </w:rPr>
  </w:style>
  <w:style w:type="paragraph" w:styleId="BodyTextIndent3">
    <w:name w:val="Body Text Indent 3"/>
    <w:basedOn w:val="Normal"/>
    <w:link w:val="BodyTextIndent3Char"/>
    <w:rsid w:val="0022373A"/>
    <w:pPr>
      <w:tabs>
        <w:tab w:val="clear" w:pos="1701"/>
        <w:tab w:val="clear" w:pos="2268"/>
        <w:tab w:val="clear" w:pos="2835"/>
        <w:tab w:val="left" w:pos="851"/>
        <w:tab w:val="left" w:pos="1418"/>
      </w:tabs>
      <w:spacing w:line="240" w:lineRule="atLeast"/>
      <w:ind w:left="34"/>
    </w:pPr>
    <w:rPr>
      <w:rFonts w:ascii="Times New Roman" w:hAnsi="Times New Roman"/>
      <w:lang w:val="fr-FR"/>
    </w:rPr>
  </w:style>
  <w:style w:type="character" w:customStyle="1" w:styleId="BodyTextIndent3Char">
    <w:name w:val="Body Text Indent 3 Char"/>
    <w:link w:val="BodyTextIndent3"/>
    <w:rsid w:val="0022373A"/>
    <w:rPr>
      <w:rFonts w:ascii="Times New Roman" w:hAnsi="Times New Roman"/>
      <w:sz w:val="24"/>
      <w:lang w:val="fr-FR" w:eastAsia="en-US"/>
    </w:rPr>
  </w:style>
  <w:style w:type="paragraph" w:styleId="BodyText3">
    <w:name w:val="Body Text 3"/>
    <w:basedOn w:val="Normal"/>
    <w:link w:val="BodyText3Char"/>
    <w:uiPriority w:val="99"/>
    <w:unhideWhenUsed/>
    <w:rsid w:val="0022373A"/>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SimSun" w:hAnsi="Times New Roman"/>
      <w:sz w:val="16"/>
      <w:szCs w:val="16"/>
      <w:lang w:val="en-US" w:eastAsia="zh-CN"/>
    </w:rPr>
  </w:style>
  <w:style w:type="character" w:customStyle="1" w:styleId="BodyText3Char">
    <w:name w:val="Body Text 3 Char"/>
    <w:link w:val="BodyText3"/>
    <w:uiPriority w:val="99"/>
    <w:rsid w:val="0022373A"/>
    <w:rPr>
      <w:rFonts w:ascii="Times New Roman" w:eastAsia="SimSun" w:hAnsi="Times New Roman"/>
      <w:sz w:val="16"/>
      <w:szCs w:val="16"/>
    </w:rPr>
  </w:style>
  <w:style w:type="character" w:styleId="Strong">
    <w:name w:val="Strong"/>
    <w:uiPriority w:val="22"/>
    <w:qFormat/>
    <w:rsid w:val="0022373A"/>
    <w:rPr>
      <w:b/>
      <w:bCs/>
    </w:rPr>
  </w:style>
  <w:style w:type="character" w:styleId="CommentReference">
    <w:name w:val="annotation reference"/>
    <w:uiPriority w:val="99"/>
    <w:unhideWhenUsed/>
    <w:rsid w:val="0022373A"/>
    <w:rPr>
      <w:sz w:val="16"/>
      <w:szCs w:val="16"/>
    </w:rPr>
  </w:style>
  <w:style w:type="paragraph" w:styleId="CommentText">
    <w:name w:val="annotation text"/>
    <w:basedOn w:val="Normal"/>
    <w:link w:val="CommentTextChar"/>
    <w:uiPriority w:val="99"/>
    <w:unhideWhenUsed/>
    <w:rsid w:val="0022373A"/>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cs="Arial"/>
      <w:b/>
      <w:sz w:val="20"/>
      <w:lang w:val="fr-FR" w:eastAsia="fr-FR"/>
    </w:rPr>
  </w:style>
  <w:style w:type="character" w:customStyle="1" w:styleId="CommentTextChar">
    <w:name w:val="Comment Text Char"/>
    <w:link w:val="CommentText"/>
    <w:uiPriority w:val="99"/>
    <w:rsid w:val="0022373A"/>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22373A"/>
    <w:rPr>
      <w:bCs/>
    </w:rPr>
  </w:style>
  <w:style w:type="character" w:customStyle="1" w:styleId="CommentSubjectChar">
    <w:name w:val="Comment Subject Char"/>
    <w:link w:val="CommentSubject"/>
    <w:uiPriority w:val="99"/>
    <w:rsid w:val="0022373A"/>
    <w:rPr>
      <w:rFonts w:ascii="Times New Roman" w:hAnsi="Times New Roman" w:cs="Arial"/>
      <w:b/>
      <w:bCs/>
      <w:lang w:val="fr-FR" w:eastAsia="fr-FR"/>
    </w:rPr>
  </w:style>
  <w:style w:type="paragraph" w:styleId="Revision">
    <w:name w:val="Revision"/>
    <w:hidden/>
    <w:uiPriority w:val="99"/>
    <w:semiHidden/>
    <w:rsid w:val="0022373A"/>
    <w:rPr>
      <w:rFonts w:ascii="Times New Roman" w:eastAsia="SimSun" w:hAnsi="Times New Roman"/>
      <w:sz w:val="24"/>
      <w:szCs w:val="24"/>
    </w:rPr>
  </w:style>
  <w:style w:type="paragraph" w:styleId="Caption">
    <w:name w:val="caption"/>
    <w:basedOn w:val="Normal"/>
    <w:next w:val="Normal"/>
    <w:uiPriority w:val="35"/>
    <w:unhideWhenUsed/>
    <w:qFormat/>
    <w:rsid w:val="0022373A"/>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SimSun" w:hAnsi="Times New Roman"/>
      <w:b/>
      <w:bCs/>
      <w:color w:val="4F81BD"/>
      <w:sz w:val="18"/>
      <w:szCs w:val="18"/>
      <w:lang w:val="en-US" w:eastAsia="zh-CN"/>
    </w:rPr>
  </w:style>
  <w:style w:type="paragraph" w:styleId="NoSpacing">
    <w:name w:val="No Spacing"/>
    <w:uiPriority w:val="1"/>
    <w:qFormat/>
    <w:rsid w:val="00CB1A52"/>
    <w:pPr>
      <w:spacing w:before="120" w:after="120" w:line="288" w:lineRule="auto"/>
    </w:pPr>
    <w:rPr>
      <w:rFonts w:ascii="Arial" w:hAnsi="Arial" w:cs="Arial"/>
      <w:szCs w:val="24"/>
      <w:lang w:val="fr-FR" w:eastAsia="fr-FR"/>
    </w:rPr>
  </w:style>
  <w:style w:type="paragraph" w:styleId="ListParagraph">
    <w:name w:val="List Paragraph"/>
    <w:aliases w:val="List Paragraph1,Recommendation,List Paragraph11"/>
    <w:basedOn w:val="Normal"/>
    <w:link w:val="ListParagraphChar"/>
    <w:uiPriority w:val="34"/>
    <w:qFormat/>
    <w:rsid w:val="0041159C"/>
    <w:pPr>
      <w:widowControl w:val="0"/>
      <w:tabs>
        <w:tab w:val="clear" w:pos="567"/>
        <w:tab w:val="clear" w:pos="1134"/>
        <w:tab w:val="clear" w:pos="1701"/>
        <w:tab w:val="clear" w:pos="2268"/>
        <w:tab w:val="clear" w:pos="2835"/>
      </w:tabs>
      <w:kinsoku w:val="0"/>
      <w:overflowPunct/>
      <w:autoSpaceDE/>
      <w:autoSpaceDN/>
      <w:adjustRightInd/>
      <w:spacing w:before="0"/>
      <w:ind w:left="720"/>
      <w:contextualSpacing/>
      <w:textAlignment w:val="auto"/>
    </w:pPr>
    <w:rPr>
      <w:rFonts w:ascii="Times New Roman" w:eastAsia="SimSun" w:hAnsi="Times New Roman"/>
      <w:szCs w:val="24"/>
      <w:lang w:val="en-US" w:eastAsia="zh-CN"/>
    </w:rPr>
  </w:style>
  <w:style w:type="paragraph" w:customStyle="1" w:styleId="headingb0">
    <w:name w:val="heading_b"/>
    <w:basedOn w:val="Heading3"/>
    <w:next w:val="Normal"/>
    <w:uiPriority w:val="99"/>
    <w:rsid w:val="0041159C"/>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fr-FR"/>
    </w:rPr>
  </w:style>
  <w:style w:type="numbering" w:customStyle="1" w:styleId="NoList1">
    <w:name w:val="No List1"/>
    <w:next w:val="NoList"/>
    <w:uiPriority w:val="99"/>
    <w:semiHidden/>
    <w:unhideWhenUsed/>
    <w:rsid w:val="0041159C"/>
  </w:style>
  <w:style w:type="numbering" w:customStyle="1" w:styleId="NoList2">
    <w:name w:val="No List2"/>
    <w:next w:val="NoList"/>
    <w:uiPriority w:val="99"/>
    <w:semiHidden/>
    <w:unhideWhenUsed/>
    <w:rsid w:val="003F74FA"/>
  </w:style>
  <w:style w:type="paragraph" w:customStyle="1" w:styleId="font5">
    <w:name w:val="font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65">
    <w:name w:val="xl6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6">
    <w:name w:val="xl6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67">
    <w:name w:val="xl67"/>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68">
    <w:name w:val="xl6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sz w:val="22"/>
      <w:szCs w:val="22"/>
      <w:lang w:val="en-US" w:eastAsia="zh-CN"/>
    </w:rPr>
  </w:style>
  <w:style w:type="paragraph" w:customStyle="1" w:styleId="xl69">
    <w:name w:val="xl69"/>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0">
    <w:name w:val="xl70"/>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1">
    <w:name w:val="xl71"/>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sz w:val="22"/>
      <w:szCs w:val="22"/>
      <w:lang w:val="en-US" w:eastAsia="zh-CN"/>
    </w:rPr>
  </w:style>
  <w:style w:type="paragraph" w:customStyle="1" w:styleId="xl72">
    <w:name w:val="xl72"/>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3">
    <w:name w:val="xl7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4">
    <w:name w:val="xl74"/>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75">
    <w:name w:val="xl7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6">
    <w:name w:val="xl7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77">
    <w:name w:val="xl77"/>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78">
    <w:name w:val="xl7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79">
    <w:name w:val="xl79"/>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0">
    <w:name w:val="xl80"/>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1">
    <w:name w:val="xl81"/>
    <w:basedOn w:val="Normal"/>
    <w:rsid w:val="003F74FA"/>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2">
    <w:name w:val="xl82"/>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cs="Calibri"/>
      <w:color w:val="000000"/>
      <w:sz w:val="22"/>
      <w:szCs w:val="22"/>
      <w:lang w:val="en-US" w:eastAsia="zh-CN"/>
    </w:rPr>
  </w:style>
  <w:style w:type="paragraph" w:customStyle="1" w:styleId="xl83">
    <w:name w:val="xl8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4">
    <w:name w:val="xl84"/>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5">
    <w:name w:val="xl85"/>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86">
    <w:name w:val="xl86"/>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7">
    <w:name w:val="xl87"/>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8">
    <w:name w:val="xl88"/>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89">
    <w:name w:val="xl89"/>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0">
    <w:name w:val="xl90"/>
    <w:basedOn w:val="Normal"/>
    <w:rsid w:val="003F74FA"/>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91">
    <w:name w:val="xl91"/>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2">
    <w:name w:val="xl92"/>
    <w:basedOn w:val="Normal"/>
    <w:rsid w:val="003F74FA"/>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3">
    <w:name w:val="xl93"/>
    <w:basedOn w:val="Normal"/>
    <w:rsid w:val="003F74F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cs="Calibri"/>
      <w:color w:val="000000"/>
      <w:sz w:val="20"/>
      <w:lang w:val="en-US" w:eastAsia="zh-CN"/>
    </w:rPr>
  </w:style>
  <w:style w:type="paragraph" w:styleId="Title">
    <w:name w:val="Title"/>
    <w:basedOn w:val="Normal"/>
    <w:link w:val="TitleChar"/>
    <w:qFormat/>
    <w:rsid w:val="00F67220"/>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eastAsia="zh-CN"/>
    </w:rPr>
  </w:style>
  <w:style w:type="character" w:customStyle="1" w:styleId="TitleChar">
    <w:name w:val="Title Char"/>
    <w:link w:val="Title"/>
    <w:rsid w:val="00F67220"/>
    <w:rPr>
      <w:rFonts w:ascii="Arial" w:eastAsia="SimSun" w:hAnsi="Arial"/>
      <w:b/>
      <w:bCs/>
      <w:sz w:val="22"/>
      <w:szCs w:val="24"/>
      <w:lang w:val="en-GB"/>
    </w:rPr>
  </w:style>
  <w:style w:type="paragraph" w:styleId="BlockText">
    <w:name w:val="Block Text"/>
    <w:basedOn w:val="Normal"/>
    <w:rsid w:val="00682E1B"/>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hAnsi="Univers"/>
      <w:sz w:val="21"/>
      <w:szCs w:val="21"/>
    </w:rPr>
  </w:style>
  <w:style w:type="character" w:styleId="Emphasis">
    <w:name w:val="Emphasis"/>
    <w:basedOn w:val="DefaultParagraphFont"/>
    <w:uiPriority w:val="20"/>
    <w:qFormat/>
    <w:rsid w:val="00210C5D"/>
    <w:rPr>
      <w:i/>
      <w:iCs/>
    </w:rPr>
  </w:style>
  <w:style w:type="paragraph" w:customStyle="1" w:styleId="Default">
    <w:name w:val="Default"/>
    <w:rsid w:val="008E2834"/>
    <w:pPr>
      <w:autoSpaceDE w:val="0"/>
      <w:autoSpaceDN w:val="0"/>
      <w:adjustRightInd w:val="0"/>
    </w:pPr>
    <w:rPr>
      <w:rFonts w:ascii="Calibri" w:hAnsi="Calibri" w:cs="Calibri"/>
      <w:color w:val="000000"/>
      <w:sz w:val="24"/>
      <w:szCs w:val="24"/>
    </w:rPr>
  </w:style>
  <w:style w:type="character" w:customStyle="1" w:styleId="intro">
    <w:name w:val="intro"/>
    <w:basedOn w:val="DefaultParagraphFont"/>
    <w:rsid w:val="00AA7224"/>
  </w:style>
  <w:style w:type="character" w:customStyle="1" w:styleId="ms-rtefontsize-2">
    <w:name w:val="ms-rtefontsize-2"/>
    <w:basedOn w:val="DefaultParagraphFont"/>
    <w:rsid w:val="00CB5927"/>
  </w:style>
  <w:style w:type="paragraph" w:styleId="Date">
    <w:name w:val="Date"/>
    <w:basedOn w:val="Normal"/>
    <w:next w:val="Normal"/>
    <w:link w:val="DateChar"/>
    <w:rsid w:val="006973F1"/>
  </w:style>
  <w:style w:type="character" w:customStyle="1" w:styleId="DateChar">
    <w:name w:val="Date Char"/>
    <w:basedOn w:val="DefaultParagraphFont"/>
    <w:link w:val="Date"/>
    <w:rsid w:val="006973F1"/>
    <w:rPr>
      <w:rFonts w:ascii="Calibri" w:hAnsi="Calibri"/>
      <w:sz w:val="24"/>
      <w:lang w:val="en-GB" w:eastAsia="en-US"/>
    </w:rPr>
  </w:style>
  <w:style w:type="paragraph" w:customStyle="1" w:styleId="elencopuntato1">
    <w:name w:val="elenco puntato 1"/>
    <w:basedOn w:val="ListParagraph"/>
    <w:qFormat/>
    <w:rsid w:val="00A0167F"/>
    <w:pPr>
      <w:widowControl/>
      <w:numPr>
        <w:numId w:val="22"/>
      </w:numPr>
      <w:kinsoku/>
      <w:adjustRightInd w:val="0"/>
      <w:spacing w:before="120" w:line="319" w:lineRule="auto"/>
      <w:ind w:left="851" w:hanging="284"/>
      <w:contextualSpacing w:val="0"/>
      <w:jc w:val="both"/>
    </w:pPr>
    <w:rPr>
      <w:rFonts w:ascii="Arial" w:eastAsiaTheme="minorHAnsi" w:hAnsi="Arial"/>
      <w:lang w:val="en-GB" w:eastAsia="it-IT"/>
    </w:rPr>
  </w:style>
  <w:style w:type="paragraph" w:customStyle="1" w:styleId="elencopuntatononrientrato">
    <w:name w:val="elenco puntato non rientrato"/>
    <w:basedOn w:val="elencopuntato1"/>
    <w:qFormat/>
    <w:rsid w:val="00A0167F"/>
    <w:pPr>
      <w:numPr>
        <w:numId w:val="21"/>
      </w:numPr>
      <w:tabs>
        <w:tab w:val="num" w:pos="360"/>
      </w:tabs>
      <w:ind w:left="284" w:hanging="284"/>
    </w:pPr>
  </w:style>
  <w:style w:type="paragraph" w:customStyle="1" w:styleId="Pa8">
    <w:name w:val="Pa8"/>
    <w:basedOn w:val="Default"/>
    <w:next w:val="Default"/>
    <w:uiPriority w:val="99"/>
    <w:rsid w:val="0042562F"/>
    <w:pPr>
      <w:spacing w:line="191" w:lineRule="atLeast"/>
    </w:pPr>
    <w:rPr>
      <w:rFonts w:ascii="Avenir Next LT Pro" w:hAnsi="Avenir Next LT Pro" w:cs="Times New Roman"/>
      <w:color w:val="auto"/>
    </w:rPr>
  </w:style>
  <w:style w:type="paragraph" w:styleId="BodyText">
    <w:name w:val="Body Text"/>
    <w:basedOn w:val="Normal"/>
    <w:link w:val="BodyTextChar"/>
    <w:unhideWhenUsed/>
    <w:rsid w:val="009053D6"/>
    <w:pPr>
      <w:spacing w:after="120"/>
    </w:pPr>
  </w:style>
  <w:style w:type="character" w:customStyle="1" w:styleId="BodyTextChar">
    <w:name w:val="Body Text Char"/>
    <w:basedOn w:val="DefaultParagraphFont"/>
    <w:link w:val="BodyText"/>
    <w:rsid w:val="009053D6"/>
    <w:rPr>
      <w:rFonts w:ascii="Calibri" w:hAnsi="Calibri"/>
      <w:sz w:val="24"/>
      <w:lang w:val="en-GB" w:eastAsia="en-US"/>
    </w:rPr>
  </w:style>
  <w:style w:type="character" w:customStyle="1" w:styleId="Style1Char">
    <w:name w:val="Style1 Char"/>
    <w:basedOn w:val="DefaultParagraphFont"/>
    <w:link w:val="Style1"/>
    <w:locked/>
    <w:rsid w:val="009053D6"/>
    <w:rPr>
      <w:rFonts w:eastAsia="DengXian"/>
      <w:b/>
      <w:iCs/>
      <w:color w:val="548DD4" w:themeColor="text2" w:themeTint="99"/>
      <w:sz w:val="24"/>
      <w:szCs w:val="24"/>
      <w:lang w:eastAsia="en-US"/>
    </w:rPr>
  </w:style>
  <w:style w:type="paragraph" w:customStyle="1" w:styleId="Style1">
    <w:name w:val="Style1"/>
    <w:basedOn w:val="Normal"/>
    <w:link w:val="Style1Char"/>
    <w:qFormat/>
    <w:rsid w:val="009053D6"/>
    <w:pPr>
      <w:keepNext/>
      <w:tabs>
        <w:tab w:val="clear" w:pos="567"/>
        <w:tab w:val="clear" w:pos="1134"/>
        <w:tab w:val="clear" w:pos="1701"/>
        <w:tab w:val="clear" w:pos="2268"/>
        <w:tab w:val="clear" w:pos="283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Cs w:val="24"/>
      <w:lang w:val="en-US"/>
    </w:rPr>
  </w:style>
  <w:style w:type="character" w:customStyle="1" w:styleId="ListParagraphChar">
    <w:name w:val="List Paragraph Char"/>
    <w:aliases w:val="List Paragraph1 Char,Recommendation Char,List Paragraph11 Char"/>
    <w:basedOn w:val="DefaultParagraphFont"/>
    <w:link w:val="ListParagraph"/>
    <w:uiPriority w:val="34"/>
    <w:rsid w:val="00344B4A"/>
    <w:rPr>
      <w:rFonts w:ascii="Times New Roman" w:eastAsia="SimSun" w:hAnsi="Times New Roman"/>
      <w:sz w:val="24"/>
      <w:szCs w:val="24"/>
    </w:rPr>
  </w:style>
  <w:style w:type="character" w:customStyle="1" w:styleId="ms-rtethemefontface-1">
    <w:name w:val="ms-rtethemefontface-1"/>
    <w:basedOn w:val="DefaultParagraphFont"/>
    <w:rsid w:val="00D25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748">
      <w:bodyDiv w:val="1"/>
      <w:marLeft w:val="0"/>
      <w:marRight w:val="0"/>
      <w:marTop w:val="0"/>
      <w:marBottom w:val="0"/>
      <w:divBdr>
        <w:top w:val="none" w:sz="0" w:space="0" w:color="auto"/>
        <w:left w:val="none" w:sz="0" w:space="0" w:color="auto"/>
        <w:bottom w:val="none" w:sz="0" w:space="0" w:color="auto"/>
        <w:right w:val="none" w:sz="0" w:space="0" w:color="auto"/>
      </w:divBdr>
    </w:div>
    <w:div w:id="1444545">
      <w:bodyDiv w:val="1"/>
      <w:marLeft w:val="0"/>
      <w:marRight w:val="0"/>
      <w:marTop w:val="0"/>
      <w:marBottom w:val="0"/>
      <w:divBdr>
        <w:top w:val="none" w:sz="0" w:space="0" w:color="auto"/>
        <w:left w:val="none" w:sz="0" w:space="0" w:color="auto"/>
        <w:bottom w:val="none" w:sz="0" w:space="0" w:color="auto"/>
        <w:right w:val="none" w:sz="0" w:space="0" w:color="auto"/>
      </w:divBdr>
    </w:div>
    <w:div w:id="3896333">
      <w:bodyDiv w:val="1"/>
      <w:marLeft w:val="0"/>
      <w:marRight w:val="0"/>
      <w:marTop w:val="0"/>
      <w:marBottom w:val="0"/>
      <w:divBdr>
        <w:top w:val="none" w:sz="0" w:space="0" w:color="auto"/>
        <w:left w:val="none" w:sz="0" w:space="0" w:color="auto"/>
        <w:bottom w:val="none" w:sz="0" w:space="0" w:color="auto"/>
        <w:right w:val="none" w:sz="0" w:space="0" w:color="auto"/>
      </w:divBdr>
    </w:div>
    <w:div w:id="8878144">
      <w:bodyDiv w:val="1"/>
      <w:marLeft w:val="0"/>
      <w:marRight w:val="0"/>
      <w:marTop w:val="0"/>
      <w:marBottom w:val="0"/>
      <w:divBdr>
        <w:top w:val="none" w:sz="0" w:space="0" w:color="auto"/>
        <w:left w:val="none" w:sz="0" w:space="0" w:color="auto"/>
        <w:bottom w:val="none" w:sz="0" w:space="0" w:color="auto"/>
        <w:right w:val="none" w:sz="0" w:space="0" w:color="auto"/>
      </w:divBdr>
    </w:div>
    <w:div w:id="8995910">
      <w:bodyDiv w:val="1"/>
      <w:marLeft w:val="0"/>
      <w:marRight w:val="0"/>
      <w:marTop w:val="0"/>
      <w:marBottom w:val="0"/>
      <w:divBdr>
        <w:top w:val="none" w:sz="0" w:space="0" w:color="auto"/>
        <w:left w:val="none" w:sz="0" w:space="0" w:color="auto"/>
        <w:bottom w:val="none" w:sz="0" w:space="0" w:color="auto"/>
        <w:right w:val="none" w:sz="0" w:space="0" w:color="auto"/>
      </w:divBdr>
    </w:div>
    <w:div w:id="25107661">
      <w:bodyDiv w:val="1"/>
      <w:marLeft w:val="0"/>
      <w:marRight w:val="0"/>
      <w:marTop w:val="0"/>
      <w:marBottom w:val="0"/>
      <w:divBdr>
        <w:top w:val="none" w:sz="0" w:space="0" w:color="auto"/>
        <w:left w:val="none" w:sz="0" w:space="0" w:color="auto"/>
        <w:bottom w:val="none" w:sz="0" w:space="0" w:color="auto"/>
        <w:right w:val="none" w:sz="0" w:space="0" w:color="auto"/>
      </w:divBdr>
    </w:div>
    <w:div w:id="27414028">
      <w:bodyDiv w:val="1"/>
      <w:marLeft w:val="0"/>
      <w:marRight w:val="0"/>
      <w:marTop w:val="0"/>
      <w:marBottom w:val="0"/>
      <w:divBdr>
        <w:top w:val="none" w:sz="0" w:space="0" w:color="auto"/>
        <w:left w:val="none" w:sz="0" w:space="0" w:color="auto"/>
        <w:bottom w:val="none" w:sz="0" w:space="0" w:color="auto"/>
        <w:right w:val="none" w:sz="0" w:space="0" w:color="auto"/>
      </w:divBdr>
    </w:div>
    <w:div w:id="28455567">
      <w:bodyDiv w:val="1"/>
      <w:marLeft w:val="0"/>
      <w:marRight w:val="0"/>
      <w:marTop w:val="0"/>
      <w:marBottom w:val="0"/>
      <w:divBdr>
        <w:top w:val="none" w:sz="0" w:space="0" w:color="auto"/>
        <w:left w:val="none" w:sz="0" w:space="0" w:color="auto"/>
        <w:bottom w:val="none" w:sz="0" w:space="0" w:color="auto"/>
        <w:right w:val="none" w:sz="0" w:space="0" w:color="auto"/>
      </w:divBdr>
    </w:div>
    <w:div w:id="28730192">
      <w:bodyDiv w:val="1"/>
      <w:marLeft w:val="0"/>
      <w:marRight w:val="0"/>
      <w:marTop w:val="0"/>
      <w:marBottom w:val="0"/>
      <w:divBdr>
        <w:top w:val="none" w:sz="0" w:space="0" w:color="auto"/>
        <w:left w:val="none" w:sz="0" w:space="0" w:color="auto"/>
        <w:bottom w:val="none" w:sz="0" w:space="0" w:color="auto"/>
        <w:right w:val="none" w:sz="0" w:space="0" w:color="auto"/>
      </w:divBdr>
    </w:div>
    <w:div w:id="31544162">
      <w:bodyDiv w:val="1"/>
      <w:marLeft w:val="0"/>
      <w:marRight w:val="0"/>
      <w:marTop w:val="0"/>
      <w:marBottom w:val="0"/>
      <w:divBdr>
        <w:top w:val="none" w:sz="0" w:space="0" w:color="auto"/>
        <w:left w:val="none" w:sz="0" w:space="0" w:color="auto"/>
        <w:bottom w:val="none" w:sz="0" w:space="0" w:color="auto"/>
        <w:right w:val="none" w:sz="0" w:space="0" w:color="auto"/>
      </w:divBdr>
    </w:div>
    <w:div w:id="32973089">
      <w:bodyDiv w:val="1"/>
      <w:marLeft w:val="0"/>
      <w:marRight w:val="0"/>
      <w:marTop w:val="0"/>
      <w:marBottom w:val="0"/>
      <w:divBdr>
        <w:top w:val="none" w:sz="0" w:space="0" w:color="auto"/>
        <w:left w:val="none" w:sz="0" w:space="0" w:color="auto"/>
        <w:bottom w:val="none" w:sz="0" w:space="0" w:color="auto"/>
        <w:right w:val="none" w:sz="0" w:space="0" w:color="auto"/>
      </w:divBdr>
    </w:div>
    <w:div w:id="34087515">
      <w:bodyDiv w:val="1"/>
      <w:marLeft w:val="0"/>
      <w:marRight w:val="0"/>
      <w:marTop w:val="0"/>
      <w:marBottom w:val="0"/>
      <w:divBdr>
        <w:top w:val="none" w:sz="0" w:space="0" w:color="auto"/>
        <w:left w:val="none" w:sz="0" w:space="0" w:color="auto"/>
        <w:bottom w:val="none" w:sz="0" w:space="0" w:color="auto"/>
        <w:right w:val="none" w:sz="0" w:space="0" w:color="auto"/>
      </w:divBdr>
    </w:div>
    <w:div w:id="34696264">
      <w:bodyDiv w:val="1"/>
      <w:marLeft w:val="0"/>
      <w:marRight w:val="0"/>
      <w:marTop w:val="0"/>
      <w:marBottom w:val="0"/>
      <w:divBdr>
        <w:top w:val="none" w:sz="0" w:space="0" w:color="auto"/>
        <w:left w:val="none" w:sz="0" w:space="0" w:color="auto"/>
        <w:bottom w:val="none" w:sz="0" w:space="0" w:color="auto"/>
        <w:right w:val="none" w:sz="0" w:space="0" w:color="auto"/>
      </w:divBdr>
    </w:div>
    <w:div w:id="41909810">
      <w:bodyDiv w:val="1"/>
      <w:marLeft w:val="0"/>
      <w:marRight w:val="0"/>
      <w:marTop w:val="0"/>
      <w:marBottom w:val="0"/>
      <w:divBdr>
        <w:top w:val="none" w:sz="0" w:space="0" w:color="auto"/>
        <w:left w:val="none" w:sz="0" w:space="0" w:color="auto"/>
        <w:bottom w:val="none" w:sz="0" w:space="0" w:color="auto"/>
        <w:right w:val="none" w:sz="0" w:space="0" w:color="auto"/>
      </w:divBdr>
    </w:div>
    <w:div w:id="43022576">
      <w:bodyDiv w:val="1"/>
      <w:marLeft w:val="0"/>
      <w:marRight w:val="0"/>
      <w:marTop w:val="0"/>
      <w:marBottom w:val="0"/>
      <w:divBdr>
        <w:top w:val="none" w:sz="0" w:space="0" w:color="auto"/>
        <w:left w:val="none" w:sz="0" w:space="0" w:color="auto"/>
        <w:bottom w:val="none" w:sz="0" w:space="0" w:color="auto"/>
        <w:right w:val="none" w:sz="0" w:space="0" w:color="auto"/>
      </w:divBdr>
    </w:div>
    <w:div w:id="52897837">
      <w:bodyDiv w:val="1"/>
      <w:marLeft w:val="0"/>
      <w:marRight w:val="0"/>
      <w:marTop w:val="0"/>
      <w:marBottom w:val="0"/>
      <w:divBdr>
        <w:top w:val="none" w:sz="0" w:space="0" w:color="auto"/>
        <w:left w:val="none" w:sz="0" w:space="0" w:color="auto"/>
        <w:bottom w:val="none" w:sz="0" w:space="0" w:color="auto"/>
        <w:right w:val="none" w:sz="0" w:space="0" w:color="auto"/>
      </w:divBdr>
    </w:div>
    <w:div w:id="64105455">
      <w:bodyDiv w:val="1"/>
      <w:marLeft w:val="0"/>
      <w:marRight w:val="0"/>
      <w:marTop w:val="0"/>
      <w:marBottom w:val="0"/>
      <w:divBdr>
        <w:top w:val="none" w:sz="0" w:space="0" w:color="auto"/>
        <w:left w:val="none" w:sz="0" w:space="0" w:color="auto"/>
        <w:bottom w:val="none" w:sz="0" w:space="0" w:color="auto"/>
        <w:right w:val="none" w:sz="0" w:space="0" w:color="auto"/>
      </w:divBdr>
    </w:div>
    <w:div w:id="70350650">
      <w:bodyDiv w:val="1"/>
      <w:marLeft w:val="0"/>
      <w:marRight w:val="0"/>
      <w:marTop w:val="0"/>
      <w:marBottom w:val="0"/>
      <w:divBdr>
        <w:top w:val="none" w:sz="0" w:space="0" w:color="auto"/>
        <w:left w:val="none" w:sz="0" w:space="0" w:color="auto"/>
        <w:bottom w:val="none" w:sz="0" w:space="0" w:color="auto"/>
        <w:right w:val="none" w:sz="0" w:space="0" w:color="auto"/>
      </w:divBdr>
    </w:div>
    <w:div w:id="72119809">
      <w:bodyDiv w:val="1"/>
      <w:marLeft w:val="0"/>
      <w:marRight w:val="0"/>
      <w:marTop w:val="0"/>
      <w:marBottom w:val="0"/>
      <w:divBdr>
        <w:top w:val="none" w:sz="0" w:space="0" w:color="auto"/>
        <w:left w:val="none" w:sz="0" w:space="0" w:color="auto"/>
        <w:bottom w:val="none" w:sz="0" w:space="0" w:color="auto"/>
        <w:right w:val="none" w:sz="0" w:space="0" w:color="auto"/>
      </w:divBdr>
    </w:div>
    <w:div w:id="74982828">
      <w:bodyDiv w:val="1"/>
      <w:marLeft w:val="0"/>
      <w:marRight w:val="0"/>
      <w:marTop w:val="0"/>
      <w:marBottom w:val="0"/>
      <w:divBdr>
        <w:top w:val="none" w:sz="0" w:space="0" w:color="auto"/>
        <w:left w:val="none" w:sz="0" w:space="0" w:color="auto"/>
        <w:bottom w:val="none" w:sz="0" w:space="0" w:color="auto"/>
        <w:right w:val="none" w:sz="0" w:space="0" w:color="auto"/>
      </w:divBdr>
    </w:div>
    <w:div w:id="77795637">
      <w:bodyDiv w:val="1"/>
      <w:marLeft w:val="0"/>
      <w:marRight w:val="0"/>
      <w:marTop w:val="0"/>
      <w:marBottom w:val="0"/>
      <w:divBdr>
        <w:top w:val="none" w:sz="0" w:space="0" w:color="auto"/>
        <w:left w:val="none" w:sz="0" w:space="0" w:color="auto"/>
        <w:bottom w:val="none" w:sz="0" w:space="0" w:color="auto"/>
        <w:right w:val="none" w:sz="0" w:space="0" w:color="auto"/>
      </w:divBdr>
    </w:div>
    <w:div w:id="82379215">
      <w:bodyDiv w:val="1"/>
      <w:marLeft w:val="0"/>
      <w:marRight w:val="0"/>
      <w:marTop w:val="0"/>
      <w:marBottom w:val="0"/>
      <w:divBdr>
        <w:top w:val="none" w:sz="0" w:space="0" w:color="auto"/>
        <w:left w:val="none" w:sz="0" w:space="0" w:color="auto"/>
        <w:bottom w:val="none" w:sz="0" w:space="0" w:color="auto"/>
        <w:right w:val="none" w:sz="0" w:space="0" w:color="auto"/>
      </w:divBdr>
    </w:div>
    <w:div w:id="82455107">
      <w:bodyDiv w:val="1"/>
      <w:marLeft w:val="0"/>
      <w:marRight w:val="0"/>
      <w:marTop w:val="0"/>
      <w:marBottom w:val="0"/>
      <w:divBdr>
        <w:top w:val="none" w:sz="0" w:space="0" w:color="auto"/>
        <w:left w:val="none" w:sz="0" w:space="0" w:color="auto"/>
        <w:bottom w:val="none" w:sz="0" w:space="0" w:color="auto"/>
        <w:right w:val="none" w:sz="0" w:space="0" w:color="auto"/>
      </w:divBdr>
    </w:div>
    <w:div w:id="97797658">
      <w:bodyDiv w:val="1"/>
      <w:marLeft w:val="0"/>
      <w:marRight w:val="0"/>
      <w:marTop w:val="0"/>
      <w:marBottom w:val="0"/>
      <w:divBdr>
        <w:top w:val="none" w:sz="0" w:space="0" w:color="auto"/>
        <w:left w:val="none" w:sz="0" w:space="0" w:color="auto"/>
        <w:bottom w:val="none" w:sz="0" w:space="0" w:color="auto"/>
        <w:right w:val="none" w:sz="0" w:space="0" w:color="auto"/>
      </w:divBdr>
    </w:div>
    <w:div w:id="100691085">
      <w:bodyDiv w:val="1"/>
      <w:marLeft w:val="0"/>
      <w:marRight w:val="0"/>
      <w:marTop w:val="0"/>
      <w:marBottom w:val="0"/>
      <w:divBdr>
        <w:top w:val="none" w:sz="0" w:space="0" w:color="auto"/>
        <w:left w:val="none" w:sz="0" w:space="0" w:color="auto"/>
        <w:bottom w:val="none" w:sz="0" w:space="0" w:color="auto"/>
        <w:right w:val="none" w:sz="0" w:space="0" w:color="auto"/>
      </w:divBdr>
    </w:div>
    <w:div w:id="106777819">
      <w:bodyDiv w:val="1"/>
      <w:marLeft w:val="0"/>
      <w:marRight w:val="0"/>
      <w:marTop w:val="0"/>
      <w:marBottom w:val="0"/>
      <w:divBdr>
        <w:top w:val="none" w:sz="0" w:space="0" w:color="auto"/>
        <w:left w:val="none" w:sz="0" w:space="0" w:color="auto"/>
        <w:bottom w:val="none" w:sz="0" w:space="0" w:color="auto"/>
        <w:right w:val="none" w:sz="0" w:space="0" w:color="auto"/>
      </w:divBdr>
    </w:div>
    <w:div w:id="108817437">
      <w:bodyDiv w:val="1"/>
      <w:marLeft w:val="0"/>
      <w:marRight w:val="0"/>
      <w:marTop w:val="0"/>
      <w:marBottom w:val="0"/>
      <w:divBdr>
        <w:top w:val="none" w:sz="0" w:space="0" w:color="auto"/>
        <w:left w:val="none" w:sz="0" w:space="0" w:color="auto"/>
        <w:bottom w:val="none" w:sz="0" w:space="0" w:color="auto"/>
        <w:right w:val="none" w:sz="0" w:space="0" w:color="auto"/>
      </w:divBdr>
    </w:div>
    <w:div w:id="111485001">
      <w:bodyDiv w:val="1"/>
      <w:marLeft w:val="0"/>
      <w:marRight w:val="0"/>
      <w:marTop w:val="0"/>
      <w:marBottom w:val="0"/>
      <w:divBdr>
        <w:top w:val="none" w:sz="0" w:space="0" w:color="auto"/>
        <w:left w:val="none" w:sz="0" w:space="0" w:color="auto"/>
        <w:bottom w:val="none" w:sz="0" w:space="0" w:color="auto"/>
        <w:right w:val="none" w:sz="0" w:space="0" w:color="auto"/>
      </w:divBdr>
    </w:div>
    <w:div w:id="114952160">
      <w:bodyDiv w:val="1"/>
      <w:marLeft w:val="0"/>
      <w:marRight w:val="0"/>
      <w:marTop w:val="0"/>
      <w:marBottom w:val="0"/>
      <w:divBdr>
        <w:top w:val="none" w:sz="0" w:space="0" w:color="auto"/>
        <w:left w:val="none" w:sz="0" w:space="0" w:color="auto"/>
        <w:bottom w:val="none" w:sz="0" w:space="0" w:color="auto"/>
        <w:right w:val="none" w:sz="0" w:space="0" w:color="auto"/>
      </w:divBdr>
    </w:div>
    <w:div w:id="115607298">
      <w:bodyDiv w:val="1"/>
      <w:marLeft w:val="0"/>
      <w:marRight w:val="0"/>
      <w:marTop w:val="0"/>
      <w:marBottom w:val="0"/>
      <w:divBdr>
        <w:top w:val="none" w:sz="0" w:space="0" w:color="auto"/>
        <w:left w:val="none" w:sz="0" w:space="0" w:color="auto"/>
        <w:bottom w:val="none" w:sz="0" w:space="0" w:color="auto"/>
        <w:right w:val="none" w:sz="0" w:space="0" w:color="auto"/>
      </w:divBdr>
    </w:div>
    <w:div w:id="120851876">
      <w:bodyDiv w:val="1"/>
      <w:marLeft w:val="0"/>
      <w:marRight w:val="0"/>
      <w:marTop w:val="0"/>
      <w:marBottom w:val="0"/>
      <w:divBdr>
        <w:top w:val="none" w:sz="0" w:space="0" w:color="auto"/>
        <w:left w:val="none" w:sz="0" w:space="0" w:color="auto"/>
        <w:bottom w:val="none" w:sz="0" w:space="0" w:color="auto"/>
        <w:right w:val="none" w:sz="0" w:space="0" w:color="auto"/>
      </w:divBdr>
    </w:div>
    <w:div w:id="124742810">
      <w:bodyDiv w:val="1"/>
      <w:marLeft w:val="0"/>
      <w:marRight w:val="0"/>
      <w:marTop w:val="0"/>
      <w:marBottom w:val="0"/>
      <w:divBdr>
        <w:top w:val="none" w:sz="0" w:space="0" w:color="auto"/>
        <w:left w:val="none" w:sz="0" w:space="0" w:color="auto"/>
        <w:bottom w:val="none" w:sz="0" w:space="0" w:color="auto"/>
        <w:right w:val="none" w:sz="0" w:space="0" w:color="auto"/>
      </w:divBdr>
    </w:div>
    <w:div w:id="126049244">
      <w:bodyDiv w:val="1"/>
      <w:marLeft w:val="0"/>
      <w:marRight w:val="0"/>
      <w:marTop w:val="0"/>
      <w:marBottom w:val="0"/>
      <w:divBdr>
        <w:top w:val="none" w:sz="0" w:space="0" w:color="auto"/>
        <w:left w:val="none" w:sz="0" w:space="0" w:color="auto"/>
        <w:bottom w:val="none" w:sz="0" w:space="0" w:color="auto"/>
        <w:right w:val="none" w:sz="0" w:space="0" w:color="auto"/>
      </w:divBdr>
    </w:div>
    <w:div w:id="140463022">
      <w:bodyDiv w:val="1"/>
      <w:marLeft w:val="0"/>
      <w:marRight w:val="0"/>
      <w:marTop w:val="0"/>
      <w:marBottom w:val="0"/>
      <w:divBdr>
        <w:top w:val="none" w:sz="0" w:space="0" w:color="auto"/>
        <w:left w:val="none" w:sz="0" w:space="0" w:color="auto"/>
        <w:bottom w:val="none" w:sz="0" w:space="0" w:color="auto"/>
        <w:right w:val="none" w:sz="0" w:space="0" w:color="auto"/>
      </w:divBdr>
    </w:div>
    <w:div w:id="142428904">
      <w:bodyDiv w:val="1"/>
      <w:marLeft w:val="0"/>
      <w:marRight w:val="0"/>
      <w:marTop w:val="0"/>
      <w:marBottom w:val="0"/>
      <w:divBdr>
        <w:top w:val="none" w:sz="0" w:space="0" w:color="auto"/>
        <w:left w:val="none" w:sz="0" w:space="0" w:color="auto"/>
        <w:bottom w:val="none" w:sz="0" w:space="0" w:color="auto"/>
        <w:right w:val="none" w:sz="0" w:space="0" w:color="auto"/>
      </w:divBdr>
    </w:div>
    <w:div w:id="147481928">
      <w:bodyDiv w:val="1"/>
      <w:marLeft w:val="0"/>
      <w:marRight w:val="0"/>
      <w:marTop w:val="0"/>
      <w:marBottom w:val="0"/>
      <w:divBdr>
        <w:top w:val="none" w:sz="0" w:space="0" w:color="auto"/>
        <w:left w:val="none" w:sz="0" w:space="0" w:color="auto"/>
        <w:bottom w:val="none" w:sz="0" w:space="0" w:color="auto"/>
        <w:right w:val="none" w:sz="0" w:space="0" w:color="auto"/>
      </w:divBdr>
    </w:div>
    <w:div w:id="150220612">
      <w:bodyDiv w:val="1"/>
      <w:marLeft w:val="0"/>
      <w:marRight w:val="0"/>
      <w:marTop w:val="0"/>
      <w:marBottom w:val="0"/>
      <w:divBdr>
        <w:top w:val="none" w:sz="0" w:space="0" w:color="auto"/>
        <w:left w:val="none" w:sz="0" w:space="0" w:color="auto"/>
        <w:bottom w:val="none" w:sz="0" w:space="0" w:color="auto"/>
        <w:right w:val="none" w:sz="0" w:space="0" w:color="auto"/>
      </w:divBdr>
    </w:div>
    <w:div w:id="152529282">
      <w:bodyDiv w:val="1"/>
      <w:marLeft w:val="0"/>
      <w:marRight w:val="0"/>
      <w:marTop w:val="0"/>
      <w:marBottom w:val="0"/>
      <w:divBdr>
        <w:top w:val="none" w:sz="0" w:space="0" w:color="auto"/>
        <w:left w:val="none" w:sz="0" w:space="0" w:color="auto"/>
        <w:bottom w:val="none" w:sz="0" w:space="0" w:color="auto"/>
        <w:right w:val="none" w:sz="0" w:space="0" w:color="auto"/>
      </w:divBdr>
    </w:div>
    <w:div w:id="169952812">
      <w:bodyDiv w:val="1"/>
      <w:marLeft w:val="0"/>
      <w:marRight w:val="0"/>
      <w:marTop w:val="0"/>
      <w:marBottom w:val="0"/>
      <w:divBdr>
        <w:top w:val="none" w:sz="0" w:space="0" w:color="auto"/>
        <w:left w:val="none" w:sz="0" w:space="0" w:color="auto"/>
        <w:bottom w:val="none" w:sz="0" w:space="0" w:color="auto"/>
        <w:right w:val="none" w:sz="0" w:space="0" w:color="auto"/>
      </w:divBdr>
    </w:div>
    <w:div w:id="171381245">
      <w:bodyDiv w:val="1"/>
      <w:marLeft w:val="0"/>
      <w:marRight w:val="0"/>
      <w:marTop w:val="0"/>
      <w:marBottom w:val="0"/>
      <w:divBdr>
        <w:top w:val="none" w:sz="0" w:space="0" w:color="auto"/>
        <w:left w:val="none" w:sz="0" w:space="0" w:color="auto"/>
        <w:bottom w:val="none" w:sz="0" w:space="0" w:color="auto"/>
        <w:right w:val="none" w:sz="0" w:space="0" w:color="auto"/>
      </w:divBdr>
    </w:div>
    <w:div w:id="176969795">
      <w:bodyDiv w:val="1"/>
      <w:marLeft w:val="0"/>
      <w:marRight w:val="0"/>
      <w:marTop w:val="0"/>
      <w:marBottom w:val="0"/>
      <w:divBdr>
        <w:top w:val="none" w:sz="0" w:space="0" w:color="auto"/>
        <w:left w:val="none" w:sz="0" w:space="0" w:color="auto"/>
        <w:bottom w:val="none" w:sz="0" w:space="0" w:color="auto"/>
        <w:right w:val="none" w:sz="0" w:space="0" w:color="auto"/>
      </w:divBdr>
    </w:div>
    <w:div w:id="177694449">
      <w:bodyDiv w:val="1"/>
      <w:marLeft w:val="0"/>
      <w:marRight w:val="0"/>
      <w:marTop w:val="0"/>
      <w:marBottom w:val="0"/>
      <w:divBdr>
        <w:top w:val="none" w:sz="0" w:space="0" w:color="auto"/>
        <w:left w:val="none" w:sz="0" w:space="0" w:color="auto"/>
        <w:bottom w:val="none" w:sz="0" w:space="0" w:color="auto"/>
        <w:right w:val="none" w:sz="0" w:space="0" w:color="auto"/>
      </w:divBdr>
    </w:div>
    <w:div w:id="181091792">
      <w:bodyDiv w:val="1"/>
      <w:marLeft w:val="0"/>
      <w:marRight w:val="0"/>
      <w:marTop w:val="0"/>
      <w:marBottom w:val="0"/>
      <w:divBdr>
        <w:top w:val="none" w:sz="0" w:space="0" w:color="auto"/>
        <w:left w:val="none" w:sz="0" w:space="0" w:color="auto"/>
        <w:bottom w:val="none" w:sz="0" w:space="0" w:color="auto"/>
        <w:right w:val="none" w:sz="0" w:space="0" w:color="auto"/>
      </w:divBdr>
    </w:div>
    <w:div w:id="206570043">
      <w:bodyDiv w:val="1"/>
      <w:marLeft w:val="0"/>
      <w:marRight w:val="0"/>
      <w:marTop w:val="0"/>
      <w:marBottom w:val="0"/>
      <w:divBdr>
        <w:top w:val="none" w:sz="0" w:space="0" w:color="auto"/>
        <w:left w:val="none" w:sz="0" w:space="0" w:color="auto"/>
        <w:bottom w:val="none" w:sz="0" w:space="0" w:color="auto"/>
        <w:right w:val="none" w:sz="0" w:space="0" w:color="auto"/>
      </w:divBdr>
    </w:div>
    <w:div w:id="211118300">
      <w:bodyDiv w:val="1"/>
      <w:marLeft w:val="0"/>
      <w:marRight w:val="0"/>
      <w:marTop w:val="0"/>
      <w:marBottom w:val="0"/>
      <w:divBdr>
        <w:top w:val="none" w:sz="0" w:space="0" w:color="auto"/>
        <w:left w:val="none" w:sz="0" w:space="0" w:color="auto"/>
        <w:bottom w:val="none" w:sz="0" w:space="0" w:color="auto"/>
        <w:right w:val="none" w:sz="0" w:space="0" w:color="auto"/>
      </w:divBdr>
    </w:div>
    <w:div w:id="222060851">
      <w:bodyDiv w:val="1"/>
      <w:marLeft w:val="0"/>
      <w:marRight w:val="0"/>
      <w:marTop w:val="0"/>
      <w:marBottom w:val="0"/>
      <w:divBdr>
        <w:top w:val="none" w:sz="0" w:space="0" w:color="auto"/>
        <w:left w:val="none" w:sz="0" w:space="0" w:color="auto"/>
        <w:bottom w:val="none" w:sz="0" w:space="0" w:color="auto"/>
        <w:right w:val="none" w:sz="0" w:space="0" w:color="auto"/>
      </w:divBdr>
    </w:div>
    <w:div w:id="222109497">
      <w:bodyDiv w:val="1"/>
      <w:marLeft w:val="0"/>
      <w:marRight w:val="0"/>
      <w:marTop w:val="0"/>
      <w:marBottom w:val="0"/>
      <w:divBdr>
        <w:top w:val="none" w:sz="0" w:space="0" w:color="auto"/>
        <w:left w:val="none" w:sz="0" w:space="0" w:color="auto"/>
        <w:bottom w:val="none" w:sz="0" w:space="0" w:color="auto"/>
        <w:right w:val="none" w:sz="0" w:space="0" w:color="auto"/>
      </w:divBdr>
    </w:div>
    <w:div w:id="222762231">
      <w:bodyDiv w:val="1"/>
      <w:marLeft w:val="0"/>
      <w:marRight w:val="0"/>
      <w:marTop w:val="0"/>
      <w:marBottom w:val="0"/>
      <w:divBdr>
        <w:top w:val="none" w:sz="0" w:space="0" w:color="auto"/>
        <w:left w:val="none" w:sz="0" w:space="0" w:color="auto"/>
        <w:bottom w:val="none" w:sz="0" w:space="0" w:color="auto"/>
        <w:right w:val="none" w:sz="0" w:space="0" w:color="auto"/>
      </w:divBdr>
    </w:div>
    <w:div w:id="225996855">
      <w:bodyDiv w:val="1"/>
      <w:marLeft w:val="0"/>
      <w:marRight w:val="0"/>
      <w:marTop w:val="0"/>
      <w:marBottom w:val="0"/>
      <w:divBdr>
        <w:top w:val="none" w:sz="0" w:space="0" w:color="auto"/>
        <w:left w:val="none" w:sz="0" w:space="0" w:color="auto"/>
        <w:bottom w:val="none" w:sz="0" w:space="0" w:color="auto"/>
        <w:right w:val="none" w:sz="0" w:space="0" w:color="auto"/>
      </w:divBdr>
    </w:div>
    <w:div w:id="232005939">
      <w:bodyDiv w:val="1"/>
      <w:marLeft w:val="0"/>
      <w:marRight w:val="0"/>
      <w:marTop w:val="0"/>
      <w:marBottom w:val="0"/>
      <w:divBdr>
        <w:top w:val="none" w:sz="0" w:space="0" w:color="auto"/>
        <w:left w:val="none" w:sz="0" w:space="0" w:color="auto"/>
        <w:bottom w:val="none" w:sz="0" w:space="0" w:color="auto"/>
        <w:right w:val="none" w:sz="0" w:space="0" w:color="auto"/>
      </w:divBdr>
    </w:div>
    <w:div w:id="237401304">
      <w:bodyDiv w:val="1"/>
      <w:marLeft w:val="0"/>
      <w:marRight w:val="0"/>
      <w:marTop w:val="0"/>
      <w:marBottom w:val="0"/>
      <w:divBdr>
        <w:top w:val="none" w:sz="0" w:space="0" w:color="auto"/>
        <w:left w:val="none" w:sz="0" w:space="0" w:color="auto"/>
        <w:bottom w:val="none" w:sz="0" w:space="0" w:color="auto"/>
        <w:right w:val="none" w:sz="0" w:space="0" w:color="auto"/>
      </w:divBdr>
    </w:div>
    <w:div w:id="241110643">
      <w:bodyDiv w:val="1"/>
      <w:marLeft w:val="0"/>
      <w:marRight w:val="0"/>
      <w:marTop w:val="0"/>
      <w:marBottom w:val="0"/>
      <w:divBdr>
        <w:top w:val="none" w:sz="0" w:space="0" w:color="auto"/>
        <w:left w:val="none" w:sz="0" w:space="0" w:color="auto"/>
        <w:bottom w:val="none" w:sz="0" w:space="0" w:color="auto"/>
        <w:right w:val="none" w:sz="0" w:space="0" w:color="auto"/>
      </w:divBdr>
    </w:div>
    <w:div w:id="245849418">
      <w:bodyDiv w:val="1"/>
      <w:marLeft w:val="0"/>
      <w:marRight w:val="0"/>
      <w:marTop w:val="0"/>
      <w:marBottom w:val="0"/>
      <w:divBdr>
        <w:top w:val="none" w:sz="0" w:space="0" w:color="auto"/>
        <w:left w:val="none" w:sz="0" w:space="0" w:color="auto"/>
        <w:bottom w:val="none" w:sz="0" w:space="0" w:color="auto"/>
        <w:right w:val="none" w:sz="0" w:space="0" w:color="auto"/>
      </w:divBdr>
    </w:div>
    <w:div w:id="247471469">
      <w:bodyDiv w:val="1"/>
      <w:marLeft w:val="0"/>
      <w:marRight w:val="0"/>
      <w:marTop w:val="0"/>
      <w:marBottom w:val="0"/>
      <w:divBdr>
        <w:top w:val="none" w:sz="0" w:space="0" w:color="auto"/>
        <w:left w:val="none" w:sz="0" w:space="0" w:color="auto"/>
        <w:bottom w:val="none" w:sz="0" w:space="0" w:color="auto"/>
        <w:right w:val="none" w:sz="0" w:space="0" w:color="auto"/>
      </w:divBdr>
    </w:div>
    <w:div w:id="247930893">
      <w:bodyDiv w:val="1"/>
      <w:marLeft w:val="0"/>
      <w:marRight w:val="0"/>
      <w:marTop w:val="0"/>
      <w:marBottom w:val="0"/>
      <w:divBdr>
        <w:top w:val="none" w:sz="0" w:space="0" w:color="auto"/>
        <w:left w:val="none" w:sz="0" w:space="0" w:color="auto"/>
        <w:bottom w:val="none" w:sz="0" w:space="0" w:color="auto"/>
        <w:right w:val="none" w:sz="0" w:space="0" w:color="auto"/>
      </w:divBdr>
    </w:div>
    <w:div w:id="255555407">
      <w:bodyDiv w:val="1"/>
      <w:marLeft w:val="0"/>
      <w:marRight w:val="0"/>
      <w:marTop w:val="0"/>
      <w:marBottom w:val="0"/>
      <w:divBdr>
        <w:top w:val="none" w:sz="0" w:space="0" w:color="auto"/>
        <w:left w:val="none" w:sz="0" w:space="0" w:color="auto"/>
        <w:bottom w:val="none" w:sz="0" w:space="0" w:color="auto"/>
        <w:right w:val="none" w:sz="0" w:space="0" w:color="auto"/>
      </w:divBdr>
    </w:div>
    <w:div w:id="265962821">
      <w:bodyDiv w:val="1"/>
      <w:marLeft w:val="0"/>
      <w:marRight w:val="0"/>
      <w:marTop w:val="0"/>
      <w:marBottom w:val="0"/>
      <w:divBdr>
        <w:top w:val="none" w:sz="0" w:space="0" w:color="auto"/>
        <w:left w:val="none" w:sz="0" w:space="0" w:color="auto"/>
        <w:bottom w:val="none" w:sz="0" w:space="0" w:color="auto"/>
        <w:right w:val="none" w:sz="0" w:space="0" w:color="auto"/>
      </w:divBdr>
    </w:div>
    <w:div w:id="268515794">
      <w:bodyDiv w:val="1"/>
      <w:marLeft w:val="0"/>
      <w:marRight w:val="0"/>
      <w:marTop w:val="0"/>
      <w:marBottom w:val="0"/>
      <w:divBdr>
        <w:top w:val="none" w:sz="0" w:space="0" w:color="auto"/>
        <w:left w:val="none" w:sz="0" w:space="0" w:color="auto"/>
        <w:bottom w:val="none" w:sz="0" w:space="0" w:color="auto"/>
        <w:right w:val="none" w:sz="0" w:space="0" w:color="auto"/>
      </w:divBdr>
    </w:div>
    <w:div w:id="272975680">
      <w:bodyDiv w:val="1"/>
      <w:marLeft w:val="0"/>
      <w:marRight w:val="0"/>
      <w:marTop w:val="0"/>
      <w:marBottom w:val="0"/>
      <w:divBdr>
        <w:top w:val="none" w:sz="0" w:space="0" w:color="auto"/>
        <w:left w:val="none" w:sz="0" w:space="0" w:color="auto"/>
        <w:bottom w:val="none" w:sz="0" w:space="0" w:color="auto"/>
        <w:right w:val="none" w:sz="0" w:space="0" w:color="auto"/>
      </w:divBdr>
    </w:div>
    <w:div w:id="276762397">
      <w:bodyDiv w:val="1"/>
      <w:marLeft w:val="0"/>
      <w:marRight w:val="0"/>
      <w:marTop w:val="0"/>
      <w:marBottom w:val="0"/>
      <w:divBdr>
        <w:top w:val="none" w:sz="0" w:space="0" w:color="auto"/>
        <w:left w:val="none" w:sz="0" w:space="0" w:color="auto"/>
        <w:bottom w:val="none" w:sz="0" w:space="0" w:color="auto"/>
        <w:right w:val="none" w:sz="0" w:space="0" w:color="auto"/>
      </w:divBdr>
    </w:div>
    <w:div w:id="276911936">
      <w:bodyDiv w:val="1"/>
      <w:marLeft w:val="0"/>
      <w:marRight w:val="0"/>
      <w:marTop w:val="0"/>
      <w:marBottom w:val="0"/>
      <w:divBdr>
        <w:top w:val="none" w:sz="0" w:space="0" w:color="auto"/>
        <w:left w:val="none" w:sz="0" w:space="0" w:color="auto"/>
        <w:bottom w:val="none" w:sz="0" w:space="0" w:color="auto"/>
        <w:right w:val="none" w:sz="0" w:space="0" w:color="auto"/>
      </w:divBdr>
    </w:div>
    <w:div w:id="278024837">
      <w:bodyDiv w:val="1"/>
      <w:marLeft w:val="0"/>
      <w:marRight w:val="0"/>
      <w:marTop w:val="0"/>
      <w:marBottom w:val="0"/>
      <w:divBdr>
        <w:top w:val="none" w:sz="0" w:space="0" w:color="auto"/>
        <w:left w:val="none" w:sz="0" w:space="0" w:color="auto"/>
        <w:bottom w:val="none" w:sz="0" w:space="0" w:color="auto"/>
        <w:right w:val="none" w:sz="0" w:space="0" w:color="auto"/>
      </w:divBdr>
    </w:div>
    <w:div w:id="286357681">
      <w:bodyDiv w:val="1"/>
      <w:marLeft w:val="0"/>
      <w:marRight w:val="0"/>
      <w:marTop w:val="0"/>
      <w:marBottom w:val="0"/>
      <w:divBdr>
        <w:top w:val="none" w:sz="0" w:space="0" w:color="auto"/>
        <w:left w:val="none" w:sz="0" w:space="0" w:color="auto"/>
        <w:bottom w:val="none" w:sz="0" w:space="0" w:color="auto"/>
        <w:right w:val="none" w:sz="0" w:space="0" w:color="auto"/>
      </w:divBdr>
    </w:div>
    <w:div w:id="286398384">
      <w:bodyDiv w:val="1"/>
      <w:marLeft w:val="0"/>
      <w:marRight w:val="0"/>
      <w:marTop w:val="0"/>
      <w:marBottom w:val="0"/>
      <w:divBdr>
        <w:top w:val="none" w:sz="0" w:space="0" w:color="auto"/>
        <w:left w:val="none" w:sz="0" w:space="0" w:color="auto"/>
        <w:bottom w:val="none" w:sz="0" w:space="0" w:color="auto"/>
        <w:right w:val="none" w:sz="0" w:space="0" w:color="auto"/>
      </w:divBdr>
    </w:div>
    <w:div w:id="291324724">
      <w:bodyDiv w:val="1"/>
      <w:marLeft w:val="0"/>
      <w:marRight w:val="0"/>
      <w:marTop w:val="0"/>
      <w:marBottom w:val="0"/>
      <w:divBdr>
        <w:top w:val="none" w:sz="0" w:space="0" w:color="auto"/>
        <w:left w:val="none" w:sz="0" w:space="0" w:color="auto"/>
        <w:bottom w:val="none" w:sz="0" w:space="0" w:color="auto"/>
        <w:right w:val="none" w:sz="0" w:space="0" w:color="auto"/>
      </w:divBdr>
    </w:div>
    <w:div w:id="303891350">
      <w:bodyDiv w:val="1"/>
      <w:marLeft w:val="0"/>
      <w:marRight w:val="0"/>
      <w:marTop w:val="0"/>
      <w:marBottom w:val="0"/>
      <w:divBdr>
        <w:top w:val="none" w:sz="0" w:space="0" w:color="auto"/>
        <w:left w:val="none" w:sz="0" w:space="0" w:color="auto"/>
        <w:bottom w:val="none" w:sz="0" w:space="0" w:color="auto"/>
        <w:right w:val="none" w:sz="0" w:space="0" w:color="auto"/>
      </w:divBdr>
    </w:div>
    <w:div w:id="305746748">
      <w:bodyDiv w:val="1"/>
      <w:marLeft w:val="0"/>
      <w:marRight w:val="0"/>
      <w:marTop w:val="0"/>
      <w:marBottom w:val="0"/>
      <w:divBdr>
        <w:top w:val="none" w:sz="0" w:space="0" w:color="auto"/>
        <w:left w:val="none" w:sz="0" w:space="0" w:color="auto"/>
        <w:bottom w:val="none" w:sz="0" w:space="0" w:color="auto"/>
        <w:right w:val="none" w:sz="0" w:space="0" w:color="auto"/>
      </w:divBdr>
    </w:div>
    <w:div w:id="312216852">
      <w:bodyDiv w:val="1"/>
      <w:marLeft w:val="0"/>
      <w:marRight w:val="0"/>
      <w:marTop w:val="0"/>
      <w:marBottom w:val="0"/>
      <w:divBdr>
        <w:top w:val="none" w:sz="0" w:space="0" w:color="auto"/>
        <w:left w:val="none" w:sz="0" w:space="0" w:color="auto"/>
        <w:bottom w:val="none" w:sz="0" w:space="0" w:color="auto"/>
        <w:right w:val="none" w:sz="0" w:space="0" w:color="auto"/>
      </w:divBdr>
    </w:div>
    <w:div w:id="313073647">
      <w:bodyDiv w:val="1"/>
      <w:marLeft w:val="0"/>
      <w:marRight w:val="0"/>
      <w:marTop w:val="0"/>
      <w:marBottom w:val="0"/>
      <w:divBdr>
        <w:top w:val="none" w:sz="0" w:space="0" w:color="auto"/>
        <w:left w:val="none" w:sz="0" w:space="0" w:color="auto"/>
        <w:bottom w:val="none" w:sz="0" w:space="0" w:color="auto"/>
        <w:right w:val="none" w:sz="0" w:space="0" w:color="auto"/>
      </w:divBdr>
    </w:div>
    <w:div w:id="317072402">
      <w:bodyDiv w:val="1"/>
      <w:marLeft w:val="0"/>
      <w:marRight w:val="0"/>
      <w:marTop w:val="0"/>
      <w:marBottom w:val="0"/>
      <w:divBdr>
        <w:top w:val="none" w:sz="0" w:space="0" w:color="auto"/>
        <w:left w:val="none" w:sz="0" w:space="0" w:color="auto"/>
        <w:bottom w:val="none" w:sz="0" w:space="0" w:color="auto"/>
        <w:right w:val="none" w:sz="0" w:space="0" w:color="auto"/>
      </w:divBdr>
    </w:div>
    <w:div w:id="319426440">
      <w:bodyDiv w:val="1"/>
      <w:marLeft w:val="0"/>
      <w:marRight w:val="0"/>
      <w:marTop w:val="0"/>
      <w:marBottom w:val="0"/>
      <w:divBdr>
        <w:top w:val="none" w:sz="0" w:space="0" w:color="auto"/>
        <w:left w:val="none" w:sz="0" w:space="0" w:color="auto"/>
        <w:bottom w:val="none" w:sz="0" w:space="0" w:color="auto"/>
        <w:right w:val="none" w:sz="0" w:space="0" w:color="auto"/>
      </w:divBdr>
    </w:div>
    <w:div w:id="332419834">
      <w:bodyDiv w:val="1"/>
      <w:marLeft w:val="0"/>
      <w:marRight w:val="0"/>
      <w:marTop w:val="0"/>
      <w:marBottom w:val="0"/>
      <w:divBdr>
        <w:top w:val="none" w:sz="0" w:space="0" w:color="auto"/>
        <w:left w:val="none" w:sz="0" w:space="0" w:color="auto"/>
        <w:bottom w:val="none" w:sz="0" w:space="0" w:color="auto"/>
        <w:right w:val="none" w:sz="0" w:space="0" w:color="auto"/>
      </w:divBdr>
    </w:div>
    <w:div w:id="333338271">
      <w:bodyDiv w:val="1"/>
      <w:marLeft w:val="0"/>
      <w:marRight w:val="0"/>
      <w:marTop w:val="0"/>
      <w:marBottom w:val="0"/>
      <w:divBdr>
        <w:top w:val="none" w:sz="0" w:space="0" w:color="auto"/>
        <w:left w:val="none" w:sz="0" w:space="0" w:color="auto"/>
        <w:bottom w:val="none" w:sz="0" w:space="0" w:color="auto"/>
        <w:right w:val="none" w:sz="0" w:space="0" w:color="auto"/>
      </w:divBdr>
    </w:div>
    <w:div w:id="350566197">
      <w:bodyDiv w:val="1"/>
      <w:marLeft w:val="0"/>
      <w:marRight w:val="0"/>
      <w:marTop w:val="0"/>
      <w:marBottom w:val="0"/>
      <w:divBdr>
        <w:top w:val="none" w:sz="0" w:space="0" w:color="auto"/>
        <w:left w:val="none" w:sz="0" w:space="0" w:color="auto"/>
        <w:bottom w:val="none" w:sz="0" w:space="0" w:color="auto"/>
        <w:right w:val="none" w:sz="0" w:space="0" w:color="auto"/>
      </w:divBdr>
    </w:div>
    <w:div w:id="353001063">
      <w:bodyDiv w:val="1"/>
      <w:marLeft w:val="0"/>
      <w:marRight w:val="0"/>
      <w:marTop w:val="0"/>
      <w:marBottom w:val="0"/>
      <w:divBdr>
        <w:top w:val="none" w:sz="0" w:space="0" w:color="auto"/>
        <w:left w:val="none" w:sz="0" w:space="0" w:color="auto"/>
        <w:bottom w:val="none" w:sz="0" w:space="0" w:color="auto"/>
        <w:right w:val="none" w:sz="0" w:space="0" w:color="auto"/>
      </w:divBdr>
    </w:div>
    <w:div w:id="358236148">
      <w:bodyDiv w:val="1"/>
      <w:marLeft w:val="0"/>
      <w:marRight w:val="0"/>
      <w:marTop w:val="0"/>
      <w:marBottom w:val="0"/>
      <w:divBdr>
        <w:top w:val="none" w:sz="0" w:space="0" w:color="auto"/>
        <w:left w:val="none" w:sz="0" w:space="0" w:color="auto"/>
        <w:bottom w:val="none" w:sz="0" w:space="0" w:color="auto"/>
        <w:right w:val="none" w:sz="0" w:space="0" w:color="auto"/>
      </w:divBdr>
    </w:div>
    <w:div w:id="369847005">
      <w:bodyDiv w:val="1"/>
      <w:marLeft w:val="0"/>
      <w:marRight w:val="0"/>
      <w:marTop w:val="0"/>
      <w:marBottom w:val="0"/>
      <w:divBdr>
        <w:top w:val="none" w:sz="0" w:space="0" w:color="auto"/>
        <w:left w:val="none" w:sz="0" w:space="0" w:color="auto"/>
        <w:bottom w:val="none" w:sz="0" w:space="0" w:color="auto"/>
        <w:right w:val="none" w:sz="0" w:space="0" w:color="auto"/>
      </w:divBdr>
    </w:div>
    <w:div w:id="373121546">
      <w:bodyDiv w:val="1"/>
      <w:marLeft w:val="0"/>
      <w:marRight w:val="0"/>
      <w:marTop w:val="0"/>
      <w:marBottom w:val="0"/>
      <w:divBdr>
        <w:top w:val="none" w:sz="0" w:space="0" w:color="auto"/>
        <w:left w:val="none" w:sz="0" w:space="0" w:color="auto"/>
        <w:bottom w:val="none" w:sz="0" w:space="0" w:color="auto"/>
        <w:right w:val="none" w:sz="0" w:space="0" w:color="auto"/>
      </w:divBdr>
    </w:div>
    <w:div w:id="374544105">
      <w:bodyDiv w:val="1"/>
      <w:marLeft w:val="0"/>
      <w:marRight w:val="0"/>
      <w:marTop w:val="0"/>
      <w:marBottom w:val="0"/>
      <w:divBdr>
        <w:top w:val="none" w:sz="0" w:space="0" w:color="auto"/>
        <w:left w:val="none" w:sz="0" w:space="0" w:color="auto"/>
        <w:bottom w:val="none" w:sz="0" w:space="0" w:color="auto"/>
        <w:right w:val="none" w:sz="0" w:space="0" w:color="auto"/>
      </w:divBdr>
    </w:div>
    <w:div w:id="377247996">
      <w:bodyDiv w:val="1"/>
      <w:marLeft w:val="0"/>
      <w:marRight w:val="0"/>
      <w:marTop w:val="0"/>
      <w:marBottom w:val="0"/>
      <w:divBdr>
        <w:top w:val="none" w:sz="0" w:space="0" w:color="auto"/>
        <w:left w:val="none" w:sz="0" w:space="0" w:color="auto"/>
        <w:bottom w:val="none" w:sz="0" w:space="0" w:color="auto"/>
        <w:right w:val="none" w:sz="0" w:space="0" w:color="auto"/>
      </w:divBdr>
    </w:div>
    <w:div w:id="377441043">
      <w:bodyDiv w:val="1"/>
      <w:marLeft w:val="0"/>
      <w:marRight w:val="0"/>
      <w:marTop w:val="0"/>
      <w:marBottom w:val="0"/>
      <w:divBdr>
        <w:top w:val="none" w:sz="0" w:space="0" w:color="auto"/>
        <w:left w:val="none" w:sz="0" w:space="0" w:color="auto"/>
        <w:bottom w:val="none" w:sz="0" w:space="0" w:color="auto"/>
        <w:right w:val="none" w:sz="0" w:space="0" w:color="auto"/>
      </w:divBdr>
    </w:div>
    <w:div w:id="386075247">
      <w:bodyDiv w:val="1"/>
      <w:marLeft w:val="0"/>
      <w:marRight w:val="0"/>
      <w:marTop w:val="0"/>
      <w:marBottom w:val="0"/>
      <w:divBdr>
        <w:top w:val="none" w:sz="0" w:space="0" w:color="auto"/>
        <w:left w:val="none" w:sz="0" w:space="0" w:color="auto"/>
        <w:bottom w:val="none" w:sz="0" w:space="0" w:color="auto"/>
        <w:right w:val="none" w:sz="0" w:space="0" w:color="auto"/>
      </w:divBdr>
    </w:div>
    <w:div w:id="386149926">
      <w:bodyDiv w:val="1"/>
      <w:marLeft w:val="0"/>
      <w:marRight w:val="0"/>
      <w:marTop w:val="0"/>
      <w:marBottom w:val="0"/>
      <w:divBdr>
        <w:top w:val="none" w:sz="0" w:space="0" w:color="auto"/>
        <w:left w:val="none" w:sz="0" w:space="0" w:color="auto"/>
        <w:bottom w:val="none" w:sz="0" w:space="0" w:color="auto"/>
        <w:right w:val="none" w:sz="0" w:space="0" w:color="auto"/>
      </w:divBdr>
    </w:div>
    <w:div w:id="390542169">
      <w:bodyDiv w:val="1"/>
      <w:marLeft w:val="0"/>
      <w:marRight w:val="0"/>
      <w:marTop w:val="0"/>
      <w:marBottom w:val="0"/>
      <w:divBdr>
        <w:top w:val="none" w:sz="0" w:space="0" w:color="auto"/>
        <w:left w:val="none" w:sz="0" w:space="0" w:color="auto"/>
        <w:bottom w:val="none" w:sz="0" w:space="0" w:color="auto"/>
        <w:right w:val="none" w:sz="0" w:space="0" w:color="auto"/>
      </w:divBdr>
    </w:div>
    <w:div w:id="392579832">
      <w:bodyDiv w:val="1"/>
      <w:marLeft w:val="0"/>
      <w:marRight w:val="0"/>
      <w:marTop w:val="0"/>
      <w:marBottom w:val="0"/>
      <w:divBdr>
        <w:top w:val="none" w:sz="0" w:space="0" w:color="auto"/>
        <w:left w:val="none" w:sz="0" w:space="0" w:color="auto"/>
        <w:bottom w:val="none" w:sz="0" w:space="0" w:color="auto"/>
        <w:right w:val="none" w:sz="0" w:space="0" w:color="auto"/>
      </w:divBdr>
    </w:div>
    <w:div w:id="397897038">
      <w:bodyDiv w:val="1"/>
      <w:marLeft w:val="0"/>
      <w:marRight w:val="0"/>
      <w:marTop w:val="0"/>
      <w:marBottom w:val="0"/>
      <w:divBdr>
        <w:top w:val="none" w:sz="0" w:space="0" w:color="auto"/>
        <w:left w:val="none" w:sz="0" w:space="0" w:color="auto"/>
        <w:bottom w:val="none" w:sz="0" w:space="0" w:color="auto"/>
        <w:right w:val="none" w:sz="0" w:space="0" w:color="auto"/>
      </w:divBdr>
    </w:div>
    <w:div w:id="404572979">
      <w:bodyDiv w:val="1"/>
      <w:marLeft w:val="0"/>
      <w:marRight w:val="0"/>
      <w:marTop w:val="0"/>
      <w:marBottom w:val="0"/>
      <w:divBdr>
        <w:top w:val="none" w:sz="0" w:space="0" w:color="auto"/>
        <w:left w:val="none" w:sz="0" w:space="0" w:color="auto"/>
        <w:bottom w:val="none" w:sz="0" w:space="0" w:color="auto"/>
        <w:right w:val="none" w:sz="0" w:space="0" w:color="auto"/>
      </w:divBdr>
    </w:div>
    <w:div w:id="415327554">
      <w:bodyDiv w:val="1"/>
      <w:marLeft w:val="0"/>
      <w:marRight w:val="0"/>
      <w:marTop w:val="0"/>
      <w:marBottom w:val="0"/>
      <w:divBdr>
        <w:top w:val="none" w:sz="0" w:space="0" w:color="auto"/>
        <w:left w:val="none" w:sz="0" w:space="0" w:color="auto"/>
        <w:bottom w:val="none" w:sz="0" w:space="0" w:color="auto"/>
        <w:right w:val="none" w:sz="0" w:space="0" w:color="auto"/>
      </w:divBdr>
      <w:divsChild>
        <w:div w:id="1260873899">
          <w:marLeft w:val="0"/>
          <w:marRight w:val="0"/>
          <w:marTop w:val="0"/>
          <w:marBottom w:val="0"/>
          <w:divBdr>
            <w:top w:val="none" w:sz="0" w:space="0" w:color="auto"/>
            <w:left w:val="none" w:sz="0" w:space="0" w:color="auto"/>
            <w:bottom w:val="none" w:sz="0" w:space="0" w:color="auto"/>
            <w:right w:val="none" w:sz="0" w:space="0" w:color="auto"/>
          </w:divBdr>
          <w:divsChild>
            <w:div w:id="1975941053">
              <w:marLeft w:val="0"/>
              <w:marRight w:val="0"/>
              <w:marTop w:val="0"/>
              <w:marBottom w:val="0"/>
              <w:divBdr>
                <w:top w:val="none" w:sz="0" w:space="0" w:color="auto"/>
                <w:left w:val="none" w:sz="0" w:space="0" w:color="auto"/>
                <w:bottom w:val="none" w:sz="0" w:space="0" w:color="auto"/>
                <w:right w:val="none" w:sz="0" w:space="0" w:color="auto"/>
              </w:divBdr>
              <w:divsChild>
                <w:div w:id="1197430289">
                  <w:marLeft w:val="0"/>
                  <w:marRight w:val="0"/>
                  <w:marTop w:val="0"/>
                  <w:marBottom w:val="0"/>
                  <w:divBdr>
                    <w:top w:val="none" w:sz="0" w:space="0" w:color="auto"/>
                    <w:left w:val="none" w:sz="0" w:space="0" w:color="auto"/>
                    <w:bottom w:val="none" w:sz="0" w:space="0" w:color="auto"/>
                    <w:right w:val="none" w:sz="0" w:space="0" w:color="auto"/>
                  </w:divBdr>
                  <w:divsChild>
                    <w:div w:id="2097555494">
                      <w:marLeft w:val="0"/>
                      <w:marRight w:val="0"/>
                      <w:marTop w:val="0"/>
                      <w:marBottom w:val="0"/>
                      <w:divBdr>
                        <w:top w:val="none" w:sz="0" w:space="0" w:color="auto"/>
                        <w:left w:val="none" w:sz="0" w:space="0" w:color="auto"/>
                        <w:bottom w:val="none" w:sz="0" w:space="0" w:color="auto"/>
                        <w:right w:val="none" w:sz="0" w:space="0" w:color="auto"/>
                      </w:divBdr>
                      <w:divsChild>
                        <w:div w:id="310982326">
                          <w:marLeft w:val="0"/>
                          <w:marRight w:val="0"/>
                          <w:marTop w:val="0"/>
                          <w:marBottom w:val="0"/>
                          <w:divBdr>
                            <w:top w:val="none" w:sz="0" w:space="0" w:color="auto"/>
                            <w:left w:val="none" w:sz="0" w:space="0" w:color="auto"/>
                            <w:bottom w:val="none" w:sz="0" w:space="0" w:color="auto"/>
                            <w:right w:val="none" w:sz="0" w:space="0" w:color="auto"/>
                          </w:divBdr>
                          <w:divsChild>
                            <w:div w:id="1427267134">
                              <w:marLeft w:val="0"/>
                              <w:marRight w:val="0"/>
                              <w:marTop w:val="0"/>
                              <w:marBottom w:val="0"/>
                              <w:divBdr>
                                <w:top w:val="none" w:sz="0" w:space="0" w:color="auto"/>
                                <w:left w:val="none" w:sz="0" w:space="0" w:color="auto"/>
                                <w:bottom w:val="none" w:sz="0" w:space="0" w:color="auto"/>
                                <w:right w:val="none" w:sz="0" w:space="0" w:color="auto"/>
                              </w:divBdr>
                              <w:divsChild>
                                <w:div w:id="1227641730">
                                  <w:marLeft w:val="0"/>
                                  <w:marRight w:val="0"/>
                                  <w:marTop w:val="0"/>
                                  <w:marBottom w:val="0"/>
                                  <w:divBdr>
                                    <w:top w:val="none" w:sz="0" w:space="0" w:color="auto"/>
                                    <w:left w:val="none" w:sz="0" w:space="0" w:color="auto"/>
                                    <w:bottom w:val="none" w:sz="0" w:space="0" w:color="auto"/>
                                    <w:right w:val="none" w:sz="0" w:space="0" w:color="auto"/>
                                  </w:divBdr>
                                  <w:divsChild>
                                    <w:div w:id="926501581">
                                      <w:marLeft w:val="0"/>
                                      <w:marRight w:val="0"/>
                                      <w:marTop w:val="0"/>
                                      <w:marBottom w:val="0"/>
                                      <w:divBdr>
                                        <w:top w:val="none" w:sz="0" w:space="0" w:color="auto"/>
                                        <w:left w:val="none" w:sz="0" w:space="0" w:color="auto"/>
                                        <w:bottom w:val="none" w:sz="0" w:space="0" w:color="auto"/>
                                        <w:right w:val="none" w:sz="0" w:space="0" w:color="auto"/>
                                      </w:divBdr>
                                      <w:divsChild>
                                        <w:div w:id="612634937">
                                          <w:marLeft w:val="0"/>
                                          <w:marRight w:val="0"/>
                                          <w:marTop w:val="0"/>
                                          <w:marBottom w:val="0"/>
                                          <w:divBdr>
                                            <w:top w:val="none" w:sz="0" w:space="0" w:color="auto"/>
                                            <w:left w:val="none" w:sz="0" w:space="0" w:color="auto"/>
                                            <w:bottom w:val="none" w:sz="0" w:space="0" w:color="auto"/>
                                            <w:right w:val="none" w:sz="0" w:space="0" w:color="auto"/>
                                          </w:divBdr>
                                          <w:divsChild>
                                            <w:div w:id="1391541174">
                                              <w:marLeft w:val="0"/>
                                              <w:marRight w:val="0"/>
                                              <w:marTop w:val="0"/>
                                              <w:marBottom w:val="0"/>
                                              <w:divBdr>
                                                <w:top w:val="none" w:sz="0" w:space="0" w:color="auto"/>
                                                <w:left w:val="none" w:sz="0" w:space="0" w:color="auto"/>
                                                <w:bottom w:val="none" w:sz="0" w:space="0" w:color="auto"/>
                                                <w:right w:val="none" w:sz="0" w:space="0" w:color="auto"/>
                                              </w:divBdr>
                                            </w:div>
                                            <w:div w:id="1009720259">
                                              <w:marLeft w:val="0"/>
                                              <w:marRight w:val="0"/>
                                              <w:marTop w:val="0"/>
                                              <w:marBottom w:val="0"/>
                                              <w:divBdr>
                                                <w:top w:val="none" w:sz="0" w:space="0" w:color="auto"/>
                                                <w:left w:val="none" w:sz="0" w:space="0" w:color="auto"/>
                                                <w:bottom w:val="none" w:sz="0" w:space="0" w:color="auto"/>
                                                <w:right w:val="none" w:sz="0" w:space="0" w:color="auto"/>
                                              </w:divBdr>
                                            </w:div>
                                            <w:div w:id="3804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908234">
      <w:bodyDiv w:val="1"/>
      <w:marLeft w:val="0"/>
      <w:marRight w:val="0"/>
      <w:marTop w:val="0"/>
      <w:marBottom w:val="0"/>
      <w:divBdr>
        <w:top w:val="none" w:sz="0" w:space="0" w:color="auto"/>
        <w:left w:val="none" w:sz="0" w:space="0" w:color="auto"/>
        <w:bottom w:val="none" w:sz="0" w:space="0" w:color="auto"/>
        <w:right w:val="none" w:sz="0" w:space="0" w:color="auto"/>
      </w:divBdr>
    </w:div>
    <w:div w:id="420639950">
      <w:bodyDiv w:val="1"/>
      <w:marLeft w:val="0"/>
      <w:marRight w:val="0"/>
      <w:marTop w:val="0"/>
      <w:marBottom w:val="0"/>
      <w:divBdr>
        <w:top w:val="none" w:sz="0" w:space="0" w:color="auto"/>
        <w:left w:val="none" w:sz="0" w:space="0" w:color="auto"/>
        <w:bottom w:val="none" w:sz="0" w:space="0" w:color="auto"/>
        <w:right w:val="none" w:sz="0" w:space="0" w:color="auto"/>
      </w:divBdr>
    </w:div>
    <w:div w:id="422578786">
      <w:bodyDiv w:val="1"/>
      <w:marLeft w:val="0"/>
      <w:marRight w:val="0"/>
      <w:marTop w:val="0"/>
      <w:marBottom w:val="0"/>
      <w:divBdr>
        <w:top w:val="none" w:sz="0" w:space="0" w:color="auto"/>
        <w:left w:val="none" w:sz="0" w:space="0" w:color="auto"/>
        <w:bottom w:val="none" w:sz="0" w:space="0" w:color="auto"/>
        <w:right w:val="none" w:sz="0" w:space="0" w:color="auto"/>
      </w:divBdr>
    </w:div>
    <w:div w:id="426926835">
      <w:bodyDiv w:val="1"/>
      <w:marLeft w:val="0"/>
      <w:marRight w:val="0"/>
      <w:marTop w:val="0"/>
      <w:marBottom w:val="0"/>
      <w:divBdr>
        <w:top w:val="none" w:sz="0" w:space="0" w:color="auto"/>
        <w:left w:val="none" w:sz="0" w:space="0" w:color="auto"/>
        <w:bottom w:val="none" w:sz="0" w:space="0" w:color="auto"/>
        <w:right w:val="none" w:sz="0" w:space="0" w:color="auto"/>
      </w:divBdr>
    </w:div>
    <w:div w:id="452987416">
      <w:bodyDiv w:val="1"/>
      <w:marLeft w:val="0"/>
      <w:marRight w:val="0"/>
      <w:marTop w:val="0"/>
      <w:marBottom w:val="0"/>
      <w:divBdr>
        <w:top w:val="none" w:sz="0" w:space="0" w:color="auto"/>
        <w:left w:val="none" w:sz="0" w:space="0" w:color="auto"/>
        <w:bottom w:val="none" w:sz="0" w:space="0" w:color="auto"/>
        <w:right w:val="none" w:sz="0" w:space="0" w:color="auto"/>
      </w:divBdr>
    </w:div>
    <w:div w:id="454249897">
      <w:bodyDiv w:val="1"/>
      <w:marLeft w:val="0"/>
      <w:marRight w:val="0"/>
      <w:marTop w:val="0"/>
      <w:marBottom w:val="0"/>
      <w:divBdr>
        <w:top w:val="none" w:sz="0" w:space="0" w:color="auto"/>
        <w:left w:val="none" w:sz="0" w:space="0" w:color="auto"/>
        <w:bottom w:val="none" w:sz="0" w:space="0" w:color="auto"/>
        <w:right w:val="none" w:sz="0" w:space="0" w:color="auto"/>
      </w:divBdr>
    </w:div>
    <w:div w:id="457144841">
      <w:bodyDiv w:val="1"/>
      <w:marLeft w:val="0"/>
      <w:marRight w:val="0"/>
      <w:marTop w:val="0"/>
      <w:marBottom w:val="0"/>
      <w:divBdr>
        <w:top w:val="none" w:sz="0" w:space="0" w:color="auto"/>
        <w:left w:val="none" w:sz="0" w:space="0" w:color="auto"/>
        <w:bottom w:val="none" w:sz="0" w:space="0" w:color="auto"/>
        <w:right w:val="none" w:sz="0" w:space="0" w:color="auto"/>
      </w:divBdr>
    </w:div>
    <w:div w:id="457186462">
      <w:bodyDiv w:val="1"/>
      <w:marLeft w:val="0"/>
      <w:marRight w:val="0"/>
      <w:marTop w:val="0"/>
      <w:marBottom w:val="0"/>
      <w:divBdr>
        <w:top w:val="none" w:sz="0" w:space="0" w:color="auto"/>
        <w:left w:val="none" w:sz="0" w:space="0" w:color="auto"/>
        <w:bottom w:val="none" w:sz="0" w:space="0" w:color="auto"/>
        <w:right w:val="none" w:sz="0" w:space="0" w:color="auto"/>
      </w:divBdr>
    </w:div>
    <w:div w:id="458766736">
      <w:bodyDiv w:val="1"/>
      <w:marLeft w:val="0"/>
      <w:marRight w:val="0"/>
      <w:marTop w:val="0"/>
      <w:marBottom w:val="0"/>
      <w:divBdr>
        <w:top w:val="none" w:sz="0" w:space="0" w:color="auto"/>
        <w:left w:val="none" w:sz="0" w:space="0" w:color="auto"/>
        <w:bottom w:val="none" w:sz="0" w:space="0" w:color="auto"/>
        <w:right w:val="none" w:sz="0" w:space="0" w:color="auto"/>
      </w:divBdr>
    </w:div>
    <w:div w:id="459108875">
      <w:bodyDiv w:val="1"/>
      <w:marLeft w:val="0"/>
      <w:marRight w:val="0"/>
      <w:marTop w:val="0"/>
      <w:marBottom w:val="0"/>
      <w:divBdr>
        <w:top w:val="none" w:sz="0" w:space="0" w:color="auto"/>
        <w:left w:val="none" w:sz="0" w:space="0" w:color="auto"/>
        <w:bottom w:val="none" w:sz="0" w:space="0" w:color="auto"/>
        <w:right w:val="none" w:sz="0" w:space="0" w:color="auto"/>
      </w:divBdr>
    </w:div>
    <w:div w:id="468788676">
      <w:bodyDiv w:val="1"/>
      <w:marLeft w:val="0"/>
      <w:marRight w:val="0"/>
      <w:marTop w:val="0"/>
      <w:marBottom w:val="0"/>
      <w:divBdr>
        <w:top w:val="none" w:sz="0" w:space="0" w:color="auto"/>
        <w:left w:val="none" w:sz="0" w:space="0" w:color="auto"/>
        <w:bottom w:val="none" w:sz="0" w:space="0" w:color="auto"/>
        <w:right w:val="none" w:sz="0" w:space="0" w:color="auto"/>
      </w:divBdr>
    </w:div>
    <w:div w:id="469515380">
      <w:bodyDiv w:val="1"/>
      <w:marLeft w:val="0"/>
      <w:marRight w:val="0"/>
      <w:marTop w:val="0"/>
      <w:marBottom w:val="0"/>
      <w:divBdr>
        <w:top w:val="none" w:sz="0" w:space="0" w:color="auto"/>
        <w:left w:val="none" w:sz="0" w:space="0" w:color="auto"/>
        <w:bottom w:val="none" w:sz="0" w:space="0" w:color="auto"/>
        <w:right w:val="none" w:sz="0" w:space="0" w:color="auto"/>
      </w:divBdr>
    </w:div>
    <w:div w:id="469641332">
      <w:bodyDiv w:val="1"/>
      <w:marLeft w:val="0"/>
      <w:marRight w:val="0"/>
      <w:marTop w:val="0"/>
      <w:marBottom w:val="0"/>
      <w:divBdr>
        <w:top w:val="none" w:sz="0" w:space="0" w:color="auto"/>
        <w:left w:val="none" w:sz="0" w:space="0" w:color="auto"/>
        <w:bottom w:val="none" w:sz="0" w:space="0" w:color="auto"/>
        <w:right w:val="none" w:sz="0" w:space="0" w:color="auto"/>
      </w:divBdr>
    </w:div>
    <w:div w:id="470369451">
      <w:bodyDiv w:val="1"/>
      <w:marLeft w:val="0"/>
      <w:marRight w:val="0"/>
      <w:marTop w:val="0"/>
      <w:marBottom w:val="0"/>
      <w:divBdr>
        <w:top w:val="none" w:sz="0" w:space="0" w:color="auto"/>
        <w:left w:val="none" w:sz="0" w:space="0" w:color="auto"/>
        <w:bottom w:val="none" w:sz="0" w:space="0" w:color="auto"/>
        <w:right w:val="none" w:sz="0" w:space="0" w:color="auto"/>
      </w:divBdr>
    </w:div>
    <w:div w:id="471749789">
      <w:bodyDiv w:val="1"/>
      <w:marLeft w:val="0"/>
      <w:marRight w:val="0"/>
      <w:marTop w:val="0"/>
      <w:marBottom w:val="0"/>
      <w:divBdr>
        <w:top w:val="none" w:sz="0" w:space="0" w:color="auto"/>
        <w:left w:val="none" w:sz="0" w:space="0" w:color="auto"/>
        <w:bottom w:val="none" w:sz="0" w:space="0" w:color="auto"/>
        <w:right w:val="none" w:sz="0" w:space="0" w:color="auto"/>
      </w:divBdr>
    </w:div>
    <w:div w:id="473987406">
      <w:bodyDiv w:val="1"/>
      <w:marLeft w:val="0"/>
      <w:marRight w:val="0"/>
      <w:marTop w:val="0"/>
      <w:marBottom w:val="0"/>
      <w:divBdr>
        <w:top w:val="none" w:sz="0" w:space="0" w:color="auto"/>
        <w:left w:val="none" w:sz="0" w:space="0" w:color="auto"/>
        <w:bottom w:val="none" w:sz="0" w:space="0" w:color="auto"/>
        <w:right w:val="none" w:sz="0" w:space="0" w:color="auto"/>
      </w:divBdr>
    </w:div>
    <w:div w:id="474690166">
      <w:bodyDiv w:val="1"/>
      <w:marLeft w:val="0"/>
      <w:marRight w:val="0"/>
      <w:marTop w:val="0"/>
      <w:marBottom w:val="0"/>
      <w:divBdr>
        <w:top w:val="none" w:sz="0" w:space="0" w:color="auto"/>
        <w:left w:val="none" w:sz="0" w:space="0" w:color="auto"/>
        <w:bottom w:val="none" w:sz="0" w:space="0" w:color="auto"/>
        <w:right w:val="none" w:sz="0" w:space="0" w:color="auto"/>
      </w:divBdr>
    </w:div>
    <w:div w:id="479808820">
      <w:bodyDiv w:val="1"/>
      <w:marLeft w:val="0"/>
      <w:marRight w:val="0"/>
      <w:marTop w:val="0"/>
      <w:marBottom w:val="0"/>
      <w:divBdr>
        <w:top w:val="none" w:sz="0" w:space="0" w:color="auto"/>
        <w:left w:val="none" w:sz="0" w:space="0" w:color="auto"/>
        <w:bottom w:val="none" w:sz="0" w:space="0" w:color="auto"/>
        <w:right w:val="none" w:sz="0" w:space="0" w:color="auto"/>
      </w:divBdr>
    </w:div>
    <w:div w:id="481584852">
      <w:bodyDiv w:val="1"/>
      <w:marLeft w:val="0"/>
      <w:marRight w:val="0"/>
      <w:marTop w:val="0"/>
      <w:marBottom w:val="0"/>
      <w:divBdr>
        <w:top w:val="none" w:sz="0" w:space="0" w:color="auto"/>
        <w:left w:val="none" w:sz="0" w:space="0" w:color="auto"/>
        <w:bottom w:val="none" w:sz="0" w:space="0" w:color="auto"/>
        <w:right w:val="none" w:sz="0" w:space="0" w:color="auto"/>
      </w:divBdr>
    </w:div>
    <w:div w:id="481653789">
      <w:bodyDiv w:val="1"/>
      <w:marLeft w:val="0"/>
      <w:marRight w:val="0"/>
      <w:marTop w:val="0"/>
      <w:marBottom w:val="0"/>
      <w:divBdr>
        <w:top w:val="none" w:sz="0" w:space="0" w:color="auto"/>
        <w:left w:val="none" w:sz="0" w:space="0" w:color="auto"/>
        <w:bottom w:val="none" w:sz="0" w:space="0" w:color="auto"/>
        <w:right w:val="none" w:sz="0" w:space="0" w:color="auto"/>
      </w:divBdr>
    </w:div>
    <w:div w:id="481702169">
      <w:bodyDiv w:val="1"/>
      <w:marLeft w:val="0"/>
      <w:marRight w:val="0"/>
      <w:marTop w:val="0"/>
      <w:marBottom w:val="0"/>
      <w:divBdr>
        <w:top w:val="none" w:sz="0" w:space="0" w:color="auto"/>
        <w:left w:val="none" w:sz="0" w:space="0" w:color="auto"/>
        <w:bottom w:val="none" w:sz="0" w:space="0" w:color="auto"/>
        <w:right w:val="none" w:sz="0" w:space="0" w:color="auto"/>
      </w:divBdr>
    </w:div>
    <w:div w:id="488791527">
      <w:bodyDiv w:val="1"/>
      <w:marLeft w:val="0"/>
      <w:marRight w:val="0"/>
      <w:marTop w:val="0"/>
      <w:marBottom w:val="0"/>
      <w:divBdr>
        <w:top w:val="none" w:sz="0" w:space="0" w:color="auto"/>
        <w:left w:val="none" w:sz="0" w:space="0" w:color="auto"/>
        <w:bottom w:val="none" w:sz="0" w:space="0" w:color="auto"/>
        <w:right w:val="none" w:sz="0" w:space="0" w:color="auto"/>
      </w:divBdr>
    </w:div>
    <w:div w:id="490563249">
      <w:bodyDiv w:val="1"/>
      <w:marLeft w:val="0"/>
      <w:marRight w:val="0"/>
      <w:marTop w:val="0"/>
      <w:marBottom w:val="0"/>
      <w:divBdr>
        <w:top w:val="none" w:sz="0" w:space="0" w:color="auto"/>
        <w:left w:val="none" w:sz="0" w:space="0" w:color="auto"/>
        <w:bottom w:val="none" w:sz="0" w:space="0" w:color="auto"/>
        <w:right w:val="none" w:sz="0" w:space="0" w:color="auto"/>
      </w:divBdr>
    </w:div>
    <w:div w:id="497771485">
      <w:bodyDiv w:val="1"/>
      <w:marLeft w:val="0"/>
      <w:marRight w:val="0"/>
      <w:marTop w:val="0"/>
      <w:marBottom w:val="0"/>
      <w:divBdr>
        <w:top w:val="none" w:sz="0" w:space="0" w:color="auto"/>
        <w:left w:val="none" w:sz="0" w:space="0" w:color="auto"/>
        <w:bottom w:val="none" w:sz="0" w:space="0" w:color="auto"/>
        <w:right w:val="none" w:sz="0" w:space="0" w:color="auto"/>
      </w:divBdr>
    </w:div>
    <w:div w:id="504249466">
      <w:bodyDiv w:val="1"/>
      <w:marLeft w:val="0"/>
      <w:marRight w:val="0"/>
      <w:marTop w:val="0"/>
      <w:marBottom w:val="0"/>
      <w:divBdr>
        <w:top w:val="none" w:sz="0" w:space="0" w:color="auto"/>
        <w:left w:val="none" w:sz="0" w:space="0" w:color="auto"/>
        <w:bottom w:val="none" w:sz="0" w:space="0" w:color="auto"/>
        <w:right w:val="none" w:sz="0" w:space="0" w:color="auto"/>
      </w:divBdr>
    </w:div>
    <w:div w:id="505826312">
      <w:bodyDiv w:val="1"/>
      <w:marLeft w:val="0"/>
      <w:marRight w:val="0"/>
      <w:marTop w:val="0"/>
      <w:marBottom w:val="0"/>
      <w:divBdr>
        <w:top w:val="none" w:sz="0" w:space="0" w:color="auto"/>
        <w:left w:val="none" w:sz="0" w:space="0" w:color="auto"/>
        <w:bottom w:val="none" w:sz="0" w:space="0" w:color="auto"/>
        <w:right w:val="none" w:sz="0" w:space="0" w:color="auto"/>
      </w:divBdr>
    </w:div>
    <w:div w:id="513963210">
      <w:bodyDiv w:val="1"/>
      <w:marLeft w:val="0"/>
      <w:marRight w:val="0"/>
      <w:marTop w:val="0"/>
      <w:marBottom w:val="0"/>
      <w:divBdr>
        <w:top w:val="none" w:sz="0" w:space="0" w:color="auto"/>
        <w:left w:val="none" w:sz="0" w:space="0" w:color="auto"/>
        <w:bottom w:val="none" w:sz="0" w:space="0" w:color="auto"/>
        <w:right w:val="none" w:sz="0" w:space="0" w:color="auto"/>
      </w:divBdr>
    </w:div>
    <w:div w:id="526722974">
      <w:bodyDiv w:val="1"/>
      <w:marLeft w:val="0"/>
      <w:marRight w:val="0"/>
      <w:marTop w:val="0"/>
      <w:marBottom w:val="0"/>
      <w:divBdr>
        <w:top w:val="none" w:sz="0" w:space="0" w:color="auto"/>
        <w:left w:val="none" w:sz="0" w:space="0" w:color="auto"/>
        <w:bottom w:val="none" w:sz="0" w:space="0" w:color="auto"/>
        <w:right w:val="none" w:sz="0" w:space="0" w:color="auto"/>
      </w:divBdr>
    </w:div>
    <w:div w:id="528490303">
      <w:bodyDiv w:val="1"/>
      <w:marLeft w:val="0"/>
      <w:marRight w:val="0"/>
      <w:marTop w:val="0"/>
      <w:marBottom w:val="0"/>
      <w:divBdr>
        <w:top w:val="none" w:sz="0" w:space="0" w:color="auto"/>
        <w:left w:val="none" w:sz="0" w:space="0" w:color="auto"/>
        <w:bottom w:val="none" w:sz="0" w:space="0" w:color="auto"/>
        <w:right w:val="none" w:sz="0" w:space="0" w:color="auto"/>
      </w:divBdr>
    </w:div>
    <w:div w:id="534318840">
      <w:bodyDiv w:val="1"/>
      <w:marLeft w:val="0"/>
      <w:marRight w:val="0"/>
      <w:marTop w:val="0"/>
      <w:marBottom w:val="0"/>
      <w:divBdr>
        <w:top w:val="none" w:sz="0" w:space="0" w:color="auto"/>
        <w:left w:val="none" w:sz="0" w:space="0" w:color="auto"/>
        <w:bottom w:val="none" w:sz="0" w:space="0" w:color="auto"/>
        <w:right w:val="none" w:sz="0" w:space="0" w:color="auto"/>
      </w:divBdr>
    </w:div>
    <w:div w:id="535310890">
      <w:bodyDiv w:val="1"/>
      <w:marLeft w:val="0"/>
      <w:marRight w:val="0"/>
      <w:marTop w:val="0"/>
      <w:marBottom w:val="0"/>
      <w:divBdr>
        <w:top w:val="none" w:sz="0" w:space="0" w:color="auto"/>
        <w:left w:val="none" w:sz="0" w:space="0" w:color="auto"/>
        <w:bottom w:val="none" w:sz="0" w:space="0" w:color="auto"/>
        <w:right w:val="none" w:sz="0" w:space="0" w:color="auto"/>
      </w:divBdr>
    </w:div>
    <w:div w:id="535315684">
      <w:bodyDiv w:val="1"/>
      <w:marLeft w:val="0"/>
      <w:marRight w:val="0"/>
      <w:marTop w:val="0"/>
      <w:marBottom w:val="0"/>
      <w:divBdr>
        <w:top w:val="none" w:sz="0" w:space="0" w:color="auto"/>
        <w:left w:val="none" w:sz="0" w:space="0" w:color="auto"/>
        <w:bottom w:val="none" w:sz="0" w:space="0" w:color="auto"/>
        <w:right w:val="none" w:sz="0" w:space="0" w:color="auto"/>
      </w:divBdr>
    </w:div>
    <w:div w:id="539587916">
      <w:bodyDiv w:val="1"/>
      <w:marLeft w:val="0"/>
      <w:marRight w:val="0"/>
      <w:marTop w:val="0"/>
      <w:marBottom w:val="0"/>
      <w:divBdr>
        <w:top w:val="none" w:sz="0" w:space="0" w:color="auto"/>
        <w:left w:val="none" w:sz="0" w:space="0" w:color="auto"/>
        <w:bottom w:val="none" w:sz="0" w:space="0" w:color="auto"/>
        <w:right w:val="none" w:sz="0" w:space="0" w:color="auto"/>
      </w:divBdr>
    </w:div>
    <w:div w:id="553926978">
      <w:bodyDiv w:val="1"/>
      <w:marLeft w:val="0"/>
      <w:marRight w:val="0"/>
      <w:marTop w:val="0"/>
      <w:marBottom w:val="0"/>
      <w:divBdr>
        <w:top w:val="none" w:sz="0" w:space="0" w:color="auto"/>
        <w:left w:val="none" w:sz="0" w:space="0" w:color="auto"/>
        <w:bottom w:val="none" w:sz="0" w:space="0" w:color="auto"/>
        <w:right w:val="none" w:sz="0" w:space="0" w:color="auto"/>
      </w:divBdr>
    </w:div>
    <w:div w:id="559706990">
      <w:bodyDiv w:val="1"/>
      <w:marLeft w:val="0"/>
      <w:marRight w:val="0"/>
      <w:marTop w:val="0"/>
      <w:marBottom w:val="0"/>
      <w:divBdr>
        <w:top w:val="none" w:sz="0" w:space="0" w:color="auto"/>
        <w:left w:val="none" w:sz="0" w:space="0" w:color="auto"/>
        <w:bottom w:val="none" w:sz="0" w:space="0" w:color="auto"/>
        <w:right w:val="none" w:sz="0" w:space="0" w:color="auto"/>
      </w:divBdr>
    </w:div>
    <w:div w:id="562253611">
      <w:bodyDiv w:val="1"/>
      <w:marLeft w:val="0"/>
      <w:marRight w:val="0"/>
      <w:marTop w:val="0"/>
      <w:marBottom w:val="0"/>
      <w:divBdr>
        <w:top w:val="none" w:sz="0" w:space="0" w:color="auto"/>
        <w:left w:val="none" w:sz="0" w:space="0" w:color="auto"/>
        <w:bottom w:val="none" w:sz="0" w:space="0" w:color="auto"/>
        <w:right w:val="none" w:sz="0" w:space="0" w:color="auto"/>
      </w:divBdr>
    </w:div>
    <w:div w:id="562253702">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575670256">
      <w:bodyDiv w:val="1"/>
      <w:marLeft w:val="0"/>
      <w:marRight w:val="0"/>
      <w:marTop w:val="0"/>
      <w:marBottom w:val="0"/>
      <w:divBdr>
        <w:top w:val="none" w:sz="0" w:space="0" w:color="auto"/>
        <w:left w:val="none" w:sz="0" w:space="0" w:color="auto"/>
        <w:bottom w:val="none" w:sz="0" w:space="0" w:color="auto"/>
        <w:right w:val="none" w:sz="0" w:space="0" w:color="auto"/>
      </w:divBdr>
    </w:div>
    <w:div w:id="593320693">
      <w:bodyDiv w:val="1"/>
      <w:marLeft w:val="0"/>
      <w:marRight w:val="0"/>
      <w:marTop w:val="0"/>
      <w:marBottom w:val="0"/>
      <w:divBdr>
        <w:top w:val="none" w:sz="0" w:space="0" w:color="auto"/>
        <w:left w:val="none" w:sz="0" w:space="0" w:color="auto"/>
        <w:bottom w:val="none" w:sz="0" w:space="0" w:color="auto"/>
        <w:right w:val="none" w:sz="0" w:space="0" w:color="auto"/>
      </w:divBdr>
    </w:div>
    <w:div w:id="594048333">
      <w:bodyDiv w:val="1"/>
      <w:marLeft w:val="0"/>
      <w:marRight w:val="0"/>
      <w:marTop w:val="0"/>
      <w:marBottom w:val="0"/>
      <w:divBdr>
        <w:top w:val="none" w:sz="0" w:space="0" w:color="auto"/>
        <w:left w:val="none" w:sz="0" w:space="0" w:color="auto"/>
        <w:bottom w:val="none" w:sz="0" w:space="0" w:color="auto"/>
        <w:right w:val="none" w:sz="0" w:space="0" w:color="auto"/>
      </w:divBdr>
    </w:div>
    <w:div w:id="594678780">
      <w:bodyDiv w:val="1"/>
      <w:marLeft w:val="0"/>
      <w:marRight w:val="0"/>
      <w:marTop w:val="0"/>
      <w:marBottom w:val="0"/>
      <w:divBdr>
        <w:top w:val="none" w:sz="0" w:space="0" w:color="auto"/>
        <w:left w:val="none" w:sz="0" w:space="0" w:color="auto"/>
        <w:bottom w:val="none" w:sz="0" w:space="0" w:color="auto"/>
        <w:right w:val="none" w:sz="0" w:space="0" w:color="auto"/>
      </w:divBdr>
    </w:div>
    <w:div w:id="604197579">
      <w:bodyDiv w:val="1"/>
      <w:marLeft w:val="0"/>
      <w:marRight w:val="0"/>
      <w:marTop w:val="0"/>
      <w:marBottom w:val="0"/>
      <w:divBdr>
        <w:top w:val="none" w:sz="0" w:space="0" w:color="auto"/>
        <w:left w:val="none" w:sz="0" w:space="0" w:color="auto"/>
        <w:bottom w:val="none" w:sz="0" w:space="0" w:color="auto"/>
        <w:right w:val="none" w:sz="0" w:space="0" w:color="auto"/>
      </w:divBdr>
    </w:div>
    <w:div w:id="609700777">
      <w:bodyDiv w:val="1"/>
      <w:marLeft w:val="0"/>
      <w:marRight w:val="0"/>
      <w:marTop w:val="0"/>
      <w:marBottom w:val="0"/>
      <w:divBdr>
        <w:top w:val="none" w:sz="0" w:space="0" w:color="auto"/>
        <w:left w:val="none" w:sz="0" w:space="0" w:color="auto"/>
        <w:bottom w:val="none" w:sz="0" w:space="0" w:color="auto"/>
        <w:right w:val="none" w:sz="0" w:space="0" w:color="auto"/>
      </w:divBdr>
    </w:div>
    <w:div w:id="611865894">
      <w:bodyDiv w:val="1"/>
      <w:marLeft w:val="0"/>
      <w:marRight w:val="0"/>
      <w:marTop w:val="0"/>
      <w:marBottom w:val="0"/>
      <w:divBdr>
        <w:top w:val="none" w:sz="0" w:space="0" w:color="auto"/>
        <w:left w:val="none" w:sz="0" w:space="0" w:color="auto"/>
        <w:bottom w:val="none" w:sz="0" w:space="0" w:color="auto"/>
        <w:right w:val="none" w:sz="0" w:space="0" w:color="auto"/>
      </w:divBdr>
    </w:div>
    <w:div w:id="629630838">
      <w:bodyDiv w:val="1"/>
      <w:marLeft w:val="0"/>
      <w:marRight w:val="0"/>
      <w:marTop w:val="0"/>
      <w:marBottom w:val="0"/>
      <w:divBdr>
        <w:top w:val="none" w:sz="0" w:space="0" w:color="auto"/>
        <w:left w:val="none" w:sz="0" w:space="0" w:color="auto"/>
        <w:bottom w:val="none" w:sz="0" w:space="0" w:color="auto"/>
        <w:right w:val="none" w:sz="0" w:space="0" w:color="auto"/>
      </w:divBdr>
    </w:div>
    <w:div w:id="631054544">
      <w:bodyDiv w:val="1"/>
      <w:marLeft w:val="0"/>
      <w:marRight w:val="0"/>
      <w:marTop w:val="0"/>
      <w:marBottom w:val="0"/>
      <w:divBdr>
        <w:top w:val="none" w:sz="0" w:space="0" w:color="auto"/>
        <w:left w:val="none" w:sz="0" w:space="0" w:color="auto"/>
        <w:bottom w:val="none" w:sz="0" w:space="0" w:color="auto"/>
        <w:right w:val="none" w:sz="0" w:space="0" w:color="auto"/>
      </w:divBdr>
    </w:div>
    <w:div w:id="632174044">
      <w:bodyDiv w:val="1"/>
      <w:marLeft w:val="0"/>
      <w:marRight w:val="0"/>
      <w:marTop w:val="0"/>
      <w:marBottom w:val="0"/>
      <w:divBdr>
        <w:top w:val="none" w:sz="0" w:space="0" w:color="auto"/>
        <w:left w:val="none" w:sz="0" w:space="0" w:color="auto"/>
        <w:bottom w:val="none" w:sz="0" w:space="0" w:color="auto"/>
        <w:right w:val="none" w:sz="0" w:space="0" w:color="auto"/>
      </w:divBdr>
    </w:div>
    <w:div w:id="632251570">
      <w:bodyDiv w:val="1"/>
      <w:marLeft w:val="0"/>
      <w:marRight w:val="0"/>
      <w:marTop w:val="0"/>
      <w:marBottom w:val="0"/>
      <w:divBdr>
        <w:top w:val="none" w:sz="0" w:space="0" w:color="auto"/>
        <w:left w:val="none" w:sz="0" w:space="0" w:color="auto"/>
        <w:bottom w:val="none" w:sz="0" w:space="0" w:color="auto"/>
        <w:right w:val="none" w:sz="0" w:space="0" w:color="auto"/>
      </w:divBdr>
    </w:div>
    <w:div w:id="638607218">
      <w:bodyDiv w:val="1"/>
      <w:marLeft w:val="0"/>
      <w:marRight w:val="0"/>
      <w:marTop w:val="0"/>
      <w:marBottom w:val="0"/>
      <w:divBdr>
        <w:top w:val="none" w:sz="0" w:space="0" w:color="auto"/>
        <w:left w:val="none" w:sz="0" w:space="0" w:color="auto"/>
        <w:bottom w:val="none" w:sz="0" w:space="0" w:color="auto"/>
        <w:right w:val="none" w:sz="0" w:space="0" w:color="auto"/>
      </w:divBdr>
    </w:div>
    <w:div w:id="640623898">
      <w:bodyDiv w:val="1"/>
      <w:marLeft w:val="0"/>
      <w:marRight w:val="0"/>
      <w:marTop w:val="0"/>
      <w:marBottom w:val="0"/>
      <w:divBdr>
        <w:top w:val="none" w:sz="0" w:space="0" w:color="auto"/>
        <w:left w:val="none" w:sz="0" w:space="0" w:color="auto"/>
        <w:bottom w:val="none" w:sz="0" w:space="0" w:color="auto"/>
        <w:right w:val="none" w:sz="0" w:space="0" w:color="auto"/>
      </w:divBdr>
    </w:div>
    <w:div w:id="641617634">
      <w:bodyDiv w:val="1"/>
      <w:marLeft w:val="0"/>
      <w:marRight w:val="0"/>
      <w:marTop w:val="0"/>
      <w:marBottom w:val="0"/>
      <w:divBdr>
        <w:top w:val="none" w:sz="0" w:space="0" w:color="auto"/>
        <w:left w:val="none" w:sz="0" w:space="0" w:color="auto"/>
        <w:bottom w:val="none" w:sz="0" w:space="0" w:color="auto"/>
        <w:right w:val="none" w:sz="0" w:space="0" w:color="auto"/>
      </w:divBdr>
    </w:div>
    <w:div w:id="646129399">
      <w:bodyDiv w:val="1"/>
      <w:marLeft w:val="0"/>
      <w:marRight w:val="0"/>
      <w:marTop w:val="0"/>
      <w:marBottom w:val="0"/>
      <w:divBdr>
        <w:top w:val="none" w:sz="0" w:space="0" w:color="auto"/>
        <w:left w:val="none" w:sz="0" w:space="0" w:color="auto"/>
        <w:bottom w:val="none" w:sz="0" w:space="0" w:color="auto"/>
        <w:right w:val="none" w:sz="0" w:space="0" w:color="auto"/>
      </w:divBdr>
    </w:div>
    <w:div w:id="650476492">
      <w:bodyDiv w:val="1"/>
      <w:marLeft w:val="0"/>
      <w:marRight w:val="0"/>
      <w:marTop w:val="0"/>
      <w:marBottom w:val="0"/>
      <w:divBdr>
        <w:top w:val="none" w:sz="0" w:space="0" w:color="auto"/>
        <w:left w:val="none" w:sz="0" w:space="0" w:color="auto"/>
        <w:bottom w:val="none" w:sz="0" w:space="0" w:color="auto"/>
        <w:right w:val="none" w:sz="0" w:space="0" w:color="auto"/>
      </w:divBdr>
    </w:div>
    <w:div w:id="651640534">
      <w:bodyDiv w:val="1"/>
      <w:marLeft w:val="0"/>
      <w:marRight w:val="0"/>
      <w:marTop w:val="0"/>
      <w:marBottom w:val="0"/>
      <w:divBdr>
        <w:top w:val="none" w:sz="0" w:space="0" w:color="auto"/>
        <w:left w:val="none" w:sz="0" w:space="0" w:color="auto"/>
        <w:bottom w:val="none" w:sz="0" w:space="0" w:color="auto"/>
        <w:right w:val="none" w:sz="0" w:space="0" w:color="auto"/>
      </w:divBdr>
    </w:div>
    <w:div w:id="656301362">
      <w:bodyDiv w:val="1"/>
      <w:marLeft w:val="0"/>
      <w:marRight w:val="0"/>
      <w:marTop w:val="0"/>
      <w:marBottom w:val="0"/>
      <w:divBdr>
        <w:top w:val="none" w:sz="0" w:space="0" w:color="auto"/>
        <w:left w:val="none" w:sz="0" w:space="0" w:color="auto"/>
        <w:bottom w:val="none" w:sz="0" w:space="0" w:color="auto"/>
        <w:right w:val="none" w:sz="0" w:space="0" w:color="auto"/>
      </w:divBdr>
    </w:div>
    <w:div w:id="658268948">
      <w:bodyDiv w:val="1"/>
      <w:marLeft w:val="0"/>
      <w:marRight w:val="0"/>
      <w:marTop w:val="0"/>
      <w:marBottom w:val="0"/>
      <w:divBdr>
        <w:top w:val="none" w:sz="0" w:space="0" w:color="auto"/>
        <w:left w:val="none" w:sz="0" w:space="0" w:color="auto"/>
        <w:bottom w:val="none" w:sz="0" w:space="0" w:color="auto"/>
        <w:right w:val="none" w:sz="0" w:space="0" w:color="auto"/>
      </w:divBdr>
    </w:div>
    <w:div w:id="658773307">
      <w:bodyDiv w:val="1"/>
      <w:marLeft w:val="0"/>
      <w:marRight w:val="0"/>
      <w:marTop w:val="0"/>
      <w:marBottom w:val="0"/>
      <w:divBdr>
        <w:top w:val="none" w:sz="0" w:space="0" w:color="auto"/>
        <w:left w:val="none" w:sz="0" w:space="0" w:color="auto"/>
        <w:bottom w:val="none" w:sz="0" w:space="0" w:color="auto"/>
        <w:right w:val="none" w:sz="0" w:space="0" w:color="auto"/>
      </w:divBdr>
    </w:div>
    <w:div w:id="661277563">
      <w:bodyDiv w:val="1"/>
      <w:marLeft w:val="0"/>
      <w:marRight w:val="0"/>
      <w:marTop w:val="0"/>
      <w:marBottom w:val="0"/>
      <w:divBdr>
        <w:top w:val="none" w:sz="0" w:space="0" w:color="auto"/>
        <w:left w:val="none" w:sz="0" w:space="0" w:color="auto"/>
        <w:bottom w:val="none" w:sz="0" w:space="0" w:color="auto"/>
        <w:right w:val="none" w:sz="0" w:space="0" w:color="auto"/>
      </w:divBdr>
    </w:div>
    <w:div w:id="661397766">
      <w:bodyDiv w:val="1"/>
      <w:marLeft w:val="0"/>
      <w:marRight w:val="0"/>
      <w:marTop w:val="0"/>
      <w:marBottom w:val="0"/>
      <w:divBdr>
        <w:top w:val="none" w:sz="0" w:space="0" w:color="auto"/>
        <w:left w:val="none" w:sz="0" w:space="0" w:color="auto"/>
        <w:bottom w:val="none" w:sz="0" w:space="0" w:color="auto"/>
        <w:right w:val="none" w:sz="0" w:space="0" w:color="auto"/>
      </w:divBdr>
    </w:div>
    <w:div w:id="665785710">
      <w:bodyDiv w:val="1"/>
      <w:marLeft w:val="0"/>
      <w:marRight w:val="0"/>
      <w:marTop w:val="0"/>
      <w:marBottom w:val="0"/>
      <w:divBdr>
        <w:top w:val="none" w:sz="0" w:space="0" w:color="auto"/>
        <w:left w:val="none" w:sz="0" w:space="0" w:color="auto"/>
        <w:bottom w:val="none" w:sz="0" w:space="0" w:color="auto"/>
        <w:right w:val="none" w:sz="0" w:space="0" w:color="auto"/>
      </w:divBdr>
    </w:div>
    <w:div w:id="666517597">
      <w:bodyDiv w:val="1"/>
      <w:marLeft w:val="0"/>
      <w:marRight w:val="0"/>
      <w:marTop w:val="0"/>
      <w:marBottom w:val="0"/>
      <w:divBdr>
        <w:top w:val="none" w:sz="0" w:space="0" w:color="auto"/>
        <w:left w:val="none" w:sz="0" w:space="0" w:color="auto"/>
        <w:bottom w:val="none" w:sz="0" w:space="0" w:color="auto"/>
        <w:right w:val="none" w:sz="0" w:space="0" w:color="auto"/>
      </w:divBdr>
    </w:div>
    <w:div w:id="668022956">
      <w:bodyDiv w:val="1"/>
      <w:marLeft w:val="0"/>
      <w:marRight w:val="0"/>
      <w:marTop w:val="0"/>
      <w:marBottom w:val="0"/>
      <w:divBdr>
        <w:top w:val="none" w:sz="0" w:space="0" w:color="auto"/>
        <w:left w:val="none" w:sz="0" w:space="0" w:color="auto"/>
        <w:bottom w:val="none" w:sz="0" w:space="0" w:color="auto"/>
        <w:right w:val="none" w:sz="0" w:space="0" w:color="auto"/>
      </w:divBdr>
    </w:div>
    <w:div w:id="675183918">
      <w:bodyDiv w:val="1"/>
      <w:marLeft w:val="0"/>
      <w:marRight w:val="0"/>
      <w:marTop w:val="0"/>
      <w:marBottom w:val="0"/>
      <w:divBdr>
        <w:top w:val="none" w:sz="0" w:space="0" w:color="auto"/>
        <w:left w:val="none" w:sz="0" w:space="0" w:color="auto"/>
        <w:bottom w:val="none" w:sz="0" w:space="0" w:color="auto"/>
        <w:right w:val="none" w:sz="0" w:space="0" w:color="auto"/>
      </w:divBdr>
    </w:div>
    <w:div w:id="676225022">
      <w:bodyDiv w:val="1"/>
      <w:marLeft w:val="0"/>
      <w:marRight w:val="0"/>
      <w:marTop w:val="0"/>
      <w:marBottom w:val="0"/>
      <w:divBdr>
        <w:top w:val="none" w:sz="0" w:space="0" w:color="auto"/>
        <w:left w:val="none" w:sz="0" w:space="0" w:color="auto"/>
        <w:bottom w:val="none" w:sz="0" w:space="0" w:color="auto"/>
        <w:right w:val="none" w:sz="0" w:space="0" w:color="auto"/>
      </w:divBdr>
    </w:div>
    <w:div w:id="680010296">
      <w:bodyDiv w:val="1"/>
      <w:marLeft w:val="0"/>
      <w:marRight w:val="0"/>
      <w:marTop w:val="0"/>
      <w:marBottom w:val="0"/>
      <w:divBdr>
        <w:top w:val="none" w:sz="0" w:space="0" w:color="auto"/>
        <w:left w:val="none" w:sz="0" w:space="0" w:color="auto"/>
        <w:bottom w:val="none" w:sz="0" w:space="0" w:color="auto"/>
        <w:right w:val="none" w:sz="0" w:space="0" w:color="auto"/>
      </w:divBdr>
    </w:div>
    <w:div w:id="682439915">
      <w:bodyDiv w:val="1"/>
      <w:marLeft w:val="0"/>
      <w:marRight w:val="0"/>
      <w:marTop w:val="0"/>
      <w:marBottom w:val="0"/>
      <w:divBdr>
        <w:top w:val="none" w:sz="0" w:space="0" w:color="auto"/>
        <w:left w:val="none" w:sz="0" w:space="0" w:color="auto"/>
        <w:bottom w:val="none" w:sz="0" w:space="0" w:color="auto"/>
        <w:right w:val="none" w:sz="0" w:space="0" w:color="auto"/>
      </w:divBdr>
    </w:div>
    <w:div w:id="691423607">
      <w:bodyDiv w:val="1"/>
      <w:marLeft w:val="0"/>
      <w:marRight w:val="0"/>
      <w:marTop w:val="0"/>
      <w:marBottom w:val="0"/>
      <w:divBdr>
        <w:top w:val="none" w:sz="0" w:space="0" w:color="auto"/>
        <w:left w:val="none" w:sz="0" w:space="0" w:color="auto"/>
        <w:bottom w:val="none" w:sz="0" w:space="0" w:color="auto"/>
        <w:right w:val="none" w:sz="0" w:space="0" w:color="auto"/>
      </w:divBdr>
    </w:div>
    <w:div w:id="694311061">
      <w:bodyDiv w:val="1"/>
      <w:marLeft w:val="0"/>
      <w:marRight w:val="0"/>
      <w:marTop w:val="0"/>
      <w:marBottom w:val="0"/>
      <w:divBdr>
        <w:top w:val="none" w:sz="0" w:space="0" w:color="auto"/>
        <w:left w:val="none" w:sz="0" w:space="0" w:color="auto"/>
        <w:bottom w:val="none" w:sz="0" w:space="0" w:color="auto"/>
        <w:right w:val="none" w:sz="0" w:space="0" w:color="auto"/>
      </w:divBdr>
    </w:div>
    <w:div w:id="695809126">
      <w:bodyDiv w:val="1"/>
      <w:marLeft w:val="0"/>
      <w:marRight w:val="0"/>
      <w:marTop w:val="0"/>
      <w:marBottom w:val="0"/>
      <w:divBdr>
        <w:top w:val="none" w:sz="0" w:space="0" w:color="auto"/>
        <w:left w:val="none" w:sz="0" w:space="0" w:color="auto"/>
        <w:bottom w:val="none" w:sz="0" w:space="0" w:color="auto"/>
        <w:right w:val="none" w:sz="0" w:space="0" w:color="auto"/>
      </w:divBdr>
    </w:div>
    <w:div w:id="699673139">
      <w:bodyDiv w:val="1"/>
      <w:marLeft w:val="0"/>
      <w:marRight w:val="0"/>
      <w:marTop w:val="0"/>
      <w:marBottom w:val="0"/>
      <w:divBdr>
        <w:top w:val="none" w:sz="0" w:space="0" w:color="auto"/>
        <w:left w:val="none" w:sz="0" w:space="0" w:color="auto"/>
        <w:bottom w:val="none" w:sz="0" w:space="0" w:color="auto"/>
        <w:right w:val="none" w:sz="0" w:space="0" w:color="auto"/>
      </w:divBdr>
    </w:div>
    <w:div w:id="704252620">
      <w:bodyDiv w:val="1"/>
      <w:marLeft w:val="0"/>
      <w:marRight w:val="0"/>
      <w:marTop w:val="0"/>
      <w:marBottom w:val="0"/>
      <w:divBdr>
        <w:top w:val="none" w:sz="0" w:space="0" w:color="auto"/>
        <w:left w:val="none" w:sz="0" w:space="0" w:color="auto"/>
        <w:bottom w:val="none" w:sz="0" w:space="0" w:color="auto"/>
        <w:right w:val="none" w:sz="0" w:space="0" w:color="auto"/>
      </w:divBdr>
    </w:div>
    <w:div w:id="705907876">
      <w:bodyDiv w:val="1"/>
      <w:marLeft w:val="0"/>
      <w:marRight w:val="0"/>
      <w:marTop w:val="0"/>
      <w:marBottom w:val="0"/>
      <w:divBdr>
        <w:top w:val="none" w:sz="0" w:space="0" w:color="auto"/>
        <w:left w:val="none" w:sz="0" w:space="0" w:color="auto"/>
        <w:bottom w:val="none" w:sz="0" w:space="0" w:color="auto"/>
        <w:right w:val="none" w:sz="0" w:space="0" w:color="auto"/>
      </w:divBdr>
    </w:div>
    <w:div w:id="713236177">
      <w:bodyDiv w:val="1"/>
      <w:marLeft w:val="0"/>
      <w:marRight w:val="0"/>
      <w:marTop w:val="0"/>
      <w:marBottom w:val="0"/>
      <w:divBdr>
        <w:top w:val="none" w:sz="0" w:space="0" w:color="auto"/>
        <w:left w:val="none" w:sz="0" w:space="0" w:color="auto"/>
        <w:bottom w:val="none" w:sz="0" w:space="0" w:color="auto"/>
        <w:right w:val="none" w:sz="0" w:space="0" w:color="auto"/>
      </w:divBdr>
    </w:div>
    <w:div w:id="715085999">
      <w:bodyDiv w:val="1"/>
      <w:marLeft w:val="0"/>
      <w:marRight w:val="0"/>
      <w:marTop w:val="0"/>
      <w:marBottom w:val="0"/>
      <w:divBdr>
        <w:top w:val="none" w:sz="0" w:space="0" w:color="auto"/>
        <w:left w:val="none" w:sz="0" w:space="0" w:color="auto"/>
        <w:bottom w:val="none" w:sz="0" w:space="0" w:color="auto"/>
        <w:right w:val="none" w:sz="0" w:space="0" w:color="auto"/>
      </w:divBdr>
    </w:div>
    <w:div w:id="719944398">
      <w:bodyDiv w:val="1"/>
      <w:marLeft w:val="0"/>
      <w:marRight w:val="0"/>
      <w:marTop w:val="0"/>
      <w:marBottom w:val="0"/>
      <w:divBdr>
        <w:top w:val="none" w:sz="0" w:space="0" w:color="auto"/>
        <w:left w:val="none" w:sz="0" w:space="0" w:color="auto"/>
        <w:bottom w:val="none" w:sz="0" w:space="0" w:color="auto"/>
        <w:right w:val="none" w:sz="0" w:space="0" w:color="auto"/>
      </w:divBdr>
    </w:div>
    <w:div w:id="720440337">
      <w:bodyDiv w:val="1"/>
      <w:marLeft w:val="0"/>
      <w:marRight w:val="0"/>
      <w:marTop w:val="0"/>
      <w:marBottom w:val="0"/>
      <w:divBdr>
        <w:top w:val="none" w:sz="0" w:space="0" w:color="auto"/>
        <w:left w:val="none" w:sz="0" w:space="0" w:color="auto"/>
        <w:bottom w:val="none" w:sz="0" w:space="0" w:color="auto"/>
        <w:right w:val="none" w:sz="0" w:space="0" w:color="auto"/>
      </w:divBdr>
    </w:div>
    <w:div w:id="723065043">
      <w:bodyDiv w:val="1"/>
      <w:marLeft w:val="0"/>
      <w:marRight w:val="0"/>
      <w:marTop w:val="0"/>
      <w:marBottom w:val="0"/>
      <w:divBdr>
        <w:top w:val="none" w:sz="0" w:space="0" w:color="auto"/>
        <w:left w:val="none" w:sz="0" w:space="0" w:color="auto"/>
        <w:bottom w:val="none" w:sz="0" w:space="0" w:color="auto"/>
        <w:right w:val="none" w:sz="0" w:space="0" w:color="auto"/>
      </w:divBdr>
    </w:div>
    <w:div w:id="723068387">
      <w:bodyDiv w:val="1"/>
      <w:marLeft w:val="0"/>
      <w:marRight w:val="0"/>
      <w:marTop w:val="0"/>
      <w:marBottom w:val="0"/>
      <w:divBdr>
        <w:top w:val="none" w:sz="0" w:space="0" w:color="auto"/>
        <w:left w:val="none" w:sz="0" w:space="0" w:color="auto"/>
        <w:bottom w:val="none" w:sz="0" w:space="0" w:color="auto"/>
        <w:right w:val="none" w:sz="0" w:space="0" w:color="auto"/>
      </w:divBdr>
    </w:div>
    <w:div w:id="724253127">
      <w:bodyDiv w:val="1"/>
      <w:marLeft w:val="0"/>
      <w:marRight w:val="0"/>
      <w:marTop w:val="0"/>
      <w:marBottom w:val="0"/>
      <w:divBdr>
        <w:top w:val="none" w:sz="0" w:space="0" w:color="auto"/>
        <w:left w:val="none" w:sz="0" w:space="0" w:color="auto"/>
        <w:bottom w:val="none" w:sz="0" w:space="0" w:color="auto"/>
        <w:right w:val="none" w:sz="0" w:space="0" w:color="auto"/>
      </w:divBdr>
    </w:div>
    <w:div w:id="733965348">
      <w:bodyDiv w:val="1"/>
      <w:marLeft w:val="0"/>
      <w:marRight w:val="0"/>
      <w:marTop w:val="0"/>
      <w:marBottom w:val="0"/>
      <w:divBdr>
        <w:top w:val="none" w:sz="0" w:space="0" w:color="auto"/>
        <w:left w:val="none" w:sz="0" w:space="0" w:color="auto"/>
        <w:bottom w:val="none" w:sz="0" w:space="0" w:color="auto"/>
        <w:right w:val="none" w:sz="0" w:space="0" w:color="auto"/>
      </w:divBdr>
    </w:div>
    <w:div w:id="742801393">
      <w:bodyDiv w:val="1"/>
      <w:marLeft w:val="0"/>
      <w:marRight w:val="0"/>
      <w:marTop w:val="0"/>
      <w:marBottom w:val="0"/>
      <w:divBdr>
        <w:top w:val="none" w:sz="0" w:space="0" w:color="auto"/>
        <w:left w:val="none" w:sz="0" w:space="0" w:color="auto"/>
        <w:bottom w:val="none" w:sz="0" w:space="0" w:color="auto"/>
        <w:right w:val="none" w:sz="0" w:space="0" w:color="auto"/>
      </w:divBdr>
    </w:div>
    <w:div w:id="753017915">
      <w:bodyDiv w:val="1"/>
      <w:marLeft w:val="0"/>
      <w:marRight w:val="0"/>
      <w:marTop w:val="0"/>
      <w:marBottom w:val="0"/>
      <w:divBdr>
        <w:top w:val="none" w:sz="0" w:space="0" w:color="auto"/>
        <w:left w:val="none" w:sz="0" w:space="0" w:color="auto"/>
        <w:bottom w:val="none" w:sz="0" w:space="0" w:color="auto"/>
        <w:right w:val="none" w:sz="0" w:space="0" w:color="auto"/>
      </w:divBdr>
    </w:div>
    <w:div w:id="754134519">
      <w:bodyDiv w:val="1"/>
      <w:marLeft w:val="0"/>
      <w:marRight w:val="0"/>
      <w:marTop w:val="0"/>
      <w:marBottom w:val="0"/>
      <w:divBdr>
        <w:top w:val="none" w:sz="0" w:space="0" w:color="auto"/>
        <w:left w:val="none" w:sz="0" w:space="0" w:color="auto"/>
        <w:bottom w:val="none" w:sz="0" w:space="0" w:color="auto"/>
        <w:right w:val="none" w:sz="0" w:space="0" w:color="auto"/>
      </w:divBdr>
    </w:div>
    <w:div w:id="754209608">
      <w:bodyDiv w:val="1"/>
      <w:marLeft w:val="0"/>
      <w:marRight w:val="0"/>
      <w:marTop w:val="0"/>
      <w:marBottom w:val="0"/>
      <w:divBdr>
        <w:top w:val="none" w:sz="0" w:space="0" w:color="auto"/>
        <w:left w:val="none" w:sz="0" w:space="0" w:color="auto"/>
        <w:bottom w:val="none" w:sz="0" w:space="0" w:color="auto"/>
        <w:right w:val="none" w:sz="0" w:space="0" w:color="auto"/>
      </w:divBdr>
    </w:div>
    <w:div w:id="761952128">
      <w:bodyDiv w:val="1"/>
      <w:marLeft w:val="0"/>
      <w:marRight w:val="0"/>
      <w:marTop w:val="0"/>
      <w:marBottom w:val="0"/>
      <w:divBdr>
        <w:top w:val="none" w:sz="0" w:space="0" w:color="auto"/>
        <w:left w:val="none" w:sz="0" w:space="0" w:color="auto"/>
        <w:bottom w:val="none" w:sz="0" w:space="0" w:color="auto"/>
        <w:right w:val="none" w:sz="0" w:space="0" w:color="auto"/>
      </w:divBdr>
    </w:div>
    <w:div w:id="763111668">
      <w:bodyDiv w:val="1"/>
      <w:marLeft w:val="0"/>
      <w:marRight w:val="0"/>
      <w:marTop w:val="0"/>
      <w:marBottom w:val="0"/>
      <w:divBdr>
        <w:top w:val="none" w:sz="0" w:space="0" w:color="auto"/>
        <w:left w:val="none" w:sz="0" w:space="0" w:color="auto"/>
        <w:bottom w:val="none" w:sz="0" w:space="0" w:color="auto"/>
        <w:right w:val="none" w:sz="0" w:space="0" w:color="auto"/>
      </w:divBdr>
    </w:div>
    <w:div w:id="779491380">
      <w:bodyDiv w:val="1"/>
      <w:marLeft w:val="0"/>
      <w:marRight w:val="0"/>
      <w:marTop w:val="0"/>
      <w:marBottom w:val="0"/>
      <w:divBdr>
        <w:top w:val="none" w:sz="0" w:space="0" w:color="auto"/>
        <w:left w:val="none" w:sz="0" w:space="0" w:color="auto"/>
        <w:bottom w:val="none" w:sz="0" w:space="0" w:color="auto"/>
        <w:right w:val="none" w:sz="0" w:space="0" w:color="auto"/>
      </w:divBdr>
    </w:div>
    <w:div w:id="779957271">
      <w:bodyDiv w:val="1"/>
      <w:marLeft w:val="0"/>
      <w:marRight w:val="0"/>
      <w:marTop w:val="0"/>
      <w:marBottom w:val="0"/>
      <w:divBdr>
        <w:top w:val="none" w:sz="0" w:space="0" w:color="auto"/>
        <w:left w:val="none" w:sz="0" w:space="0" w:color="auto"/>
        <w:bottom w:val="none" w:sz="0" w:space="0" w:color="auto"/>
        <w:right w:val="none" w:sz="0" w:space="0" w:color="auto"/>
      </w:divBdr>
    </w:div>
    <w:div w:id="781651937">
      <w:bodyDiv w:val="1"/>
      <w:marLeft w:val="0"/>
      <w:marRight w:val="0"/>
      <w:marTop w:val="0"/>
      <w:marBottom w:val="0"/>
      <w:divBdr>
        <w:top w:val="none" w:sz="0" w:space="0" w:color="auto"/>
        <w:left w:val="none" w:sz="0" w:space="0" w:color="auto"/>
        <w:bottom w:val="none" w:sz="0" w:space="0" w:color="auto"/>
        <w:right w:val="none" w:sz="0" w:space="0" w:color="auto"/>
      </w:divBdr>
    </w:div>
    <w:div w:id="788165620">
      <w:bodyDiv w:val="1"/>
      <w:marLeft w:val="0"/>
      <w:marRight w:val="0"/>
      <w:marTop w:val="0"/>
      <w:marBottom w:val="0"/>
      <w:divBdr>
        <w:top w:val="none" w:sz="0" w:space="0" w:color="auto"/>
        <w:left w:val="none" w:sz="0" w:space="0" w:color="auto"/>
        <w:bottom w:val="none" w:sz="0" w:space="0" w:color="auto"/>
        <w:right w:val="none" w:sz="0" w:space="0" w:color="auto"/>
      </w:divBdr>
    </w:div>
    <w:div w:id="792408864">
      <w:bodyDiv w:val="1"/>
      <w:marLeft w:val="0"/>
      <w:marRight w:val="0"/>
      <w:marTop w:val="0"/>
      <w:marBottom w:val="0"/>
      <w:divBdr>
        <w:top w:val="none" w:sz="0" w:space="0" w:color="auto"/>
        <w:left w:val="none" w:sz="0" w:space="0" w:color="auto"/>
        <w:bottom w:val="none" w:sz="0" w:space="0" w:color="auto"/>
        <w:right w:val="none" w:sz="0" w:space="0" w:color="auto"/>
      </w:divBdr>
      <w:divsChild>
        <w:div w:id="368993245">
          <w:marLeft w:val="0"/>
          <w:marRight w:val="0"/>
          <w:marTop w:val="0"/>
          <w:marBottom w:val="0"/>
          <w:divBdr>
            <w:top w:val="none" w:sz="0" w:space="0" w:color="auto"/>
            <w:left w:val="none" w:sz="0" w:space="0" w:color="auto"/>
            <w:bottom w:val="none" w:sz="0" w:space="0" w:color="auto"/>
            <w:right w:val="none" w:sz="0" w:space="0" w:color="auto"/>
          </w:divBdr>
          <w:divsChild>
            <w:div w:id="493686709">
              <w:marLeft w:val="0"/>
              <w:marRight w:val="0"/>
              <w:marTop w:val="0"/>
              <w:marBottom w:val="0"/>
              <w:divBdr>
                <w:top w:val="none" w:sz="0" w:space="0" w:color="auto"/>
                <w:left w:val="none" w:sz="0" w:space="0" w:color="auto"/>
                <w:bottom w:val="none" w:sz="0" w:space="0" w:color="auto"/>
                <w:right w:val="none" w:sz="0" w:space="0" w:color="auto"/>
              </w:divBdr>
              <w:divsChild>
                <w:div w:id="813567268">
                  <w:marLeft w:val="0"/>
                  <w:marRight w:val="0"/>
                  <w:marTop w:val="0"/>
                  <w:marBottom w:val="0"/>
                  <w:divBdr>
                    <w:top w:val="none" w:sz="0" w:space="0" w:color="auto"/>
                    <w:left w:val="none" w:sz="0" w:space="0" w:color="auto"/>
                    <w:bottom w:val="none" w:sz="0" w:space="0" w:color="auto"/>
                    <w:right w:val="none" w:sz="0" w:space="0" w:color="auto"/>
                  </w:divBdr>
                  <w:divsChild>
                    <w:div w:id="350374792">
                      <w:marLeft w:val="0"/>
                      <w:marRight w:val="0"/>
                      <w:marTop w:val="0"/>
                      <w:marBottom w:val="0"/>
                      <w:divBdr>
                        <w:top w:val="none" w:sz="0" w:space="0" w:color="auto"/>
                        <w:left w:val="none" w:sz="0" w:space="0" w:color="auto"/>
                        <w:bottom w:val="none" w:sz="0" w:space="0" w:color="auto"/>
                        <w:right w:val="none" w:sz="0" w:space="0" w:color="auto"/>
                      </w:divBdr>
                      <w:divsChild>
                        <w:div w:id="1492060938">
                          <w:marLeft w:val="0"/>
                          <w:marRight w:val="0"/>
                          <w:marTop w:val="0"/>
                          <w:marBottom w:val="0"/>
                          <w:divBdr>
                            <w:top w:val="none" w:sz="0" w:space="0" w:color="auto"/>
                            <w:left w:val="none" w:sz="0" w:space="0" w:color="auto"/>
                            <w:bottom w:val="none" w:sz="0" w:space="0" w:color="auto"/>
                            <w:right w:val="none" w:sz="0" w:space="0" w:color="auto"/>
                          </w:divBdr>
                          <w:divsChild>
                            <w:div w:id="643193217">
                              <w:marLeft w:val="0"/>
                              <w:marRight w:val="0"/>
                              <w:marTop w:val="0"/>
                              <w:marBottom w:val="0"/>
                              <w:divBdr>
                                <w:top w:val="none" w:sz="0" w:space="0" w:color="auto"/>
                                <w:left w:val="none" w:sz="0" w:space="0" w:color="auto"/>
                                <w:bottom w:val="none" w:sz="0" w:space="0" w:color="auto"/>
                                <w:right w:val="none" w:sz="0" w:space="0" w:color="auto"/>
                              </w:divBdr>
                              <w:divsChild>
                                <w:div w:id="185025982">
                                  <w:marLeft w:val="0"/>
                                  <w:marRight w:val="0"/>
                                  <w:marTop w:val="0"/>
                                  <w:marBottom w:val="0"/>
                                  <w:divBdr>
                                    <w:top w:val="none" w:sz="0" w:space="0" w:color="auto"/>
                                    <w:left w:val="none" w:sz="0" w:space="0" w:color="auto"/>
                                    <w:bottom w:val="none" w:sz="0" w:space="0" w:color="auto"/>
                                    <w:right w:val="none" w:sz="0" w:space="0" w:color="auto"/>
                                  </w:divBdr>
                                  <w:divsChild>
                                    <w:div w:id="132603607">
                                      <w:marLeft w:val="0"/>
                                      <w:marRight w:val="0"/>
                                      <w:marTop w:val="0"/>
                                      <w:marBottom w:val="0"/>
                                      <w:divBdr>
                                        <w:top w:val="none" w:sz="0" w:space="0" w:color="auto"/>
                                        <w:left w:val="none" w:sz="0" w:space="0" w:color="auto"/>
                                        <w:bottom w:val="none" w:sz="0" w:space="0" w:color="auto"/>
                                        <w:right w:val="none" w:sz="0" w:space="0" w:color="auto"/>
                                      </w:divBdr>
                                      <w:divsChild>
                                        <w:div w:id="3048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617320">
      <w:bodyDiv w:val="1"/>
      <w:marLeft w:val="0"/>
      <w:marRight w:val="0"/>
      <w:marTop w:val="0"/>
      <w:marBottom w:val="0"/>
      <w:divBdr>
        <w:top w:val="none" w:sz="0" w:space="0" w:color="auto"/>
        <w:left w:val="none" w:sz="0" w:space="0" w:color="auto"/>
        <w:bottom w:val="none" w:sz="0" w:space="0" w:color="auto"/>
        <w:right w:val="none" w:sz="0" w:space="0" w:color="auto"/>
      </w:divBdr>
    </w:div>
    <w:div w:id="803700681">
      <w:bodyDiv w:val="1"/>
      <w:marLeft w:val="0"/>
      <w:marRight w:val="0"/>
      <w:marTop w:val="0"/>
      <w:marBottom w:val="0"/>
      <w:divBdr>
        <w:top w:val="none" w:sz="0" w:space="0" w:color="auto"/>
        <w:left w:val="none" w:sz="0" w:space="0" w:color="auto"/>
        <w:bottom w:val="none" w:sz="0" w:space="0" w:color="auto"/>
        <w:right w:val="none" w:sz="0" w:space="0" w:color="auto"/>
      </w:divBdr>
    </w:div>
    <w:div w:id="811824197">
      <w:bodyDiv w:val="1"/>
      <w:marLeft w:val="0"/>
      <w:marRight w:val="0"/>
      <w:marTop w:val="0"/>
      <w:marBottom w:val="0"/>
      <w:divBdr>
        <w:top w:val="none" w:sz="0" w:space="0" w:color="auto"/>
        <w:left w:val="none" w:sz="0" w:space="0" w:color="auto"/>
        <w:bottom w:val="none" w:sz="0" w:space="0" w:color="auto"/>
        <w:right w:val="none" w:sz="0" w:space="0" w:color="auto"/>
      </w:divBdr>
    </w:div>
    <w:div w:id="812798451">
      <w:bodyDiv w:val="1"/>
      <w:marLeft w:val="0"/>
      <w:marRight w:val="0"/>
      <w:marTop w:val="0"/>
      <w:marBottom w:val="0"/>
      <w:divBdr>
        <w:top w:val="none" w:sz="0" w:space="0" w:color="auto"/>
        <w:left w:val="none" w:sz="0" w:space="0" w:color="auto"/>
        <w:bottom w:val="none" w:sz="0" w:space="0" w:color="auto"/>
        <w:right w:val="none" w:sz="0" w:space="0" w:color="auto"/>
      </w:divBdr>
    </w:div>
    <w:div w:id="817571650">
      <w:bodyDiv w:val="1"/>
      <w:marLeft w:val="0"/>
      <w:marRight w:val="0"/>
      <w:marTop w:val="0"/>
      <w:marBottom w:val="0"/>
      <w:divBdr>
        <w:top w:val="none" w:sz="0" w:space="0" w:color="auto"/>
        <w:left w:val="none" w:sz="0" w:space="0" w:color="auto"/>
        <w:bottom w:val="none" w:sz="0" w:space="0" w:color="auto"/>
        <w:right w:val="none" w:sz="0" w:space="0" w:color="auto"/>
      </w:divBdr>
    </w:div>
    <w:div w:id="824394808">
      <w:bodyDiv w:val="1"/>
      <w:marLeft w:val="0"/>
      <w:marRight w:val="0"/>
      <w:marTop w:val="0"/>
      <w:marBottom w:val="0"/>
      <w:divBdr>
        <w:top w:val="none" w:sz="0" w:space="0" w:color="auto"/>
        <w:left w:val="none" w:sz="0" w:space="0" w:color="auto"/>
        <w:bottom w:val="none" w:sz="0" w:space="0" w:color="auto"/>
        <w:right w:val="none" w:sz="0" w:space="0" w:color="auto"/>
      </w:divBdr>
    </w:div>
    <w:div w:id="831145596">
      <w:bodyDiv w:val="1"/>
      <w:marLeft w:val="0"/>
      <w:marRight w:val="0"/>
      <w:marTop w:val="0"/>
      <w:marBottom w:val="0"/>
      <w:divBdr>
        <w:top w:val="none" w:sz="0" w:space="0" w:color="auto"/>
        <w:left w:val="none" w:sz="0" w:space="0" w:color="auto"/>
        <w:bottom w:val="none" w:sz="0" w:space="0" w:color="auto"/>
        <w:right w:val="none" w:sz="0" w:space="0" w:color="auto"/>
      </w:divBdr>
    </w:div>
    <w:div w:id="831677011">
      <w:bodyDiv w:val="1"/>
      <w:marLeft w:val="0"/>
      <w:marRight w:val="0"/>
      <w:marTop w:val="0"/>
      <w:marBottom w:val="0"/>
      <w:divBdr>
        <w:top w:val="none" w:sz="0" w:space="0" w:color="auto"/>
        <w:left w:val="none" w:sz="0" w:space="0" w:color="auto"/>
        <w:bottom w:val="none" w:sz="0" w:space="0" w:color="auto"/>
        <w:right w:val="none" w:sz="0" w:space="0" w:color="auto"/>
      </w:divBdr>
    </w:div>
    <w:div w:id="833034770">
      <w:bodyDiv w:val="1"/>
      <w:marLeft w:val="0"/>
      <w:marRight w:val="0"/>
      <w:marTop w:val="0"/>
      <w:marBottom w:val="0"/>
      <w:divBdr>
        <w:top w:val="none" w:sz="0" w:space="0" w:color="auto"/>
        <w:left w:val="none" w:sz="0" w:space="0" w:color="auto"/>
        <w:bottom w:val="none" w:sz="0" w:space="0" w:color="auto"/>
        <w:right w:val="none" w:sz="0" w:space="0" w:color="auto"/>
      </w:divBdr>
    </w:div>
    <w:div w:id="835651413">
      <w:bodyDiv w:val="1"/>
      <w:marLeft w:val="0"/>
      <w:marRight w:val="0"/>
      <w:marTop w:val="0"/>
      <w:marBottom w:val="0"/>
      <w:divBdr>
        <w:top w:val="none" w:sz="0" w:space="0" w:color="auto"/>
        <w:left w:val="none" w:sz="0" w:space="0" w:color="auto"/>
        <w:bottom w:val="none" w:sz="0" w:space="0" w:color="auto"/>
        <w:right w:val="none" w:sz="0" w:space="0" w:color="auto"/>
      </w:divBdr>
    </w:div>
    <w:div w:id="838160135">
      <w:bodyDiv w:val="1"/>
      <w:marLeft w:val="0"/>
      <w:marRight w:val="0"/>
      <w:marTop w:val="0"/>
      <w:marBottom w:val="0"/>
      <w:divBdr>
        <w:top w:val="none" w:sz="0" w:space="0" w:color="auto"/>
        <w:left w:val="none" w:sz="0" w:space="0" w:color="auto"/>
        <w:bottom w:val="none" w:sz="0" w:space="0" w:color="auto"/>
        <w:right w:val="none" w:sz="0" w:space="0" w:color="auto"/>
      </w:divBdr>
    </w:div>
    <w:div w:id="838738087">
      <w:bodyDiv w:val="1"/>
      <w:marLeft w:val="0"/>
      <w:marRight w:val="0"/>
      <w:marTop w:val="0"/>
      <w:marBottom w:val="0"/>
      <w:divBdr>
        <w:top w:val="none" w:sz="0" w:space="0" w:color="auto"/>
        <w:left w:val="none" w:sz="0" w:space="0" w:color="auto"/>
        <w:bottom w:val="none" w:sz="0" w:space="0" w:color="auto"/>
        <w:right w:val="none" w:sz="0" w:space="0" w:color="auto"/>
      </w:divBdr>
    </w:div>
    <w:div w:id="840197303">
      <w:bodyDiv w:val="1"/>
      <w:marLeft w:val="0"/>
      <w:marRight w:val="0"/>
      <w:marTop w:val="0"/>
      <w:marBottom w:val="0"/>
      <w:divBdr>
        <w:top w:val="none" w:sz="0" w:space="0" w:color="auto"/>
        <w:left w:val="none" w:sz="0" w:space="0" w:color="auto"/>
        <w:bottom w:val="none" w:sz="0" w:space="0" w:color="auto"/>
        <w:right w:val="none" w:sz="0" w:space="0" w:color="auto"/>
      </w:divBdr>
    </w:div>
    <w:div w:id="844514295">
      <w:bodyDiv w:val="1"/>
      <w:marLeft w:val="0"/>
      <w:marRight w:val="0"/>
      <w:marTop w:val="0"/>
      <w:marBottom w:val="0"/>
      <w:divBdr>
        <w:top w:val="none" w:sz="0" w:space="0" w:color="auto"/>
        <w:left w:val="none" w:sz="0" w:space="0" w:color="auto"/>
        <w:bottom w:val="none" w:sz="0" w:space="0" w:color="auto"/>
        <w:right w:val="none" w:sz="0" w:space="0" w:color="auto"/>
      </w:divBdr>
    </w:div>
    <w:div w:id="845945967">
      <w:bodyDiv w:val="1"/>
      <w:marLeft w:val="0"/>
      <w:marRight w:val="0"/>
      <w:marTop w:val="0"/>
      <w:marBottom w:val="0"/>
      <w:divBdr>
        <w:top w:val="none" w:sz="0" w:space="0" w:color="auto"/>
        <w:left w:val="none" w:sz="0" w:space="0" w:color="auto"/>
        <w:bottom w:val="none" w:sz="0" w:space="0" w:color="auto"/>
        <w:right w:val="none" w:sz="0" w:space="0" w:color="auto"/>
      </w:divBdr>
    </w:div>
    <w:div w:id="848714182">
      <w:bodyDiv w:val="1"/>
      <w:marLeft w:val="0"/>
      <w:marRight w:val="0"/>
      <w:marTop w:val="0"/>
      <w:marBottom w:val="0"/>
      <w:divBdr>
        <w:top w:val="none" w:sz="0" w:space="0" w:color="auto"/>
        <w:left w:val="none" w:sz="0" w:space="0" w:color="auto"/>
        <w:bottom w:val="none" w:sz="0" w:space="0" w:color="auto"/>
        <w:right w:val="none" w:sz="0" w:space="0" w:color="auto"/>
      </w:divBdr>
    </w:div>
    <w:div w:id="853881153">
      <w:bodyDiv w:val="1"/>
      <w:marLeft w:val="0"/>
      <w:marRight w:val="0"/>
      <w:marTop w:val="0"/>
      <w:marBottom w:val="0"/>
      <w:divBdr>
        <w:top w:val="none" w:sz="0" w:space="0" w:color="auto"/>
        <w:left w:val="none" w:sz="0" w:space="0" w:color="auto"/>
        <w:bottom w:val="none" w:sz="0" w:space="0" w:color="auto"/>
        <w:right w:val="none" w:sz="0" w:space="0" w:color="auto"/>
      </w:divBdr>
    </w:div>
    <w:div w:id="854081125">
      <w:bodyDiv w:val="1"/>
      <w:marLeft w:val="0"/>
      <w:marRight w:val="0"/>
      <w:marTop w:val="0"/>
      <w:marBottom w:val="0"/>
      <w:divBdr>
        <w:top w:val="none" w:sz="0" w:space="0" w:color="auto"/>
        <w:left w:val="none" w:sz="0" w:space="0" w:color="auto"/>
        <w:bottom w:val="none" w:sz="0" w:space="0" w:color="auto"/>
        <w:right w:val="none" w:sz="0" w:space="0" w:color="auto"/>
      </w:divBdr>
    </w:div>
    <w:div w:id="856889210">
      <w:bodyDiv w:val="1"/>
      <w:marLeft w:val="0"/>
      <w:marRight w:val="0"/>
      <w:marTop w:val="0"/>
      <w:marBottom w:val="0"/>
      <w:divBdr>
        <w:top w:val="none" w:sz="0" w:space="0" w:color="auto"/>
        <w:left w:val="none" w:sz="0" w:space="0" w:color="auto"/>
        <w:bottom w:val="none" w:sz="0" w:space="0" w:color="auto"/>
        <w:right w:val="none" w:sz="0" w:space="0" w:color="auto"/>
      </w:divBdr>
    </w:div>
    <w:div w:id="858662169">
      <w:bodyDiv w:val="1"/>
      <w:marLeft w:val="0"/>
      <w:marRight w:val="0"/>
      <w:marTop w:val="0"/>
      <w:marBottom w:val="0"/>
      <w:divBdr>
        <w:top w:val="none" w:sz="0" w:space="0" w:color="auto"/>
        <w:left w:val="none" w:sz="0" w:space="0" w:color="auto"/>
        <w:bottom w:val="none" w:sz="0" w:space="0" w:color="auto"/>
        <w:right w:val="none" w:sz="0" w:space="0" w:color="auto"/>
      </w:divBdr>
    </w:div>
    <w:div w:id="860824155">
      <w:bodyDiv w:val="1"/>
      <w:marLeft w:val="0"/>
      <w:marRight w:val="0"/>
      <w:marTop w:val="0"/>
      <w:marBottom w:val="0"/>
      <w:divBdr>
        <w:top w:val="none" w:sz="0" w:space="0" w:color="auto"/>
        <w:left w:val="none" w:sz="0" w:space="0" w:color="auto"/>
        <w:bottom w:val="none" w:sz="0" w:space="0" w:color="auto"/>
        <w:right w:val="none" w:sz="0" w:space="0" w:color="auto"/>
      </w:divBdr>
    </w:div>
    <w:div w:id="861473585">
      <w:bodyDiv w:val="1"/>
      <w:marLeft w:val="0"/>
      <w:marRight w:val="0"/>
      <w:marTop w:val="0"/>
      <w:marBottom w:val="0"/>
      <w:divBdr>
        <w:top w:val="none" w:sz="0" w:space="0" w:color="auto"/>
        <w:left w:val="none" w:sz="0" w:space="0" w:color="auto"/>
        <w:bottom w:val="none" w:sz="0" w:space="0" w:color="auto"/>
        <w:right w:val="none" w:sz="0" w:space="0" w:color="auto"/>
      </w:divBdr>
    </w:div>
    <w:div w:id="865827170">
      <w:bodyDiv w:val="1"/>
      <w:marLeft w:val="0"/>
      <w:marRight w:val="0"/>
      <w:marTop w:val="0"/>
      <w:marBottom w:val="0"/>
      <w:divBdr>
        <w:top w:val="none" w:sz="0" w:space="0" w:color="auto"/>
        <w:left w:val="none" w:sz="0" w:space="0" w:color="auto"/>
        <w:bottom w:val="none" w:sz="0" w:space="0" w:color="auto"/>
        <w:right w:val="none" w:sz="0" w:space="0" w:color="auto"/>
      </w:divBdr>
    </w:div>
    <w:div w:id="871071182">
      <w:bodyDiv w:val="1"/>
      <w:marLeft w:val="0"/>
      <w:marRight w:val="0"/>
      <w:marTop w:val="0"/>
      <w:marBottom w:val="0"/>
      <w:divBdr>
        <w:top w:val="none" w:sz="0" w:space="0" w:color="auto"/>
        <w:left w:val="none" w:sz="0" w:space="0" w:color="auto"/>
        <w:bottom w:val="none" w:sz="0" w:space="0" w:color="auto"/>
        <w:right w:val="none" w:sz="0" w:space="0" w:color="auto"/>
      </w:divBdr>
    </w:div>
    <w:div w:id="873036242">
      <w:bodyDiv w:val="1"/>
      <w:marLeft w:val="0"/>
      <w:marRight w:val="0"/>
      <w:marTop w:val="0"/>
      <w:marBottom w:val="0"/>
      <w:divBdr>
        <w:top w:val="none" w:sz="0" w:space="0" w:color="auto"/>
        <w:left w:val="none" w:sz="0" w:space="0" w:color="auto"/>
        <w:bottom w:val="none" w:sz="0" w:space="0" w:color="auto"/>
        <w:right w:val="none" w:sz="0" w:space="0" w:color="auto"/>
      </w:divBdr>
    </w:div>
    <w:div w:id="874195045">
      <w:bodyDiv w:val="1"/>
      <w:marLeft w:val="0"/>
      <w:marRight w:val="0"/>
      <w:marTop w:val="0"/>
      <w:marBottom w:val="0"/>
      <w:divBdr>
        <w:top w:val="none" w:sz="0" w:space="0" w:color="auto"/>
        <w:left w:val="none" w:sz="0" w:space="0" w:color="auto"/>
        <w:bottom w:val="none" w:sz="0" w:space="0" w:color="auto"/>
        <w:right w:val="none" w:sz="0" w:space="0" w:color="auto"/>
      </w:divBdr>
    </w:div>
    <w:div w:id="884829214">
      <w:bodyDiv w:val="1"/>
      <w:marLeft w:val="0"/>
      <w:marRight w:val="0"/>
      <w:marTop w:val="0"/>
      <w:marBottom w:val="0"/>
      <w:divBdr>
        <w:top w:val="none" w:sz="0" w:space="0" w:color="auto"/>
        <w:left w:val="none" w:sz="0" w:space="0" w:color="auto"/>
        <w:bottom w:val="none" w:sz="0" w:space="0" w:color="auto"/>
        <w:right w:val="none" w:sz="0" w:space="0" w:color="auto"/>
      </w:divBdr>
    </w:div>
    <w:div w:id="886601263">
      <w:bodyDiv w:val="1"/>
      <w:marLeft w:val="0"/>
      <w:marRight w:val="0"/>
      <w:marTop w:val="0"/>
      <w:marBottom w:val="0"/>
      <w:divBdr>
        <w:top w:val="none" w:sz="0" w:space="0" w:color="auto"/>
        <w:left w:val="none" w:sz="0" w:space="0" w:color="auto"/>
        <w:bottom w:val="none" w:sz="0" w:space="0" w:color="auto"/>
        <w:right w:val="none" w:sz="0" w:space="0" w:color="auto"/>
      </w:divBdr>
    </w:div>
    <w:div w:id="893855797">
      <w:bodyDiv w:val="1"/>
      <w:marLeft w:val="0"/>
      <w:marRight w:val="0"/>
      <w:marTop w:val="0"/>
      <w:marBottom w:val="0"/>
      <w:divBdr>
        <w:top w:val="none" w:sz="0" w:space="0" w:color="auto"/>
        <w:left w:val="none" w:sz="0" w:space="0" w:color="auto"/>
        <w:bottom w:val="none" w:sz="0" w:space="0" w:color="auto"/>
        <w:right w:val="none" w:sz="0" w:space="0" w:color="auto"/>
      </w:divBdr>
    </w:div>
    <w:div w:id="898518312">
      <w:bodyDiv w:val="1"/>
      <w:marLeft w:val="0"/>
      <w:marRight w:val="0"/>
      <w:marTop w:val="0"/>
      <w:marBottom w:val="0"/>
      <w:divBdr>
        <w:top w:val="none" w:sz="0" w:space="0" w:color="auto"/>
        <w:left w:val="none" w:sz="0" w:space="0" w:color="auto"/>
        <w:bottom w:val="none" w:sz="0" w:space="0" w:color="auto"/>
        <w:right w:val="none" w:sz="0" w:space="0" w:color="auto"/>
      </w:divBdr>
    </w:div>
    <w:div w:id="910651954">
      <w:bodyDiv w:val="1"/>
      <w:marLeft w:val="0"/>
      <w:marRight w:val="0"/>
      <w:marTop w:val="0"/>
      <w:marBottom w:val="0"/>
      <w:divBdr>
        <w:top w:val="none" w:sz="0" w:space="0" w:color="auto"/>
        <w:left w:val="none" w:sz="0" w:space="0" w:color="auto"/>
        <w:bottom w:val="none" w:sz="0" w:space="0" w:color="auto"/>
        <w:right w:val="none" w:sz="0" w:space="0" w:color="auto"/>
      </w:divBdr>
    </w:div>
    <w:div w:id="932784658">
      <w:bodyDiv w:val="1"/>
      <w:marLeft w:val="0"/>
      <w:marRight w:val="0"/>
      <w:marTop w:val="0"/>
      <w:marBottom w:val="0"/>
      <w:divBdr>
        <w:top w:val="none" w:sz="0" w:space="0" w:color="auto"/>
        <w:left w:val="none" w:sz="0" w:space="0" w:color="auto"/>
        <w:bottom w:val="none" w:sz="0" w:space="0" w:color="auto"/>
        <w:right w:val="none" w:sz="0" w:space="0" w:color="auto"/>
      </w:divBdr>
    </w:div>
    <w:div w:id="933245949">
      <w:bodyDiv w:val="1"/>
      <w:marLeft w:val="0"/>
      <w:marRight w:val="0"/>
      <w:marTop w:val="0"/>
      <w:marBottom w:val="0"/>
      <w:divBdr>
        <w:top w:val="none" w:sz="0" w:space="0" w:color="auto"/>
        <w:left w:val="none" w:sz="0" w:space="0" w:color="auto"/>
        <w:bottom w:val="none" w:sz="0" w:space="0" w:color="auto"/>
        <w:right w:val="none" w:sz="0" w:space="0" w:color="auto"/>
      </w:divBdr>
    </w:div>
    <w:div w:id="936059122">
      <w:bodyDiv w:val="1"/>
      <w:marLeft w:val="0"/>
      <w:marRight w:val="0"/>
      <w:marTop w:val="0"/>
      <w:marBottom w:val="0"/>
      <w:divBdr>
        <w:top w:val="none" w:sz="0" w:space="0" w:color="auto"/>
        <w:left w:val="none" w:sz="0" w:space="0" w:color="auto"/>
        <w:bottom w:val="none" w:sz="0" w:space="0" w:color="auto"/>
        <w:right w:val="none" w:sz="0" w:space="0" w:color="auto"/>
      </w:divBdr>
    </w:div>
    <w:div w:id="937828285">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941953814">
      <w:bodyDiv w:val="1"/>
      <w:marLeft w:val="0"/>
      <w:marRight w:val="0"/>
      <w:marTop w:val="0"/>
      <w:marBottom w:val="0"/>
      <w:divBdr>
        <w:top w:val="none" w:sz="0" w:space="0" w:color="auto"/>
        <w:left w:val="none" w:sz="0" w:space="0" w:color="auto"/>
        <w:bottom w:val="none" w:sz="0" w:space="0" w:color="auto"/>
        <w:right w:val="none" w:sz="0" w:space="0" w:color="auto"/>
      </w:divBdr>
    </w:div>
    <w:div w:id="942299218">
      <w:bodyDiv w:val="1"/>
      <w:marLeft w:val="0"/>
      <w:marRight w:val="0"/>
      <w:marTop w:val="0"/>
      <w:marBottom w:val="0"/>
      <w:divBdr>
        <w:top w:val="none" w:sz="0" w:space="0" w:color="auto"/>
        <w:left w:val="none" w:sz="0" w:space="0" w:color="auto"/>
        <w:bottom w:val="none" w:sz="0" w:space="0" w:color="auto"/>
        <w:right w:val="none" w:sz="0" w:space="0" w:color="auto"/>
      </w:divBdr>
    </w:div>
    <w:div w:id="950743137">
      <w:bodyDiv w:val="1"/>
      <w:marLeft w:val="0"/>
      <w:marRight w:val="0"/>
      <w:marTop w:val="0"/>
      <w:marBottom w:val="0"/>
      <w:divBdr>
        <w:top w:val="none" w:sz="0" w:space="0" w:color="auto"/>
        <w:left w:val="none" w:sz="0" w:space="0" w:color="auto"/>
        <w:bottom w:val="none" w:sz="0" w:space="0" w:color="auto"/>
        <w:right w:val="none" w:sz="0" w:space="0" w:color="auto"/>
      </w:divBdr>
    </w:div>
    <w:div w:id="955016796">
      <w:bodyDiv w:val="1"/>
      <w:marLeft w:val="0"/>
      <w:marRight w:val="0"/>
      <w:marTop w:val="0"/>
      <w:marBottom w:val="0"/>
      <w:divBdr>
        <w:top w:val="none" w:sz="0" w:space="0" w:color="auto"/>
        <w:left w:val="none" w:sz="0" w:space="0" w:color="auto"/>
        <w:bottom w:val="none" w:sz="0" w:space="0" w:color="auto"/>
        <w:right w:val="none" w:sz="0" w:space="0" w:color="auto"/>
      </w:divBdr>
    </w:div>
    <w:div w:id="964966949">
      <w:bodyDiv w:val="1"/>
      <w:marLeft w:val="0"/>
      <w:marRight w:val="0"/>
      <w:marTop w:val="0"/>
      <w:marBottom w:val="0"/>
      <w:divBdr>
        <w:top w:val="none" w:sz="0" w:space="0" w:color="auto"/>
        <w:left w:val="none" w:sz="0" w:space="0" w:color="auto"/>
        <w:bottom w:val="none" w:sz="0" w:space="0" w:color="auto"/>
        <w:right w:val="none" w:sz="0" w:space="0" w:color="auto"/>
      </w:divBdr>
    </w:div>
    <w:div w:id="966861372">
      <w:bodyDiv w:val="1"/>
      <w:marLeft w:val="0"/>
      <w:marRight w:val="0"/>
      <w:marTop w:val="0"/>
      <w:marBottom w:val="0"/>
      <w:divBdr>
        <w:top w:val="none" w:sz="0" w:space="0" w:color="auto"/>
        <w:left w:val="none" w:sz="0" w:space="0" w:color="auto"/>
        <w:bottom w:val="none" w:sz="0" w:space="0" w:color="auto"/>
        <w:right w:val="none" w:sz="0" w:space="0" w:color="auto"/>
      </w:divBdr>
    </w:div>
    <w:div w:id="973367261">
      <w:bodyDiv w:val="1"/>
      <w:marLeft w:val="0"/>
      <w:marRight w:val="0"/>
      <w:marTop w:val="0"/>
      <w:marBottom w:val="0"/>
      <w:divBdr>
        <w:top w:val="none" w:sz="0" w:space="0" w:color="auto"/>
        <w:left w:val="none" w:sz="0" w:space="0" w:color="auto"/>
        <w:bottom w:val="none" w:sz="0" w:space="0" w:color="auto"/>
        <w:right w:val="none" w:sz="0" w:space="0" w:color="auto"/>
      </w:divBdr>
    </w:div>
    <w:div w:id="973868098">
      <w:bodyDiv w:val="1"/>
      <w:marLeft w:val="0"/>
      <w:marRight w:val="0"/>
      <w:marTop w:val="0"/>
      <w:marBottom w:val="0"/>
      <w:divBdr>
        <w:top w:val="none" w:sz="0" w:space="0" w:color="auto"/>
        <w:left w:val="none" w:sz="0" w:space="0" w:color="auto"/>
        <w:bottom w:val="none" w:sz="0" w:space="0" w:color="auto"/>
        <w:right w:val="none" w:sz="0" w:space="0" w:color="auto"/>
      </w:divBdr>
    </w:div>
    <w:div w:id="975136205">
      <w:bodyDiv w:val="1"/>
      <w:marLeft w:val="0"/>
      <w:marRight w:val="0"/>
      <w:marTop w:val="0"/>
      <w:marBottom w:val="0"/>
      <w:divBdr>
        <w:top w:val="none" w:sz="0" w:space="0" w:color="auto"/>
        <w:left w:val="none" w:sz="0" w:space="0" w:color="auto"/>
        <w:bottom w:val="none" w:sz="0" w:space="0" w:color="auto"/>
        <w:right w:val="none" w:sz="0" w:space="0" w:color="auto"/>
      </w:divBdr>
    </w:div>
    <w:div w:id="976031705">
      <w:bodyDiv w:val="1"/>
      <w:marLeft w:val="0"/>
      <w:marRight w:val="0"/>
      <w:marTop w:val="0"/>
      <w:marBottom w:val="0"/>
      <w:divBdr>
        <w:top w:val="none" w:sz="0" w:space="0" w:color="auto"/>
        <w:left w:val="none" w:sz="0" w:space="0" w:color="auto"/>
        <w:bottom w:val="none" w:sz="0" w:space="0" w:color="auto"/>
        <w:right w:val="none" w:sz="0" w:space="0" w:color="auto"/>
      </w:divBdr>
    </w:div>
    <w:div w:id="979649219">
      <w:bodyDiv w:val="1"/>
      <w:marLeft w:val="0"/>
      <w:marRight w:val="0"/>
      <w:marTop w:val="0"/>
      <w:marBottom w:val="0"/>
      <w:divBdr>
        <w:top w:val="none" w:sz="0" w:space="0" w:color="auto"/>
        <w:left w:val="none" w:sz="0" w:space="0" w:color="auto"/>
        <w:bottom w:val="none" w:sz="0" w:space="0" w:color="auto"/>
        <w:right w:val="none" w:sz="0" w:space="0" w:color="auto"/>
      </w:divBdr>
    </w:div>
    <w:div w:id="980382298">
      <w:bodyDiv w:val="1"/>
      <w:marLeft w:val="0"/>
      <w:marRight w:val="0"/>
      <w:marTop w:val="0"/>
      <w:marBottom w:val="0"/>
      <w:divBdr>
        <w:top w:val="none" w:sz="0" w:space="0" w:color="auto"/>
        <w:left w:val="none" w:sz="0" w:space="0" w:color="auto"/>
        <w:bottom w:val="none" w:sz="0" w:space="0" w:color="auto"/>
        <w:right w:val="none" w:sz="0" w:space="0" w:color="auto"/>
      </w:divBdr>
    </w:div>
    <w:div w:id="986085451">
      <w:bodyDiv w:val="1"/>
      <w:marLeft w:val="0"/>
      <w:marRight w:val="0"/>
      <w:marTop w:val="0"/>
      <w:marBottom w:val="0"/>
      <w:divBdr>
        <w:top w:val="none" w:sz="0" w:space="0" w:color="auto"/>
        <w:left w:val="none" w:sz="0" w:space="0" w:color="auto"/>
        <w:bottom w:val="none" w:sz="0" w:space="0" w:color="auto"/>
        <w:right w:val="none" w:sz="0" w:space="0" w:color="auto"/>
      </w:divBdr>
    </w:div>
    <w:div w:id="992372462">
      <w:bodyDiv w:val="1"/>
      <w:marLeft w:val="0"/>
      <w:marRight w:val="0"/>
      <w:marTop w:val="0"/>
      <w:marBottom w:val="0"/>
      <w:divBdr>
        <w:top w:val="none" w:sz="0" w:space="0" w:color="auto"/>
        <w:left w:val="none" w:sz="0" w:space="0" w:color="auto"/>
        <w:bottom w:val="none" w:sz="0" w:space="0" w:color="auto"/>
        <w:right w:val="none" w:sz="0" w:space="0" w:color="auto"/>
      </w:divBdr>
    </w:div>
    <w:div w:id="992443366">
      <w:bodyDiv w:val="1"/>
      <w:marLeft w:val="0"/>
      <w:marRight w:val="0"/>
      <w:marTop w:val="0"/>
      <w:marBottom w:val="0"/>
      <w:divBdr>
        <w:top w:val="none" w:sz="0" w:space="0" w:color="auto"/>
        <w:left w:val="none" w:sz="0" w:space="0" w:color="auto"/>
        <w:bottom w:val="none" w:sz="0" w:space="0" w:color="auto"/>
        <w:right w:val="none" w:sz="0" w:space="0" w:color="auto"/>
      </w:divBdr>
    </w:div>
    <w:div w:id="992608684">
      <w:bodyDiv w:val="1"/>
      <w:marLeft w:val="0"/>
      <w:marRight w:val="0"/>
      <w:marTop w:val="0"/>
      <w:marBottom w:val="0"/>
      <w:divBdr>
        <w:top w:val="none" w:sz="0" w:space="0" w:color="auto"/>
        <w:left w:val="none" w:sz="0" w:space="0" w:color="auto"/>
        <w:bottom w:val="none" w:sz="0" w:space="0" w:color="auto"/>
        <w:right w:val="none" w:sz="0" w:space="0" w:color="auto"/>
      </w:divBdr>
    </w:div>
    <w:div w:id="995305532">
      <w:bodyDiv w:val="1"/>
      <w:marLeft w:val="0"/>
      <w:marRight w:val="0"/>
      <w:marTop w:val="0"/>
      <w:marBottom w:val="0"/>
      <w:divBdr>
        <w:top w:val="none" w:sz="0" w:space="0" w:color="auto"/>
        <w:left w:val="none" w:sz="0" w:space="0" w:color="auto"/>
        <w:bottom w:val="none" w:sz="0" w:space="0" w:color="auto"/>
        <w:right w:val="none" w:sz="0" w:space="0" w:color="auto"/>
      </w:divBdr>
    </w:div>
    <w:div w:id="1003585031">
      <w:bodyDiv w:val="1"/>
      <w:marLeft w:val="0"/>
      <w:marRight w:val="0"/>
      <w:marTop w:val="0"/>
      <w:marBottom w:val="0"/>
      <w:divBdr>
        <w:top w:val="none" w:sz="0" w:space="0" w:color="auto"/>
        <w:left w:val="none" w:sz="0" w:space="0" w:color="auto"/>
        <w:bottom w:val="none" w:sz="0" w:space="0" w:color="auto"/>
        <w:right w:val="none" w:sz="0" w:space="0" w:color="auto"/>
      </w:divBdr>
    </w:div>
    <w:div w:id="1018770746">
      <w:bodyDiv w:val="1"/>
      <w:marLeft w:val="0"/>
      <w:marRight w:val="0"/>
      <w:marTop w:val="0"/>
      <w:marBottom w:val="0"/>
      <w:divBdr>
        <w:top w:val="none" w:sz="0" w:space="0" w:color="auto"/>
        <w:left w:val="none" w:sz="0" w:space="0" w:color="auto"/>
        <w:bottom w:val="none" w:sz="0" w:space="0" w:color="auto"/>
        <w:right w:val="none" w:sz="0" w:space="0" w:color="auto"/>
      </w:divBdr>
    </w:div>
    <w:div w:id="1021707353">
      <w:bodyDiv w:val="1"/>
      <w:marLeft w:val="0"/>
      <w:marRight w:val="0"/>
      <w:marTop w:val="0"/>
      <w:marBottom w:val="0"/>
      <w:divBdr>
        <w:top w:val="none" w:sz="0" w:space="0" w:color="auto"/>
        <w:left w:val="none" w:sz="0" w:space="0" w:color="auto"/>
        <w:bottom w:val="none" w:sz="0" w:space="0" w:color="auto"/>
        <w:right w:val="none" w:sz="0" w:space="0" w:color="auto"/>
      </w:divBdr>
    </w:div>
    <w:div w:id="1022824326">
      <w:bodyDiv w:val="1"/>
      <w:marLeft w:val="0"/>
      <w:marRight w:val="0"/>
      <w:marTop w:val="0"/>
      <w:marBottom w:val="0"/>
      <w:divBdr>
        <w:top w:val="none" w:sz="0" w:space="0" w:color="auto"/>
        <w:left w:val="none" w:sz="0" w:space="0" w:color="auto"/>
        <w:bottom w:val="none" w:sz="0" w:space="0" w:color="auto"/>
        <w:right w:val="none" w:sz="0" w:space="0" w:color="auto"/>
      </w:divBdr>
    </w:div>
    <w:div w:id="1024864614">
      <w:bodyDiv w:val="1"/>
      <w:marLeft w:val="0"/>
      <w:marRight w:val="0"/>
      <w:marTop w:val="0"/>
      <w:marBottom w:val="0"/>
      <w:divBdr>
        <w:top w:val="none" w:sz="0" w:space="0" w:color="auto"/>
        <w:left w:val="none" w:sz="0" w:space="0" w:color="auto"/>
        <w:bottom w:val="none" w:sz="0" w:space="0" w:color="auto"/>
        <w:right w:val="none" w:sz="0" w:space="0" w:color="auto"/>
      </w:divBdr>
    </w:div>
    <w:div w:id="1029183795">
      <w:bodyDiv w:val="1"/>
      <w:marLeft w:val="0"/>
      <w:marRight w:val="0"/>
      <w:marTop w:val="0"/>
      <w:marBottom w:val="0"/>
      <w:divBdr>
        <w:top w:val="none" w:sz="0" w:space="0" w:color="auto"/>
        <w:left w:val="none" w:sz="0" w:space="0" w:color="auto"/>
        <w:bottom w:val="none" w:sz="0" w:space="0" w:color="auto"/>
        <w:right w:val="none" w:sz="0" w:space="0" w:color="auto"/>
      </w:divBdr>
    </w:div>
    <w:div w:id="1040934558">
      <w:bodyDiv w:val="1"/>
      <w:marLeft w:val="0"/>
      <w:marRight w:val="0"/>
      <w:marTop w:val="0"/>
      <w:marBottom w:val="0"/>
      <w:divBdr>
        <w:top w:val="none" w:sz="0" w:space="0" w:color="auto"/>
        <w:left w:val="none" w:sz="0" w:space="0" w:color="auto"/>
        <w:bottom w:val="none" w:sz="0" w:space="0" w:color="auto"/>
        <w:right w:val="none" w:sz="0" w:space="0" w:color="auto"/>
      </w:divBdr>
    </w:div>
    <w:div w:id="1046949729">
      <w:bodyDiv w:val="1"/>
      <w:marLeft w:val="0"/>
      <w:marRight w:val="0"/>
      <w:marTop w:val="0"/>
      <w:marBottom w:val="0"/>
      <w:divBdr>
        <w:top w:val="none" w:sz="0" w:space="0" w:color="auto"/>
        <w:left w:val="none" w:sz="0" w:space="0" w:color="auto"/>
        <w:bottom w:val="none" w:sz="0" w:space="0" w:color="auto"/>
        <w:right w:val="none" w:sz="0" w:space="0" w:color="auto"/>
      </w:divBdr>
    </w:div>
    <w:div w:id="1050225769">
      <w:bodyDiv w:val="1"/>
      <w:marLeft w:val="0"/>
      <w:marRight w:val="0"/>
      <w:marTop w:val="0"/>
      <w:marBottom w:val="0"/>
      <w:divBdr>
        <w:top w:val="none" w:sz="0" w:space="0" w:color="auto"/>
        <w:left w:val="none" w:sz="0" w:space="0" w:color="auto"/>
        <w:bottom w:val="none" w:sz="0" w:space="0" w:color="auto"/>
        <w:right w:val="none" w:sz="0" w:space="0" w:color="auto"/>
      </w:divBdr>
    </w:div>
    <w:div w:id="1058437493">
      <w:bodyDiv w:val="1"/>
      <w:marLeft w:val="0"/>
      <w:marRight w:val="0"/>
      <w:marTop w:val="0"/>
      <w:marBottom w:val="0"/>
      <w:divBdr>
        <w:top w:val="none" w:sz="0" w:space="0" w:color="auto"/>
        <w:left w:val="none" w:sz="0" w:space="0" w:color="auto"/>
        <w:bottom w:val="none" w:sz="0" w:space="0" w:color="auto"/>
        <w:right w:val="none" w:sz="0" w:space="0" w:color="auto"/>
      </w:divBdr>
    </w:div>
    <w:div w:id="1063992447">
      <w:bodyDiv w:val="1"/>
      <w:marLeft w:val="0"/>
      <w:marRight w:val="0"/>
      <w:marTop w:val="0"/>
      <w:marBottom w:val="0"/>
      <w:divBdr>
        <w:top w:val="none" w:sz="0" w:space="0" w:color="auto"/>
        <w:left w:val="none" w:sz="0" w:space="0" w:color="auto"/>
        <w:bottom w:val="none" w:sz="0" w:space="0" w:color="auto"/>
        <w:right w:val="none" w:sz="0" w:space="0" w:color="auto"/>
      </w:divBdr>
    </w:div>
    <w:div w:id="1065756372">
      <w:bodyDiv w:val="1"/>
      <w:marLeft w:val="0"/>
      <w:marRight w:val="0"/>
      <w:marTop w:val="0"/>
      <w:marBottom w:val="0"/>
      <w:divBdr>
        <w:top w:val="none" w:sz="0" w:space="0" w:color="auto"/>
        <w:left w:val="none" w:sz="0" w:space="0" w:color="auto"/>
        <w:bottom w:val="none" w:sz="0" w:space="0" w:color="auto"/>
        <w:right w:val="none" w:sz="0" w:space="0" w:color="auto"/>
      </w:divBdr>
    </w:div>
    <w:div w:id="1069692918">
      <w:bodyDiv w:val="1"/>
      <w:marLeft w:val="0"/>
      <w:marRight w:val="0"/>
      <w:marTop w:val="0"/>
      <w:marBottom w:val="0"/>
      <w:divBdr>
        <w:top w:val="none" w:sz="0" w:space="0" w:color="auto"/>
        <w:left w:val="none" w:sz="0" w:space="0" w:color="auto"/>
        <w:bottom w:val="none" w:sz="0" w:space="0" w:color="auto"/>
        <w:right w:val="none" w:sz="0" w:space="0" w:color="auto"/>
      </w:divBdr>
    </w:div>
    <w:div w:id="1073813044">
      <w:bodyDiv w:val="1"/>
      <w:marLeft w:val="0"/>
      <w:marRight w:val="0"/>
      <w:marTop w:val="0"/>
      <w:marBottom w:val="0"/>
      <w:divBdr>
        <w:top w:val="none" w:sz="0" w:space="0" w:color="auto"/>
        <w:left w:val="none" w:sz="0" w:space="0" w:color="auto"/>
        <w:bottom w:val="none" w:sz="0" w:space="0" w:color="auto"/>
        <w:right w:val="none" w:sz="0" w:space="0" w:color="auto"/>
      </w:divBdr>
    </w:div>
    <w:div w:id="1084884514">
      <w:bodyDiv w:val="1"/>
      <w:marLeft w:val="0"/>
      <w:marRight w:val="0"/>
      <w:marTop w:val="0"/>
      <w:marBottom w:val="0"/>
      <w:divBdr>
        <w:top w:val="none" w:sz="0" w:space="0" w:color="auto"/>
        <w:left w:val="none" w:sz="0" w:space="0" w:color="auto"/>
        <w:bottom w:val="none" w:sz="0" w:space="0" w:color="auto"/>
        <w:right w:val="none" w:sz="0" w:space="0" w:color="auto"/>
      </w:divBdr>
    </w:div>
    <w:div w:id="1094012726">
      <w:bodyDiv w:val="1"/>
      <w:marLeft w:val="0"/>
      <w:marRight w:val="0"/>
      <w:marTop w:val="0"/>
      <w:marBottom w:val="0"/>
      <w:divBdr>
        <w:top w:val="none" w:sz="0" w:space="0" w:color="auto"/>
        <w:left w:val="none" w:sz="0" w:space="0" w:color="auto"/>
        <w:bottom w:val="none" w:sz="0" w:space="0" w:color="auto"/>
        <w:right w:val="none" w:sz="0" w:space="0" w:color="auto"/>
      </w:divBdr>
    </w:div>
    <w:div w:id="1102994746">
      <w:bodyDiv w:val="1"/>
      <w:marLeft w:val="0"/>
      <w:marRight w:val="0"/>
      <w:marTop w:val="0"/>
      <w:marBottom w:val="0"/>
      <w:divBdr>
        <w:top w:val="none" w:sz="0" w:space="0" w:color="auto"/>
        <w:left w:val="none" w:sz="0" w:space="0" w:color="auto"/>
        <w:bottom w:val="none" w:sz="0" w:space="0" w:color="auto"/>
        <w:right w:val="none" w:sz="0" w:space="0" w:color="auto"/>
      </w:divBdr>
    </w:div>
    <w:div w:id="1103375418">
      <w:bodyDiv w:val="1"/>
      <w:marLeft w:val="0"/>
      <w:marRight w:val="0"/>
      <w:marTop w:val="0"/>
      <w:marBottom w:val="0"/>
      <w:divBdr>
        <w:top w:val="none" w:sz="0" w:space="0" w:color="auto"/>
        <w:left w:val="none" w:sz="0" w:space="0" w:color="auto"/>
        <w:bottom w:val="none" w:sz="0" w:space="0" w:color="auto"/>
        <w:right w:val="none" w:sz="0" w:space="0" w:color="auto"/>
      </w:divBdr>
    </w:div>
    <w:div w:id="1107042614">
      <w:bodyDiv w:val="1"/>
      <w:marLeft w:val="0"/>
      <w:marRight w:val="0"/>
      <w:marTop w:val="0"/>
      <w:marBottom w:val="0"/>
      <w:divBdr>
        <w:top w:val="none" w:sz="0" w:space="0" w:color="auto"/>
        <w:left w:val="none" w:sz="0" w:space="0" w:color="auto"/>
        <w:bottom w:val="none" w:sz="0" w:space="0" w:color="auto"/>
        <w:right w:val="none" w:sz="0" w:space="0" w:color="auto"/>
      </w:divBdr>
    </w:div>
    <w:div w:id="1107769881">
      <w:bodyDiv w:val="1"/>
      <w:marLeft w:val="0"/>
      <w:marRight w:val="0"/>
      <w:marTop w:val="0"/>
      <w:marBottom w:val="0"/>
      <w:divBdr>
        <w:top w:val="none" w:sz="0" w:space="0" w:color="auto"/>
        <w:left w:val="none" w:sz="0" w:space="0" w:color="auto"/>
        <w:bottom w:val="none" w:sz="0" w:space="0" w:color="auto"/>
        <w:right w:val="none" w:sz="0" w:space="0" w:color="auto"/>
      </w:divBdr>
    </w:div>
    <w:div w:id="1109159358">
      <w:bodyDiv w:val="1"/>
      <w:marLeft w:val="0"/>
      <w:marRight w:val="0"/>
      <w:marTop w:val="0"/>
      <w:marBottom w:val="0"/>
      <w:divBdr>
        <w:top w:val="none" w:sz="0" w:space="0" w:color="auto"/>
        <w:left w:val="none" w:sz="0" w:space="0" w:color="auto"/>
        <w:bottom w:val="none" w:sz="0" w:space="0" w:color="auto"/>
        <w:right w:val="none" w:sz="0" w:space="0" w:color="auto"/>
      </w:divBdr>
    </w:div>
    <w:div w:id="1113749745">
      <w:bodyDiv w:val="1"/>
      <w:marLeft w:val="0"/>
      <w:marRight w:val="0"/>
      <w:marTop w:val="0"/>
      <w:marBottom w:val="0"/>
      <w:divBdr>
        <w:top w:val="none" w:sz="0" w:space="0" w:color="auto"/>
        <w:left w:val="none" w:sz="0" w:space="0" w:color="auto"/>
        <w:bottom w:val="none" w:sz="0" w:space="0" w:color="auto"/>
        <w:right w:val="none" w:sz="0" w:space="0" w:color="auto"/>
      </w:divBdr>
    </w:div>
    <w:div w:id="1116022090">
      <w:bodyDiv w:val="1"/>
      <w:marLeft w:val="0"/>
      <w:marRight w:val="0"/>
      <w:marTop w:val="0"/>
      <w:marBottom w:val="0"/>
      <w:divBdr>
        <w:top w:val="none" w:sz="0" w:space="0" w:color="auto"/>
        <w:left w:val="none" w:sz="0" w:space="0" w:color="auto"/>
        <w:bottom w:val="none" w:sz="0" w:space="0" w:color="auto"/>
        <w:right w:val="none" w:sz="0" w:space="0" w:color="auto"/>
      </w:divBdr>
    </w:div>
    <w:div w:id="1124151580">
      <w:bodyDiv w:val="1"/>
      <w:marLeft w:val="0"/>
      <w:marRight w:val="0"/>
      <w:marTop w:val="0"/>
      <w:marBottom w:val="0"/>
      <w:divBdr>
        <w:top w:val="none" w:sz="0" w:space="0" w:color="auto"/>
        <w:left w:val="none" w:sz="0" w:space="0" w:color="auto"/>
        <w:bottom w:val="none" w:sz="0" w:space="0" w:color="auto"/>
        <w:right w:val="none" w:sz="0" w:space="0" w:color="auto"/>
      </w:divBdr>
    </w:div>
    <w:div w:id="1125077507">
      <w:bodyDiv w:val="1"/>
      <w:marLeft w:val="0"/>
      <w:marRight w:val="0"/>
      <w:marTop w:val="0"/>
      <w:marBottom w:val="0"/>
      <w:divBdr>
        <w:top w:val="none" w:sz="0" w:space="0" w:color="auto"/>
        <w:left w:val="none" w:sz="0" w:space="0" w:color="auto"/>
        <w:bottom w:val="none" w:sz="0" w:space="0" w:color="auto"/>
        <w:right w:val="none" w:sz="0" w:space="0" w:color="auto"/>
      </w:divBdr>
    </w:div>
    <w:div w:id="1127508715">
      <w:bodyDiv w:val="1"/>
      <w:marLeft w:val="0"/>
      <w:marRight w:val="0"/>
      <w:marTop w:val="0"/>
      <w:marBottom w:val="0"/>
      <w:divBdr>
        <w:top w:val="none" w:sz="0" w:space="0" w:color="auto"/>
        <w:left w:val="none" w:sz="0" w:space="0" w:color="auto"/>
        <w:bottom w:val="none" w:sz="0" w:space="0" w:color="auto"/>
        <w:right w:val="none" w:sz="0" w:space="0" w:color="auto"/>
      </w:divBdr>
    </w:div>
    <w:div w:id="1128745311">
      <w:bodyDiv w:val="1"/>
      <w:marLeft w:val="0"/>
      <w:marRight w:val="0"/>
      <w:marTop w:val="0"/>
      <w:marBottom w:val="0"/>
      <w:divBdr>
        <w:top w:val="none" w:sz="0" w:space="0" w:color="auto"/>
        <w:left w:val="none" w:sz="0" w:space="0" w:color="auto"/>
        <w:bottom w:val="none" w:sz="0" w:space="0" w:color="auto"/>
        <w:right w:val="none" w:sz="0" w:space="0" w:color="auto"/>
      </w:divBdr>
    </w:div>
    <w:div w:id="1132098174">
      <w:bodyDiv w:val="1"/>
      <w:marLeft w:val="0"/>
      <w:marRight w:val="0"/>
      <w:marTop w:val="0"/>
      <w:marBottom w:val="0"/>
      <w:divBdr>
        <w:top w:val="none" w:sz="0" w:space="0" w:color="auto"/>
        <w:left w:val="none" w:sz="0" w:space="0" w:color="auto"/>
        <w:bottom w:val="none" w:sz="0" w:space="0" w:color="auto"/>
        <w:right w:val="none" w:sz="0" w:space="0" w:color="auto"/>
      </w:divBdr>
    </w:div>
    <w:div w:id="1132360155">
      <w:bodyDiv w:val="1"/>
      <w:marLeft w:val="0"/>
      <w:marRight w:val="0"/>
      <w:marTop w:val="0"/>
      <w:marBottom w:val="0"/>
      <w:divBdr>
        <w:top w:val="none" w:sz="0" w:space="0" w:color="auto"/>
        <w:left w:val="none" w:sz="0" w:space="0" w:color="auto"/>
        <w:bottom w:val="none" w:sz="0" w:space="0" w:color="auto"/>
        <w:right w:val="none" w:sz="0" w:space="0" w:color="auto"/>
      </w:divBdr>
    </w:div>
    <w:div w:id="1135686367">
      <w:bodyDiv w:val="1"/>
      <w:marLeft w:val="0"/>
      <w:marRight w:val="0"/>
      <w:marTop w:val="0"/>
      <w:marBottom w:val="0"/>
      <w:divBdr>
        <w:top w:val="none" w:sz="0" w:space="0" w:color="auto"/>
        <w:left w:val="none" w:sz="0" w:space="0" w:color="auto"/>
        <w:bottom w:val="none" w:sz="0" w:space="0" w:color="auto"/>
        <w:right w:val="none" w:sz="0" w:space="0" w:color="auto"/>
      </w:divBdr>
    </w:div>
    <w:div w:id="1140029274">
      <w:bodyDiv w:val="1"/>
      <w:marLeft w:val="0"/>
      <w:marRight w:val="0"/>
      <w:marTop w:val="0"/>
      <w:marBottom w:val="0"/>
      <w:divBdr>
        <w:top w:val="none" w:sz="0" w:space="0" w:color="auto"/>
        <w:left w:val="none" w:sz="0" w:space="0" w:color="auto"/>
        <w:bottom w:val="none" w:sz="0" w:space="0" w:color="auto"/>
        <w:right w:val="none" w:sz="0" w:space="0" w:color="auto"/>
      </w:divBdr>
    </w:div>
    <w:div w:id="1142962628">
      <w:bodyDiv w:val="1"/>
      <w:marLeft w:val="0"/>
      <w:marRight w:val="0"/>
      <w:marTop w:val="0"/>
      <w:marBottom w:val="0"/>
      <w:divBdr>
        <w:top w:val="none" w:sz="0" w:space="0" w:color="auto"/>
        <w:left w:val="none" w:sz="0" w:space="0" w:color="auto"/>
        <w:bottom w:val="none" w:sz="0" w:space="0" w:color="auto"/>
        <w:right w:val="none" w:sz="0" w:space="0" w:color="auto"/>
      </w:divBdr>
    </w:div>
    <w:div w:id="1151866813">
      <w:bodyDiv w:val="1"/>
      <w:marLeft w:val="0"/>
      <w:marRight w:val="0"/>
      <w:marTop w:val="0"/>
      <w:marBottom w:val="0"/>
      <w:divBdr>
        <w:top w:val="none" w:sz="0" w:space="0" w:color="auto"/>
        <w:left w:val="none" w:sz="0" w:space="0" w:color="auto"/>
        <w:bottom w:val="none" w:sz="0" w:space="0" w:color="auto"/>
        <w:right w:val="none" w:sz="0" w:space="0" w:color="auto"/>
      </w:divBdr>
    </w:div>
    <w:div w:id="1152719554">
      <w:bodyDiv w:val="1"/>
      <w:marLeft w:val="0"/>
      <w:marRight w:val="0"/>
      <w:marTop w:val="0"/>
      <w:marBottom w:val="0"/>
      <w:divBdr>
        <w:top w:val="none" w:sz="0" w:space="0" w:color="auto"/>
        <w:left w:val="none" w:sz="0" w:space="0" w:color="auto"/>
        <w:bottom w:val="none" w:sz="0" w:space="0" w:color="auto"/>
        <w:right w:val="none" w:sz="0" w:space="0" w:color="auto"/>
      </w:divBdr>
    </w:div>
    <w:div w:id="1153254270">
      <w:bodyDiv w:val="1"/>
      <w:marLeft w:val="0"/>
      <w:marRight w:val="0"/>
      <w:marTop w:val="0"/>
      <w:marBottom w:val="0"/>
      <w:divBdr>
        <w:top w:val="none" w:sz="0" w:space="0" w:color="auto"/>
        <w:left w:val="none" w:sz="0" w:space="0" w:color="auto"/>
        <w:bottom w:val="none" w:sz="0" w:space="0" w:color="auto"/>
        <w:right w:val="none" w:sz="0" w:space="0" w:color="auto"/>
      </w:divBdr>
    </w:div>
    <w:div w:id="1154495022">
      <w:bodyDiv w:val="1"/>
      <w:marLeft w:val="0"/>
      <w:marRight w:val="0"/>
      <w:marTop w:val="0"/>
      <w:marBottom w:val="0"/>
      <w:divBdr>
        <w:top w:val="none" w:sz="0" w:space="0" w:color="auto"/>
        <w:left w:val="none" w:sz="0" w:space="0" w:color="auto"/>
        <w:bottom w:val="none" w:sz="0" w:space="0" w:color="auto"/>
        <w:right w:val="none" w:sz="0" w:space="0" w:color="auto"/>
      </w:divBdr>
    </w:div>
    <w:div w:id="1156605942">
      <w:bodyDiv w:val="1"/>
      <w:marLeft w:val="0"/>
      <w:marRight w:val="0"/>
      <w:marTop w:val="0"/>
      <w:marBottom w:val="0"/>
      <w:divBdr>
        <w:top w:val="none" w:sz="0" w:space="0" w:color="auto"/>
        <w:left w:val="none" w:sz="0" w:space="0" w:color="auto"/>
        <w:bottom w:val="none" w:sz="0" w:space="0" w:color="auto"/>
        <w:right w:val="none" w:sz="0" w:space="0" w:color="auto"/>
      </w:divBdr>
    </w:div>
    <w:div w:id="1157182654">
      <w:bodyDiv w:val="1"/>
      <w:marLeft w:val="0"/>
      <w:marRight w:val="0"/>
      <w:marTop w:val="0"/>
      <w:marBottom w:val="0"/>
      <w:divBdr>
        <w:top w:val="none" w:sz="0" w:space="0" w:color="auto"/>
        <w:left w:val="none" w:sz="0" w:space="0" w:color="auto"/>
        <w:bottom w:val="none" w:sz="0" w:space="0" w:color="auto"/>
        <w:right w:val="none" w:sz="0" w:space="0" w:color="auto"/>
      </w:divBdr>
    </w:div>
    <w:div w:id="1158426806">
      <w:bodyDiv w:val="1"/>
      <w:marLeft w:val="0"/>
      <w:marRight w:val="0"/>
      <w:marTop w:val="0"/>
      <w:marBottom w:val="0"/>
      <w:divBdr>
        <w:top w:val="none" w:sz="0" w:space="0" w:color="auto"/>
        <w:left w:val="none" w:sz="0" w:space="0" w:color="auto"/>
        <w:bottom w:val="none" w:sz="0" w:space="0" w:color="auto"/>
        <w:right w:val="none" w:sz="0" w:space="0" w:color="auto"/>
      </w:divBdr>
    </w:div>
    <w:div w:id="1158884662">
      <w:bodyDiv w:val="1"/>
      <w:marLeft w:val="0"/>
      <w:marRight w:val="0"/>
      <w:marTop w:val="0"/>
      <w:marBottom w:val="0"/>
      <w:divBdr>
        <w:top w:val="none" w:sz="0" w:space="0" w:color="auto"/>
        <w:left w:val="none" w:sz="0" w:space="0" w:color="auto"/>
        <w:bottom w:val="none" w:sz="0" w:space="0" w:color="auto"/>
        <w:right w:val="none" w:sz="0" w:space="0" w:color="auto"/>
      </w:divBdr>
    </w:div>
    <w:div w:id="1160661648">
      <w:bodyDiv w:val="1"/>
      <w:marLeft w:val="0"/>
      <w:marRight w:val="0"/>
      <w:marTop w:val="0"/>
      <w:marBottom w:val="0"/>
      <w:divBdr>
        <w:top w:val="none" w:sz="0" w:space="0" w:color="auto"/>
        <w:left w:val="none" w:sz="0" w:space="0" w:color="auto"/>
        <w:bottom w:val="none" w:sz="0" w:space="0" w:color="auto"/>
        <w:right w:val="none" w:sz="0" w:space="0" w:color="auto"/>
      </w:divBdr>
    </w:div>
    <w:div w:id="1162157781">
      <w:bodyDiv w:val="1"/>
      <w:marLeft w:val="0"/>
      <w:marRight w:val="0"/>
      <w:marTop w:val="0"/>
      <w:marBottom w:val="0"/>
      <w:divBdr>
        <w:top w:val="none" w:sz="0" w:space="0" w:color="auto"/>
        <w:left w:val="none" w:sz="0" w:space="0" w:color="auto"/>
        <w:bottom w:val="none" w:sz="0" w:space="0" w:color="auto"/>
        <w:right w:val="none" w:sz="0" w:space="0" w:color="auto"/>
      </w:divBdr>
    </w:div>
    <w:div w:id="1165584985">
      <w:bodyDiv w:val="1"/>
      <w:marLeft w:val="0"/>
      <w:marRight w:val="0"/>
      <w:marTop w:val="0"/>
      <w:marBottom w:val="0"/>
      <w:divBdr>
        <w:top w:val="none" w:sz="0" w:space="0" w:color="auto"/>
        <w:left w:val="none" w:sz="0" w:space="0" w:color="auto"/>
        <w:bottom w:val="none" w:sz="0" w:space="0" w:color="auto"/>
        <w:right w:val="none" w:sz="0" w:space="0" w:color="auto"/>
      </w:divBdr>
    </w:div>
    <w:div w:id="1167552249">
      <w:bodyDiv w:val="1"/>
      <w:marLeft w:val="0"/>
      <w:marRight w:val="0"/>
      <w:marTop w:val="0"/>
      <w:marBottom w:val="0"/>
      <w:divBdr>
        <w:top w:val="none" w:sz="0" w:space="0" w:color="auto"/>
        <w:left w:val="none" w:sz="0" w:space="0" w:color="auto"/>
        <w:bottom w:val="none" w:sz="0" w:space="0" w:color="auto"/>
        <w:right w:val="none" w:sz="0" w:space="0" w:color="auto"/>
      </w:divBdr>
    </w:div>
    <w:div w:id="1171482507">
      <w:bodyDiv w:val="1"/>
      <w:marLeft w:val="0"/>
      <w:marRight w:val="0"/>
      <w:marTop w:val="0"/>
      <w:marBottom w:val="0"/>
      <w:divBdr>
        <w:top w:val="none" w:sz="0" w:space="0" w:color="auto"/>
        <w:left w:val="none" w:sz="0" w:space="0" w:color="auto"/>
        <w:bottom w:val="none" w:sz="0" w:space="0" w:color="auto"/>
        <w:right w:val="none" w:sz="0" w:space="0" w:color="auto"/>
      </w:divBdr>
    </w:div>
    <w:div w:id="1172528882">
      <w:bodyDiv w:val="1"/>
      <w:marLeft w:val="0"/>
      <w:marRight w:val="0"/>
      <w:marTop w:val="0"/>
      <w:marBottom w:val="0"/>
      <w:divBdr>
        <w:top w:val="none" w:sz="0" w:space="0" w:color="auto"/>
        <w:left w:val="none" w:sz="0" w:space="0" w:color="auto"/>
        <w:bottom w:val="none" w:sz="0" w:space="0" w:color="auto"/>
        <w:right w:val="none" w:sz="0" w:space="0" w:color="auto"/>
      </w:divBdr>
    </w:div>
    <w:div w:id="1178739811">
      <w:bodyDiv w:val="1"/>
      <w:marLeft w:val="0"/>
      <w:marRight w:val="0"/>
      <w:marTop w:val="0"/>
      <w:marBottom w:val="0"/>
      <w:divBdr>
        <w:top w:val="none" w:sz="0" w:space="0" w:color="auto"/>
        <w:left w:val="none" w:sz="0" w:space="0" w:color="auto"/>
        <w:bottom w:val="none" w:sz="0" w:space="0" w:color="auto"/>
        <w:right w:val="none" w:sz="0" w:space="0" w:color="auto"/>
      </w:divBdr>
    </w:div>
    <w:div w:id="1179932989">
      <w:bodyDiv w:val="1"/>
      <w:marLeft w:val="0"/>
      <w:marRight w:val="0"/>
      <w:marTop w:val="0"/>
      <w:marBottom w:val="0"/>
      <w:divBdr>
        <w:top w:val="none" w:sz="0" w:space="0" w:color="auto"/>
        <w:left w:val="none" w:sz="0" w:space="0" w:color="auto"/>
        <w:bottom w:val="none" w:sz="0" w:space="0" w:color="auto"/>
        <w:right w:val="none" w:sz="0" w:space="0" w:color="auto"/>
      </w:divBdr>
    </w:div>
    <w:div w:id="1182860037">
      <w:bodyDiv w:val="1"/>
      <w:marLeft w:val="0"/>
      <w:marRight w:val="0"/>
      <w:marTop w:val="0"/>
      <w:marBottom w:val="0"/>
      <w:divBdr>
        <w:top w:val="none" w:sz="0" w:space="0" w:color="auto"/>
        <w:left w:val="none" w:sz="0" w:space="0" w:color="auto"/>
        <w:bottom w:val="none" w:sz="0" w:space="0" w:color="auto"/>
        <w:right w:val="none" w:sz="0" w:space="0" w:color="auto"/>
      </w:divBdr>
    </w:div>
    <w:div w:id="1189370266">
      <w:bodyDiv w:val="1"/>
      <w:marLeft w:val="0"/>
      <w:marRight w:val="0"/>
      <w:marTop w:val="0"/>
      <w:marBottom w:val="0"/>
      <w:divBdr>
        <w:top w:val="none" w:sz="0" w:space="0" w:color="auto"/>
        <w:left w:val="none" w:sz="0" w:space="0" w:color="auto"/>
        <w:bottom w:val="none" w:sz="0" w:space="0" w:color="auto"/>
        <w:right w:val="none" w:sz="0" w:space="0" w:color="auto"/>
      </w:divBdr>
    </w:div>
    <w:div w:id="1189485388">
      <w:bodyDiv w:val="1"/>
      <w:marLeft w:val="0"/>
      <w:marRight w:val="0"/>
      <w:marTop w:val="0"/>
      <w:marBottom w:val="0"/>
      <w:divBdr>
        <w:top w:val="none" w:sz="0" w:space="0" w:color="auto"/>
        <w:left w:val="none" w:sz="0" w:space="0" w:color="auto"/>
        <w:bottom w:val="none" w:sz="0" w:space="0" w:color="auto"/>
        <w:right w:val="none" w:sz="0" w:space="0" w:color="auto"/>
      </w:divBdr>
    </w:div>
    <w:div w:id="1205799375">
      <w:bodyDiv w:val="1"/>
      <w:marLeft w:val="0"/>
      <w:marRight w:val="0"/>
      <w:marTop w:val="0"/>
      <w:marBottom w:val="0"/>
      <w:divBdr>
        <w:top w:val="none" w:sz="0" w:space="0" w:color="auto"/>
        <w:left w:val="none" w:sz="0" w:space="0" w:color="auto"/>
        <w:bottom w:val="none" w:sz="0" w:space="0" w:color="auto"/>
        <w:right w:val="none" w:sz="0" w:space="0" w:color="auto"/>
      </w:divBdr>
    </w:div>
    <w:div w:id="1210996004">
      <w:bodyDiv w:val="1"/>
      <w:marLeft w:val="0"/>
      <w:marRight w:val="0"/>
      <w:marTop w:val="0"/>
      <w:marBottom w:val="0"/>
      <w:divBdr>
        <w:top w:val="none" w:sz="0" w:space="0" w:color="auto"/>
        <w:left w:val="none" w:sz="0" w:space="0" w:color="auto"/>
        <w:bottom w:val="none" w:sz="0" w:space="0" w:color="auto"/>
        <w:right w:val="none" w:sz="0" w:space="0" w:color="auto"/>
      </w:divBdr>
    </w:div>
    <w:div w:id="1213079515">
      <w:bodyDiv w:val="1"/>
      <w:marLeft w:val="0"/>
      <w:marRight w:val="0"/>
      <w:marTop w:val="0"/>
      <w:marBottom w:val="0"/>
      <w:divBdr>
        <w:top w:val="none" w:sz="0" w:space="0" w:color="auto"/>
        <w:left w:val="none" w:sz="0" w:space="0" w:color="auto"/>
        <w:bottom w:val="none" w:sz="0" w:space="0" w:color="auto"/>
        <w:right w:val="none" w:sz="0" w:space="0" w:color="auto"/>
      </w:divBdr>
    </w:div>
    <w:div w:id="1213155766">
      <w:bodyDiv w:val="1"/>
      <w:marLeft w:val="0"/>
      <w:marRight w:val="0"/>
      <w:marTop w:val="0"/>
      <w:marBottom w:val="0"/>
      <w:divBdr>
        <w:top w:val="none" w:sz="0" w:space="0" w:color="auto"/>
        <w:left w:val="none" w:sz="0" w:space="0" w:color="auto"/>
        <w:bottom w:val="none" w:sz="0" w:space="0" w:color="auto"/>
        <w:right w:val="none" w:sz="0" w:space="0" w:color="auto"/>
      </w:divBdr>
    </w:div>
    <w:div w:id="1216545585">
      <w:bodyDiv w:val="1"/>
      <w:marLeft w:val="0"/>
      <w:marRight w:val="0"/>
      <w:marTop w:val="0"/>
      <w:marBottom w:val="0"/>
      <w:divBdr>
        <w:top w:val="none" w:sz="0" w:space="0" w:color="auto"/>
        <w:left w:val="none" w:sz="0" w:space="0" w:color="auto"/>
        <w:bottom w:val="none" w:sz="0" w:space="0" w:color="auto"/>
        <w:right w:val="none" w:sz="0" w:space="0" w:color="auto"/>
      </w:divBdr>
    </w:div>
    <w:div w:id="1217201761">
      <w:bodyDiv w:val="1"/>
      <w:marLeft w:val="0"/>
      <w:marRight w:val="0"/>
      <w:marTop w:val="0"/>
      <w:marBottom w:val="0"/>
      <w:divBdr>
        <w:top w:val="none" w:sz="0" w:space="0" w:color="auto"/>
        <w:left w:val="none" w:sz="0" w:space="0" w:color="auto"/>
        <w:bottom w:val="none" w:sz="0" w:space="0" w:color="auto"/>
        <w:right w:val="none" w:sz="0" w:space="0" w:color="auto"/>
      </w:divBdr>
    </w:div>
    <w:div w:id="1221985522">
      <w:bodyDiv w:val="1"/>
      <w:marLeft w:val="0"/>
      <w:marRight w:val="0"/>
      <w:marTop w:val="0"/>
      <w:marBottom w:val="0"/>
      <w:divBdr>
        <w:top w:val="none" w:sz="0" w:space="0" w:color="auto"/>
        <w:left w:val="none" w:sz="0" w:space="0" w:color="auto"/>
        <w:bottom w:val="none" w:sz="0" w:space="0" w:color="auto"/>
        <w:right w:val="none" w:sz="0" w:space="0" w:color="auto"/>
      </w:divBdr>
    </w:div>
    <w:div w:id="1222787893">
      <w:bodyDiv w:val="1"/>
      <w:marLeft w:val="0"/>
      <w:marRight w:val="0"/>
      <w:marTop w:val="0"/>
      <w:marBottom w:val="0"/>
      <w:divBdr>
        <w:top w:val="none" w:sz="0" w:space="0" w:color="auto"/>
        <w:left w:val="none" w:sz="0" w:space="0" w:color="auto"/>
        <w:bottom w:val="none" w:sz="0" w:space="0" w:color="auto"/>
        <w:right w:val="none" w:sz="0" w:space="0" w:color="auto"/>
      </w:divBdr>
    </w:div>
    <w:div w:id="1225289241">
      <w:bodyDiv w:val="1"/>
      <w:marLeft w:val="0"/>
      <w:marRight w:val="0"/>
      <w:marTop w:val="0"/>
      <w:marBottom w:val="0"/>
      <w:divBdr>
        <w:top w:val="none" w:sz="0" w:space="0" w:color="auto"/>
        <w:left w:val="none" w:sz="0" w:space="0" w:color="auto"/>
        <w:bottom w:val="none" w:sz="0" w:space="0" w:color="auto"/>
        <w:right w:val="none" w:sz="0" w:space="0" w:color="auto"/>
      </w:divBdr>
    </w:div>
    <w:div w:id="1226842632">
      <w:bodyDiv w:val="1"/>
      <w:marLeft w:val="0"/>
      <w:marRight w:val="0"/>
      <w:marTop w:val="0"/>
      <w:marBottom w:val="0"/>
      <w:divBdr>
        <w:top w:val="none" w:sz="0" w:space="0" w:color="auto"/>
        <w:left w:val="none" w:sz="0" w:space="0" w:color="auto"/>
        <w:bottom w:val="none" w:sz="0" w:space="0" w:color="auto"/>
        <w:right w:val="none" w:sz="0" w:space="0" w:color="auto"/>
      </w:divBdr>
    </w:div>
    <w:div w:id="1229806657">
      <w:bodyDiv w:val="1"/>
      <w:marLeft w:val="0"/>
      <w:marRight w:val="0"/>
      <w:marTop w:val="0"/>
      <w:marBottom w:val="0"/>
      <w:divBdr>
        <w:top w:val="none" w:sz="0" w:space="0" w:color="auto"/>
        <w:left w:val="none" w:sz="0" w:space="0" w:color="auto"/>
        <w:bottom w:val="none" w:sz="0" w:space="0" w:color="auto"/>
        <w:right w:val="none" w:sz="0" w:space="0" w:color="auto"/>
      </w:divBdr>
    </w:div>
    <w:div w:id="1236670501">
      <w:bodyDiv w:val="1"/>
      <w:marLeft w:val="0"/>
      <w:marRight w:val="0"/>
      <w:marTop w:val="0"/>
      <w:marBottom w:val="0"/>
      <w:divBdr>
        <w:top w:val="none" w:sz="0" w:space="0" w:color="auto"/>
        <w:left w:val="none" w:sz="0" w:space="0" w:color="auto"/>
        <w:bottom w:val="none" w:sz="0" w:space="0" w:color="auto"/>
        <w:right w:val="none" w:sz="0" w:space="0" w:color="auto"/>
      </w:divBdr>
    </w:div>
    <w:div w:id="1239898625">
      <w:bodyDiv w:val="1"/>
      <w:marLeft w:val="0"/>
      <w:marRight w:val="0"/>
      <w:marTop w:val="0"/>
      <w:marBottom w:val="0"/>
      <w:divBdr>
        <w:top w:val="none" w:sz="0" w:space="0" w:color="auto"/>
        <w:left w:val="none" w:sz="0" w:space="0" w:color="auto"/>
        <w:bottom w:val="none" w:sz="0" w:space="0" w:color="auto"/>
        <w:right w:val="none" w:sz="0" w:space="0" w:color="auto"/>
      </w:divBdr>
    </w:div>
    <w:div w:id="1251157607">
      <w:bodyDiv w:val="1"/>
      <w:marLeft w:val="0"/>
      <w:marRight w:val="0"/>
      <w:marTop w:val="0"/>
      <w:marBottom w:val="0"/>
      <w:divBdr>
        <w:top w:val="none" w:sz="0" w:space="0" w:color="auto"/>
        <w:left w:val="none" w:sz="0" w:space="0" w:color="auto"/>
        <w:bottom w:val="none" w:sz="0" w:space="0" w:color="auto"/>
        <w:right w:val="none" w:sz="0" w:space="0" w:color="auto"/>
      </w:divBdr>
    </w:div>
    <w:div w:id="1251620390">
      <w:bodyDiv w:val="1"/>
      <w:marLeft w:val="0"/>
      <w:marRight w:val="0"/>
      <w:marTop w:val="0"/>
      <w:marBottom w:val="0"/>
      <w:divBdr>
        <w:top w:val="none" w:sz="0" w:space="0" w:color="auto"/>
        <w:left w:val="none" w:sz="0" w:space="0" w:color="auto"/>
        <w:bottom w:val="none" w:sz="0" w:space="0" w:color="auto"/>
        <w:right w:val="none" w:sz="0" w:space="0" w:color="auto"/>
      </w:divBdr>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
    <w:div w:id="1257061025">
      <w:bodyDiv w:val="1"/>
      <w:marLeft w:val="0"/>
      <w:marRight w:val="0"/>
      <w:marTop w:val="0"/>
      <w:marBottom w:val="0"/>
      <w:divBdr>
        <w:top w:val="none" w:sz="0" w:space="0" w:color="auto"/>
        <w:left w:val="none" w:sz="0" w:space="0" w:color="auto"/>
        <w:bottom w:val="none" w:sz="0" w:space="0" w:color="auto"/>
        <w:right w:val="none" w:sz="0" w:space="0" w:color="auto"/>
      </w:divBdr>
    </w:div>
    <w:div w:id="1261641579">
      <w:bodyDiv w:val="1"/>
      <w:marLeft w:val="0"/>
      <w:marRight w:val="0"/>
      <w:marTop w:val="0"/>
      <w:marBottom w:val="0"/>
      <w:divBdr>
        <w:top w:val="none" w:sz="0" w:space="0" w:color="auto"/>
        <w:left w:val="none" w:sz="0" w:space="0" w:color="auto"/>
        <w:bottom w:val="none" w:sz="0" w:space="0" w:color="auto"/>
        <w:right w:val="none" w:sz="0" w:space="0" w:color="auto"/>
      </w:divBdr>
    </w:div>
    <w:div w:id="1263226060">
      <w:bodyDiv w:val="1"/>
      <w:marLeft w:val="0"/>
      <w:marRight w:val="0"/>
      <w:marTop w:val="0"/>
      <w:marBottom w:val="0"/>
      <w:divBdr>
        <w:top w:val="none" w:sz="0" w:space="0" w:color="auto"/>
        <w:left w:val="none" w:sz="0" w:space="0" w:color="auto"/>
        <w:bottom w:val="none" w:sz="0" w:space="0" w:color="auto"/>
        <w:right w:val="none" w:sz="0" w:space="0" w:color="auto"/>
      </w:divBdr>
    </w:div>
    <w:div w:id="1263755910">
      <w:bodyDiv w:val="1"/>
      <w:marLeft w:val="0"/>
      <w:marRight w:val="0"/>
      <w:marTop w:val="0"/>
      <w:marBottom w:val="0"/>
      <w:divBdr>
        <w:top w:val="none" w:sz="0" w:space="0" w:color="auto"/>
        <w:left w:val="none" w:sz="0" w:space="0" w:color="auto"/>
        <w:bottom w:val="none" w:sz="0" w:space="0" w:color="auto"/>
        <w:right w:val="none" w:sz="0" w:space="0" w:color="auto"/>
      </w:divBdr>
    </w:div>
    <w:div w:id="1269503690">
      <w:bodyDiv w:val="1"/>
      <w:marLeft w:val="0"/>
      <w:marRight w:val="0"/>
      <w:marTop w:val="0"/>
      <w:marBottom w:val="0"/>
      <w:divBdr>
        <w:top w:val="none" w:sz="0" w:space="0" w:color="auto"/>
        <w:left w:val="none" w:sz="0" w:space="0" w:color="auto"/>
        <w:bottom w:val="none" w:sz="0" w:space="0" w:color="auto"/>
        <w:right w:val="none" w:sz="0" w:space="0" w:color="auto"/>
      </w:divBdr>
    </w:div>
    <w:div w:id="1272013238">
      <w:bodyDiv w:val="1"/>
      <w:marLeft w:val="0"/>
      <w:marRight w:val="0"/>
      <w:marTop w:val="0"/>
      <w:marBottom w:val="0"/>
      <w:divBdr>
        <w:top w:val="none" w:sz="0" w:space="0" w:color="auto"/>
        <w:left w:val="none" w:sz="0" w:space="0" w:color="auto"/>
        <w:bottom w:val="none" w:sz="0" w:space="0" w:color="auto"/>
        <w:right w:val="none" w:sz="0" w:space="0" w:color="auto"/>
      </w:divBdr>
    </w:div>
    <w:div w:id="1277788070">
      <w:bodyDiv w:val="1"/>
      <w:marLeft w:val="0"/>
      <w:marRight w:val="0"/>
      <w:marTop w:val="0"/>
      <w:marBottom w:val="0"/>
      <w:divBdr>
        <w:top w:val="none" w:sz="0" w:space="0" w:color="auto"/>
        <w:left w:val="none" w:sz="0" w:space="0" w:color="auto"/>
        <w:bottom w:val="none" w:sz="0" w:space="0" w:color="auto"/>
        <w:right w:val="none" w:sz="0" w:space="0" w:color="auto"/>
      </w:divBdr>
    </w:div>
    <w:div w:id="1278026454">
      <w:bodyDiv w:val="1"/>
      <w:marLeft w:val="0"/>
      <w:marRight w:val="0"/>
      <w:marTop w:val="0"/>
      <w:marBottom w:val="0"/>
      <w:divBdr>
        <w:top w:val="none" w:sz="0" w:space="0" w:color="auto"/>
        <w:left w:val="none" w:sz="0" w:space="0" w:color="auto"/>
        <w:bottom w:val="none" w:sz="0" w:space="0" w:color="auto"/>
        <w:right w:val="none" w:sz="0" w:space="0" w:color="auto"/>
      </w:divBdr>
    </w:div>
    <w:div w:id="1278218587">
      <w:bodyDiv w:val="1"/>
      <w:marLeft w:val="0"/>
      <w:marRight w:val="0"/>
      <w:marTop w:val="0"/>
      <w:marBottom w:val="0"/>
      <w:divBdr>
        <w:top w:val="none" w:sz="0" w:space="0" w:color="auto"/>
        <w:left w:val="none" w:sz="0" w:space="0" w:color="auto"/>
        <w:bottom w:val="none" w:sz="0" w:space="0" w:color="auto"/>
        <w:right w:val="none" w:sz="0" w:space="0" w:color="auto"/>
      </w:divBdr>
    </w:div>
    <w:div w:id="1282567855">
      <w:bodyDiv w:val="1"/>
      <w:marLeft w:val="0"/>
      <w:marRight w:val="0"/>
      <w:marTop w:val="0"/>
      <w:marBottom w:val="0"/>
      <w:divBdr>
        <w:top w:val="none" w:sz="0" w:space="0" w:color="auto"/>
        <w:left w:val="none" w:sz="0" w:space="0" w:color="auto"/>
        <w:bottom w:val="none" w:sz="0" w:space="0" w:color="auto"/>
        <w:right w:val="none" w:sz="0" w:space="0" w:color="auto"/>
      </w:divBdr>
    </w:div>
    <w:div w:id="1284724830">
      <w:bodyDiv w:val="1"/>
      <w:marLeft w:val="0"/>
      <w:marRight w:val="0"/>
      <w:marTop w:val="0"/>
      <w:marBottom w:val="0"/>
      <w:divBdr>
        <w:top w:val="none" w:sz="0" w:space="0" w:color="auto"/>
        <w:left w:val="none" w:sz="0" w:space="0" w:color="auto"/>
        <w:bottom w:val="none" w:sz="0" w:space="0" w:color="auto"/>
        <w:right w:val="none" w:sz="0" w:space="0" w:color="auto"/>
      </w:divBdr>
    </w:div>
    <w:div w:id="1288511098">
      <w:bodyDiv w:val="1"/>
      <w:marLeft w:val="0"/>
      <w:marRight w:val="0"/>
      <w:marTop w:val="0"/>
      <w:marBottom w:val="0"/>
      <w:divBdr>
        <w:top w:val="none" w:sz="0" w:space="0" w:color="auto"/>
        <w:left w:val="none" w:sz="0" w:space="0" w:color="auto"/>
        <w:bottom w:val="none" w:sz="0" w:space="0" w:color="auto"/>
        <w:right w:val="none" w:sz="0" w:space="0" w:color="auto"/>
      </w:divBdr>
    </w:div>
    <w:div w:id="1299644864">
      <w:bodyDiv w:val="1"/>
      <w:marLeft w:val="0"/>
      <w:marRight w:val="0"/>
      <w:marTop w:val="0"/>
      <w:marBottom w:val="0"/>
      <w:divBdr>
        <w:top w:val="none" w:sz="0" w:space="0" w:color="auto"/>
        <w:left w:val="none" w:sz="0" w:space="0" w:color="auto"/>
        <w:bottom w:val="none" w:sz="0" w:space="0" w:color="auto"/>
        <w:right w:val="none" w:sz="0" w:space="0" w:color="auto"/>
      </w:divBdr>
    </w:div>
    <w:div w:id="1310789633">
      <w:bodyDiv w:val="1"/>
      <w:marLeft w:val="0"/>
      <w:marRight w:val="0"/>
      <w:marTop w:val="0"/>
      <w:marBottom w:val="0"/>
      <w:divBdr>
        <w:top w:val="none" w:sz="0" w:space="0" w:color="auto"/>
        <w:left w:val="none" w:sz="0" w:space="0" w:color="auto"/>
        <w:bottom w:val="none" w:sz="0" w:space="0" w:color="auto"/>
        <w:right w:val="none" w:sz="0" w:space="0" w:color="auto"/>
      </w:divBdr>
    </w:div>
    <w:div w:id="1319532454">
      <w:bodyDiv w:val="1"/>
      <w:marLeft w:val="0"/>
      <w:marRight w:val="0"/>
      <w:marTop w:val="0"/>
      <w:marBottom w:val="0"/>
      <w:divBdr>
        <w:top w:val="none" w:sz="0" w:space="0" w:color="auto"/>
        <w:left w:val="none" w:sz="0" w:space="0" w:color="auto"/>
        <w:bottom w:val="none" w:sz="0" w:space="0" w:color="auto"/>
        <w:right w:val="none" w:sz="0" w:space="0" w:color="auto"/>
      </w:divBdr>
    </w:div>
    <w:div w:id="1328511326">
      <w:bodyDiv w:val="1"/>
      <w:marLeft w:val="0"/>
      <w:marRight w:val="0"/>
      <w:marTop w:val="0"/>
      <w:marBottom w:val="0"/>
      <w:divBdr>
        <w:top w:val="none" w:sz="0" w:space="0" w:color="auto"/>
        <w:left w:val="none" w:sz="0" w:space="0" w:color="auto"/>
        <w:bottom w:val="none" w:sz="0" w:space="0" w:color="auto"/>
        <w:right w:val="none" w:sz="0" w:space="0" w:color="auto"/>
      </w:divBdr>
    </w:div>
    <w:div w:id="1334458216">
      <w:bodyDiv w:val="1"/>
      <w:marLeft w:val="0"/>
      <w:marRight w:val="0"/>
      <w:marTop w:val="0"/>
      <w:marBottom w:val="0"/>
      <w:divBdr>
        <w:top w:val="none" w:sz="0" w:space="0" w:color="auto"/>
        <w:left w:val="none" w:sz="0" w:space="0" w:color="auto"/>
        <w:bottom w:val="none" w:sz="0" w:space="0" w:color="auto"/>
        <w:right w:val="none" w:sz="0" w:space="0" w:color="auto"/>
      </w:divBdr>
    </w:div>
    <w:div w:id="1342472152">
      <w:bodyDiv w:val="1"/>
      <w:marLeft w:val="0"/>
      <w:marRight w:val="0"/>
      <w:marTop w:val="0"/>
      <w:marBottom w:val="0"/>
      <w:divBdr>
        <w:top w:val="none" w:sz="0" w:space="0" w:color="auto"/>
        <w:left w:val="none" w:sz="0" w:space="0" w:color="auto"/>
        <w:bottom w:val="none" w:sz="0" w:space="0" w:color="auto"/>
        <w:right w:val="none" w:sz="0" w:space="0" w:color="auto"/>
      </w:divBdr>
    </w:div>
    <w:div w:id="1348096378">
      <w:bodyDiv w:val="1"/>
      <w:marLeft w:val="0"/>
      <w:marRight w:val="0"/>
      <w:marTop w:val="0"/>
      <w:marBottom w:val="0"/>
      <w:divBdr>
        <w:top w:val="none" w:sz="0" w:space="0" w:color="auto"/>
        <w:left w:val="none" w:sz="0" w:space="0" w:color="auto"/>
        <w:bottom w:val="none" w:sz="0" w:space="0" w:color="auto"/>
        <w:right w:val="none" w:sz="0" w:space="0" w:color="auto"/>
      </w:divBdr>
    </w:div>
    <w:div w:id="1349335803">
      <w:bodyDiv w:val="1"/>
      <w:marLeft w:val="0"/>
      <w:marRight w:val="0"/>
      <w:marTop w:val="0"/>
      <w:marBottom w:val="0"/>
      <w:divBdr>
        <w:top w:val="none" w:sz="0" w:space="0" w:color="auto"/>
        <w:left w:val="none" w:sz="0" w:space="0" w:color="auto"/>
        <w:bottom w:val="none" w:sz="0" w:space="0" w:color="auto"/>
        <w:right w:val="none" w:sz="0" w:space="0" w:color="auto"/>
      </w:divBdr>
    </w:div>
    <w:div w:id="1351757083">
      <w:bodyDiv w:val="1"/>
      <w:marLeft w:val="0"/>
      <w:marRight w:val="0"/>
      <w:marTop w:val="0"/>
      <w:marBottom w:val="0"/>
      <w:divBdr>
        <w:top w:val="none" w:sz="0" w:space="0" w:color="auto"/>
        <w:left w:val="none" w:sz="0" w:space="0" w:color="auto"/>
        <w:bottom w:val="none" w:sz="0" w:space="0" w:color="auto"/>
        <w:right w:val="none" w:sz="0" w:space="0" w:color="auto"/>
      </w:divBdr>
    </w:div>
    <w:div w:id="1360667604">
      <w:bodyDiv w:val="1"/>
      <w:marLeft w:val="0"/>
      <w:marRight w:val="0"/>
      <w:marTop w:val="0"/>
      <w:marBottom w:val="0"/>
      <w:divBdr>
        <w:top w:val="none" w:sz="0" w:space="0" w:color="auto"/>
        <w:left w:val="none" w:sz="0" w:space="0" w:color="auto"/>
        <w:bottom w:val="none" w:sz="0" w:space="0" w:color="auto"/>
        <w:right w:val="none" w:sz="0" w:space="0" w:color="auto"/>
      </w:divBdr>
    </w:div>
    <w:div w:id="1364398664">
      <w:bodyDiv w:val="1"/>
      <w:marLeft w:val="0"/>
      <w:marRight w:val="0"/>
      <w:marTop w:val="0"/>
      <w:marBottom w:val="0"/>
      <w:divBdr>
        <w:top w:val="none" w:sz="0" w:space="0" w:color="auto"/>
        <w:left w:val="none" w:sz="0" w:space="0" w:color="auto"/>
        <w:bottom w:val="none" w:sz="0" w:space="0" w:color="auto"/>
        <w:right w:val="none" w:sz="0" w:space="0" w:color="auto"/>
      </w:divBdr>
    </w:div>
    <w:div w:id="1366364268">
      <w:bodyDiv w:val="1"/>
      <w:marLeft w:val="0"/>
      <w:marRight w:val="0"/>
      <w:marTop w:val="0"/>
      <w:marBottom w:val="0"/>
      <w:divBdr>
        <w:top w:val="none" w:sz="0" w:space="0" w:color="auto"/>
        <w:left w:val="none" w:sz="0" w:space="0" w:color="auto"/>
        <w:bottom w:val="none" w:sz="0" w:space="0" w:color="auto"/>
        <w:right w:val="none" w:sz="0" w:space="0" w:color="auto"/>
      </w:divBdr>
    </w:div>
    <w:div w:id="1374957930">
      <w:bodyDiv w:val="1"/>
      <w:marLeft w:val="0"/>
      <w:marRight w:val="0"/>
      <w:marTop w:val="0"/>
      <w:marBottom w:val="0"/>
      <w:divBdr>
        <w:top w:val="none" w:sz="0" w:space="0" w:color="auto"/>
        <w:left w:val="none" w:sz="0" w:space="0" w:color="auto"/>
        <w:bottom w:val="none" w:sz="0" w:space="0" w:color="auto"/>
        <w:right w:val="none" w:sz="0" w:space="0" w:color="auto"/>
      </w:divBdr>
    </w:div>
    <w:div w:id="1375276973">
      <w:bodyDiv w:val="1"/>
      <w:marLeft w:val="0"/>
      <w:marRight w:val="0"/>
      <w:marTop w:val="0"/>
      <w:marBottom w:val="0"/>
      <w:divBdr>
        <w:top w:val="none" w:sz="0" w:space="0" w:color="auto"/>
        <w:left w:val="none" w:sz="0" w:space="0" w:color="auto"/>
        <w:bottom w:val="none" w:sz="0" w:space="0" w:color="auto"/>
        <w:right w:val="none" w:sz="0" w:space="0" w:color="auto"/>
      </w:divBdr>
    </w:div>
    <w:div w:id="1377270227">
      <w:bodyDiv w:val="1"/>
      <w:marLeft w:val="0"/>
      <w:marRight w:val="0"/>
      <w:marTop w:val="0"/>
      <w:marBottom w:val="0"/>
      <w:divBdr>
        <w:top w:val="none" w:sz="0" w:space="0" w:color="auto"/>
        <w:left w:val="none" w:sz="0" w:space="0" w:color="auto"/>
        <w:bottom w:val="none" w:sz="0" w:space="0" w:color="auto"/>
        <w:right w:val="none" w:sz="0" w:space="0" w:color="auto"/>
      </w:divBdr>
    </w:div>
    <w:div w:id="1383166983">
      <w:bodyDiv w:val="1"/>
      <w:marLeft w:val="0"/>
      <w:marRight w:val="0"/>
      <w:marTop w:val="0"/>
      <w:marBottom w:val="0"/>
      <w:divBdr>
        <w:top w:val="none" w:sz="0" w:space="0" w:color="auto"/>
        <w:left w:val="none" w:sz="0" w:space="0" w:color="auto"/>
        <w:bottom w:val="none" w:sz="0" w:space="0" w:color="auto"/>
        <w:right w:val="none" w:sz="0" w:space="0" w:color="auto"/>
      </w:divBdr>
    </w:div>
    <w:div w:id="1384675881">
      <w:bodyDiv w:val="1"/>
      <w:marLeft w:val="0"/>
      <w:marRight w:val="0"/>
      <w:marTop w:val="0"/>
      <w:marBottom w:val="0"/>
      <w:divBdr>
        <w:top w:val="none" w:sz="0" w:space="0" w:color="auto"/>
        <w:left w:val="none" w:sz="0" w:space="0" w:color="auto"/>
        <w:bottom w:val="none" w:sz="0" w:space="0" w:color="auto"/>
        <w:right w:val="none" w:sz="0" w:space="0" w:color="auto"/>
      </w:divBdr>
    </w:div>
    <w:div w:id="1384791303">
      <w:bodyDiv w:val="1"/>
      <w:marLeft w:val="0"/>
      <w:marRight w:val="0"/>
      <w:marTop w:val="0"/>
      <w:marBottom w:val="0"/>
      <w:divBdr>
        <w:top w:val="none" w:sz="0" w:space="0" w:color="auto"/>
        <w:left w:val="none" w:sz="0" w:space="0" w:color="auto"/>
        <w:bottom w:val="none" w:sz="0" w:space="0" w:color="auto"/>
        <w:right w:val="none" w:sz="0" w:space="0" w:color="auto"/>
      </w:divBdr>
    </w:div>
    <w:div w:id="1386418399">
      <w:bodyDiv w:val="1"/>
      <w:marLeft w:val="0"/>
      <w:marRight w:val="0"/>
      <w:marTop w:val="0"/>
      <w:marBottom w:val="0"/>
      <w:divBdr>
        <w:top w:val="none" w:sz="0" w:space="0" w:color="auto"/>
        <w:left w:val="none" w:sz="0" w:space="0" w:color="auto"/>
        <w:bottom w:val="none" w:sz="0" w:space="0" w:color="auto"/>
        <w:right w:val="none" w:sz="0" w:space="0" w:color="auto"/>
      </w:divBdr>
    </w:div>
    <w:div w:id="1396776222">
      <w:bodyDiv w:val="1"/>
      <w:marLeft w:val="0"/>
      <w:marRight w:val="0"/>
      <w:marTop w:val="0"/>
      <w:marBottom w:val="0"/>
      <w:divBdr>
        <w:top w:val="none" w:sz="0" w:space="0" w:color="auto"/>
        <w:left w:val="none" w:sz="0" w:space="0" w:color="auto"/>
        <w:bottom w:val="none" w:sz="0" w:space="0" w:color="auto"/>
        <w:right w:val="none" w:sz="0" w:space="0" w:color="auto"/>
      </w:divBdr>
    </w:div>
    <w:div w:id="1400321672">
      <w:bodyDiv w:val="1"/>
      <w:marLeft w:val="0"/>
      <w:marRight w:val="0"/>
      <w:marTop w:val="0"/>
      <w:marBottom w:val="0"/>
      <w:divBdr>
        <w:top w:val="none" w:sz="0" w:space="0" w:color="auto"/>
        <w:left w:val="none" w:sz="0" w:space="0" w:color="auto"/>
        <w:bottom w:val="none" w:sz="0" w:space="0" w:color="auto"/>
        <w:right w:val="none" w:sz="0" w:space="0" w:color="auto"/>
      </w:divBdr>
    </w:div>
    <w:div w:id="1401951178">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6147584">
      <w:bodyDiv w:val="1"/>
      <w:marLeft w:val="0"/>
      <w:marRight w:val="0"/>
      <w:marTop w:val="0"/>
      <w:marBottom w:val="0"/>
      <w:divBdr>
        <w:top w:val="none" w:sz="0" w:space="0" w:color="auto"/>
        <w:left w:val="none" w:sz="0" w:space="0" w:color="auto"/>
        <w:bottom w:val="none" w:sz="0" w:space="0" w:color="auto"/>
        <w:right w:val="none" w:sz="0" w:space="0" w:color="auto"/>
      </w:divBdr>
    </w:div>
    <w:div w:id="1408720936">
      <w:bodyDiv w:val="1"/>
      <w:marLeft w:val="0"/>
      <w:marRight w:val="0"/>
      <w:marTop w:val="0"/>
      <w:marBottom w:val="0"/>
      <w:divBdr>
        <w:top w:val="none" w:sz="0" w:space="0" w:color="auto"/>
        <w:left w:val="none" w:sz="0" w:space="0" w:color="auto"/>
        <w:bottom w:val="none" w:sz="0" w:space="0" w:color="auto"/>
        <w:right w:val="none" w:sz="0" w:space="0" w:color="auto"/>
      </w:divBdr>
    </w:div>
    <w:div w:id="1416437894">
      <w:bodyDiv w:val="1"/>
      <w:marLeft w:val="0"/>
      <w:marRight w:val="0"/>
      <w:marTop w:val="0"/>
      <w:marBottom w:val="0"/>
      <w:divBdr>
        <w:top w:val="none" w:sz="0" w:space="0" w:color="auto"/>
        <w:left w:val="none" w:sz="0" w:space="0" w:color="auto"/>
        <w:bottom w:val="none" w:sz="0" w:space="0" w:color="auto"/>
        <w:right w:val="none" w:sz="0" w:space="0" w:color="auto"/>
      </w:divBdr>
    </w:div>
    <w:div w:id="1420130834">
      <w:bodyDiv w:val="1"/>
      <w:marLeft w:val="0"/>
      <w:marRight w:val="0"/>
      <w:marTop w:val="0"/>
      <w:marBottom w:val="0"/>
      <w:divBdr>
        <w:top w:val="none" w:sz="0" w:space="0" w:color="auto"/>
        <w:left w:val="none" w:sz="0" w:space="0" w:color="auto"/>
        <w:bottom w:val="none" w:sz="0" w:space="0" w:color="auto"/>
        <w:right w:val="none" w:sz="0" w:space="0" w:color="auto"/>
      </w:divBdr>
    </w:div>
    <w:div w:id="1420827275">
      <w:bodyDiv w:val="1"/>
      <w:marLeft w:val="0"/>
      <w:marRight w:val="0"/>
      <w:marTop w:val="0"/>
      <w:marBottom w:val="0"/>
      <w:divBdr>
        <w:top w:val="none" w:sz="0" w:space="0" w:color="auto"/>
        <w:left w:val="none" w:sz="0" w:space="0" w:color="auto"/>
        <w:bottom w:val="none" w:sz="0" w:space="0" w:color="auto"/>
        <w:right w:val="none" w:sz="0" w:space="0" w:color="auto"/>
      </w:divBdr>
    </w:div>
    <w:div w:id="1422680879">
      <w:bodyDiv w:val="1"/>
      <w:marLeft w:val="0"/>
      <w:marRight w:val="0"/>
      <w:marTop w:val="0"/>
      <w:marBottom w:val="0"/>
      <w:divBdr>
        <w:top w:val="none" w:sz="0" w:space="0" w:color="auto"/>
        <w:left w:val="none" w:sz="0" w:space="0" w:color="auto"/>
        <w:bottom w:val="none" w:sz="0" w:space="0" w:color="auto"/>
        <w:right w:val="none" w:sz="0" w:space="0" w:color="auto"/>
      </w:divBdr>
    </w:div>
    <w:div w:id="1430466952">
      <w:bodyDiv w:val="1"/>
      <w:marLeft w:val="0"/>
      <w:marRight w:val="0"/>
      <w:marTop w:val="0"/>
      <w:marBottom w:val="0"/>
      <w:divBdr>
        <w:top w:val="none" w:sz="0" w:space="0" w:color="auto"/>
        <w:left w:val="none" w:sz="0" w:space="0" w:color="auto"/>
        <w:bottom w:val="none" w:sz="0" w:space="0" w:color="auto"/>
        <w:right w:val="none" w:sz="0" w:space="0" w:color="auto"/>
      </w:divBdr>
    </w:div>
    <w:div w:id="1445728952">
      <w:bodyDiv w:val="1"/>
      <w:marLeft w:val="0"/>
      <w:marRight w:val="0"/>
      <w:marTop w:val="0"/>
      <w:marBottom w:val="0"/>
      <w:divBdr>
        <w:top w:val="none" w:sz="0" w:space="0" w:color="auto"/>
        <w:left w:val="none" w:sz="0" w:space="0" w:color="auto"/>
        <w:bottom w:val="none" w:sz="0" w:space="0" w:color="auto"/>
        <w:right w:val="none" w:sz="0" w:space="0" w:color="auto"/>
      </w:divBdr>
    </w:div>
    <w:div w:id="1449591207">
      <w:bodyDiv w:val="1"/>
      <w:marLeft w:val="0"/>
      <w:marRight w:val="0"/>
      <w:marTop w:val="0"/>
      <w:marBottom w:val="0"/>
      <w:divBdr>
        <w:top w:val="none" w:sz="0" w:space="0" w:color="auto"/>
        <w:left w:val="none" w:sz="0" w:space="0" w:color="auto"/>
        <w:bottom w:val="none" w:sz="0" w:space="0" w:color="auto"/>
        <w:right w:val="none" w:sz="0" w:space="0" w:color="auto"/>
      </w:divBdr>
    </w:div>
    <w:div w:id="1451051791">
      <w:bodyDiv w:val="1"/>
      <w:marLeft w:val="0"/>
      <w:marRight w:val="0"/>
      <w:marTop w:val="0"/>
      <w:marBottom w:val="0"/>
      <w:divBdr>
        <w:top w:val="none" w:sz="0" w:space="0" w:color="auto"/>
        <w:left w:val="none" w:sz="0" w:space="0" w:color="auto"/>
        <w:bottom w:val="none" w:sz="0" w:space="0" w:color="auto"/>
        <w:right w:val="none" w:sz="0" w:space="0" w:color="auto"/>
      </w:divBdr>
    </w:div>
    <w:div w:id="1458259068">
      <w:bodyDiv w:val="1"/>
      <w:marLeft w:val="0"/>
      <w:marRight w:val="0"/>
      <w:marTop w:val="0"/>
      <w:marBottom w:val="0"/>
      <w:divBdr>
        <w:top w:val="none" w:sz="0" w:space="0" w:color="auto"/>
        <w:left w:val="none" w:sz="0" w:space="0" w:color="auto"/>
        <w:bottom w:val="none" w:sz="0" w:space="0" w:color="auto"/>
        <w:right w:val="none" w:sz="0" w:space="0" w:color="auto"/>
      </w:divBdr>
    </w:div>
    <w:div w:id="1459110430">
      <w:bodyDiv w:val="1"/>
      <w:marLeft w:val="0"/>
      <w:marRight w:val="0"/>
      <w:marTop w:val="0"/>
      <w:marBottom w:val="0"/>
      <w:divBdr>
        <w:top w:val="none" w:sz="0" w:space="0" w:color="auto"/>
        <w:left w:val="none" w:sz="0" w:space="0" w:color="auto"/>
        <w:bottom w:val="none" w:sz="0" w:space="0" w:color="auto"/>
        <w:right w:val="none" w:sz="0" w:space="0" w:color="auto"/>
      </w:divBdr>
    </w:div>
    <w:div w:id="1462386945">
      <w:bodyDiv w:val="1"/>
      <w:marLeft w:val="0"/>
      <w:marRight w:val="0"/>
      <w:marTop w:val="0"/>
      <w:marBottom w:val="0"/>
      <w:divBdr>
        <w:top w:val="none" w:sz="0" w:space="0" w:color="auto"/>
        <w:left w:val="none" w:sz="0" w:space="0" w:color="auto"/>
        <w:bottom w:val="none" w:sz="0" w:space="0" w:color="auto"/>
        <w:right w:val="none" w:sz="0" w:space="0" w:color="auto"/>
      </w:divBdr>
    </w:div>
    <w:div w:id="1466462692">
      <w:bodyDiv w:val="1"/>
      <w:marLeft w:val="0"/>
      <w:marRight w:val="0"/>
      <w:marTop w:val="0"/>
      <w:marBottom w:val="0"/>
      <w:divBdr>
        <w:top w:val="none" w:sz="0" w:space="0" w:color="auto"/>
        <w:left w:val="none" w:sz="0" w:space="0" w:color="auto"/>
        <w:bottom w:val="none" w:sz="0" w:space="0" w:color="auto"/>
        <w:right w:val="none" w:sz="0" w:space="0" w:color="auto"/>
      </w:divBdr>
    </w:div>
    <w:div w:id="1470055057">
      <w:bodyDiv w:val="1"/>
      <w:marLeft w:val="0"/>
      <w:marRight w:val="0"/>
      <w:marTop w:val="0"/>
      <w:marBottom w:val="0"/>
      <w:divBdr>
        <w:top w:val="none" w:sz="0" w:space="0" w:color="auto"/>
        <w:left w:val="none" w:sz="0" w:space="0" w:color="auto"/>
        <w:bottom w:val="none" w:sz="0" w:space="0" w:color="auto"/>
        <w:right w:val="none" w:sz="0" w:space="0" w:color="auto"/>
      </w:divBdr>
    </w:div>
    <w:div w:id="1472013677">
      <w:bodyDiv w:val="1"/>
      <w:marLeft w:val="0"/>
      <w:marRight w:val="0"/>
      <w:marTop w:val="0"/>
      <w:marBottom w:val="0"/>
      <w:divBdr>
        <w:top w:val="none" w:sz="0" w:space="0" w:color="auto"/>
        <w:left w:val="none" w:sz="0" w:space="0" w:color="auto"/>
        <w:bottom w:val="none" w:sz="0" w:space="0" w:color="auto"/>
        <w:right w:val="none" w:sz="0" w:space="0" w:color="auto"/>
      </w:divBdr>
    </w:div>
    <w:div w:id="1487554004">
      <w:bodyDiv w:val="1"/>
      <w:marLeft w:val="0"/>
      <w:marRight w:val="0"/>
      <w:marTop w:val="0"/>
      <w:marBottom w:val="0"/>
      <w:divBdr>
        <w:top w:val="none" w:sz="0" w:space="0" w:color="auto"/>
        <w:left w:val="none" w:sz="0" w:space="0" w:color="auto"/>
        <w:bottom w:val="none" w:sz="0" w:space="0" w:color="auto"/>
        <w:right w:val="none" w:sz="0" w:space="0" w:color="auto"/>
      </w:divBdr>
    </w:div>
    <w:div w:id="1488548911">
      <w:bodyDiv w:val="1"/>
      <w:marLeft w:val="0"/>
      <w:marRight w:val="0"/>
      <w:marTop w:val="0"/>
      <w:marBottom w:val="0"/>
      <w:divBdr>
        <w:top w:val="none" w:sz="0" w:space="0" w:color="auto"/>
        <w:left w:val="none" w:sz="0" w:space="0" w:color="auto"/>
        <w:bottom w:val="none" w:sz="0" w:space="0" w:color="auto"/>
        <w:right w:val="none" w:sz="0" w:space="0" w:color="auto"/>
      </w:divBdr>
    </w:div>
    <w:div w:id="1494950987">
      <w:bodyDiv w:val="1"/>
      <w:marLeft w:val="0"/>
      <w:marRight w:val="0"/>
      <w:marTop w:val="0"/>
      <w:marBottom w:val="0"/>
      <w:divBdr>
        <w:top w:val="none" w:sz="0" w:space="0" w:color="auto"/>
        <w:left w:val="none" w:sz="0" w:space="0" w:color="auto"/>
        <w:bottom w:val="none" w:sz="0" w:space="0" w:color="auto"/>
        <w:right w:val="none" w:sz="0" w:space="0" w:color="auto"/>
      </w:divBdr>
    </w:div>
    <w:div w:id="1495804929">
      <w:bodyDiv w:val="1"/>
      <w:marLeft w:val="0"/>
      <w:marRight w:val="0"/>
      <w:marTop w:val="0"/>
      <w:marBottom w:val="0"/>
      <w:divBdr>
        <w:top w:val="none" w:sz="0" w:space="0" w:color="auto"/>
        <w:left w:val="none" w:sz="0" w:space="0" w:color="auto"/>
        <w:bottom w:val="none" w:sz="0" w:space="0" w:color="auto"/>
        <w:right w:val="none" w:sz="0" w:space="0" w:color="auto"/>
      </w:divBdr>
    </w:div>
    <w:div w:id="1498231417">
      <w:bodyDiv w:val="1"/>
      <w:marLeft w:val="0"/>
      <w:marRight w:val="0"/>
      <w:marTop w:val="0"/>
      <w:marBottom w:val="0"/>
      <w:divBdr>
        <w:top w:val="none" w:sz="0" w:space="0" w:color="auto"/>
        <w:left w:val="none" w:sz="0" w:space="0" w:color="auto"/>
        <w:bottom w:val="none" w:sz="0" w:space="0" w:color="auto"/>
        <w:right w:val="none" w:sz="0" w:space="0" w:color="auto"/>
      </w:divBdr>
    </w:div>
    <w:div w:id="1499151913">
      <w:bodyDiv w:val="1"/>
      <w:marLeft w:val="0"/>
      <w:marRight w:val="0"/>
      <w:marTop w:val="0"/>
      <w:marBottom w:val="0"/>
      <w:divBdr>
        <w:top w:val="none" w:sz="0" w:space="0" w:color="auto"/>
        <w:left w:val="none" w:sz="0" w:space="0" w:color="auto"/>
        <w:bottom w:val="none" w:sz="0" w:space="0" w:color="auto"/>
        <w:right w:val="none" w:sz="0" w:space="0" w:color="auto"/>
      </w:divBdr>
    </w:div>
    <w:div w:id="1501963001">
      <w:bodyDiv w:val="1"/>
      <w:marLeft w:val="0"/>
      <w:marRight w:val="0"/>
      <w:marTop w:val="0"/>
      <w:marBottom w:val="0"/>
      <w:divBdr>
        <w:top w:val="none" w:sz="0" w:space="0" w:color="auto"/>
        <w:left w:val="none" w:sz="0" w:space="0" w:color="auto"/>
        <w:bottom w:val="none" w:sz="0" w:space="0" w:color="auto"/>
        <w:right w:val="none" w:sz="0" w:space="0" w:color="auto"/>
      </w:divBdr>
    </w:div>
    <w:div w:id="1502240477">
      <w:bodyDiv w:val="1"/>
      <w:marLeft w:val="0"/>
      <w:marRight w:val="0"/>
      <w:marTop w:val="0"/>
      <w:marBottom w:val="0"/>
      <w:divBdr>
        <w:top w:val="none" w:sz="0" w:space="0" w:color="auto"/>
        <w:left w:val="none" w:sz="0" w:space="0" w:color="auto"/>
        <w:bottom w:val="none" w:sz="0" w:space="0" w:color="auto"/>
        <w:right w:val="none" w:sz="0" w:space="0" w:color="auto"/>
      </w:divBdr>
    </w:div>
    <w:div w:id="1504738856">
      <w:bodyDiv w:val="1"/>
      <w:marLeft w:val="0"/>
      <w:marRight w:val="0"/>
      <w:marTop w:val="0"/>
      <w:marBottom w:val="0"/>
      <w:divBdr>
        <w:top w:val="none" w:sz="0" w:space="0" w:color="auto"/>
        <w:left w:val="none" w:sz="0" w:space="0" w:color="auto"/>
        <w:bottom w:val="none" w:sz="0" w:space="0" w:color="auto"/>
        <w:right w:val="none" w:sz="0" w:space="0" w:color="auto"/>
      </w:divBdr>
    </w:div>
    <w:div w:id="1506478879">
      <w:bodyDiv w:val="1"/>
      <w:marLeft w:val="0"/>
      <w:marRight w:val="0"/>
      <w:marTop w:val="0"/>
      <w:marBottom w:val="0"/>
      <w:divBdr>
        <w:top w:val="none" w:sz="0" w:space="0" w:color="auto"/>
        <w:left w:val="none" w:sz="0" w:space="0" w:color="auto"/>
        <w:bottom w:val="none" w:sz="0" w:space="0" w:color="auto"/>
        <w:right w:val="none" w:sz="0" w:space="0" w:color="auto"/>
      </w:divBdr>
    </w:div>
    <w:div w:id="1523938162">
      <w:bodyDiv w:val="1"/>
      <w:marLeft w:val="0"/>
      <w:marRight w:val="0"/>
      <w:marTop w:val="0"/>
      <w:marBottom w:val="0"/>
      <w:divBdr>
        <w:top w:val="none" w:sz="0" w:space="0" w:color="auto"/>
        <w:left w:val="none" w:sz="0" w:space="0" w:color="auto"/>
        <w:bottom w:val="none" w:sz="0" w:space="0" w:color="auto"/>
        <w:right w:val="none" w:sz="0" w:space="0" w:color="auto"/>
      </w:divBdr>
    </w:div>
    <w:div w:id="1526673131">
      <w:bodyDiv w:val="1"/>
      <w:marLeft w:val="0"/>
      <w:marRight w:val="0"/>
      <w:marTop w:val="0"/>
      <w:marBottom w:val="0"/>
      <w:divBdr>
        <w:top w:val="none" w:sz="0" w:space="0" w:color="auto"/>
        <w:left w:val="none" w:sz="0" w:space="0" w:color="auto"/>
        <w:bottom w:val="none" w:sz="0" w:space="0" w:color="auto"/>
        <w:right w:val="none" w:sz="0" w:space="0" w:color="auto"/>
      </w:divBdr>
    </w:div>
    <w:div w:id="1538544422">
      <w:bodyDiv w:val="1"/>
      <w:marLeft w:val="0"/>
      <w:marRight w:val="0"/>
      <w:marTop w:val="0"/>
      <w:marBottom w:val="0"/>
      <w:divBdr>
        <w:top w:val="none" w:sz="0" w:space="0" w:color="auto"/>
        <w:left w:val="none" w:sz="0" w:space="0" w:color="auto"/>
        <w:bottom w:val="none" w:sz="0" w:space="0" w:color="auto"/>
        <w:right w:val="none" w:sz="0" w:space="0" w:color="auto"/>
      </w:divBdr>
    </w:div>
    <w:div w:id="1548950632">
      <w:bodyDiv w:val="1"/>
      <w:marLeft w:val="0"/>
      <w:marRight w:val="0"/>
      <w:marTop w:val="0"/>
      <w:marBottom w:val="0"/>
      <w:divBdr>
        <w:top w:val="none" w:sz="0" w:space="0" w:color="auto"/>
        <w:left w:val="none" w:sz="0" w:space="0" w:color="auto"/>
        <w:bottom w:val="none" w:sz="0" w:space="0" w:color="auto"/>
        <w:right w:val="none" w:sz="0" w:space="0" w:color="auto"/>
      </w:divBdr>
    </w:div>
    <w:div w:id="1558588193">
      <w:bodyDiv w:val="1"/>
      <w:marLeft w:val="0"/>
      <w:marRight w:val="0"/>
      <w:marTop w:val="0"/>
      <w:marBottom w:val="0"/>
      <w:divBdr>
        <w:top w:val="none" w:sz="0" w:space="0" w:color="auto"/>
        <w:left w:val="none" w:sz="0" w:space="0" w:color="auto"/>
        <w:bottom w:val="none" w:sz="0" w:space="0" w:color="auto"/>
        <w:right w:val="none" w:sz="0" w:space="0" w:color="auto"/>
      </w:divBdr>
    </w:div>
    <w:div w:id="1564676643">
      <w:bodyDiv w:val="1"/>
      <w:marLeft w:val="0"/>
      <w:marRight w:val="0"/>
      <w:marTop w:val="0"/>
      <w:marBottom w:val="0"/>
      <w:divBdr>
        <w:top w:val="none" w:sz="0" w:space="0" w:color="auto"/>
        <w:left w:val="none" w:sz="0" w:space="0" w:color="auto"/>
        <w:bottom w:val="none" w:sz="0" w:space="0" w:color="auto"/>
        <w:right w:val="none" w:sz="0" w:space="0" w:color="auto"/>
      </w:divBdr>
    </w:div>
    <w:div w:id="1568297607">
      <w:bodyDiv w:val="1"/>
      <w:marLeft w:val="0"/>
      <w:marRight w:val="0"/>
      <w:marTop w:val="0"/>
      <w:marBottom w:val="0"/>
      <w:divBdr>
        <w:top w:val="none" w:sz="0" w:space="0" w:color="auto"/>
        <w:left w:val="none" w:sz="0" w:space="0" w:color="auto"/>
        <w:bottom w:val="none" w:sz="0" w:space="0" w:color="auto"/>
        <w:right w:val="none" w:sz="0" w:space="0" w:color="auto"/>
      </w:divBdr>
    </w:div>
    <w:div w:id="1569531536">
      <w:bodyDiv w:val="1"/>
      <w:marLeft w:val="0"/>
      <w:marRight w:val="0"/>
      <w:marTop w:val="0"/>
      <w:marBottom w:val="0"/>
      <w:divBdr>
        <w:top w:val="none" w:sz="0" w:space="0" w:color="auto"/>
        <w:left w:val="none" w:sz="0" w:space="0" w:color="auto"/>
        <w:bottom w:val="none" w:sz="0" w:space="0" w:color="auto"/>
        <w:right w:val="none" w:sz="0" w:space="0" w:color="auto"/>
      </w:divBdr>
    </w:div>
    <w:div w:id="1570652231">
      <w:bodyDiv w:val="1"/>
      <w:marLeft w:val="0"/>
      <w:marRight w:val="0"/>
      <w:marTop w:val="0"/>
      <w:marBottom w:val="0"/>
      <w:divBdr>
        <w:top w:val="none" w:sz="0" w:space="0" w:color="auto"/>
        <w:left w:val="none" w:sz="0" w:space="0" w:color="auto"/>
        <w:bottom w:val="none" w:sz="0" w:space="0" w:color="auto"/>
        <w:right w:val="none" w:sz="0" w:space="0" w:color="auto"/>
      </w:divBdr>
    </w:div>
    <w:div w:id="1572886952">
      <w:bodyDiv w:val="1"/>
      <w:marLeft w:val="0"/>
      <w:marRight w:val="0"/>
      <w:marTop w:val="0"/>
      <w:marBottom w:val="0"/>
      <w:divBdr>
        <w:top w:val="none" w:sz="0" w:space="0" w:color="auto"/>
        <w:left w:val="none" w:sz="0" w:space="0" w:color="auto"/>
        <w:bottom w:val="none" w:sz="0" w:space="0" w:color="auto"/>
        <w:right w:val="none" w:sz="0" w:space="0" w:color="auto"/>
      </w:divBdr>
    </w:div>
    <w:div w:id="1579435160">
      <w:bodyDiv w:val="1"/>
      <w:marLeft w:val="0"/>
      <w:marRight w:val="0"/>
      <w:marTop w:val="0"/>
      <w:marBottom w:val="0"/>
      <w:divBdr>
        <w:top w:val="none" w:sz="0" w:space="0" w:color="auto"/>
        <w:left w:val="none" w:sz="0" w:space="0" w:color="auto"/>
        <w:bottom w:val="none" w:sz="0" w:space="0" w:color="auto"/>
        <w:right w:val="none" w:sz="0" w:space="0" w:color="auto"/>
      </w:divBdr>
    </w:div>
    <w:div w:id="1580476472">
      <w:bodyDiv w:val="1"/>
      <w:marLeft w:val="0"/>
      <w:marRight w:val="0"/>
      <w:marTop w:val="0"/>
      <w:marBottom w:val="0"/>
      <w:divBdr>
        <w:top w:val="none" w:sz="0" w:space="0" w:color="auto"/>
        <w:left w:val="none" w:sz="0" w:space="0" w:color="auto"/>
        <w:bottom w:val="none" w:sz="0" w:space="0" w:color="auto"/>
        <w:right w:val="none" w:sz="0" w:space="0" w:color="auto"/>
      </w:divBdr>
    </w:div>
    <w:div w:id="1584334321">
      <w:bodyDiv w:val="1"/>
      <w:marLeft w:val="0"/>
      <w:marRight w:val="0"/>
      <w:marTop w:val="0"/>
      <w:marBottom w:val="0"/>
      <w:divBdr>
        <w:top w:val="none" w:sz="0" w:space="0" w:color="auto"/>
        <w:left w:val="none" w:sz="0" w:space="0" w:color="auto"/>
        <w:bottom w:val="none" w:sz="0" w:space="0" w:color="auto"/>
        <w:right w:val="none" w:sz="0" w:space="0" w:color="auto"/>
      </w:divBdr>
    </w:div>
    <w:div w:id="1586527189">
      <w:bodyDiv w:val="1"/>
      <w:marLeft w:val="0"/>
      <w:marRight w:val="0"/>
      <w:marTop w:val="0"/>
      <w:marBottom w:val="0"/>
      <w:divBdr>
        <w:top w:val="none" w:sz="0" w:space="0" w:color="auto"/>
        <w:left w:val="none" w:sz="0" w:space="0" w:color="auto"/>
        <w:bottom w:val="none" w:sz="0" w:space="0" w:color="auto"/>
        <w:right w:val="none" w:sz="0" w:space="0" w:color="auto"/>
      </w:divBdr>
    </w:div>
    <w:div w:id="1586569928">
      <w:bodyDiv w:val="1"/>
      <w:marLeft w:val="0"/>
      <w:marRight w:val="0"/>
      <w:marTop w:val="0"/>
      <w:marBottom w:val="0"/>
      <w:divBdr>
        <w:top w:val="none" w:sz="0" w:space="0" w:color="auto"/>
        <w:left w:val="none" w:sz="0" w:space="0" w:color="auto"/>
        <w:bottom w:val="none" w:sz="0" w:space="0" w:color="auto"/>
        <w:right w:val="none" w:sz="0" w:space="0" w:color="auto"/>
      </w:divBdr>
    </w:div>
    <w:div w:id="1586720842">
      <w:bodyDiv w:val="1"/>
      <w:marLeft w:val="0"/>
      <w:marRight w:val="0"/>
      <w:marTop w:val="0"/>
      <w:marBottom w:val="0"/>
      <w:divBdr>
        <w:top w:val="none" w:sz="0" w:space="0" w:color="auto"/>
        <w:left w:val="none" w:sz="0" w:space="0" w:color="auto"/>
        <w:bottom w:val="none" w:sz="0" w:space="0" w:color="auto"/>
        <w:right w:val="none" w:sz="0" w:space="0" w:color="auto"/>
      </w:divBdr>
    </w:div>
    <w:div w:id="1591159124">
      <w:bodyDiv w:val="1"/>
      <w:marLeft w:val="0"/>
      <w:marRight w:val="0"/>
      <w:marTop w:val="0"/>
      <w:marBottom w:val="0"/>
      <w:divBdr>
        <w:top w:val="none" w:sz="0" w:space="0" w:color="auto"/>
        <w:left w:val="none" w:sz="0" w:space="0" w:color="auto"/>
        <w:bottom w:val="none" w:sz="0" w:space="0" w:color="auto"/>
        <w:right w:val="none" w:sz="0" w:space="0" w:color="auto"/>
      </w:divBdr>
    </w:div>
    <w:div w:id="1596479180">
      <w:bodyDiv w:val="1"/>
      <w:marLeft w:val="0"/>
      <w:marRight w:val="0"/>
      <w:marTop w:val="0"/>
      <w:marBottom w:val="0"/>
      <w:divBdr>
        <w:top w:val="none" w:sz="0" w:space="0" w:color="auto"/>
        <w:left w:val="none" w:sz="0" w:space="0" w:color="auto"/>
        <w:bottom w:val="none" w:sz="0" w:space="0" w:color="auto"/>
        <w:right w:val="none" w:sz="0" w:space="0" w:color="auto"/>
      </w:divBdr>
    </w:div>
    <w:div w:id="1603996766">
      <w:bodyDiv w:val="1"/>
      <w:marLeft w:val="0"/>
      <w:marRight w:val="0"/>
      <w:marTop w:val="0"/>
      <w:marBottom w:val="0"/>
      <w:divBdr>
        <w:top w:val="none" w:sz="0" w:space="0" w:color="auto"/>
        <w:left w:val="none" w:sz="0" w:space="0" w:color="auto"/>
        <w:bottom w:val="none" w:sz="0" w:space="0" w:color="auto"/>
        <w:right w:val="none" w:sz="0" w:space="0" w:color="auto"/>
      </w:divBdr>
    </w:div>
    <w:div w:id="1605065542">
      <w:bodyDiv w:val="1"/>
      <w:marLeft w:val="0"/>
      <w:marRight w:val="0"/>
      <w:marTop w:val="0"/>
      <w:marBottom w:val="0"/>
      <w:divBdr>
        <w:top w:val="none" w:sz="0" w:space="0" w:color="auto"/>
        <w:left w:val="none" w:sz="0" w:space="0" w:color="auto"/>
        <w:bottom w:val="none" w:sz="0" w:space="0" w:color="auto"/>
        <w:right w:val="none" w:sz="0" w:space="0" w:color="auto"/>
      </w:divBdr>
    </w:div>
    <w:div w:id="1607078304">
      <w:bodyDiv w:val="1"/>
      <w:marLeft w:val="0"/>
      <w:marRight w:val="0"/>
      <w:marTop w:val="0"/>
      <w:marBottom w:val="0"/>
      <w:divBdr>
        <w:top w:val="none" w:sz="0" w:space="0" w:color="auto"/>
        <w:left w:val="none" w:sz="0" w:space="0" w:color="auto"/>
        <w:bottom w:val="none" w:sz="0" w:space="0" w:color="auto"/>
        <w:right w:val="none" w:sz="0" w:space="0" w:color="auto"/>
      </w:divBdr>
    </w:div>
    <w:div w:id="1613512806">
      <w:bodyDiv w:val="1"/>
      <w:marLeft w:val="0"/>
      <w:marRight w:val="0"/>
      <w:marTop w:val="0"/>
      <w:marBottom w:val="0"/>
      <w:divBdr>
        <w:top w:val="none" w:sz="0" w:space="0" w:color="auto"/>
        <w:left w:val="none" w:sz="0" w:space="0" w:color="auto"/>
        <w:bottom w:val="none" w:sz="0" w:space="0" w:color="auto"/>
        <w:right w:val="none" w:sz="0" w:space="0" w:color="auto"/>
      </w:divBdr>
    </w:div>
    <w:div w:id="1613629106">
      <w:bodyDiv w:val="1"/>
      <w:marLeft w:val="0"/>
      <w:marRight w:val="0"/>
      <w:marTop w:val="0"/>
      <w:marBottom w:val="0"/>
      <w:divBdr>
        <w:top w:val="none" w:sz="0" w:space="0" w:color="auto"/>
        <w:left w:val="none" w:sz="0" w:space="0" w:color="auto"/>
        <w:bottom w:val="none" w:sz="0" w:space="0" w:color="auto"/>
        <w:right w:val="none" w:sz="0" w:space="0" w:color="auto"/>
      </w:divBdr>
    </w:div>
    <w:div w:id="1616207847">
      <w:bodyDiv w:val="1"/>
      <w:marLeft w:val="0"/>
      <w:marRight w:val="0"/>
      <w:marTop w:val="0"/>
      <w:marBottom w:val="0"/>
      <w:divBdr>
        <w:top w:val="none" w:sz="0" w:space="0" w:color="auto"/>
        <w:left w:val="none" w:sz="0" w:space="0" w:color="auto"/>
        <w:bottom w:val="none" w:sz="0" w:space="0" w:color="auto"/>
        <w:right w:val="none" w:sz="0" w:space="0" w:color="auto"/>
      </w:divBdr>
    </w:div>
    <w:div w:id="1617910598">
      <w:bodyDiv w:val="1"/>
      <w:marLeft w:val="0"/>
      <w:marRight w:val="0"/>
      <w:marTop w:val="0"/>
      <w:marBottom w:val="0"/>
      <w:divBdr>
        <w:top w:val="none" w:sz="0" w:space="0" w:color="auto"/>
        <w:left w:val="none" w:sz="0" w:space="0" w:color="auto"/>
        <w:bottom w:val="none" w:sz="0" w:space="0" w:color="auto"/>
        <w:right w:val="none" w:sz="0" w:space="0" w:color="auto"/>
      </w:divBdr>
    </w:div>
    <w:div w:id="1622149121">
      <w:bodyDiv w:val="1"/>
      <w:marLeft w:val="0"/>
      <w:marRight w:val="0"/>
      <w:marTop w:val="0"/>
      <w:marBottom w:val="0"/>
      <w:divBdr>
        <w:top w:val="none" w:sz="0" w:space="0" w:color="auto"/>
        <w:left w:val="none" w:sz="0" w:space="0" w:color="auto"/>
        <w:bottom w:val="none" w:sz="0" w:space="0" w:color="auto"/>
        <w:right w:val="none" w:sz="0" w:space="0" w:color="auto"/>
      </w:divBdr>
    </w:div>
    <w:div w:id="1622611039">
      <w:bodyDiv w:val="1"/>
      <w:marLeft w:val="0"/>
      <w:marRight w:val="0"/>
      <w:marTop w:val="0"/>
      <w:marBottom w:val="0"/>
      <w:divBdr>
        <w:top w:val="none" w:sz="0" w:space="0" w:color="auto"/>
        <w:left w:val="none" w:sz="0" w:space="0" w:color="auto"/>
        <w:bottom w:val="none" w:sz="0" w:space="0" w:color="auto"/>
        <w:right w:val="none" w:sz="0" w:space="0" w:color="auto"/>
      </w:divBdr>
    </w:div>
    <w:div w:id="1623342275">
      <w:bodyDiv w:val="1"/>
      <w:marLeft w:val="0"/>
      <w:marRight w:val="0"/>
      <w:marTop w:val="0"/>
      <w:marBottom w:val="0"/>
      <w:divBdr>
        <w:top w:val="none" w:sz="0" w:space="0" w:color="auto"/>
        <w:left w:val="none" w:sz="0" w:space="0" w:color="auto"/>
        <w:bottom w:val="none" w:sz="0" w:space="0" w:color="auto"/>
        <w:right w:val="none" w:sz="0" w:space="0" w:color="auto"/>
      </w:divBdr>
    </w:div>
    <w:div w:id="1625307829">
      <w:bodyDiv w:val="1"/>
      <w:marLeft w:val="0"/>
      <w:marRight w:val="0"/>
      <w:marTop w:val="0"/>
      <w:marBottom w:val="0"/>
      <w:divBdr>
        <w:top w:val="none" w:sz="0" w:space="0" w:color="auto"/>
        <w:left w:val="none" w:sz="0" w:space="0" w:color="auto"/>
        <w:bottom w:val="none" w:sz="0" w:space="0" w:color="auto"/>
        <w:right w:val="none" w:sz="0" w:space="0" w:color="auto"/>
      </w:divBdr>
    </w:div>
    <w:div w:id="1631324993">
      <w:bodyDiv w:val="1"/>
      <w:marLeft w:val="0"/>
      <w:marRight w:val="0"/>
      <w:marTop w:val="0"/>
      <w:marBottom w:val="0"/>
      <w:divBdr>
        <w:top w:val="none" w:sz="0" w:space="0" w:color="auto"/>
        <w:left w:val="none" w:sz="0" w:space="0" w:color="auto"/>
        <w:bottom w:val="none" w:sz="0" w:space="0" w:color="auto"/>
        <w:right w:val="none" w:sz="0" w:space="0" w:color="auto"/>
      </w:divBdr>
    </w:div>
    <w:div w:id="1631588592">
      <w:bodyDiv w:val="1"/>
      <w:marLeft w:val="0"/>
      <w:marRight w:val="0"/>
      <w:marTop w:val="0"/>
      <w:marBottom w:val="0"/>
      <w:divBdr>
        <w:top w:val="none" w:sz="0" w:space="0" w:color="auto"/>
        <w:left w:val="none" w:sz="0" w:space="0" w:color="auto"/>
        <w:bottom w:val="none" w:sz="0" w:space="0" w:color="auto"/>
        <w:right w:val="none" w:sz="0" w:space="0" w:color="auto"/>
      </w:divBdr>
    </w:div>
    <w:div w:id="1634753684">
      <w:bodyDiv w:val="1"/>
      <w:marLeft w:val="0"/>
      <w:marRight w:val="0"/>
      <w:marTop w:val="0"/>
      <w:marBottom w:val="0"/>
      <w:divBdr>
        <w:top w:val="none" w:sz="0" w:space="0" w:color="auto"/>
        <w:left w:val="none" w:sz="0" w:space="0" w:color="auto"/>
        <w:bottom w:val="none" w:sz="0" w:space="0" w:color="auto"/>
        <w:right w:val="none" w:sz="0" w:space="0" w:color="auto"/>
      </w:divBdr>
    </w:div>
    <w:div w:id="1636985171">
      <w:bodyDiv w:val="1"/>
      <w:marLeft w:val="0"/>
      <w:marRight w:val="0"/>
      <w:marTop w:val="0"/>
      <w:marBottom w:val="0"/>
      <w:divBdr>
        <w:top w:val="none" w:sz="0" w:space="0" w:color="auto"/>
        <w:left w:val="none" w:sz="0" w:space="0" w:color="auto"/>
        <w:bottom w:val="none" w:sz="0" w:space="0" w:color="auto"/>
        <w:right w:val="none" w:sz="0" w:space="0" w:color="auto"/>
      </w:divBdr>
    </w:div>
    <w:div w:id="1638029547">
      <w:bodyDiv w:val="1"/>
      <w:marLeft w:val="0"/>
      <w:marRight w:val="0"/>
      <w:marTop w:val="0"/>
      <w:marBottom w:val="0"/>
      <w:divBdr>
        <w:top w:val="none" w:sz="0" w:space="0" w:color="auto"/>
        <w:left w:val="none" w:sz="0" w:space="0" w:color="auto"/>
        <w:bottom w:val="none" w:sz="0" w:space="0" w:color="auto"/>
        <w:right w:val="none" w:sz="0" w:space="0" w:color="auto"/>
      </w:divBdr>
    </w:div>
    <w:div w:id="1638997062">
      <w:bodyDiv w:val="1"/>
      <w:marLeft w:val="0"/>
      <w:marRight w:val="0"/>
      <w:marTop w:val="0"/>
      <w:marBottom w:val="0"/>
      <w:divBdr>
        <w:top w:val="none" w:sz="0" w:space="0" w:color="auto"/>
        <w:left w:val="none" w:sz="0" w:space="0" w:color="auto"/>
        <w:bottom w:val="none" w:sz="0" w:space="0" w:color="auto"/>
        <w:right w:val="none" w:sz="0" w:space="0" w:color="auto"/>
      </w:divBdr>
    </w:div>
    <w:div w:id="1646542598">
      <w:bodyDiv w:val="1"/>
      <w:marLeft w:val="0"/>
      <w:marRight w:val="0"/>
      <w:marTop w:val="0"/>
      <w:marBottom w:val="0"/>
      <w:divBdr>
        <w:top w:val="none" w:sz="0" w:space="0" w:color="auto"/>
        <w:left w:val="none" w:sz="0" w:space="0" w:color="auto"/>
        <w:bottom w:val="none" w:sz="0" w:space="0" w:color="auto"/>
        <w:right w:val="none" w:sz="0" w:space="0" w:color="auto"/>
      </w:divBdr>
    </w:div>
    <w:div w:id="1656257380">
      <w:bodyDiv w:val="1"/>
      <w:marLeft w:val="0"/>
      <w:marRight w:val="0"/>
      <w:marTop w:val="0"/>
      <w:marBottom w:val="0"/>
      <w:divBdr>
        <w:top w:val="none" w:sz="0" w:space="0" w:color="auto"/>
        <w:left w:val="none" w:sz="0" w:space="0" w:color="auto"/>
        <w:bottom w:val="none" w:sz="0" w:space="0" w:color="auto"/>
        <w:right w:val="none" w:sz="0" w:space="0" w:color="auto"/>
      </w:divBdr>
    </w:div>
    <w:div w:id="1657755786">
      <w:bodyDiv w:val="1"/>
      <w:marLeft w:val="0"/>
      <w:marRight w:val="0"/>
      <w:marTop w:val="0"/>
      <w:marBottom w:val="0"/>
      <w:divBdr>
        <w:top w:val="none" w:sz="0" w:space="0" w:color="auto"/>
        <w:left w:val="none" w:sz="0" w:space="0" w:color="auto"/>
        <w:bottom w:val="none" w:sz="0" w:space="0" w:color="auto"/>
        <w:right w:val="none" w:sz="0" w:space="0" w:color="auto"/>
      </w:divBdr>
    </w:div>
    <w:div w:id="1658849624">
      <w:bodyDiv w:val="1"/>
      <w:marLeft w:val="0"/>
      <w:marRight w:val="0"/>
      <w:marTop w:val="0"/>
      <w:marBottom w:val="0"/>
      <w:divBdr>
        <w:top w:val="none" w:sz="0" w:space="0" w:color="auto"/>
        <w:left w:val="none" w:sz="0" w:space="0" w:color="auto"/>
        <w:bottom w:val="none" w:sz="0" w:space="0" w:color="auto"/>
        <w:right w:val="none" w:sz="0" w:space="0" w:color="auto"/>
      </w:divBdr>
    </w:div>
    <w:div w:id="1659769453">
      <w:bodyDiv w:val="1"/>
      <w:marLeft w:val="0"/>
      <w:marRight w:val="0"/>
      <w:marTop w:val="0"/>
      <w:marBottom w:val="0"/>
      <w:divBdr>
        <w:top w:val="none" w:sz="0" w:space="0" w:color="auto"/>
        <w:left w:val="none" w:sz="0" w:space="0" w:color="auto"/>
        <w:bottom w:val="none" w:sz="0" w:space="0" w:color="auto"/>
        <w:right w:val="none" w:sz="0" w:space="0" w:color="auto"/>
      </w:divBdr>
    </w:div>
    <w:div w:id="1669093287">
      <w:bodyDiv w:val="1"/>
      <w:marLeft w:val="0"/>
      <w:marRight w:val="0"/>
      <w:marTop w:val="0"/>
      <w:marBottom w:val="0"/>
      <w:divBdr>
        <w:top w:val="none" w:sz="0" w:space="0" w:color="auto"/>
        <w:left w:val="none" w:sz="0" w:space="0" w:color="auto"/>
        <w:bottom w:val="none" w:sz="0" w:space="0" w:color="auto"/>
        <w:right w:val="none" w:sz="0" w:space="0" w:color="auto"/>
      </w:divBdr>
    </w:div>
    <w:div w:id="1677610207">
      <w:bodyDiv w:val="1"/>
      <w:marLeft w:val="0"/>
      <w:marRight w:val="0"/>
      <w:marTop w:val="0"/>
      <w:marBottom w:val="0"/>
      <w:divBdr>
        <w:top w:val="none" w:sz="0" w:space="0" w:color="auto"/>
        <w:left w:val="none" w:sz="0" w:space="0" w:color="auto"/>
        <w:bottom w:val="none" w:sz="0" w:space="0" w:color="auto"/>
        <w:right w:val="none" w:sz="0" w:space="0" w:color="auto"/>
      </w:divBdr>
    </w:div>
    <w:div w:id="1687826273">
      <w:bodyDiv w:val="1"/>
      <w:marLeft w:val="0"/>
      <w:marRight w:val="0"/>
      <w:marTop w:val="0"/>
      <w:marBottom w:val="0"/>
      <w:divBdr>
        <w:top w:val="none" w:sz="0" w:space="0" w:color="auto"/>
        <w:left w:val="none" w:sz="0" w:space="0" w:color="auto"/>
        <w:bottom w:val="none" w:sz="0" w:space="0" w:color="auto"/>
        <w:right w:val="none" w:sz="0" w:space="0" w:color="auto"/>
      </w:divBdr>
    </w:div>
    <w:div w:id="1691762882">
      <w:bodyDiv w:val="1"/>
      <w:marLeft w:val="0"/>
      <w:marRight w:val="0"/>
      <w:marTop w:val="0"/>
      <w:marBottom w:val="0"/>
      <w:divBdr>
        <w:top w:val="none" w:sz="0" w:space="0" w:color="auto"/>
        <w:left w:val="none" w:sz="0" w:space="0" w:color="auto"/>
        <w:bottom w:val="none" w:sz="0" w:space="0" w:color="auto"/>
        <w:right w:val="none" w:sz="0" w:space="0" w:color="auto"/>
      </w:divBdr>
    </w:div>
    <w:div w:id="1692952191">
      <w:bodyDiv w:val="1"/>
      <w:marLeft w:val="0"/>
      <w:marRight w:val="0"/>
      <w:marTop w:val="0"/>
      <w:marBottom w:val="0"/>
      <w:divBdr>
        <w:top w:val="none" w:sz="0" w:space="0" w:color="auto"/>
        <w:left w:val="none" w:sz="0" w:space="0" w:color="auto"/>
        <w:bottom w:val="none" w:sz="0" w:space="0" w:color="auto"/>
        <w:right w:val="none" w:sz="0" w:space="0" w:color="auto"/>
      </w:divBdr>
    </w:div>
    <w:div w:id="1695694668">
      <w:bodyDiv w:val="1"/>
      <w:marLeft w:val="0"/>
      <w:marRight w:val="0"/>
      <w:marTop w:val="0"/>
      <w:marBottom w:val="0"/>
      <w:divBdr>
        <w:top w:val="none" w:sz="0" w:space="0" w:color="auto"/>
        <w:left w:val="none" w:sz="0" w:space="0" w:color="auto"/>
        <w:bottom w:val="none" w:sz="0" w:space="0" w:color="auto"/>
        <w:right w:val="none" w:sz="0" w:space="0" w:color="auto"/>
      </w:divBdr>
    </w:div>
    <w:div w:id="1695885170">
      <w:bodyDiv w:val="1"/>
      <w:marLeft w:val="0"/>
      <w:marRight w:val="0"/>
      <w:marTop w:val="0"/>
      <w:marBottom w:val="0"/>
      <w:divBdr>
        <w:top w:val="none" w:sz="0" w:space="0" w:color="auto"/>
        <w:left w:val="none" w:sz="0" w:space="0" w:color="auto"/>
        <w:bottom w:val="none" w:sz="0" w:space="0" w:color="auto"/>
        <w:right w:val="none" w:sz="0" w:space="0" w:color="auto"/>
      </w:divBdr>
    </w:div>
    <w:div w:id="1702971631">
      <w:bodyDiv w:val="1"/>
      <w:marLeft w:val="0"/>
      <w:marRight w:val="0"/>
      <w:marTop w:val="0"/>
      <w:marBottom w:val="0"/>
      <w:divBdr>
        <w:top w:val="none" w:sz="0" w:space="0" w:color="auto"/>
        <w:left w:val="none" w:sz="0" w:space="0" w:color="auto"/>
        <w:bottom w:val="none" w:sz="0" w:space="0" w:color="auto"/>
        <w:right w:val="none" w:sz="0" w:space="0" w:color="auto"/>
      </w:divBdr>
    </w:div>
    <w:div w:id="1705206356">
      <w:bodyDiv w:val="1"/>
      <w:marLeft w:val="0"/>
      <w:marRight w:val="0"/>
      <w:marTop w:val="0"/>
      <w:marBottom w:val="0"/>
      <w:divBdr>
        <w:top w:val="none" w:sz="0" w:space="0" w:color="auto"/>
        <w:left w:val="none" w:sz="0" w:space="0" w:color="auto"/>
        <w:bottom w:val="none" w:sz="0" w:space="0" w:color="auto"/>
        <w:right w:val="none" w:sz="0" w:space="0" w:color="auto"/>
      </w:divBdr>
    </w:div>
    <w:div w:id="1717927291">
      <w:bodyDiv w:val="1"/>
      <w:marLeft w:val="0"/>
      <w:marRight w:val="0"/>
      <w:marTop w:val="0"/>
      <w:marBottom w:val="0"/>
      <w:divBdr>
        <w:top w:val="none" w:sz="0" w:space="0" w:color="auto"/>
        <w:left w:val="none" w:sz="0" w:space="0" w:color="auto"/>
        <w:bottom w:val="none" w:sz="0" w:space="0" w:color="auto"/>
        <w:right w:val="none" w:sz="0" w:space="0" w:color="auto"/>
      </w:divBdr>
    </w:div>
    <w:div w:id="1720476938">
      <w:bodyDiv w:val="1"/>
      <w:marLeft w:val="0"/>
      <w:marRight w:val="0"/>
      <w:marTop w:val="0"/>
      <w:marBottom w:val="0"/>
      <w:divBdr>
        <w:top w:val="none" w:sz="0" w:space="0" w:color="auto"/>
        <w:left w:val="none" w:sz="0" w:space="0" w:color="auto"/>
        <w:bottom w:val="none" w:sz="0" w:space="0" w:color="auto"/>
        <w:right w:val="none" w:sz="0" w:space="0" w:color="auto"/>
      </w:divBdr>
    </w:div>
    <w:div w:id="1734157428">
      <w:bodyDiv w:val="1"/>
      <w:marLeft w:val="0"/>
      <w:marRight w:val="0"/>
      <w:marTop w:val="0"/>
      <w:marBottom w:val="0"/>
      <w:divBdr>
        <w:top w:val="none" w:sz="0" w:space="0" w:color="auto"/>
        <w:left w:val="none" w:sz="0" w:space="0" w:color="auto"/>
        <w:bottom w:val="none" w:sz="0" w:space="0" w:color="auto"/>
        <w:right w:val="none" w:sz="0" w:space="0" w:color="auto"/>
      </w:divBdr>
    </w:div>
    <w:div w:id="1734770569">
      <w:bodyDiv w:val="1"/>
      <w:marLeft w:val="0"/>
      <w:marRight w:val="0"/>
      <w:marTop w:val="0"/>
      <w:marBottom w:val="0"/>
      <w:divBdr>
        <w:top w:val="none" w:sz="0" w:space="0" w:color="auto"/>
        <w:left w:val="none" w:sz="0" w:space="0" w:color="auto"/>
        <w:bottom w:val="none" w:sz="0" w:space="0" w:color="auto"/>
        <w:right w:val="none" w:sz="0" w:space="0" w:color="auto"/>
      </w:divBdr>
    </w:div>
    <w:div w:id="1740903113">
      <w:bodyDiv w:val="1"/>
      <w:marLeft w:val="0"/>
      <w:marRight w:val="0"/>
      <w:marTop w:val="0"/>
      <w:marBottom w:val="0"/>
      <w:divBdr>
        <w:top w:val="none" w:sz="0" w:space="0" w:color="auto"/>
        <w:left w:val="none" w:sz="0" w:space="0" w:color="auto"/>
        <w:bottom w:val="none" w:sz="0" w:space="0" w:color="auto"/>
        <w:right w:val="none" w:sz="0" w:space="0" w:color="auto"/>
      </w:divBdr>
    </w:div>
    <w:div w:id="1741245093">
      <w:bodyDiv w:val="1"/>
      <w:marLeft w:val="0"/>
      <w:marRight w:val="0"/>
      <w:marTop w:val="0"/>
      <w:marBottom w:val="0"/>
      <w:divBdr>
        <w:top w:val="none" w:sz="0" w:space="0" w:color="auto"/>
        <w:left w:val="none" w:sz="0" w:space="0" w:color="auto"/>
        <w:bottom w:val="none" w:sz="0" w:space="0" w:color="auto"/>
        <w:right w:val="none" w:sz="0" w:space="0" w:color="auto"/>
      </w:divBdr>
    </w:div>
    <w:div w:id="1754424407">
      <w:bodyDiv w:val="1"/>
      <w:marLeft w:val="0"/>
      <w:marRight w:val="0"/>
      <w:marTop w:val="0"/>
      <w:marBottom w:val="0"/>
      <w:divBdr>
        <w:top w:val="none" w:sz="0" w:space="0" w:color="auto"/>
        <w:left w:val="none" w:sz="0" w:space="0" w:color="auto"/>
        <w:bottom w:val="none" w:sz="0" w:space="0" w:color="auto"/>
        <w:right w:val="none" w:sz="0" w:space="0" w:color="auto"/>
      </w:divBdr>
    </w:div>
    <w:div w:id="1760784781">
      <w:bodyDiv w:val="1"/>
      <w:marLeft w:val="0"/>
      <w:marRight w:val="0"/>
      <w:marTop w:val="0"/>
      <w:marBottom w:val="0"/>
      <w:divBdr>
        <w:top w:val="none" w:sz="0" w:space="0" w:color="auto"/>
        <w:left w:val="none" w:sz="0" w:space="0" w:color="auto"/>
        <w:bottom w:val="none" w:sz="0" w:space="0" w:color="auto"/>
        <w:right w:val="none" w:sz="0" w:space="0" w:color="auto"/>
      </w:divBdr>
    </w:div>
    <w:div w:id="1765296219">
      <w:bodyDiv w:val="1"/>
      <w:marLeft w:val="0"/>
      <w:marRight w:val="0"/>
      <w:marTop w:val="0"/>
      <w:marBottom w:val="0"/>
      <w:divBdr>
        <w:top w:val="none" w:sz="0" w:space="0" w:color="auto"/>
        <w:left w:val="none" w:sz="0" w:space="0" w:color="auto"/>
        <w:bottom w:val="none" w:sz="0" w:space="0" w:color="auto"/>
        <w:right w:val="none" w:sz="0" w:space="0" w:color="auto"/>
      </w:divBdr>
    </w:div>
    <w:div w:id="1768454207">
      <w:bodyDiv w:val="1"/>
      <w:marLeft w:val="0"/>
      <w:marRight w:val="0"/>
      <w:marTop w:val="0"/>
      <w:marBottom w:val="0"/>
      <w:divBdr>
        <w:top w:val="none" w:sz="0" w:space="0" w:color="auto"/>
        <w:left w:val="none" w:sz="0" w:space="0" w:color="auto"/>
        <w:bottom w:val="none" w:sz="0" w:space="0" w:color="auto"/>
        <w:right w:val="none" w:sz="0" w:space="0" w:color="auto"/>
      </w:divBdr>
    </w:div>
    <w:div w:id="1768889547">
      <w:bodyDiv w:val="1"/>
      <w:marLeft w:val="0"/>
      <w:marRight w:val="0"/>
      <w:marTop w:val="0"/>
      <w:marBottom w:val="0"/>
      <w:divBdr>
        <w:top w:val="none" w:sz="0" w:space="0" w:color="auto"/>
        <w:left w:val="none" w:sz="0" w:space="0" w:color="auto"/>
        <w:bottom w:val="none" w:sz="0" w:space="0" w:color="auto"/>
        <w:right w:val="none" w:sz="0" w:space="0" w:color="auto"/>
      </w:divBdr>
    </w:div>
    <w:div w:id="1776822803">
      <w:bodyDiv w:val="1"/>
      <w:marLeft w:val="0"/>
      <w:marRight w:val="0"/>
      <w:marTop w:val="0"/>
      <w:marBottom w:val="0"/>
      <w:divBdr>
        <w:top w:val="none" w:sz="0" w:space="0" w:color="auto"/>
        <w:left w:val="none" w:sz="0" w:space="0" w:color="auto"/>
        <w:bottom w:val="none" w:sz="0" w:space="0" w:color="auto"/>
        <w:right w:val="none" w:sz="0" w:space="0" w:color="auto"/>
      </w:divBdr>
    </w:div>
    <w:div w:id="1779639655">
      <w:bodyDiv w:val="1"/>
      <w:marLeft w:val="0"/>
      <w:marRight w:val="0"/>
      <w:marTop w:val="0"/>
      <w:marBottom w:val="0"/>
      <w:divBdr>
        <w:top w:val="none" w:sz="0" w:space="0" w:color="auto"/>
        <w:left w:val="none" w:sz="0" w:space="0" w:color="auto"/>
        <w:bottom w:val="none" w:sz="0" w:space="0" w:color="auto"/>
        <w:right w:val="none" w:sz="0" w:space="0" w:color="auto"/>
      </w:divBdr>
    </w:div>
    <w:div w:id="1783845417">
      <w:bodyDiv w:val="1"/>
      <w:marLeft w:val="0"/>
      <w:marRight w:val="0"/>
      <w:marTop w:val="0"/>
      <w:marBottom w:val="0"/>
      <w:divBdr>
        <w:top w:val="none" w:sz="0" w:space="0" w:color="auto"/>
        <w:left w:val="none" w:sz="0" w:space="0" w:color="auto"/>
        <w:bottom w:val="none" w:sz="0" w:space="0" w:color="auto"/>
        <w:right w:val="none" w:sz="0" w:space="0" w:color="auto"/>
      </w:divBdr>
    </w:div>
    <w:div w:id="1784181154">
      <w:bodyDiv w:val="1"/>
      <w:marLeft w:val="0"/>
      <w:marRight w:val="0"/>
      <w:marTop w:val="0"/>
      <w:marBottom w:val="0"/>
      <w:divBdr>
        <w:top w:val="none" w:sz="0" w:space="0" w:color="auto"/>
        <w:left w:val="none" w:sz="0" w:space="0" w:color="auto"/>
        <w:bottom w:val="none" w:sz="0" w:space="0" w:color="auto"/>
        <w:right w:val="none" w:sz="0" w:space="0" w:color="auto"/>
      </w:divBdr>
    </w:div>
    <w:div w:id="1787503910">
      <w:bodyDiv w:val="1"/>
      <w:marLeft w:val="0"/>
      <w:marRight w:val="0"/>
      <w:marTop w:val="0"/>
      <w:marBottom w:val="0"/>
      <w:divBdr>
        <w:top w:val="none" w:sz="0" w:space="0" w:color="auto"/>
        <w:left w:val="none" w:sz="0" w:space="0" w:color="auto"/>
        <w:bottom w:val="none" w:sz="0" w:space="0" w:color="auto"/>
        <w:right w:val="none" w:sz="0" w:space="0" w:color="auto"/>
      </w:divBdr>
    </w:div>
    <w:div w:id="1789158131">
      <w:bodyDiv w:val="1"/>
      <w:marLeft w:val="0"/>
      <w:marRight w:val="0"/>
      <w:marTop w:val="0"/>
      <w:marBottom w:val="0"/>
      <w:divBdr>
        <w:top w:val="none" w:sz="0" w:space="0" w:color="auto"/>
        <w:left w:val="none" w:sz="0" w:space="0" w:color="auto"/>
        <w:bottom w:val="none" w:sz="0" w:space="0" w:color="auto"/>
        <w:right w:val="none" w:sz="0" w:space="0" w:color="auto"/>
      </w:divBdr>
    </w:div>
    <w:div w:id="1791246922">
      <w:bodyDiv w:val="1"/>
      <w:marLeft w:val="0"/>
      <w:marRight w:val="0"/>
      <w:marTop w:val="0"/>
      <w:marBottom w:val="0"/>
      <w:divBdr>
        <w:top w:val="none" w:sz="0" w:space="0" w:color="auto"/>
        <w:left w:val="none" w:sz="0" w:space="0" w:color="auto"/>
        <w:bottom w:val="none" w:sz="0" w:space="0" w:color="auto"/>
        <w:right w:val="none" w:sz="0" w:space="0" w:color="auto"/>
      </w:divBdr>
    </w:div>
    <w:div w:id="1796093498">
      <w:bodyDiv w:val="1"/>
      <w:marLeft w:val="0"/>
      <w:marRight w:val="0"/>
      <w:marTop w:val="0"/>
      <w:marBottom w:val="0"/>
      <w:divBdr>
        <w:top w:val="none" w:sz="0" w:space="0" w:color="auto"/>
        <w:left w:val="none" w:sz="0" w:space="0" w:color="auto"/>
        <w:bottom w:val="none" w:sz="0" w:space="0" w:color="auto"/>
        <w:right w:val="none" w:sz="0" w:space="0" w:color="auto"/>
      </w:divBdr>
    </w:div>
    <w:div w:id="1804613479">
      <w:bodyDiv w:val="1"/>
      <w:marLeft w:val="0"/>
      <w:marRight w:val="0"/>
      <w:marTop w:val="0"/>
      <w:marBottom w:val="0"/>
      <w:divBdr>
        <w:top w:val="none" w:sz="0" w:space="0" w:color="auto"/>
        <w:left w:val="none" w:sz="0" w:space="0" w:color="auto"/>
        <w:bottom w:val="none" w:sz="0" w:space="0" w:color="auto"/>
        <w:right w:val="none" w:sz="0" w:space="0" w:color="auto"/>
      </w:divBdr>
    </w:div>
    <w:div w:id="1806653069">
      <w:bodyDiv w:val="1"/>
      <w:marLeft w:val="0"/>
      <w:marRight w:val="0"/>
      <w:marTop w:val="0"/>
      <w:marBottom w:val="0"/>
      <w:divBdr>
        <w:top w:val="none" w:sz="0" w:space="0" w:color="auto"/>
        <w:left w:val="none" w:sz="0" w:space="0" w:color="auto"/>
        <w:bottom w:val="none" w:sz="0" w:space="0" w:color="auto"/>
        <w:right w:val="none" w:sz="0" w:space="0" w:color="auto"/>
      </w:divBdr>
    </w:div>
    <w:div w:id="1810316366">
      <w:bodyDiv w:val="1"/>
      <w:marLeft w:val="0"/>
      <w:marRight w:val="0"/>
      <w:marTop w:val="0"/>
      <w:marBottom w:val="0"/>
      <w:divBdr>
        <w:top w:val="none" w:sz="0" w:space="0" w:color="auto"/>
        <w:left w:val="none" w:sz="0" w:space="0" w:color="auto"/>
        <w:bottom w:val="none" w:sz="0" w:space="0" w:color="auto"/>
        <w:right w:val="none" w:sz="0" w:space="0" w:color="auto"/>
      </w:divBdr>
    </w:div>
    <w:div w:id="1818641096">
      <w:bodyDiv w:val="1"/>
      <w:marLeft w:val="0"/>
      <w:marRight w:val="0"/>
      <w:marTop w:val="0"/>
      <w:marBottom w:val="0"/>
      <w:divBdr>
        <w:top w:val="none" w:sz="0" w:space="0" w:color="auto"/>
        <w:left w:val="none" w:sz="0" w:space="0" w:color="auto"/>
        <w:bottom w:val="none" w:sz="0" w:space="0" w:color="auto"/>
        <w:right w:val="none" w:sz="0" w:space="0" w:color="auto"/>
      </w:divBdr>
    </w:div>
    <w:div w:id="1820539856">
      <w:bodyDiv w:val="1"/>
      <w:marLeft w:val="0"/>
      <w:marRight w:val="0"/>
      <w:marTop w:val="0"/>
      <w:marBottom w:val="0"/>
      <w:divBdr>
        <w:top w:val="none" w:sz="0" w:space="0" w:color="auto"/>
        <w:left w:val="none" w:sz="0" w:space="0" w:color="auto"/>
        <w:bottom w:val="none" w:sz="0" w:space="0" w:color="auto"/>
        <w:right w:val="none" w:sz="0" w:space="0" w:color="auto"/>
      </w:divBdr>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
    <w:div w:id="1829126338">
      <w:bodyDiv w:val="1"/>
      <w:marLeft w:val="0"/>
      <w:marRight w:val="0"/>
      <w:marTop w:val="0"/>
      <w:marBottom w:val="0"/>
      <w:divBdr>
        <w:top w:val="none" w:sz="0" w:space="0" w:color="auto"/>
        <w:left w:val="none" w:sz="0" w:space="0" w:color="auto"/>
        <w:bottom w:val="none" w:sz="0" w:space="0" w:color="auto"/>
        <w:right w:val="none" w:sz="0" w:space="0" w:color="auto"/>
      </w:divBdr>
    </w:div>
    <w:div w:id="1836260819">
      <w:bodyDiv w:val="1"/>
      <w:marLeft w:val="0"/>
      <w:marRight w:val="0"/>
      <w:marTop w:val="0"/>
      <w:marBottom w:val="0"/>
      <w:divBdr>
        <w:top w:val="none" w:sz="0" w:space="0" w:color="auto"/>
        <w:left w:val="none" w:sz="0" w:space="0" w:color="auto"/>
        <w:bottom w:val="none" w:sz="0" w:space="0" w:color="auto"/>
        <w:right w:val="none" w:sz="0" w:space="0" w:color="auto"/>
      </w:divBdr>
    </w:div>
    <w:div w:id="1836409201">
      <w:bodyDiv w:val="1"/>
      <w:marLeft w:val="0"/>
      <w:marRight w:val="0"/>
      <w:marTop w:val="0"/>
      <w:marBottom w:val="0"/>
      <w:divBdr>
        <w:top w:val="none" w:sz="0" w:space="0" w:color="auto"/>
        <w:left w:val="none" w:sz="0" w:space="0" w:color="auto"/>
        <w:bottom w:val="none" w:sz="0" w:space="0" w:color="auto"/>
        <w:right w:val="none" w:sz="0" w:space="0" w:color="auto"/>
      </w:divBdr>
    </w:div>
    <w:div w:id="1837070362">
      <w:bodyDiv w:val="1"/>
      <w:marLeft w:val="0"/>
      <w:marRight w:val="0"/>
      <w:marTop w:val="0"/>
      <w:marBottom w:val="0"/>
      <w:divBdr>
        <w:top w:val="none" w:sz="0" w:space="0" w:color="auto"/>
        <w:left w:val="none" w:sz="0" w:space="0" w:color="auto"/>
        <w:bottom w:val="none" w:sz="0" w:space="0" w:color="auto"/>
        <w:right w:val="none" w:sz="0" w:space="0" w:color="auto"/>
      </w:divBdr>
    </w:div>
    <w:div w:id="1840660755">
      <w:bodyDiv w:val="1"/>
      <w:marLeft w:val="0"/>
      <w:marRight w:val="0"/>
      <w:marTop w:val="0"/>
      <w:marBottom w:val="0"/>
      <w:divBdr>
        <w:top w:val="none" w:sz="0" w:space="0" w:color="auto"/>
        <w:left w:val="none" w:sz="0" w:space="0" w:color="auto"/>
        <w:bottom w:val="none" w:sz="0" w:space="0" w:color="auto"/>
        <w:right w:val="none" w:sz="0" w:space="0" w:color="auto"/>
      </w:divBdr>
    </w:div>
    <w:div w:id="1856730473">
      <w:bodyDiv w:val="1"/>
      <w:marLeft w:val="0"/>
      <w:marRight w:val="0"/>
      <w:marTop w:val="0"/>
      <w:marBottom w:val="0"/>
      <w:divBdr>
        <w:top w:val="none" w:sz="0" w:space="0" w:color="auto"/>
        <w:left w:val="none" w:sz="0" w:space="0" w:color="auto"/>
        <w:bottom w:val="none" w:sz="0" w:space="0" w:color="auto"/>
        <w:right w:val="none" w:sz="0" w:space="0" w:color="auto"/>
      </w:divBdr>
    </w:div>
    <w:div w:id="1856798108">
      <w:bodyDiv w:val="1"/>
      <w:marLeft w:val="0"/>
      <w:marRight w:val="0"/>
      <w:marTop w:val="0"/>
      <w:marBottom w:val="0"/>
      <w:divBdr>
        <w:top w:val="none" w:sz="0" w:space="0" w:color="auto"/>
        <w:left w:val="none" w:sz="0" w:space="0" w:color="auto"/>
        <w:bottom w:val="none" w:sz="0" w:space="0" w:color="auto"/>
        <w:right w:val="none" w:sz="0" w:space="0" w:color="auto"/>
      </w:divBdr>
    </w:div>
    <w:div w:id="1866137709">
      <w:bodyDiv w:val="1"/>
      <w:marLeft w:val="0"/>
      <w:marRight w:val="0"/>
      <w:marTop w:val="0"/>
      <w:marBottom w:val="0"/>
      <w:divBdr>
        <w:top w:val="none" w:sz="0" w:space="0" w:color="auto"/>
        <w:left w:val="none" w:sz="0" w:space="0" w:color="auto"/>
        <w:bottom w:val="none" w:sz="0" w:space="0" w:color="auto"/>
        <w:right w:val="none" w:sz="0" w:space="0" w:color="auto"/>
      </w:divBdr>
    </w:div>
    <w:div w:id="1881938268">
      <w:bodyDiv w:val="1"/>
      <w:marLeft w:val="0"/>
      <w:marRight w:val="0"/>
      <w:marTop w:val="0"/>
      <w:marBottom w:val="0"/>
      <w:divBdr>
        <w:top w:val="none" w:sz="0" w:space="0" w:color="auto"/>
        <w:left w:val="none" w:sz="0" w:space="0" w:color="auto"/>
        <w:bottom w:val="none" w:sz="0" w:space="0" w:color="auto"/>
        <w:right w:val="none" w:sz="0" w:space="0" w:color="auto"/>
      </w:divBdr>
    </w:div>
    <w:div w:id="1884173785">
      <w:bodyDiv w:val="1"/>
      <w:marLeft w:val="0"/>
      <w:marRight w:val="0"/>
      <w:marTop w:val="0"/>
      <w:marBottom w:val="0"/>
      <w:divBdr>
        <w:top w:val="none" w:sz="0" w:space="0" w:color="auto"/>
        <w:left w:val="none" w:sz="0" w:space="0" w:color="auto"/>
        <w:bottom w:val="none" w:sz="0" w:space="0" w:color="auto"/>
        <w:right w:val="none" w:sz="0" w:space="0" w:color="auto"/>
      </w:divBdr>
    </w:div>
    <w:div w:id="1884755325">
      <w:bodyDiv w:val="1"/>
      <w:marLeft w:val="0"/>
      <w:marRight w:val="0"/>
      <w:marTop w:val="0"/>
      <w:marBottom w:val="0"/>
      <w:divBdr>
        <w:top w:val="none" w:sz="0" w:space="0" w:color="auto"/>
        <w:left w:val="none" w:sz="0" w:space="0" w:color="auto"/>
        <w:bottom w:val="none" w:sz="0" w:space="0" w:color="auto"/>
        <w:right w:val="none" w:sz="0" w:space="0" w:color="auto"/>
      </w:divBdr>
    </w:div>
    <w:div w:id="1892619700">
      <w:bodyDiv w:val="1"/>
      <w:marLeft w:val="0"/>
      <w:marRight w:val="0"/>
      <w:marTop w:val="0"/>
      <w:marBottom w:val="0"/>
      <w:divBdr>
        <w:top w:val="none" w:sz="0" w:space="0" w:color="auto"/>
        <w:left w:val="none" w:sz="0" w:space="0" w:color="auto"/>
        <w:bottom w:val="none" w:sz="0" w:space="0" w:color="auto"/>
        <w:right w:val="none" w:sz="0" w:space="0" w:color="auto"/>
      </w:divBdr>
    </w:div>
    <w:div w:id="1895503260">
      <w:bodyDiv w:val="1"/>
      <w:marLeft w:val="0"/>
      <w:marRight w:val="0"/>
      <w:marTop w:val="0"/>
      <w:marBottom w:val="0"/>
      <w:divBdr>
        <w:top w:val="none" w:sz="0" w:space="0" w:color="auto"/>
        <w:left w:val="none" w:sz="0" w:space="0" w:color="auto"/>
        <w:bottom w:val="none" w:sz="0" w:space="0" w:color="auto"/>
        <w:right w:val="none" w:sz="0" w:space="0" w:color="auto"/>
      </w:divBdr>
    </w:div>
    <w:div w:id="1897203175">
      <w:bodyDiv w:val="1"/>
      <w:marLeft w:val="0"/>
      <w:marRight w:val="0"/>
      <w:marTop w:val="0"/>
      <w:marBottom w:val="0"/>
      <w:divBdr>
        <w:top w:val="none" w:sz="0" w:space="0" w:color="auto"/>
        <w:left w:val="none" w:sz="0" w:space="0" w:color="auto"/>
        <w:bottom w:val="none" w:sz="0" w:space="0" w:color="auto"/>
        <w:right w:val="none" w:sz="0" w:space="0" w:color="auto"/>
      </w:divBdr>
    </w:div>
    <w:div w:id="1898516738">
      <w:bodyDiv w:val="1"/>
      <w:marLeft w:val="0"/>
      <w:marRight w:val="0"/>
      <w:marTop w:val="0"/>
      <w:marBottom w:val="0"/>
      <w:divBdr>
        <w:top w:val="none" w:sz="0" w:space="0" w:color="auto"/>
        <w:left w:val="none" w:sz="0" w:space="0" w:color="auto"/>
        <w:bottom w:val="none" w:sz="0" w:space="0" w:color="auto"/>
        <w:right w:val="none" w:sz="0" w:space="0" w:color="auto"/>
      </w:divBdr>
    </w:div>
    <w:div w:id="1912345598">
      <w:bodyDiv w:val="1"/>
      <w:marLeft w:val="0"/>
      <w:marRight w:val="0"/>
      <w:marTop w:val="0"/>
      <w:marBottom w:val="0"/>
      <w:divBdr>
        <w:top w:val="none" w:sz="0" w:space="0" w:color="auto"/>
        <w:left w:val="none" w:sz="0" w:space="0" w:color="auto"/>
        <w:bottom w:val="none" w:sz="0" w:space="0" w:color="auto"/>
        <w:right w:val="none" w:sz="0" w:space="0" w:color="auto"/>
      </w:divBdr>
    </w:div>
    <w:div w:id="1914972852">
      <w:bodyDiv w:val="1"/>
      <w:marLeft w:val="0"/>
      <w:marRight w:val="0"/>
      <w:marTop w:val="0"/>
      <w:marBottom w:val="0"/>
      <w:divBdr>
        <w:top w:val="none" w:sz="0" w:space="0" w:color="auto"/>
        <w:left w:val="none" w:sz="0" w:space="0" w:color="auto"/>
        <w:bottom w:val="none" w:sz="0" w:space="0" w:color="auto"/>
        <w:right w:val="none" w:sz="0" w:space="0" w:color="auto"/>
      </w:divBdr>
    </w:div>
    <w:div w:id="1915704708">
      <w:bodyDiv w:val="1"/>
      <w:marLeft w:val="0"/>
      <w:marRight w:val="0"/>
      <w:marTop w:val="0"/>
      <w:marBottom w:val="0"/>
      <w:divBdr>
        <w:top w:val="none" w:sz="0" w:space="0" w:color="auto"/>
        <w:left w:val="none" w:sz="0" w:space="0" w:color="auto"/>
        <w:bottom w:val="none" w:sz="0" w:space="0" w:color="auto"/>
        <w:right w:val="none" w:sz="0" w:space="0" w:color="auto"/>
      </w:divBdr>
    </w:div>
    <w:div w:id="1927375186">
      <w:bodyDiv w:val="1"/>
      <w:marLeft w:val="0"/>
      <w:marRight w:val="0"/>
      <w:marTop w:val="0"/>
      <w:marBottom w:val="0"/>
      <w:divBdr>
        <w:top w:val="none" w:sz="0" w:space="0" w:color="auto"/>
        <w:left w:val="none" w:sz="0" w:space="0" w:color="auto"/>
        <w:bottom w:val="none" w:sz="0" w:space="0" w:color="auto"/>
        <w:right w:val="none" w:sz="0" w:space="0" w:color="auto"/>
      </w:divBdr>
    </w:div>
    <w:div w:id="1930238640">
      <w:bodyDiv w:val="1"/>
      <w:marLeft w:val="0"/>
      <w:marRight w:val="0"/>
      <w:marTop w:val="0"/>
      <w:marBottom w:val="0"/>
      <w:divBdr>
        <w:top w:val="none" w:sz="0" w:space="0" w:color="auto"/>
        <w:left w:val="none" w:sz="0" w:space="0" w:color="auto"/>
        <w:bottom w:val="none" w:sz="0" w:space="0" w:color="auto"/>
        <w:right w:val="none" w:sz="0" w:space="0" w:color="auto"/>
      </w:divBdr>
    </w:div>
    <w:div w:id="1930893904">
      <w:bodyDiv w:val="1"/>
      <w:marLeft w:val="0"/>
      <w:marRight w:val="0"/>
      <w:marTop w:val="0"/>
      <w:marBottom w:val="0"/>
      <w:divBdr>
        <w:top w:val="none" w:sz="0" w:space="0" w:color="auto"/>
        <w:left w:val="none" w:sz="0" w:space="0" w:color="auto"/>
        <w:bottom w:val="none" w:sz="0" w:space="0" w:color="auto"/>
        <w:right w:val="none" w:sz="0" w:space="0" w:color="auto"/>
      </w:divBdr>
    </w:div>
    <w:div w:id="1932278871">
      <w:bodyDiv w:val="1"/>
      <w:marLeft w:val="0"/>
      <w:marRight w:val="0"/>
      <w:marTop w:val="0"/>
      <w:marBottom w:val="0"/>
      <w:divBdr>
        <w:top w:val="none" w:sz="0" w:space="0" w:color="auto"/>
        <w:left w:val="none" w:sz="0" w:space="0" w:color="auto"/>
        <w:bottom w:val="none" w:sz="0" w:space="0" w:color="auto"/>
        <w:right w:val="none" w:sz="0" w:space="0" w:color="auto"/>
      </w:divBdr>
    </w:div>
    <w:div w:id="1935820475">
      <w:bodyDiv w:val="1"/>
      <w:marLeft w:val="0"/>
      <w:marRight w:val="0"/>
      <w:marTop w:val="0"/>
      <w:marBottom w:val="0"/>
      <w:divBdr>
        <w:top w:val="none" w:sz="0" w:space="0" w:color="auto"/>
        <w:left w:val="none" w:sz="0" w:space="0" w:color="auto"/>
        <w:bottom w:val="none" w:sz="0" w:space="0" w:color="auto"/>
        <w:right w:val="none" w:sz="0" w:space="0" w:color="auto"/>
      </w:divBdr>
    </w:div>
    <w:div w:id="1938058294">
      <w:bodyDiv w:val="1"/>
      <w:marLeft w:val="0"/>
      <w:marRight w:val="0"/>
      <w:marTop w:val="0"/>
      <w:marBottom w:val="0"/>
      <w:divBdr>
        <w:top w:val="none" w:sz="0" w:space="0" w:color="auto"/>
        <w:left w:val="none" w:sz="0" w:space="0" w:color="auto"/>
        <w:bottom w:val="none" w:sz="0" w:space="0" w:color="auto"/>
        <w:right w:val="none" w:sz="0" w:space="0" w:color="auto"/>
      </w:divBdr>
    </w:div>
    <w:div w:id="1938831788">
      <w:bodyDiv w:val="1"/>
      <w:marLeft w:val="0"/>
      <w:marRight w:val="0"/>
      <w:marTop w:val="0"/>
      <w:marBottom w:val="0"/>
      <w:divBdr>
        <w:top w:val="none" w:sz="0" w:space="0" w:color="auto"/>
        <w:left w:val="none" w:sz="0" w:space="0" w:color="auto"/>
        <w:bottom w:val="none" w:sz="0" w:space="0" w:color="auto"/>
        <w:right w:val="none" w:sz="0" w:space="0" w:color="auto"/>
      </w:divBdr>
    </w:div>
    <w:div w:id="1943950945">
      <w:bodyDiv w:val="1"/>
      <w:marLeft w:val="0"/>
      <w:marRight w:val="0"/>
      <w:marTop w:val="0"/>
      <w:marBottom w:val="0"/>
      <w:divBdr>
        <w:top w:val="none" w:sz="0" w:space="0" w:color="auto"/>
        <w:left w:val="none" w:sz="0" w:space="0" w:color="auto"/>
        <w:bottom w:val="none" w:sz="0" w:space="0" w:color="auto"/>
        <w:right w:val="none" w:sz="0" w:space="0" w:color="auto"/>
      </w:divBdr>
    </w:div>
    <w:div w:id="1945191579">
      <w:bodyDiv w:val="1"/>
      <w:marLeft w:val="0"/>
      <w:marRight w:val="0"/>
      <w:marTop w:val="0"/>
      <w:marBottom w:val="0"/>
      <w:divBdr>
        <w:top w:val="none" w:sz="0" w:space="0" w:color="auto"/>
        <w:left w:val="none" w:sz="0" w:space="0" w:color="auto"/>
        <w:bottom w:val="none" w:sz="0" w:space="0" w:color="auto"/>
        <w:right w:val="none" w:sz="0" w:space="0" w:color="auto"/>
      </w:divBdr>
    </w:div>
    <w:div w:id="1946158272">
      <w:bodyDiv w:val="1"/>
      <w:marLeft w:val="0"/>
      <w:marRight w:val="0"/>
      <w:marTop w:val="0"/>
      <w:marBottom w:val="0"/>
      <w:divBdr>
        <w:top w:val="none" w:sz="0" w:space="0" w:color="auto"/>
        <w:left w:val="none" w:sz="0" w:space="0" w:color="auto"/>
        <w:bottom w:val="none" w:sz="0" w:space="0" w:color="auto"/>
        <w:right w:val="none" w:sz="0" w:space="0" w:color="auto"/>
      </w:divBdr>
    </w:div>
    <w:div w:id="1950699000">
      <w:bodyDiv w:val="1"/>
      <w:marLeft w:val="0"/>
      <w:marRight w:val="0"/>
      <w:marTop w:val="0"/>
      <w:marBottom w:val="0"/>
      <w:divBdr>
        <w:top w:val="none" w:sz="0" w:space="0" w:color="auto"/>
        <w:left w:val="none" w:sz="0" w:space="0" w:color="auto"/>
        <w:bottom w:val="none" w:sz="0" w:space="0" w:color="auto"/>
        <w:right w:val="none" w:sz="0" w:space="0" w:color="auto"/>
      </w:divBdr>
    </w:div>
    <w:div w:id="1960987719">
      <w:bodyDiv w:val="1"/>
      <w:marLeft w:val="0"/>
      <w:marRight w:val="0"/>
      <w:marTop w:val="0"/>
      <w:marBottom w:val="0"/>
      <w:divBdr>
        <w:top w:val="none" w:sz="0" w:space="0" w:color="auto"/>
        <w:left w:val="none" w:sz="0" w:space="0" w:color="auto"/>
        <w:bottom w:val="none" w:sz="0" w:space="0" w:color="auto"/>
        <w:right w:val="none" w:sz="0" w:space="0" w:color="auto"/>
      </w:divBdr>
    </w:div>
    <w:div w:id="1965767815">
      <w:bodyDiv w:val="1"/>
      <w:marLeft w:val="0"/>
      <w:marRight w:val="0"/>
      <w:marTop w:val="0"/>
      <w:marBottom w:val="0"/>
      <w:divBdr>
        <w:top w:val="none" w:sz="0" w:space="0" w:color="auto"/>
        <w:left w:val="none" w:sz="0" w:space="0" w:color="auto"/>
        <w:bottom w:val="none" w:sz="0" w:space="0" w:color="auto"/>
        <w:right w:val="none" w:sz="0" w:space="0" w:color="auto"/>
      </w:divBdr>
    </w:div>
    <w:div w:id="1969430703">
      <w:bodyDiv w:val="1"/>
      <w:marLeft w:val="0"/>
      <w:marRight w:val="0"/>
      <w:marTop w:val="0"/>
      <w:marBottom w:val="0"/>
      <w:divBdr>
        <w:top w:val="none" w:sz="0" w:space="0" w:color="auto"/>
        <w:left w:val="none" w:sz="0" w:space="0" w:color="auto"/>
        <w:bottom w:val="none" w:sz="0" w:space="0" w:color="auto"/>
        <w:right w:val="none" w:sz="0" w:space="0" w:color="auto"/>
      </w:divBdr>
    </w:div>
    <w:div w:id="1977759222">
      <w:bodyDiv w:val="1"/>
      <w:marLeft w:val="0"/>
      <w:marRight w:val="0"/>
      <w:marTop w:val="0"/>
      <w:marBottom w:val="0"/>
      <w:divBdr>
        <w:top w:val="none" w:sz="0" w:space="0" w:color="auto"/>
        <w:left w:val="none" w:sz="0" w:space="0" w:color="auto"/>
        <w:bottom w:val="none" w:sz="0" w:space="0" w:color="auto"/>
        <w:right w:val="none" w:sz="0" w:space="0" w:color="auto"/>
      </w:divBdr>
    </w:div>
    <w:div w:id="1989286854">
      <w:bodyDiv w:val="1"/>
      <w:marLeft w:val="0"/>
      <w:marRight w:val="0"/>
      <w:marTop w:val="0"/>
      <w:marBottom w:val="0"/>
      <w:divBdr>
        <w:top w:val="none" w:sz="0" w:space="0" w:color="auto"/>
        <w:left w:val="none" w:sz="0" w:space="0" w:color="auto"/>
        <w:bottom w:val="none" w:sz="0" w:space="0" w:color="auto"/>
        <w:right w:val="none" w:sz="0" w:space="0" w:color="auto"/>
      </w:divBdr>
    </w:div>
    <w:div w:id="2003854215">
      <w:bodyDiv w:val="1"/>
      <w:marLeft w:val="0"/>
      <w:marRight w:val="0"/>
      <w:marTop w:val="0"/>
      <w:marBottom w:val="0"/>
      <w:divBdr>
        <w:top w:val="none" w:sz="0" w:space="0" w:color="auto"/>
        <w:left w:val="none" w:sz="0" w:space="0" w:color="auto"/>
        <w:bottom w:val="none" w:sz="0" w:space="0" w:color="auto"/>
        <w:right w:val="none" w:sz="0" w:space="0" w:color="auto"/>
      </w:divBdr>
    </w:div>
    <w:div w:id="2006786741">
      <w:bodyDiv w:val="1"/>
      <w:marLeft w:val="0"/>
      <w:marRight w:val="0"/>
      <w:marTop w:val="0"/>
      <w:marBottom w:val="0"/>
      <w:divBdr>
        <w:top w:val="none" w:sz="0" w:space="0" w:color="auto"/>
        <w:left w:val="none" w:sz="0" w:space="0" w:color="auto"/>
        <w:bottom w:val="none" w:sz="0" w:space="0" w:color="auto"/>
        <w:right w:val="none" w:sz="0" w:space="0" w:color="auto"/>
      </w:divBdr>
    </w:div>
    <w:div w:id="2010787246">
      <w:bodyDiv w:val="1"/>
      <w:marLeft w:val="0"/>
      <w:marRight w:val="0"/>
      <w:marTop w:val="0"/>
      <w:marBottom w:val="0"/>
      <w:divBdr>
        <w:top w:val="none" w:sz="0" w:space="0" w:color="auto"/>
        <w:left w:val="none" w:sz="0" w:space="0" w:color="auto"/>
        <w:bottom w:val="none" w:sz="0" w:space="0" w:color="auto"/>
        <w:right w:val="none" w:sz="0" w:space="0" w:color="auto"/>
      </w:divBdr>
    </w:div>
    <w:div w:id="2014644992">
      <w:bodyDiv w:val="1"/>
      <w:marLeft w:val="0"/>
      <w:marRight w:val="0"/>
      <w:marTop w:val="0"/>
      <w:marBottom w:val="0"/>
      <w:divBdr>
        <w:top w:val="none" w:sz="0" w:space="0" w:color="auto"/>
        <w:left w:val="none" w:sz="0" w:space="0" w:color="auto"/>
        <w:bottom w:val="none" w:sz="0" w:space="0" w:color="auto"/>
        <w:right w:val="none" w:sz="0" w:space="0" w:color="auto"/>
      </w:divBdr>
    </w:div>
    <w:div w:id="2015761514">
      <w:bodyDiv w:val="1"/>
      <w:marLeft w:val="0"/>
      <w:marRight w:val="0"/>
      <w:marTop w:val="0"/>
      <w:marBottom w:val="0"/>
      <w:divBdr>
        <w:top w:val="none" w:sz="0" w:space="0" w:color="auto"/>
        <w:left w:val="none" w:sz="0" w:space="0" w:color="auto"/>
        <w:bottom w:val="none" w:sz="0" w:space="0" w:color="auto"/>
        <w:right w:val="none" w:sz="0" w:space="0" w:color="auto"/>
      </w:divBdr>
    </w:div>
    <w:div w:id="2028284371">
      <w:bodyDiv w:val="1"/>
      <w:marLeft w:val="0"/>
      <w:marRight w:val="0"/>
      <w:marTop w:val="0"/>
      <w:marBottom w:val="0"/>
      <w:divBdr>
        <w:top w:val="none" w:sz="0" w:space="0" w:color="auto"/>
        <w:left w:val="none" w:sz="0" w:space="0" w:color="auto"/>
        <w:bottom w:val="none" w:sz="0" w:space="0" w:color="auto"/>
        <w:right w:val="none" w:sz="0" w:space="0" w:color="auto"/>
      </w:divBdr>
    </w:div>
    <w:div w:id="2033066651">
      <w:bodyDiv w:val="1"/>
      <w:marLeft w:val="0"/>
      <w:marRight w:val="0"/>
      <w:marTop w:val="0"/>
      <w:marBottom w:val="0"/>
      <w:divBdr>
        <w:top w:val="none" w:sz="0" w:space="0" w:color="auto"/>
        <w:left w:val="none" w:sz="0" w:space="0" w:color="auto"/>
        <w:bottom w:val="none" w:sz="0" w:space="0" w:color="auto"/>
        <w:right w:val="none" w:sz="0" w:space="0" w:color="auto"/>
      </w:divBdr>
    </w:div>
    <w:div w:id="2037001138">
      <w:bodyDiv w:val="1"/>
      <w:marLeft w:val="0"/>
      <w:marRight w:val="0"/>
      <w:marTop w:val="0"/>
      <w:marBottom w:val="0"/>
      <w:divBdr>
        <w:top w:val="none" w:sz="0" w:space="0" w:color="auto"/>
        <w:left w:val="none" w:sz="0" w:space="0" w:color="auto"/>
        <w:bottom w:val="none" w:sz="0" w:space="0" w:color="auto"/>
        <w:right w:val="none" w:sz="0" w:space="0" w:color="auto"/>
      </w:divBdr>
    </w:div>
    <w:div w:id="2041474150">
      <w:bodyDiv w:val="1"/>
      <w:marLeft w:val="0"/>
      <w:marRight w:val="0"/>
      <w:marTop w:val="0"/>
      <w:marBottom w:val="0"/>
      <w:divBdr>
        <w:top w:val="none" w:sz="0" w:space="0" w:color="auto"/>
        <w:left w:val="none" w:sz="0" w:space="0" w:color="auto"/>
        <w:bottom w:val="none" w:sz="0" w:space="0" w:color="auto"/>
        <w:right w:val="none" w:sz="0" w:space="0" w:color="auto"/>
      </w:divBdr>
    </w:div>
    <w:div w:id="2042779090">
      <w:bodyDiv w:val="1"/>
      <w:marLeft w:val="0"/>
      <w:marRight w:val="0"/>
      <w:marTop w:val="0"/>
      <w:marBottom w:val="0"/>
      <w:divBdr>
        <w:top w:val="none" w:sz="0" w:space="0" w:color="auto"/>
        <w:left w:val="none" w:sz="0" w:space="0" w:color="auto"/>
        <w:bottom w:val="none" w:sz="0" w:space="0" w:color="auto"/>
        <w:right w:val="none" w:sz="0" w:space="0" w:color="auto"/>
      </w:divBdr>
    </w:div>
    <w:div w:id="2047943978">
      <w:bodyDiv w:val="1"/>
      <w:marLeft w:val="0"/>
      <w:marRight w:val="0"/>
      <w:marTop w:val="0"/>
      <w:marBottom w:val="0"/>
      <w:divBdr>
        <w:top w:val="none" w:sz="0" w:space="0" w:color="auto"/>
        <w:left w:val="none" w:sz="0" w:space="0" w:color="auto"/>
        <w:bottom w:val="none" w:sz="0" w:space="0" w:color="auto"/>
        <w:right w:val="none" w:sz="0" w:space="0" w:color="auto"/>
      </w:divBdr>
    </w:div>
    <w:div w:id="2051030432">
      <w:bodyDiv w:val="1"/>
      <w:marLeft w:val="0"/>
      <w:marRight w:val="0"/>
      <w:marTop w:val="0"/>
      <w:marBottom w:val="0"/>
      <w:divBdr>
        <w:top w:val="none" w:sz="0" w:space="0" w:color="auto"/>
        <w:left w:val="none" w:sz="0" w:space="0" w:color="auto"/>
        <w:bottom w:val="none" w:sz="0" w:space="0" w:color="auto"/>
        <w:right w:val="none" w:sz="0" w:space="0" w:color="auto"/>
      </w:divBdr>
    </w:div>
    <w:div w:id="2051219037">
      <w:bodyDiv w:val="1"/>
      <w:marLeft w:val="0"/>
      <w:marRight w:val="0"/>
      <w:marTop w:val="0"/>
      <w:marBottom w:val="0"/>
      <w:divBdr>
        <w:top w:val="none" w:sz="0" w:space="0" w:color="auto"/>
        <w:left w:val="none" w:sz="0" w:space="0" w:color="auto"/>
        <w:bottom w:val="none" w:sz="0" w:space="0" w:color="auto"/>
        <w:right w:val="none" w:sz="0" w:space="0" w:color="auto"/>
      </w:divBdr>
    </w:div>
    <w:div w:id="2055735843">
      <w:bodyDiv w:val="1"/>
      <w:marLeft w:val="0"/>
      <w:marRight w:val="0"/>
      <w:marTop w:val="0"/>
      <w:marBottom w:val="0"/>
      <w:divBdr>
        <w:top w:val="none" w:sz="0" w:space="0" w:color="auto"/>
        <w:left w:val="none" w:sz="0" w:space="0" w:color="auto"/>
        <w:bottom w:val="none" w:sz="0" w:space="0" w:color="auto"/>
        <w:right w:val="none" w:sz="0" w:space="0" w:color="auto"/>
      </w:divBdr>
    </w:div>
    <w:div w:id="2057192647">
      <w:bodyDiv w:val="1"/>
      <w:marLeft w:val="0"/>
      <w:marRight w:val="0"/>
      <w:marTop w:val="0"/>
      <w:marBottom w:val="0"/>
      <w:divBdr>
        <w:top w:val="none" w:sz="0" w:space="0" w:color="auto"/>
        <w:left w:val="none" w:sz="0" w:space="0" w:color="auto"/>
        <w:bottom w:val="none" w:sz="0" w:space="0" w:color="auto"/>
        <w:right w:val="none" w:sz="0" w:space="0" w:color="auto"/>
      </w:divBdr>
    </w:div>
    <w:div w:id="2059352814">
      <w:bodyDiv w:val="1"/>
      <w:marLeft w:val="0"/>
      <w:marRight w:val="0"/>
      <w:marTop w:val="0"/>
      <w:marBottom w:val="0"/>
      <w:divBdr>
        <w:top w:val="none" w:sz="0" w:space="0" w:color="auto"/>
        <w:left w:val="none" w:sz="0" w:space="0" w:color="auto"/>
        <w:bottom w:val="none" w:sz="0" w:space="0" w:color="auto"/>
        <w:right w:val="none" w:sz="0" w:space="0" w:color="auto"/>
      </w:divBdr>
    </w:div>
    <w:div w:id="2060202756">
      <w:bodyDiv w:val="1"/>
      <w:marLeft w:val="0"/>
      <w:marRight w:val="0"/>
      <w:marTop w:val="0"/>
      <w:marBottom w:val="0"/>
      <w:divBdr>
        <w:top w:val="none" w:sz="0" w:space="0" w:color="auto"/>
        <w:left w:val="none" w:sz="0" w:space="0" w:color="auto"/>
        <w:bottom w:val="none" w:sz="0" w:space="0" w:color="auto"/>
        <w:right w:val="none" w:sz="0" w:space="0" w:color="auto"/>
      </w:divBdr>
    </w:div>
    <w:div w:id="2060666523">
      <w:bodyDiv w:val="1"/>
      <w:marLeft w:val="0"/>
      <w:marRight w:val="0"/>
      <w:marTop w:val="0"/>
      <w:marBottom w:val="0"/>
      <w:divBdr>
        <w:top w:val="none" w:sz="0" w:space="0" w:color="auto"/>
        <w:left w:val="none" w:sz="0" w:space="0" w:color="auto"/>
        <w:bottom w:val="none" w:sz="0" w:space="0" w:color="auto"/>
        <w:right w:val="none" w:sz="0" w:space="0" w:color="auto"/>
      </w:divBdr>
    </w:div>
    <w:div w:id="2062174230">
      <w:bodyDiv w:val="1"/>
      <w:marLeft w:val="0"/>
      <w:marRight w:val="0"/>
      <w:marTop w:val="0"/>
      <w:marBottom w:val="0"/>
      <w:divBdr>
        <w:top w:val="none" w:sz="0" w:space="0" w:color="auto"/>
        <w:left w:val="none" w:sz="0" w:space="0" w:color="auto"/>
        <w:bottom w:val="none" w:sz="0" w:space="0" w:color="auto"/>
        <w:right w:val="none" w:sz="0" w:space="0" w:color="auto"/>
      </w:divBdr>
    </w:div>
    <w:div w:id="2065327365">
      <w:bodyDiv w:val="1"/>
      <w:marLeft w:val="0"/>
      <w:marRight w:val="0"/>
      <w:marTop w:val="0"/>
      <w:marBottom w:val="0"/>
      <w:divBdr>
        <w:top w:val="none" w:sz="0" w:space="0" w:color="auto"/>
        <w:left w:val="none" w:sz="0" w:space="0" w:color="auto"/>
        <w:bottom w:val="none" w:sz="0" w:space="0" w:color="auto"/>
        <w:right w:val="none" w:sz="0" w:space="0" w:color="auto"/>
      </w:divBdr>
    </w:div>
    <w:div w:id="2074616123">
      <w:bodyDiv w:val="1"/>
      <w:marLeft w:val="0"/>
      <w:marRight w:val="0"/>
      <w:marTop w:val="0"/>
      <w:marBottom w:val="0"/>
      <w:divBdr>
        <w:top w:val="none" w:sz="0" w:space="0" w:color="auto"/>
        <w:left w:val="none" w:sz="0" w:space="0" w:color="auto"/>
        <w:bottom w:val="none" w:sz="0" w:space="0" w:color="auto"/>
        <w:right w:val="none" w:sz="0" w:space="0" w:color="auto"/>
      </w:divBdr>
    </w:div>
    <w:div w:id="2075276451">
      <w:bodyDiv w:val="1"/>
      <w:marLeft w:val="0"/>
      <w:marRight w:val="0"/>
      <w:marTop w:val="0"/>
      <w:marBottom w:val="0"/>
      <w:divBdr>
        <w:top w:val="none" w:sz="0" w:space="0" w:color="auto"/>
        <w:left w:val="none" w:sz="0" w:space="0" w:color="auto"/>
        <w:bottom w:val="none" w:sz="0" w:space="0" w:color="auto"/>
        <w:right w:val="none" w:sz="0" w:space="0" w:color="auto"/>
      </w:divBdr>
    </w:div>
    <w:div w:id="2075732683">
      <w:bodyDiv w:val="1"/>
      <w:marLeft w:val="0"/>
      <w:marRight w:val="0"/>
      <w:marTop w:val="0"/>
      <w:marBottom w:val="0"/>
      <w:divBdr>
        <w:top w:val="none" w:sz="0" w:space="0" w:color="auto"/>
        <w:left w:val="none" w:sz="0" w:space="0" w:color="auto"/>
        <w:bottom w:val="none" w:sz="0" w:space="0" w:color="auto"/>
        <w:right w:val="none" w:sz="0" w:space="0" w:color="auto"/>
      </w:divBdr>
    </w:div>
    <w:div w:id="2076313372">
      <w:bodyDiv w:val="1"/>
      <w:marLeft w:val="0"/>
      <w:marRight w:val="0"/>
      <w:marTop w:val="0"/>
      <w:marBottom w:val="0"/>
      <w:divBdr>
        <w:top w:val="none" w:sz="0" w:space="0" w:color="auto"/>
        <w:left w:val="none" w:sz="0" w:space="0" w:color="auto"/>
        <w:bottom w:val="none" w:sz="0" w:space="0" w:color="auto"/>
        <w:right w:val="none" w:sz="0" w:space="0" w:color="auto"/>
      </w:divBdr>
    </w:div>
    <w:div w:id="2081443096">
      <w:bodyDiv w:val="1"/>
      <w:marLeft w:val="0"/>
      <w:marRight w:val="0"/>
      <w:marTop w:val="0"/>
      <w:marBottom w:val="0"/>
      <w:divBdr>
        <w:top w:val="none" w:sz="0" w:space="0" w:color="auto"/>
        <w:left w:val="none" w:sz="0" w:space="0" w:color="auto"/>
        <w:bottom w:val="none" w:sz="0" w:space="0" w:color="auto"/>
        <w:right w:val="none" w:sz="0" w:space="0" w:color="auto"/>
      </w:divBdr>
    </w:div>
    <w:div w:id="2085298561">
      <w:bodyDiv w:val="1"/>
      <w:marLeft w:val="0"/>
      <w:marRight w:val="0"/>
      <w:marTop w:val="0"/>
      <w:marBottom w:val="0"/>
      <w:divBdr>
        <w:top w:val="none" w:sz="0" w:space="0" w:color="auto"/>
        <w:left w:val="none" w:sz="0" w:space="0" w:color="auto"/>
        <w:bottom w:val="none" w:sz="0" w:space="0" w:color="auto"/>
        <w:right w:val="none" w:sz="0" w:space="0" w:color="auto"/>
      </w:divBdr>
    </w:div>
    <w:div w:id="2089380532">
      <w:bodyDiv w:val="1"/>
      <w:marLeft w:val="0"/>
      <w:marRight w:val="0"/>
      <w:marTop w:val="0"/>
      <w:marBottom w:val="0"/>
      <w:divBdr>
        <w:top w:val="none" w:sz="0" w:space="0" w:color="auto"/>
        <w:left w:val="none" w:sz="0" w:space="0" w:color="auto"/>
        <w:bottom w:val="none" w:sz="0" w:space="0" w:color="auto"/>
        <w:right w:val="none" w:sz="0" w:space="0" w:color="auto"/>
      </w:divBdr>
    </w:div>
    <w:div w:id="2095079582">
      <w:bodyDiv w:val="1"/>
      <w:marLeft w:val="0"/>
      <w:marRight w:val="0"/>
      <w:marTop w:val="0"/>
      <w:marBottom w:val="0"/>
      <w:divBdr>
        <w:top w:val="none" w:sz="0" w:space="0" w:color="auto"/>
        <w:left w:val="none" w:sz="0" w:space="0" w:color="auto"/>
        <w:bottom w:val="none" w:sz="0" w:space="0" w:color="auto"/>
        <w:right w:val="none" w:sz="0" w:space="0" w:color="auto"/>
      </w:divBdr>
    </w:div>
    <w:div w:id="2095399943">
      <w:bodyDiv w:val="1"/>
      <w:marLeft w:val="0"/>
      <w:marRight w:val="0"/>
      <w:marTop w:val="0"/>
      <w:marBottom w:val="0"/>
      <w:divBdr>
        <w:top w:val="none" w:sz="0" w:space="0" w:color="auto"/>
        <w:left w:val="none" w:sz="0" w:space="0" w:color="auto"/>
        <w:bottom w:val="none" w:sz="0" w:space="0" w:color="auto"/>
        <w:right w:val="none" w:sz="0" w:space="0" w:color="auto"/>
      </w:divBdr>
    </w:div>
    <w:div w:id="2102338099">
      <w:bodyDiv w:val="1"/>
      <w:marLeft w:val="0"/>
      <w:marRight w:val="0"/>
      <w:marTop w:val="0"/>
      <w:marBottom w:val="0"/>
      <w:divBdr>
        <w:top w:val="none" w:sz="0" w:space="0" w:color="auto"/>
        <w:left w:val="none" w:sz="0" w:space="0" w:color="auto"/>
        <w:bottom w:val="none" w:sz="0" w:space="0" w:color="auto"/>
        <w:right w:val="none" w:sz="0" w:space="0" w:color="auto"/>
      </w:divBdr>
    </w:div>
    <w:div w:id="2102604465">
      <w:bodyDiv w:val="1"/>
      <w:marLeft w:val="0"/>
      <w:marRight w:val="0"/>
      <w:marTop w:val="0"/>
      <w:marBottom w:val="0"/>
      <w:divBdr>
        <w:top w:val="none" w:sz="0" w:space="0" w:color="auto"/>
        <w:left w:val="none" w:sz="0" w:space="0" w:color="auto"/>
        <w:bottom w:val="none" w:sz="0" w:space="0" w:color="auto"/>
        <w:right w:val="none" w:sz="0" w:space="0" w:color="auto"/>
      </w:divBdr>
    </w:div>
    <w:div w:id="2103528569">
      <w:bodyDiv w:val="1"/>
      <w:marLeft w:val="0"/>
      <w:marRight w:val="0"/>
      <w:marTop w:val="0"/>
      <w:marBottom w:val="0"/>
      <w:divBdr>
        <w:top w:val="none" w:sz="0" w:space="0" w:color="auto"/>
        <w:left w:val="none" w:sz="0" w:space="0" w:color="auto"/>
        <w:bottom w:val="none" w:sz="0" w:space="0" w:color="auto"/>
        <w:right w:val="none" w:sz="0" w:space="0" w:color="auto"/>
      </w:divBdr>
    </w:div>
    <w:div w:id="2108035715">
      <w:bodyDiv w:val="1"/>
      <w:marLeft w:val="0"/>
      <w:marRight w:val="0"/>
      <w:marTop w:val="0"/>
      <w:marBottom w:val="0"/>
      <w:divBdr>
        <w:top w:val="none" w:sz="0" w:space="0" w:color="auto"/>
        <w:left w:val="none" w:sz="0" w:space="0" w:color="auto"/>
        <w:bottom w:val="none" w:sz="0" w:space="0" w:color="auto"/>
        <w:right w:val="none" w:sz="0" w:space="0" w:color="auto"/>
      </w:divBdr>
    </w:div>
    <w:div w:id="2109080577">
      <w:bodyDiv w:val="1"/>
      <w:marLeft w:val="0"/>
      <w:marRight w:val="0"/>
      <w:marTop w:val="0"/>
      <w:marBottom w:val="0"/>
      <w:divBdr>
        <w:top w:val="none" w:sz="0" w:space="0" w:color="auto"/>
        <w:left w:val="none" w:sz="0" w:space="0" w:color="auto"/>
        <w:bottom w:val="none" w:sz="0" w:space="0" w:color="auto"/>
        <w:right w:val="none" w:sz="0" w:space="0" w:color="auto"/>
      </w:divBdr>
    </w:div>
    <w:div w:id="2121752296">
      <w:bodyDiv w:val="1"/>
      <w:marLeft w:val="0"/>
      <w:marRight w:val="0"/>
      <w:marTop w:val="0"/>
      <w:marBottom w:val="0"/>
      <w:divBdr>
        <w:top w:val="none" w:sz="0" w:space="0" w:color="auto"/>
        <w:left w:val="none" w:sz="0" w:space="0" w:color="auto"/>
        <w:bottom w:val="none" w:sz="0" w:space="0" w:color="auto"/>
        <w:right w:val="none" w:sz="0" w:space="0" w:color="auto"/>
      </w:divBdr>
    </w:div>
    <w:div w:id="2122412663">
      <w:bodyDiv w:val="1"/>
      <w:marLeft w:val="0"/>
      <w:marRight w:val="0"/>
      <w:marTop w:val="0"/>
      <w:marBottom w:val="0"/>
      <w:divBdr>
        <w:top w:val="none" w:sz="0" w:space="0" w:color="auto"/>
        <w:left w:val="none" w:sz="0" w:space="0" w:color="auto"/>
        <w:bottom w:val="none" w:sz="0" w:space="0" w:color="auto"/>
        <w:right w:val="none" w:sz="0" w:space="0" w:color="auto"/>
      </w:divBdr>
    </w:div>
    <w:div w:id="2126777141">
      <w:bodyDiv w:val="1"/>
      <w:marLeft w:val="0"/>
      <w:marRight w:val="0"/>
      <w:marTop w:val="0"/>
      <w:marBottom w:val="0"/>
      <w:divBdr>
        <w:top w:val="none" w:sz="0" w:space="0" w:color="auto"/>
        <w:left w:val="none" w:sz="0" w:space="0" w:color="auto"/>
        <w:bottom w:val="none" w:sz="0" w:space="0" w:color="auto"/>
        <w:right w:val="none" w:sz="0" w:space="0" w:color="auto"/>
      </w:divBdr>
    </w:div>
    <w:div w:id="2126848883">
      <w:bodyDiv w:val="1"/>
      <w:marLeft w:val="0"/>
      <w:marRight w:val="0"/>
      <w:marTop w:val="0"/>
      <w:marBottom w:val="0"/>
      <w:divBdr>
        <w:top w:val="none" w:sz="0" w:space="0" w:color="auto"/>
        <w:left w:val="none" w:sz="0" w:space="0" w:color="auto"/>
        <w:bottom w:val="none" w:sz="0" w:space="0" w:color="auto"/>
        <w:right w:val="none" w:sz="0" w:space="0" w:color="auto"/>
      </w:divBdr>
    </w:div>
    <w:div w:id="2133667258">
      <w:bodyDiv w:val="1"/>
      <w:marLeft w:val="0"/>
      <w:marRight w:val="0"/>
      <w:marTop w:val="0"/>
      <w:marBottom w:val="0"/>
      <w:divBdr>
        <w:top w:val="none" w:sz="0" w:space="0" w:color="auto"/>
        <w:left w:val="none" w:sz="0" w:space="0" w:color="auto"/>
        <w:bottom w:val="none" w:sz="0" w:space="0" w:color="auto"/>
        <w:right w:val="none" w:sz="0" w:space="0" w:color="auto"/>
      </w:divBdr>
    </w:div>
    <w:div w:id="2138521474">
      <w:bodyDiv w:val="1"/>
      <w:marLeft w:val="0"/>
      <w:marRight w:val="0"/>
      <w:marTop w:val="0"/>
      <w:marBottom w:val="0"/>
      <w:divBdr>
        <w:top w:val="none" w:sz="0" w:space="0" w:color="auto"/>
        <w:left w:val="none" w:sz="0" w:space="0" w:color="auto"/>
        <w:bottom w:val="none" w:sz="0" w:space="0" w:color="auto"/>
        <w:right w:val="none" w:sz="0" w:space="0" w:color="auto"/>
      </w:divBdr>
    </w:div>
    <w:div w:id="2140948210">
      <w:bodyDiv w:val="1"/>
      <w:marLeft w:val="0"/>
      <w:marRight w:val="0"/>
      <w:marTop w:val="0"/>
      <w:marBottom w:val="0"/>
      <w:divBdr>
        <w:top w:val="none" w:sz="0" w:space="0" w:color="auto"/>
        <w:left w:val="none" w:sz="0" w:space="0" w:color="auto"/>
        <w:bottom w:val="none" w:sz="0" w:space="0" w:color="auto"/>
        <w:right w:val="none" w:sz="0" w:space="0" w:color="auto"/>
      </w:divBdr>
    </w:div>
    <w:div w:id="21443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m.org/" TargetMode="External"/><Relationship Id="rId18" Type="http://schemas.openxmlformats.org/officeDocument/2006/relationships/chart" Target="charts/chart5.xml"/><Relationship Id="rId26" Type="http://schemas.openxmlformats.org/officeDocument/2006/relationships/image" Target="media/image8.png"/><Relationship Id="rId39" Type="http://schemas.openxmlformats.org/officeDocument/2006/relationships/hyperlink" Target="https://www.itu.int/online/mm/scripts/gensel11?_memb=U" TargetMode="External"/><Relationship Id="rId21" Type="http://schemas.openxmlformats.org/officeDocument/2006/relationships/image" Target="media/image3.png"/><Relationship Id="rId34" Type="http://schemas.openxmlformats.org/officeDocument/2006/relationships/hyperlink" Target="http://www.itu.int/ITUTELECOM/index-en.html" TargetMode="External"/><Relationship Id="rId42" Type="http://schemas.openxmlformats.org/officeDocument/2006/relationships/image" Target="media/image12.emf"/><Relationship Id="rId47" Type="http://schemas.openxmlformats.org/officeDocument/2006/relationships/hyperlink" Target="https://www.itu.int/en/council/Documents/basic-texts/Convention-E.pdf" TargetMode="External"/><Relationship Id="rId50" Type="http://schemas.openxmlformats.org/officeDocument/2006/relationships/footer" Target="footer1.xml"/><Relationship Id="rId55" Type="http://schemas.openxmlformats.org/officeDocument/2006/relationships/image" Target="media/image17.emf"/><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image" Target="media/image11.png"/><Relationship Id="rId41" Type="http://schemas.openxmlformats.org/officeDocument/2006/relationships/hyperlink" Target="http://www.itu.int/ITU-R/index.asp?category=conferences&amp;link=rrb&amp;lang=en" TargetMode="External"/><Relationship Id="rId54" Type="http://schemas.openxmlformats.org/officeDocument/2006/relationships/image" Target="media/image16.emf"/><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hyperlink" Target="https://www.itu.int/en/ITU-T/Pages/default.aspx" TargetMode="External"/><Relationship Id="rId37" Type="http://schemas.openxmlformats.org/officeDocument/2006/relationships/hyperlink" Target="https://www.itu.int/online/mm/scripts/gensel11" TargetMode="External"/><Relationship Id="rId40" Type="http://schemas.openxmlformats.org/officeDocument/2006/relationships/hyperlink" Target="http://www.itu.int/council/index-en.html" TargetMode="External"/><Relationship Id="rId45" Type="http://schemas.openxmlformats.org/officeDocument/2006/relationships/header" Target="header1.xml"/><Relationship Id="rId53" Type="http://schemas.openxmlformats.org/officeDocument/2006/relationships/image" Target="media/image15.emf"/><Relationship Id="rId58"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https://www.itu.int/online/mm/scripts/gensel8" TargetMode="External"/><Relationship Id="rId49" Type="http://schemas.openxmlformats.org/officeDocument/2006/relationships/hyperlink" Target="https://www.itu.int/md/S19-CL-C-0042/en" TargetMode="External"/><Relationship Id="rId57" Type="http://schemas.openxmlformats.org/officeDocument/2006/relationships/image" Target="media/image19.emf"/><Relationship Id="rId61" Type="http://schemas.openxmlformats.org/officeDocument/2006/relationships/image" Target="media/image23.emf"/><Relationship Id="rId10" Type="http://schemas.openxmlformats.org/officeDocument/2006/relationships/hyperlink" Target="https://www.itu.int/en/council/Documents/Financial-Regulations/S-GEN-REG_RGTFIN-2018-PDF-E.pdf" TargetMode="External"/><Relationship Id="rId19" Type="http://schemas.openxmlformats.org/officeDocument/2006/relationships/chart" Target="charts/chart6.xml"/><Relationship Id="rId31" Type="http://schemas.openxmlformats.org/officeDocument/2006/relationships/hyperlink" Target="https://www.itu.int/en/ITU-R/Pages/default.aspx" TargetMode="External"/><Relationship Id="rId44" Type="http://schemas.openxmlformats.org/officeDocument/2006/relationships/hyperlink" Target="http://www.unjspf.org" TargetMode="External"/><Relationship Id="rId52" Type="http://schemas.openxmlformats.org/officeDocument/2006/relationships/image" Target="media/image14.emf"/><Relationship Id="rId60" Type="http://schemas.openxmlformats.org/officeDocument/2006/relationships/image" Target="media/image22.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Convention-E.pdf" TargetMode="External"/><Relationship Id="rId14" Type="http://schemas.openxmlformats.org/officeDocument/2006/relationships/chart" Target="charts/chart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www.unsystem.org/en" TargetMode="External"/><Relationship Id="rId35" Type="http://schemas.openxmlformats.org/officeDocument/2006/relationships/hyperlink" Target="http://www.itu.int/itu-wsis/implementation/" TargetMode="External"/><Relationship Id="rId43" Type="http://schemas.openxmlformats.org/officeDocument/2006/relationships/hyperlink" Target="https://www.itu.int/md/S16-CL-C-0124/en" TargetMode="External"/><Relationship Id="rId48" Type="http://schemas.openxmlformats.org/officeDocument/2006/relationships/hyperlink" Target="https://www.itu.int/en/council/Documents/Financial-Regulations/S-GEN-REG_RGTFIN-2018-PDF-E.pdf" TargetMode="External"/><Relationship Id="rId56" Type="http://schemas.openxmlformats.org/officeDocument/2006/relationships/image" Target="media/image18.e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13.emf"/><Relationship Id="rId3" Type="http://schemas.openxmlformats.org/officeDocument/2006/relationships/styles" Target="styles.xml"/><Relationship Id="rId12" Type="http://schemas.openxmlformats.org/officeDocument/2006/relationships/hyperlink" Target="https://www.xprize.org/" TargetMode="External"/><Relationship Id="rId17" Type="http://schemas.openxmlformats.org/officeDocument/2006/relationships/chart" Target="charts/chart4.xml"/><Relationship Id="rId25" Type="http://schemas.openxmlformats.org/officeDocument/2006/relationships/image" Target="media/image7.png"/><Relationship Id="rId33" Type="http://schemas.openxmlformats.org/officeDocument/2006/relationships/hyperlink" Target="https://www.itu.int/en/ITU-D/Pages/default.aspx" TargetMode="External"/><Relationship Id="rId38" Type="http://schemas.openxmlformats.org/officeDocument/2006/relationships/hyperlink" Target="https://www.itu.int/online/mm/scripts/gensel11?_memb=A" TargetMode="External"/><Relationship Id="rId46" Type="http://schemas.openxmlformats.org/officeDocument/2006/relationships/chart" Target="charts/chart8.xml"/><Relationship Id="rId59" Type="http://schemas.openxmlformats.org/officeDocument/2006/relationships/image" Target="media/image21.emf"/></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COMPTA%20GENERALE\BOUCLEMENT\2018\VERSION%20PROVISION\MAQUETTE%20BOUCLEMENT%202018-V2%20PROVIS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18\MAQUETTE%20BOUCLEMENT%202018-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COMPTA%20GENERALE\BOUCLEMENT\2018\MAQUETTE%20BOUCLEMENT%202018-clai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COMPTA%20GENERALE\BOUCLEMENT\2018\MAQUETTE%20BOUCLEMENT%202018-clai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COMPTA%20GENERALE\BOUCLEMENT\2018\VERSION%20PROVISION\MAQUETTE%20BOUCLEMENT%202018-V2%20PROVISI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COMPTA%20GENERALE\BOUCLEMENT\2018\VERSION%20PROVISION\MAQUETTE%20BOUCLEMENT%202018-V2%20PROVISI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COMPTA%20GENERALE\BOUCLEMENT\2018\MAQUETTE%20BOUCLEMENT%202018-clair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1"/>
          <c:tx>
            <c:strRef>
              <c:f>'Financial Highlights'!$C$25</c:f>
              <c:strCache>
                <c:ptCount val="1"/>
                <c:pt idx="0">
                  <c:v>2018</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Highlights'!$A$26:$A$30</c:f>
              <c:strCache>
                <c:ptCount val="4"/>
                <c:pt idx="0">
                  <c:v>Assessed contributions</c:v>
                </c:pt>
                <c:pt idx="1">
                  <c:v>Voluntary contributions</c:v>
                </c:pt>
                <c:pt idx="2">
                  <c:v>Other operating revenue</c:v>
                </c:pt>
                <c:pt idx="3">
                  <c:v>Finance revenue</c:v>
                </c:pt>
              </c:strCache>
            </c:strRef>
          </c:cat>
          <c:val>
            <c:numRef>
              <c:f>'Financial Highlights'!$B$26:$B$30</c:f>
              <c:numCache>
                <c:formatCode>_ * #,##0_ ;_ * \-#,##0_ ;_ * "-"??_ ;_ @_ </c:formatCode>
                <c:ptCount val="5"/>
                <c:pt idx="0">
                  <c:v>125190.72</c:v>
                </c:pt>
                <c:pt idx="1">
                  <c:v>7161.3900000000012</c:v>
                </c:pt>
                <c:pt idx="2">
                  <c:v>41929.564000000006</c:v>
                </c:pt>
                <c:pt idx="3">
                  <c:v>1245.47</c:v>
                </c:pt>
              </c:numCache>
            </c:numRef>
          </c:val>
        </c:ser>
        <c:ser>
          <c:idx val="2"/>
          <c:order val="2"/>
          <c:tx>
            <c:strRef>
              <c:f>'Financial Highlights'!$D$25</c:f>
              <c:strCache>
                <c:ptCount val="1"/>
                <c:pt idx="0">
                  <c:v>2017</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968253968253968E-2"/>
                  <c:y val="0.1388888888888889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4391534391534438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0264550264550165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Highlights'!$A$26:$A$30</c:f>
              <c:strCache>
                <c:ptCount val="4"/>
                <c:pt idx="0">
                  <c:v>Assessed contributions</c:v>
                </c:pt>
                <c:pt idx="1">
                  <c:v>Voluntary contributions</c:v>
                </c:pt>
                <c:pt idx="2">
                  <c:v>Other operating revenue</c:v>
                </c:pt>
                <c:pt idx="3">
                  <c:v>Finance revenue</c:v>
                </c:pt>
              </c:strCache>
            </c:strRef>
          </c:cat>
          <c:val>
            <c:numRef>
              <c:f>'Financial Highlights'!$C$26:$C$30</c:f>
              <c:numCache>
                <c:formatCode>_ * #,##0_ ;_ * \-#,##0_ ;_ * "-"??_ ;_ @_ </c:formatCode>
                <c:ptCount val="5"/>
                <c:pt idx="0">
                  <c:v>122390</c:v>
                </c:pt>
                <c:pt idx="1">
                  <c:v>10610</c:v>
                </c:pt>
                <c:pt idx="2">
                  <c:v>44398</c:v>
                </c:pt>
                <c:pt idx="3">
                  <c:v>258</c:v>
                </c:pt>
              </c:numCache>
            </c:numRef>
          </c:val>
        </c:ser>
        <c:dLbls>
          <c:showLegendKey val="0"/>
          <c:showVal val="0"/>
          <c:showCatName val="0"/>
          <c:showSerName val="0"/>
          <c:showPercent val="0"/>
          <c:showBubbleSize val="0"/>
        </c:dLbls>
        <c:gapWidth val="100"/>
        <c:overlap val="-24"/>
        <c:axId val="427563152"/>
        <c:axId val="427566288"/>
        <c:extLst>
          <c:ext xmlns:c15="http://schemas.microsoft.com/office/drawing/2012/chart" uri="{02D57815-91ED-43cb-92C2-25804820EDAC}">
            <c15:filteredBarSeries>
              <c15:ser>
                <c:idx val="0"/>
                <c:order val="0"/>
                <c:tx>
                  <c:strRef>
                    <c:extLst>
                      <c:ext uri="{02D57815-91ED-43cb-92C2-25804820EDAC}">
                        <c15:formulaRef>
                          <c15:sqref>'Financial Highlights'!$B$25</c15:sqref>
                        </c15:formulaRef>
                      </c:ext>
                    </c:extLst>
                    <c:strCache>
                      <c:ptCount val="1"/>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'Financial Highlights'!$A$26:$A$30</c15:sqref>
                        </c15:formulaRef>
                      </c:ext>
                    </c:extLst>
                    <c:strCache>
                      <c:ptCount val="4"/>
                      <c:pt idx="0">
                        <c:v>Assessed contributions</c:v>
                      </c:pt>
                      <c:pt idx="1">
                        <c:v>Voluntary contributions</c:v>
                      </c:pt>
                      <c:pt idx="2">
                        <c:v>Other operating revenue</c:v>
                      </c:pt>
                      <c:pt idx="3">
                        <c:v>Finance revenue</c:v>
                      </c:pt>
                    </c:strCache>
                  </c:strRef>
                </c:cat>
                <c:val>
                  <c:numRef>
                    <c:extLst>
                      <c:ext uri="{02D57815-91ED-43cb-92C2-25804820EDAC}">
                        <c15:formulaRef>
                          <c15:sqref>'Financial Highlights'!#REF!</c15:sqref>
                        </c15:formulaRef>
                      </c:ext>
                    </c:extLst>
                    <c:numCache>
                      <c:formatCode>General</c:formatCode>
                      <c:ptCount val="1"/>
                      <c:pt idx="0">
                        <c:v>1</c:v>
                      </c:pt>
                    </c:numCache>
                  </c:numRef>
                </c:val>
              </c15:ser>
            </c15:filteredBarSeries>
          </c:ext>
        </c:extLst>
      </c:barChart>
      <c:catAx>
        <c:axId val="4275631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566288"/>
        <c:crosses val="autoZero"/>
        <c:auto val="1"/>
        <c:lblAlgn val="ctr"/>
        <c:lblOffset val="100"/>
        <c:noMultiLvlLbl val="0"/>
      </c:catAx>
      <c:valAx>
        <c:axId val="427566288"/>
        <c:scaling>
          <c:orientation val="minMax"/>
          <c:max val="130000"/>
          <c:min val="0"/>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563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154893004917E-2"/>
          <c:y val="9.9301090548394838E-2"/>
          <c:w val="0.82280569021399019"/>
          <c:h val="0.81272124423937453"/>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1-182F-483D-AD9D-570CE722D373}"/>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3-182F-483D-AD9D-570CE722D373}"/>
              </c:ext>
            </c:extLst>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5-182F-483D-AD9D-570CE722D373}"/>
              </c:ext>
            </c:extLst>
          </c:dPt>
          <c:dPt>
            <c:idx val="3"/>
            <c:bubble3D val="0"/>
            <c:spPr>
              <a:solidFill>
                <a:schemeClr val="accent1"/>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7-182F-483D-AD9D-570CE722D373}"/>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9-182F-483D-AD9D-570CE722D373}"/>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B-182F-483D-AD9D-570CE722D373}"/>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D-182F-483D-AD9D-570CE722D373}"/>
              </c:ext>
            </c:extLst>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F-182F-483D-AD9D-570CE722D373}"/>
              </c:ext>
            </c:extLst>
          </c:dPt>
          <c:dLbls>
            <c:dLbl>
              <c:idx val="0"/>
              <c:layout/>
              <c:tx>
                <c:rich>
                  <a:bodyPr/>
                  <a:lstStyle/>
                  <a:p>
                    <a:fld id="{3E9AD411-0974-46A5-8BBA-611A9F436805}" type="CATEGORYNAME">
                      <a:rPr lang="en-US" baseline="0">
                        <a:solidFill>
                          <a:schemeClr val="bg1"/>
                        </a:solidFill>
                      </a:rPr>
                      <a:pPr/>
                      <a:t>[CATEGORY NAME]</a:t>
                    </a:fld>
                    <a:r>
                      <a:rPr lang="en-US" baseline="0">
                        <a:solidFill>
                          <a:schemeClr val="bg1"/>
                        </a:solidFill>
                      </a:rPr>
                      <a:t>
</a:t>
                    </a:r>
                    <a:fld id="{F009A779-5026-4C35-BBE9-457F199910F8}" type="PERCENTAGE">
                      <a:rPr lang="en-US" baseline="0">
                        <a:solidFill>
                          <a:schemeClr val="bg1"/>
                        </a:solidFill>
                      </a:rPr>
                      <a:pPr/>
                      <a:t>[PERCENTAGE]</a:t>
                    </a:fld>
                    <a:endParaRPr lang="en-US" baseline="0">
                      <a:solidFill>
                        <a:schemeClr val="bg1"/>
                      </a:solidFill>
                    </a:endParaRPr>
                  </a:p>
                </c:rich>
              </c:tx>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1-182F-483D-AD9D-570CE722D373}"/>
                </c:ext>
                <c:ext xmlns:c15="http://schemas.microsoft.com/office/drawing/2012/chart" uri="{CE6537A1-D6FC-4f65-9D91-7224C49458BB}">
                  <c15:layout/>
                  <c15:dlblFieldTable/>
                  <c15:showDataLabelsRange val="0"/>
                </c:ext>
              </c:extLst>
            </c:dLbl>
            <c:dLbl>
              <c:idx val="1"/>
              <c:layout>
                <c:manualLayout>
                  <c:x val="-4.5951165441787366E-2"/>
                  <c:y val="-4.9419172921856103E-2"/>
                </c:manualLayout>
              </c:layout>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3-182F-483D-AD9D-570CE722D373}"/>
                </c:ext>
                <c:ext xmlns:c15="http://schemas.microsoft.com/office/drawing/2012/chart" uri="{CE6537A1-D6FC-4f65-9D91-7224C49458BB}">
                  <c15:layout/>
                </c:ext>
              </c:extLst>
            </c:dLbl>
            <c:dLbl>
              <c:idx val="2"/>
              <c:delete val="1"/>
              <c:extLst xmlns:c16r2="http://schemas.microsoft.com/office/drawing/2015/06/chart">
                <c:ext xmlns:c16="http://schemas.microsoft.com/office/drawing/2014/chart" uri="{C3380CC4-5D6E-409C-BE32-E72D297353CC}">
                  <c16:uniqueId val="{00000005-182F-483D-AD9D-570CE722D373}"/>
                </c:ext>
                <c:ext xmlns:c15="http://schemas.microsoft.com/office/drawing/2012/chart" uri="{CE6537A1-D6FC-4f65-9D91-7224C49458BB}"/>
              </c:extLst>
            </c:dLbl>
            <c:dLbl>
              <c:idx val="3"/>
              <c:layout>
                <c:manualLayout>
                  <c:x val="-8.5409252669039232E-2"/>
                  <c:y val="-1.5251182774127757E-2"/>
                </c:manualLayout>
              </c:layout>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7-182F-483D-AD9D-570CE722D373}"/>
                </c:ext>
                <c:ext xmlns:c15="http://schemas.microsoft.com/office/drawing/2012/chart" uri="{CE6537A1-D6FC-4f65-9D91-7224C49458BB}">
                  <c15:layout/>
                </c:ext>
              </c:extLst>
            </c:dLbl>
            <c:dLbl>
              <c:idx val="4"/>
              <c:layout>
                <c:manualLayout>
                  <c:x val="-8.402841320184061E-2"/>
                  <c:y val="8.4925690021231421E-3"/>
                </c:manualLayout>
              </c:layout>
              <c:tx>
                <c:rich>
                  <a:bodyPr/>
                  <a:lstStyle/>
                  <a:p>
                    <a:fld id="{12137743-EE76-4BEF-94D4-7FA931326455}" type="CATEGORYNAME">
                      <a:rPr lang="en-US">
                        <a:solidFill>
                          <a:sysClr val="windowText" lastClr="000000"/>
                        </a:solidFill>
                      </a:rPr>
                      <a:pPr/>
                      <a:t>[CATEGORY NAME]</a:t>
                    </a:fld>
                    <a:r>
                      <a:rPr lang="en-US" baseline="0">
                        <a:solidFill>
                          <a:sysClr val="windowText" lastClr="000000"/>
                        </a:solidFill>
                      </a:rPr>
                      <a:t>
</a:t>
                    </a:r>
                    <a:fld id="{40080558-E188-47BC-80DA-26363D321F24}" type="PERCENTAGE">
                      <a:rPr lang="en-US" baseline="0">
                        <a:solidFill>
                          <a:sysClr val="windowText" lastClr="000000"/>
                        </a:solidFill>
                      </a:rPr>
                      <a:pPr/>
                      <a:t>[PERCENTAGE]</a:t>
                    </a:fld>
                    <a:endParaRPr lang="en-US" baseline="0">
                      <a:solidFill>
                        <a:sysClr val="windowText" lastClr="000000"/>
                      </a:solidFill>
                    </a:endParaRPr>
                  </a:p>
                </c:rich>
              </c:tx>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9-182F-483D-AD9D-570CE722D373}"/>
                </c:ext>
                <c:ext xmlns:c15="http://schemas.microsoft.com/office/drawing/2012/chart" uri="{CE6537A1-D6FC-4f65-9D91-7224C49458BB}">
                  <c15:layout/>
                  <c15:dlblFieldTable/>
                  <c15:showDataLabelsRange val="0"/>
                </c:ext>
              </c:extLst>
            </c:dLbl>
            <c:dLbl>
              <c:idx val="5"/>
              <c:layout>
                <c:manualLayout>
                  <c:x val="-0.13014555267540465"/>
                  <c:y val="-1.5500677093905117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5E9633C8-7FCD-4CAD-A98C-569C362B0C32}" type="CATEGORYNAME">
                      <a:rPr lang="en-US">
                        <a:solidFill>
                          <a:sysClr val="windowText" lastClr="000000"/>
                        </a:solidFill>
                      </a:rPr>
                      <a:pPr>
                        <a:defRPr>
                          <a:solidFill>
                            <a:sysClr val="windowText" lastClr="000000"/>
                          </a:solidFill>
                        </a:defRPr>
                      </a:pPr>
                      <a:t>[CATEGORY NAME]</a:t>
                    </a:fld>
                    <a:r>
                      <a:rPr lang="en-US" baseline="0">
                        <a:solidFill>
                          <a:sysClr val="windowText" lastClr="000000"/>
                        </a:solidFill>
                      </a:rPr>
                      <a:t>
</a:t>
                    </a:r>
                    <a:fld id="{4CD826DB-FB31-4D72-BBBE-EA4D273362D5}" type="PERCENTAGE">
                      <a:rPr lang="en-US" baseline="0">
                        <a:solidFill>
                          <a:sysClr val="windowText" lastClr="000000"/>
                        </a:solidFill>
                      </a:rPr>
                      <a:pPr>
                        <a:defRPr>
                          <a:solidFill>
                            <a:sysClr val="windowText" lastClr="000000"/>
                          </a:solidFill>
                        </a:defRPr>
                      </a:pPr>
                      <a:t>[PERCENTAGE]</a:t>
                    </a:fld>
                    <a:endParaRPr 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B-182F-483D-AD9D-570CE722D373}"/>
                </c:ext>
                <c:ext xmlns:c15="http://schemas.microsoft.com/office/drawing/2012/chart" uri="{CE6537A1-D6FC-4f65-9D91-7224C49458BB}">
                  <c15:layout>
                    <c:manualLayout>
                      <c:w val="0.11281120109096683"/>
                      <c:h val="7.9317117149769384E-2"/>
                    </c:manualLayout>
                  </c15:layout>
                  <c15:dlblFieldTable/>
                  <c15:showDataLabelsRange val="0"/>
                </c:ext>
              </c:extLst>
            </c:dLbl>
            <c:dLbl>
              <c:idx val="6"/>
              <c:layout>
                <c:manualLayout>
                  <c:x val="-0.12723353975770813"/>
                  <c:y val="6.1747329354531318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3115EA1D-FEAC-4D41-8092-255EB3BEDE4B}" type="CATEGORYNAME">
                      <a:rPr lang="en-US" baseline="0">
                        <a:solidFill>
                          <a:sysClr val="windowText" lastClr="000000"/>
                        </a:solidFill>
                      </a:rPr>
                      <a:pPr>
                        <a:defRPr>
                          <a:solidFill>
                            <a:sysClr val="windowText" lastClr="000000"/>
                          </a:solidFill>
                        </a:defRPr>
                      </a:pPr>
                      <a:t>[CATEGORY NAME]</a:t>
                    </a:fld>
                    <a:r>
                      <a:rPr lang="en-US" baseline="0">
                        <a:solidFill>
                          <a:sysClr val="windowText" lastClr="000000"/>
                        </a:solidFill>
                      </a:rPr>
                      <a:t> operating revenue</a:t>
                    </a:r>
                  </a:p>
                  <a:p>
                    <a:pPr>
                      <a:defRPr>
                        <a:solidFill>
                          <a:sysClr val="windowText" lastClr="000000"/>
                        </a:solidFill>
                      </a:defRPr>
                    </a:pPr>
                    <a:fld id="{774D18CF-286A-4EA4-90A5-7E6EF3EB2A36}" type="PERCENTAGE">
                      <a:rPr lang="en-US" baseline="0">
                        <a:solidFill>
                          <a:sysClr val="windowText" lastClr="000000"/>
                        </a:solidFill>
                      </a:rPr>
                      <a:pPr>
                        <a:defRPr>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D-182F-483D-AD9D-570CE722D373}"/>
                </c:ext>
                <c:ext xmlns:c15="http://schemas.microsoft.com/office/drawing/2012/chart" uri="{CE6537A1-D6FC-4f65-9D91-7224C49458BB}">
                  <c15:layout>
                    <c:manualLayout>
                      <c:w val="0.14465491635609606"/>
                      <c:h val="0.14199865144245502"/>
                    </c:manualLayout>
                  </c15:layout>
                  <c15:dlblFieldTable/>
                  <c15:showDataLabelsRange val="0"/>
                </c:ext>
              </c:extLst>
            </c:dLbl>
            <c:dLbl>
              <c:idx val="7"/>
              <c:layout>
                <c:manualLayout>
                  <c:x val="-0.16374886207469616"/>
                  <c:y val="7.9242118384640192E-3"/>
                </c:manualLayout>
              </c:layout>
              <c:tx>
                <c:rich>
                  <a:bodyPr/>
                  <a:lstStyle/>
                  <a:p>
                    <a:r>
                      <a:rPr lang="en-US" baseline="0">
                        <a:solidFill>
                          <a:sysClr val="windowText" lastClr="000000"/>
                        </a:solidFill>
                      </a:rPr>
                      <a:t>Operating</a:t>
                    </a:r>
                  </a:p>
                  <a:p>
                    <a:r>
                      <a:rPr lang="en-US" baseline="0">
                        <a:solidFill>
                          <a:sysClr val="windowText" lastClr="000000"/>
                        </a:solidFill>
                      </a:rPr>
                      <a:t> revenue</a:t>
                    </a:r>
                  </a:p>
                  <a:p>
                    <a:r>
                      <a:rPr lang="en-US" baseline="0">
                        <a:solidFill>
                          <a:schemeClr val="bg1"/>
                        </a:solidFill>
                      </a:rPr>
                      <a:t>
</a:t>
                    </a:r>
                    <a:fld id="{ED77B29E-B258-4946-ABEE-867B04DC0836}" type="PERCENTAGE">
                      <a:rPr lang="en-US" baseline="0">
                        <a:solidFill>
                          <a:sysClr val="windowText" lastClr="000000"/>
                        </a:solidFill>
                      </a:rPr>
                      <a:pPr/>
                      <a:t>[PERCENTAGE]</a:t>
                    </a:fld>
                    <a:endParaRPr lang="en-US" baseline="0">
                      <a:solidFill>
                        <a:schemeClr val="bg1"/>
                      </a:solidFill>
                    </a:endParaRPr>
                  </a:p>
                </c:rich>
              </c:tx>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F-182F-483D-AD9D-570CE722D373}"/>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125190.72</c:v>
                </c:pt>
                <c:pt idx="1">
                  <c:v>7161.3900000000012</c:v>
                </c:pt>
                <c:pt idx="2">
                  <c:v>1245.47</c:v>
                </c:pt>
                <c:pt idx="3">
                  <c:v>5844.1000000000013</c:v>
                </c:pt>
                <c:pt idx="4">
                  <c:v>13865.403999999999</c:v>
                </c:pt>
                <c:pt idx="5">
                  <c:v>19070.189999999999</c:v>
                </c:pt>
                <c:pt idx="6" formatCode="General">
                  <c:v>1934</c:v>
                </c:pt>
              </c:numCache>
            </c:numRef>
          </c:val>
          <c:extLst xmlns:c16r2="http://schemas.microsoft.com/office/drawing/2015/06/chart">
            <c:ext xmlns:c16="http://schemas.microsoft.com/office/drawing/2014/chart" uri="{C3380CC4-5D6E-409C-BE32-E72D297353CC}">
              <c16:uniqueId val="{00000010-182F-483D-AD9D-570CE722D373}"/>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285234309980615E-2"/>
          <c:y val="9.6659559346126508E-2"/>
          <c:w val="0.91171476569001941"/>
          <c:h val="0.4612330921321402"/>
        </c:manualLayout>
      </c:layout>
      <c:barChart>
        <c:barDir val="col"/>
        <c:grouping val="clustered"/>
        <c:varyColors val="0"/>
        <c:ser>
          <c:idx val="0"/>
          <c:order val="0"/>
          <c:tx>
            <c:strRef>
              <c:f>'Financial Highlights'!$C$73</c:f>
              <c:strCache>
                <c:ptCount val="1"/>
                <c:pt idx="0">
                  <c:v>2018</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7"/>
              <c:layout>
                <c:manualLayout>
                  <c:x val="-9.5522370098038295E-3"/>
                  <c:y val="6.0475161987041087E-2"/>
                </c:manualLayout>
              </c:layout>
              <c:tx>
                <c:rich>
                  <a:bodyPr/>
                  <a:lstStyle/>
                  <a:p>
                    <a:r>
                      <a:rPr lang="en-US"/>
                      <a:t>-67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E62-4E7D-A4CA-5E2EE4338610}"/>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Highlights'!$C$75:$C$83</c:f>
              <c:numCache>
                <c:formatCode>#,##0</c:formatCode>
                <c:ptCount val="9"/>
                <c:pt idx="0">
                  <c:v>148806.27000000002</c:v>
                </c:pt>
                <c:pt idx="1">
                  <c:v>6701.5699999999988</c:v>
                </c:pt>
                <c:pt idx="2">
                  <c:v>12691.439999999999</c:v>
                </c:pt>
                <c:pt idx="3">
                  <c:v>3971.2299999999996</c:v>
                </c:pt>
                <c:pt idx="4">
                  <c:v>4509.1679999999988</c:v>
                </c:pt>
                <c:pt idx="5">
                  <c:v>4496.8999999999996</c:v>
                </c:pt>
                <c:pt idx="6">
                  <c:v>1771.92</c:v>
                </c:pt>
                <c:pt idx="7">
                  <c:v>-1618.0299999999997</c:v>
                </c:pt>
                <c:pt idx="8" formatCode="0">
                  <c:v>621.21</c:v>
                </c:pt>
              </c:numCache>
            </c:numRef>
          </c:val>
          <c:extLst xmlns:c16r2="http://schemas.microsoft.com/office/drawing/2015/06/chart">
            <c:ext xmlns:c16="http://schemas.microsoft.com/office/drawing/2014/chart" uri="{C3380CC4-5D6E-409C-BE32-E72D297353CC}">
              <c16:uniqueId val="{00000001-1E62-4E7D-A4CA-5E2EE4338610}"/>
            </c:ext>
          </c:extLst>
        </c:ser>
        <c:ser>
          <c:idx val="1"/>
          <c:order val="1"/>
          <c:tx>
            <c:strRef>
              <c:f>'Financial Highlights'!$D$73</c:f>
              <c:strCache>
                <c:ptCount val="1"/>
                <c:pt idx="0">
                  <c:v>2017</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1E62-4E7D-A4CA-5E2EE4338610}"/>
              </c:ext>
            </c:extLst>
          </c:dPt>
          <c:dLbls>
            <c:delete val="1"/>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Highlights'!$D$75:$D$83</c:f>
              <c:numCache>
                <c:formatCode>#,##0</c:formatCode>
                <c:ptCount val="9"/>
                <c:pt idx="0">
                  <c:v>148747.76</c:v>
                </c:pt>
                <c:pt idx="1">
                  <c:v>6968.0570000000007</c:v>
                </c:pt>
                <c:pt idx="2">
                  <c:v>15613.197999999997</c:v>
                </c:pt>
                <c:pt idx="3">
                  <c:v>4411.0219999999999</c:v>
                </c:pt>
                <c:pt idx="4">
                  <c:v>3874.6980000000012</c:v>
                </c:pt>
                <c:pt idx="5">
                  <c:v>5212.0410000000002</c:v>
                </c:pt>
                <c:pt idx="6">
                  <c:v>1575.652</c:v>
                </c:pt>
                <c:pt idx="7">
                  <c:v>7656.1790000000001</c:v>
                </c:pt>
                <c:pt idx="8" formatCode="General">
                  <c:v>674.6</c:v>
                </c:pt>
              </c:numCache>
            </c:numRef>
          </c:val>
          <c:extLst xmlns:c16r2="http://schemas.microsoft.com/office/drawing/2015/06/chart">
            <c:ext xmlns:c16="http://schemas.microsoft.com/office/drawing/2014/chart" uri="{C3380CC4-5D6E-409C-BE32-E72D297353CC}">
              <c16:uniqueId val="{00000004-1E62-4E7D-A4CA-5E2EE4338610}"/>
            </c:ext>
          </c:extLst>
        </c:ser>
        <c:dLbls>
          <c:showLegendKey val="0"/>
          <c:showVal val="1"/>
          <c:showCatName val="0"/>
          <c:showSerName val="0"/>
          <c:showPercent val="0"/>
          <c:showBubbleSize val="0"/>
        </c:dLbls>
        <c:gapWidth val="100"/>
        <c:overlap val="-24"/>
        <c:axId val="427565112"/>
        <c:axId val="427566680"/>
      </c:barChart>
      <c:catAx>
        <c:axId val="427565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566680"/>
        <c:crosses val="autoZero"/>
        <c:auto val="1"/>
        <c:lblAlgn val="ctr"/>
        <c:lblOffset val="100"/>
        <c:noMultiLvlLbl val="0"/>
      </c:catAx>
      <c:valAx>
        <c:axId val="427566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5651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397986384514435"/>
          <c:y val="7.8884366013898019E-2"/>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80C8-47BA-A823-F003B8A119D3}"/>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80C8-47BA-A823-F003B8A119D3}"/>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80C8-47BA-A823-F003B8A119D3}"/>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80C8-47BA-A823-F003B8A119D3}"/>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80C8-47BA-A823-F003B8A119D3}"/>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80C8-47BA-A823-F003B8A119D3}"/>
              </c:ext>
            </c:extLst>
          </c:dPt>
          <c:dLbls>
            <c:dLbl>
              <c:idx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dLbl>
            <c:dLbl>
              <c:idx val="5"/>
              <c:layout>
                <c:manualLayout>
                  <c:x val="-1.6666666666666691E-2"/>
                  <c:y val="-0.102418192386108"/>
                </c:manualLayout>
              </c:layout>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80C8-47BA-A823-F003B8A119D3}"/>
                </c:ext>
                <c:ext xmlns:c15="http://schemas.microsoft.com/office/drawing/2012/chart" uri="{CE6537A1-D6FC-4f65-9D91-7224C49458BB}">
                  <c15:layout/>
                </c:ext>
              </c:extLst>
            </c:dLbl>
            <c:dLbl>
              <c:idx val="6"/>
              <c:layout>
                <c:manualLayout>
                  <c:x val="0.13802083333333323"/>
                  <c:y val="-2.1887821753852215E-2"/>
                </c:manualLayout>
              </c:layout>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C-80C8-47BA-A823-F003B8A119D3}"/>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161825.62705000001</c:v>
                </c:pt>
                <c:pt idx="1">
                  <c:v>48995.95</c:v>
                </c:pt>
                <c:pt idx="2">
                  <c:v>90762.82</c:v>
                </c:pt>
                <c:pt idx="3">
                  <c:v>6982.9307300000009</c:v>
                </c:pt>
                <c:pt idx="4">
                  <c:v>95624.610000000015</c:v>
                </c:pt>
                <c:pt idx="5">
                  <c:v>4367.55</c:v>
                </c:pt>
              </c:numCache>
            </c:numRef>
          </c:val>
          <c:extLst xmlns:c16r2="http://schemas.microsoft.com/office/drawing/2015/06/chart">
            <c:ext xmlns:c16="http://schemas.microsoft.com/office/drawing/2014/chart" uri="{C3380CC4-5D6E-409C-BE32-E72D297353CC}">
              <c16:uniqueId val="{0000000D-80C8-47BA-A823-F003B8A119D3}"/>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Highlights'!$C$98:$C$99</c:f>
              <c:strCache>
                <c:ptCount val="2"/>
                <c:pt idx="0">
                  <c:v>2018</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161825.62705000001</c:v>
                </c:pt>
                <c:pt idx="1">
                  <c:v>48995.95</c:v>
                </c:pt>
                <c:pt idx="2">
                  <c:v>90762.82</c:v>
                </c:pt>
                <c:pt idx="3">
                  <c:v>8533.9007300000012</c:v>
                </c:pt>
                <c:pt idx="4">
                  <c:v>95624.710000000021</c:v>
                </c:pt>
                <c:pt idx="5">
                  <c:v>4367.55</c:v>
                </c:pt>
              </c:numCache>
            </c:numRef>
          </c:val>
        </c:ser>
        <c:ser>
          <c:idx val="1"/>
          <c:order val="1"/>
          <c:tx>
            <c:strRef>
              <c:f>'Financial Highlights'!$D$98:$D$99</c:f>
              <c:strCache>
                <c:ptCount val="2"/>
                <c:pt idx="0">
                  <c:v>2017</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Highlights'!$D$100:$D$105</c:f>
              <c:numCache>
                <c:formatCode>_ * #,##0_ ;_ * \-#,##0_ ;_ * "-"??_ ;_ @_ </c:formatCode>
                <c:ptCount val="6"/>
                <c:pt idx="0">
                  <c:v>135297.13926999999</c:v>
                </c:pt>
                <c:pt idx="1">
                  <c:v>31362.866000000002</c:v>
                </c:pt>
                <c:pt idx="2">
                  <c:v>97072.566000000006</c:v>
                </c:pt>
                <c:pt idx="3">
                  <c:v>7504.5187699999988</c:v>
                </c:pt>
                <c:pt idx="4">
                  <c:v>99000.041999999987</c:v>
                </c:pt>
                <c:pt idx="5">
                  <c:v>1875.617</c:v>
                </c:pt>
              </c:numCache>
            </c:numRef>
          </c:val>
        </c:ser>
        <c:dLbls>
          <c:showLegendKey val="0"/>
          <c:showVal val="0"/>
          <c:showCatName val="0"/>
          <c:showSerName val="0"/>
          <c:showPercent val="0"/>
          <c:showBubbleSize val="0"/>
        </c:dLbls>
        <c:gapWidth val="100"/>
        <c:overlap val="-24"/>
        <c:axId val="489449792"/>
        <c:axId val="489450184"/>
      </c:barChart>
      <c:catAx>
        <c:axId val="489449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450184"/>
        <c:crosses val="autoZero"/>
        <c:auto val="1"/>
        <c:lblAlgn val="ctr"/>
        <c:lblOffset val="100"/>
        <c:noMultiLvlLbl val="0"/>
      </c:catAx>
      <c:valAx>
        <c:axId val="489450184"/>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449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13"/>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2.7777777777777779E-3"/>
                  <c:y val="-8.369013661517849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8.0555555555555561E-2"/>
                  <c:y val="-3.2685394733404122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2.7777777777777776E-2"/>
                  <c:y val="-0.10583029560734133"/>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2.9337051618547581E-2"/>
                  <c:y val="-2.9462232235218318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5.2942475940507452E-2"/>
                  <c:y val="-8.3985660087137537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5"/>
              <c:layout>
                <c:manualLayout>
                  <c:x val="-7.5991907261592301E-2"/>
                  <c:y val="-6.3106062703992688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1.9444444444444445E-2"/>
                  <c:y val="0.2000121406645255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0.16944444444444448"/>
                  <c:y val="-3.198401303033728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5.5555555555555558E-3"/>
                  <c:y val="0"/>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Highlights'!$C$121:$C$127</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Highlights'!$D$121:$D$127</c:f>
              <c:numCache>
                <c:formatCode>_ * #,##0_ ;_ * \-#,##0_ ;_ * "-"??_ ;_ @_ </c:formatCode>
                <c:ptCount val="7"/>
                <c:pt idx="0">
                  <c:v>15737.582000000002</c:v>
                </c:pt>
                <c:pt idx="1">
                  <c:v>136273.18852</c:v>
                </c:pt>
                <c:pt idx="2">
                  <c:v>3195.3917499999998</c:v>
                </c:pt>
                <c:pt idx="3">
                  <c:v>43192.15</c:v>
                </c:pt>
                <c:pt idx="4">
                  <c:v>573599.74</c:v>
                </c:pt>
                <c:pt idx="5">
                  <c:v>33824</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Highlights'!$D$120</c:f>
              <c:strCache>
                <c:ptCount val="1"/>
                <c:pt idx="0">
                  <c:v>2018</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Highlights'!$D$121:$D$126</c:f>
              <c:numCache>
                <c:formatCode>_ * #,##0_ ;_ * \-#,##0_ ;_ * "-"??_ ;_ @_ </c:formatCode>
                <c:ptCount val="6"/>
                <c:pt idx="0">
                  <c:v>15737.582000000002</c:v>
                </c:pt>
                <c:pt idx="1">
                  <c:v>136273.18852</c:v>
                </c:pt>
                <c:pt idx="2">
                  <c:v>1644.4217500000002</c:v>
                </c:pt>
                <c:pt idx="3">
                  <c:v>43192.15</c:v>
                </c:pt>
                <c:pt idx="4">
                  <c:v>573599.74</c:v>
                </c:pt>
                <c:pt idx="5">
                  <c:v>33824</c:v>
                </c:pt>
              </c:numCache>
            </c:numRef>
          </c:val>
          <c:extLst xmlns:c16r2="http://schemas.microsoft.com/office/drawing/2015/06/chart">
            <c:ext xmlns:c16="http://schemas.microsoft.com/office/drawing/2014/chart" uri="{C3380CC4-5D6E-409C-BE32-E72D297353CC}">
              <c16:uniqueId val="{00000000-ADD6-456E-9D06-A0E2EC4750FC}"/>
            </c:ext>
          </c:extLst>
        </c:ser>
        <c:ser>
          <c:idx val="1"/>
          <c:order val="1"/>
          <c:tx>
            <c:strRef>
              <c:f>'Financial Highlights'!$E$120</c:f>
              <c:strCache>
                <c:ptCount val="1"/>
                <c:pt idx="0">
                  <c:v>2017</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balanced"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Highlights'!$E$121:$E$126</c:f>
              <c:numCache>
                <c:formatCode>_ * #,##0_ ;_ * \-#,##0_ ;_ * "-"??_ ;_ @_ </c:formatCode>
                <c:ptCount val="6"/>
                <c:pt idx="0">
                  <c:v>11307.438</c:v>
                </c:pt>
                <c:pt idx="1">
                  <c:v>134274.56018</c:v>
                </c:pt>
                <c:pt idx="2">
                  <c:v>1810.4816900000001</c:v>
                </c:pt>
                <c:pt idx="3">
                  <c:v>43018.549999999996</c:v>
                </c:pt>
                <c:pt idx="4">
                  <c:v>638591.01</c:v>
                </c:pt>
                <c:pt idx="5">
                  <c:v>26294</c:v>
                </c:pt>
              </c:numCache>
            </c:numRef>
          </c:val>
          <c:extLst xmlns:c16r2="http://schemas.microsoft.com/office/drawing/2015/06/chart">
            <c:ext xmlns:c16="http://schemas.microsoft.com/office/drawing/2014/chart" uri="{C3380CC4-5D6E-409C-BE32-E72D297353CC}">
              <c16:uniqueId val="{00000001-ADD6-456E-9D06-A0E2EC4750FC}"/>
            </c:ext>
          </c:extLst>
        </c:ser>
        <c:dLbls>
          <c:showLegendKey val="0"/>
          <c:showVal val="0"/>
          <c:showCatName val="0"/>
          <c:showSerName val="0"/>
          <c:showPercent val="0"/>
          <c:showBubbleSize val="0"/>
        </c:dLbls>
        <c:gapWidth val="100"/>
        <c:overlap val="-24"/>
        <c:axId val="489448616"/>
        <c:axId val="422241744"/>
      </c:barChart>
      <c:catAx>
        <c:axId val="4894486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2241744"/>
        <c:crosses val="autoZero"/>
        <c:auto val="1"/>
        <c:lblAlgn val="ctr"/>
        <c:lblOffset val="100"/>
        <c:noMultiLvlLbl val="0"/>
      </c:catAx>
      <c:valAx>
        <c:axId val="422241744"/>
        <c:scaling>
          <c:orientation val="minMax"/>
          <c:max val="650000"/>
        </c:scaling>
        <c:delete val="0"/>
        <c:axPos val="l"/>
        <c:majorGridlines>
          <c:spPr>
            <a:ln w="9525" cap="flat" cmpd="sng" algn="ctr">
              <a:solidFill>
                <a:schemeClr val="tx2">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89448616"/>
        <c:crosses val="autoZero"/>
        <c:crossBetween val="between"/>
        <c:majorUnit val="100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hade val="5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8244-48D4-BDAB-A933AA8AEF1F}"/>
              </c:ext>
            </c:extLst>
          </c:dPt>
          <c:dPt>
            <c:idx val="1"/>
            <c:bubble3D val="0"/>
            <c:spPr>
              <a:solidFill>
                <a:schemeClr val="accent1">
                  <a:shade val="7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8244-48D4-BDAB-A933AA8AEF1F}"/>
              </c:ext>
            </c:extLst>
          </c:dPt>
          <c:dPt>
            <c:idx val="2"/>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8244-48D4-BDAB-A933AA8AEF1F}"/>
              </c:ext>
            </c:extLst>
          </c:dPt>
          <c:dPt>
            <c:idx val="3"/>
            <c:bubble3D val="0"/>
            <c:spPr>
              <a:solidFill>
                <a:schemeClr val="accent1">
                  <a:tint val="7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8244-48D4-BDAB-A933AA8AEF1F}"/>
              </c:ext>
            </c:extLst>
          </c:dPt>
          <c:dPt>
            <c:idx val="4"/>
            <c:bubble3D val="0"/>
            <c:spPr>
              <a:solidFill>
                <a:schemeClr val="accent1">
                  <a:tint val="54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8244-48D4-BDAB-A933AA8AEF1F}"/>
              </c:ext>
            </c:extLst>
          </c:dPt>
          <c:dLbls>
            <c:dLbl>
              <c:idx val="0"/>
              <c:layout>
                <c:manualLayout>
                  <c:x val="-0.125"/>
                  <c:y val="-1.388888888888888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8244-48D4-BDAB-A933AA8AEF1F}"/>
                </c:ext>
                <c:ext xmlns:c15="http://schemas.microsoft.com/office/drawing/2012/chart" uri="{CE6537A1-D6FC-4f65-9D91-7224C49458BB}">
                  <c15:layout/>
                </c:ext>
              </c:extLst>
            </c:dLbl>
            <c:dLbl>
              <c:idx val="1"/>
              <c:layout>
                <c:manualLayout>
                  <c:x val="1.6666666666666666E-2"/>
                  <c:y val="-6.481481481481483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8244-48D4-BDAB-A933AA8AEF1F}"/>
                </c:ext>
                <c:ext xmlns:c15="http://schemas.microsoft.com/office/drawing/2012/chart" uri="{CE6537A1-D6FC-4f65-9D91-7224C49458BB}">
                  <c15:layout/>
                </c:ext>
              </c:extLst>
            </c:dLbl>
            <c:dLbl>
              <c:idx val="2"/>
              <c:layout>
                <c:manualLayout>
                  <c:x val="2.7777777777777676E-2"/>
                  <c:y val="4.629629629629651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8244-48D4-BDAB-A933AA8AEF1F}"/>
                </c:ext>
                <c:ext xmlns:c15="http://schemas.microsoft.com/office/drawing/2012/chart" uri="{CE6537A1-D6FC-4f65-9D91-7224C49458BB}">
                  <c15:layout/>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outEnd"/>
              <c:showLegendKey val="0"/>
              <c:showVal val="1"/>
              <c:showCatName val="1"/>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outEnd"/>
              <c:showLegendKey val="0"/>
              <c:showVal val="1"/>
              <c:showCatName val="1"/>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'Liste 2018'!$B$568:$B$572</c:f>
              <c:strCache>
                <c:ptCount val="5"/>
                <c:pt idx="0">
                  <c:v>Region A</c:v>
                </c:pt>
                <c:pt idx="1">
                  <c:v>Region B</c:v>
                </c:pt>
                <c:pt idx="2">
                  <c:v>Region C</c:v>
                </c:pt>
                <c:pt idx="3">
                  <c:v>Region D</c:v>
                </c:pt>
                <c:pt idx="4">
                  <c:v>Region E</c:v>
                </c:pt>
              </c:strCache>
            </c:strRef>
          </c:cat>
          <c:val>
            <c:numRef>
              <c:f>'Liste 2018'!$C$568:$C$572</c:f>
              <c:numCache>
                <c:formatCode>0%</c:formatCode>
                <c:ptCount val="5"/>
                <c:pt idx="0">
                  <c:v>2.2222222222222223E-2</c:v>
                </c:pt>
                <c:pt idx="1">
                  <c:v>2.0370370370370372E-2</c:v>
                </c:pt>
                <c:pt idx="2">
                  <c:v>4.4444444444444446E-2</c:v>
                </c:pt>
                <c:pt idx="3">
                  <c:v>0.62592592592592589</c:v>
                </c:pt>
                <c:pt idx="4">
                  <c:v>0.28703703703703703</c:v>
                </c:pt>
              </c:numCache>
            </c:numRef>
          </c:val>
          <c:extLst xmlns:c16r2="http://schemas.microsoft.com/office/drawing/2015/06/chart">
            <c:ext xmlns:c16="http://schemas.microsoft.com/office/drawing/2014/chart" uri="{C3380CC4-5D6E-409C-BE32-E72D297353CC}">
              <c16:uniqueId val="{0000000A-8244-48D4-BDAB-A933AA8AEF1F}"/>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7434D-B946-4FEB-B543-652C7D80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110</Pages>
  <Words>30180</Words>
  <Characters>196496</Characters>
  <Application>Microsoft Office Word</Application>
  <DocSecurity>0</DocSecurity>
  <Lines>1637</Lines>
  <Paragraphs>452</Paragraphs>
  <ScaleCrop>false</ScaleCrop>
  <HeadingPairs>
    <vt:vector size="2" baseType="variant">
      <vt:variant>
        <vt:lpstr>Title</vt:lpstr>
      </vt:variant>
      <vt:variant>
        <vt:i4>1</vt:i4>
      </vt:variant>
    </vt:vector>
  </HeadingPairs>
  <TitlesOfParts>
    <vt:vector size="1" baseType="lpstr">
      <vt:lpstr>Unaudited financial operating report</vt:lpstr>
    </vt:vector>
  </TitlesOfParts>
  <Company>ITU</Company>
  <LinksUpToDate>false</LinksUpToDate>
  <CharactersWithSpaces>226224</CharactersWithSpaces>
  <SharedDoc>false</SharedDoc>
  <HLinks>
    <vt:vector size="624" baseType="variant">
      <vt:variant>
        <vt:i4>3801198</vt:i4>
      </vt:variant>
      <vt:variant>
        <vt:i4>555</vt:i4>
      </vt:variant>
      <vt:variant>
        <vt:i4>0</vt:i4>
      </vt:variant>
      <vt:variant>
        <vt:i4>5</vt:i4>
      </vt:variant>
      <vt:variant>
        <vt:lpwstr>http://www.itu.int/md/S13-CL-C-0007/en</vt:lpwstr>
      </vt:variant>
      <vt:variant>
        <vt:lpwstr/>
      </vt:variant>
      <vt:variant>
        <vt:i4>3801185</vt:i4>
      </vt:variant>
      <vt:variant>
        <vt:i4>552</vt:i4>
      </vt:variant>
      <vt:variant>
        <vt:i4>0</vt:i4>
      </vt:variant>
      <vt:variant>
        <vt:i4>5</vt:i4>
      </vt:variant>
      <vt:variant>
        <vt:lpwstr>http://www.itu.int/md/S13-CL-C-0008/en</vt:lpwstr>
      </vt:variant>
      <vt:variant>
        <vt:lpwstr/>
      </vt:variant>
      <vt:variant>
        <vt:i4>3801198</vt:i4>
      </vt:variant>
      <vt:variant>
        <vt:i4>549</vt:i4>
      </vt:variant>
      <vt:variant>
        <vt:i4>0</vt:i4>
      </vt:variant>
      <vt:variant>
        <vt:i4>5</vt:i4>
      </vt:variant>
      <vt:variant>
        <vt:lpwstr>http://www.itu.int/md/S13-CL-C-0007/en</vt:lpwstr>
      </vt:variant>
      <vt:variant>
        <vt:lpwstr/>
      </vt:variant>
      <vt:variant>
        <vt:i4>2818170</vt:i4>
      </vt:variant>
      <vt:variant>
        <vt:i4>546</vt:i4>
      </vt:variant>
      <vt:variant>
        <vt:i4>0</vt:i4>
      </vt:variant>
      <vt:variant>
        <vt:i4>5</vt:i4>
      </vt:variant>
      <vt:variant>
        <vt:lpwstr>http://www.itu.int/council/finregs/Regl_Fin_10e.pdf</vt:lpwstr>
      </vt:variant>
      <vt:variant>
        <vt:lpwstr/>
      </vt:variant>
      <vt:variant>
        <vt:i4>6094856</vt:i4>
      </vt:variant>
      <vt:variant>
        <vt:i4>543</vt:i4>
      </vt:variant>
      <vt:variant>
        <vt:i4>0</vt:i4>
      </vt:variant>
      <vt:variant>
        <vt:i4>5</vt:i4>
      </vt:variant>
      <vt:variant>
        <vt:lpwstr>http://www.itu.int/council/pd/convention.doc</vt:lpwstr>
      </vt:variant>
      <vt:variant>
        <vt:lpwstr>cv101</vt:lpwstr>
      </vt:variant>
      <vt:variant>
        <vt:i4>3604515</vt:i4>
      </vt:variant>
      <vt:variant>
        <vt:i4>540</vt:i4>
      </vt:variant>
      <vt:variant>
        <vt:i4>0</vt:i4>
      </vt:variant>
      <vt:variant>
        <vt:i4>5</vt:i4>
      </vt:variant>
      <vt:variant>
        <vt:lpwstr>http://www.unjspf.org/</vt:lpwstr>
      </vt:variant>
      <vt:variant>
        <vt:lpwstr/>
      </vt:variant>
      <vt:variant>
        <vt:i4>655443</vt:i4>
      </vt:variant>
      <vt:variant>
        <vt:i4>537</vt:i4>
      </vt:variant>
      <vt:variant>
        <vt:i4>0</vt:i4>
      </vt:variant>
      <vt:variant>
        <vt:i4>5</vt:i4>
      </vt:variant>
      <vt:variant>
        <vt:lpwstr>http://www.itu.int/ITU-R/index.asp?category=conferences&amp;link=rrb&amp;lang=en</vt:lpwstr>
      </vt:variant>
      <vt:variant>
        <vt:lpwstr/>
      </vt:variant>
      <vt:variant>
        <vt:i4>1376321</vt:i4>
      </vt:variant>
      <vt:variant>
        <vt:i4>534</vt:i4>
      </vt:variant>
      <vt:variant>
        <vt:i4>0</vt:i4>
      </vt:variant>
      <vt:variant>
        <vt:i4>5</vt:i4>
      </vt:variant>
      <vt:variant>
        <vt:lpwstr>http://www.itu.int/council/index-en.html</vt:lpwstr>
      </vt:variant>
      <vt:variant>
        <vt:lpwstr/>
      </vt:variant>
      <vt:variant>
        <vt:i4>1966082</vt:i4>
      </vt:variant>
      <vt:variant>
        <vt:i4>531</vt:i4>
      </vt:variant>
      <vt:variant>
        <vt:i4>0</vt:i4>
      </vt:variant>
      <vt:variant>
        <vt:i4>5</vt:i4>
      </vt:variant>
      <vt:variant>
        <vt:lpwstr>http://www.itu.int/cgi-bin/htsh/mm/scripts/mm.list?_search=ASSOCIATES&amp;_languageid=1</vt:lpwstr>
      </vt:variant>
      <vt:variant>
        <vt:lpwstr/>
      </vt:variant>
      <vt:variant>
        <vt:i4>1114190</vt:i4>
      </vt:variant>
      <vt:variant>
        <vt:i4>528</vt:i4>
      </vt:variant>
      <vt:variant>
        <vt:i4>0</vt:i4>
      </vt:variant>
      <vt:variant>
        <vt:i4>5</vt:i4>
      </vt:variant>
      <vt:variant>
        <vt:lpwstr>http://www.itu.int/cgi-bin/htsh/mm/scripts/mm.list?_search=SEC&amp;_languageid=1</vt:lpwstr>
      </vt:variant>
      <vt:variant>
        <vt:lpwstr/>
      </vt:variant>
      <vt:variant>
        <vt:i4>7209000</vt:i4>
      </vt:variant>
      <vt:variant>
        <vt:i4>525</vt:i4>
      </vt:variant>
      <vt:variant>
        <vt:i4>0</vt:i4>
      </vt:variant>
      <vt:variant>
        <vt:i4>5</vt:i4>
      </vt:variant>
      <vt:variant>
        <vt:lpwstr>http://www.itu.int/cgi-bin/htsh/mm/scripts/mm.list?_search=ITUstates&amp;_languageid=1</vt:lpwstr>
      </vt:variant>
      <vt:variant>
        <vt:lpwstr/>
      </vt:variant>
      <vt:variant>
        <vt:i4>6488164</vt:i4>
      </vt:variant>
      <vt:variant>
        <vt:i4>522</vt:i4>
      </vt:variant>
      <vt:variant>
        <vt:i4>0</vt:i4>
      </vt:variant>
      <vt:variant>
        <vt:i4>5</vt:i4>
      </vt:variant>
      <vt:variant>
        <vt:lpwstr>http://www.itu.int/itu-wsis/implementation/</vt:lpwstr>
      </vt:variant>
      <vt:variant>
        <vt:lpwstr/>
      </vt:variant>
      <vt:variant>
        <vt:i4>3866723</vt:i4>
      </vt:variant>
      <vt:variant>
        <vt:i4>519</vt:i4>
      </vt:variant>
      <vt:variant>
        <vt:i4>0</vt:i4>
      </vt:variant>
      <vt:variant>
        <vt:i4>5</vt:i4>
      </vt:variant>
      <vt:variant>
        <vt:lpwstr>http://www.itu.int/ITUTELECOM/index-en.html</vt:lpwstr>
      </vt:variant>
      <vt:variant>
        <vt:lpwstr/>
      </vt:variant>
      <vt:variant>
        <vt:i4>8192046</vt:i4>
      </vt:variant>
      <vt:variant>
        <vt:i4>516</vt:i4>
      </vt:variant>
      <vt:variant>
        <vt:i4>0</vt:i4>
      </vt:variant>
      <vt:variant>
        <vt:i4>5</vt:i4>
      </vt:variant>
      <vt:variant>
        <vt:lpwstr>http://www.itu.int/net/ITU-D/index-en.aspx</vt:lpwstr>
      </vt:variant>
      <vt:variant>
        <vt:lpwstr/>
      </vt:variant>
      <vt:variant>
        <vt:i4>4325394</vt:i4>
      </vt:variant>
      <vt:variant>
        <vt:i4>513</vt:i4>
      </vt:variant>
      <vt:variant>
        <vt:i4>0</vt:i4>
      </vt:variant>
      <vt:variant>
        <vt:i4>5</vt:i4>
      </vt:variant>
      <vt:variant>
        <vt:lpwstr>http://www.itu.int/ITU-T/</vt:lpwstr>
      </vt:variant>
      <vt:variant>
        <vt:lpwstr/>
      </vt:variant>
      <vt:variant>
        <vt:i4>6619170</vt:i4>
      </vt:variant>
      <vt:variant>
        <vt:i4>510</vt:i4>
      </vt:variant>
      <vt:variant>
        <vt:i4>0</vt:i4>
      </vt:variant>
      <vt:variant>
        <vt:i4>5</vt:i4>
      </vt:variant>
      <vt:variant>
        <vt:lpwstr>http://www.itu.int/ITU-R/index.asp?category=information&amp;link=rhome&amp;lang=en</vt:lpwstr>
      </vt:variant>
      <vt:variant>
        <vt:lpwstr/>
      </vt:variant>
      <vt:variant>
        <vt:i4>2490419</vt:i4>
      </vt:variant>
      <vt:variant>
        <vt:i4>507</vt:i4>
      </vt:variant>
      <vt:variant>
        <vt:i4>0</vt:i4>
      </vt:variant>
      <vt:variant>
        <vt:i4>5</vt:i4>
      </vt:variant>
      <vt:variant>
        <vt:lpwstr>http://www.unsystem.org/en</vt:lpwstr>
      </vt:variant>
      <vt:variant>
        <vt:lpwstr/>
      </vt:variant>
      <vt:variant>
        <vt:i4>1179709</vt:i4>
      </vt:variant>
      <vt:variant>
        <vt:i4>500</vt:i4>
      </vt:variant>
      <vt:variant>
        <vt:i4>0</vt:i4>
      </vt:variant>
      <vt:variant>
        <vt:i4>5</vt:i4>
      </vt:variant>
      <vt:variant>
        <vt:lpwstr/>
      </vt:variant>
      <vt:variant>
        <vt:lpwstr>_Toc329011663</vt:lpwstr>
      </vt:variant>
      <vt:variant>
        <vt:i4>1179709</vt:i4>
      </vt:variant>
      <vt:variant>
        <vt:i4>494</vt:i4>
      </vt:variant>
      <vt:variant>
        <vt:i4>0</vt:i4>
      </vt:variant>
      <vt:variant>
        <vt:i4>5</vt:i4>
      </vt:variant>
      <vt:variant>
        <vt:lpwstr/>
      </vt:variant>
      <vt:variant>
        <vt:lpwstr>_Toc329011662</vt:lpwstr>
      </vt:variant>
      <vt:variant>
        <vt:i4>1179709</vt:i4>
      </vt:variant>
      <vt:variant>
        <vt:i4>488</vt:i4>
      </vt:variant>
      <vt:variant>
        <vt:i4>0</vt:i4>
      </vt:variant>
      <vt:variant>
        <vt:i4>5</vt:i4>
      </vt:variant>
      <vt:variant>
        <vt:lpwstr/>
      </vt:variant>
      <vt:variant>
        <vt:lpwstr>_Toc329011661</vt:lpwstr>
      </vt:variant>
      <vt:variant>
        <vt:i4>1179709</vt:i4>
      </vt:variant>
      <vt:variant>
        <vt:i4>482</vt:i4>
      </vt:variant>
      <vt:variant>
        <vt:i4>0</vt:i4>
      </vt:variant>
      <vt:variant>
        <vt:i4>5</vt:i4>
      </vt:variant>
      <vt:variant>
        <vt:lpwstr/>
      </vt:variant>
      <vt:variant>
        <vt:lpwstr>_Toc329011660</vt:lpwstr>
      </vt:variant>
      <vt:variant>
        <vt:i4>1114173</vt:i4>
      </vt:variant>
      <vt:variant>
        <vt:i4>476</vt:i4>
      </vt:variant>
      <vt:variant>
        <vt:i4>0</vt:i4>
      </vt:variant>
      <vt:variant>
        <vt:i4>5</vt:i4>
      </vt:variant>
      <vt:variant>
        <vt:lpwstr/>
      </vt:variant>
      <vt:variant>
        <vt:lpwstr>_Toc329011659</vt:lpwstr>
      </vt:variant>
      <vt:variant>
        <vt:i4>1114173</vt:i4>
      </vt:variant>
      <vt:variant>
        <vt:i4>470</vt:i4>
      </vt:variant>
      <vt:variant>
        <vt:i4>0</vt:i4>
      </vt:variant>
      <vt:variant>
        <vt:i4>5</vt:i4>
      </vt:variant>
      <vt:variant>
        <vt:lpwstr/>
      </vt:variant>
      <vt:variant>
        <vt:lpwstr>_Toc329011658</vt:lpwstr>
      </vt:variant>
      <vt:variant>
        <vt:i4>1114173</vt:i4>
      </vt:variant>
      <vt:variant>
        <vt:i4>464</vt:i4>
      </vt:variant>
      <vt:variant>
        <vt:i4>0</vt:i4>
      </vt:variant>
      <vt:variant>
        <vt:i4>5</vt:i4>
      </vt:variant>
      <vt:variant>
        <vt:lpwstr/>
      </vt:variant>
      <vt:variant>
        <vt:lpwstr>_Toc329011657</vt:lpwstr>
      </vt:variant>
      <vt:variant>
        <vt:i4>1114173</vt:i4>
      </vt:variant>
      <vt:variant>
        <vt:i4>458</vt:i4>
      </vt:variant>
      <vt:variant>
        <vt:i4>0</vt:i4>
      </vt:variant>
      <vt:variant>
        <vt:i4>5</vt:i4>
      </vt:variant>
      <vt:variant>
        <vt:lpwstr/>
      </vt:variant>
      <vt:variant>
        <vt:lpwstr>_Toc329011656</vt:lpwstr>
      </vt:variant>
      <vt:variant>
        <vt:i4>1114173</vt:i4>
      </vt:variant>
      <vt:variant>
        <vt:i4>452</vt:i4>
      </vt:variant>
      <vt:variant>
        <vt:i4>0</vt:i4>
      </vt:variant>
      <vt:variant>
        <vt:i4>5</vt:i4>
      </vt:variant>
      <vt:variant>
        <vt:lpwstr/>
      </vt:variant>
      <vt:variant>
        <vt:lpwstr>_Toc329011655</vt:lpwstr>
      </vt:variant>
      <vt:variant>
        <vt:i4>1114173</vt:i4>
      </vt:variant>
      <vt:variant>
        <vt:i4>446</vt:i4>
      </vt:variant>
      <vt:variant>
        <vt:i4>0</vt:i4>
      </vt:variant>
      <vt:variant>
        <vt:i4>5</vt:i4>
      </vt:variant>
      <vt:variant>
        <vt:lpwstr/>
      </vt:variant>
      <vt:variant>
        <vt:lpwstr>_Toc329011654</vt:lpwstr>
      </vt:variant>
      <vt:variant>
        <vt:i4>1114173</vt:i4>
      </vt:variant>
      <vt:variant>
        <vt:i4>440</vt:i4>
      </vt:variant>
      <vt:variant>
        <vt:i4>0</vt:i4>
      </vt:variant>
      <vt:variant>
        <vt:i4>5</vt:i4>
      </vt:variant>
      <vt:variant>
        <vt:lpwstr/>
      </vt:variant>
      <vt:variant>
        <vt:lpwstr>_Toc329011653</vt:lpwstr>
      </vt:variant>
      <vt:variant>
        <vt:i4>1114173</vt:i4>
      </vt:variant>
      <vt:variant>
        <vt:i4>434</vt:i4>
      </vt:variant>
      <vt:variant>
        <vt:i4>0</vt:i4>
      </vt:variant>
      <vt:variant>
        <vt:i4>5</vt:i4>
      </vt:variant>
      <vt:variant>
        <vt:lpwstr/>
      </vt:variant>
      <vt:variant>
        <vt:lpwstr>_Toc329011652</vt:lpwstr>
      </vt:variant>
      <vt:variant>
        <vt:i4>1114173</vt:i4>
      </vt:variant>
      <vt:variant>
        <vt:i4>428</vt:i4>
      </vt:variant>
      <vt:variant>
        <vt:i4>0</vt:i4>
      </vt:variant>
      <vt:variant>
        <vt:i4>5</vt:i4>
      </vt:variant>
      <vt:variant>
        <vt:lpwstr/>
      </vt:variant>
      <vt:variant>
        <vt:lpwstr>_Toc329011651</vt:lpwstr>
      </vt:variant>
      <vt:variant>
        <vt:i4>1114173</vt:i4>
      </vt:variant>
      <vt:variant>
        <vt:i4>422</vt:i4>
      </vt:variant>
      <vt:variant>
        <vt:i4>0</vt:i4>
      </vt:variant>
      <vt:variant>
        <vt:i4>5</vt:i4>
      </vt:variant>
      <vt:variant>
        <vt:lpwstr/>
      </vt:variant>
      <vt:variant>
        <vt:lpwstr>_Toc329011650</vt:lpwstr>
      </vt:variant>
      <vt:variant>
        <vt:i4>1048637</vt:i4>
      </vt:variant>
      <vt:variant>
        <vt:i4>416</vt:i4>
      </vt:variant>
      <vt:variant>
        <vt:i4>0</vt:i4>
      </vt:variant>
      <vt:variant>
        <vt:i4>5</vt:i4>
      </vt:variant>
      <vt:variant>
        <vt:lpwstr/>
      </vt:variant>
      <vt:variant>
        <vt:lpwstr>_Toc329011649</vt:lpwstr>
      </vt:variant>
      <vt:variant>
        <vt:i4>1048637</vt:i4>
      </vt:variant>
      <vt:variant>
        <vt:i4>410</vt:i4>
      </vt:variant>
      <vt:variant>
        <vt:i4>0</vt:i4>
      </vt:variant>
      <vt:variant>
        <vt:i4>5</vt:i4>
      </vt:variant>
      <vt:variant>
        <vt:lpwstr/>
      </vt:variant>
      <vt:variant>
        <vt:lpwstr>_Toc329011648</vt:lpwstr>
      </vt:variant>
      <vt:variant>
        <vt:i4>1048637</vt:i4>
      </vt:variant>
      <vt:variant>
        <vt:i4>404</vt:i4>
      </vt:variant>
      <vt:variant>
        <vt:i4>0</vt:i4>
      </vt:variant>
      <vt:variant>
        <vt:i4>5</vt:i4>
      </vt:variant>
      <vt:variant>
        <vt:lpwstr/>
      </vt:variant>
      <vt:variant>
        <vt:lpwstr>_Toc329011647</vt:lpwstr>
      </vt:variant>
      <vt:variant>
        <vt:i4>1048637</vt:i4>
      </vt:variant>
      <vt:variant>
        <vt:i4>398</vt:i4>
      </vt:variant>
      <vt:variant>
        <vt:i4>0</vt:i4>
      </vt:variant>
      <vt:variant>
        <vt:i4>5</vt:i4>
      </vt:variant>
      <vt:variant>
        <vt:lpwstr/>
      </vt:variant>
      <vt:variant>
        <vt:lpwstr>_Toc329011646</vt:lpwstr>
      </vt:variant>
      <vt:variant>
        <vt:i4>1048637</vt:i4>
      </vt:variant>
      <vt:variant>
        <vt:i4>392</vt:i4>
      </vt:variant>
      <vt:variant>
        <vt:i4>0</vt:i4>
      </vt:variant>
      <vt:variant>
        <vt:i4>5</vt:i4>
      </vt:variant>
      <vt:variant>
        <vt:lpwstr/>
      </vt:variant>
      <vt:variant>
        <vt:lpwstr>_Toc329011645</vt:lpwstr>
      </vt:variant>
      <vt:variant>
        <vt:i4>1048637</vt:i4>
      </vt:variant>
      <vt:variant>
        <vt:i4>386</vt:i4>
      </vt:variant>
      <vt:variant>
        <vt:i4>0</vt:i4>
      </vt:variant>
      <vt:variant>
        <vt:i4>5</vt:i4>
      </vt:variant>
      <vt:variant>
        <vt:lpwstr/>
      </vt:variant>
      <vt:variant>
        <vt:lpwstr>_Toc329011644</vt:lpwstr>
      </vt:variant>
      <vt:variant>
        <vt:i4>1048637</vt:i4>
      </vt:variant>
      <vt:variant>
        <vt:i4>380</vt:i4>
      </vt:variant>
      <vt:variant>
        <vt:i4>0</vt:i4>
      </vt:variant>
      <vt:variant>
        <vt:i4>5</vt:i4>
      </vt:variant>
      <vt:variant>
        <vt:lpwstr/>
      </vt:variant>
      <vt:variant>
        <vt:lpwstr>_Toc329011643</vt:lpwstr>
      </vt:variant>
      <vt:variant>
        <vt:i4>1048637</vt:i4>
      </vt:variant>
      <vt:variant>
        <vt:i4>374</vt:i4>
      </vt:variant>
      <vt:variant>
        <vt:i4>0</vt:i4>
      </vt:variant>
      <vt:variant>
        <vt:i4>5</vt:i4>
      </vt:variant>
      <vt:variant>
        <vt:lpwstr/>
      </vt:variant>
      <vt:variant>
        <vt:lpwstr>_Toc329011642</vt:lpwstr>
      </vt:variant>
      <vt:variant>
        <vt:i4>1048637</vt:i4>
      </vt:variant>
      <vt:variant>
        <vt:i4>368</vt:i4>
      </vt:variant>
      <vt:variant>
        <vt:i4>0</vt:i4>
      </vt:variant>
      <vt:variant>
        <vt:i4>5</vt:i4>
      </vt:variant>
      <vt:variant>
        <vt:lpwstr/>
      </vt:variant>
      <vt:variant>
        <vt:lpwstr>_Toc329011641</vt:lpwstr>
      </vt:variant>
      <vt:variant>
        <vt:i4>1048637</vt:i4>
      </vt:variant>
      <vt:variant>
        <vt:i4>362</vt:i4>
      </vt:variant>
      <vt:variant>
        <vt:i4>0</vt:i4>
      </vt:variant>
      <vt:variant>
        <vt:i4>5</vt:i4>
      </vt:variant>
      <vt:variant>
        <vt:lpwstr/>
      </vt:variant>
      <vt:variant>
        <vt:lpwstr>_Toc329011640</vt:lpwstr>
      </vt:variant>
      <vt:variant>
        <vt:i4>1507389</vt:i4>
      </vt:variant>
      <vt:variant>
        <vt:i4>356</vt:i4>
      </vt:variant>
      <vt:variant>
        <vt:i4>0</vt:i4>
      </vt:variant>
      <vt:variant>
        <vt:i4>5</vt:i4>
      </vt:variant>
      <vt:variant>
        <vt:lpwstr/>
      </vt:variant>
      <vt:variant>
        <vt:lpwstr>_Toc329011639</vt:lpwstr>
      </vt:variant>
      <vt:variant>
        <vt:i4>1507389</vt:i4>
      </vt:variant>
      <vt:variant>
        <vt:i4>350</vt:i4>
      </vt:variant>
      <vt:variant>
        <vt:i4>0</vt:i4>
      </vt:variant>
      <vt:variant>
        <vt:i4>5</vt:i4>
      </vt:variant>
      <vt:variant>
        <vt:lpwstr/>
      </vt:variant>
      <vt:variant>
        <vt:lpwstr>_Toc329011638</vt:lpwstr>
      </vt:variant>
      <vt:variant>
        <vt:i4>1507389</vt:i4>
      </vt:variant>
      <vt:variant>
        <vt:i4>344</vt:i4>
      </vt:variant>
      <vt:variant>
        <vt:i4>0</vt:i4>
      </vt:variant>
      <vt:variant>
        <vt:i4>5</vt:i4>
      </vt:variant>
      <vt:variant>
        <vt:lpwstr/>
      </vt:variant>
      <vt:variant>
        <vt:lpwstr>_Toc329011637</vt:lpwstr>
      </vt:variant>
      <vt:variant>
        <vt:i4>1507389</vt:i4>
      </vt:variant>
      <vt:variant>
        <vt:i4>338</vt:i4>
      </vt:variant>
      <vt:variant>
        <vt:i4>0</vt:i4>
      </vt:variant>
      <vt:variant>
        <vt:i4>5</vt:i4>
      </vt:variant>
      <vt:variant>
        <vt:lpwstr/>
      </vt:variant>
      <vt:variant>
        <vt:lpwstr>_Toc329011636</vt:lpwstr>
      </vt:variant>
      <vt:variant>
        <vt:i4>1507389</vt:i4>
      </vt:variant>
      <vt:variant>
        <vt:i4>332</vt:i4>
      </vt:variant>
      <vt:variant>
        <vt:i4>0</vt:i4>
      </vt:variant>
      <vt:variant>
        <vt:i4>5</vt:i4>
      </vt:variant>
      <vt:variant>
        <vt:lpwstr/>
      </vt:variant>
      <vt:variant>
        <vt:lpwstr>_Toc329011635</vt:lpwstr>
      </vt:variant>
      <vt:variant>
        <vt:i4>1507389</vt:i4>
      </vt:variant>
      <vt:variant>
        <vt:i4>326</vt:i4>
      </vt:variant>
      <vt:variant>
        <vt:i4>0</vt:i4>
      </vt:variant>
      <vt:variant>
        <vt:i4>5</vt:i4>
      </vt:variant>
      <vt:variant>
        <vt:lpwstr/>
      </vt:variant>
      <vt:variant>
        <vt:lpwstr>_Toc329011634</vt:lpwstr>
      </vt:variant>
      <vt:variant>
        <vt:i4>1507389</vt:i4>
      </vt:variant>
      <vt:variant>
        <vt:i4>320</vt:i4>
      </vt:variant>
      <vt:variant>
        <vt:i4>0</vt:i4>
      </vt:variant>
      <vt:variant>
        <vt:i4>5</vt:i4>
      </vt:variant>
      <vt:variant>
        <vt:lpwstr/>
      </vt:variant>
      <vt:variant>
        <vt:lpwstr>_Toc329011633</vt:lpwstr>
      </vt:variant>
      <vt:variant>
        <vt:i4>1507389</vt:i4>
      </vt:variant>
      <vt:variant>
        <vt:i4>314</vt:i4>
      </vt:variant>
      <vt:variant>
        <vt:i4>0</vt:i4>
      </vt:variant>
      <vt:variant>
        <vt:i4>5</vt:i4>
      </vt:variant>
      <vt:variant>
        <vt:lpwstr/>
      </vt:variant>
      <vt:variant>
        <vt:lpwstr>_Toc329011632</vt:lpwstr>
      </vt:variant>
      <vt:variant>
        <vt:i4>1507389</vt:i4>
      </vt:variant>
      <vt:variant>
        <vt:i4>308</vt:i4>
      </vt:variant>
      <vt:variant>
        <vt:i4>0</vt:i4>
      </vt:variant>
      <vt:variant>
        <vt:i4>5</vt:i4>
      </vt:variant>
      <vt:variant>
        <vt:lpwstr/>
      </vt:variant>
      <vt:variant>
        <vt:lpwstr>_Toc329011631</vt:lpwstr>
      </vt:variant>
      <vt:variant>
        <vt:i4>1507389</vt:i4>
      </vt:variant>
      <vt:variant>
        <vt:i4>302</vt:i4>
      </vt:variant>
      <vt:variant>
        <vt:i4>0</vt:i4>
      </vt:variant>
      <vt:variant>
        <vt:i4>5</vt:i4>
      </vt:variant>
      <vt:variant>
        <vt:lpwstr/>
      </vt:variant>
      <vt:variant>
        <vt:lpwstr>_Toc329011630</vt:lpwstr>
      </vt:variant>
      <vt:variant>
        <vt:i4>1441853</vt:i4>
      </vt:variant>
      <vt:variant>
        <vt:i4>296</vt:i4>
      </vt:variant>
      <vt:variant>
        <vt:i4>0</vt:i4>
      </vt:variant>
      <vt:variant>
        <vt:i4>5</vt:i4>
      </vt:variant>
      <vt:variant>
        <vt:lpwstr/>
      </vt:variant>
      <vt:variant>
        <vt:lpwstr>_Toc329011629</vt:lpwstr>
      </vt:variant>
      <vt:variant>
        <vt:i4>1441853</vt:i4>
      </vt:variant>
      <vt:variant>
        <vt:i4>290</vt:i4>
      </vt:variant>
      <vt:variant>
        <vt:i4>0</vt:i4>
      </vt:variant>
      <vt:variant>
        <vt:i4>5</vt:i4>
      </vt:variant>
      <vt:variant>
        <vt:lpwstr/>
      </vt:variant>
      <vt:variant>
        <vt:lpwstr>_Toc329011628</vt:lpwstr>
      </vt:variant>
      <vt:variant>
        <vt:i4>1441853</vt:i4>
      </vt:variant>
      <vt:variant>
        <vt:i4>284</vt:i4>
      </vt:variant>
      <vt:variant>
        <vt:i4>0</vt:i4>
      </vt:variant>
      <vt:variant>
        <vt:i4>5</vt:i4>
      </vt:variant>
      <vt:variant>
        <vt:lpwstr/>
      </vt:variant>
      <vt:variant>
        <vt:lpwstr>_Toc329011627</vt:lpwstr>
      </vt:variant>
      <vt:variant>
        <vt:i4>1441853</vt:i4>
      </vt:variant>
      <vt:variant>
        <vt:i4>278</vt:i4>
      </vt:variant>
      <vt:variant>
        <vt:i4>0</vt:i4>
      </vt:variant>
      <vt:variant>
        <vt:i4>5</vt:i4>
      </vt:variant>
      <vt:variant>
        <vt:lpwstr/>
      </vt:variant>
      <vt:variant>
        <vt:lpwstr>_Toc329011626</vt:lpwstr>
      </vt:variant>
      <vt:variant>
        <vt:i4>1441853</vt:i4>
      </vt:variant>
      <vt:variant>
        <vt:i4>272</vt:i4>
      </vt:variant>
      <vt:variant>
        <vt:i4>0</vt:i4>
      </vt:variant>
      <vt:variant>
        <vt:i4>5</vt:i4>
      </vt:variant>
      <vt:variant>
        <vt:lpwstr/>
      </vt:variant>
      <vt:variant>
        <vt:lpwstr>_Toc329011625</vt:lpwstr>
      </vt:variant>
      <vt:variant>
        <vt:i4>1441853</vt:i4>
      </vt:variant>
      <vt:variant>
        <vt:i4>266</vt:i4>
      </vt:variant>
      <vt:variant>
        <vt:i4>0</vt:i4>
      </vt:variant>
      <vt:variant>
        <vt:i4>5</vt:i4>
      </vt:variant>
      <vt:variant>
        <vt:lpwstr/>
      </vt:variant>
      <vt:variant>
        <vt:lpwstr>_Toc329011624</vt:lpwstr>
      </vt:variant>
      <vt:variant>
        <vt:i4>1441853</vt:i4>
      </vt:variant>
      <vt:variant>
        <vt:i4>260</vt:i4>
      </vt:variant>
      <vt:variant>
        <vt:i4>0</vt:i4>
      </vt:variant>
      <vt:variant>
        <vt:i4>5</vt:i4>
      </vt:variant>
      <vt:variant>
        <vt:lpwstr/>
      </vt:variant>
      <vt:variant>
        <vt:lpwstr>_Toc329011623</vt:lpwstr>
      </vt:variant>
      <vt:variant>
        <vt:i4>1441853</vt:i4>
      </vt:variant>
      <vt:variant>
        <vt:i4>254</vt:i4>
      </vt:variant>
      <vt:variant>
        <vt:i4>0</vt:i4>
      </vt:variant>
      <vt:variant>
        <vt:i4>5</vt:i4>
      </vt:variant>
      <vt:variant>
        <vt:lpwstr/>
      </vt:variant>
      <vt:variant>
        <vt:lpwstr>_Toc329011622</vt:lpwstr>
      </vt:variant>
      <vt:variant>
        <vt:i4>1441853</vt:i4>
      </vt:variant>
      <vt:variant>
        <vt:i4>248</vt:i4>
      </vt:variant>
      <vt:variant>
        <vt:i4>0</vt:i4>
      </vt:variant>
      <vt:variant>
        <vt:i4>5</vt:i4>
      </vt:variant>
      <vt:variant>
        <vt:lpwstr/>
      </vt:variant>
      <vt:variant>
        <vt:lpwstr>_Toc329011621</vt:lpwstr>
      </vt:variant>
      <vt:variant>
        <vt:i4>1441853</vt:i4>
      </vt:variant>
      <vt:variant>
        <vt:i4>242</vt:i4>
      </vt:variant>
      <vt:variant>
        <vt:i4>0</vt:i4>
      </vt:variant>
      <vt:variant>
        <vt:i4>5</vt:i4>
      </vt:variant>
      <vt:variant>
        <vt:lpwstr/>
      </vt:variant>
      <vt:variant>
        <vt:lpwstr>_Toc329011620</vt:lpwstr>
      </vt:variant>
      <vt:variant>
        <vt:i4>1376317</vt:i4>
      </vt:variant>
      <vt:variant>
        <vt:i4>236</vt:i4>
      </vt:variant>
      <vt:variant>
        <vt:i4>0</vt:i4>
      </vt:variant>
      <vt:variant>
        <vt:i4>5</vt:i4>
      </vt:variant>
      <vt:variant>
        <vt:lpwstr/>
      </vt:variant>
      <vt:variant>
        <vt:lpwstr>_Toc329011619</vt:lpwstr>
      </vt:variant>
      <vt:variant>
        <vt:i4>1376317</vt:i4>
      </vt:variant>
      <vt:variant>
        <vt:i4>230</vt:i4>
      </vt:variant>
      <vt:variant>
        <vt:i4>0</vt:i4>
      </vt:variant>
      <vt:variant>
        <vt:i4>5</vt:i4>
      </vt:variant>
      <vt:variant>
        <vt:lpwstr/>
      </vt:variant>
      <vt:variant>
        <vt:lpwstr>_Toc329011618</vt:lpwstr>
      </vt:variant>
      <vt:variant>
        <vt:i4>1376317</vt:i4>
      </vt:variant>
      <vt:variant>
        <vt:i4>224</vt:i4>
      </vt:variant>
      <vt:variant>
        <vt:i4>0</vt:i4>
      </vt:variant>
      <vt:variant>
        <vt:i4>5</vt:i4>
      </vt:variant>
      <vt:variant>
        <vt:lpwstr/>
      </vt:variant>
      <vt:variant>
        <vt:lpwstr>_Toc329011617</vt:lpwstr>
      </vt:variant>
      <vt:variant>
        <vt:i4>1376317</vt:i4>
      </vt:variant>
      <vt:variant>
        <vt:i4>218</vt:i4>
      </vt:variant>
      <vt:variant>
        <vt:i4>0</vt:i4>
      </vt:variant>
      <vt:variant>
        <vt:i4>5</vt:i4>
      </vt:variant>
      <vt:variant>
        <vt:lpwstr/>
      </vt:variant>
      <vt:variant>
        <vt:lpwstr>_Toc329011616</vt:lpwstr>
      </vt:variant>
      <vt:variant>
        <vt:i4>1376317</vt:i4>
      </vt:variant>
      <vt:variant>
        <vt:i4>212</vt:i4>
      </vt:variant>
      <vt:variant>
        <vt:i4>0</vt:i4>
      </vt:variant>
      <vt:variant>
        <vt:i4>5</vt:i4>
      </vt:variant>
      <vt:variant>
        <vt:lpwstr/>
      </vt:variant>
      <vt:variant>
        <vt:lpwstr>_Toc329011615</vt:lpwstr>
      </vt:variant>
      <vt:variant>
        <vt:i4>1376317</vt:i4>
      </vt:variant>
      <vt:variant>
        <vt:i4>206</vt:i4>
      </vt:variant>
      <vt:variant>
        <vt:i4>0</vt:i4>
      </vt:variant>
      <vt:variant>
        <vt:i4>5</vt:i4>
      </vt:variant>
      <vt:variant>
        <vt:lpwstr/>
      </vt:variant>
      <vt:variant>
        <vt:lpwstr>_Toc329011614</vt:lpwstr>
      </vt:variant>
      <vt:variant>
        <vt:i4>1376317</vt:i4>
      </vt:variant>
      <vt:variant>
        <vt:i4>200</vt:i4>
      </vt:variant>
      <vt:variant>
        <vt:i4>0</vt:i4>
      </vt:variant>
      <vt:variant>
        <vt:i4>5</vt:i4>
      </vt:variant>
      <vt:variant>
        <vt:lpwstr/>
      </vt:variant>
      <vt:variant>
        <vt:lpwstr>_Toc329011613</vt:lpwstr>
      </vt:variant>
      <vt:variant>
        <vt:i4>1376317</vt:i4>
      </vt:variant>
      <vt:variant>
        <vt:i4>194</vt:i4>
      </vt:variant>
      <vt:variant>
        <vt:i4>0</vt:i4>
      </vt:variant>
      <vt:variant>
        <vt:i4>5</vt:i4>
      </vt:variant>
      <vt:variant>
        <vt:lpwstr/>
      </vt:variant>
      <vt:variant>
        <vt:lpwstr>_Toc329011612</vt:lpwstr>
      </vt:variant>
      <vt:variant>
        <vt:i4>1376317</vt:i4>
      </vt:variant>
      <vt:variant>
        <vt:i4>188</vt:i4>
      </vt:variant>
      <vt:variant>
        <vt:i4>0</vt:i4>
      </vt:variant>
      <vt:variant>
        <vt:i4>5</vt:i4>
      </vt:variant>
      <vt:variant>
        <vt:lpwstr/>
      </vt:variant>
      <vt:variant>
        <vt:lpwstr>_Toc329011611</vt:lpwstr>
      </vt:variant>
      <vt:variant>
        <vt:i4>1376317</vt:i4>
      </vt:variant>
      <vt:variant>
        <vt:i4>182</vt:i4>
      </vt:variant>
      <vt:variant>
        <vt:i4>0</vt:i4>
      </vt:variant>
      <vt:variant>
        <vt:i4>5</vt:i4>
      </vt:variant>
      <vt:variant>
        <vt:lpwstr/>
      </vt:variant>
      <vt:variant>
        <vt:lpwstr>_Toc329011610</vt:lpwstr>
      </vt:variant>
      <vt:variant>
        <vt:i4>1310781</vt:i4>
      </vt:variant>
      <vt:variant>
        <vt:i4>176</vt:i4>
      </vt:variant>
      <vt:variant>
        <vt:i4>0</vt:i4>
      </vt:variant>
      <vt:variant>
        <vt:i4>5</vt:i4>
      </vt:variant>
      <vt:variant>
        <vt:lpwstr/>
      </vt:variant>
      <vt:variant>
        <vt:lpwstr>_Toc329011609</vt:lpwstr>
      </vt:variant>
      <vt:variant>
        <vt:i4>1310781</vt:i4>
      </vt:variant>
      <vt:variant>
        <vt:i4>170</vt:i4>
      </vt:variant>
      <vt:variant>
        <vt:i4>0</vt:i4>
      </vt:variant>
      <vt:variant>
        <vt:i4>5</vt:i4>
      </vt:variant>
      <vt:variant>
        <vt:lpwstr/>
      </vt:variant>
      <vt:variant>
        <vt:lpwstr>_Toc329011608</vt:lpwstr>
      </vt:variant>
      <vt:variant>
        <vt:i4>1310781</vt:i4>
      </vt:variant>
      <vt:variant>
        <vt:i4>164</vt:i4>
      </vt:variant>
      <vt:variant>
        <vt:i4>0</vt:i4>
      </vt:variant>
      <vt:variant>
        <vt:i4>5</vt:i4>
      </vt:variant>
      <vt:variant>
        <vt:lpwstr/>
      </vt:variant>
      <vt:variant>
        <vt:lpwstr>_Toc329011607</vt:lpwstr>
      </vt:variant>
      <vt:variant>
        <vt:i4>1310781</vt:i4>
      </vt:variant>
      <vt:variant>
        <vt:i4>158</vt:i4>
      </vt:variant>
      <vt:variant>
        <vt:i4>0</vt:i4>
      </vt:variant>
      <vt:variant>
        <vt:i4>5</vt:i4>
      </vt:variant>
      <vt:variant>
        <vt:lpwstr/>
      </vt:variant>
      <vt:variant>
        <vt:lpwstr>_Toc329011606</vt:lpwstr>
      </vt:variant>
      <vt:variant>
        <vt:i4>1310781</vt:i4>
      </vt:variant>
      <vt:variant>
        <vt:i4>152</vt:i4>
      </vt:variant>
      <vt:variant>
        <vt:i4>0</vt:i4>
      </vt:variant>
      <vt:variant>
        <vt:i4>5</vt:i4>
      </vt:variant>
      <vt:variant>
        <vt:lpwstr/>
      </vt:variant>
      <vt:variant>
        <vt:lpwstr>_Toc329011605</vt:lpwstr>
      </vt:variant>
      <vt:variant>
        <vt:i4>1310781</vt:i4>
      </vt:variant>
      <vt:variant>
        <vt:i4>146</vt:i4>
      </vt:variant>
      <vt:variant>
        <vt:i4>0</vt:i4>
      </vt:variant>
      <vt:variant>
        <vt:i4>5</vt:i4>
      </vt:variant>
      <vt:variant>
        <vt:lpwstr/>
      </vt:variant>
      <vt:variant>
        <vt:lpwstr>_Toc329011604</vt:lpwstr>
      </vt:variant>
      <vt:variant>
        <vt:i4>1310781</vt:i4>
      </vt:variant>
      <vt:variant>
        <vt:i4>140</vt:i4>
      </vt:variant>
      <vt:variant>
        <vt:i4>0</vt:i4>
      </vt:variant>
      <vt:variant>
        <vt:i4>5</vt:i4>
      </vt:variant>
      <vt:variant>
        <vt:lpwstr/>
      </vt:variant>
      <vt:variant>
        <vt:lpwstr>_Toc329011603</vt:lpwstr>
      </vt:variant>
      <vt:variant>
        <vt:i4>5636108</vt:i4>
      </vt:variant>
      <vt:variant>
        <vt:i4>135</vt:i4>
      </vt:variant>
      <vt:variant>
        <vt:i4>0</vt:i4>
      </vt:variant>
      <vt:variant>
        <vt:i4>5</vt:i4>
      </vt:variant>
      <vt:variant>
        <vt:lpwstr>http://www.itu.int/md/S11-CL-INF-0009/en</vt:lpwstr>
      </vt:variant>
      <vt:variant>
        <vt:lpwstr/>
      </vt:variant>
      <vt:variant>
        <vt:i4>1376308</vt:i4>
      </vt:variant>
      <vt:variant>
        <vt:i4>128</vt:i4>
      </vt:variant>
      <vt:variant>
        <vt:i4>0</vt:i4>
      </vt:variant>
      <vt:variant>
        <vt:i4>5</vt:i4>
      </vt:variant>
      <vt:variant>
        <vt:lpwstr/>
      </vt:variant>
      <vt:variant>
        <vt:lpwstr>_Toc357006014</vt:lpwstr>
      </vt:variant>
      <vt:variant>
        <vt:i4>1376308</vt:i4>
      </vt:variant>
      <vt:variant>
        <vt:i4>122</vt:i4>
      </vt:variant>
      <vt:variant>
        <vt:i4>0</vt:i4>
      </vt:variant>
      <vt:variant>
        <vt:i4>5</vt:i4>
      </vt:variant>
      <vt:variant>
        <vt:lpwstr/>
      </vt:variant>
      <vt:variant>
        <vt:lpwstr>_Toc357006013</vt:lpwstr>
      </vt:variant>
      <vt:variant>
        <vt:i4>1376308</vt:i4>
      </vt:variant>
      <vt:variant>
        <vt:i4>116</vt:i4>
      </vt:variant>
      <vt:variant>
        <vt:i4>0</vt:i4>
      </vt:variant>
      <vt:variant>
        <vt:i4>5</vt:i4>
      </vt:variant>
      <vt:variant>
        <vt:lpwstr/>
      </vt:variant>
      <vt:variant>
        <vt:lpwstr>_Toc357006012</vt:lpwstr>
      </vt:variant>
      <vt:variant>
        <vt:i4>1376308</vt:i4>
      </vt:variant>
      <vt:variant>
        <vt:i4>110</vt:i4>
      </vt:variant>
      <vt:variant>
        <vt:i4>0</vt:i4>
      </vt:variant>
      <vt:variant>
        <vt:i4>5</vt:i4>
      </vt:variant>
      <vt:variant>
        <vt:lpwstr/>
      </vt:variant>
      <vt:variant>
        <vt:lpwstr>_Toc357006011</vt:lpwstr>
      </vt:variant>
      <vt:variant>
        <vt:i4>1376308</vt:i4>
      </vt:variant>
      <vt:variant>
        <vt:i4>104</vt:i4>
      </vt:variant>
      <vt:variant>
        <vt:i4>0</vt:i4>
      </vt:variant>
      <vt:variant>
        <vt:i4>5</vt:i4>
      </vt:variant>
      <vt:variant>
        <vt:lpwstr/>
      </vt:variant>
      <vt:variant>
        <vt:lpwstr>_Toc357006010</vt:lpwstr>
      </vt:variant>
      <vt:variant>
        <vt:i4>1310772</vt:i4>
      </vt:variant>
      <vt:variant>
        <vt:i4>98</vt:i4>
      </vt:variant>
      <vt:variant>
        <vt:i4>0</vt:i4>
      </vt:variant>
      <vt:variant>
        <vt:i4>5</vt:i4>
      </vt:variant>
      <vt:variant>
        <vt:lpwstr/>
      </vt:variant>
      <vt:variant>
        <vt:lpwstr>_Toc357006009</vt:lpwstr>
      </vt:variant>
      <vt:variant>
        <vt:i4>1310772</vt:i4>
      </vt:variant>
      <vt:variant>
        <vt:i4>92</vt:i4>
      </vt:variant>
      <vt:variant>
        <vt:i4>0</vt:i4>
      </vt:variant>
      <vt:variant>
        <vt:i4>5</vt:i4>
      </vt:variant>
      <vt:variant>
        <vt:lpwstr/>
      </vt:variant>
      <vt:variant>
        <vt:lpwstr>_Toc357006008</vt:lpwstr>
      </vt:variant>
      <vt:variant>
        <vt:i4>1310772</vt:i4>
      </vt:variant>
      <vt:variant>
        <vt:i4>86</vt:i4>
      </vt:variant>
      <vt:variant>
        <vt:i4>0</vt:i4>
      </vt:variant>
      <vt:variant>
        <vt:i4>5</vt:i4>
      </vt:variant>
      <vt:variant>
        <vt:lpwstr/>
      </vt:variant>
      <vt:variant>
        <vt:lpwstr>_Toc357006007</vt:lpwstr>
      </vt:variant>
      <vt:variant>
        <vt:i4>1310772</vt:i4>
      </vt:variant>
      <vt:variant>
        <vt:i4>80</vt:i4>
      </vt:variant>
      <vt:variant>
        <vt:i4>0</vt:i4>
      </vt:variant>
      <vt:variant>
        <vt:i4>5</vt:i4>
      </vt:variant>
      <vt:variant>
        <vt:lpwstr/>
      </vt:variant>
      <vt:variant>
        <vt:lpwstr>_Toc357006006</vt:lpwstr>
      </vt:variant>
      <vt:variant>
        <vt:i4>1310772</vt:i4>
      </vt:variant>
      <vt:variant>
        <vt:i4>74</vt:i4>
      </vt:variant>
      <vt:variant>
        <vt:i4>0</vt:i4>
      </vt:variant>
      <vt:variant>
        <vt:i4>5</vt:i4>
      </vt:variant>
      <vt:variant>
        <vt:lpwstr/>
      </vt:variant>
      <vt:variant>
        <vt:lpwstr>_Toc357006005</vt:lpwstr>
      </vt:variant>
      <vt:variant>
        <vt:i4>1310772</vt:i4>
      </vt:variant>
      <vt:variant>
        <vt:i4>68</vt:i4>
      </vt:variant>
      <vt:variant>
        <vt:i4>0</vt:i4>
      </vt:variant>
      <vt:variant>
        <vt:i4>5</vt:i4>
      </vt:variant>
      <vt:variant>
        <vt:lpwstr/>
      </vt:variant>
      <vt:variant>
        <vt:lpwstr>_Toc357006004</vt:lpwstr>
      </vt:variant>
      <vt:variant>
        <vt:i4>1310772</vt:i4>
      </vt:variant>
      <vt:variant>
        <vt:i4>62</vt:i4>
      </vt:variant>
      <vt:variant>
        <vt:i4>0</vt:i4>
      </vt:variant>
      <vt:variant>
        <vt:i4>5</vt:i4>
      </vt:variant>
      <vt:variant>
        <vt:lpwstr/>
      </vt:variant>
      <vt:variant>
        <vt:lpwstr>_Toc357006003</vt:lpwstr>
      </vt:variant>
      <vt:variant>
        <vt:i4>1310772</vt:i4>
      </vt:variant>
      <vt:variant>
        <vt:i4>56</vt:i4>
      </vt:variant>
      <vt:variant>
        <vt:i4>0</vt:i4>
      </vt:variant>
      <vt:variant>
        <vt:i4>5</vt:i4>
      </vt:variant>
      <vt:variant>
        <vt:lpwstr/>
      </vt:variant>
      <vt:variant>
        <vt:lpwstr>_Toc357006002</vt:lpwstr>
      </vt:variant>
      <vt:variant>
        <vt:i4>1310772</vt:i4>
      </vt:variant>
      <vt:variant>
        <vt:i4>50</vt:i4>
      </vt:variant>
      <vt:variant>
        <vt:i4>0</vt:i4>
      </vt:variant>
      <vt:variant>
        <vt:i4>5</vt:i4>
      </vt:variant>
      <vt:variant>
        <vt:lpwstr/>
      </vt:variant>
      <vt:variant>
        <vt:lpwstr>_Toc357006001</vt:lpwstr>
      </vt:variant>
      <vt:variant>
        <vt:i4>1310772</vt:i4>
      </vt:variant>
      <vt:variant>
        <vt:i4>44</vt:i4>
      </vt:variant>
      <vt:variant>
        <vt:i4>0</vt:i4>
      </vt:variant>
      <vt:variant>
        <vt:i4>5</vt:i4>
      </vt:variant>
      <vt:variant>
        <vt:lpwstr/>
      </vt:variant>
      <vt:variant>
        <vt:lpwstr>_Toc357006000</vt:lpwstr>
      </vt:variant>
      <vt:variant>
        <vt:i4>1966141</vt:i4>
      </vt:variant>
      <vt:variant>
        <vt:i4>38</vt:i4>
      </vt:variant>
      <vt:variant>
        <vt:i4>0</vt:i4>
      </vt:variant>
      <vt:variant>
        <vt:i4>5</vt:i4>
      </vt:variant>
      <vt:variant>
        <vt:lpwstr/>
      </vt:variant>
      <vt:variant>
        <vt:lpwstr>_Toc357005999</vt:lpwstr>
      </vt:variant>
      <vt:variant>
        <vt:i4>1966141</vt:i4>
      </vt:variant>
      <vt:variant>
        <vt:i4>32</vt:i4>
      </vt:variant>
      <vt:variant>
        <vt:i4>0</vt:i4>
      </vt:variant>
      <vt:variant>
        <vt:i4>5</vt:i4>
      </vt:variant>
      <vt:variant>
        <vt:lpwstr/>
      </vt:variant>
      <vt:variant>
        <vt:lpwstr>_Toc357005998</vt:lpwstr>
      </vt:variant>
      <vt:variant>
        <vt:i4>1966141</vt:i4>
      </vt:variant>
      <vt:variant>
        <vt:i4>26</vt:i4>
      </vt:variant>
      <vt:variant>
        <vt:i4>0</vt:i4>
      </vt:variant>
      <vt:variant>
        <vt:i4>5</vt:i4>
      </vt:variant>
      <vt:variant>
        <vt:lpwstr/>
      </vt:variant>
      <vt:variant>
        <vt:lpwstr>_Toc357005997</vt:lpwstr>
      </vt:variant>
      <vt:variant>
        <vt:i4>1966141</vt:i4>
      </vt:variant>
      <vt:variant>
        <vt:i4>20</vt:i4>
      </vt:variant>
      <vt:variant>
        <vt:i4>0</vt:i4>
      </vt:variant>
      <vt:variant>
        <vt:i4>5</vt:i4>
      </vt:variant>
      <vt:variant>
        <vt:lpwstr/>
      </vt:variant>
      <vt:variant>
        <vt:lpwstr>_Toc357005996</vt:lpwstr>
      </vt:variant>
      <vt:variant>
        <vt:i4>1966141</vt:i4>
      </vt:variant>
      <vt:variant>
        <vt:i4>14</vt:i4>
      </vt:variant>
      <vt:variant>
        <vt:i4>0</vt:i4>
      </vt:variant>
      <vt:variant>
        <vt:i4>5</vt:i4>
      </vt:variant>
      <vt:variant>
        <vt:lpwstr/>
      </vt:variant>
      <vt:variant>
        <vt:lpwstr>_Toc357005995</vt:lpwstr>
      </vt:variant>
      <vt:variant>
        <vt:i4>1966141</vt:i4>
      </vt:variant>
      <vt:variant>
        <vt:i4>8</vt:i4>
      </vt:variant>
      <vt:variant>
        <vt:i4>0</vt:i4>
      </vt:variant>
      <vt:variant>
        <vt:i4>5</vt:i4>
      </vt:variant>
      <vt:variant>
        <vt:lpwstr/>
      </vt:variant>
      <vt:variant>
        <vt:lpwstr>_Toc357005994</vt:lpwstr>
      </vt:variant>
      <vt:variant>
        <vt:i4>3407911</vt:i4>
      </vt:variant>
      <vt:variant>
        <vt:i4>3</vt:i4>
      </vt:variant>
      <vt:variant>
        <vt:i4>0</vt:i4>
      </vt:variant>
      <vt:variant>
        <vt:i4>5</vt:i4>
      </vt:variant>
      <vt:variant>
        <vt:lpwstr>http://www.itu.int/council/finregs/Regl_Fin_Regles-05-rev-E.pdf</vt:lpwstr>
      </vt:variant>
      <vt:variant>
        <vt:lpwstr/>
      </vt:variant>
      <vt:variant>
        <vt:i4>2031703</vt:i4>
      </vt:variant>
      <vt:variant>
        <vt:i4>0</vt:i4>
      </vt:variant>
      <vt:variant>
        <vt:i4>0</vt:i4>
      </vt:variant>
      <vt:variant>
        <vt:i4>5</vt:i4>
      </vt:variant>
      <vt:variant>
        <vt:lpwstr>http://www.itu.int/council/Basic-Texts/convention-e.docx</vt:lpwstr>
      </vt:variant>
      <vt:variant>
        <vt:lpwstr>cv101</vt:lpwstr>
      </vt:variant>
      <vt:variant>
        <vt:i4>3342371</vt:i4>
      </vt:variant>
      <vt:variant>
        <vt:i4>36</vt:i4>
      </vt:variant>
      <vt:variant>
        <vt:i4>0</vt:i4>
      </vt:variant>
      <vt:variant>
        <vt:i4>5</vt:i4>
      </vt:variant>
      <vt:variant>
        <vt:lpwstr>http://www.itu.int/council</vt:lpwstr>
      </vt:variant>
      <vt:variant>
        <vt:lpwstr/>
      </vt:variant>
      <vt:variant>
        <vt:i4>3342371</vt:i4>
      </vt:variant>
      <vt:variant>
        <vt:i4>6</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operating report for the financial year 2018</dc:title>
  <dc:subject>Council 2019</dc:subject>
  <dc:creator>Brouard, Ricarda</dc:creator>
  <cp:keywords>C2019, C19</cp:keywords>
  <cp:lastModifiedBy>Brouard, Ricarda</cp:lastModifiedBy>
  <cp:revision>4</cp:revision>
  <cp:lastPrinted>2019-05-29T07:15:00Z</cp:lastPrinted>
  <dcterms:created xsi:type="dcterms:W3CDTF">2019-05-29T08:48:00Z</dcterms:created>
  <dcterms:modified xsi:type="dcterms:W3CDTF">2019-05-29T08:57:00Z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